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11" w:rsidRPr="002742BE" w:rsidRDefault="00D2596B" w:rsidP="00F04C47">
      <w:pPr>
        <w:pStyle w:val="Heading2"/>
        <w:spacing w:before="120" w:after="240" w:line="240" w:lineRule="auto"/>
        <w:ind w:right="46"/>
        <w:rPr>
          <w:rFonts w:ascii="Arial" w:hAnsi="Arial" w:cs="Arial"/>
        </w:rPr>
      </w:pPr>
      <w:r w:rsidRPr="002742BE">
        <w:rPr>
          <w:rFonts w:ascii="Arial" w:hAnsi="Arial" w:cs="Arial"/>
        </w:rPr>
        <w:t>PRODUCT INFORMATION</w:t>
      </w:r>
    </w:p>
    <w:p w:rsidR="001D1004" w:rsidRPr="002742BE" w:rsidRDefault="001D1004" w:rsidP="00F04C47">
      <w:pPr>
        <w:pStyle w:val="Heading2"/>
        <w:spacing w:before="120" w:after="240" w:line="240" w:lineRule="auto"/>
        <w:ind w:right="46"/>
        <w:rPr>
          <w:rFonts w:ascii="Arial" w:hAnsi="Arial" w:cs="Arial"/>
        </w:rPr>
      </w:pPr>
      <w:r w:rsidRPr="002742BE">
        <w:rPr>
          <w:rFonts w:ascii="Arial" w:hAnsi="Arial" w:cs="Arial"/>
        </w:rPr>
        <w:t>XARELTO</w:t>
      </w:r>
      <w:r w:rsidRPr="002742BE">
        <w:rPr>
          <w:rFonts w:ascii="Arial" w:hAnsi="Arial" w:cs="Arial"/>
          <w:szCs w:val="24"/>
          <w:vertAlign w:val="superscript"/>
        </w:rPr>
        <w:t>®</w:t>
      </w:r>
      <w:r w:rsidRPr="002742BE">
        <w:rPr>
          <w:rFonts w:ascii="Arial" w:hAnsi="Arial" w:cs="Arial"/>
        </w:rPr>
        <w:t xml:space="preserve"> (</w:t>
      </w:r>
      <w:proofErr w:type="spellStart"/>
      <w:r w:rsidRPr="002742BE">
        <w:rPr>
          <w:rFonts w:ascii="Arial" w:hAnsi="Arial" w:cs="Arial"/>
        </w:rPr>
        <w:t>rivaroxaban</w:t>
      </w:r>
      <w:proofErr w:type="spellEnd"/>
      <w:r w:rsidRPr="002742BE">
        <w:rPr>
          <w:rFonts w:ascii="Arial" w:hAnsi="Arial" w:cs="Arial"/>
        </w:rPr>
        <w:t>)</w:t>
      </w:r>
    </w:p>
    <w:p w:rsidR="001D1004" w:rsidRPr="002742BE" w:rsidRDefault="001D1004" w:rsidP="00F04C47">
      <w:pPr>
        <w:pStyle w:val="Heading1"/>
        <w:spacing w:before="120" w:line="240" w:lineRule="auto"/>
        <w:ind w:right="46"/>
        <w:rPr>
          <w:rFonts w:ascii="Arial" w:hAnsi="Arial" w:cs="Arial"/>
          <w:sz w:val="24"/>
          <w:szCs w:val="24"/>
        </w:rPr>
      </w:pPr>
      <w:r w:rsidRPr="002742BE">
        <w:rPr>
          <w:rFonts w:ascii="Arial" w:hAnsi="Arial" w:cs="Arial"/>
          <w:sz w:val="24"/>
          <w:szCs w:val="24"/>
        </w:rPr>
        <w:t>NAME OF THE MEDICINE</w:t>
      </w:r>
    </w:p>
    <w:p w:rsidR="007E499E" w:rsidRPr="002742BE" w:rsidRDefault="00E8487E" w:rsidP="00F04C47">
      <w:pPr>
        <w:spacing w:before="120" w:after="240"/>
        <w:ind w:right="46"/>
        <w:jc w:val="both"/>
        <w:rPr>
          <w:rStyle w:val="txtnrm1"/>
          <w:rFonts w:eastAsia="Arial Unicode MS"/>
          <w:sz w:val="22"/>
          <w:szCs w:val="22"/>
          <w:lang w:val="en-AU"/>
        </w:rPr>
      </w:pPr>
      <w:proofErr w:type="spellStart"/>
      <w:r w:rsidRPr="002742BE">
        <w:rPr>
          <w:rFonts w:ascii="Arial" w:hAnsi="Arial" w:cs="Arial"/>
          <w:sz w:val="22"/>
          <w:szCs w:val="22"/>
          <w:lang w:val="en-AU"/>
        </w:rPr>
        <w:t>Xarelto</w:t>
      </w:r>
      <w:proofErr w:type="spellEnd"/>
      <w:r w:rsidRPr="002742BE">
        <w:rPr>
          <w:rFonts w:ascii="Arial" w:hAnsi="Arial" w:cs="Arial"/>
          <w:sz w:val="22"/>
          <w:szCs w:val="22"/>
          <w:lang w:val="en-AU"/>
        </w:rPr>
        <w:t xml:space="preserve"> </w:t>
      </w:r>
      <w:r w:rsidR="001D1004" w:rsidRPr="002742BE">
        <w:rPr>
          <w:rFonts w:ascii="Arial" w:hAnsi="Arial" w:cs="Arial"/>
          <w:sz w:val="22"/>
          <w:szCs w:val="22"/>
          <w:lang w:val="en-AU"/>
        </w:rPr>
        <w:t>(</w:t>
      </w:r>
      <w:proofErr w:type="spellStart"/>
      <w:r w:rsidR="001D1004" w:rsidRPr="002742BE">
        <w:rPr>
          <w:rFonts w:ascii="Arial" w:hAnsi="Arial" w:cs="Arial"/>
          <w:sz w:val="22"/>
          <w:szCs w:val="22"/>
          <w:lang w:val="en-AU"/>
        </w:rPr>
        <w:t>rivaroxaban</w:t>
      </w:r>
      <w:proofErr w:type="spellEnd"/>
      <w:r w:rsidR="001D1004" w:rsidRPr="002742BE">
        <w:rPr>
          <w:rFonts w:ascii="Arial" w:hAnsi="Arial" w:cs="Arial"/>
          <w:sz w:val="22"/>
          <w:szCs w:val="22"/>
          <w:lang w:val="en-AU"/>
        </w:rPr>
        <w:t>) is a</w:t>
      </w:r>
      <w:r w:rsidR="001D1004" w:rsidRPr="002742BE">
        <w:rPr>
          <w:rStyle w:val="txtnrm1"/>
          <w:rFonts w:eastAsia="Arial Unicode MS"/>
          <w:sz w:val="22"/>
          <w:szCs w:val="22"/>
          <w:lang w:val="en-AU"/>
        </w:rPr>
        <w:t xml:space="preserve"> selective, direct acting Factor </w:t>
      </w:r>
      <w:proofErr w:type="spellStart"/>
      <w:r w:rsidR="001D1004" w:rsidRPr="002742BE">
        <w:rPr>
          <w:rStyle w:val="txtnrm1"/>
          <w:rFonts w:eastAsia="Arial Unicode MS"/>
          <w:sz w:val="22"/>
          <w:szCs w:val="22"/>
          <w:lang w:val="en-AU"/>
        </w:rPr>
        <w:t>Xa</w:t>
      </w:r>
      <w:proofErr w:type="spellEnd"/>
      <w:r w:rsidR="001D1004" w:rsidRPr="002742BE">
        <w:rPr>
          <w:rStyle w:val="txtnrm1"/>
          <w:rFonts w:eastAsia="Arial Unicode MS"/>
          <w:sz w:val="22"/>
          <w:szCs w:val="22"/>
          <w:lang w:val="en-AU"/>
        </w:rPr>
        <w:t xml:space="preserve"> </w:t>
      </w:r>
      <w:r w:rsidR="007E499E" w:rsidRPr="002742BE">
        <w:rPr>
          <w:rStyle w:val="txtnrm1"/>
          <w:rFonts w:eastAsia="Arial Unicode MS"/>
          <w:sz w:val="22"/>
          <w:szCs w:val="22"/>
          <w:lang w:val="en-AU"/>
        </w:rPr>
        <w:t>inhibitor.</w:t>
      </w:r>
    </w:p>
    <w:p w:rsidR="001D1004" w:rsidRPr="002742BE" w:rsidRDefault="001D1004" w:rsidP="00F04C47">
      <w:pPr>
        <w:spacing w:before="120" w:after="240"/>
        <w:ind w:right="46"/>
        <w:jc w:val="both"/>
        <w:rPr>
          <w:rFonts w:ascii="Arial" w:hAnsi="Arial" w:cs="Arial"/>
          <w:sz w:val="22"/>
          <w:szCs w:val="22"/>
          <w:lang w:val="en-AU"/>
        </w:rPr>
      </w:pPr>
      <w:proofErr w:type="spellStart"/>
      <w:r w:rsidRPr="002742BE">
        <w:rPr>
          <w:rFonts w:ascii="Arial" w:hAnsi="Arial" w:cs="Arial"/>
          <w:sz w:val="22"/>
          <w:szCs w:val="22"/>
          <w:lang w:val="en-AU"/>
        </w:rPr>
        <w:t>Rivaroxaban</w:t>
      </w:r>
      <w:proofErr w:type="spellEnd"/>
      <w:r w:rsidRPr="002742BE">
        <w:rPr>
          <w:sz w:val="22"/>
          <w:szCs w:val="22"/>
          <w:lang w:val="en-AU"/>
        </w:rPr>
        <w:t xml:space="preserve"> </w:t>
      </w:r>
      <w:r w:rsidRPr="002742BE">
        <w:rPr>
          <w:rFonts w:ascii="Arial" w:hAnsi="Arial" w:cs="Arial"/>
          <w:sz w:val="22"/>
          <w:szCs w:val="22"/>
          <w:lang w:val="en-AU"/>
        </w:rPr>
        <w:t>is</w:t>
      </w:r>
      <w:r w:rsidRPr="002742BE">
        <w:rPr>
          <w:sz w:val="22"/>
          <w:szCs w:val="22"/>
          <w:lang w:val="en-AU"/>
        </w:rPr>
        <w:t xml:space="preserve"> </w:t>
      </w:r>
      <w:r w:rsidRPr="002742BE">
        <w:rPr>
          <w:rFonts w:ascii="Arial" w:hAnsi="Arial" w:cs="Arial"/>
          <w:sz w:val="22"/>
          <w:szCs w:val="22"/>
          <w:lang w:val="en-AU"/>
        </w:rPr>
        <w:t>5</w:t>
      </w:r>
      <w:r w:rsidRPr="002742BE">
        <w:rPr>
          <w:rFonts w:ascii="Arial" w:hAnsi="Arial" w:cs="Arial"/>
          <w:sz w:val="22"/>
          <w:szCs w:val="22"/>
          <w:lang w:val="en-AU"/>
        </w:rPr>
        <w:noBreakHyphen/>
        <w:t>Chloro</w:t>
      </w:r>
      <w:r w:rsidRPr="002742BE">
        <w:rPr>
          <w:rFonts w:ascii="Arial" w:hAnsi="Arial" w:cs="Arial"/>
          <w:sz w:val="22"/>
          <w:szCs w:val="22"/>
          <w:lang w:val="en-AU"/>
        </w:rPr>
        <w:noBreakHyphen/>
        <w:t>N</w:t>
      </w:r>
      <w:proofErr w:type="gramStart"/>
      <w:r w:rsidRPr="002742BE">
        <w:rPr>
          <w:rFonts w:ascii="Arial" w:hAnsi="Arial" w:cs="Arial"/>
          <w:sz w:val="22"/>
          <w:szCs w:val="22"/>
          <w:lang w:val="en-AU"/>
        </w:rPr>
        <w:noBreakHyphen/>
        <w:t>(</w:t>
      </w:r>
      <w:proofErr w:type="gramEnd"/>
      <w:r w:rsidRPr="002742BE">
        <w:rPr>
          <w:rFonts w:ascii="Arial" w:hAnsi="Arial" w:cs="Arial"/>
          <w:sz w:val="22"/>
          <w:szCs w:val="22"/>
          <w:lang w:val="en-AU"/>
        </w:rPr>
        <w:t>{(5</w:t>
      </w:r>
      <w:r w:rsidRPr="002742BE">
        <w:rPr>
          <w:rFonts w:ascii="Arial" w:hAnsi="Arial" w:cs="Arial"/>
          <w:i/>
          <w:sz w:val="22"/>
          <w:szCs w:val="22"/>
          <w:lang w:val="en-AU"/>
        </w:rPr>
        <w:t>S</w:t>
      </w:r>
      <w:r w:rsidRPr="002742BE">
        <w:rPr>
          <w:rFonts w:ascii="Arial" w:hAnsi="Arial" w:cs="Arial"/>
          <w:sz w:val="22"/>
          <w:szCs w:val="22"/>
          <w:lang w:val="en-AU"/>
        </w:rPr>
        <w:t>)</w:t>
      </w:r>
      <w:r w:rsidRPr="002742BE">
        <w:rPr>
          <w:rFonts w:ascii="Arial" w:hAnsi="Arial" w:cs="Arial"/>
          <w:sz w:val="22"/>
          <w:szCs w:val="22"/>
          <w:lang w:val="en-AU"/>
        </w:rPr>
        <w:noBreakHyphen/>
        <w:t>2</w:t>
      </w:r>
      <w:r w:rsidRPr="002742BE">
        <w:rPr>
          <w:rFonts w:ascii="Arial" w:hAnsi="Arial" w:cs="Arial"/>
          <w:sz w:val="22"/>
          <w:szCs w:val="22"/>
          <w:lang w:val="en-AU"/>
        </w:rPr>
        <w:noBreakHyphen/>
        <w:t>oxo</w:t>
      </w:r>
      <w:r w:rsidRPr="002742BE">
        <w:rPr>
          <w:rFonts w:ascii="Arial" w:hAnsi="Arial" w:cs="Arial"/>
          <w:sz w:val="22"/>
          <w:szCs w:val="22"/>
          <w:lang w:val="en-AU"/>
        </w:rPr>
        <w:noBreakHyphen/>
        <w:t>3</w:t>
      </w:r>
      <w:r w:rsidRPr="002742BE">
        <w:rPr>
          <w:rFonts w:ascii="Arial" w:hAnsi="Arial" w:cs="Arial"/>
          <w:sz w:val="22"/>
          <w:szCs w:val="22"/>
          <w:lang w:val="en-AU"/>
        </w:rPr>
        <w:noBreakHyphen/>
        <w:t>[4</w:t>
      </w:r>
      <w:r w:rsidRPr="002742BE">
        <w:rPr>
          <w:rFonts w:ascii="Arial" w:hAnsi="Arial" w:cs="Arial"/>
          <w:sz w:val="22"/>
          <w:szCs w:val="22"/>
          <w:lang w:val="en-AU"/>
        </w:rPr>
        <w:noBreakHyphen/>
        <w:t>(3</w:t>
      </w:r>
      <w:r w:rsidRPr="002742BE">
        <w:rPr>
          <w:rFonts w:ascii="Arial" w:hAnsi="Arial" w:cs="Arial"/>
          <w:sz w:val="22"/>
          <w:szCs w:val="22"/>
          <w:lang w:val="en-AU"/>
        </w:rPr>
        <w:noBreakHyphen/>
        <w:t>oxo</w:t>
      </w:r>
      <w:r w:rsidRPr="002742BE">
        <w:rPr>
          <w:rFonts w:ascii="Arial" w:hAnsi="Arial" w:cs="Arial"/>
          <w:sz w:val="22"/>
          <w:szCs w:val="22"/>
          <w:lang w:val="en-AU"/>
        </w:rPr>
        <w:noBreakHyphen/>
        <w:t>4</w:t>
      </w:r>
      <w:r w:rsidRPr="002742BE">
        <w:rPr>
          <w:rFonts w:ascii="Arial" w:hAnsi="Arial" w:cs="Arial"/>
          <w:sz w:val="22"/>
          <w:szCs w:val="22"/>
          <w:lang w:val="en-AU"/>
        </w:rPr>
        <w:noBreakHyphen/>
        <w:t>morpholinyl)phenyl]-1,3-oxazolidin-5-yl}methyl)</w:t>
      </w:r>
      <w:r w:rsidRPr="002742BE">
        <w:rPr>
          <w:rFonts w:ascii="Arial" w:hAnsi="Arial" w:cs="Arial"/>
          <w:sz w:val="22"/>
          <w:szCs w:val="22"/>
          <w:lang w:val="en-AU"/>
        </w:rPr>
        <w:noBreakHyphen/>
        <w:t>2</w:t>
      </w:r>
      <w:r w:rsidRPr="002742BE">
        <w:rPr>
          <w:rFonts w:ascii="Arial" w:hAnsi="Arial" w:cs="Arial"/>
          <w:sz w:val="22"/>
          <w:szCs w:val="22"/>
          <w:lang w:val="en-AU"/>
        </w:rPr>
        <w:noBreakHyphen/>
        <w:t>thiophene-carboxamide. The empirical formula is C</w:t>
      </w:r>
      <w:r w:rsidRPr="002742BE">
        <w:rPr>
          <w:rStyle w:val="BayerSubscriptChar"/>
          <w:rFonts w:ascii="Arial" w:hAnsi="Arial" w:cs="Arial"/>
          <w:sz w:val="22"/>
          <w:szCs w:val="22"/>
          <w:lang w:val="en-AU"/>
        </w:rPr>
        <w:t>19</w:t>
      </w:r>
      <w:r w:rsidRPr="002742BE">
        <w:rPr>
          <w:rFonts w:ascii="Arial" w:hAnsi="Arial" w:cs="Arial"/>
          <w:sz w:val="22"/>
          <w:szCs w:val="22"/>
          <w:lang w:val="en-AU"/>
        </w:rPr>
        <w:t>H</w:t>
      </w:r>
      <w:r w:rsidRPr="002742BE">
        <w:rPr>
          <w:rStyle w:val="BayerSubscriptChar"/>
          <w:rFonts w:ascii="Arial" w:hAnsi="Arial" w:cs="Arial"/>
          <w:sz w:val="22"/>
          <w:szCs w:val="22"/>
          <w:lang w:val="en-AU"/>
        </w:rPr>
        <w:t>18</w:t>
      </w:r>
      <w:r w:rsidRPr="002742BE">
        <w:rPr>
          <w:rFonts w:ascii="Arial" w:hAnsi="Arial" w:cs="Arial"/>
          <w:sz w:val="22"/>
          <w:szCs w:val="22"/>
          <w:lang w:val="en-AU"/>
        </w:rPr>
        <w:t>ClN</w:t>
      </w:r>
      <w:r w:rsidRPr="002742BE">
        <w:rPr>
          <w:rStyle w:val="BayerSubscriptChar"/>
          <w:rFonts w:ascii="Arial" w:hAnsi="Arial" w:cs="Arial"/>
          <w:sz w:val="22"/>
          <w:szCs w:val="22"/>
          <w:lang w:val="en-AU"/>
        </w:rPr>
        <w:t>3</w:t>
      </w:r>
      <w:r w:rsidRPr="002742BE">
        <w:rPr>
          <w:rFonts w:ascii="Arial" w:hAnsi="Arial" w:cs="Arial"/>
          <w:sz w:val="22"/>
          <w:szCs w:val="22"/>
          <w:lang w:val="en-AU"/>
        </w:rPr>
        <w:t>O</w:t>
      </w:r>
      <w:r w:rsidRPr="002742BE">
        <w:rPr>
          <w:rStyle w:val="BayerSubscriptChar"/>
          <w:rFonts w:ascii="Arial" w:hAnsi="Arial" w:cs="Arial"/>
          <w:sz w:val="22"/>
          <w:szCs w:val="22"/>
          <w:lang w:val="en-AU"/>
        </w:rPr>
        <w:t>5</w:t>
      </w:r>
      <w:r w:rsidRPr="002742BE">
        <w:rPr>
          <w:rFonts w:ascii="Arial" w:hAnsi="Arial" w:cs="Arial"/>
          <w:sz w:val="22"/>
          <w:szCs w:val="22"/>
          <w:lang w:val="en-AU"/>
        </w:rPr>
        <w:t xml:space="preserve">S, molecular weight is </w:t>
      </w:r>
      <w:r w:rsidRPr="002742BE">
        <w:rPr>
          <w:rFonts w:ascii="Arial" w:hAnsi="Arial" w:cs="Arial"/>
          <w:spacing w:val="-3"/>
          <w:sz w:val="22"/>
          <w:szCs w:val="22"/>
          <w:lang w:val="en-AU"/>
        </w:rPr>
        <w:t>435.89 g / mole and CAS number is</w:t>
      </w:r>
      <w:r w:rsidRPr="002742BE">
        <w:rPr>
          <w:rFonts w:ascii="Arial" w:hAnsi="Arial" w:cs="Arial"/>
          <w:sz w:val="22"/>
          <w:szCs w:val="22"/>
          <w:lang w:val="en-AU"/>
        </w:rPr>
        <w:t xml:space="preserve"> 366789</w:t>
      </w:r>
      <w:r w:rsidRPr="002742BE">
        <w:rPr>
          <w:rFonts w:ascii="Arial" w:hAnsi="Arial" w:cs="Arial"/>
          <w:sz w:val="22"/>
          <w:szCs w:val="22"/>
          <w:lang w:val="en-AU"/>
        </w:rPr>
        <w:noBreakHyphen/>
        <w:t>02</w:t>
      </w:r>
      <w:r w:rsidRPr="002742BE">
        <w:rPr>
          <w:rFonts w:ascii="Arial" w:hAnsi="Arial" w:cs="Arial"/>
          <w:sz w:val="22"/>
          <w:szCs w:val="22"/>
          <w:lang w:val="en-AU"/>
        </w:rPr>
        <w:noBreakHyphen/>
        <w:t>8.</w:t>
      </w:r>
    </w:p>
    <w:p w:rsidR="001D1004" w:rsidRPr="002742BE" w:rsidRDefault="001D1004" w:rsidP="00F04C47">
      <w:pPr>
        <w:spacing w:before="120" w:after="240"/>
        <w:ind w:right="46"/>
        <w:jc w:val="both"/>
        <w:rPr>
          <w:rFonts w:ascii="Arial" w:hAnsi="Arial" w:cs="Arial"/>
          <w:sz w:val="22"/>
          <w:szCs w:val="22"/>
          <w:lang w:val="en-AU"/>
        </w:rPr>
      </w:pPr>
      <w:proofErr w:type="spellStart"/>
      <w:r w:rsidRPr="002742BE">
        <w:rPr>
          <w:rFonts w:ascii="Arial" w:hAnsi="Arial" w:cs="Arial"/>
          <w:sz w:val="22"/>
          <w:szCs w:val="22"/>
          <w:lang w:val="en-AU"/>
        </w:rPr>
        <w:t>Rivaroxaban</w:t>
      </w:r>
      <w:proofErr w:type="spellEnd"/>
      <w:r w:rsidRPr="002742BE">
        <w:rPr>
          <w:rFonts w:ascii="Arial" w:hAnsi="Arial" w:cs="Arial"/>
          <w:sz w:val="22"/>
          <w:szCs w:val="22"/>
          <w:lang w:val="en-AU"/>
        </w:rPr>
        <w:t xml:space="preserve"> has the following structural formula:</w:t>
      </w:r>
    </w:p>
    <w:p w:rsidR="001D1004" w:rsidRPr="002742BE" w:rsidRDefault="00F15C4D" w:rsidP="00F04C47">
      <w:pPr>
        <w:spacing w:before="120" w:after="240" w:line="300" w:lineRule="atLeast"/>
        <w:ind w:right="46"/>
        <w:jc w:val="both"/>
        <w:rPr>
          <w:lang w:val="en-AU"/>
        </w:rPr>
      </w:pPr>
      <w:r w:rsidRPr="002742BE">
        <w:rPr>
          <w:rFonts w:ascii="Arial" w:hAnsi="Arial" w:cs="Arial"/>
          <w:sz w:val="22"/>
          <w:szCs w:val="22"/>
          <w:lang w:val="en-AU"/>
        </w:rPr>
        <w:object w:dxaOrig="5730" w:dyaOrig="1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ructural formula of rivaroxaban" style="width:240pt;height:82.5pt" o:ole="">
            <v:imagedata r:id="rId8" o:title=""/>
          </v:shape>
          <o:OLEObject Type="Embed" ProgID="ISISServer" ShapeID="_x0000_i1025" DrawAspect="Content" ObjectID="_1444485308" r:id="rId9"/>
        </w:object>
      </w:r>
    </w:p>
    <w:p w:rsidR="001D1004" w:rsidRPr="002742BE" w:rsidRDefault="001D1004" w:rsidP="00F04C47">
      <w:pPr>
        <w:pStyle w:val="Heading1"/>
        <w:spacing w:before="120" w:line="240" w:lineRule="auto"/>
        <w:ind w:right="46"/>
        <w:rPr>
          <w:rFonts w:ascii="Arial" w:hAnsi="Arial" w:cs="Arial"/>
          <w:sz w:val="24"/>
          <w:szCs w:val="24"/>
        </w:rPr>
      </w:pPr>
      <w:r w:rsidRPr="002742BE">
        <w:rPr>
          <w:rFonts w:ascii="Arial" w:hAnsi="Arial" w:cs="Arial"/>
          <w:sz w:val="24"/>
          <w:szCs w:val="24"/>
        </w:rPr>
        <w:t>DESCRIPTION</w:t>
      </w:r>
    </w:p>
    <w:p w:rsidR="001D1004" w:rsidRPr="002742BE" w:rsidRDefault="001D1004" w:rsidP="00F04C47">
      <w:pPr>
        <w:keepNext/>
        <w:spacing w:before="120" w:after="240"/>
        <w:ind w:right="46"/>
        <w:jc w:val="both"/>
        <w:rPr>
          <w:rFonts w:ascii="Arial" w:hAnsi="Arial" w:cs="Arial"/>
          <w:sz w:val="22"/>
          <w:szCs w:val="22"/>
          <w:lang w:val="en-AU"/>
        </w:rPr>
      </w:pPr>
      <w:r w:rsidRPr="002742BE">
        <w:rPr>
          <w:rFonts w:ascii="Arial" w:hAnsi="Arial" w:cs="Arial"/>
          <w:sz w:val="22"/>
          <w:szCs w:val="22"/>
          <w:lang w:val="en-AU"/>
        </w:rPr>
        <w:t>Rivaroxaban is an odourless, non-hygroscopic white to yellowish powder. Rivaroxaban is practically insoluble in water and aqueous media in the pH range 1 to 9. An amount of approximately 5 - 7 mg/L rivaroxaban is pH-independently soluble in aqueous media at 25</w:t>
      </w:r>
      <w:r w:rsidR="005A5FB2">
        <w:rPr>
          <w:rFonts w:ascii="Arial" w:hAnsi="Arial" w:cs="Arial"/>
          <w:sz w:val="22"/>
          <w:szCs w:val="22"/>
          <w:lang w:val="en-AU"/>
        </w:rPr>
        <w:t xml:space="preserve"> </w:t>
      </w:r>
      <w:r w:rsidRPr="002742BE">
        <w:rPr>
          <w:rFonts w:ascii="Arial" w:hAnsi="Arial" w:cs="Arial"/>
          <w:sz w:val="22"/>
          <w:szCs w:val="22"/>
          <w:lang w:val="en-AU"/>
        </w:rPr>
        <w:t xml:space="preserve">ºC. Rivaroxaban is only slightly soluble in organic solvents (e.g. acetone, polyethylene glycol 400). </w:t>
      </w:r>
    </w:p>
    <w:p w:rsidR="001D1004" w:rsidRPr="002742BE" w:rsidRDefault="001D1004" w:rsidP="00F04C47">
      <w:pPr>
        <w:keepNext/>
        <w:spacing w:before="120" w:after="240"/>
        <w:ind w:right="46"/>
        <w:jc w:val="both"/>
        <w:rPr>
          <w:rFonts w:ascii="Arial" w:hAnsi="Arial" w:cs="Arial"/>
          <w:sz w:val="22"/>
          <w:szCs w:val="22"/>
          <w:lang w:val="en-AU"/>
        </w:rPr>
      </w:pPr>
      <w:r w:rsidRPr="002742BE">
        <w:rPr>
          <w:rFonts w:ascii="Arial" w:hAnsi="Arial" w:cs="Arial"/>
          <w:sz w:val="22"/>
          <w:szCs w:val="22"/>
          <w:lang w:val="en-AU"/>
        </w:rPr>
        <w:t>Each film-coated tablet contains 10 mg</w:t>
      </w:r>
      <w:r w:rsidR="00345714" w:rsidRPr="002742BE">
        <w:rPr>
          <w:rFonts w:ascii="Arial" w:hAnsi="Arial" w:cs="Arial"/>
          <w:sz w:val="22"/>
          <w:szCs w:val="22"/>
          <w:lang w:val="en-AU"/>
        </w:rPr>
        <w:t>, or 15 mg or 20 mg</w:t>
      </w:r>
      <w:r w:rsidRPr="002742BE">
        <w:rPr>
          <w:rFonts w:ascii="Arial" w:hAnsi="Arial" w:cs="Arial"/>
          <w:sz w:val="22"/>
          <w:szCs w:val="22"/>
          <w:lang w:val="en-AU"/>
        </w:rPr>
        <w:t xml:space="preserve"> of rivaroxaban. </w:t>
      </w:r>
    </w:p>
    <w:p w:rsidR="001D1004" w:rsidRPr="002742BE" w:rsidRDefault="001D1004" w:rsidP="00F04C47">
      <w:pPr>
        <w:keepNext/>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In addition, each </w:t>
      </w:r>
      <w:r w:rsidR="00E8487E" w:rsidRPr="002742BE">
        <w:rPr>
          <w:rFonts w:ascii="Arial" w:hAnsi="Arial" w:cs="Arial"/>
          <w:sz w:val="22"/>
          <w:szCs w:val="22"/>
          <w:lang w:val="en-AU"/>
        </w:rPr>
        <w:t xml:space="preserve">Xarelto </w:t>
      </w:r>
      <w:r w:rsidRPr="002742BE">
        <w:rPr>
          <w:rFonts w:ascii="Arial" w:hAnsi="Arial" w:cs="Arial"/>
          <w:sz w:val="22"/>
          <w:szCs w:val="22"/>
          <w:lang w:val="en-AU"/>
        </w:rPr>
        <w:t>tablet contains:</w:t>
      </w:r>
    </w:p>
    <w:p w:rsidR="001D1004" w:rsidRPr="002742BE" w:rsidRDefault="001D1004" w:rsidP="00F04C47">
      <w:pPr>
        <w:keepNext/>
        <w:spacing w:before="120" w:after="240"/>
        <w:ind w:right="46"/>
        <w:jc w:val="both"/>
        <w:rPr>
          <w:rFonts w:ascii="Arial" w:hAnsi="Arial" w:cs="Arial"/>
          <w:iCs/>
          <w:noProof/>
          <w:sz w:val="22"/>
          <w:szCs w:val="22"/>
          <w:lang w:val="en-AU"/>
        </w:rPr>
      </w:pPr>
      <w:r w:rsidRPr="002742BE">
        <w:rPr>
          <w:rFonts w:ascii="Arial" w:hAnsi="Arial" w:cs="Arial"/>
          <w:i/>
          <w:iCs/>
          <w:noProof/>
          <w:sz w:val="22"/>
          <w:szCs w:val="22"/>
          <w:lang w:val="en-AU"/>
        </w:rPr>
        <w:t xml:space="preserve">Tablet core: </w:t>
      </w:r>
      <w:r w:rsidRPr="002742BE">
        <w:rPr>
          <w:rFonts w:ascii="Arial" w:hAnsi="Arial" w:cs="Arial"/>
          <w:iCs/>
          <w:noProof/>
          <w:sz w:val="22"/>
          <w:szCs w:val="22"/>
          <w:lang w:val="en-AU"/>
        </w:rPr>
        <w:t>Microcrystalline cellulose, croscarmellose sodium, lactose, hypromellose, sodium lauryl sulfate, magnesium stearate.</w:t>
      </w:r>
    </w:p>
    <w:p w:rsidR="001D1004" w:rsidRPr="002742BE" w:rsidRDefault="001D1004" w:rsidP="00F04C47">
      <w:pPr>
        <w:keepNext/>
        <w:spacing w:before="120" w:after="240"/>
        <w:ind w:right="46"/>
        <w:jc w:val="both"/>
        <w:rPr>
          <w:rFonts w:ascii="Arial" w:hAnsi="Arial" w:cs="Arial"/>
          <w:iCs/>
          <w:noProof/>
          <w:sz w:val="22"/>
          <w:szCs w:val="22"/>
          <w:lang w:val="en-AU"/>
        </w:rPr>
      </w:pPr>
      <w:r w:rsidRPr="002742BE">
        <w:rPr>
          <w:rFonts w:ascii="Arial" w:hAnsi="Arial" w:cs="Arial"/>
          <w:i/>
          <w:iCs/>
          <w:noProof/>
          <w:sz w:val="22"/>
          <w:szCs w:val="22"/>
          <w:lang w:val="en-AU"/>
        </w:rPr>
        <w:t xml:space="preserve">Filmcoat: </w:t>
      </w:r>
      <w:r w:rsidRPr="002742BE">
        <w:rPr>
          <w:rFonts w:ascii="Arial" w:hAnsi="Arial" w:cs="Arial"/>
          <w:iCs/>
          <w:noProof/>
          <w:sz w:val="22"/>
          <w:szCs w:val="22"/>
          <w:lang w:val="en-AU"/>
        </w:rPr>
        <w:t>Macrogol 3350, hypromellose, titanium dioxide, iron oxide red.</w:t>
      </w:r>
    </w:p>
    <w:p w:rsidR="001D1004" w:rsidRPr="002742BE" w:rsidRDefault="001D1004" w:rsidP="00F04C47">
      <w:pPr>
        <w:pStyle w:val="Heading1"/>
        <w:spacing w:before="120" w:line="240" w:lineRule="auto"/>
        <w:ind w:right="46"/>
        <w:rPr>
          <w:rFonts w:ascii="Arial" w:hAnsi="Arial" w:cs="Arial"/>
          <w:sz w:val="24"/>
          <w:szCs w:val="24"/>
        </w:rPr>
      </w:pPr>
      <w:r w:rsidRPr="002742BE">
        <w:rPr>
          <w:rFonts w:ascii="Arial" w:hAnsi="Arial" w:cs="Arial"/>
          <w:sz w:val="24"/>
          <w:szCs w:val="24"/>
        </w:rPr>
        <w:t>PHARMACOLOGY</w:t>
      </w:r>
    </w:p>
    <w:p w:rsidR="001D1004" w:rsidRPr="002742BE" w:rsidRDefault="001D1004" w:rsidP="00F04C47">
      <w:pPr>
        <w:keepNext/>
        <w:spacing w:before="120" w:after="240"/>
        <w:ind w:right="46"/>
        <w:jc w:val="both"/>
        <w:rPr>
          <w:rFonts w:ascii="Arial" w:hAnsi="Arial" w:cs="Arial"/>
          <w:b/>
          <w:bCs/>
          <w:noProof/>
          <w:lang w:val="en-AU"/>
        </w:rPr>
      </w:pPr>
      <w:r w:rsidRPr="002742BE">
        <w:rPr>
          <w:rFonts w:ascii="Arial" w:hAnsi="Arial" w:cs="Arial"/>
          <w:b/>
          <w:bCs/>
          <w:noProof/>
          <w:lang w:val="en-AU"/>
        </w:rPr>
        <w:t>Pharmacodynamic properties</w:t>
      </w:r>
    </w:p>
    <w:p w:rsidR="001D1004" w:rsidRPr="002742BE" w:rsidRDefault="001D1004" w:rsidP="00F04C47">
      <w:pPr>
        <w:spacing w:before="120" w:after="240"/>
        <w:ind w:right="46"/>
        <w:jc w:val="both"/>
        <w:rPr>
          <w:rFonts w:ascii="Arial" w:hAnsi="Arial" w:cs="Arial"/>
          <w:noProof/>
          <w:sz w:val="22"/>
          <w:szCs w:val="22"/>
          <w:lang w:val="en-AU"/>
        </w:rPr>
      </w:pPr>
      <w:r w:rsidRPr="002742BE">
        <w:rPr>
          <w:rFonts w:ascii="Arial" w:hAnsi="Arial" w:cs="Arial"/>
          <w:noProof/>
          <w:sz w:val="22"/>
          <w:szCs w:val="22"/>
          <w:lang w:val="en-AU"/>
        </w:rPr>
        <w:t>Pharmacotherapeutic group: Antithrombotic agent</w:t>
      </w:r>
    </w:p>
    <w:p w:rsidR="001D1004" w:rsidRPr="002742BE" w:rsidRDefault="001D1004" w:rsidP="00F04C47">
      <w:pPr>
        <w:keepNext/>
        <w:spacing w:before="120" w:after="240"/>
        <w:ind w:right="46"/>
        <w:jc w:val="both"/>
        <w:rPr>
          <w:rFonts w:ascii="Arial" w:hAnsi="Arial" w:cs="Arial"/>
          <w:bCs/>
          <w:i/>
          <w:noProof/>
          <w:sz w:val="22"/>
          <w:szCs w:val="22"/>
          <w:lang w:val="en-AU"/>
        </w:rPr>
      </w:pPr>
      <w:r w:rsidRPr="002742BE">
        <w:rPr>
          <w:rFonts w:ascii="Arial" w:hAnsi="Arial" w:cs="Arial"/>
          <w:bCs/>
          <w:i/>
          <w:noProof/>
          <w:sz w:val="22"/>
          <w:szCs w:val="22"/>
          <w:lang w:val="en-AU"/>
        </w:rPr>
        <w:t>Mechanism of Action</w:t>
      </w:r>
    </w:p>
    <w:p w:rsidR="001D1004" w:rsidRPr="002742BE" w:rsidRDefault="001D1004" w:rsidP="00F04C47">
      <w:pPr>
        <w:keepNext/>
        <w:spacing w:before="120" w:after="240"/>
        <w:ind w:right="46"/>
        <w:jc w:val="both"/>
        <w:rPr>
          <w:rFonts w:ascii="Arial" w:hAnsi="Arial" w:cs="Arial"/>
          <w:noProof/>
          <w:sz w:val="22"/>
          <w:szCs w:val="22"/>
          <w:lang w:val="en-AU"/>
        </w:rPr>
      </w:pPr>
      <w:r w:rsidRPr="002742BE">
        <w:rPr>
          <w:rFonts w:ascii="Arial" w:hAnsi="Arial" w:cs="Arial"/>
          <w:noProof/>
          <w:sz w:val="22"/>
          <w:szCs w:val="22"/>
          <w:lang w:val="en-AU"/>
        </w:rPr>
        <w:t>Rivaroxaban is a highly selective direct Factor Xa inhibitor with oral bioavailability.</w:t>
      </w:r>
    </w:p>
    <w:p w:rsidR="001D1004" w:rsidRPr="002742BE" w:rsidRDefault="001D1004" w:rsidP="00F04C47">
      <w:pPr>
        <w:tabs>
          <w:tab w:val="left" w:pos="8640"/>
        </w:tabs>
        <w:spacing w:before="120" w:after="240"/>
        <w:ind w:right="46"/>
        <w:jc w:val="both"/>
        <w:rPr>
          <w:rFonts w:ascii="Arial" w:hAnsi="Arial" w:cs="Arial"/>
          <w:noProof/>
          <w:sz w:val="22"/>
          <w:szCs w:val="22"/>
          <w:lang w:val="en-AU"/>
        </w:rPr>
      </w:pPr>
      <w:r w:rsidRPr="002742BE">
        <w:rPr>
          <w:rFonts w:ascii="Arial" w:hAnsi="Arial" w:cs="Arial"/>
          <w:noProof/>
          <w:sz w:val="22"/>
          <w:szCs w:val="22"/>
          <w:lang w:val="en-AU"/>
        </w:rPr>
        <w:t xml:space="preserve">Activation of Factor X to Factor Xa (FXa) via the intrinsic and extrinsic pathway plays a central role in the cascade of blood coagulation. FXa directly converts prothrombin to thrombin through the prothrombinase complex, and ultimately, this reaction leads to fibrin clot formation and activation of platelets by thrombin. One molecule of FXa is able to </w:t>
      </w:r>
      <w:r w:rsidRPr="002742BE">
        <w:rPr>
          <w:rFonts w:ascii="Arial" w:hAnsi="Arial" w:cs="Arial"/>
          <w:noProof/>
          <w:sz w:val="22"/>
          <w:szCs w:val="22"/>
          <w:lang w:val="en-AU"/>
        </w:rPr>
        <w:lastRenderedPageBreak/>
        <w:t>generate more than 1000 molecules of thrombin due to the amplification nature of the coagulation cascade. In addition, the reaction rate of prothrombinase-bound FXa increases 300,000-fold compared to that of free FXa and causes an explosive burst of thrombin generation. Selective inhibitors of FXa can terminate the amplified burst of thrombin generation. Consequently, several specific and global clotting tests are affected by rivaroxaban. Dose dependent inhibition of Factor Xa activity was observed in humans.</w:t>
      </w:r>
    </w:p>
    <w:p w:rsidR="001D1004" w:rsidRPr="002742BE" w:rsidRDefault="001D1004" w:rsidP="00F04C47">
      <w:pPr>
        <w:pStyle w:val="Default"/>
        <w:keepNext/>
        <w:widowControl/>
        <w:spacing w:before="120" w:after="240"/>
        <w:ind w:right="46"/>
        <w:jc w:val="both"/>
        <w:rPr>
          <w:rFonts w:ascii="Arial" w:hAnsi="Arial" w:cs="Arial"/>
          <w:i/>
          <w:sz w:val="22"/>
          <w:szCs w:val="22"/>
          <w:lang w:val="en-AU"/>
        </w:rPr>
      </w:pPr>
      <w:r w:rsidRPr="002742BE">
        <w:rPr>
          <w:rFonts w:ascii="Arial" w:hAnsi="Arial" w:cs="Arial"/>
          <w:i/>
          <w:sz w:val="22"/>
          <w:szCs w:val="22"/>
          <w:lang w:val="en-AU"/>
        </w:rPr>
        <w:t>Pharmacodynamic effects</w:t>
      </w:r>
    </w:p>
    <w:p w:rsidR="001D1004" w:rsidRPr="002742BE" w:rsidRDefault="00E5317E" w:rsidP="00F04C47">
      <w:pPr>
        <w:pStyle w:val="Default"/>
        <w:widowControl/>
        <w:tabs>
          <w:tab w:val="left" w:pos="8640"/>
        </w:tabs>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Dose dependent inhibition of Factor Xa activity was observed in humans. </w:t>
      </w:r>
      <w:r w:rsidR="001D1004" w:rsidRPr="002742BE">
        <w:rPr>
          <w:rFonts w:ascii="Arial" w:hAnsi="Arial" w:cs="Arial"/>
          <w:sz w:val="22"/>
          <w:szCs w:val="22"/>
          <w:lang w:val="en-AU"/>
        </w:rPr>
        <w:t>Prothrombin time (PT) is influenced by rivaroxaban in a dose dependent way with a close correlation to plasma concentrations (r value equals 0.98) if Neoplastin</w:t>
      </w:r>
      <w:r w:rsidR="001D1004" w:rsidRPr="002742BE">
        <w:rPr>
          <w:rFonts w:ascii="Arial" w:hAnsi="Arial" w:cs="Arial"/>
          <w:sz w:val="22"/>
          <w:szCs w:val="22"/>
          <w:vertAlign w:val="superscript"/>
          <w:lang w:val="en-AU"/>
        </w:rPr>
        <w:t>®</w:t>
      </w:r>
      <w:r w:rsidR="001D1004" w:rsidRPr="002742BE">
        <w:rPr>
          <w:rFonts w:ascii="Arial" w:hAnsi="Arial" w:cs="Arial"/>
          <w:sz w:val="22"/>
          <w:szCs w:val="22"/>
          <w:lang w:val="en-AU"/>
        </w:rPr>
        <w:t xml:space="preserve"> is used for the assay. Other reagents would provide different results. The readout for PT is to be done in seconds, because the INR (International Normali</w:t>
      </w:r>
      <w:r w:rsidR="00914F70" w:rsidRPr="002742BE">
        <w:rPr>
          <w:rFonts w:ascii="Arial" w:hAnsi="Arial" w:cs="Arial"/>
          <w:sz w:val="22"/>
          <w:szCs w:val="22"/>
          <w:lang w:val="en-AU"/>
        </w:rPr>
        <w:t>s</w:t>
      </w:r>
      <w:r w:rsidR="001D1004" w:rsidRPr="002742BE">
        <w:rPr>
          <w:rFonts w:ascii="Arial" w:hAnsi="Arial" w:cs="Arial"/>
          <w:sz w:val="22"/>
          <w:szCs w:val="22"/>
          <w:lang w:val="en-AU"/>
        </w:rPr>
        <w:t>ed Ratio) is only calibrated and validated for coumarins and cannot be used for any other anticoagulant</w:t>
      </w:r>
    </w:p>
    <w:p w:rsidR="00C62964" w:rsidRPr="002742BE" w:rsidRDefault="00475346" w:rsidP="00475346">
      <w:pPr>
        <w:pStyle w:val="Caption"/>
        <w:rPr>
          <w:rFonts w:ascii="Arial" w:hAnsi="Arial" w:cs="Arial"/>
          <w:lang w:val="en-AU"/>
        </w:rPr>
      </w:pPr>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1</w:t>
      </w:r>
      <w:r w:rsidR="00794C79" w:rsidRPr="002742BE">
        <w:rPr>
          <w:rFonts w:ascii="Arial" w:hAnsi="Arial" w:cs="Arial"/>
          <w:lang w:val="en-AU"/>
        </w:rPr>
        <w:fldChar w:fldCharType="end"/>
      </w:r>
      <w:r w:rsidR="00EF63EC" w:rsidRPr="002742BE">
        <w:rPr>
          <w:rFonts w:ascii="Arial" w:hAnsi="Arial" w:cs="Arial"/>
          <w:lang w:val="en-AU"/>
        </w:rPr>
        <w:t>:</w:t>
      </w:r>
      <w:r w:rsidR="00C62964" w:rsidRPr="002742BE">
        <w:rPr>
          <w:rFonts w:ascii="Arial" w:hAnsi="Arial" w:cs="Arial"/>
          <w:lang w:val="en-AU"/>
        </w:rPr>
        <w:t xml:space="preserve"> 5/9</w:t>
      </w:r>
      <w:r w:rsidR="00704E79" w:rsidRPr="002742BE">
        <w:rPr>
          <w:rFonts w:ascii="Arial" w:hAnsi="Arial" w:cs="Arial"/>
          <w:lang w:val="en-AU"/>
        </w:rPr>
        <w:t>5 percentiles for PT</w:t>
      </w:r>
      <w:r w:rsidR="00C62964" w:rsidRPr="002742BE">
        <w:rPr>
          <w:rFonts w:ascii="Arial" w:hAnsi="Arial" w:cs="Arial"/>
          <w:lang w:val="en-AU"/>
        </w:rPr>
        <w:t xml:space="preserve"> (Neoplastin</w:t>
      </w:r>
      <w:r w:rsidR="00C62964" w:rsidRPr="002742BE">
        <w:rPr>
          <w:rFonts w:ascii="Arial Bold" w:hAnsi="Arial Bold" w:cs="Arial"/>
          <w:vertAlign w:val="superscript"/>
          <w:lang w:val="en-AU"/>
        </w:rPr>
        <w:t>®</w:t>
      </w:r>
      <w:r w:rsidR="00C62964" w:rsidRPr="002742BE">
        <w:rPr>
          <w:rFonts w:ascii="Arial" w:hAnsi="Arial" w:cs="Arial"/>
          <w:lang w:val="en-AU"/>
        </w:rPr>
        <w:t>) after tablet intake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800"/>
        <w:gridCol w:w="1080"/>
        <w:gridCol w:w="1080"/>
        <w:gridCol w:w="1080"/>
        <w:gridCol w:w="1180"/>
      </w:tblGrid>
      <w:tr w:rsidR="00C62964" w:rsidRPr="002742BE" w:rsidTr="00834736">
        <w:trPr>
          <w:trHeight w:val="1072"/>
        </w:trPr>
        <w:tc>
          <w:tcPr>
            <w:tcW w:w="2552"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jc w:val="both"/>
              <w:rPr>
                <w:rFonts w:ascii="Arial" w:hAnsi="Arial" w:cs="Arial"/>
                <w:sz w:val="18"/>
                <w:szCs w:val="18"/>
                <w:lang w:val="en-AU"/>
              </w:rPr>
            </w:pPr>
          </w:p>
        </w:tc>
        <w:tc>
          <w:tcPr>
            <w:tcW w:w="180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rPr>
                <w:rFonts w:ascii="Arial" w:hAnsi="Arial" w:cs="Arial"/>
                <w:sz w:val="18"/>
                <w:szCs w:val="18"/>
                <w:lang w:val="en-AU"/>
              </w:rPr>
            </w:pPr>
            <w:r w:rsidRPr="002742BE">
              <w:rPr>
                <w:rFonts w:ascii="Arial" w:hAnsi="Arial" w:cs="Arial"/>
                <w:sz w:val="18"/>
                <w:szCs w:val="18"/>
                <w:lang w:val="en-AU"/>
              </w:rPr>
              <w:t>VTE Prevention in total hip and knee replacement</w:t>
            </w:r>
          </w:p>
        </w:tc>
        <w:tc>
          <w:tcPr>
            <w:tcW w:w="2160" w:type="dxa"/>
            <w:gridSpan w:val="2"/>
            <w:shd w:val="clear" w:color="auto" w:fill="auto"/>
          </w:tcPr>
          <w:p w:rsidR="00C62964" w:rsidRPr="002742BE" w:rsidRDefault="00C62964" w:rsidP="00834736">
            <w:pPr>
              <w:pStyle w:val="Default"/>
              <w:widowControl/>
              <w:spacing w:before="120" w:after="240" w:line="300" w:lineRule="atLeast"/>
              <w:ind w:right="46"/>
              <w:rPr>
                <w:rFonts w:ascii="Arial" w:hAnsi="Arial" w:cs="Arial"/>
                <w:sz w:val="18"/>
                <w:szCs w:val="18"/>
                <w:lang w:val="en-AU"/>
              </w:rPr>
            </w:pPr>
            <w:r w:rsidRPr="002742BE">
              <w:rPr>
                <w:rFonts w:ascii="Arial" w:hAnsi="Arial" w:cs="Arial"/>
                <w:sz w:val="18"/>
                <w:szCs w:val="18"/>
                <w:lang w:val="en-AU"/>
              </w:rPr>
              <w:t>DVT Treatment and prevention of recurrent DVT and PE*</w:t>
            </w:r>
          </w:p>
        </w:tc>
        <w:tc>
          <w:tcPr>
            <w:tcW w:w="2260" w:type="dxa"/>
            <w:gridSpan w:val="2"/>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rPr>
                <w:rFonts w:ascii="Arial" w:hAnsi="Arial" w:cs="Arial"/>
                <w:sz w:val="18"/>
                <w:szCs w:val="18"/>
                <w:lang w:val="en-AU"/>
              </w:rPr>
            </w:pPr>
            <w:r w:rsidRPr="002742BE">
              <w:rPr>
                <w:rFonts w:ascii="Arial" w:hAnsi="Arial" w:cs="Arial"/>
                <w:sz w:val="18"/>
                <w:szCs w:val="18"/>
                <w:lang w:val="en-AU"/>
              </w:rPr>
              <w:t>Stroke Prevention in Atrial Fibrillation</w:t>
            </w:r>
          </w:p>
        </w:tc>
      </w:tr>
      <w:tr w:rsidR="00C62964" w:rsidRPr="002742BE" w:rsidTr="00834736">
        <w:tc>
          <w:tcPr>
            <w:tcW w:w="2552"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rPr>
                <w:rFonts w:ascii="Arial" w:hAnsi="Arial" w:cs="Arial"/>
                <w:sz w:val="18"/>
                <w:szCs w:val="18"/>
                <w:lang w:val="en-AU"/>
              </w:rPr>
            </w:pPr>
            <w:r w:rsidRPr="002742BE">
              <w:rPr>
                <w:rFonts w:ascii="Arial" w:hAnsi="Arial" w:cs="Arial"/>
                <w:sz w:val="18"/>
                <w:szCs w:val="18"/>
                <w:lang w:val="en-AU"/>
              </w:rPr>
              <w:t>Dosage</w:t>
            </w:r>
          </w:p>
        </w:tc>
        <w:tc>
          <w:tcPr>
            <w:tcW w:w="180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jc w:val="both"/>
              <w:rPr>
                <w:rFonts w:ascii="Arial" w:hAnsi="Arial" w:cs="Arial"/>
                <w:sz w:val="18"/>
                <w:szCs w:val="18"/>
                <w:lang w:val="en-AU"/>
              </w:rPr>
            </w:pPr>
            <w:r w:rsidRPr="002742BE">
              <w:rPr>
                <w:rFonts w:ascii="Arial" w:hAnsi="Arial" w:cs="Arial"/>
                <w:sz w:val="18"/>
                <w:szCs w:val="18"/>
                <w:lang w:val="en-AU"/>
              </w:rPr>
              <w:t>10 mg</w:t>
            </w:r>
          </w:p>
        </w:tc>
        <w:tc>
          <w:tcPr>
            <w:tcW w:w="108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rPr>
                <w:rFonts w:ascii="Arial" w:hAnsi="Arial" w:cs="Arial"/>
                <w:sz w:val="18"/>
                <w:szCs w:val="18"/>
                <w:lang w:val="en-AU"/>
              </w:rPr>
            </w:pPr>
            <w:r w:rsidRPr="002742BE">
              <w:rPr>
                <w:rFonts w:ascii="Arial" w:hAnsi="Arial" w:cs="Arial"/>
                <w:sz w:val="18"/>
                <w:szCs w:val="18"/>
                <w:lang w:val="en-AU"/>
              </w:rPr>
              <w:t>15 mg bid</w:t>
            </w:r>
          </w:p>
        </w:tc>
        <w:tc>
          <w:tcPr>
            <w:tcW w:w="108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rPr>
                <w:rFonts w:ascii="Arial" w:hAnsi="Arial" w:cs="Arial"/>
                <w:sz w:val="18"/>
                <w:szCs w:val="18"/>
                <w:lang w:val="en-AU"/>
              </w:rPr>
            </w:pPr>
            <w:r w:rsidRPr="002742BE">
              <w:rPr>
                <w:rFonts w:ascii="Arial" w:hAnsi="Arial" w:cs="Arial"/>
                <w:sz w:val="18"/>
                <w:szCs w:val="18"/>
                <w:lang w:val="en-AU"/>
              </w:rPr>
              <w:t>20 mg od</w:t>
            </w:r>
          </w:p>
        </w:tc>
        <w:tc>
          <w:tcPr>
            <w:tcW w:w="108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rPr>
                <w:rFonts w:ascii="Arial" w:hAnsi="Arial" w:cs="Arial"/>
                <w:sz w:val="18"/>
                <w:szCs w:val="18"/>
                <w:lang w:val="en-AU"/>
              </w:rPr>
            </w:pPr>
            <w:r w:rsidRPr="002742BE">
              <w:rPr>
                <w:rFonts w:ascii="Arial" w:hAnsi="Arial" w:cs="Arial"/>
                <w:sz w:val="18"/>
                <w:szCs w:val="18"/>
                <w:lang w:val="en-AU"/>
              </w:rPr>
              <w:t>15 mg od</w:t>
            </w:r>
          </w:p>
        </w:tc>
        <w:tc>
          <w:tcPr>
            <w:tcW w:w="118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rPr>
                <w:rFonts w:ascii="Arial" w:hAnsi="Arial" w:cs="Arial"/>
                <w:sz w:val="18"/>
                <w:szCs w:val="18"/>
                <w:lang w:val="en-AU"/>
              </w:rPr>
            </w:pPr>
            <w:r w:rsidRPr="002742BE">
              <w:rPr>
                <w:rFonts w:ascii="Arial" w:hAnsi="Arial" w:cs="Arial"/>
                <w:sz w:val="18"/>
                <w:szCs w:val="18"/>
                <w:lang w:val="en-AU"/>
              </w:rPr>
              <w:t>20 mg od</w:t>
            </w:r>
          </w:p>
        </w:tc>
      </w:tr>
      <w:tr w:rsidR="00C62964" w:rsidRPr="002742BE" w:rsidTr="00834736">
        <w:tc>
          <w:tcPr>
            <w:tcW w:w="2552"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rPr>
                <w:rFonts w:ascii="Arial" w:hAnsi="Arial" w:cs="Arial"/>
                <w:sz w:val="18"/>
                <w:szCs w:val="18"/>
                <w:lang w:val="en-AU"/>
              </w:rPr>
            </w:pPr>
            <w:r w:rsidRPr="002742BE">
              <w:rPr>
                <w:rFonts w:ascii="Arial" w:hAnsi="Arial" w:cs="Arial"/>
                <w:sz w:val="18"/>
                <w:szCs w:val="18"/>
                <w:lang w:val="en-AU"/>
              </w:rPr>
              <w:t>5/95 percentiles for PT (Neoplastin</w:t>
            </w:r>
            <w:r w:rsidRPr="002742BE">
              <w:rPr>
                <w:rFonts w:ascii="Arial" w:hAnsi="Arial" w:cs="Arial"/>
                <w:sz w:val="18"/>
                <w:szCs w:val="18"/>
                <w:vertAlign w:val="superscript"/>
                <w:lang w:val="en-AU"/>
              </w:rPr>
              <w:t>®</w:t>
            </w:r>
            <w:r w:rsidRPr="002742BE">
              <w:rPr>
                <w:rFonts w:ascii="Arial" w:hAnsi="Arial" w:cs="Arial"/>
                <w:sz w:val="18"/>
                <w:szCs w:val="18"/>
                <w:lang w:val="en-AU"/>
              </w:rPr>
              <w:t>) 2 – 4 hours after tablet intake (seconds)</w:t>
            </w:r>
          </w:p>
        </w:tc>
        <w:tc>
          <w:tcPr>
            <w:tcW w:w="180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jc w:val="both"/>
              <w:rPr>
                <w:rFonts w:ascii="Arial" w:hAnsi="Arial" w:cs="Arial"/>
                <w:sz w:val="18"/>
                <w:szCs w:val="18"/>
                <w:lang w:val="en-AU"/>
              </w:rPr>
            </w:pPr>
            <w:r w:rsidRPr="002742BE">
              <w:rPr>
                <w:rFonts w:ascii="Arial" w:hAnsi="Arial" w:cs="Arial"/>
                <w:sz w:val="18"/>
                <w:szCs w:val="18"/>
                <w:lang w:val="en-AU"/>
              </w:rPr>
              <w:t>13 – 25</w:t>
            </w:r>
          </w:p>
        </w:tc>
        <w:tc>
          <w:tcPr>
            <w:tcW w:w="108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jc w:val="both"/>
              <w:rPr>
                <w:rFonts w:ascii="Arial" w:hAnsi="Arial" w:cs="Arial"/>
                <w:sz w:val="18"/>
                <w:szCs w:val="18"/>
                <w:lang w:val="en-AU"/>
              </w:rPr>
            </w:pPr>
            <w:r w:rsidRPr="002742BE">
              <w:rPr>
                <w:rFonts w:ascii="Arial" w:hAnsi="Arial" w:cs="Arial"/>
                <w:sz w:val="18"/>
                <w:szCs w:val="18"/>
                <w:lang w:val="en-AU"/>
              </w:rPr>
              <w:t xml:space="preserve">16 – 33 </w:t>
            </w:r>
          </w:p>
        </w:tc>
        <w:tc>
          <w:tcPr>
            <w:tcW w:w="108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jc w:val="both"/>
              <w:rPr>
                <w:rFonts w:ascii="Arial" w:hAnsi="Arial" w:cs="Arial"/>
                <w:sz w:val="18"/>
                <w:szCs w:val="18"/>
                <w:lang w:val="en-AU"/>
              </w:rPr>
            </w:pPr>
            <w:r w:rsidRPr="002742BE">
              <w:rPr>
                <w:rFonts w:ascii="Arial" w:hAnsi="Arial" w:cs="Arial"/>
                <w:sz w:val="18"/>
                <w:szCs w:val="18"/>
                <w:lang w:val="en-AU"/>
              </w:rPr>
              <w:t xml:space="preserve">15 – 30 </w:t>
            </w:r>
          </w:p>
        </w:tc>
        <w:tc>
          <w:tcPr>
            <w:tcW w:w="108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jc w:val="both"/>
              <w:rPr>
                <w:rFonts w:ascii="Arial" w:hAnsi="Arial" w:cs="Arial"/>
                <w:sz w:val="18"/>
                <w:szCs w:val="18"/>
                <w:lang w:val="en-AU"/>
              </w:rPr>
            </w:pPr>
            <w:r w:rsidRPr="002742BE">
              <w:rPr>
                <w:rFonts w:ascii="Arial" w:hAnsi="Arial" w:cs="Arial"/>
                <w:sz w:val="18"/>
                <w:szCs w:val="18"/>
                <w:lang w:val="en-AU"/>
              </w:rPr>
              <w:t xml:space="preserve">10 – 50 </w:t>
            </w:r>
          </w:p>
        </w:tc>
        <w:tc>
          <w:tcPr>
            <w:tcW w:w="1180" w:type="dxa"/>
            <w:shd w:val="clear" w:color="auto" w:fill="auto"/>
          </w:tcPr>
          <w:p w:rsidR="00C62964" w:rsidRPr="002742BE" w:rsidRDefault="00C62964" w:rsidP="00F04C47">
            <w:pPr>
              <w:pStyle w:val="Default"/>
              <w:widowControl/>
              <w:tabs>
                <w:tab w:val="left" w:pos="567"/>
                <w:tab w:val="left" w:pos="8640"/>
              </w:tabs>
              <w:spacing w:before="120" w:after="240" w:line="300" w:lineRule="atLeast"/>
              <w:ind w:right="46"/>
              <w:jc w:val="both"/>
              <w:rPr>
                <w:rFonts w:ascii="Arial" w:hAnsi="Arial" w:cs="Arial"/>
                <w:sz w:val="18"/>
                <w:szCs w:val="18"/>
                <w:lang w:val="en-AU"/>
              </w:rPr>
            </w:pPr>
            <w:r w:rsidRPr="002742BE">
              <w:rPr>
                <w:rFonts w:ascii="Arial" w:hAnsi="Arial" w:cs="Arial"/>
                <w:sz w:val="18"/>
                <w:szCs w:val="18"/>
                <w:lang w:val="en-AU"/>
              </w:rPr>
              <w:t>14 – 40</w:t>
            </w:r>
          </w:p>
        </w:tc>
      </w:tr>
    </w:tbl>
    <w:p w:rsidR="00C62964" w:rsidRPr="002742BE" w:rsidRDefault="00C62964" w:rsidP="00F04C47">
      <w:pPr>
        <w:pStyle w:val="Default"/>
        <w:widowControl/>
        <w:ind w:right="46"/>
        <w:jc w:val="both"/>
        <w:rPr>
          <w:rFonts w:ascii="Arial" w:hAnsi="Arial" w:cs="Arial"/>
          <w:sz w:val="20"/>
          <w:szCs w:val="20"/>
          <w:lang w:val="en-AU"/>
        </w:rPr>
      </w:pPr>
      <w:r w:rsidRPr="002742BE">
        <w:rPr>
          <w:rFonts w:ascii="Arial" w:hAnsi="Arial" w:cs="Arial"/>
          <w:sz w:val="20"/>
          <w:szCs w:val="20"/>
          <w:lang w:val="en-AU"/>
        </w:rPr>
        <w:t>*measurements of 5/95 percentiles for PT were recorded 1 – 4 hours after tablet intake</w:t>
      </w:r>
    </w:p>
    <w:p w:rsidR="00C62964" w:rsidRPr="002742BE" w:rsidRDefault="00C62964" w:rsidP="00F04C47">
      <w:pPr>
        <w:pStyle w:val="Default"/>
        <w:widowControl/>
        <w:spacing w:after="240"/>
        <w:ind w:right="46"/>
        <w:jc w:val="both"/>
        <w:rPr>
          <w:rFonts w:ascii="Arial" w:hAnsi="Arial" w:cs="Arial"/>
          <w:sz w:val="20"/>
          <w:szCs w:val="20"/>
          <w:lang w:val="en-AU"/>
        </w:rPr>
      </w:pPr>
      <w:r w:rsidRPr="002742BE">
        <w:rPr>
          <w:rFonts w:ascii="Arial" w:hAnsi="Arial" w:cs="Arial"/>
          <w:sz w:val="20"/>
          <w:szCs w:val="20"/>
          <w:lang w:val="en-AU"/>
        </w:rPr>
        <w:t>od = once daily, bid = twice daily</w:t>
      </w:r>
    </w:p>
    <w:p w:rsidR="001D1004" w:rsidRPr="002742BE" w:rsidRDefault="001D1004" w:rsidP="00F04C47">
      <w:pPr>
        <w:pStyle w:val="Default"/>
        <w:widowControl/>
        <w:spacing w:before="120" w:after="240"/>
        <w:ind w:right="46"/>
        <w:jc w:val="both"/>
        <w:rPr>
          <w:rFonts w:ascii="Arial" w:hAnsi="Arial" w:cs="Arial"/>
          <w:sz w:val="22"/>
          <w:szCs w:val="22"/>
          <w:lang w:val="en-AU"/>
        </w:rPr>
      </w:pPr>
      <w:r w:rsidRPr="002742BE">
        <w:rPr>
          <w:rFonts w:ascii="Arial" w:hAnsi="Arial" w:cs="Arial"/>
          <w:sz w:val="22"/>
          <w:szCs w:val="22"/>
          <w:lang w:val="en-AU"/>
        </w:rPr>
        <w:t>The activated partial thromboplastin time (aPTT) and HepTest</w:t>
      </w:r>
      <w:r w:rsidRPr="002742BE">
        <w:rPr>
          <w:rFonts w:ascii="Arial" w:hAnsi="Arial" w:cs="Arial"/>
          <w:sz w:val="22"/>
          <w:szCs w:val="22"/>
          <w:vertAlign w:val="superscript"/>
          <w:lang w:val="en-AU"/>
        </w:rPr>
        <w:t>®</w:t>
      </w:r>
      <w:r w:rsidRPr="002742BE">
        <w:rPr>
          <w:rFonts w:ascii="Arial" w:hAnsi="Arial" w:cs="Arial"/>
          <w:sz w:val="22"/>
          <w:szCs w:val="22"/>
          <w:lang w:val="en-AU"/>
        </w:rPr>
        <w:t xml:space="preserve"> are also prolonged dose-dependently; however, they are not recommended to assess the pharmacodynamic effect of rivaroxaban. Anti-Factor Xa activity is influenced by rivaroxaban</w:t>
      </w:r>
      <w:r w:rsidR="00F537E9" w:rsidRPr="002742BE">
        <w:rPr>
          <w:rFonts w:ascii="Arial" w:hAnsi="Arial" w:cs="Arial"/>
          <w:sz w:val="22"/>
          <w:szCs w:val="22"/>
          <w:lang w:val="en-AU"/>
        </w:rPr>
        <w:t xml:space="preserve"> (see “Effect on Laboratory Tests”)</w:t>
      </w:r>
      <w:r w:rsidRPr="002742BE">
        <w:rPr>
          <w:rFonts w:ascii="Arial" w:hAnsi="Arial" w:cs="Arial"/>
          <w:sz w:val="22"/>
          <w:szCs w:val="22"/>
          <w:lang w:val="en-AU"/>
        </w:rPr>
        <w:t xml:space="preserve">. </w:t>
      </w:r>
    </w:p>
    <w:p w:rsidR="001D1004" w:rsidRPr="002742BE" w:rsidRDefault="001D1004" w:rsidP="00F04C47">
      <w:pPr>
        <w:pStyle w:val="Default"/>
        <w:widowControl/>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There is no need for monitoring of coagulation parameters </w:t>
      </w:r>
      <w:r w:rsidR="002B7912" w:rsidRPr="002742BE">
        <w:rPr>
          <w:rFonts w:ascii="Arial" w:hAnsi="Arial" w:cs="Arial"/>
          <w:sz w:val="22"/>
          <w:szCs w:val="22"/>
          <w:lang w:val="en-AU"/>
        </w:rPr>
        <w:t xml:space="preserve">while using </w:t>
      </w:r>
      <w:r w:rsidR="00E8487E" w:rsidRPr="002742BE">
        <w:rPr>
          <w:rFonts w:ascii="Arial" w:hAnsi="Arial" w:cs="Arial"/>
          <w:sz w:val="22"/>
          <w:szCs w:val="22"/>
          <w:lang w:val="en-AU"/>
        </w:rPr>
        <w:t>Xarelto</w:t>
      </w:r>
      <w:r w:rsidRPr="002742BE">
        <w:rPr>
          <w:rFonts w:ascii="Arial" w:hAnsi="Arial" w:cs="Arial"/>
          <w:sz w:val="22"/>
          <w:szCs w:val="22"/>
          <w:lang w:val="en-AU"/>
        </w:rPr>
        <w:t>.</w:t>
      </w:r>
    </w:p>
    <w:p w:rsidR="001D1004" w:rsidRPr="002742BE" w:rsidRDefault="001D1004" w:rsidP="00F04C47">
      <w:pPr>
        <w:tabs>
          <w:tab w:val="left" w:pos="426"/>
        </w:tabs>
        <w:spacing w:before="120" w:after="240"/>
        <w:ind w:right="46"/>
        <w:rPr>
          <w:rFonts w:ascii="Arial" w:hAnsi="Arial" w:cs="Arial"/>
          <w:sz w:val="22"/>
          <w:szCs w:val="22"/>
          <w:lang w:val="en-AU"/>
        </w:rPr>
      </w:pPr>
      <w:r w:rsidRPr="002742BE">
        <w:rPr>
          <w:rFonts w:ascii="Arial" w:hAnsi="Arial" w:cs="Arial"/>
          <w:sz w:val="22"/>
          <w:szCs w:val="22"/>
          <w:lang w:val="en-AU"/>
        </w:rPr>
        <w:t>No QTc prolonging effect was observed with rivaroxaban.</w:t>
      </w:r>
    </w:p>
    <w:p w:rsidR="001D1004" w:rsidRPr="002742BE" w:rsidRDefault="001D1004" w:rsidP="00F04C47">
      <w:pPr>
        <w:keepNext/>
        <w:spacing w:before="120" w:after="240"/>
        <w:ind w:right="46"/>
        <w:jc w:val="both"/>
        <w:rPr>
          <w:rFonts w:ascii="Arial" w:hAnsi="Arial" w:cs="Arial"/>
          <w:b/>
          <w:bCs/>
          <w:noProof/>
          <w:lang w:val="en-AU"/>
        </w:rPr>
      </w:pPr>
      <w:r w:rsidRPr="002742BE">
        <w:rPr>
          <w:rFonts w:ascii="Arial" w:hAnsi="Arial" w:cs="Arial"/>
          <w:b/>
          <w:bCs/>
          <w:noProof/>
          <w:lang w:val="en-AU"/>
        </w:rPr>
        <w:t>Pharmacokinetic properties</w:t>
      </w:r>
    </w:p>
    <w:p w:rsidR="001D1004" w:rsidRPr="002742BE" w:rsidRDefault="001D1004" w:rsidP="00F04C47">
      <w:pPr>
        <w:keepNext/>
        <w:spacing w:before="120" w:after="240"/>
        <w:ind w:right="46"/>
        <w:jc w:val="both"/>
        <w:rPr>
          <w:rFonts w:ascii="Arial" w:hAnsi="Arial" w:cs="Arial"/>
          <w:i/>
          <w:sz w:val="22"/>
          <w:szCs w:val="22"/>
          <w:lang w:val="en-AU"/>
        </w:rPr>
      </w:pPr>
      <w:r w:rsidRPr="002742BE">
        <w:rPr>
          <w:rFonts w:ascii="Arial" w:hAnsi="Arial" w:cs="Arial"/>
          <w:i/>
          <w:sz w:val="22"/>
          <w:szCs w:val="22"/>
          <w:lang w:val="en-AU"/>
        </w:rPr>
        <w:t>Absorption and Bioavailability</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Rivaroxaban is rapidly absorbed with maximum concentrations (C</w:t>
      </w:r>
      <w:r w:rsidRPr="002742BE">
        <w:rPr>
          <w:rFonts w:ascii="Arial" w:hAnsi="Arial" w:cs="Arial"/>
          <w:sz w:val="22"/>
          <w:szCs w:val="22"/>
          <w:vertAlign w:val="subscript"/>
          <w:lang w:val="en-AU"/>
        </w:rPr>
        <w:t>max</w:t>
      </w:r>
      <w:r w:rsidRPr="002742BE">
        <w:rPr>
          <w:rFonts w:ascii="Arial" w:hAnsi="Arial" w:cs="Arial"/>
          <w:sz w:val="22"/>
          <w:szCs w:val="22"/>
          <w:lang w:val="en-AU"/>
        </w:rPr>
        <w:t xml:space="preserve">) appearing 2 - 4 hours after tablet intake. </w:t>
      </w:r>
      <w:r w:rsidR="00A4745D" w:rsidRPr="002742BE">
        <w:rPr>
          <w:rFonts w:ascii="Arial" w:hAnsi="Arial" w:cs="Arial"/>
          <w:sz w:val="22"/>
          <w:szCs w:val="22"/>
          <w:lang w:val="en-AU"/>
        </w:rPr>
        <w:t>The absolute bioavailability of rivaroxaban is high (80-100 %) for the 10 mg dose irrespective of fasting/fed conditions. Under fed conditions Xarelto 10 mg, 15 mg and 20 mg tablets demonstrated dose-proportionality. Oral bioavailability of Xarelto 20 mg tablet is reduced to 66% under fasting conditions. When Xarelto 20 mg tablet is taken with food mean AUC is increased by 39% compared to tablet taken under fasting conditions. This indicates almost complete absorption and high oral bioavailability.</w:t>
      </w:r>
    </w:p>
    <w:p w:rsidR="00E5317E" w:rsidRPr="002742BE" w:rsidRDefault="00E8487E"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lastRenderedPageBreak/>
        <w:t xml:space="preserve">Xarelto </w:t>
      </w:r>
      <w:r w:rsidR="001D1004" w:rsidRPr="002742BE">
        <w:rPr>
          <w:rFonts w:ascii="Arial" w:hAnsi="Arial" w:cs="Arial"/>
          <w:sz w:val="22"/>
          <w:szCs w:val="22"/>
          <w:lang w:val="en-AU"/>
        </w:rPr>
        <w:t xml:space="preserve">10 mg </w:t>
      </w:r>
      <w:r w:rsidR="00A4745D" w:rsidRPr="002742BE">
        <w:rPr>
          <w:rFonts w:ascii="Arial" w:hAnsi="Arial" w:cs="Arial"/>
          <w:sz w:val="22"/>
          <w:szCs w:val="22"/>
          <w:lang w:val="en-AU"/>
        </w:rPr>
        <w:t xml:space="preserve">tablets </w:t>
      </w:r>
      <w:r w:rsidR="001D1004" w:rsidRPr="002742BE">
        <w:rPr>
          <w:rFonts w:ascii="Arial" w:hAnsi="Arial" w:cs="Arial"/>
          <w:sz w:val="22"/>
          <w:szCs w:val="22"/>
          <w:lang w:val="en-AU"/>
        </w:rPr>
        <w:t>can be taken with or without food</w:t>
      </w:r>
      <w:r w:rsidR="00E5317E" w:rsidRPr="002742BE">
        <w:rPr>
          <w:rFonts w:ascii="Arial" w:hAnsi="Arial" w:cs="Arial"/>
          <w:sz w:val="22"/>
          <w:szCs w:val="22"/>
          <w:lang w:val="en-AU"/>
        </w:rPr>
        <w:t xml:space="preserve">. </w:t>
      </w:r>
      <w:r w:rsidR="00E5317E" w:rsidRPr="002742BE">
        <w:rPr>
          <w:rFonts w:ascii="Arial" w:hAnsi="Arial" w:cs="Arial"/>
          <w:bCs/>
          <w:sz w:val="22"/>
          <w:szCs w:val="22"/>
          <w:lang w:val="en-AU"/>
        </w:rPr>
        <w:t xml:space="preserve">Intake with food does not affect rivaroxaban AUC or </w:t>
      </w:r>
      <w:r w:rsidR="00E5317E" w:rsidRPr="002742BE">
        <w:rPr>
          <w:rFonts w:ascii="Arial" w:hAnsi="Arial" w:cs="Arial"/>
          <w:sz w:val="22"/>
          <w:szCs w:val="22"/>
          <w:lang w:val="en-AU"/>
        </w:rPr>
        <w:t>C</w:t>
      </w:r>
      <w:r w:rsidR="00E5317E" w:rsidRPr="002742BE">
        <w:rPr>
          <w:rFonts w:ascii="Arial" w:hAnsi="Arial" w:cs="Arial"/>
          <w:sz w:val="22"/>
          <w:szCs w:val="22"/>
          <w:vertAlign w:val="subscript"/>
          <w:lang w:val="en-AU"/>
        </w:rPr>
        <w:t>max</w:t>
      </w:r>
      <w:r w:rsidR="00E5317E" w:rsidRPr="002742BE">
        <w:rPr>
          <w:rFonts w:ascii="Arial" w:hAnsi="Arial" w:cs="Arial"/>
          <w:bCs/>
          <w:sz w:val="22"/>
          <w:szCs w:val="22"/>
          <w:lang w:val="en-AU"/>
        </w:rPr>
        <w:t xml:space="preserve"> at the 10 mg dose. </w:t>
      </w:r>
      <w:r w:rsidR="001D1004" w:rsidRPr="002742BE">
        <w:rPr>
          <w:rFonts w:ascii="Arial" w:hAnsi="Arial" w:cs="Arial"/>
          <w:sz w:val="22"/>
          <w:szCs w:val="22"/>
          <w:lang w:val="en-AU"/>
        </w:rPr>
        <w:t xml:space="preserve">(see DOSAGE AND ADMINISTRATION). </w:t>
      </w:r>
    </w:p>
    <w:p w:rsidR="005447EA" w:rsidRPr="002742BE" w:rsidRDefault="005447EA"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Xarelto 15 mg and 20 mg tablets should be taken with food (see DOSAGE AND ADMINISTRATION).</w:t>
      </w:r>
      <w:r w:rsidR="00CD717C">
        <w:rPr>
          <w:rFonts w:ascii="Arial" w:hAnsi="Arial" w:cs="Arial"/>
          <w:sz w:val="22"/>
          <w:szCs w:val="22"/>
          <w:lang w:val="en-AU"/>
        </w:rPr>
        <w:t xml:space="preserve"> The data regarding food effect is limited.</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Variability in rivaroxaban pharmacokinetics is moderate with inter-individual variability (CV %) ranging from 30 % to 40 %</w:t>
      </w:r>
      <w:r w:rsidR="00E5317E" w:rsidRPr="002742BE">
        <w:rPr>
          <w:rFonts w:ascii="Arial" w:hAnsi="Arial" w:cs="Arial"/>
          <w:sz w:val="22"/>
          <w:szCs w:val="22"/>
          <w:lang w:val="en-AU"/>
        </w:rPr>
        <w:t>, apart from the day of surgery and the following day when variability in exposure is high (70%)</w:t>
      </w:r>
      <w:r w:rsidR="005447EA" w:rsidRPr="002742BE">
        <w:rPr>
          <w:rFonts w:ascii="Arial" w:hAnsi="Arial" w:cs="Arial"/>
          <w:sz w:val="22"/>
          <w:szCs w:val="22"/>
          <w:lang w:val="en-AU"/>
        </w:rPr>
        <w:t xml:space="preserve"> in patients who underwent hip or knee replacement</w:t>
      </w:r>
      <w:r w:rsidR="00E5317E" w:rsidRPr="002742BE">
        <w:rPr>
          <w:rFonts w:ascii="Arial" w:hAnsi="Arial" w:cs="Arial"/>
          <w:sz w:val="22"/>
          <w:szCs w:val="22"/>
          <w:lang w:val="en-AU"/>
        </w:rPr>
        <w:t>.</w:t>
      </w:r>
    </w:p>
    <w:p w:rsidR="001D1004" w:rsidRPr="002742BE" w:rsidRDefault="001D1004" w:rsidP="00F04C47">
      <w:pPr>
        <w:keepNext/>
        <w:spacing w:before="120" w:after="240"/>
        <w:ind w:right="46"/>
        <w:jc w:val="both"/>
        <w:rPr>
          <w:rFonts w:ascii="Arial" w:hAnsi="Arial" w:cs="Arial"/>
          <w:i/>
          <w:sz w:val="22"/>
          <w:szCs w:val="22"/>
          <w:lang w:val="en-AU"/>
        </w:rPr>
      </w:pPr>
      <w:r w:rsidRPr="002742BE">
        <w:rPr>
          <w:rFonts w:ascii="Arial" w:hAnsi="Arial" w:cs="Arial"/>
          <w:i/>
          <w:sz w:val="22"/>
          <w:szCs w:val="22"/>
          <w:lang w:val="en-AU"/>
        </w:rPr>
        <w:t>Distribution</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Plasma protein binding in human is high at approximately 92% to 95%, with serum albumin being the main binding component. The volume of distribution is moderate with V</w:t>
      </w:r>
      <w:r w:rsidRPr="002742BE">
        <w:rPr>
          <w:rFonts w:ascii="Arial" w:hAnsi="Arial" w:cs="Arial"/>
          <w:vertAlign w:val="subscript"/>
          <w:lang w:val="en-AU"/>
        </w:rPr>
        <w:t>ss</w:t>
      </w:r>
      <w:r w:rsidRPr="002742BE">
        <w:rPr>
          <w:rFonts w:ascii="Arial" w:hAnsi="Arial" w:cs="Arial"/>
          <w:sz w:val="22"/>
          <w:szCs w:val="22"/>
          <w:lang w:val="en-AU"/>
        </w:rPr>
        <w:t xml:space="preserve"> being approximately 50 L.</w:t>
      </w:r>
    </w:p>
    <w:p w:rsidR="001D1004" w:rsidRPr="002742BE" w:rsidRDefault="001D1004" w:rsidP="00F04C47">
      <w:pPr>
        <w:keepNext/>
        <w:spacing w:before="120" w:after="240"/>
        <w:ind w:right="46"/>
        <w:jc w:val="both"/>
        <w:rPr>
          <w:rFonts w:ascii="Arial" w:hAnsi="Arial" w:cs="Arial"/>
          <w:i/>
          <w:sz w:val="22"/>
          <w:szCs w:val="22"/>
          <w:lang w:val="en-AU"/>
        </w:rPr>
      </w:pPr>
      <w:r w:rsidRPr="002742BE">
        <w:rPr>
          <w:rFonts w:ascii="Arial" w:hAnsi="Arial" w:cs="Arial"/>
          <w:i/>
          <w:sz w:val="22"/>
          <w:szCs w:val="22"/>
          <w:lang w:val="en-AU"/>
        </w:rPr>
        <w:t xml:space="preserve">Metabolism and Elimination </w:t>
      </w:r>
    </w:p>
    <w:p w:rsidR="00F04522" w:rsidRPr="002742BE" w:rsidRDefault="00F04522"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Of the administered rivaroxaban dose, approximately 2/3 undergoes metabolic degradation, with half then eliminated renally and the other half eliminated by the fecal route. The other 1/3 of the administered dose undergoes direct renal excretion as unchanged active substance in the urine, mainly via active secretion.</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Rivaroxaban is metaboli</w:t>
      </w:r>
      <w:r w:rsidR="00446CDA" w:rsidRPr="002742BE">
        <w:rPr>
          <w:rFonts w:ascii="Arial" w:hAnsi="Arial" w:cs="Arial"/>
          <w:sz w:val="22"/>
          <w:szCs w:val="22"/>
          <w:lang w:val="en-AU"/>
        </w:rPr>
        <w:t>s</w:t>
      </w:r>
      <w:r w:rsidRPr="002742BE">
        <w:rPr>
          <w:rFonts w:ascii="Arial" w:hAnsi="Arial" w:cs="Arial"/>
          <w:sz w:val="22"/>
          <w:szCs w:val="22"/>
          <w:lang w:val="en-AU"/>
        </w:rPr>
        <w:t xml:space="preserve">ed via CYP3A4, CYP2J2 and CYP-independent mechanisms. Oxidative degradation of the morpholinone moiety and hydrolysis of the amide bonds are the major sites of biotransformation. </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Based on </w:t>
      </w:r>
      <w:r w:rsidRPr="002742BE">
        <w:rPr>
          <w:rFonts w:ascii="Arial" w:hAnsi="Arial" w:cs="Arial"/>
          <w:i/>
          <w:sz w:val="22"/>
          <w:szCs w:val="22"/>
          <w:lang w:val="en-AU"/>
        </w:rPr>
        <w:t>in vitro</w:t>
      </w:r>
      <w:r w:rsidRPr="002742BE">
        <w:rPr>
          <w:rFonts w:ascii="Arial" w:hAnsi="Arial" w:cs="Arial"/>
          <w:sz w:val="22"/>
          <w:szCs w:val="22"/>
          <w:lang w:val="en-AU"/>
        </w:rPr>
        <w:t xml:space="preserve"> investigations rivaroxaban is a substrate of the transporter proteins P-gp (P-glycoprotein) and Bcrp (breast cancer resistance protein).</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Unchanged rivaroxaban is the most important compound in human plasma with no major or active circulating metabolites being present. With a systemic clearance of about 10 L/h rivaroxaban can be classified as a low-clearance drug. Elimination of rivaroxaban from plasma occurred with terminal half-lives of 5 to 9 hours in young individuals, and with terminal half-lives of 11 to 13 hours in the elderly.</w:t>
      </w:r>
    </w:p>
    <w:p w:rsidR="001D1004" w:rsidRPr="002742BE" w:rsidRDefault="001D1004" w:rsidP="00F04C47">
      <w:pPr>
        <w:keepNext/>
        <w:spacing w:before="120" w:after="240"/>
        <w:ind w:right="46"/>
        <w:jc w:val="both"/>
        <w:rPr>
          <w:rFonts w:ascii="Arial" w:hAnsi="Arial" w:cs="Arial"/>
          <w:i/>
          <w:sz w:val="22"/>
          <w:szCs w:val="22"/>
          <w:lang w:val="en-AU"/>
        </w:rPr>
      </w:pPr>
      <w:r w:rsidRPr="002742BE">
        <w:rPr>
          <w:rFonts w:ascii="Arial" w:hAnsi="Arial" w:cs="Arial"/>
          <w:i/>
          <w:sz w:val="22"/>
          <w:szCs w:val="22"/>
          <w:lang w:val="en-AU"/>
        </w:rPr>
        <w:t>Gender / Elderly (above 65 years)</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Whilst elderly patients exhibited higher plasma concentrations than younger patients with mean AUC values being approximately 1.5-fold higher, mainly due to reduced (apparent) total and renal clearance, no dose adjustment is necessary (see DOSAGE AND ADMINISTRATION).</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There were no clinically relevant differences in pharmacokinetics and pharmacodynamics between male and female patients (see DOSAGE AND ADMINISTRATION).</w:t>
      </w:r>
    </w:p>
    <w:p w:rsidR="001D1004" w:rsidRPr="002742BE" w:rsidRDefault="001D1004" w:rsidP="00F04C47">
      <w:pPr>
        <w:keepNext/>
        <w:spacing w:before="120" w:after="240"/>
        <w:ind w:right="46"/>
        <w:jc w:val="both"/>
        <w:rPr>
          <w:rFonts w:ascii="Arial" w:hAnsi="Arial" w:cs="Arial"/>
          <w:i/>
          <w:sz w:val="22"/>
          <w:szCs w:val="22"/>
          <w:lang w:val="en-AU"/>
        </w:rPr>
      </w:pPr>
      <w:r w:rsidRPr="002742BE">
        <w:rPr>
          <w:rFonts w:ascii="Arial" w:hAnsi="Arial" w:cs="Arial"/>
          <w:i/>
          <w:sz w:val="22"/>
          <w:szCs w:val="22"/>
          <w:lang w:val="en-AU"/>
        </w:rPr>
        <w:t>Different weight categories</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Extremes in body weight (&lt; 50 kg or &gt; 120 kg) had only a small influence on rivaroxaban plasma concentrations (less than 25 %). No dose adjustment is necessary (see DOSAGE AND ADMINISTRATION).</w:t>
      </w:r>
    </w:p>
    <w:p w:rsidR="001D1004" w:rsidRPr="002742BE" w:rsidRDefault="001D1004" w:rsidP="00F04C47">
      <w:pPr>
        <w:spacing w:before="120" w:after="120"/>
        <w:ind w:right="46"/>
        <w:rPr>
          <w:rFonts w:ascii="Arial" w:hAnsi="Arial" w:cs="Arial"/>
          <w:i/>
          <w:sz w:val="22"/>
          <w:lang w:val="en-AU"/>
        </w:rPr>
      </w:pPr>
      <w:r w:rsidRPr="002742BE">
        <w:rPr>
          <w:rFonts w:ascii="Arial" w:hAnsi="Arial" w:cs="Arial"/>
          <w:i/>
          <w:sz w:val="22"/>
          <w:lang w:val="en-AU"/>
        </w:rPr>
        <w:lastRenderedPageBreak/>
        <w:t>Children</w:t>
      </w:r>
      <w:r w:rsidR="00446CDA" w:rsidRPr="002742BE">
        <w:rPr>
          <w:rFonts w:ascii="Arial" w:hAnsi="Arial" w:cs="Arial"/>
          <w:i/>
          <w:sz w:val="22"/>
          <w:lang w:val="en-AU"/>
        </w:rPr>
        <w:t xml:space="preserve"> and adolescents</w:t>
      </w:r>
      <w:r w:rsidRPr="002742BE">
        <w:rPr>
          <w:rFonts w:ascii="Arial" w:hAnsi="Arial" w:cs="Arial"/>
          <w:i/>
          <w:sz w:val="22"/>
          <w:lang w:val="en-AU"/>
        </w:rPr>
        <w:t xml:space="preserve"> (from birth to 18 years)</w:t>
      </w:r>
    </w:p>
    <w:p w:rsidR="001D1004" w:rsidRPr="002742BE" w:rsidRDefault="001D1004" w:rsidP="00F04C47">
      <w:pPr>
        <w:pStyle w:val="BodyText2"/>
        <w:spacing w:before="120"/>
        <w:ind w:right="46"/>
        <w:rPr>
          <w:rFonts w:ascii="Arial" w:hAnsi="Arial" w:cs="Arial"/>
          <w:b w:val="0"/>
          <w:i/>
          <w:sz w:val="22"/>
          <w:szCs w:val="22"/>
        </w:rPr>
      </w:pPr>
      <w:r w:rsidRPr="002742BE">
        <w:rPr>
          <w:rFonts w:ascii="Arial" w:hAnsi="Arial" w:cs="Arial"/>
          <w:b w:val="0"/>
          <w:sz w:val="22"/>
          <w:szCs w:val="22"/>
        </w:rPr>
        <w:t>No data are available for this patient population (see</w:t>
      </w:r>
      <w:r w:rsidRPr="002742BE">
        <w:rPr>
          <w:rFonts w:ascii="Arial" w:hAnsi="Arial" w:cs="Arial"/>
          <w:b w:val="0"/>
          <w:i/>
          <w:sz w:val="22"/>
          <w:szCs w:val="22"/>
        </w:rPr>
        <w:t xml:space="preserve"> </w:t>
      </w:r>
      <w:r w:rsidRPr="002742BE">
        <w:rPr>
          <w:rFonts w:ascii="Arial" w:hAnsi="Arial" w:cs="Arial"/>
          <w:b w:val="0"/>
          <w:sz w:val="22"/>
          <w:szCs w:val="22"/>
        </w:rPr>
        <w:t>DOSAGE AND ADMINISTRATION)</w:t>
      </w:r>
      <w:r w:rsidRPr="002742BE">
        <w:rPr>
          <w:rFonts w:ascii="Arial" w:hAnsi="Arial" w:cs="Arial"/>
          <w:b w:val="0"/>
          <w:i/>
          <w:sz w:val="22"/>
          <w:szCs w:val="22"/>
        </w:rPr>
        <w:t>.</w:t>
      </w:r>
    </w:p>
    <w:p w:rsidR="001D1004" w:rsidRPr="002742BE" w:rsidRDefault="001D1004" w:rsidP="00F04C47">
      <w:pPr>
        <w:keepNext/>
        <w:spacing w:before="120" w:after="240"/>
        <w:ind w:right="46"/>
        <w:jc w:val="both"/>
        <w:rPr>
          <w:rFonts w:ascii="Arial" w:hAnsi="Arial" w:cs="Arial"/>
          <w:i/>
          <w:sz w:val="22"/>
          <w:szCs w:val="22"/>
          <w:lang w:val="en-AU"/>
        </w:rPr>
      </w:pPr>
      <w:r w:rsidRPr="002742BE">
        <w:rPr>
          <w:rFonts w:ascii="Arial" w:hAnsi="Arial" w:cs="Arial"/>
          <w:i/>
          <w:sz w:val="22"/>
          <w:szCs w:val="22"/>
          <w:lang w:val="en-AU"/>
        </w:rPr>
        <w:t>Interethnic differences</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No clinically relevant interethnic differences among Caucasian, African-American, Hispanic, Japanese or Chinese patients were observed regarding rivaroxaban pharmacokinetics and pharmacodynamics (see</w:t>
      </w:r>
      <w:r w:rsidRPr="002742BE">
        <w:rPr>
          <w:rFonts w:ascii="Arial" w:hAnsi="Arial" w:cs="Arial"/>
          <w:i/>
          <w:sz w:val="22"/>
          <w:szCs w:val="22"/>
          <w:lang w:val="en-AU"/>
        </w:rPr>
        <w:t xml:space="preserve"> </w:t>
      </w:r>
      <w:r w:rsidRPr="002742BE">
        <w:rPr>
          <w:rFonts w:ascii="Arial" w:hAnsi="Arial" w:cs="Arial"/>
          <w:sz w:val="22"/>
          <w:szCs w:val="22"/>
          <w:lang w:val="en-AU"/>
        </w:rPr>
        <w:t>DOSAGE AND ADMINISTRATION).</w:t>
      </w:r>
    </w:p>
    <w:p w:rsidR="001D1004" w:rsidRPr="002742BE" w:rsidRDefault="001D1004" w:rsidP="00F04C47">
      <w:pPr>
        <w:keepNext/>
        <w:spacing w:before="120" w:after="240"/>
        <w:ind w:right="46"/>
        <w:jc w:val="both"/>
        <w:rPr>
          <w:rFonts w:ascii="Arial" w:hAnsi="Arial" w:cs="Arial"/>
          <w:i/>
          <w:sz w:val="22"/>
          <w:szCs w:val="22"/>
          <w:lang w:val="en-AU"/>
        </w:rPr>
      </w:pPr>
      <w:r w:rsidRPr="002742BE">
        <w:rPr>
          <w:rFonts w:ascii="Arial" w:hAnsi="Arial" w:cs="Arial"/>
          <w:i/>
          <w:sz w:val="22"/>
          <w:szCs w:val="22"/>
          <w:lang w:val="en-AU"/>
        </w:rPr>
        <w:t>Hepatic impairment</w:t>
      </w:r>
    </w:p>
    <w:p w:rsidR="00AC0CF2" w:rsidRPr="002742BE" w:rsidRDefault="00AC0CF2"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The critical aspect of liver impairment is the reduced synthesis of normal coagulation factors in the liver, which is captured by only one of the five clinical/biochemical measurements composing the Child Pugh classification system. The bleeding risk in patients may not clearly correlate with this classification scheme. Therefore, the decision to treat patients with an anticoagulant should be made independently of the Child Pugh classification.</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Cirrhotic patients with mild hepatic impairment (classified as Child Pugh A) exhibited only minor changes in rivaroxaban pharmacokinetics (1.2-fold increase in rivaroxaban AUC on average), nearly comparable to their matched healthy control group. No relevant difference in pharmacodynamic properties was observed between these groups. In cirrhotic patients with moderate hepatic impairment (classified as Child Pugh B), rivaroxaban mean AUC was significantly increased by 2.3-fold compared to healthy volunteers, due to significantly impaired drug clearance which indicates significant liver disease. </w:t>
      </w:r>
      <w:r w:rsidR="00AC0CF2" w:rsidRPr="002742BE">
        <w:rPr>
          <w:rFonts w:ascii="Arial" w:hAnsi="Arial" w:cs="Arial"/>
          <w:sz w:val="22"/>
          <w:szCs w:val="22"/>
          <w:lang w:val="en-AU"/>
        </w:rPr>
        <w:t xml:space="preserve">Unbound AUC was increased 2.6-fold. There are no data in patients with severe hepatic impairment. </w:t>
      </w:r>
      <w:r w:rsidRPr="002742BE">
        <w:rPr>
          <w:rFonts w:ascii="Arial" w:hAnsi="Arial" w:cs="Arial"/>
          <w:sz w:val="22"/>
          <w:szCs w:val="22"/>
          <w:lang w:val="en-AU"/>
        </w:rPr>
        <w:t xml:space="preserve">The inhibition of FXa activity was increased by a factor of 2.6 as compared to healthy volunteers; prolongation of PT was similarly increased by a factor of 2.1.  </w:t>
      </w:r>
    </w:p>
    <w:p w:rsidR="00AC41E7"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The global clotting test PT assesses the extrinsic pathway </w:t>
      </w:r>
      <w:r w:rsidR="009027D6" w:rsidRPr="002742BE">
        <w:rPr>
          <w:rFonts w:ascii="Arial" w:hAnsi="Arial" w:cs="Arial"/>
          <w:sz w:val="22"/>
          <w:szCs w:val="22"/>
          <w:lang w:val="en-AU"/>
        </w:rPr>
        <w:t xml:space="preserve">that comprises of </w:t>
      </w:r>
      <w:r w:rsidRPr="002742BE">
        <w:rPr>
          <w:rFonts w:ascii="Arial" w:hAnsi="Arial" w:cs="Arial"/>
          <w:sz w:val="22"/>
          <w:szCs w:val="22"/>
          <w:lang w:val="en-AU"/>
        </w:rPr>
        <w:t>coagulation Factors VII, X, V, II,</w:t>
      </w:r>
      <w:r w:rsidR="009027D6" w:rsidRPr="002742BE">
        <w:rPr>
          <w:rFonts w:ascii="Arial" w:hAnsi="Arial" w:cs="Arial"/>
          <w:sz w:val="22"/>
          <w:szCs w:val="22"/>
          <w:lang w:val="en-AU"/>
        </w:rPr>
        <w:t xml:space="preserve"> and </w:t>
      </w:r>
      <w:r w:rsidRPr="002742BE">
        <w:rPr>
          <w:rFonts w:ascii="Arial" w:hAnsi="Arial" w:cs="Arial"/>
          <w:sz w:val="22"/>
          <w:szCs w:val="22"/>
          <w:lang w:val="en-AU"/>
        </w:rPr>
        <w:t xml:space="preserve">I, </w:t>
      </w:r>
      <w:r w:rsidR="009E52C1" w:rsidRPr="002742BE">
        <w:rPr>
          <w:rFonts w:ascii="Arial" w:hAnsi="Arial" w:cs="Arial"/>
          <w:sz w:val="22"/>
          <w:szCs w:val="22"/>
          <w:lang w:val="en-AU"/>
        </w:rPr>
        <w:t>which are</w:t>
      </w:r>
      <w:r w:rsidRPr="002742BE">
        <w:rPr>
          <w:rFonts w:ascii="Arial" w:hAnsi="Arial" w:cs="Arial"/>
          <w:sz w:val="22"/>
          <w:szCs w:val="22"/>
          <w:lang w:val="en-AU"/>
        </w:rPr>
        <w:t xml:space="preserve"> synthesi</w:t>
      </w:r>
      <w:r w:rsidR="009027D6" w:rsidRPr="002742BE">
        <w:rPr>
          <w:rFonts w:ascii="Arial" w:hAnsi="Arial" w:cs="Arial"/>
          <w:sz w:val="22"/>
          <w:szCs w:val="22"/>
          <w:lang w:val="en-AU"/>
        </w:rPr>
        <w:t>s</w:t>
      </w:r>
      <w:r w:rsidRPr="002742BE">
        <w:rPr>
          <w:rFonts w:ascii="Arial" w:hAnsi="Arial" w:cs="Arial"/>
          <w:sz w:val="22"/>
          <w:szCs w:val="22"/>
          <w:lang w:val="en-AU"/>
        </w:rPr>
        <w:t xml:space="preserve">ed in the liver. </w:t>
      </w:r>
      <w:r w:rsidR="00F04522" w:rsidRPr="002742BE">
        <w:rPr>
          <w:rFonts w:ascii="Arial" w:hAnsi="Arial" w:cs="Arial"/>
          <w:sz w:val="22"/>
          <w:szCs w:val="22"/>
          <w:lang w:val="en-AU"/>
        </w:rPr>
        <w:t xml:space="preserve"> Patients with moderate hepatic impairment were more sensitive to rivaroxaban resulting in a steeper PK/PD relationship between concentration and PT. </w:t>
      </w:r>
      <w:r w:rsidRPr="002742BE">
        <w:rPr>
          <w:rFonts w:ascii="Arial" w:hAnsi="Arial" w:cs="Arial"/>
          <w:sz w:val="22"/>
          <w:szCs w:val="22"/>
          <w:lang w:val="en-AU"/>
        </w:rPr>
        <w:t>The elevated PT at baseline and a significantly altered sensitivity in anti-coagulant activity towards rivaroxaban plasma exposure (increase in slope for PT/rivaroxaban plasma concentration relationship by more than 2-fold) in cirrhotic patients</w:t>
      </w:r>
      <w:r w:rsidR="00D068E3" w:rsidRPr="002742BE">
        <w:rPr>
          <w:rFonts w:ascii="Arial" w:hAnsi="Arial" w:cs="Arial"/>
          <w:sz w:val="22"/>
          <w:szCs w:val="22"/>
          <w:lang w:val="en-AU"/>
        </w:rPr>
        <w:t xml:space="preserve"> with moderate hepatic impairment </w:t>
      </w:r>
      <w:r w:rsidRPr="002742BE">
        <w:rPr>
          <w:rFonts w:ascii="Arial" w:hAnsi="Arial" w:cs="Arial"/>
          <w:sz w:val="22"/>
          <w:szCs w:val="22"/>
          <w:lang w:val="en-AU"/>
        </w:rPr>
        <w:t xml:space="preserve">indicate the decreased ability of the liver to synthesize coagulation factors. The PK/PD changes in these patients are markers for the severity of the underlying hepatic disease which is expected to lead to a subsequent increased bleeding risk in this patient group. </w:t>
      </w:r>
    </w:p>
    <w:p w:rsidR="001D1004" w:rsidRPr="002742BE" w:rsidRDefault="001D1004" w:rsidP="00F04C47">
      <w:pPr>
        <w:spacing w:before="120" w:after="240"/>
        <w:ind w:right="46"/>
        <w:jc w:val="both"/>
        <w:rPr>
          <w:rFonts w:ascii="Arial" w:hAnsi="Arial" w:cs="Arial"/>
          <w:sz w:val="22"/>
          <w:szCs w:val="22"/>
          <w:lang w:val="en-AU"/>
        </w:rPr>
      </w:pPr>
      <w:bookmarkStart w:id="0" w:name="OLE_LINK1"/>
      <w:bookmarkStart w:id="1" w:name="OLE_LINK2"/>
      <w:r w:rsidRPr="002742BE">
        <w:rPr>
          <w:rFonts w:ascii="Arial" w:hAnsi="Arial" w:cs="Arial"/>
          <w:sz w:val="22"/>
          <w:szCs w:val="22"/>
          <w:lang w:val="en-AU"/>
        </w:rPr>
        <w:t xml:space="preserve">Therefore </w:t>
      </w:r>
      <w:r w:rsidR="00E8487E" w:rsidRPr="002742BE">
        <w:rPr>
          <w:rFonts w:ascii="Arial" w:hAnsi="Arial" w:cs="Arial"/>
          <w:noProof/>
          <w:sz w:val="22"/>
          <w:szCs w:val="22"/>
          <w:lang w:val="en-AU"/>
        </w:rPr>
        <w:t xml:space="preserve">Xarelto </w:t>
      </w:r>
      <w:r w:rsidRPr="002742BE">
        <w:rPr>
          <w:rFonts w:ascii="Arial" w:hAnsi="Arial" w:cs="Arial"/>
          <w:noProof/>
          <w:sz w:val="22"/>
          <w:szCs w:val="22"/>
          <w:lang w:val="en-AU"/>
        </w:rPr>
        <w:t xml:space="preserve">is contraindicated in patients with </w:t>
      </w:r>
      <w:r w:rsidR="00682E22" w:rsidRPr="002742BE">
        <w:rPr>
          <w:rFonts w:ascii="Arial" w:hAnsi="Arial" w:cs="Arial"/>
          <w:noProof/>
          <w:sz w:val="22"/>
          <w:szCs w:val="22"/>
          <w:lang w:val="en-AU"/>
        </w:rPr>
        <w:t xml:space="preserve">significant </w:t>
      </w:r>
      <w:r w:rsidRPr="002742BE">
        <w:rPr>
          <w:rFonts w:ascii="Arial" w:hAnsi="Arial" w:cs="Arial"/>
          <w:noProof/>
          <w:sz w:val="22"/>
          <w:szCs w:val="22"/>
          <w:lang w:val="en-AU"/>
        </w:rPr>
        <w:t xml:space="preserve">hepatic disease </w:t>
      </w:r>
      <w:r w:rsidR="00B469CA" w:rsidRPr="002742BE">
        <w:rPr>
          <w:rFonts w:ascii="Arial" w:hAnsi="Arial" w:cs="Arial"/>
          <w:noProof/>
          <w:sz w:val="22"/>
          <w:szCs w:val="22"/>
          <w:lang w:val="en-AU"/>
        </w:rPr>
        <w:t>(including moderate and severe hepatic impairment</w:t>
      </w:r>
      <w:r w:rsidR="00AD1C0A" w:rsidRPr="002742BE">
        <w:rPr>
          <w:rFonts w:ascii="Arial" w:hAnsi="Arial" w:cs="Arial"/>
          <w:noProof/>
          <w:sz w:val="22"/>
          <w:szCs w:val="22"/>
          <w:lang w:val="en-AU"/>
        </w:rPr>
        <w:t>, i.e. Child-Pugh B and C</w:t>
      </w:r>
      <w:r w:rsidR="00B469CA" w:rsidRPr="002742BE">
        <w:rPr>
          <w:rFonts w:ascii="Arial" w:hAnsi="Arial" w:cs="Arial"/>
          <w:noProof/>
          <w:sz w:val="22"/>
          <w:szCs w:val="22"/>
          <w:lang w:val="en-AU"/>
        </w:rPr>
        <w:t xml:space="preserve">) </w:t>
      </w:r>
      <w:r w:rsidRPr="002742BE">
        <w:rPr>
          <w:rFonts w:ascii="Arial" w:hAnsi="Arial" w:cs="Arial"/>
          <w:noProof/>
          <w:sz w:val="22"/>
          <w:szCs w:val="22"/>
          <w:lang w:val="en-AU"/>
        </w:rPr>
        <w:t xml:space="preserve">which is associated with coagulopathy leading to a clinically relevant bleeding risk.  </w:t>
      </w:r>
      <w:r w:rsidRPr="002742BE">
        <w:rPr>
          <w:rFonts w:ascii="Arial" w:hAnsi="Arial" w:cs="Arial"/>
          <w:sz w:val="22"/>
          <w:szCs w:val="22"/>
          <w:lang w:val="en-AU"/>
        </w:rPr>
        <w:t xml:space="preserve">No data are available for </w:t>
      </w:r>
      <w:r w:rsidR="0070764F" w:rsidRPr="002742BE">
        <w:rPr>
          <w:rFonts w:ascii="Arial" w:hAnsi="Arial" w:cs="Arial"/>
          <w:sz w:val="22"/>
          <w:szCs w:val="22"/>
          <w:lang w:val="en-AU"/>
        </w:rPr>
        <w:t>severe hepatic impairment (</w:t>
      </w:r>
      <w:r w:rsidRPr="002742BE">
        <w:rPr>
          <w:rFonts w:ascii="Arial" w:hAnsi="Arial" w:cs="Arial"/>
          <w:sz w:val="22"/>
          <w:szCs w:val="22"/>
          <w:lang w:val="en-AU"/>
        </w:rPr>
        <w:t>Child Pugh C patients</w:t>
      </w:r>
      <w:r w:rsidR="0070764F" w:rsidRPr="002742BE">
        <w:rPr>
          <w:rFonts w:ascii="Arial" w:hAnsi="Arial" w:cs="Arial"/>
          <w:sz w:val="22"/>
          <w:szCs w:val="22"/>
          <w:lang w:val="en-AU"/>
        </w:rPr>
        <w:t>)</w:t>
      </w:r>
      <w:r w:rsidRPr="002742BE">
        <w:rPr>
          <w:szCs w:val="22"/>
          <w:lang w:val="en-AU"/>
        </w:rPr>
        <w:t xml:space="preserve"> </w:t>
      </w:r>
      <w:r w:rsidRPr="002742BE">
        <w:rPr>
          <w:rFonts w:ascii="Arial" w:hAnsi="Arial" w:cs="Arial"/>
          <w:sz w:val="22"/>
          <w:szCs w:val="22"/>
          <w:lang w:val="en-AU"/>
        </w:rPr>
        <w:t>(see</w:t>
      </w:r>
      <w:r w:rsidRPr="002742BE">
        <w:rPr>
          <w:rFonts w:ascii="Arial" w:hAnsi="Arial" w:cs="Arial"/>
          <w:i/>
          <w:sz w:val="22"/>
          <w:szCs w:val="22"/>
          <w:lang w:val="en-AU"/>
        </w:rPr>
        <w:t xml:space="preserve"> </w:t>
      </w:r>
      <w:r w:rsidRPr="002742BE">
        <w:rPr>
          <w:rFonts w:ascii="Arial" w:hAnsi="Arial" w:cs="Arial"/>
          <w:sz w:val="22"/>
          <w:szCs w:val="22"/>
          <w:lang w:val="en-AU"/>
        </w:rPr>
        <w:t>DOSAGE AND ADMINISTRATION).</w:t>
      </w:r>
      <w:r w:rsidR="00AC41E7" w:rsidRPr="002742BE">
        <w:rPr>
          <w:lang w:val="en-AU"/>
        </w:rPr>
        <w:t xml:space="preserve"> </w:t>
      </w:r>
      <w:r w:rsidR="00E8487E" w:rsidRPr="002742BE">
        <w:rPr>
          <w:rFonts w:ascii="Arial" w:hAnsi="Arial" w:cs="Arial"/>
          <w:sz w:val="22"/>
          <w:szCs w:val="22"/>
          <w:lang w:val="en-AU"/>
        </w:rPr>
        <w:t xml:space="preserve">Xarelto </w:t>
      </w:r>
      <w:r w:rsidR="00AC41E7" w:rsidRPr="002742BE">
        <w:rPr>
          <w:rFonts w:ascii="Arial" w:hAnsi="Arial" w:cs="Arial"/>
          <w:sz w:val="22"/>
          <w:szCs w:val="22"/>
          <w:lang w:val="en-AU"/>
        </w:rPr>
        <w:t>may be used with caution in cirrhotic patients with moderate hepatic impairment if it is not associated with coagulopathy.</w:t>
      </w:r>
    </w:p>
    <w:bookmarkEnd w:id="0"/>
    <w:bookmarkEnd w:id="1"/>
    <w:p w:rsidR="001D1004" w:rsidRPr="002742BE" w:rsidRDefault="001D1004" w:rsidP="00F04C47">
      <w:pPr>
        <w:keepNext/>
        <w:spacing w:before="120" w:after="240"/>
        <w:ind w:right="46"/>
        <w:jc w:val="both"/>
        <w:rPr>
          <w:rFonts w:ascii="Arial" w:eastAsia="SimSun" w:hAnsi="Arial" w:cs="Arial"/>
          <w:i/>
          <w:iCs/>
          <w:sz w:val="22"/>
          <w:szCs w:val="22"/>
          <w:lang w:val="en-AU" w:eastAsia="zh-CN"/>
        </w:rPr>
      </w:pPr>
      <w:r w:rsidRPr="002742BE">
        <w:rPr>
          <w:rFonts w:ascii="Arial" w:hAnsi="Arial" w:cs="Arial"/>
          <w:i/>
          <w:sz w:val="22"/>
          <w:szCs w:val="22"/>
          <w:lang w:val="en-AU"/>
        </w:rPr>
        <w:t>Renal impairment</w:t>
      </w:r>
    </w:p>
    <w:p w:rsidR="001D1004" w:rsidRPr="002742BE" w:rsidRDefault="008C631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Rivaroxaban </w:t>
      </w:r>
      <w:r w:rsidR="001D1004" w:rsidRPr="002742BE">
        <w:rPr>
          <w:rFonts w:ascii="Arial" w:hAnsi="Arial" w:cs="Arial"/>
          <w:sz w:val="22"/>
          <w:szCs w:val="22"/>
          <w:lang w:val="en-AU"/>
        </w:rPr>
        <w:t xml:space="preserve">exposure </w:t>
      </w:r>
      <w:r w:rsidRPr="002742BE">
        <w:rPr>
          <w:rFonts w:ascii="Arial" w:hAnsi="Arial" w:cs="Arial"/>
          <w:sz w:val="22"/>
          <w:szCs w:val="22"/>
          <w:lang w:val="en-AU"/>
        </w:rPr>
        <w:t xml:space="preserve">was </w:t>
      </w:r>
      <w:r w:rsidR="001D1004" w:rsidRPr="002742BE">
        <w:rPr>
          <w:rFonts w:ascii="Arial" w:hAnsi="Arial" w:cs="Arial"/>
          <w:sz w:val="22"/>
          <w:szCs w:val="22"/>
          <w:lang w:val="en-AU"/>
        </w:rPr>
        <w:t xml:space="preserve">inversely correlated to the decrease in renal function, as assessed via creatinine clearance </w:t>
      </w:r>
      <w:r w:rsidR="00D168E1" w:rsidRPr="002742BE">
        <w:rPr>
          <w:rFonts w:ascii="Arial" w:hAnsi="Arial" w:cs="Arial"/>
          <w:sz w:val="22"/>
          <w:szCs w:val="22"/>
          <w:lang w:val="en-AU"/>
        </w:rPr>
        <w:t xml:space="preserve">(CrCl) </w:t>
      </w:r>
      <w:r w:rsidR="001D1004" w:rsidRPr="002742BE">
        <w:rPr>
          <w:rFonts w:ascii="Arial" w:hAnsi="Arial" w:cs="Arial"/>
          <w:sz w:val="22"/>
          <w:szCs w:val="22"/>
          <w:lang w:val="en-AU"/>
        </w:rPr>
        <w:t xml:space="preserve">measurements. In individuals with mild (creatinine clearance 50 - 80 mL/min), moderate (creatinine clearance 30 - 49 mL/min) and severe (creatinine clearance </w:t>
      </w:r>
      <w:r w:rsidR="001B257F" w:rsidRPr="002742BE">
        <w:rPr>
          <w:rFonts w:ascii="Arial" w:hAnsi="Arial" w:cs="Arial"/>
          <w:sz w:val="22"/>
          <w:szCs w:val="22"/>
          <w:lang w:val="en-AU"/>
        </w:rPr>
        <w:t>15</w:t>
      </w:r>
      <w:r w:rsidR="00784652">
        <w:rPr>
          <w:rFonts w:ascii="Arial" w:hAnsi="Arial" w:cs="Arial"/>
          <w:sz w:val="22"/>
          <w:szCs w:val="22"/>
          <w:lang w:val="en-AU"/>
        </w:rPr>
        <w:t xml:space="preserve"> </w:t>
      </w:r>
      <w:r w:rsidR="001B257F" w:rsidRPr="002742BE">
        <w:rPr>
          <w:rFonts w:ascii="Arial" w:hAnsi="Arial" w:cs="Arial"/>
          <w:sz w:val="22"/>
          <w:szCs w:val="22"/>
          <w:lang w:val="en-AU"/>
        </w:rPr>
        <w:t>-</w:t>
      </w:r>
      <w:r w:rsidR="00784652">
        <w:rPr>
          <w:rFonts w:ascii="Arial" w:hAnsi="Arial" w:cs="Arial"/>
          <w:sz w:val="22"/>
          <w:szCs w:val="22"/>
          <w:lang w:val="en-AU"/>
        </w:rPr>
        <w:t xml:space="preserve"> </w:t>
      </w:r>
      <w:r w:rsidR="001B257F" w:rsidRPr="002742BE">
        <w:rPr>
          <w:rFonts w:ascii="Arial" w:hAnsi="Arial" w:cs="Arial"/>
          <w:sz w:val="22"/>
          <w:szCs w:val="22"/>
          <w:lang w:val="en-AU"/>
        </w:rPr>
        <w:t>29</w:t>
      </w:r>
      <w:r w:rsidR="001D1004" w:rsidRPr="002742BE">
        <w:rPr>
          <w:rFonts w:ascii="Arial" w:hAnsi="Arial" w:cs="Arial"/>
          <w:sz w:val="22"/>
          <w:szCs w:val="22"/>
          <w:lang w:val="en-AU"/>
        </w:rPr>
        <w:t xml:space="preserve"> mL/min) renal impairment, rivaroxaban plasma concentrations </w:t>
      </w:r>
      <w:r w:rsidR="001D1004" w:rsidRPr="002742BE">
        <w:rPr>
          <w:rFonts w:ascii="Arial" w:hAnsi="Arial" w:cs="Arial"/>
          <w:sz w:val="22"/>
          <w:szCs w:val="22"/>
          <w:lang w:val="en-AU"/>
        </w:rPr>
        <w:lastRenderedPageBreak/>
        <w:t>(AUC) were 1.4, 1.5 and 1.6-fold increased respectively as compared to healthy volunteers (see</w:t>
      </w:r>
      <w:r w:rsidR="001D1004" w:rsidRPr="002742BE">
        <w:rPr>
          <w:rFonts w:ascii="Arial" w:hAnsi="Arial" w:cs="Arial"/>
          <w:i/>
          <w:sz w:val="22"/>
          <w:szCs w:val="22"/>
          <w:lang w:val="en-AU"/>
        </w:rPr>
        <w:t xml:space="preserve"> </w:t>
      </w:r>
      <w:r w:rsidR="001D1004" w:rsidRPr="002742BE">
        <w:rPr>
          <w:rFonts w:ascii="Arial" w:hAnsi="Arial" w:cs="Arial"/>
          <w:sz w:val="22"/>
          <w:szCs w:val="22"/>
          <w:lang w:val="en-AU"/>
        </w:rPr>
        <w:t xml:space="preserve">DOSAGE AND ADMINISTRATION and PRECAUTIONS). </w:t>
      </w:r>
    </w:p>
    <w:p w:rsidR="00FB2DD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Corresponding increases in pharmacodynamic effects were more pronounced (see</w:t>
      </w:r>
      <w:r w:rsidRPr="002742BE">
        <w:rPr>
          <w:rFonts w:ascii="Arial" w:hAnsi="Arial" w:cs="Arial"/>
          <w:i/>
          <w:sz w:val="22"/>
          <w:szCs w:val="22"/>
          <w:lang w:val="en-AU"/>
        </w:rPr>
        <w:t xml:space="preserve"> </w:t>
      </w:r>
      <w:r w:rsidRPr="002742BE">
        <w:rPr>
          <w:rFonts w:ascii="Arial" w:hAnsi="Arial" w:cs="Arial"/>
          <w:sz w:val="22"/>
          <w:szCs w:val="22"/>
          <w:lang w:val="en-AU"/>
        </w:rPr>
        <w:t>DOSAGE AND ADMINISTRATION and PRECAUTIONS)</w:t>
      </w:r>
      <w:r w:rsidR="00FB2DD4" w:rsidRPr="002742BE">
        <w:rPr>
          <w:rFonts w:ascii="Arial" w:hAnsi="Arial" w:cs="Arial"/>
          <w:sz w:val="22"/>
          <w:szCs w:val="22"/>
          <w:lang w:val="en-AU"/>
        </w:rPr>
        <w:t xml:space="preserve"> in</w:t>
      </w:r>
      <w:r w:rsidRPr="002742BE">
        <w:rPr>
          <w:rFonts w:ascii="Arial" w:hAnsi="Arial" w:cs="Arial"/>
          <w:sz w:val="22"/>
          <w:szCs w:val="22"/>
          <w:lang w:val="en-AU"/>
        </w:rPr>
        <w:t xml:space="preserve"> individuals with mild, moderate or severe renal impairment</w:t>
      </w:r>
      <w:r w:rsidR="00FB2DD4" w:rsidRPr="002742BE">
        <w:rPr>
          <w:rFonts w:ascii="Arial" w:hAnsi="Arial" w:cs="Arial"/>
          <w:sz w:val="22"/>
          <w:szCs w:val="22"/>
          <w:lang w:val="en-AU"/>
        </w:rPr>
        <w:t>;</w:t>
      </w:r>
      <w:r w:rsidRPr="002742BE">
        <w:rPr>
          <w:rFonts w:ascii="Arial" w:hAnsi="Arial" w:cs="Arial"/>
          <w:sz w:val="22"/>
          <w:szCs w:val="22"/>
          <w:lang w:val="en-AU"/>
        </w:rPr>
        <w:t xml:space="preserve"> the overall inhibition of FXa activity was increased by a factor of 1.5, 1.9 and 2.0 respectively as compared to healthy volunteers</w:t>
      </w:r>
      <w:r w:rsidR="00FB2DD4" w:rsidRPr="002742BE">
        <w:rPr>
          <w:rFonts w:ascii="Arial" w:hAnsi="Arial" w:cs="Arial"/>
          <w:sz w:val="22"/>
          <w:szCs w:val="22"/>
          <w:lang w:val="en-AU"/>
        </w:rPr>
        <w:t>. P</w:t>
      </w:r>
      <w:r w:rsidRPr="002742BE">
        <w:rPr>
          <w:rFonts w:ascii="Arial" w:hAnsi="Arial" w:cs="Arial"/>
          <w:sz w:val="22"/>
          <w:szCs w:val="22"/>
          <w:lang w:val="en-AU"/>
        </w:rPr>
        <w:t>rolongation of PT was similarly increased by a factor of 1.3, 2.2 and 2.4 respectively</w:t>
      </w:r>
      <w:r w:rsidR="001B257F" w:rsidRPr="002742BE">
        <w:rPr>
          <w:rFonts w:ascii="Arial" w:hAnsi="Arial" w:cs="Arial"/>
          <w:sz w:val="22"/>
          <w:szCs w:val="22"/>
          <w:lang w:val="en-AU"/>
        </w:rPr>
        <w:t xml:space="preserve">. </w:t>
      </w:r>
    </w:p>
    <w:p w:rsidR="00DD0ED2" w:rsidRPr="002742BE" w:rsidRDefault="001B257F"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There are no data in patients with CrCl &lt;</w:t>
      </w:r>
      <w:r w:rsidR="00863BD7" w:rsidRPr="002742BE">
        <w:rPr>
          <w:lang w:val="en-AU"/>
        </w:rPr>
        <w:t> </w:t>
      </w:r>
      <w:r w:rsidRPr="002742BE">
        <w:rPr>
          <w:rFonts w:ascii="Arial" w:hAnsi="Arial" w:cs="Arial"/>
          <w:sz w:val="22"/>
          <w:szCs w:val="22"/>
          <w:lang w:val="en-AU"/>
        </w:rPr>
        <w:t>15</w:t>
      </w:r>
      <w:r w:rsidR="00863BD7" w:rsidRPr="002742BE">
        <w:rPr>
          <w:rFonts w:ascii="Arial" w:hAnsi="Arial" w:cs="Arial"/>
          <w:sz w:val="22"/>
          <w:szCs w:val="22"/>
          <w:lang w:val="en-AU"/>
        </w:rPr>
        <w:t> </w:t>
      </w:r>
      <w:r w:rsidRPr="002742BE">
        <w:rPr>
          <w:rFonts w:ascii="Arial" w:hAnsi="Arial" w:cs="Arial"/>
          <w:sz w:val="22"/>
          <w:szCs w:val="22"/>
          <w:lang w:val="en-AU"/>
        </w:rPr>
        <w:t xml:space="preserve">mL/min. Use is </w:t>
      </w:r>
      <w:r w:rsidR="00E05734" w:rsidRPr="002742BE">
        <w:rPr>
          <w:rFonts w:ascii="Arial" w:hAnsi="Arial" w:cs="Arial"/>
          <w:sz w:val="22"/>
          <w:szCs w:val="22"/>
          <w:lang w:val="en-AU"/>
        </w:rPr>
        <w:t>contraindicated</w:t>
      </w:r>
      <w:r w:rsidRPr="002742BE">
        <w:rPr>
          <w:rFonts w:ascii="Arial" w:hAnsi="Arial" w:cs="Arial"/>
          <w:sz w:val="22"/>
          <w:szCs w:val="22"/>
          <w:lang w:val="en-AU"/>
        </w:rPr>
        <w:t xml:space="preserve"> in patients with creatinine clearance &lt;</w:t>
      </w:r>
      <w:r w:rsidR="00863BD7" w:rsidRPr="002742BE">
        <w:rPr>
          <w:rFonts w:ascii="Arial" w:hAnsi="Arial" w:cs="Arial"/>
          <w:sz w:val="22"/>
          <w:szCs w:val="22"/>
          <w:lang w:val="en-AU"/>
        </w:rPr>
        <w:t> </w:t>
      </w:r>
      <w:r w:rsidRPr="002742BE">
        <w:rPr>
          <w:rFonts w:ascii="Arial" w:hAnsi="Arial" w:cs="Arial"/>
          <w:sz w:val="22"/>
          <w:szCs w:val="22"/>
          <w:lang w:val="en-AU"/>
        </w:rPr>
        <w:t>15</w:t>
      </w:r>
      <w:r w:rsidR="00863BD7" w:rsidRPr="002742BE">
        <w:rPr>
          <w:lang w:val="en-AU"/>
        </w:rPr>
        <w:t> </w:t>
      </w:r>
      <w:r w:rsidRPr="002742BE">
        <w:rPr>
          <w:rFonts w:ascii="Arial" w:hAnsi="Arial" w:cs="Arial"/>
          <w:sz w:val="22"/>
          <w:szCs w:val="22"/>
          <w:lang w:val="en-AU"/>
        </w:rPr>
        <w:t>mL/min</w:t>
      </w:r>
      <w:r w:rsidR="00863BD7" w:rsidRPr="002742BE">
        <w:rPr>
          <w:rFonts w:ascii="Arial" w:hAnsi="Arial" w:cs="Arial"/>
          <w:sz w:val="22"/>
          <w:szCs w:val="22"/>
          <w:lang w:val="en-AU"/>
        </w:rPr>
        <w:t xml:space="preserve"> (see CONTRAINDICATIONS)</w:t>
      </w:r>
      <w:r w:rsidRPr="002742BE">
        <w:rPr>
          <w:rFonts w:ascii="Arial" w:hAnsi="Arial" w:cs="Arial"/>
          <w:sz w:val="22"/>
          <w:szCs w:val="22"/>
          <w:lang w:val="en-AU"/>
        </w:rPr>
        <w:t xml:space="preserve">. </w:t>
      </w:r>
      <w:r w:rsidR="00E8487E" w:rsidRPr="002742BE">
        <w:rPr>
          <w:rFonts w:ascii="Arial" w:hAnsi="Arial" w:cs="Arial"/>
          <w:sz w:val="22"/>
          <w:szCs w:val="22"/>
          <w:lang w:val="en-AU"/>
        </w:rPr>
        <w:t xml:space="preserve">Xarelto </w:t>
      </w:r>
      <w:r w:rsidR="00D770BC" w:rsidRPr="002742BE">
        <w:rPr>
          <w:rFonts w:ascii="Arial" w:hAnsi="Arial" w:cs="Arial"/>
          <w:sz w:val="22"/>
          <w:szCs w:val="22"/>
          <w:lang w:val="en-AU"/>
        </w:rPr>
        <w:t xml:space="preserve">10 mg </w:t>
      </w:r>
      <w:r w:rsidRPr="002742BE">
        <w:rPr>
          <w:rFonts w:ascii="Arial" w:hAnsi="Arial" w:cs="Arial"/>
          <w:sz w:val="22"/>
          <w:szCs w:val="22"/>
          <w:lang w:val="en-AU"/>
        </w:rPr>
        <w:t>is to be used with caution in patients with severe renal impairment creatinine clearance 15</w:t>
      </w:r>
      <w:r w:rsidR="00B51C25">
        <w:rPr>
          <w:rFonts w:ascii="Arial" w:hAnsi="Arial" w:cs="Arial"/>
          <w:sz w:val="22"/>
          <w:szCs w:val="22"/>
          <w:lang w:val="en-AU"/>
        </w:rPr>
        <w:t xml:space="preserve"> </w:t>
      </w:r>
      <w:r w:rsidRPr="002742BE">
        <w:rPr>
          <w:rFonts w:ascii="Arial" w:hAnsi="Arial" w:cs="Arial"/>
          <w:sz w:val="22"/>
          <w:szCs w:val="22"/>
          <w:lang w:val="en-AU"/>
        </w:rPr>
        <w:t>-</w:t>
      </w:r>
      <w:r w:rsidR="00B51C25">
        <w:rPr>
          <w:rFonts w:ascii="Arial" w:hAnsi="Arial" w:cs="Arial"/>
          <w:sz w:val="22"/>
          <w:szCs w:val="22"/>
          <w:lang w:val="en-AU"/>
        </w:rPr>
        <w:t xml:space="preserve"> </w:t>
      </w:r>
      <w:r w:rsidR="00864DE7" w:rsidRPr="002742BE">
        <w:rPr>
          <w:rFonts w:ascii="Arial" w:hAnsi="Arial" w:cs="Arial"/>
          <w:sz w:val="22"/>
          <w:szCs w:val="22"/>
          <w:lang w:val="en-AU"/>
        </w:rPr>
        <w:t>29</w:t>
      </w:r>
      <w:r w:rsidR="00863BD7" w:rsidRPr="002742BE">
        <w:rPr>
          <w:rFonts w:ascii="Arial" w:hAnsi="Arial" w:cs="Arial"/>
          <w:sz w:val="22"/>
          <w:szCs w:val="22"/>
          <w:lang w:val="en-AU"/>
        </w:rPr>
        <w:t> </w:t>
      </w:r>
      <w:r w:rsidRPr="002742BE">
        <w:rPr>
          <w:rFonts w:ascii="Arial" w:hAnsi="Arial" w:cs="Arial"/>
          <w:sz w:val="22"/>
          <w:szCs w:val="22"/>
          <w:lang w:val="en-AU"/>
        </w:rPr>
        <w:t>mL/min</w:t>
      </w:r>
      <w:r w:rsidR="00DD0ED2" w:rsidRPr="002742BE">
        <w:rPr>
          <w:rFonts w:ascii="Arial" w:hAnsi="Arial" w:cs="Arial"/>
          <w:sz w:val="22"/>
          <w:szCs w:val="22"/>
          <w:lang w:val="en-AU"/>
        </w:rPr>
        <w:t>. Xarelto 15 mg and 20 mg are contraindicated in patients with CrCl &lt; 30 mL/min.</w:t>
      </w:r>
      <w:r w:rsidR="001D1004" w:rsidRPr="002742BE">
        <w:rPr>
          <w:rFonts w:ascii="Arial" w:hAnsi="Arial" w:cs="Arial"/>
          <w:sz w:val="22"/>
          <w:szCs w:val="22"/>
          <w:lang w:val="en-AU"/>
        </w:rPr>
        <w:t xml:space="preserve"> (see</w:t>
      </w:r>
      <w:r w:rsidR="001D1004" w:rsidRPr="002742BE">
        <w:rPr>
          <w:rFonts w:ascii="Arial" w:hAnsi="Arial" w:cs="Arial"/>
          <w:i/>
          <w:sz w:val="22"/>
          <w:szCs w:val="22"/>
          <w:lang w:val="en-AU"/>
        </w:rPr>
        <w:t xml:space="preserve"> </w:t>
      </w:r>
      <w:r w:rsidR="001D1004" w:rsidRPr="002742BE">
        <w:rPr>
          <w:rFonts w:ascii="Arial" w:hAnsi="Arial" w:cs="Arial"/>
          <w:sz w:val="22"/>
          <w:szCs w:val="22"/>
          <w:lang w:val="en-AU"/>
        </w:rPr>
        <w:t>DOSAGE AND ADMINISTRATION</w:t>
      </w:r>
      <w:r w:rsidR="00DD0ED2" w:rsidRPr="002742BE">
        <w:rPr>
          <w:rFonts w:ascii="Arial" w:hAnsi="Arial" w:cs="Arial"/>
          <w:sz w:val="22"/>
          <w:szCs w:val="22"/>
          <w:lang w:val="en-AU"/>
        </w:rPr>
        <w:t>, CONTRAINDICATIONS</w:t>
      </w:r>
      <w:r w:rsidR="001D1004" w:rsidRPr="002742BE">
        <w:rPr>
          <w:rFonts w:ascii="Arial" w:hAnsi="Arial" w:cs="Arial"/>
          <w:sz w:val="22"/>
          <w:szCs w:val="22"/>
          <w:lang w:val="en-AU"/>
        </w:rPr>
        <w:t xml:space="preserve"> and PRECAUTIONS). </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Due to the underlying disease</w:t>
      </w:r>
      <w:r w:rsidR="00B469CA" w:rsidRPr="002742BE">
        <w:rPr>
          <w:rFonts w:ascii="Arial" w:hAnsi="Arial" w:cs="Arial"/>
          <w:sz w:val="22"/>
          <w:szCs w:val="22"/>
          <w:lang w:val="en-AU"/>
        </w:rPr>
        <w:t xml:space="preserve"> </w:t>
      </w:r>
      <w:r w:rsidRPr="002742BE">
        <w:rPr>
          <w:rFonts w:ascii="Arial" w:hAnsi="Arial" w:cs="Arial"/>
          <w:sz w:val="22"/>
          <w:szCs w:val="22"/>
          <w:lang w:val="en-AU"/>
        </w:rPr>
        <w:t xml:space="preserve">patients with severe renal impairment are at an increased risk of both bleeding and thrombosis. </w:t>
      </w:r>
      <w:r w:rsidR="00B469CA" w:rsidRPr="002742BE">
        <w:rPr>
          <w:rFonts w:ascii="Arial" w:hAnsi="Arial" w:cs="Arial"/>
          <w:sz w:val="22"/>
          <w:szCs w:val="22"/>
          <w:lang w:val="en-AU"/>
        </w:rPr>
        <w:t>The increased exposure to rivaroxaban further increases the risk of bleeding in these patients.</w:t>
      </w:r>
      <w:r w:rsidR="008A2669" w:rsidRPr="002742BE">
        <w:rPr>
          <w:rFonts w:ascii="Arial" w:hAnsi="Arial" w:cs="Arial"/>
          <w:sz w:val="22"/>
          <w:szCs w:val="22"/>
          <w:lang w:val="en-AU"/>
        </w:rPr>
        <w:t xml:space="preserve"> </w:t>
      </w:r>
      <w:r w:rsidRPr="002742BE">
        <w:rPr>
          <w:rFonts w:ascii="Arial" w:hAnsi="Arial" w:cs="Arial"/>
          <w:sz w:val="22"/>
          <w:szCs w:val="22"/>
          <w:lang w:val="en-AU"/>
        </w:rPr>
        <w:t>Due to the high plasma protein binding rivaroxaban is not expected to be dialysable.</w:t>
      </w:r>
    </w:p>
    <w:p w:rsidR="00867DE1" w:rsidRPr="002742BE" w:rsidRDefault="00D770BC" w:rsidP="00C72F73">
      <w:pPr>
        <w:spacing w:before="120" w:after="120"/>
        <w:ind w:right="45"/>
        <w:jc w:val="both"/>
        <w:rPr>
          <w:rFonts w:ascii="Arial" w:hAnsi="Arial" w:cs="Arial"/>
          <w:sz w:val="22"/>
          <w:szCs w:val="22"/>
          <w:lang w:val="en-AU" w:eastAsia="en-AU"/>
        </w:rPr>
      </w:pPr>
      <w:r w:rsidRPr="002742BE">
        <w:rPr>
          <w:rFonts w:ascii="Arial" w:hAnsi="Arial" w:cs="Arial"/>
          <w:sz w:val="22"/>
          <w:szCs w:val="22"/>
          <w:lang w:val="en-AU"/>
        </w:rPr>
        <w:t xml:space="preserve">If there is a suspicion of renal impairment, the degree of renal impairment must be determined accurately. </w:t>
      </w:r>
      <w:r w:rsidR="00613FC4" w:rsidRPr="002742BE">
        <w:rPr>
          <w:rFonts w:ascii="Arial" w:hAnsi="Arial" w:cs="Arial"/>
          <w:sz w:val="22"/>
          <w:szCs w:val="22"/>
          <w:lang w:val="en-AU" w:eastAsia="en-AU"/>
        </w:rPr>
        <w:t xml:space="preserve">Caution must be exercised when renal function estimates are based on eGFR. </w:t>
      </w:r>
      <w:r w:rsidR="00867DE1" w:rsidRPr="002742BE">
        <w:rPr>
          <w:rFonts w:ascii="Arial" w:hAnsi="Arial" w:cs="Arial"/>
          <w:sz w:val="22"/>
          <w:szCs w:val="22"/>
          <w:lang w:val="en-AU"/>
        </w:rPr>
        <w:t xml:space="preserve">In clinical trials, renal function was determined using </w:t>
      </w:r>
      <w:r w:rsidR="00613FC4" w:rsidRPr="002742BE">
        <w:rPr>
          <w:rFonts w:ascii="Arial" w:hAnsi="Arial" w:cs="Arial"/>
          <w:sz w:val="22"/>
          <w:szCs w:val="22"/>
          <w:lang w:val="en-AU"/>
        </w:rPr>
        <w:t xml:space="preserve">the calculated </w:t>
      </w:r>
      <w:r w:rsidR="00867DE1" w:rsidRPr="002742BE">
        <w:rPr>
          <w:rFonts w:ascii="Arial" w:hAnsi="Arial" w:cs="Arial"/>
          <w:sz w:val="22"/>
          <w:szCs w:val="22"/>
          <w:lang w:val="en-AU"/>
        </w:rPr>
        <w:t xml:space="preserve">creatinine clearance, </w:t>
      </w:r>
      <w:r w:rsidR="00867DE1" w:rsidRPr="002742BE">
        <w:rPr>
          <w:rFonts w:ascii="Arial" w:hAnsi="Arial" w:cs="Arial"/>
          <w:sz w:val="22"/>
          <w:szCs w:val="22"/>
          <w:lang w:val="en-AU" w:eastAsia="en-AU"/>
        </w:rPr>
        <w:t>using the Cockcroft-Gault Formula as follows:</w:t>
      </w:r>
    </w:p>
    <w:p w:rsidR="00355F44" w:rsidRPr="00B15449" w:rsidRDefault="00355F44" w:rsidP="00DF2E68">
      <w:pPr>
        <w:autoSpaceDE w:val="0"/>
        <w:autoSpaceDN w:val="0"/>
        <w:adjustRightInd w:val="0"/>
        <w:spacing w:after="240"/>
        <w:ind w:right="45"/>
        <w:rPr>
          <w:rFonts w:ascii="Arial" w:hAnsi="Arial" w:cs="Arial"/>
          <w:sz w:val="22"/>
          <w:szCs w:val="22"/>
          <w:u w:val="single"/>
          <w:lang w:val="en-AU" w:eastAsia="en-AU"/>
        </w:rPr>
      </w:pPr>
      <w:r w:rsidRPr="00B15449">
        <w:rPr>
          <w:rFonts w:ascii="Arial" w:hAnsi="Arial" w:cs="Arial"/>
          <w:sz w:val="22"/>
          <w:szCs w:val="22"/>
          <w:u w:val="single"/>
          <w:lang w:val="en-AU" w:eastAsia="en-AU"/>
        </w:rPr>
        <w:t>For serum creatinine concentration in mg/100 mL:</w:t>
      </w:r>
    </w:p>
    <w:p w:rsidR="00355F44" w:rsidRDefault="00304926" w:rsidP="00DF2E68">
      <w:pPr>
        <w:autoSpaceDE w:val="0"/>
        <w:autoSpaceDN w:val="0"/>
        <w:adjustRightInd w:val="0"/>
        <w:spacing w:after="240"/>
        <w:ind w:right="45"/>
        <w:rPr>
          <w:rFonts w:ascii="Arial" w:hAnsi="Arial" w:cs="Arial"/>
          <w:sz w:val="22"/>
          <w:szCs w:val="22"/>
          <w:lang w:val="en-AU" w:eastAsia="en-AU"/>
        </w:rPr>
      </w:pPr>
      <w:r w:rsidRPr="00304926">
        <w:rPr>
          <w:rFonts w:ascii="Arial" w:hAnsi="Arial" w:cs="Arial"/>
          <w:position w:val="-30"/>
          <w:sz w:val="22"/>
          <w:szCs w:val="22"/>
          <w:lang w:val="en-AU" w:eastAsia="en-AU"/>
        </w:rPr>
        <w:object w:dxaOrig="8700" w:dyaOrig="680">
          <v:shape id="_x0000_i1026" type="#_x0000_t75" style="width:435pt;height:33.75pt" o:ole="">
            <v:imagedata r:id="rId10" o:title=""/>
          </v:shape>
          <o:OLEObject Type="Embed" ProgID="Equation.3" ShapeID="_x0000_i1026" DrawAspect="Content" ObjectID="_1444485309" r:id="rId11"/>
        </w:object>
      </w:r>
    </w:p>
    <w:p w:rsidR="00DF2E68" w:rsidRPr="00B15449" w:rsidRDefault="00355F44" w:rsidP="00DF2E68">
      <w:pPr>
        <w:autoSpaceDE w:val="0"/>
        <w:autoSpaceDN w:val="0"/>
        <w:adjustRightInd w:val="0"/>
        <w:spacing w:after="240"/>
        <w:ind w:right="45"/>
        <w:rPr>
          <w:rFonts w:ascii="Arial" w:hAnsi="Arial" w:cs="Arial"/>
          <w:sz w:val="22"/>
          <w:szCs w:val="22"/>
          <w:u w:val="single"/>
          <w:lang w:val="en-AU" w:eastAsia="en-AU"/>
        </w:rPr>
      </w:pPr>
      <w:r w:rsidRPr="00B15449">
        <w:rPr>
          <w:rFonts w:ascii="Arial" w:hAnsi="Arial" w:cs="Arial"/>
          <w:sz w:val="22"/>
          <w:szCs w:val="22"/>
          <w:u w:val="single"/>
          <w:lang w:val="en-AU" w:eastAsia="en-AU"/>
        </w:rPr>
        <w:t xml:space="preserve">For serum creatinine concentration in </w:t>
      </w:r>
      <w:r w:rsidRPr="00B15449">
        <w:rPr>
          <w:rFonts w:ascii="Arial" w:hAnsi="Arial" w:cs="Arial"/>
          <w:sz w:val="22"/>
          <w:szCs w:val="22"/>
          <w:u w:val="single"/>
        </w:rPr>
        <w:t>µmol/L:</w:t>
      </w:r>
    </w:p>
    <w:p w:rsidR="00DF2E68" w:rsidRPr="00B15449" w:rsidRDefault="00304926" w:rsidP="00DF2E68">
      <w:pPr>
        <w:autoSpaceDE w:val="0"/>
        <w:autoSpaceDN w:val="0"/>
        <w:adjustRightInd w:val="0"/>
        <w:spacing w:after="240"/>
        <w:ind w:right="45"/>
        <w:rPr>
          <w:rFonts w:ascii="Arial" w:hAnsi="Arial" w:cs="Arial"/>
          <w:sz w:val="22"/>
          <w:szCs w:val="22"/>
          <w:lang w:val="en-AU" w:eastAsia="en-AU"/>
        </w:rPr>
      </w:pPr>
      <w:r w:rsidRPr="00304926">
        <w:rPr>
          <w:rFonts w:ascii="Arial" w:hAnsi="Arial" w:cs="Arial"/>
          <w:position w:val="-30"/>
          <w:sz w:val="22"/>
          <w:szCs w:val="22"/>
          <w:lang w:val="en-AU" w:eastAsia="en-AU"/>
        </w:rPr>
        <w:object w:dxaOrig="8940" w:dyaOrig="680">
          <v:shape id="_x0000_i1027" type="#_x0000_t75" style="width:447pt;height:33.75pt" o:ole="">
            <v:imagedata r:id="rId12" o:title=""/>
          </v:shape>
          <o:OLEObject Type="Embed" ProgID="Equation.3" ShapeID="_x0000_i1027" DrawAspect="Content" ObjectID="_1444485310" r:id="rId13"/>
        </w:object>
      </w:r>
    </w:p>
    <w:p w:rsidR="001D1004" w:rsidRPr="002742BE" w:rsidRDefault="001D1004" w:rsidP="00F04C47">
      <w:pPr>
        <w:pStyle w:val="Heading1"/>
        <w:spacing w:before="120" w:line="240" w:lineRule="auto"/>
        <w:ind w:right="46"/>
        <w:rPr>
          <w:rFonts w:ascii="Arial" w:hAnsi="Arial" w:cs="Arial"/>
          <w:sz w:val="24"/>
          <w:szCs w:val="24"/>
        </w:rPr>
      </w:pPr>
      <w:r w:rsidRPr="002742BE">
        <w:rPr>
          <w:rFonts w:ascii="Arial" w:hAnsi="Arial" w:cs="Arial"/>
          <w:sz w:val="24"/>
          <w:szCs w:val="24"/>
        </w:rPr>
        <w:t xml:space="preserve">CLINICAL </w:t>
      </w:r>
      <w:r w:rsidR="005931B7" w:rsidRPr="002742BE">
        <w:rPr>
          <w:rFonts w:ascii="Arial" w:hAnsi="Arial" w:cs="Arial"/>
          <w:sz w:val="24"/>
          <w:szCs w:val="24"/>
        </w:rPr>
        <w:t>TRIALS</w:t>
      </w:r>
    </w:p>
    <w:p w:rsidR="001D1004" w:rsidRPr="0001010C" w:rsidRDefault="001D1004" w:rsidP="0001010C">
      <w:pPr>
        <w:pStyle w:val="Heading2"/>
        <w:rPr>
          <w:rFonts w:ascii="Arial" w:hAnsi="Arial" w:cs="Arial"/>
          <w:sz w:val="22"/>
        </w:rPr>
      </w:pPr>
      <w:r w:rsidRPr="0001010C">
        <w:rPr>
          <w:rFonts w:ascii="Arial" w:hAnsi="Arial" w:cs="Arial"/>
          <w:sz w:val="22"/>
        </w:rPr>
        <w:t>Prevention of Venous Thromboembolic Events (VTE) in patients undergoing major orthopaedic surgery of the lower limbs</w:t>
      </w:r>
    </w:p>
    <w:p w:rsidR="001D1004" w:rsidRPr="002742BE" w:rsidRDefault="001D1004" w:rsidP="00F04C47">
      <w:pPr>
        <w:pStyle w:val="Default"/>
        <w:widowControl/>
        <w:tabs>
          <w:tab w:val="left" w:pos="8640"/>
        </w:tabs>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The </w:t>
      </w:r>
      <w:r w:rsidR="008C6314" w:rsidRPr="002742BE">
        <w:rPr>
          <w:rFonts w:ascii="Arial" w:hAnsi="Arial" w:cs="Arial"/>
          <w:sz w:val="22"/>
          <w:szCs w:val="22"/>
          <w:lang w:val="en-AU"/>
        </w:rPr>
        <w:t xml:space="preserve">RECORD </w:t>
      </w:r>
      <w:r w:rsidRPr="002742BE">
        <w:rPr>
          <w:rFonts w:ascii="Arial" w:hAnsi="Arial" w:cs="Arial"/>
          <w:sz w:val="22"/>
          <w:szCs w:val="22"/>
          <w:lang w:val="en-AU"/>
        </w:rPr>
        <w:t xml:space="preserve">clinical program was designed to demonstrate the efficacy of </w:t>
      </w:r>
      <w:r w:rsidR="008C6314" w:rsidRPr="002742BE">
        <w:rPr>
          <w:rFonts w:ascii="Arial" w:hAnsi="Arial" w:cs="Arial"/>
          <w:sz w:val="22"/>
          <w:szCs w:val="22"/>
          <w:lang w:val="en-AU"/>
        </w:rPr>
        <w:t xml:space="preserve">rivaroxaban </w:t>
      </w:r>
      <w:r w:rsidRPr="002742BE">
        <w:rPr>
          <w:rFonts w:ascii="Arial" w:hAnsi="Arial" w:cs="Arial"/>
          <w:sz w:val="22"/>
          <w:szCs w:val="22"/>
          <w:lang w:val="en-AU"/>
        </w:rPr>
        <w:t xml:space="preserve">for the prevention of venous thromboembolic events (VTE), i.e. proximal and distal deep vein thrombosis (DVT) and pulmonary embolism (PE) in patients undergoing major orthopaedic surgery of the lower limbs. Over 9,500 patients (7,050 in total hip replacement surgery and 2,531 in total knee replacement surgery) were studied in controlled randomised double-blind Phase III clinical studies, known as the RECORD-program. </w:t>
      </w:r>
    </w:p>
    <w:p w:rsidR="00CE417D" w:rsidRPr="002742BE" w:rsidRDefault="000E2D3B" w:rsidP="00F04C47">
      <w:pPr>
        <w:pStyle w:val="BodyText2"/>
        <w:keepNext/>
        <w:tabs>
          <w:tab w:val="left" w:pos="8640"/>
        </w:tabs>
        <w:spacing w:before="120"/>
        <w:ind w:right="46"/>
        <w:rPr>
          <w:rFonts w:ascii="Arial" w:hAnsi="Arial" w:cs="Arial"/>
          <w:b w:val="0"/>
          <w:kern w:val="28"/>
          <w:szCs w:val="22"/>
        </w:rPr>
      </w:pPr>
      <w:r w:rsidRPr="002742BE">
        <w:rPr>
          <w:rFonts w:ascii="Arial" w:hAnsi="Arial" w:cs="Arial"/>
          <w:b w:val="0"/>
          <w:sz w:val="22"/>
          <w:szCs w:val="22"/>
        </w:rPr>
        <w:t xml:space="preserve">RECORD 1 and 2 were conducted in patients undergoing elective total hip replacement surgery (THR) and RECORD 3 was performed in patients undergoing elective total knee replacement (TKR) surgery.  </w:t>
      </w:r>
      <w:r w:rsidR="00CE417D" w:rsidRPr="002742BE">
        <w:rPr>
          <w:rFonts w:ascii="Arial" w:hAnsi="Arial" w:cs="Arial"/>
          <w:b w:val="0"/>
          <w:kern w:val="28"/>
          <w:sz w:val="22"/>
          <w:szCs w:val="22"/>
        </w:rPr>
        <w:t xml:space="preserve">Rivaroxaban has not been studied in clinical trials in patients undergoing hip fracture surgery. </w:t>
      </w:r>
    </w:p>
    <w:p w:rsidR="000E2D3B" w:rsidRPr="002742BE" w:rsidRDefault="008C6314" w:rsidP="00F04C47">
      <w:pPr>
        <w:pStyle w:val="Caption"/>
        <w:ind w:right="46"/>
        <w:rPr>
          <w:rFonts w:ascii="Arial" w:hAnsi="Arial" w:cs="Arial"/>
          <w:lang w:val="en-AU"/>
        </w:rPr>
      </w:pPr>
      <w:bookmarkStart w:id="2" w:name="_Ref318971425"/>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2</w:t>
      </w:r>
      <w:r w:rsidR="00794C79" w:rsidRPr="002742BE">
        <w:rPr>
          <w:rFonts w:ascii="Arial" w:hAnsi="Arial" w:cs="Arial"/>
          <w:lang w:val="en-AU"/>
        </w:rPr>
        <w:fldChar w:fldCharType="end"/>
      </w:r>
      <w:bookmarkEnd w:id="2"/>
      <w:r w:rsidRPr="002742BE">
        <w:rPr>
          <w:rFonts w:ascii="Arial" w:hAnsi="Arial" w:cs="Arial"/>
          <w:lang w:val="en-AU"/>
        </w:rPr>
        <w:t xml:space="preserve">: </w:t>
      </w:r>
      <w:r w:rsidR="003C64D2" w:rsidRPr="002742BE">
        <w:rPr>
          <w:rFonts w:ascii="Arial" w:hAnsi="Arial" w:cs="Arial"/>
          <w:lang w:val="en-AU"/>
        </w:rPr>
        <w:t>P</w:t>
      </w:r>
      <w:r w:rsidR="00ED0554" w:rsidRPr="002742BE">
        <w:rPr>
          <w:rFonts w:ascii="Arial" w:hAnsi="Arial" w:cs="Arial"/>
          <w:lang w:val="en-AU"/>
        </w:rPr>
        <w:t>atient demographics</w:t>
      </w:r>
      <w:r w:rsidRPr="002742BE">
        <w:rPr>
          <w:rFonts w:ascii="Arial" w:hAnsi="Arial" w:cs="Arial"/>
          <w:lang w:val="en-AU"/>
        </w:rPr>
        <w:t xml:space="preserve"> – RECORD studies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160"/>
        <w:gridCol w:w="1440"/>
        <w:gridCol w:w="1620"/>
        <w:gridCol w:w="1879"/>
      </w:tblGrid>
      <w:tr w:rsidR="000E2D3B" w:rsidRPr="002742BE" w:rsidTr="005949A1">
        <w:tc>
          <w:tcPr>
            <w:tcW w:w="1548" w:type="dxa"/>
            <w:shd w:val="clear" w:color="auto" w:fill="E6E6E6"/>
          </w:tcPr>
          <w:p w:rsidR="000E2D3B" w:rsidRPr="002742BE" w:rsidRDefault="00BB0B03"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lastRenderedPageBreak/>
              <w:t>Study</w:t>
            </w:r>
          </w:p>
        </w:tc>
        <w:tc>
          <w:tcPr>
            <w:tcW w:w="2160" w:type="dxa"/>
            <w:shd w:val="clear" w:color="auto" w:fill="E6E6E6"/>
          </w:tcPr>
          <w:p w:rsidR="000E2D3B" w:rsidRPr="002742BE" w:rsidRDefault="000E2D3B"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No of patients</w:t>
            </w:r>
          </w:p>
        </w:tc>
        <w:tc>
          <w:tcPr>
            <w:tcW w:w="3060" w:type="dxa"/>
            <w:gridSpan w:val="2"/>
            <w:shd w:val="clear" w:color="auto" w:fill="E6E6E6"/>
          </w:tcPr>
          <w:p w:rsidR="000E2D3B" w:rsidRPr="002742BE" w:rsidRDefault="000E2D3B"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N</w:t>
            </w:r>
            <w:r w:rsidR="00C43375" w:rsidRPr="002742BE">
              <w:rPr>
                <w:rFonts w:ascii="Arial" w:hAnsi="Arial" w:cs="Arial"/>
                <w:sz w:val="20"/>
                <w:szCs w:val="20"/>
                <w:lang w:val="en-AU"/>
              </w:rPr>
              <w:t xml:space="preserve"> (</w:t>
            </w:r>
            <w:r w:rsidRPr="002742BE">
              <w:rPr>
                <w:rFonts w:ascii="Arial" w:hAnsi="Arial" w:cs="Arial"/>
                <w:sz w:val="20"/>
                <w:szCs w:val="20"/>
                <w:lang w:val="en-AU"/>
              </w:rPr>
              <w:t>%</w:t>
            </w:r>
            <w:r w:rsidR="00C43375" w:rsidRPr="002742BE">
              <w:rPr>
                <w:rFonts w:ascii="Arial" w:hAnsi="Arial" w:cs="Arial"/>
                <w:sz w:val="20"/>
                <w:szCs w:val="20"/>
                <w:lang w:val="en-AU"/>
              </w:rPr>
              <w:t>)</w:t>
            </w:r>
            <w:r w:rsidRPr="002742BE">
              <w:rPr>
                <w:rFonts w:ascii="Arial" w:hAnsi="Arial" w:cs="Arial"/>
                <w:sz w:val="20"/>
                <w:szCs w:val="20"/>
                <w:lang w:val="en-AU"/>
              </w:rPr>
              <w:t xml:space="preserve"> / Sex</w:t>
            </w:r>
          </w:p>
        </w:tc>
        <w:tc>
          <w:tcPr>
            <w:tcW w:w="1879" w:type="dxa"/>
            <w:shd w:val="clear" w:color="auto" w:fill="E6E6E6"/>
          </w:tcPr>
          <w:p w:rsidR="005949A1" w:rsidRPr="002742BE" w:rsidRDefault="000E2D3B"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 xml:space="preserve">Mean age </w:t>
            </w:r>
          </w:p>
          <w:p w:rsidR="000E2D3B" w:rsidRPr="002742BE" w:rsidRDefault="000E2D3B"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 SD (years)</w:t>
            </w:r>
          </w:p>
        </w:tc>
      </w:tr>
      <w:tr w:rsidR="00BF7775" w:rsidRPr="002742BE" w:rsidTr="005949A1">
        <w:tc>
          <w:tcPr>
            <w:tcW w:w="1548"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RECORD 1 (THR)</w:t>
            </w:r>
          </w:p>
        </w:tc>
        <w:tc>
          <w:tcPr>
            <w:tcW w:w="2160"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2209 rivaroxaban</w:t>
            </w:r>
          </w:p>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2224 enoxaparin</w:t>
            </w:r>
          </w:p>
        </w:tc>
        <w:tc>
          <w:tcPr>
            <w:tcW w:w="1440"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1971(44.5)</w:t>
            </w:r>
            <w:r w:rsidR="003C64D2" w:rsidRPr="002742BE">
              <w:rPr>
                <w:rFonts w:ascii="Arial" w:hAnsi="Arial" w:cs="Arial"/>
                <w:sz w:val="20"/>
                <w:szCs w:val="20"/>
                <w:lang w:val="en-AU"/>
              </w:rPr>
              <w:t>/</w:t>
            </w:r>
            <w:r w:rsidRPr="002742BE">
              <w:rPr>
                <w:rFonts w:ascii="Arial" w:hAnsi="Arial" w:cs="Arial"/>
                <w:sz w:val="20"/>
                <w:szCs w:val="20"/>
                <w:lang w:val="en-AU"/>
              </w:rPr>
              <w:t xml:space="preserve"> male</w:t>
            </w:r>
          </w:p>
        </w:tc>
        <w:tc>
          <w:tcPr>
            <w:tcW w:w="1620"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2462 (55.5)/ female</w:t>
            </w:r>
          </w:p>
        </w:tc>
        <w:tc>
          <w:tcPr>
            <w:tcW w:w="1879"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63.2 ± 11.4</w:t>
            </w:r>
          </w:p>
        </w:tc>
      </w:tr>
      <w:tr w:rsidR="00BF7775" w:rsidRPr="002742BE" w:rsidTr="005949A1">
        <w:tc>
          <w:tcPr>
            <w:tcW w:w="1548"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RECORD 2</w:t>
            </w:r>
          </w:p>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(THR)</w:t>
            </w:r>
          </w:p>
        </w:tc>
        <w:tc>
          <w:tcPr>
            <w:tcW w:w="2160"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1228 rivaroxaban</w:t>
            </w:r>
          </w:p>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1229 enoxaparin</w:t>
            </w:r>
          </w:p>
        </w:tc>
        <w:tc>
          <w:tcPr>
            <w:tcW w:w="1440"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1139 (46)/ male</w:t>
            </w:r>
          </w:p>
        </w:tc>
        <w:tc>
          <w:tcPr>
            <w:tcW w:w="1620"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1318 (54)/ female</w:t>
            </w:r>
          </w:p>
        </w:tc>
        <w:tc>
          <w:tcPr>
            <w:tcW w:w="1879"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61.5 ± 13.4</w:t>
            </w:r>
          </w:p>
        </w:tc>
      </w:tr>
      <w:tr w:rsidR="00BF7775" w:rsidRPr="002742BE" w:rsidTr="005949A1">
        <w:tc>
          <w:tcPr>
            <w:tcW w:w="1548"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RECORD 3</w:t>
            </w:r>
          </w:p>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(TKR)</w:t>
            </w:r>
          </w:p>
        </w:tc>
        <w:tc>
          <w:tcPr>
            <w:tcW w:w="2160"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1220 rivaroxaban</w:t>
            </w:r>
          </w:p>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1239 enoxaparin</w:t>
            </w:r>
          </w:p>
        </w:tc>
        <w:tc>
          <w:tcPr>
            <w:tcW w:w="1440"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781 (31.8)/ male</w:t>
            </w:r>
          </w:p>
        </w:tc>
        <w:tc>
          <w:tcPr>
            <w:tcW w:w="1620"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1678 (68.2)/ female</w:t>
            </w:r>
          </w:p>
        </w:tc>
        <w:tc>
          <w:tcPr>
            <w:tcW w:w="1879" w:type="dxa"/>
            <w:shd w:val="clear" w:color="auto" w:fill="auto"/>
          </w:tcPr>
          <w:p w:rsidR="00BF7775" w:rsidRPr="002742BE" w:rsidRDefault="00BF7775" w:rsidP="00F04C47">
            <w:pPr>
              <w:pStyle w:val="Default"/>
              <w:widowControl/>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67.6 ± 9.0</w:t>
            </w:r>
          </w:p>
        </w:tc>
      </w:tr>
    </w:tbl>
    <w:p w:rsidR="00C43375" w:rsidRPr="002742BE" w:rsidRDefault="00C43375" w:rsidP="00F04C47">
      <w:pPr>
        <w:pStyle w:val="Default"/>
        <w:widowControl/>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The respective studies were heterogeneous </w:t>
      </w:r>
      <w:r w:rsidR="0070764F" w:rsidRPr="002742BE">
        <w:rPr>
          <w:rFonts w:ascii="Arial" w:hAnsi="Arial" w:cs="Arial"/>
          <w:sz w:val="22"/>
          <w:szCs w:val="22"/>
          <w:lang w:val="en-AU"/>
        </w:rPr>
        <w:t>with respect</w:t>
      </w:r>
      <w:r w:rsidRPr="002742BE">
        <w:rPr>
          <w:rFonts w:ascii="Arial" w:hAnsi="Arial" w:cs="Arial"/>
          <w:sz w:val="22"/>
          <w:szCs w:val="22"/>
          <w:lang w:val="en-AU"/>
        </w:rPr>
        <w:t xml:space="preserve"> to their composition of participating countries (centres from Europe, North and South America, Asia and Australia). Men and women of 18 years or older scheduled for hip or knee replacement surgery could be enrolled provided that they had no active or high risk of bleeding or other conditions contraindicating treatment with low-molecular weight heparin, no significant liver disease, were not pregnant or breastfeeding, or were not using HIV protease inhibitors.</w:t>
      </w:r>
    </w:p>
    <w:p w:rsidR="001D1004" w:rsidRPr="002742BE" w:rsidRDefault="000E2D3B" w:rsidP="00F04C47">
      <w:pPr>
        <w:pStyle w:val="Default"/>
        <w:widowControl/>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In all three pivotal studies, rivaroxaban </w:t>
      </w:r>
      <w:r w:rsidR="001D1004" w:rsidRPr="002742BE">
        <w:rPr>
          <w:rFonts w:ascii="Arial" w:hAnsi="Arial" w:cs="Arial"/>
          <w:sz w:val="22"/>
          <w:szCs w:val="22"/>
          <w:lang w:val="en-AU"/>
        </w:rPr>
        <w:t>10 mg once daily started not earlier than 6 hours postoperatively was compared with enoxaparin 40 mg once daily started 12 hours preoperatively.</w:t>
      </w:r>
    </w:p>
    <w:p w:rsidR="006805C0" w:rsidRPr="002742BE" w:rsidRDefault="005B1834" w:rsidP="00F04C47">
      <w:pPr>
        <w:pStyle w:val="Default"/>
        <w:widowControl/>
        <w:spacing w:before="120" w:after="240"/>
        <w:ind w:right="46"/>
        <w:jc w:val="both"/>
        <w:rPr>
          <w:rFonts w:ascii="Arial" w:hAnsi="Arial" w:cs="Arial"/>
          <w:sz w:val="22"/>
          <w:szCs w:val="22"/>
          <w:lang w:val="en-AU"/>
        </w:rPr>
      </w:pPr>
      <w:r w:rsidRPr="002742BE">
        <w:rPr>
          <w:rFonts w:ascii="Arial" w:hAnsi="Arial" w:cs="Arial"/>
          <w:sz w:val="22"/>
          <w:szCs w:val="22"/>
          <w:lang w:val="en-AU"/>
        </w:rPr>
        <w:t>The primary efficacy analysis in all studies was based on stratified (by geographical region) risk difference between rivaroxaban and enoxaparin and corresponding 2-sided 95% confidence intervals. Efficacy was assessed in two steps; first a non-inferiority test was performed based on the per protocol population. Since non-inferiority was shown, a pre-specified superiority analysis was performed subsequently based on the modified ITT population.</w:t>
      </w:r>
    </w:p>
    <w:p w:rsidR="001D1004" w:rsidRPr="002742BE" w:rsidRDefault="001D1004" w:rsidP="00B15449">
      <w:pPr>
        <w:pStyle w:val="Default"/>
        <w:spacing w:before="120" w:after="240"/>
        <w:jc w:val="both"/>
        <w:rPr>
          <w:rFonts w:ascii="Arial" w:hAnsi="Arial" w:cs="Arial"/>
          <w:sz w:val="22"/>
          <w:szCs w:val="22"/>
          <w:lang w:val="en-AU"/>
        </w:rPr>
      </w:pPr>
      <w:r w:rsidRPr="002742BE">
        <w:rPr>
          <w:rFonts w:ascii="Arial" w:hAnsi="Arial" w:cs="Arial"/>
          <w:sz w:val="22"/>
          <w:szCs w:val="22"/>
          <w:lang w:val="en-AU"/>
        </w:rPr>
        <w:t>In all three phase III studies (see</w:t>
      </w:r>
      <w:r w:rsidR="00CB29CA" w:rsidRPr="002742BE">
        <w:rPr>
          <w:rFonts w:ascii="Arial" w:hAnsi="Arial" w:cs="Arial"/>
          <w:sz w:val="22"/>
          <w:szCs w:val="22"/>
          <w:lang w:val="en-AU"/>
        </w:rPr>
        <w:t xml:space="preserve"> </w:t>
      </w:r>
      <w:fldSimple w:instr=" REF  _Ref318971450  \* MERGEFORMAT ">
        <w:r w:rsidR="00A24B67" w:rsidRPr="00A24B67">
          <w:rPr>
            <w:rFonts w:ascii="Arial" w:hAnsi="Arial" w:cs="Arial"/>
            <w:sz w:val="22"/>
            <w:szCs w:val="22"/>
            <w:lang w:val="en-AU"/>
          </w:rPr>
          <w:t xml:space="preserve">Table </w:t>
        </w:r>
        <w:r w:rsidR="00A24B67" w:rsidRPr="00A24B67">
          <w:rPr>
            <w:rFonts w:ascii="Arial" w:hAnsi="Arial" w:cs="Arial"/>
            <w:noProof/>
            <w:sz w:val="22"/>
            <w:szCs w:val="22"/>
            <w:lang w:val="en-AU"/>
          </w:rPr>
          <w:t>3</w:t>
        </w:r>
      </w:fldSimple>
      <w:r w:rsidRPr="002742BE">
        <w:rPr>
          <w:rFonts w:ascii="Arial" w:hAnsi="Arial" w:cs="Arial"/>
          <w:sz w:val="22"/>
          <w:szCs w:val="22"/>
          <w:lang w:val="en-AU"/>
        </w:rPr>
        <w:t>) rivaroxaban significantly reduced the rate of total VTE (any</w:t>
      </w:r>
      <w:r w:rsidR="00F04522" w:rsidRPr="002742BE">
        <w:rPr>
          <w:rFonts w:ascii="Arial" w:hAnsi="Arial" w:cs="Arial"/>
          <w:sz w:val="22"/>
          <w:szCs w:val="22"/>
          <w:lang w:val="en-AU"/>
        </w:rPr>
        <w:t xml:space="preserve"> venographically detected or symptomatic</w:t>
      </w:r>
      <w:r w:rsidRPr="002742BE">
        <w:rPr>
          <w:rFonts w:ascii="Arial" w:hAnsi="Arial" w:cs="Arial"/>
          <w:sz w:val="22"/>
          <w:szCs w:val="22"/>
          <w:lang w:val="en-AU"/>
        </w:rPr>
        <w:t xml:space="preserve"> DVT, non</w:t>
      </w:r>
      <w:r w:rsidR="00E50FEE">
        <w:rPr>
          <w:rFonts w:ascii="Arial" w:hAnsi="Arial" w:cs="Arial"/>
          <w:sz w:val="22"/>
          <w:szCs w:val="22"/>
          <w:lang w:val="en-AU"/>
        </w:rPr>
        <w:t>-</w:t>
      </w:r>
      <w:r w:rsidRPr="002742BE">
        <w:rPr>
          <w:rFonts w:ascii="Arial" w:hAnsi="Arial" w:cs="Arial"/>
          <w:sz w:val="22"/>
          <w:szCs w:val="22"/>
          <w:lang w:val="en-AU"/>
        </w:rPr>
        <w:t>fatal PE or death) and major VTE (proximal DVT, non</w:t>
      </w:r>
      <w:r w:rsidR="00E50FEE">
        <w:rPr>
          <w:rFonts w:ascii="Arial" w:hAnsi="Arial" w:cs="Arial"/>
          <w:sz w:val="22"/>
          <w:szCs w:val="22"/>
          <w:lang w:val="en-AU"/>
        </w:rPr>
        <w:t>-</w:t>
      </w:r>
      <w:r w:rsidRPr="002742BE">
        <w:rPr>
          <w:rFonts w:ascii="Arial" w:hAnsi="Arial" w:cs="Arial"/>
          <w:sz w:val="22"/>
          <w:szCs w:val="22"/>
          <w:lang w:val="en-AU"/>
        </w:rPr>
        <w:t xml:space="preserve">fatal PE or VTE-related death), the pre-specified primary and major secondary efficacy endpoints. </w:t>
      </w:r>
      <w:r w:rsidR="00042564" w:rsidRPr="002742BE">
        <w:rPr>
          <w:rFonts w:ascii="Arial" w:hAnsi="Arial" w:cs="Arial"/>
          <w:sz w:val="22"/>
          <w:szCs w:val="22"/>
          <w:lang w:val="en-AU"/>
        </w:rPr>
        <w:t xml:space="preserve">The results were clinically meaningful and statistically significant. Relative risk reductions in total VTE were 49% (RECORD 3) and 70% (RECORD 1) in comparison to enoxaparin and 79% (RECORD 2) in comparison to enoxaparin/placebo.  </w:t>
      </w:r>
      <w:r w:rsidRPr="002742BE">
        <w:rPr>
          <w:rFonts w:ascii="Arial" w:hAnsi="Arial" w:cs="Arial"/>
          <w:sz w:val="22"/>
          <w:szCs w:val="22"/>
          <w:lang w:val="en-AU"/>
        </w:rPr>
        <w:t>Furthermore in all three studies the rate of symptomatic VTE (symptomatic DVT, non-fatal PE, VTE-related death) was lower in rivaroxaban treated patients compared to patients treated with enoxaparin.</w:t>
      </w:r>
    </w:p>
    <w:p w:rsidR="001D1004" w:rsidRPr="002742BE" w:rsidRDefault="001D1004" w:rsidP="00355F44">
      <w:pPr>
        <w:pStyle w:val="Default"/>
        <w:widowControl/>
        <w:spacing w:before="120" w:after="240"/>
        <w:ind w:right="46"/>
        <w:jc w:val="both"/>
        <w:rPr>
          <w:rFonts w:ascii="Arial" w:hAnsi="Arial" w:cs="Arial"/>
          <w:sz w:val="22"/>
          <w:szCs w:val="22"/>
          <w:lang w:val="en-AU"/>
        </w:rPr>
      </w:pPr>
      <w:r w:rsidRPr="002742BE">
        <w:rPr>
          <w:rFonts w:ascii="Arial" w:hAnsi="Arial" w:cs="Arial"/>
          <w:sz w:val="22"/>
          <w:szCs w:val="22"/>
          <w:lang w:val="en-AU"/>
        </w:rPr>
        <w:t>The main safety endpoint, major bleeding, showed comparable rates for patients treated with rivaroxaban 10 mg compared to enoxaparin 40 mg.</w:t>
      </w:r>
    </w:p>
    <w:p w:rsidR="002A0AFA" w:rsidRPr="002742BE" w:rsidRDefault="002A0AFA" w:rsidP="00B15449">
      <w:pPr>
        <w:pStyle w:val="Default"/>
        <w:widowControl/>
        <w:spacing w:before="120" w:after="240"/>
        <w:ind w:right="46"/>
        <w:jc w:val="both"/>
        <w:rPr>
          <w:rFonts w:ascii="Arial" w:hAnsi="Arial" w:cs="Arial"/>
          <w:sz w:val="22"/>
          <w:szCs w:val="22"/>
          <w:lang w:val="en-AU"/>
        </w:rPr>
      </w:pPr>
      <w:r w:rsidRPr="002742BE">
        <w:rPr>
          <w:rFonts w:ascii="Arial" w:hAnsi="Arial" w:cs="Arial"/>
          <w:sz w:val="22"/>
          <w:szCs w:val="22"/>
          <w:lang w:val="en-AU"/>
        </w:rPr>
        <w:t>The analysis of the pooled results of the Phase III trials corroborated the data obtained in the individual studies regarding reduction of total VTE, major VTE and symptomatic VTE with rivaroxaban 10 mg once daily compared to enoxaparin 40 mg once daily.</w:t>
      </w:r>
    </w:p>
    <w:p w:rsidR="002A0AFA" w:rsidRPr="002742BE" w:rsidRDefault="002A0AFA" w:rsidP="00F04C47">
      <w:pPr>
        <w:pStyle w:val="Default"/>
        <w:widowControl/>
        <w:spacing w:before="120" w:after="240"/>
        <w:ind w:right="46"/>
        <w:jc w:val="both"/>
        <w:rPr>
          <w:rFonts w:ascii="Arial" w:hAnsi="Arial" w:cs="Arial"/>
          <w:sz w:val="22"/>
          <w:szCs w:val="22"/>
          <w:lang w:val="en-AU"/>
        </w:rPr>
      </w:pPr>
    </w:p>
    <w:p w:rsidR="002A0AFA" w:rsidRPr="002742BE" w:rsidRDefault="002A0AFA" w:rsidP="00F04C47">
      <w:pPr>
        <w:pStyle w:val="Default"/>
        <w:widowControl/>
        <w:spacing w:before="120" w:after="240"/>
        <w:ind w:right="46"/>
        <w:jc w:val="both"/>
        <w:rPr>
          <w:rFonts w:ascii="Arial" w:hAnsi="Arial" w:cs="Arial"/>
          <w:sz w:val="22"/>
          <w:szCs w:val="22"/>
          <w:lang w:val="en-AU"/>
        </w:rPr>
      </w:pPr>
    </w:p>
    <w:p w:rsidR="002A0AFA" w:rsidRPr="002742BE" w:rsidRDefault="002A0AFA" w:rsidP="00F04C47">
      <w:pPr>
        <w:pStyle w:val="Caption"/>
        <w:ind w:right="46"/>
        <w:rPr>
          <w:rFonts w:ascii="Arial" w:hAnsi="Arial" w:cs="Arial"/>
          <w:lang w:val="en-AU"/>
        </w:rPr>
        <w:sectPr w:rsidR="002A0AFA" w:rsidRPr="002742BE" w:rsidSect="00834736">
          <w:headerReference w:type="default" r:id="rId14"/>
          <w:footerReference w:type="default" r:id="rId15"/>
          <w:pgSz w:w="11906" w:h="16838" w:code="9"/>
          <w:pgMar w:top="1440" w:right="1418" w:bottom="1559" w:left="1418" w:header="709" w:footer="851" w:gutter="0"/>
          <w:cols w:space="708"/>
          <w:docGrid w:linePitch="360"/>
        </w:sectPr>
      </w:pPr>
      <w:bookmarkStart w:id="3" w:name="_Ref286676048"/>
    </w:p>
    <w:p w:rsidR="00377E82" w:rsidRPr="002742BE" w:rsidRDefault="001D04E1" w:rsidP="00F04C47">
      <w:pPr>
        <w:pStyle w:val="Caption"/>
        <w:ind w:right="46"/>
        <w:rPr>
          <w:rFonts w:ascii="Arial" w:hAnsi="Arial" w:cs="Arial"/>
          <w:lang w:val="en-AU"/>
        </w:rPr>
      </w:pPr>
      <w:bookmarkStart w:id="4" w:name="_Ref318971450"/>
      <w:r w:rsidRPr="002742BE">
        <w:rPr>
          <w:rFonts w:ascii="Arial" w:hAnsi="Arial" w:cs="Arial"/>
          <w:lang w:val="en-AU"/>
        </w:rPr>
        <w:lastRenderedPageBreak/>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3</w:t>
      </w:r>
      <w:r w:rsidR="00794C79" w:rsidRPr="002742BE">
        <w:rPr>
          <w:rFonts w:ascii="Arial" w:hAnsi="Arial" w:cs="Arial"/>
          <w:lang w:val="en-AU"/>
        </w:rPr>
        <w:fldChar w:fldCharType="end"/>
      </w:r>
      <w:bookmarkEnd w:id="3"/>
      <w:bookmarkEnd w:id="4"/>
      <w:r w:rsidRPr="002742BE">
        <w:rPr>
          <w:rFonts w:ascii="Arial" w:hAnsi="Arial" w:cs="Arial"/>
          <w:lang w:val="en-AU"/>
        </w:rPr>
        <w:t xml:space="preserve">: </w:t>
      </w:r>
      <w:r w:rsidR="00377E82" w:rsidRPr="002742BE">
        <w:rPr>
          <w:rFonts w:ascii="Arial" w:hAnsi="Arial" w:cs="Arial"/>
          <w:lang w:val="en-AU"/>
        </w:rPr>
        <w:t xml:space="preserve">Efficacy and safety results from Phase III </w:t>
      </w:r>
      <w:r w:rsidR="003C1640" w:rsidRPr="002742BE">
        <w:rPr>
          <w:rFonts w:ascii="Arial" w:hAnsi="Arial" w:cs="Arial"/>
          <w:lang w:val="en-AU"/>
        </w:rPr>
        <w:t>RECORD (VTE Prevention in THR, TKR)</w:t>
      </w:r>
    </w:p>
    <w:p w:rsidR="003F4B76" w:rsidRPr="002742BE" w:rsidRDefault="003F4B76" w:rsidP="00B9544A">
      <w:pPr>
        <w:rPr>
          <w:lang w:val="en-AU"/>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621"/>
        <w:gridCol w:w="1573"/>
        <w:gridCol w:w="1137"/>
        <w:gridCol w:w="1555"/>
        <w:gridCol w:w="1507"/>
        <w:gridCol w:w="1011"/>
        <w:gridCol w:w="1749"/>
        <w:gridCol w:w="1590"/>
        <w:gridCol w:w="994"/>
      </w:tblGrid>
      <w:tr w:rsidR="00377E82" w:rsidRPr="002742BE" w:rsidTr="00B9544A">
        <w:trPr>
          <w:cantSplit/>
        </w:trPr>
        <w:tc>
          <w:tcPr>
            <w:tcW w:w="529" w:type="pct"/>
            <w:tcBorders>
              <w:top w:val="nil"/>
              <w:left w:val="nil"/>
            </w:tcBorders>
            <w:shd w:val="clear" w:color="auto" w:fill="auto"/>
          </w:tcPr>
          <w:p w:rsidR="00DF3A3B" w:rsidRPr="002742BE" w:rsidRDefault="00DF3A3B" w:rsidP="00F04C47">
            <w:pPr>
              <w:pStyle w:val="Default"/>
              <w:keepNext/>
              <w:widowControl/>
              <w:tabs>
                <w:tab w:val="left" w:pos="567"/>
              </w:tabs>
              <w:spacing w:before="60" w:after="60"/>
              <w:ind w:right="46"/>
              <w:jc w:val="both"/>
              <w:rPr>
                <w:rFonts w:ascii="Arial" w:hAnsi="Arial" w:cs="Arial"/>
                <w:sz w:val="17"/>
                <w:szCs w:val="17"/>
                <w:lang w:val="en-AU"/>
              </w:rPr>
            </w:pPr>
          </w:p>
        </w:tc>
        <w:tc>
          <w:tcPr>
            <w:tcW w:w="1520" w:type="pct"/>
            <w:gridSpan w:val="3"/>
            <w:shd w:val="clear" w:color="auto" w:fill="E0E0E0"/>
          </w:tcPr>
          <w:p w:rsidR="00DF3A3B" w:rsidRPr="002742BE" w:rsidRDefault="00DF3A3B" w:rsidP="00F04C47">
            <w:pPr>
              <w:pStyle w:val="Default"/>
              <w:keepNext/>
              <w:widowControl/>
              <w:tabs>
                <w:tab w:val="left" w:pos="567"/>
              </w:tabs>
              <w:spacing w:before="60" w:after="60"/>
              <w:ind w:right="46"/>
              <w:jc w:val="center"/>
              <w:rPr>
                <w:rFonts w:ascii="Arial" w:hAnsi="Arial" w:cs="Arial"/>
                <w:sz w:val="17"/>
                <w:szCs w:val="17"/>
                <w:lang w:val="en-AU"/>
              </w:rPr>
            </w:pPr>
            <w:r w:rsidRPr="002742BE">
              <w:rPr>
                <w:rFonts w:ascii="Arial" w:hAnsi="Arial" w:cs="Arial"/>
                <w:sz w:val="17"/>
                <w:szCs w:val="17"/>
                <w:lang w:val="en-AU"/>
              </w:rPr>
              <w:t>RECORD 1</w:t>
            </w:r>
          </w:p>
        </w:tc>
        <w:tc>
          <w:tcPr>
            <w:tcW w:w="1430" w:type="pct"/>
            <w:gridSpan w:val="3"/>
            <w:shd w:val="clear" w:color="auto" w:fill="E0E0E0"/>
          </w:tcPr>
          <w:p w:rsidR="00DF3A3B" w:rsidRPr="002742BE" w:rsidRDefault="00DF3A3B" w:rsidP="00F04C47">
            <w:pPr>
              <w:pStyle w:val="Default"/>
              <w:keepNext/>
              <w:widowControl/>
              <w:tabs>
                <w:tab w:val="left" w:pos="567"/>
              </w:tabs>
              <w:spacing w:before="60" w:after="60"/>
              <w:ind w:right="46"/>
              <w:jc w:val="center"/>
              <w:rPr>
                <w:rFonts w:ascii="Arial" w:hAnsi="Arial" w:cs="Arial"/>
                <w:sz w:val="17"/>
                <w:szCs w:val="17"/>
                <w:lang w:val="en-AU"/>
              </w:rPr>
            </w:pPr>
            <w:r w:rsidRPr="002742BE">
              <w:rPr>
                <w:rFonts w:ascii="Arial" w:hAnsi="Arial" w:cs="Arial"/>
                <w:sz w:val="17"/>
                <w:szCs w:val="17"/>
                <w:lang w:val="en-AU"/>
              </w:rPr>
              <w:t>RECORD 2</w:t>
            </w:r>
          </w:p>
        </w:tc>
        <w:tc>
          <w:tcPr>
            <w:tcW w:w="1521" w:type="pct"/>
            <w:gridSpan w:val="3"/>
            <w:shd w:val="clear" w:color="auto" w:fill="E0E0E0"/>
          </w:tcPr>
          <w:p w:rsidR="00DF3A3B" w:rsidRPr="002742BE" w:rsidRDefault="00DF3A3B" w:rsidP="00F04C47">
            <w:pPr>
              <w:pStyle w:val="Default"/>
              <w:keepNext/>
              <w:widowControl/>
              <w:tabs>
                <w:tab w:val="left" w:pos="567"/>
              </w:tabs>
              <w:spacing w:before="60" w:after="60"/>
              <w:ind w:right="46"/>
              <w:jc w:val="center"/>
              <w:rPr>
                <w:rFonts w:ascii="Arial" w:hAnsi="Arial" w:cs="Arial"/>
                <w:sz w:val="17"/>
                <w:szCs w:val="17"/>
                <w:lang w:val="en-AU"/>
              </w:rPr>
            </w:pPr>
            <w:r w:rsidRPr="002742BE">
              <w:rPr>
                <w:rFonts w:ascii="Arial" w:hAnsi="Arial" w:cs="Arial"/>
                <w:sz w:val="17"/>
                <w:szCs w:val="17"/>
                <w:lang w:val="en-AU"/>
              </w:rPr>
              <w:t>RECORD 3</w:t>
            </w:r>
          </w:p>
        </w:tc>
      </w:tr>
      <w:tr w:rsidR="00377E82" w:rsidRPr="002742BE" w:rsidTr="00B9544A">
        <w:trPr>
          <w:cantSplit/>
        </w:trPr>
        <w:tc>
          <w:tcPr>
            <w:tcW w:w="529" w:type="pct"/>
            <w:shd w:val="clear" w:color="auto" w:fill="auto"/>
          </w:tcPr>
          <w:p w:rsidR="00DF3A3B" w:rsidRPr="002742BE" w:rsidRDefault="00DF3A3B" w:rsidP="00F04C47">
            <w:pPr>
              <w:pStyle w:val="Default"/>
              <w:keepNext/>
              <w:widowControl/>
              <w:tabs>
                <w:tab w:val="left" w:pos="567"/>
              </w:tabs>
              <w:spacing w:before="60" w:after="60"/>
              <w:ind w:right="46"/>
              <w:rPr>
                <w:rFonts w:ascii="Arial" w:hAnsi="Arial" w:cs="Arial"/>
                <w:sz w:val="17"/>
                <w:szCs w:val="17"/>
                <w:lang w:val="en-AU"/>
              </w:rPr>
            </w:pPr>
            <w:r w:rsidRPr="002742BE">
              <w:rPr>
                <w:rFonts w:ascii="Arial" w:hAnsi="Arial" w:cs="Arial"/>
                <w:sz w:val="17"/>
                <w:szCs w:val="17"/>
                <w:lang w:val="en-AU"/>
              </w:rPr>
              <w:t>Study Population</w:t>
            </w:r>
          </w:p>
        </w:tc>
        <w:tc>
          <w:tcPr>
            <w:tcW w:w="1520" w:type="pct"/>
            <w:gridSpan w:val="3"/>
            <w:tcBorders>
              <w:bottom w:val="single" w:sz="4" w:space="0" w:color="auto"/>
            </w:tcBorders>
            <w:shd w:val="clear" w:color="auto" w:fill="auto"/>
          </w:tcPr>
          <w:p w:rsidR="00DF3A3B" w:rsidRPr="002742BE" w:rsidRDefault="00DF3A3B" w:rsidP="00F04C47">
            <w:pPr>
              <w:pStyle w:val="Default"/>
              <w:keepNext/>
              <w:widowControl/>
              <w:tabs>
                <w:tab w:val="left" w:pos="567"/>
              </w:tabs>
              <w:spacing w:before="60" w:after="60"/>
              <w:ind w:right="46"/>
              <w:jc w:val="center"/>
              <w:rPr>
                <w:rFonts w:ascii="Arial" w:hAnsi="Arial" w:cs="Arial"/>
                <w:sz w:val="17"/>
                <w:szCs w:val="17"/>
                <w:lang w:val="en-AU"/>
              </w:rPr>
            </w:pPr>
            <w:r w:rsidRPr="002742BE">
              <w:rPr>
                <w:rFonts w:ascii="Arial" w:hAnsi="Arial" w:cs="Arial"/>
                <w:sz w:val="17"/>
                <w:szCs w:val="17"/>
                <w:lang w:val="en-AU"/>
              </w:rPr>
              <w:t>4541 patients undergoing total hip replacement surgery</w:t>
            </w:r>
          </w:p>
        </w:tc>
        <w:tc>
          <w:tcPr>
            <w:tcW w:w="1430" w:type="pct"/>
            <w:gridSpan w:val="3"/>
            <w:tcBorders>
              <w:bottom w:val="single" w:sz="4" w:space="0" w:color="auto"/>
            </w:tcBorders>
            <w:shd w:val="clear" w:color="auto" w:fill="auto"/>
          </w:tcPr>
          <w:p w:rsidR="00DF3A3B" w:rsidRPr="002742BE" w:rsidRDefault="00DF3A3B" w:rsidP="00F04C47">
            <w:pPr>
              <w:pStyle w:val="Default"/>
              <w:keepNext/>
              <w:widowControl/>
              <w:tabs>
                <w:tab w:val="left" w:pos="567"/>
              </w:tabs>
              <w:spacing w:before="60" w:after="60"/>
              <w:ind w:right="46"/>
              <w:jc w:val="center"/>
              <w:rPr>
                <w:rFonts w:ascii="Arial" w:hAnsi="Arial" w:cs="Arial"/>
                <w:sz w:val="17"/>
                <w:szCs w:val="17"/>
                <w:lang w:val="en-AU"/>
              </w:rPr>
            </w:pPr>
            <w:r w:rsidRPr="002742BE">
              <w:rPr>
                <w:rFonts w:ascii="Arial" w:hAnsi="Arial" w:cs="Arial"/>
                <w:sz w:val="17"/>
                <w:szCs w:val="17"/>
                <w:lang w:val="en-AU"/>
              </w:rPr>
              <w:t>2509 patients undergoing total hip replacement surgery</w:t>
            </w:r>
          </w:p>
        </w:tc>
        <w:tc>
          <w:tcPr>
            <w:tcW w:w="1521" w:type="pct"/>
            <w:gridSpan w:val="3"/>
            <w:tcBorders>
              <w:bottom w:val="single" w:sz="4" w:space="0" w:color="auto"/>
            </w:tcBorders>
            <w:shd w:val="clear" w:color="auto" w:fill="auto"/>
          </w:tcPr>
          <w:p w:rsidR="00DF3A3B" w:rsidRPr="002742BE" w:rsidRDefault="00DF3A3B" w:rsidP="00F04C47">
            <w:pPr>
              <w:pStyle w:val="Default"/>
              <w:keepNext/>
              <w:widowControl/>
              <w:tabs>
                <w:tab w:val="left" w:pos="567"/>
              </w:tabs>
              <w:spacing w:before="60" w:after="60"/>
              <w:ind w:right="46"/>
              <w:jc w:val="center"/>
              <w:rPr>
                <w:rFonts w:ascii="Arial" w:hAnsi="Arial" w:cs="Arial"/>
                <w:sz w:val="17"/>
                <w:szCs w:val="17"/>
                <w:lang w:val="en-AU"/>
              </w:rPr>
            </w:pPr>
            <w:r w:rsidRPr="002742BE">
              <w:rPr>
                <w:rFonts w:ascii="Arial" w:hAnsi="Arial" w:cs="Arial"/>
                <w:sz w:val="17"/>
                <w:szCs w:val="17"/>
                <w:lang w:val="en-AU"/>
              </w:rPr>
              <w:t>2531 patients undergoing total knee replacement surgery</w:t>
            </w:r>
          </w:p>
        </w:tc>
      </w:tr>
      <w:tr w:rsidR="00867DE1" w:rsidRPr="002742BE" w:rsidTr="00B9544A">
        <w:trPr>
          <w:cantSplit/>
          <w:trHeight w:val="1179"/>
        </w:trPr>
        <w:tc>
          <w:tcPr>
            <w:tcW w:w="529" w:type="pct"/>
            <w:shd w:val="clear" w:color="auto" w:fill="auto"/>
          </w:tcPr>
          <w:p w:rsidR="00DF3A3B" w:rsidRPr="002742BE" w:rsidRDefault="00DF3A3B" w:rsidP="00F04C47">
            <w:pPr>
              <w:pStyle w:val="Default"/>
              <w:keepNext/>
              <w:widowControl/>
              <w:tabs>
                <w:tab w:val="left" w:pos="567"/>
              </w:tabs>
              <w:spacing w:before="60" w:after="60"/>
              <w:ind w:right="46"/>
              <w:rPr>
                <w:rFonts w:ascii="Arial" w:hAnsi="Arial" w:cs="Arial"/>
                <w:sz w:val="17"/>
                <w:szCs w:val="17"/>
                <w:lang w:val="en-AU"/>
              </w:rPr>
            </w:pPr>
            <w:r w:rsidRPr="002742BE">
              <w:rPr>
                <w:rFonts w:ascii="Arial" w:hAnsi="Arial" w:cs="Arial"/>
                <w:sz w:val="17"/>
                <w:szCs w:val="17"/>
                <w:lang w:val="en-AU"/>
              </w:rPr>
              <w:t>Treatment dosage and duration after surgery</w:t>
            </w:r>
          </w:p>
        </w:tc>
        <w:tc>
          <w:tcPr>
            <w:tcW w:w="569" w:type="pct"/>
            <w:tcBorders>
              <w:right w:val="single" w:sz="4" w:space="0" w:color="auto"/>
            </w:tcBorders>
            <w:shd w:val="clear" w:color="auto" w:fill="auto"/>
          </w:tcPr>
          <w:p w:rsidR="002A0AFA"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 xml:space="preserve">Rivaroxaban </w:t>
            </w:r>
          </w:p>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10 mg od</w:t>
            </w:r>
          </w:p>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35 ± 4 days</w:t>
            </w:r>
          </w:p>
          <w:p w:rsidR="001C19A7" w:rsidRPr="002742BE" w:rsidRDefault="001C19A7"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n (%)</w:t>
            </w:r>
          </w:p>
        </w:tc>
        <w:tc>
          <w:tcPr>
            <w:tcW w:w="552" w:type="pct"/>
            <w:tcBorders>
              <w:left w:val="single" w:sz="4" w:space="0" w:color="auto"/>
              <w:right w:val="single" w:sz="4" w:space="0" w:color="auto"/>
            </w:tcBorders>
            <w:shd w:val="clear" w:color="auto" w:fill="auto"/>
          </w:tcPr>
          <w:p w:rsidR="00377E82" w:rsidRPr="002742BE" w:rsidRDefault="00377E82"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Enoxaparin</w:t>
            </w:r>
          </w:p>
          <w:p w:rsidR="002A0AFA" w:rsidRPr="002742BE" w:rsidRDefault="00377E82"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40 mg od</w:t>
            </w:r>
          </w:p>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35 ±4 days</w:t>
            </w:r>
          </w:p>
          <w:p w:rsidR="001C19A7" w:rsidRPr="002742BE" w:rsidRDefault="001C19A7"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n (%)</w:t>
            </w:r>
          </w:p>
        </w:tc>
        <w:tc>
          <w:tcPr>
            <w:tcW w:w="399" w:type="pct"/>
            <w:tcBorders>
              <w:left w:val="single" w:sz="4" w:space="0" w:color="auto"/>
              <w:right w:val="single" w:sz="4" w:space="0" w:color="auto"/>
            </w:tcBorders>
            <w:shd w:val="clear" w:color="auto" w:fill="auto"/>
          </w:tcPr>
          <w:p w:rsidR="00DF3A3B" w:rsidRPr="002742BE" w:rsidRDefault="00DF3A3B" w:rsidP="00F04C47">
            <w:pPr>
              <w:pStyle w:val="Default"/>
              <w:keepNext/>
              <w:widowControl/>
              <w:tabs>
                <w:tab w:val="left" w:pos="451"/>
              </w:tabs>
              <w:spacing w:before="60" w:after="60"/>
              <w:ind w:right="46"/>
              <w:rPr>
                <w:rFonts w:ascii="Arial" w:hAnsi="Arial" w:cs="Arial"/>
                <w:sz w:val="17"/>
                <w:szCs w:val="17"/>
                <w:lang w:val="en-AU"/>
              </w:rPr>
            </w:pPr>
            <w:r w:rsidRPr="002742BE">
              <w:rPr>
                <w:rFonts w:ascii="Arial" w:hAnsi="Arial" w:cs="Arial"/>
                <w:sz w:val="17"/>
                <w:szCs w:val="17"/>
                <w:lang w:val="en-AU"/>
              </w:rPr>
              <w:t xml:space="preserve"> p value</w:t>
            </w:r>
          </w:p>
        </w:tc>
        <w:tc>
          <w:tcPr>
            <w:tcW w:w="546" w:type="pct"/>
            <w:tcBorders>
              <w:left w:val="single" w:sz="4" w:space="0" w:color="auto"/>
              <w:right w:val="single" w:sz="4" w:space="0" w:color="auto"/>
            </w:tcBorders>
            <w:shd w:val="clear" w:color="auto" w:fill="auto"/>
          </w:tcPr>
          <w:p w:rsidR="002A0AFA"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 xml:space="preserve">Rivaroxaban </w:t>
            </w:r>
          </w:p>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10 mg od</w:t>
            </w:r>
          </w:p>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35 ±4 days</w:t>
            </w:r>
          </w:p>
          <w:p w:rsidR="001C19A7" w:rsidRPr="002742BE" w:rsidRDefault="001C19A7"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n (%)</w:t>
            </w:r>
          </w:p>
        </w:tc>
        <w:tc>
          <w:tcPr>
            <w:tcW w:w="529" w:type="pct"/>
            <w:tcBorders>
              <w:left w:val="single" w:sz="4" w:space="0" w:color="auto"/>
              <w:right w:val="single" w:sz="4" w:space="0" w:color="auto"/>
            </w:tcBorders>
            <w:shd w:val="clear" w:color="auto" w:fill="auto"/>
          </w:tcPr>
          <w:p w:rsidR="00377E82"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Enoxaparin</w:t>
            </w:r>
          </w:p>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40 mg od</w:t>
            </w:r>
          </w:p>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12 ±</w:t>
            </w:r>
            <w:r w:rsidR="002A0AFA" w:rsidRPr="002742BE">
              <w:rPr>
                <w:rFonts w:ascii="Arial" w:hAnsi="Arial" w:cs="Arial"/>
                <w:sz w:val="17"/>
                <w:szCs w:val="17"/>
                <w:lang w:val="en-AU"/>
              </w:rPr>
              <w:t xml:space="preserve"> </w:t>
            </w:r>
            <w:r w:rsidRPr="002742BE">
              <w:rPr>
                <w:rFonts w:ascii="Arial" w:hAnsi="Arial" w:cs="Arial"/>
                <w:sz w:val="17"/>
                <w:szCs w:val="17"/>
                <w:lang w:val="en-AU"/>
              </w:rPr>
              <w:t>2 days</w:t>
            </w:r>
          </w:p>
          <w:p w:rsidR="001C19A7" w:rsidRPr="002742BE" w:rsidRDefault="001C19A7"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n (%)</w:t>
            </w:r>
          </w:p>
        </w:tc>
        <w:tc>
          <w:tcPr>
            <w:tcW w:w="355"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52"/>
              <w:jc w:val="center"/>
              <w:rPr>
                <w:rFonts w:ascii="Arial" w:hAnsi="Arial" w:cs="Arial"/>
                <w:sz w:val="17"/>
                <w:szCs w:val="17"/>
                <w:lang w:val="en-AU"/>
              </w:rPr>
            </w:pPr>
            <w:r w:rsidRPr="002742BE">
              <w:rPr>
                <w:rFonts w:ascii="Arial" w:hAnsi="Arial" w:cs="Arial"/>
                <w:sz w:val="17"/>
                <w:szCs w:val="17"/>
                <w:lang w:val="en-AU"/>
              </w:rPr>
              <w:t>p value</w:t>
            </w:r>
          </w:p>
        </w:tc>
        <w:tc>
          <w:tcPr>
            <w:tcW w:w="614" w:type="pct"/>
            <w:tcBorders>
              <w:left w:val="single" w:sz="4" w:space="0" w:color="auto"/>
              <w:right w:val="single" w:sz="4" w:space="0" w:color="auto"/>
            </w:tcBorders>
            <w:shd w:val="clear" w:color="auto" w:fill="auto"/>
          </w:tcPr>
          <w:p w:rsidR="00B17D1F"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Rivaroxaban</w:t>
            </w:r>
          </w:p>
          <w:p w:rsidR="00DF3A3B" w:rsidRPr="002742BE" w:rsidRDefault="00377E82"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 xml:space="preserve">10 </w:t>
            </w:r>
            <w:r w:rsidR="00DF3A3B" w:rsidRPr="002742BE">
              <w:rPr>
                <w:rFonts w:ascii="Arial" w:hAnsi="Arial" w:cs="Arial"/>
                <w:sz w:val="17"/>
                <w:szCs w:val="17"/>
                <w:lang w:val="en-AU"/>
              </w:rPr>
              <w:t>mg od</w:t>
            </w:r>
          </w:p>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12± 2 days</w:t>
            </w:r>
          </w:p>
          <w:p w:rsidR="001C19A7" w:rsidRPr="002742BE" w:rsidRDefault="001C19A7"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n (%)</w:t>
            </w:r>
          </w:p>
        </w:tc>
        <w:tc>
          <w:tcPr>
            <w:tcW w:w="558" w:type="pct"/>
            <w:tcBorders>
              <w:left w:val="single" w:sz="4" w:space="0" w:color="auto"/>
              <w:right w:val="single" w:sz="4" w:space="0" w:color="auto"/>
            </w:tcBorders>
            <w:shd w:val="clear" w:color="auto" w:fill="auto"/>
          </w:tcPr>
          <w:p w:rsidR="00377E82"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Enoxaparin</w:t>
            </w:r>
          </w:p>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40 mg od</w:t>
            </w:r>
          </w:p>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12 ±2 days</w:t>
            </w:r>
          </w:p>
          <w:p w:rsidR="001C19A7" w:rsidRPr="002742BE" w:rsidRDefault="001C19A7"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n (%)</w:t>
            </w:r>
          </w:p>
        </w:tc>
        <w:tc>
          <w:tcPr>
            <w:tcW w:w="349" w:type="pct"/>
            <w:tcBorders>
              <w:lef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p value</w:t>
            </w:r>
          </w:p>
        </w:tc>
      </w:tr>
      <w:tr w:rsidR="00867DE1" w:rsidRPr="002742BE" w:rsidTr="00B9544A">
        <w:trPr>
          <w:cantSplit/>
          <w:trHeight w:val="429"/>
        </w:trPr>
        <w:tc>
          <w:tcPr>
            <w:tcW w:w="529" w:type="pct"/>
            <w:shd w:val="clear" w:color="auto" w:fill="auto"/>
          </w:tcPr>
          <w:p w:rsidR="00DF3A3B" w:rsidRPr="002742BE" w:rsidRDefault="00DF3A3B" w:rsidP="00F04C47">
            <w:pPr>
              <w:pStyle w:val="Default"/>
              <w:keepNext/>
              <w:widowControl/>
              <w:tabs>
                <w:tab w:val="left" w:pos="567"/>
              </w:tabs>
              <w:spacing w:before="60" w:after="60"/>
              <w:ind w:right="46"/>
              <w:rPr>
                <w:rFonts w:ascii="Arial" w:hAnsi="Arial" w:cs="Arial"/>
                <w:sz w:val="17"/>
                <w:szCs w:val="17"/>
                <w:lang w:val="en-AU"/>
              </w:rPr>
            </w:pPr>
            <w:r w:rsidRPr="002742BE">
              <w:rPr>
                <w:rFonts w:ascii="Arial" w:hAnsi="Arial" w:cs="Arial"/>
                <w:sz w:val="17"/>
                <w:szCs w:val="17"/>
                <w:lang w:val="en-AU"/>
              </w:rPr>
              <w:t xml:space="preserve">Total VTE </w:t>
            </w:r>
          </w:p>
        </w:tc>
        <w:tc>
          <w:tcPr>
            <w:tcW w:w="569" w:type="pct"/>
            <w:tcBorders>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18 (1.1%)</w:t>
            </w:r>
          </w:p>
        </w:tc>
        <w:tc>
          <w:tcPr>
            <w:tcW w:w="552"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58 (3.7%)</w:t>
            </w:r>
          </w:p>
        </w:tc>
        <w:tc>
          <w:tcPr>
            <w:tcW w:w="399"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&lt;0.001</w:t>
            </w:r>
          </w:p>
        </w:tc>
        <w:tc>
          <w:tcPr>
            <w:tcW w:w="546"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17 (2.0%)</w:t>
            </w:r>
          </w:p>
        </w:tc>
        <w:tc>
          <w:tcPr>
            <w:tcW w:w="529"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81 (9.3%)</w:t>
            </w:r>
          </w:p>
        </w:tc>
        <w:tc>
          <w:tcPr>
            <w:tcW w:w="355"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52"/>
              <w:jc w:val="center"/>
              <w:rPr>
                <w:rFonts w:ascii="Arial" w:hAnsi="Arial" w:cs="Arial"/>
                <w:sz w:val="17"/>
                <w:szCs w:val="17"/>
                <w:lang w:val="en-AU"/>
              </w:rPr>
            </w:pPr>
            <w:r w:rsidRPr="002742BE">
              <w:rPr>
                <w:rFonts w:ascii="Arial" w:hAnsi="Arial" w:cs="Arial"/>
                <w:sz w:val="17"/>
                <w:szCs w:val="17"/>
                <w:lang w:val="en-AU"/>
              </w:rPr>
              <w:t>&lt;0.001</w:t>
            </w:r>
          </w:p>
        </w:tc>
        <w:tc>
          <w:tcPr>
            <w:tcW w:w="614"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79 (9.6%)</w:t>
            </w:r>
          </w:p>
        </w:tc>
        <w:tc>
          <w:tcPr>
            <w:tcW w:w="558"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166 (18.9%)</w:t>
            </w:r>
          </w:p>
        </w:tc>
        <w:tc>
          <w:tcPr>
            <w:tcW w:w="349" w:type="pct"/>
            <w:tcBorders>
              <w:lef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&lt;0.001</w:t>
            </w:r>
          </w:p>
        </w:tc>
      </w:tr>
      <w:tr w:rsidR="00867DE1" w:rsidRPr="002742BE" w:rsidTr="00B9544A">
        <w:trPr>
          <w:cantSplit/>
          <w:trHeight w:val="421"/>
        </w:trPr>
        <w:tc>
          <w:tcPr>
            <w:tcW w:w="529" w:type="pct"/>
            <w:shd w:val="clear" w:color="auto" w:fill="auto"/>
          </w:tcPr>
          <w:p w:rsidR="00DF3A3B" w:rsidRPr="002742BE" w:rsidRDefault="00DF3A3B" w:rsidP="00F04C47">
            <w:pPr>
              <w:pStyle w:val="Default"/>
              <w:keepNext/>
              <w:widowControl/>
              <w:tabs>
                <w:tab w:val="left" w:pos="567"/>
              </w:tabs>
              <w:spacing w:before="60" w:after="60"/>
              <w:ind w:right="46"/>
              <w:rPr>
                <w:rFonts w:ascii="Arial" w:hAnsi="Arial" w:cs="Arial"/>
                <w:sz w:val="17"/>
                <w:szCs w:val="17"/>
                <w:lang w:val="en-AU"/>
              </w:rPr>
            </w:pPr>
            <w:r w:rsidRPr="002742BE">
              <w:rPr>
                <w:rFonts w:ascii="Arial" w:hAnsi="Arial" w:cs="Arial"/>
                <w:sz w:val="17"/>
                <w:szCs w:val="17"/>
                <w:lang w:val="en-AU"/>
              </w:rPr>
              <w:t xml:space="preserve">Major VTE </w:t>
            </w:r>
          </w:p>
        </w:tc>
        <w:tc>
          <w:tcPr>
            <w:tcW w:w="569" w:type="pct"/>
            <w:tcBorders>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4 (0.2%)</w:t>
            </w:r>
          </w:p>
        </w:tc>
        <w:tc>
          <w:tcPr>
            <w:tcW w:w="552"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33 (2.0%)</w:t>
            </w:r>
          </w:p>
        </w:tc>
        <w:tc>
          <w:tcPr>
            <w:tcW w:w="399"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&lt;0.001</w:t>
            </w:r>
          </w:p>
        </w:tc>
        <w:tc>
          <w:tcPr>
            <w:tcW w:w="546"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6 (0.6%)</w:t>
            </w:r>
          </w:p>
        </w:tc>
        <w:tc>
          <w:tcPr>
            <w:tcW w:w="529"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49 (5.1%)</w:t>
            </w:r>
          </w:p>
        </w:tc>
        <w:tc>
          <w:tcPr>
            <w:tcW w:w="355"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52"/>
              <w:jc w:val="center"/>
              <w:rPr>
                <w:rFonts w:ascii="Arial" w:hAnsi="Arial" w:cs="Arial"/>
                <w:sz w:val="17"/>
                <w:szCs w:val="17"/>
                <w:lang w:val="en-AU"/>
              </w:rPr>
            </w:pPr>
            <w:r w:rsidRPr="002742BE">
              <w:rPr>
                <w:rFonts w:ascii="Arial" w:hAnsi="Arial" w:cs="Arial"/>
                <w:sz w:val="17"/>
                <w:szCs w:val="17"/>
                <w:lang w:val="en-AU"/>
              </w:rPr>
              <w:t>&lt;0.001</w:t>
            </w:r>
          </w:p>
        </w:tc>
        <w:tc>
          <w:tcPr>
            <w:tcW w:w="614"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9 (1.0%)</w:t>
            </w:r>
          </w:p>
        </w:tc>
        <w:tc>
          <w:tcPr>
            <w:tcW w:w="558"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24 (2.6%)</w:t>
            </w:r>
          </w:p>
        </w:tc>
        <w:tc>
          <w:tcPr>
            <w:tcW w:w="349" w:type="pct"/>
            <w:tcBorders>
              <w:lef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0.01</w:t>
            </w:r>
          </w:p>
        </w:tc>
      </w:tr>
      <w:tr w:rsidR="00867DE1" w:rsidRPr="002742BE" w:rsidTr="00B9544A">
        <w:trPr>
          <w:cantSplit/>
        </w:trPr>
        <w:tc>
          <w:tcPr>
            <w:tcW w:w="529" w:type="pct"/>
            <w:shd w:val="clear" w:color="auto" w:fill="auto"/>
          </w:tcPr>
          <w:p w:rsidR="00DF3A3B" w:rsidRPr="002742BE" w:rsidRDefault="00DF3A3B" w:rsidP="00F04C47">
            <w:pPr>
              <w:pStyle w:val="Default"/>
              <w:keepNext/>
              <w:widowControl/>
              <w:tabs>
                <w:tab w:val="left" w:pos="567"/>
              </w:tabs>
              <w:spacing w:before="60" w:after="60"/>
              <w:ind w:right="46"/>
              <w:rPr>
                <w:rFonts w:ascii="Arial" w:hAnsi="Arial" w:cs="Arial"/>
                <w:sz w:val="17"/>
                <w:szCs w:val="17"/>
                <w:lang w:val="en-AU"/>
              </w:rPr>
            </w:pPr>
            <w:r w:rsidRPr="002742BE">
              <w:rPr>
                <w:rFonts w:ascii="Arial" w:hAnsi="Arial" w:cs="Arial"/>
                <w:sz w:val="17"/>
                <w:szCs w:val="17"/>
                <w:lang w:val="en-AU"/>
              </w:rPr>
              <w:t xml:space="preserve">Symptomatic VTE </w:t>
            </w:r>
          </w:p>
        </w:tc>
        <w:tc>
          <w:tcPr>
            <w:tcW w:w="569" w:type="pct"/>
            <w:tcBorders>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napToGrid w:val="0"/>
                <w:sz w:val="17"/>
                <w:szCs w:val="17"/>
                <w:lang w:val="en-AU"/>
              </w:rPr>
              <w:t>6 (</w:t>
            </w:r>
            <w:r w:rsidRPr="002742BE">
              <w:rPr>
                <w:rFonts w:ascii="Arial" w:hAnsi="Arial" w:cs="Arial"/>
                <w:sz w:val="17"/>
                <w:szCs w:val="17"/>
                <w:lang w:val="en-AU"/>
              </w:rPr>
              <w:t>0.4%)</w:t>
            </w:r>
          </w:p>
        </w:tc>
        <w:tc>
          <w:tcPr>
            <w:tcW w:w="552"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napToGrid w:val="0"/>
                <w:sz w:val="17"/>
                <w:szCs w:val="17"/>
                <w:lang w:val="en-AU"/>
              </w:rPr>
              <w:t>11 (</w:t>
            </w:r>
            <w:r w:rsidRPr="002742BE">
              <w:rPr>
                <w:rFonts w:ascii="Arial" w:hAnsi="Arial" w:cs="Arial"/>
                <w:sz w:val="17"/>
                <w:szCs w:val="17"/>
                <w:lang w:val="en-AU"/>
              </w:rPr>
              <w:t>0.7%)</w:t>
            </w:r>
          </w:p>
        </w:tc>
        <w:tc>
          <w:tcPr>
            <w:tcW w:w="399" w:type="pct"/>
            <w:tcBorders>
              <w:left w:val="single" w:sz="4" w:space="0" w:color="auto"/>
              <w:right w:val="single" w:sz="4" w:space="0" w:color="auto"/>
            </w:tcBorders>
            <w:shd w:val="clear" w:color="auto" w:fill="auto"/>
          </w:tcPr>
          <w:p w:rsidR="00DF3A3B" w:rsidRPr="002742BE" w:rsidRDefault="00BF7775"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w:t>
            </w:r>
          </w:p>
        </w:tc>
        <w:tc>
          <w:tcPr>
            <w:tcW w:w="546"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3 (0.4%)</w:t>
            </w:r>
          </w:p>
        </w:tc>
        <w:tc>
          <w:tcPr>
            <w:tcW w:w="529"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15 (1.7 %)</w:t>
            </w:r>
          </w:p>
        </w:tc>
        <w:tc>
          <w:tcPr>
            <w:tcW w:w="355" w:type="pct"/>
            <w:tcBorders>
              <w:left w:val="single" w:sz="4" w:space="0" w:color="auto"/>
              <w:right w:val="single" w:sz="4" w:space="0" w:color="auto"/>
            </w:tcBorders>
            <w:shd w:val="clear" w:color="auto" w:fill="auto"/>
          </w:tcPr>
          <w:p w:rsidR="00DF3A3B" w:rsidRPr="002742BE" w:rsidRDefault="00BF7775" w:rsidP="00F04C47">
            <w:pPr>
              <w:pStyle w:val="Default"/>
              <w:keepNext/>
              <w:widowControl/>
              <w:spacing w:before="60" w:after="60"/>
              <w:ind w:right="-52"/>
              <w:jc w:val="center"/>
              <w:rPr>
                <w:rFonts w:ascii="Arial" w:hAnsi="Arial" w:cs="Arial"/>
                <w:sz w:val="17"/>
                <w:szCs w:val="17"/>
                <w:lang w:val="en-AU"/>
              </w:rPr>
            </w:pPr>
            <w:r w:rsidRPr="002742BE">
              <w:rPr>
                <w:rFonts w:ascii="Arial" w:hAnsi="Arial" w:cs="Arial"/>
                <w:sz w:val="17"/>
                <w:szCs w:val="17"/>
                <w:lang w:val="en-AU"/>
              </w:rPr>
              <w:t>--</w:t>
            </w:r>
          </w:p>
        </w:tc>
        <w:tc>
          <w:tcPr>
            <w:tcW w:w="614"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8 (1.0%)</w:t>
            </w:r>
          </w:p>
        </w:tc>
        <w:tc>
          <w:tcPr>
            <w:tcW w:w="558" w:type="pct"/>
            <w:tcBorders>
              <w:left w:val="single" w:sz="4" w:space="0" w:color="auto"/>
              <w:right w:val="single" w:sz="4" w:space="0" w:color="auto"/>
            </w:tcBorders>
            <w:shd w:val="clear" w:color="auto" w:fill="auto"/>
          </w:tcPr>
          <w:p w:rsidR="00DF3A3B" w:rsidRPr="002742BE" w:rsidRDefault="00DF3A3B"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24 (2.7%)</w:t>
            </w:r>
          </w:p>
        </w:tc>
        <w:tc>
          <w:tcPr>
            <w:tcW w:w="349" w:type="pct"/>
            <w:tcBorders>
              <w:left w:val="single" w:sz="4" w:space="0" w:color="auto"/>
            </w:tcBorders>
            <w:shd w:val="clear" w:color="auto" w:fill="auto"/>
          </w:tcPr>
          <w:p w:rsidR="00DF3A3B" w:rsidRPr="002742BE" w:rsidRDefault="00BF7775" w:rsidP="00F04C47">
            <w:pPr>
              <w:pStyle w:val="Default"/>
              <w:keepNext/>
              <w:widowControl/>
              <w:spacing w:before="60" w:after="60"/>
              <w:ind w:right="46"/>
              <w:jc w:val="center"/>
              <w:rPr>
                <w:rFonts w:ascii="Arial" w:hAnsi="Arial" w:cs="Arial"/>
                <w:sz w:val="17"/>
                <w:szCs w:val="17"/>
                <w:lang w:val="en-AU"/>
              </w:rPr>
            </w:pPr>
            <w:r w:rsidRPr="002742BE">
              <w:rPr>
                <w:rFonts w:ascii="Arial" w:hAnsi="Arial" w:cs="Arial"/>
                <w:sz w:val="17"/>
                <w:szCs w:val="17"/>
                <w:lang w:val="en-AU"/>
              </w:rPr>
              <w:t>--</w:t>
            </w:r>
          </w:p>
        </w:tc>
      </w:tr>
      <w:tr w:rsidR="00867DE1" w:rsidRPr="002742BE" w:rsidTr="00B9544A">
        <w:trPr>
          <w:cantSplit/>
          <w:trHeight w:val="449"/>
        </w:trPr>
        <w:tc>
          <w:tcPr>
            <w:tcW w:w="529" w:type="pct"/>
            <w:shd w:val="clear" w:color="auto" w:fill="auto"/>
          </w:tcPr>
          <w:p w:rsidR="00DF3A3B" w:rsidRPr="002742BE" w:rsidRDefault="00DF3A3B" w:rsidP="00F04C47">
            <w:pPr>
              <w:pStyle w:val="Default"/>
              <w:keepLines/>
              <w:widowControl/>
              <w:tabs>
                <w:tab w:val="left" w:pos="567"/>
              </w:tabs>
              <w:spacing w:before="60" w:after="60"/>
              <w:ind w:right="46"/>
              <w:rPr>
                <w:rFonts w:ascii="Arial" w:hAnsi="Arial" w:cs="Arial"/>
                <w:sz w:val="17"/>
                <w:szCs w:val="17"/>
                <w:lang w:val="en-AU"/>
              </w:rPr>
            </w:pPr>
            <w:r w:rsidRPr="002742BE">
              <w:rPr>
                <w:rFonts w:ascii="Arial" w:hAnsi="Arial" w:cs="Arial"/>
                <w:sz w:val="17"/>
                <w:szCs w:val="17"/>
                <w:lang w:val="en-AU"/>
              </w:rPr>
              <w:t>Major bleedings</w:t>
            </w:r>
          </w:p>
        </w:tc>
        <w:tc>
          <w:tcPr>
            <w:tcW w:w="569" w:type="pct"/>
            <w:tcBorders>
              <w:right w:val="single" w:sz="4" w:space="0" w:color="auto"/>
            </w:tcBorders>
            <w:shd w:val="clear" w:color="auto" w:fill="auto"/>
          </w:tcPr>
          <w:p w:rsidR="00DF3A3B" w:rsidRPr="002742BE" w:rsidRDefault="00DF3A3B"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6 (0.3 %)</w:t>
            </w:r>
          </w:p>
        </w:tc>
        <w:tc>
          <w:tcPr>
            <w:tcW w:w="552" w:type="pct"/>
            <w:tcBorders>
              <w:left w:val="single" w:sz="4" w:space="0" w:color="auto"/>
              <w:right w:val="single" w:sz="4" w:space="0" w:color="auto"/>
            </w:tcBorders>
            <w:shd w:val="clear" w:color="auto" w:fill="auto"/>
          </w:tcPr>
          <w:p w:rsidR="00DF3A3B" w:rsidRPr="002742BE" w:rsidRDefault="00DF3A3B"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2 (0.1%)</w:t>
            </w:r>
          </w:p>
        </w:tc>
        <w:tc>
          <w:tcPr>
            <w:tcW w:w="399" w:type="pct"/>
            <w:tcBorders>
              <w:left w:val="single" w:sz="4" w:space="0" w:color="auto"/>
              <w:right w:val="single" w:sz="4" w:space="0" w:color="auto"/>
            </w:tcBorders>
            <w:shd w:val="clear" w:color="auto" w:fill="auto"/>
          </w:tcPr>
          <w:p w:rsidR="00DF3A3B"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w:t>
            </w:r>
          </w:p>
        </w:tc>
        <w:tc>
          <w:tcPr>
            <w:tcW w:w="546" w:type="pct"/>
            <w:tcBorders>
              <w:left w:val="single" w:sz="4" w:space="0" w:color="auto"/>
              <w:right w:val="single" w:sz="4" w:space="0" w:color="auto"/>
            </w:tcBorders>
            <w:shd w:val="clear" w:color="auto" w:fill="auto"/>
          </w:tcPr>
          <w:p w:rsidR="00DF3A3B" w:rsidRPr="002742BE" w:rsidRDefault="00DF3A3B"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 (0.1%)</w:t>
            </w:r>
          </w:p>
        </w:tc>
        <w:tc>
          <w:tcPr>
            <w:tcW w:w="529" w:type="pct"/>
            <w:tcBorders>
              <w:left w:val="single" w:sz="4" w:space="0" w:color="auto"/>
              <w:right w:val="single" w:sz="4" w:space="0" w:color="auto"/>
            </w:tcBorders>
            <w:shd w:val="clear" w:color="auto" w:fill="auto"/>
          </w:tcPr>
          <w:p w:rsidR="00DF3A3B" w:rsidRPr="002742BE" w:rsidRDefault="00DF3A3B"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 (0.1%)</w:t>
            </w:r>
          </w:p>
        </w:tc>
        <w:tc>
          <w:tcPr>
            <w:tcW w:w="355" w:type="pct"/>
            <w:tcBorders>
              <w:left w:val="single" w:sz="4" w:space="0" w:color="auto"/>
              <w:right w:val="single" w:sz="4" w:space="0" w:color="auto"/>
            </w:tcBorders>
            <w:shd w:val="clear" w:color="auto" w:fill="auto"/>
          </w:tcPr>
          <w:p w:rsidR="00DF3A3B" w:rsidRPr="002742BE" w:rsidRDefault="00BF7775" w:rsidP="00F04C47">
            <w:pPr>
              <w:pStyle w:val="Default"/>
              <w:keepLines/>
              <w:widowControl/>
              <w:spacing w:before="60" w:after="60"/>
              <w:ind w:right="-52"/>
              <w:jc w:val="center"/>
              <w:rPr>
                <w:rFonts w:ascii="Arial" w:hAnsi="Arial" w:cs="Arial"/>
                <w:sz w:val="17"/>
                <w:szCs w:val="17"/>
                <w:lang w:val="en-AU"/>
              </w:rPr>
            </w:pPr>
            <w:r w:rsidRPr="002742BE">
              <w:rPr>
                <w:rFonts w:ascii="Arial" w:hAnsi="Arial" w:cs="Arial"/>
                <w:sz w:val="17"/>
                <w:szCs w:val="17"/>
                <w:lang w:val="en-AU"/>
              </w:rPr>
              <w:t>--</w:t>
            </w:r>
          </w:p>
        </w:tc>
        <w:tc>
          <w:tcPr>
            <w:tcW w:w="614" w:type="pct"/>
            <w:tcBorders>
              <w:left w:val="single" w:sz="4" w:space="0" w:color="auto"/>
              <w:right w:val="single" w:sz="4" w:space="0" w:color="auto"/>
            </w:tcBorders>
            <w:shd w:val="clear" w:color="auto" w:fill="auto"/>
          </w:tcPr>
          <w:p w:rsidR="00DF3A3B" w:rsidRPr="002742BE" w:rsidRDefault="00DF3A3B"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7 (0.6%)</w:t>
            </w:r>
          </w:p>
        </w:tc>
        <w:tc>
          <w:tcPr>
            <w:tcW w:w="558" w:type="pct"/>
            <w:tcBorders>
              <w:left w:val="single" w:sz="4" w:space="0" w:color="auto"/>
              <w:right w:val="single" w:sz="4" w:space="0" w:color="auto"/>
            </w:tcBorders>
            <w:shd w:val="clear" w:color="auto" w:fill="auto"/>
          </w:tcPr>
          <w:p w:rsidR="00DF3A3B" w:rsidRPr="002742BE" w:rsidRDefault="00DF3A3B"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6 (0.5%)</w:t>
            </w:r>
          </w:p>
        </w:tc>
        <w:tc>
          <w:tcPr>
            <w:tcW w:w="349" w:type="pct"/>
            <w:tcBorders>
              <w:left w:val="single" w:sz="4" w:space="0" w:color="auto"/>
            </w:tcBorders>
            <w:shd w:val="clear" w:color="auto" w:fill="auto"/>
          </w:tcPr>
          <w:p w:rsidR="00DF3A3B"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w:t>
            </w:r>
          </w:p>
        </w:tc>
      </w:tr>
      <w:tr w:rsidR="00867DE1" w:rsidRPr="002742BE" w:rsidTr="00B9544A">
        <w:trPr>
          <w:cantSplit/>
          <w:trHeight w:val="413"/>
        </w:trPr>
        <w:tc>
          <w:tcPr>
            <w:tcW w:w="529" w:type="pct"/>
            <w:shd w:val="clear" w:color="auto" w:fill="auto"/>
          </w:tcPr>
          <w:p w:rsidR="00BF7775" w:rsidRPr="002742BE" w:rsidRDefault="00BF7775" w:rsidP="00F04C47">
            <w:pPr>
              <w:pStyle w:val="Default"/>
              <w:keepLines/>
              <w:tabs>
                <w:tab w:val="left" w:pos="567"/>
                <w:tab w:val="left" w:pos="972"/>
              </w:tabs>
              <w:spacing w:before="60" w:after="60"/>
              <w:ind w:right="46"/>
              <w:rPr>
                <w:rFonts w:ascii="Arial" w:hAnsi="Arial" w:cs="Arial"/>
                <w:sz w:val="17"/>
                <w:szCs w:val="17"/>
                <w:lang w:val="en-AU"/>
              </w:rPr>
            </w:pPr>
            <w:r w:rsidRPr="002742BE">
              <w:rPr>
                <w:rFonts w:ascii="Arial" w:hAnsi="Arial" w:cs="Arial"/>
                <w:sz w:val="17"/>
                <w:szCs w:val="17"/>
                <w:lang w:val="en-AU"/>
              </w:rPr>
              <w:t xml:space="preserve"> PE (non</w:t>
            </w:r>
            <w:r w:rsidR="007514E5">
              <w:rPr>
                <w:rFonts w:ascii="Arial" w:hAnsi="Arial" w:cs="Arial"/>
                <w:sz w:val="17"/>
                <w:szCs w:val="17"/>
                <w:lang w:val="en-AU"/>
              </w:rPr>
              <w:t>-</w:t>
            </w:r>
            <w:r w:rsidRPr="002742BE">
              <w:rPr>
                <w:rFonts w:ascii="Arial" w:hAnsi="Arial" w:cs="Arial"/>
                <w:sz w:val="17"/>
                <w:szCs w:val="17"/>
                <w:lang w:val="en-AU"/>
              </w:rPr>
              <w:t>fatal)</w:t>
            </w:r>
          </w:p>
        </w:tc>
        <w:tc>
          <w:tcPr>
            <w:tcW w:w="569" w:type="pct"/>
            <w:tcBorders>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4 (0.3%)</w:t>
            </w:r>
          </w:p>
        </w:tc>
        <w:tc>
          <w:tcPr>
            <w:tcW w:w="552"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 (&lt;0.1%)</w:t>
            </w:r>
          </w:p>
        </w:tc>
        <w:tc>
          <w:tcPr>
            <w:tcW w:w="399"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w:t>
            </w:r>
          </w:p>
        </w:tc>
        <w:tc>
          <w:tcPr>
            <w:tcW w:w="546"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1 (0.1%)</w:t>
            </w:r>
          </w:p>
        </w:tc>
        <w:tc>
          <w:tcPr>
            <w:tcW w:w="529"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4 (0.5%)</w:t>
            </w:r>
          </w:p>
        </w:tc>
        <w:tc>
          <w:tcPr>
            <w:tcW w:w="355"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52"/>
              <w:jc w:val="center"/>
              <w:rPr>
                <w:rFonts w:ascii="Arial" w:hAnsi="Arial" w:cs="Arial"/>
                <w:sz w:val="17"/>
                <w:szCs w:val="17"/>
                <w:lang w:val="en-AU"/>
              </w:rPr>
            </w:pPr>
            <w:r w:rsidRPr="002742BE">
              <w:rPr>
                <w:rFonts w:ascii="Arial" w:hAnsi="Arial" w:cs="Arial"/>
                <w:sz w:val="17"/>
                <w:szCs w:val="17"/>
                <w:lang w:val="en-AU"/>
              </w:rPr>
              <w:t>--</w:t>
            </w:r>
          </w:p>
        </w:tc>
        <w:tc>
          <w:tcPr>
            <w:tcW w:w="614"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0 (0.0)</w:t>
            </w:r>
          </w:p>
        </w:tc>
        <w:tc>
          <w:tcPr>
            <w:tcW w:w="558"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4 (0.5%)</w:t>
            </w:r>
          </w:p>
        </w:tc>
        <w:tc>
          <w:tcPr>
            <w:tcW w:w="349" w:type="pct"/>
            <w:tcBorders>
              <w:lef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w:t>
            </w:r>
          </w:p>
        </w:tc>
      </w:tr>
      <w:tr w:rsidR="00867DE1" w:rsidRPr="002742BE" w:rsidTr="00B9544A">
        <w:trPr>
          <w:cantSplit/>
          <w:trHeight w:val="547"/>
        </w:trPr>
        <w:tc>
          <w:tcPr>
            <w:tcW w:w="529" w:type="pct"/>
            <w:shd w:val="clear" w:color="auto" w:fill="auto"/>
          </w:tcPr>
          <w:p w:rsidR="00BF7775" w:rsidRPr="002742BE" w:rsidRDefault="00BF7775" w:rsidP="00F04C47">
            <w:pPr>
              <w:pStyle w:val="Default"/>
              <w:keepLines/>
              <w:tabs>
                <w:tab w:val="left" w:pos="567"/>
                <w:tab w:val="left" w:pos="1049"/>
              </w:tabs>
              <w:spacing w:before="60" w:after="60"/>
              <w:ind w:right="46"/>
              <w:rPr>
                <w:rFonts w:ascii="Arial" w:hAnsi="Arial" w:cs="Arial"/>
                <w:sz w:val="17"/>
                <w:szCs w:val="17"/>
                <w:lang w:val="en-AU"/>
              </w:rPr>
            </w:pPr>
            <w:r w:rsidRPr="002742BE">
              <w:rPr>
                <w:rFonts w:ascii="Arial" w:hAnsi="Arial" w:cs="Arial"/>
                <w:sz w:val="17"/>
                <w:szCs w:val="17"/>
                <w:lang w:val="en-AU"/>
              </w:rPr>
              <w:t>Death  (any cause)</w:t>
            </w:r>
          </w:p>
        </w:tc>
        <w:tc>
          <w:tcPr>
            <w:tcW w:w="569" w:type="pct"/>
            <w:tcBorders>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4 (0.3%)</w:t>
            </w:r>
          </w:p>
        </w:tc>
        <w:tc>
          <w:tcPr>
            <w:tcW w:w="552"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4 (0.3%)</w:t>
            </w:r>
          </w:p>
        </w:tc>
        <w:tc>
          <w:tcPr>
            <w:tcW w:w="399"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w:t>
            </w:r>
          </w:p>
        </w:tc>
        <w:tc>
          <w:tcPr>
            <w:tcW w:w="546"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2 (0,2%)</w:t>
            </w:r>
          </w:p>
        </w:tc>
        <w:tc>
          <w:tcPr>
            <w:tcW w:w="529"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6 (0.7%)</w:t>
            </w:r>
          </w:p>
        </w:tc>
        <w:tc>
          <w:tcPr>
            <w:tcW w:w="355"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52"/>
              <w:jc w:val="center"/>
              <w:rPr>
                <w:rFonts w:ascii="Arial" w:hAnsi="Arial" w:cs="Arial"/>
                <w:sz w:val="17"/>
                <w:szCs w:val="17"/>
                <w:lang w:val="en-AU"/>
              </w:rPr>
            </w:pPr>
            <w:r w:rsidRPr="002742BE">
              <w:rPr>
                <w:rFonts w:ascii="Arial" w:hAnsi="Arial" w:cs="Arial"/>
                <w:sz w:val="17"/>
                <w:szCs w:val="17"/>
                <w:lang w:val="en-AU"/>
              </w:rPr>
              <w:t>--</w:t>
            </w:r>
          </w:p>
        </w:tc>
        <w:tc>
          <w:tcPr>
            <w:tcW w:w="614"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0 (0.0)</w:t>
            </w:r>
          </w:p>
        </w:tc>
        <w:tc>
          <w:tcPr>
            <w:tcW w:w="558"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2 (0.2%)</w:t>
            </w:r>
          </w:p>
        </w:tc>
        <w:tc>
          <w:tcPr>
            <w:tcW w:w="349" w:type="pct"/>
            <w:tcBorders>
              <w:lef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w:t>
            </w:r>
          </w:p>
        </w:tc>
      </w:tr>
      <w:tr w:rsidR="00867DE1" w:rsidRPr="002742BE" w:rsidTr="00B9544A">
        <w:trPr>
          <w:cantSplit/>
          <w:trHeight w:val="521"/>
        </w:trPr>
        <w:tc>
          <w:tcPr>
            <w:tcW w:w="529" w:type="pct"/>
            <w:shd w:val="clear" w:color="auto" w:fill="auto"/>
          </w:tcPr>
          <w:p w:rsidR="00BF7775" w:rsidRPr="002742BE" w:rsidRDefault="00BF7775" w:rsidP="00F04C47">
            <w:pPr>
              <w:pStyle w:val="Default"/>
              <w:keepLines/>
              <w:tabs>
                <w:tab w:val="left" w:pos="567"/>
                <w:tab w:val="left" w:pos="1049"/>
              </w:tabs>
              <w:spacing w:before="60" w:after="60"/>
              <w:ind w:right="46"/>
              <w:rPr>
                <w:rFonts w:ascii="Arial" w:hAnsi="Arial" w:cs="Arial"/>
                <w:sz w:val="17"/>
                <w:szCs w:val="17"/>
                <w:lang w:val="en-AU"/>
              </w:rPr>
            </w:pPr>
            <w:r w:rsidRPr="002742BE">
              <w:rPr>
                <w:rFonts w:ascii="Arial" w:hAnsi="Arial" w:cs="Arial"/>
                <w:sz w:val="17"/>
                <w:szCs w:val="17"/>
                <w:lang w:val="en-AU"/>
              </w:rPr>
              <w:t>VTE related death</w:t>
            </w:r>
          </w:p>
        </w:tc>
        <w:tc>
          <w:tcPr>
            <w:tcW w:w="569" w:type="pct"/>
            <w:tcBorders>
              <w:right w:val="single" w:sz="4" w:space="0" w:color="auto"/>
            </w:tcBorders>
            <w:shd w:val="clear" w:color="auto" w:fill="auto"/>
          </w:tcPr>
          <w:p w:rsidR="00BF7775" w:rsidRPr="002742BE" w:rsidRDefault="00BF7775" w:rsidP="00F04C47">
            <w:pPr>
              <w:pStyle w:val="Default"/>
              <w:keepLines/>
              <w:spacing w:before="60" w:after="60"/>
              <w:ind w:right="46"/>
              <w:jc w:val="center"/>
              <w:rPr>
                <w:rFonts w:ascii="Arial" w:hAnsi="Arial" w:cs="Arial"/>
                <w:sz w:val="17"/>
                <w:szCs w:val="17"/>
                <w:lang w:val="en-AU"/>
              </w:rPr>
            </w:pPr>
            <w:r w:rsidRPr="002742BE">
              <w:rPr>
                <w:rFonts w:ascii="Arial" w:hAnsi="Arial" w:cs="Arial"/>
                <w:sz w:val="17"/>
                <w:szCs w:val="17"/>
                <w:lang w:val="en-AU"/>
              </w:rPr>
              <w:t>0 (0%)</w:t>
            </w:r>
          </w:p>
        </w:tc>
        <w:tc>
          <w:tcPr>
            <w:tcW w:w="552" w:type="pct"/>
            <w:tcBorders>
              <w:left w:val="single" w:sz="4" w:space="0" w:color="auto"/>
              <w:right w:val="single" w:sz="4" w:space="0" w:color="auto"/>
            </w:tcBorders>
            <w:shd w:val="clear" w:color="auto" w:fill="auto"/>
          </w:tcPr>
          <w:p w:rsidR="00BF7775" w:rsidRPr="002742BE" w:rsidRDefault="00BF7775" w:rsidP="00F04C47">
            <w:pPr>
              <w:pStyle w:val="Default"/>
              <w:keepLines/>
              <w:spacing w:before="60" w:after="60"/>
              <w:ind w:right="46"/>
              <w:jc w:val="center"/>
              <w:rPr>
                <w:rFonts w:ascii="Arial" w:hAnsi="Arial" w:cs="Arial"/>
                <w:sz w:val="17"/>
                <w:szCs w:val="17"/>
                <w:lang w:val="en-AU"/>
              </w:rPr>
            </w:pPr>
            <w:r w:rsidRPr="002742BE">
              <w:rPr>
                <w:rFonts w:ascii="Arial" w:hAnsi="Arial" w:cs="Arial"/>
                <w:sz w:val="17"/>
                <w:szCs w:val="17"/>
                <w:lang w:val="en-AU"/>
              </w:rPr>
              <w:t>1 (&lt;0.1%)</w:t>
            </w:r>
          </w:p>
        </w:tc>
        <w:tc>
          <w:tcPr>
            <w:tcW w:w="399"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w:t>
            </w:r>
          </w:p>
        </w:tc>
        <w:tc>
          <w:tcPr>
            <w:tcW w:w="546" w:type="pct"/>
            <w:tcBorders>
              <w:left w:val="single" w:sz="4" w:space="0" w:color="auto"/>
              <w:right w:val="single" w:sz="4" w:space="0" w:color="auto"/>
            </w:tcBorders>
            <w:shd w:val="clear" w:color="auto" w:fill="auto"/>
          </w:tcPr>
          <w:p w:rsidR="00BF7775" w:rsidRPr="002742BE" w:rsidRDefault="00BF7775" w:rsidP="00F04C47">
            <w:pPr>
              <w:pStyle w:val="Default"/>
              <w:keepLines/>
              <w:spacing w:before="60" w:after="60"/>
              <w:ind w:right="46"/>
              <w:jc w:val="center"/>
              <w:rPr>
                <w:rFonts w:ascii="Arial" w:hAnsi="Arial" w:cs="Arial"/>
                <w:sz w:val="17"/>
                <w:szCs w:val="17"/>
                <w:lang w:val="en-AU"/>
              </w:rPr>
            </w:pPr>
            <w:r w:rsidRPr="002742BE">
              <w:rPr>
                <w:rFonts w:ascii="Arial" w:hAnsi="Arial" w:cs="Arial"/>
                <w:sz w:val="17"/>
                <w:szCs w:val="17"/>
                <w:lang w:val="en-AU"/>
              </w:rPr>
              <w:t>0 (0%)</w:t>
            </w:r>
          </w:p>
        </w:tc>
        <w:tc>
          <w:tcPr>
            <w:tcW w:w="529" w:type="pct"/>
            <w:tcBorders>
              <w:left w:val="single" w:sz="4" w:space="0" w:color="auto"/>
              <w:right w:val="single" w:sz="4" w:space="0" w:color="auto"/>
            </w:tcBorders>
            <w:shd w:val="clear" w:color="auto" w:fill="auto"/>
          </w:tcPr>
          <w:p w:rsidR="00BF7775" w:rsidRPr="002742BE" w:rsidRDefault="00BF7775" w:rsidP="00F04C47">
            <w:pPr>
              <w:pStyle w:val="Default"/>
              <w:keepLines/>
              <w:spacing w:before="60" w:after="60"/>
              <w:ind w:right="46"/>
              <w:jc w:val="center"/>
              <w:rPr>
                <w:rFonts w:ascii="Arial" w:hAnsi="Arial" w:cs="Arial"/>
                <w:sz w:val="17"/>
                <w:szCs w:val="17"/>
                <w:lang w:val="en-AU"/>
              </w:rPr>
            </w:pPr>
            <w:r w:rsidRPr="002742BE">
              <w:rPr>
                <w:rFonts w:ascii="Arial" w:hAnsi="Arial" w:cs="Arial"/>
                <w:sz w:val="17"/>
                <w:szCs w:val="17"/>
                <w:lang w:val="en-AU"/>
              </w:rPr>
              <w:t>1 (0.1%)</w:t>
            </w:r>
          </w:p>
        </w:tc>
        <w:tc>
          <w:tcPr>
            <w:tcW w:w="355" w:type="pct"/>
            <w:tcBorders>
              <w:left w:val="single" w:sz="4" w:space="0" w:color="auto"/>
              <w:right w:val="single" w:sz="4" w:space="0" w:color="auto"/>
            </w:tcBorders>
            <w:shd w:val="clear" w:color="auto" w:fill="auto"/>
          </w:tcPr>
          <w:p w:rsidR="00BF7775" w:rsidRPr="002742BE" w:rsidRDefault="00BF7775" w:rsidP="00F04C47">
            <w:pPr>
              <w:pStyle w:val="Default"/>
              <w:keepLines/>
              <w:widowControl/>
              <w:spacing w:before="60" w:after="60"/>
              <w:ind w:right="-52"/>
              <w:jc w:val="center"/>
              <w:rPr>
                <w:rFonts w:ascii="Arial" w:hAnsi="Arial" w:cs="Arial"/>
                <w:sz w:val="17"/>
                <w:szCs w:val="17"/>
                <w:lang w:val="en-AU"/>
              </w:rPr>
            </w:pPr>
            <w:r w:rsidRPr="002742BE">
              <w:rPr>
                <w:rFonts w:ascii="Arial" w:hAnsi="Arial" w:cs="Arial"/>
                <w:sz w:val="17"/>
                <w:szCs w:val="17"/>
                <w:lang w:val="en-AU"/>
              </w:rPr>
              <w:t>--</w:t>
            </w:r>
          </w:p>
        </w:tc>
        <w:tc>
          <w:tcPr>
            <w:tcW w:w="614" w:type="pct"/>
            <w:tcBorders>
              <w:left w:val="single" w:sz="4" w:space="0" w:color="auto"/>
              <w:right w:val="single" w:sz="4" w:space="0" w:color="auto"/>
            </w:tcBorders>
            <w:shd w:val="clear" w:color="auto" w:fill="auto"/>
          </w:tcPr>
          <w:p w:rsidR="00BF7775" w:rsidRPr="002742BE" w:rsidRDefault="00BF7775" w:rsidP="00F04C47">
            <w:pPr>
              <w:pStyle w:val="Default"/>
              <w:keepLines/>
              <w:spacing w:before="60" w:after="60"/>
              <w:ind w:right="46"/>
              <w:jc w:val="center"/>
              <w:rPr>
                <w:rFonts w:ascii="Arial" w:hAnsi="Arial" w:cs="Arial"/>
                <w:sz w:val="17"/>
                <w:szCs w:val="17"/>
                <w:lang w:val="en-AU"/>
              </w:rPr>
            </w:pPr>
            <w:r w:rsidRPr="002742BE">
              <w:rPr>
                <w:rFonts w:ascii="Arial" w:hAnsi="Arial" w:cs="Arial"/>
                <w:sz w:val="17"/>
                <w:szCs w:val="17"/>
                <w:lang w:val="en-AU"/>
              </w:rPr>
              <w:t>0 (0%)</w:t>
            </w:r>
          </w:p>
        </w:tc>
        <w:tc>
          <w:tcPr>
            <w:tcW w:w="558" w:type="pct"/>
            <w:tcBorders>
              <w:left w:val="single" w:sz="4" w:space="0" w:color="auto"/>
              <w:right w:val="single" w:sz="4" w:space="0" w:color="auto"/>
            </w:tcBorders>
            <w:shd w:val="clear" w:color="auto" w:fill="auto"/>
          </w:tcPr>
          <w:p w:rsidR="00BF7775" w:rsidRPr="002742BE" w:rsidRDefault="00BF7775" w:rsidP="00F04C47">
            <w:pPr>
              <w:pStyle w:val="Default"/>
              <w:keepLines/>
              <w:spacing w:before="60" w:after="60"/>
              <w:ind w:right="46"/>
              <w:jc w:val="center"/>
              <w:rPr>
                <w:rFonts w:ascii="Arial" w:hAnsi="Arial" w:cs="Arial"/>
                <w:sz w:val="17"/>
                <w:szCs w:val="17"/>
                <w:lang w:val="en-AU"/>
              </w:rPr>
            </w:pPr>
            <w:r w:rsidRPr="002742BE">
              <w:rPr>
                <w:rFonts w:ascii="Arial" w:hAnsi="Arial" w:cs="Arial"/>
                <w:sz w:val="17"/>
                <w:szCs w:val="17"/>
                <w:lang w:val="en-AU"/>
              </w:rPr>
              <w:t>0 (0%)</w:t>
            </w:r>
          </w:p>
        </w:tc>
        <w:tc>
          <w:tcPr>
            <w:tcW w:w="349" w:type="pct"/>
            <w:tcBorders>
              <w:left w:val="single" w:sz="4" w:space="0" w:color="auto"/>
            </w:tcBorders>
            <w:shd w:val="clear" w:color="auto" w:fill="auto"/>
          </w:tcPr>
          <w:p w:rsidR="00BF7775" w:rsidRPr="002742BE" w:rsidRDefault="00BF7775" w:rsidP="00F04C47">
            <w:pPr>
              <w:pStyle w:val="Default"/>
              <w:keepLines/>
              <w:widowControl/>
              <w:spacing w:before="60" w:after="60"/>
              <w:ind w:right="46"/>
              <w:jc w:val="center"/>
              <w:rPr>
                <w:rFonts w:ascii="Arial" w:hAnsi="Arial" w:cs="Arial"/>
                <w:sz w:val="17"/>
                <w:szCs w:val="17"/>
                <w:lang w:val="en-AU"/>
              </w:rPr>
            </w:pPr>
            <w:r w:rsidRPr="002742BE">
              <w:rPr>
                <w:rFonts w:ascii="Arial" w:hAnsi="Arial" w:cs="Arial"/>
                <w:sz w:val="17"/>
                <w:szCs w:val="17"/>
                <w:lang w:val="en-AU"/>
              </w:rPr>
              <w:t>--</w:t>
            </w:r>
          </w:p>
        </w:tc>
      </w:tr>
    </w:tbl>
    <w:p w:rsidR="001C19A7" w:rsidRPr="002742BE" w:rsidRDefault="001C19A7" w:rsidP="00F04C47">
      <w:pPr>
        <w:pStyle w:val="Default"/>
        <w:widowControl/>
        <w:spacing w:after="240"/>
        <w:ind w:right="46"/>
        <w:jc w:val="both"/>
        <w:rPr>
          <w:rFonts w:ascii="Arial" w:hAnsi="Arial" w:cs="Arial"/>
          <w:sz w:val="18"/>
          <w:szCs w:val="18"/>
          <w:lang w:val="en-AU"/>
        </w:rPr>
      </w:pPr>
      <w:r w:rsidRPr="002742BE">
        <w:rPr>
          <w:rFonts w:ascii="Arial" w:hAnsi="Arial" w:cs="Arial"/>
          <w:sz w:val="18"/>
          <w:szCs w:val="18"/>
          <w:lang w:val="en-AU"/>
        </w:rPr>
        <w:t>n = number of events; (%) = percentage</w:t>
      </w:r>
    </w:p>
    <w:p w:rsidR="002A0AFA" w:rsidRPr="002742BE" w:rsidRDefault="002A0AFA" w:rsidP="00F04C47">
      <w:pPr>
        <w:pStyle w:val="Default"/>
        <w:widowControl/>
        <w:spacing w:before="120" w:after="240"/>
        <w:ind w:right="46"/>
        <w:jc w:val="both"/>
        <w:rPr>
          <w:rFonts w:ascii="Arial" w:hAnsi="Arial" w:cs="Arial"/>
          <w:sz w:val="22"/>
          <w:szCs w:val="22"/>
          <w:lang w:val="en-AU"/>
        </w:rPr>
        <w:sectPr w:rsidR="002A0AFA" w:rsidRPr="002742BE" w:rsidSect="00FE0295">
          <w:pgSz w:w="16838" w:h="11906" w:orient="landscape" w:code="9"/>
          <w:pgMar w:top="1797" w:right="1274" w:bottom="206" w:left="1418" w:header="709" w:footer="851" w:gutter="0"/>
          <w:cols w:space="708"/>
          <w:docGrid w:linePitch="360"/>
        </w:sectPr>
      </w:pPr>
    </w:p>
    <w:p w:rsidR="00B66FBF" w:rsidRPr="0001010C" w:rsidRDefault="00B66FBF" w:rsidP="0001010C">
      <w:pPr>
        <w:pStyle w:val="Heading2"/>
        <w:rPr>
          <w:rFonts w:ascii="Arial" w:hAnsi="Arial" w:cs="Arial"/>
          <w:sz w:val="22"/>
        </w:rPr>
      </w:pPr>
      <w:r w:rsidRPr="0001010C">
        <w:rPr>
          <w:rFonts w:ascii="Arial" w:hAnsi="Arial" w:cs="Arial"/>
          <w:sz w:val="22"/>
        </w:rPr>
        <w:lastRenderedPageBreak/>
        <w:t>Prevention of stroke and systemic embolism in patients with non-valvular atrial fibrillation</w:t>
      </w:r>
    </w:p>
    <w:p w:rsidR="00B66FBF" w:rsidRPr="002742BE" w:rsidRDefault="00B66FBF" w:rsidP="00C72F73">
      <w:pPr>
        <w:pStyle w:val="Default"/>
        <w:widowControl/>
        <w:spacing w:before="120" w:after="120"/>
        <w:ind w:right="46"/>
        <w:jc w:val="both"/>
        <w:rPr>
          <w:rFonts w:ascii="Arial" w:hAnsi="Arial" w:cs="Arial"/>
          <w:sz w:val="22"/>
          <w:szCs w:val="22"/>
          <w:lang w:val="en-AU"/>
        </w:rPr>
      </w:pPr>
      <w:r w:rsidRPr="002742BE">
        <w:rPr>
          <w:rFonts w:ascii="Arial" w:hAnsi="Arial" w:cs="Arial"/>
          <w:sz w:val="22"/>
          <w:szCs w:val="22"/>
          <w:lang w:val="en-AU"/>
        </w:rPr>
        <w:t xml:space="preserve">The ROCKET-AF clinical program was designed to demonstrate the efficacy of Xarelto for the prevention of stroke and systemic embolism in patients with non-valvular atrial fibrillation (AF). </w:t>
      </w:r>
    </w:p>
    <w:p w:rsidR="00B66FBF" w:rsidRPr="002742BE" w:rsidRDefault="00B66FBF" w:rsidP="00C72F73">
      <w:pPr>
        <w:pStyle w:val="Default"/>
        <w:widowControl/>
        <w:spacing w:before="120" w:after="120"/>
        <w:ind w:right="46"/>
        <w:jc w:val="both"/>
        <w:rPr>
          <w:rFonts w:ascii="Arial" w:hAnsi="Arial" w:cs="Arial"/>
          <w:sz w:val="22"/>
          <w:szCs w:val="22"/>
          <w:lang w:val="en-AU"/>
        </w:rPr>
      </w:pPr>
      <w:r w:rsidRPr="002742BE">
        <w:rPr>
          <w:rFonts w:ascii="Arial" w:hAnsi="Arial" w:cs="Arial"/>
          <w:sz w:val="22"/>
          <w:szCs w:val="22"/>
          <w:lang w:val="en-AU"/>
        </w:rPr>
        <w:t xml:space="preserve">In the pivotal randomised, double-blind, double-dummy, parallel-group, event-driven, non-inferiority ROCKET-AF study comparing once daily oral rivaroxaban with adjusted-dose oral warfarin, 14,264 patients were assigned either to rivaroxaban 20 mg orally once daily (15 mg orally once daily in patients with CrCl 30 </w:t>
      </w:r>
      <w:r w:rsidR="00A1697D">
        <w:rPr>
          <w:rFonts w:ascii="Arial" w:hAnsi="Arial" w:cs="Arial"/>
          <w:sz w:val="22"/>
          <w:szCs w:val="22"/>
          <w:lang w:val="en-AU"/>
        </w:rPr>
        <w:t>-</w:t>
      </w:r>
      <w:r w:rsidRPr="002742BE">
        <w:rPr>
          <w:rFonts w:ascii="Arial" w:hAnsi="Arial" w:cs="Arial"/>
          <w:sz w:val="22"/>
          <w:szCs w:val="22"/>
          <w:lang w:val="en-AU"/>
        </w:rPr>
        <w:t xml:space="preserve"> 49 mL/min) or to warfarin titrated to a target INR of 2.5 (therapeutic range 2.0 to 3.0). The median time on treatment was 19 months and overall treatment duration was up to 41 months.</w:t>
      </w:r>
    </w:p>
    <w:p w:rsidR="005F4395" w:rsidRPr="002742BE" w:rsidRDefault="00A63A9C" w:rsidP="00C72F73">
      <w:pPr>
        <w:pStyle w:val="Default"/>
        <w:widowControl/>
        <w:spacing w:before="120" w:after="120"/>
        <w:ind w:right="45"/>
        <w:jc w:val="both"/>
        <w:rPr>
          <w:lang w:val="en-AU"/>
        </w:rPr>
      </w:pPr>
      <w:r w:rsidRPr="002742BE">
        <w:rPr>
          <w:rFonts w:ascii="Arial" w:hAnsi="Arial" w:cs="Arial"/>
          <w:sz w:val="22"/>
          <w:szCs w:val="22"/>
          <w:lang w:val="en-AU"/>
        </w:rPr>
        <w:t xml:space="preserve">Patients included in the trial had non-valvular </w:t>
      </w:r>
      <w:r w:rsidR="005F4395" w:rsidRPr="002742BE">
        <w:rPr>
          <w:rFonts w:ascii="Arial" w:hAnsi="Arial" w:cs="Arial"/>
          <w:sz w:val="22"/>
          <w:szCs w:val="22"/>
          <w:lang w:val="en-AU"/>
        </w:rPr>
        <w:t xml:space="preserve">atrial fibrillation </w:t>
      </w:r>
      <w:r w:rsidRPr="002742BE">
        <w:rPr>
          <w:rFonts w:ascii="Arial" w:hAnsi="Arial" w:cs="Arial"/>
          <w:sz w:val="22"/>
          <w:szCs w:val="22"/>
          <w:lang w:val="en-AU"/>
        </w:rPr>
        <w:t xml:space="preserve">and </w:t>
      </w:r>
      <w:r w:rsidR="00613FC4" w:rsidRPr="002742BE">
        <w:rPr>
          <w:rFonts w:ascii="Arial" w:hAnsi="Arial" w:cs="Arial"/>
          <w:sz w:val="22"/>
          <w:szCs w:val="22"/>
          <w:lang w:val="en-AU"/>
        </w:rPr>
        <w:t xml:space="preserve">a history of </w:t>
      </w:r>
      <w:r w:rsidR="005F4395" w:rsidRPr="002742BE">
        <w:rPr>
          <w:rFonts w:ascii="Arial" w:hAnsi="Arial" w:cs="Arial"/>
          <w:sz w:val="22"/>
          <w:szCs w:val="22"/>
          <w:lang w:val="en-AU"/>
        </w:rPr>
        <w:t>prior stroke (ischemic or unknown type), transient ischemic attack (TIA) or non-CNS systemic embolism, or two or more of the following risk factors without prior stroke:</w:t>
      </w:r>
    </w:p>
    <w:p w:rsidR="005F4395" w:rsidRPr="002742BE" w:rsidRDefault="005F4395" w:rsidP="00F04C47">
      <w:pPr>
        <w:pStyle w:val="BulletIndent4"/>
        <w:numPr>
          <w:ilvl w:val="0"/>
          <w:numId w:val="14"/>
        </w:numPr>
        <w:tabs>
          <w:tab w:val="clear" w:pos="360"/>
        </w:tabs>
        <w:spacing w:after="0"/>
        <w:ind w:left="0" w:right="46" w:firstLine="0"/>
        <w:rPr>
          <w:rFonts w:ascii="Arial" w:hAnsi="Arial" w:cs="Arial"/>
          <w:sz w:val="22"/>
          <w:szCs w:val="22"/>
          <w:lang w:val="en-AU"/>
        </w:rPr>
      </w:pPr>
      <w:r w:rsidRPr="002742BE">
        <w:rPr>
          <w:rFonts w:ascii="Arial" w:hAnsi="Arial" w:cs="Arial"/>
          <w:sz w:val="22"/>
          <w:szCs w:val="22"/>
          <w:lang w:val="en-AU"/>
        </w:rPr>
        <w:t>age ≥</w:t>
      </w:r>
      <w:r w:rsidR="00A1697D">
        <w:rPr>
          <w:rFonts w:ascii="Arial" w:hAnsi="Arial" w:cs="Arial"/>
          <w:sz w:val="22"/>
          <w:szCs w:val="22"/>
          <w:lang w:val="en-AU"/>
        </w:rPr>
        <w:t xml:space="preserve"> </w:t>
      </w:r>
      <w:r w:rsidRPr="002742BE">
        <w:rPr>
          <w:rFonts w:ascii="Arial" w:hAnsi="Arial" w:cs="Arial"/>
          <w:sz w:val="22"/>
          <w:szCs w:val="22"/>
          <w:lang w:val="en-AU"/>
        </w:rPr>
        <w:t>75 years,</w:t>
      </w:r>
    </w:p>
    <w:p w:rsidR="005F4395" w:rsidRPr="002742BE" w:rsidRDefault="005F4395" w:rsidP="00F04C47">
      <w:pPr>
        <w:pStyle w:val="BulletIndent4"/>
        <w:numPr>
          <w:ilvl w:val="0"/>
          <w:numId w:val="14"/>
        </w:numPr>
        <w:tabs>
          <w:tab w:val="clear" w:pos="360"/>
        </w:tabs>
        <w:spacing w:after="0"/>
        <w:ind w:left="0" w:right="46" w:firstLine="0"/>
        <w:rPr>
          <w:rFonts w:ascii="Arial" w:hAnsi="Arial" w:cs="Arial"/>
          <w:sz w:val="22"/>
          <w:szCs w:val="22"/>
          <w:lang w:val="en-AU"/>
        </w:rPr>
      </w:pPr>
      <w:r w:rsidRPr="002742BE">
        <w:rPr>
          <w:rFonts w:ascii="Arial" w:hAnsi="Arial" w:cs="Arial"/>
          <w:sz w:val="22"/>
          <w:szCs w:val="22"/>
          <w:lang w:val="en-AU"/>
        </w:rPr>
        <w:t>hypertension,</w:t>
      </w:r>
    </w:p>
    <w:p w:rsidR="005F4395" w:rsidRPr="002742BE" w:rsidRDefault="005F4395" w:rsidP="00F04C47">
      <w:pPr>
        <w:pStyle w:val="BulletIndent4"/>
        <w:numPr>
          <w:ilvl w:val="0"/>
          <w:numId w:val="14"/>
        </w:numPr>
        <w:tabs>
          <w:tab w:val="clear" w:pos="360"/>
        </w:tabs>
        <w:spacing w:after="0"/>
        <w:ind w:left="0" w:right="46" w:firstLine="0"/>
        <w:rPr>
          <w:rFonts w:ascii="Arial" w:hAnsi="Arial" w:cs="Arial"/>
          <w:sz w:val="22"/>
          <w:szCs w:val="22"/>
          <w:lang w:val="en-AU"/>
        </w:rPr>
      </w:pPr>
      <w:r w:rsidRPr="002742BE">
        <w:rPr>
          <w:rFonts w:ascii="Arial" w:hAnsi="Arial" w:cs="Arial"/>
          <w:sz w:val="22"/>
          <w:szCs w:val="22"/>
          <w:lang w:val="en-AU"/>
        </w:rPr>
        <w:t>heart failure or left ventricular ejection fraction ≤ 35%, or</w:t>
      </w:r>
    </w:p>
    <w:p w:rsidR="005F4395" w:rsidRPr="002742BE" w:rsidRDefault="005F4395" w:rsidP="00F04C47">
      <w:pPr>
        <w:pStyle w:val="BulletIndent4"/>
        <w:numPr>
          <w:ilvl w:val="0"/>
          <w:numId w:val="14"/>
        </w:numPr>
        <w:tabs>
          <w:tab w:val="clear" w:pos="360"/>
        </w:tabs>
        <w:spacing w:after="0"/>
        <w:ind w:left="0" w:right="46" w:firstLine="0"/>
        <w:rPr>
          <w:rFonts w:ascii="Arial" w:hAnsi="Arial" w:cs="Arial"/>
          <w:sz w:val="22"/>
          <w:szCs w:val="22"/>
          <w:lang w:val="en-AU"/>
        </w:rPr>
      </w:pPr>
      <w:r w:rsidRPr="002742BE">
        <w:rPr>
          <w:rFonts w:ascii="Arial" w:hAnsi="Arial" w:cs="Arial"/>
          <w:sz w:val="22"/>
          <w:szCs w:val="22"/>
          <w:lang w:val="en-AU"/>
        </w:rPr>
        <w:t>diabetes mellitus</w:t>
      </w:r>
    </w:p>
    <w:p w:rsidR="005F4395" w:rsidRPr="002742BE" w:rsidRDefault="005F4395" w:rsidP="00C72F73">
      <w:pPr>
        <w:pStyle w:val="Default"/>
        <w:spacing w:before="120" w:after="120"/>
        <w:ind w:right="45"/>
        <w:jc w:val="both"/>
        <w:rPr>
          <w:rFonts w:ascii="Arial" w:hAnsi="Arial" w:cs="Arial"/>
          <w:sz w:val="22"/>
          <w:szCs w:val="22"/>
          <w:lang w:val="en-AU"/>
        </w:rPr>
      </w:pPr>
      <w:r w:rsidRPr="002742BE">
        <w:rPr>
          <w:rFonts w:ascii="Arial" w:hAnsi="Arial" w:cs="Arial"/>
          <w:sz w:val="22"/>
          <w:szCs w:val="22"/>
          <w:lang w:val="en-AU"/>
        </w:rPr>
        <w:t>The mean age of patients was 71 years</w:t>
      </w:r>
      <w:r w:rsidR="00DD0ED2" w:rsidRPr="002742BE">
        <w:rPr>
          <w:rFonts w:ascii="Arial" w:hAnsi="Arial" w:cs="Arial"/>
          <w:sz w:val="22"/>
          <w:szCs w:val="22"/>
          <w:lang w:val="en-AU"/>
        </w:rPr>
        <w:t xml:space="preserve"> with 44% &gt; 75 years</w:t>
      </w:r>
      <w:r w:rsidRPr="002742BE">
        <w:rPr>
          <w:rFonts w:ascii="Arial" w:hAnsi="Arial" w:cs="Arial"/>
          <w:sz w:val="22"/>
          <w:szCs w:val="22"/>
          <w:lang w:val="en-AU"/>
        </w:rPr>
        <w:t xml:space="preserve">. The population was 60% male, 83% Caucasian, 13% Asian and </w:t>
      </w:r>
      <w:r w:rsidR="00DD0ED2" w:rsidRPr="002742BE">
        <w:rPr>
          <w:rFonts w:ascii="Arial" w:hAnsi="Arial" w:cs="Arial"/>
          <w:sz w:val="22"/>
          <w:szCs w:val="22"/>
          <w:lang w:val="en-AU"/>
        </w:rPr>
        <w:t>4</w:t>
      </w:r>
      <w:r w:rsidRPr="002742BE">
        <w:rPr>
          <w:rFonts w:ascii="Arial" w:hAnsi="Arial" w:cs="Arial"/>
          <w:sz w:val="22"/>
          <w:szCs w:val="22"/>
          <w:lang w:val="en-AU"/>
        </w:rPr>
        <w:t xml:space="preserve">% </w:t>
      </w:r>
      <w:r w:rsidR="00682E22" w:rsidRPr="002742BE">
        <w:rPr>
          <w:rFonts w:ascii="Arial" w:hAnsi="Arial" w:cs="Arial"/>
          <w:sz w:val="22"/>
          <w:szCs w:val="22"/>
          <w:lang w:val="en-AU"/>
        </w:rPr>
        <w:t>o</w:t>
      </w:r>
      <w:r w:rsidR="00DD0ED2" w:rsidRPr="002742BE">
        <w:rPr>
          <w:rFonts w:ascii="Arial" w:hAnsi="Arial" w:cs="Arial"/>
          <w:sz w:val="22"/>
          <w:szCs w:val="22"/>
          <w:lang w:val="en-AU"/>
        </w:rPr>
        <w:t>ther</w:t>
      </w:r>
      <w:r w:rsidRPr="002742BE">
        <w:rPr>
          <w:rFonts w:ascii="Arial" w:hAnsi="Arial" w:cs="Arial"/>
          <w:sz w:val="22"/>
          <w:szCs w:val="22"/>
          <w:lang w:val="en-AU"/>
        </w:rPr>
        <w:t xml:space="preserve">. There was a history of stroke, TIA, or non-CNS systemic embolism in 55% of patients, and 38% of patients had not taken a vitamin K antagonist (VKA) within 6 weeks at time of screening. </w:t>
      </w:r>
      <w:r w:rsidR="00682E22" w:rsidRPr="002742BE">
        <w:rPr>
          <w:rFonts w:ascii="Arial" w:hAnsi="Arial" w:cs="Arial"/>
          <w:sz w:val="22"/>
          <w:szCs w:val="22"/>
          <w:lang w:val="en-AU"/>
        </w:rPr>
        <w:t xml:space="preserve">At baseline, 37% of patients were on aspirin (almost exclusively at a dose of 100 mg or less). A few patients were on clopidogrel and 11.4 % on class III antiarrythmics including amiodarone. </w:t>
      </w:r>
      <w:r w:rsidR="00DD0ED2" w:rsidRPr="002742BE">
        <w:rPr>
          <w:rFonts w:ascii="Arial" w:hAnsi="Arial" w:cs="Arial"/>
          <w:sz w:val="22"/>
          <w:szCs w:val="22"/>
          <w:lang w:val="en-AU"/>
        </w:rPr>
        <w:t xml:space="preserve">The study included patients with co morbidities e.g. 55% secondary prevention population (prior stroke/ TIA/ Systemic embolism), </w:t>
      </w:r>
      <w:r w:rsidRPr="002742BE">
        <w:rPr>
          <w:rFonts w:ascii="Arial" w:hAnsi="Arial" w:cs="Arial"/>
          <w:sz w:val="22"/>
          <w:szCs w:val="22"/>
          <w:lang w:val="en-AU"/>
        </w:rPr>
        <w:t xml:space="preserve">hypertension 91%, diabetes 40%, congestive heart failure 63%, and prior myocardial infarction 17%. </w:t>
      </w:r>
      <w:r w:rsidR="00682E22" w:rsidRPr="002742BE">
        <w:rPr>
          <w:rFonts w:ascii="Arial" w:hAnsi="Arial" w:cs="Arial"/>
          <w:sz w:val="22"/>
          <w:szCs w:val="22"/>
          <w:lang w:val="en-AU"/>
        </w:rPr>
        <w:t xml:space="preserve">Patients with various degree of renal impairment were included in the study, see </w:t>
      </w:r>
      <w:fldSimple w:instr=" REF _Ref318989396  \* MERGEFORMAT ">
        <w:r w:rsidR="00A24B67" w:rsidRPr="00B15449">
          <w:rPr>
            <w:rFonts w:ascii="Arial" w:hAnsi="Arial" w:cs="Arial"/>
            <w:sz w:val="22"/>
            <w:szCs w:val="22"/>
            <w:lang w:val="en-AU"/>
          </w:rPr>
          <w:t xml:space="preserve">Table </w:t>
        </w:r>
        <w:r w:rsidR="00A24B67" w:rsidRPr="00B15449">
          <w:rPr>
            <w:rFonts w:ascii="Arial" w:hAnsi="Arial" w:cs="Arial"/>
            <w:noProof/>
            <w:sz w:val="22"/>
            <w:szCs w:val="22"/>
            <w:lang w:val="en-AU"/>
          </w:rPr>
          <w:t>4</w:t>
        </w:r>
      </w:fldSimple>
      <w:r w:rsidR="00682E22" w:rsidRPr="002742BE">
        <w:rPr>
          <w:rFonts w:ascii="Arial" w:hAnsi="Arial" w:cs="Arial"/>
          <w:sz w:val="22"/>
          <w:szCs w:val="22"/>
          <w:lang w:val="en-AU"/>
        </w:rPr>
        <w:t xml:space="preserve"> for details.</w:t>
      </w:r>
    </w:p>
    <w:p w:rsidR="00476327" w:rsidRPr="002742BE" w:rsidRDefault="00FE0295" w:rsidP="00FE0295">
      <w:pPr>
        <w:pStyle w:val="Caption"/>
        <w:rPr>
          <w:rFonts w:ascii="Arial" w:hAnsi="Arial" w:cs="Arial"/>
          <w:lang w:val="en-AU"/>
        </w:rPr>
      </w:pPr>
      <w:bookmarkStart w:id="5" w:name="_Ref318989396"/>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4</w:t>
      </w:r>
      <w:r w:rsidR="00794C79" w:rsidRPr="002742BE">
        <w:rPr>
          <w:rFonts w:ascii="Arial" w:hAnsi="Arial" w:cs="Arial"/>
          <w:lang w:val="en-AU"/>
        </w:rPr>
        <w:fldChar w:fldCharType="end"/>
      </w:r>
      <w:bookmarkEnd w:id="5"/>
      <w:r w:rsidR="00AC202B" w:rsidRPr="002742BE">
        <w:rPr>
          <w:rFonts w:ascii="Arial" w:hAnsi="Arial" w:cs="Arial"/>
          <w:lang w:val="en-AU"/>
        </w:rPr>
        <w:t>:</w:t>
      </w:r>
      <w:r w:rsidRPr="002742BE">
        <w:rPr>
          <w:rFonts w:ascii="Arial" w:hAnsi="Arial" w:cs="Arial"/>
          <w:lang w:val="en-AU"/>
        </w:rPr>
        <w:t xml:space="preserve"> </w:t>
      </w:r>
      <w:r w:rsidR="00476327" w:rsidRPr="002742BE">
        <w:rPr>
          <w:rFonts w:ascii="Arial" w:hAnsi="Arial" w:cs="Arial"/>
          <w:lang w:val="en-AU"/>
        </w:rPr>
        <w:t xml:space="preserve">Baseline patient numbers for creatinine clearance groups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2552"/>
        <w:gridCol w:w="2976"/>
      </w:tblGrid>
      <w:tr w:rsidR="00476327" w:rsidRPr="002742BE" w:rsidTr="00834736">
        <w:tc>
          <w:tcPr>
            <w:tcW w:w="3544" w:type="dxa"/>
            <w:shd w:val="clear" w:color="auto" w:fill="auto"/>
          </w:tcPr>
          <w:p w:rsidR="00CF7F7D" w:rsidRPr="002742BE" w:rsidRDefault="00476327" w:rsidP="00C72F73">
            <w:pPr>
              <w:pStyle w:val="Default"/>
              <w:widowControl/>
              <w:tabs>
                <w:tab w:val="left" w:pos="567"/>
              </w:tabs>
              <w:spacing w:before="120" w:line="260" w:lineRule="exact"/>
              <w:ind w:right="-108"/>
              <w:jc w:val="center"/>
              <w:rPr>
                <w:rFonts w:ascii="Arial" w:hAnsi="Arial" w:cs="Arial"/>
                <w:sz w:val="21"/>
                <w:szCs w:val="21"/>
                <w:lang w:val="en-AU"/>
              </w:rPr>
            </w:pPr>
            <w:r w:rsidRPr="002742BE">
              <w:rPr>
                <w:rFonts w:ascii="Arial" w:hAnsi="Arial" w:cs="Arial"/>
                <w:sz w:val="21"/>
                <w:szCs w:val="21"/>
                <w:lang w:val="en-AU"/>
              </w:rPr>
              <w:t xml:space="preserve">CrCl  ml/min </w:t>
            </w:r>
          </w:p>
          <w:p w:rsidR="00476327" w:rsidRPr="002742BE" w:rsidRDefault="00476327" w:rsidP="00C72F73">
            <w:pPr>
              <w:pStyle w:val="Default"/>
              <w:widowControl/>
              <w:tabs>
                <w:tab w:val="left" w:pos="567"/>
              </w:tabs>
              <w:spacing w:before="120" w:line="260" w:lineRule="exact"/>
              <w:ind w:right="-108"/>
              <w:jc w:val="center"/>
              <w:rPr>
                <w:rFonts w:ascii="Arial" w:hAnsi="Arial" w:cs="Arial"/>
                <w:sz w:val="21"/>
                <w:szCs w:val="21"/>
                <w:lang w:val="en-AU"/>
              </w:rPr>
            </w:pPr>
            <w:r w:rsidRPr="002742BE">
              <w:rPr>
                <w:rFonts w:ascii="Arial" w:hAnsi="Arial" w:cs="Arial"/>
                <w:sz w:val="21"/>
                <w:szCs w:val="21"/>
                <w:lang w:val="en-AU"/>
              </w:rPr>
              <w:t>(degree of renal impairment)</w:t>
            </w:r>
          </w:p>
        </w:tc>
        <w:tc>
          <w:tcPr>
            <w:tcW w:w="2552" w:type="dxa"/>
            <w:shd w:val="clear" w:color="auto" w:fill="auto"/>
          </w:tcPr>
          <w:p w:rsidR="008D74F3" w:rsidRPr="002742BE" w:rsidRDefault="008D74F3" w:rsidP="008D74F3">
            <w:pPr>
              <w:pStyle w:val="Default"/>
              <w:widowControl/>
              <w:spacing w:before="120" w:line="260" w:lineRule="exact"/>
              <w:ind w:right="-141"/>
              <w:jc w:val="center"/>
              <w:rPr>
                <w:rFonts w:ascii="Arial" w:hAnsi="Arial" w:cs="Arial"/>
                <w:sz w:val="21"/>
                <w:szCs w:val="21"/>
                <w:lang w:val="en-AU"/>
              </w:rPr>
            </w:pPr>
            <w:r w:rsidRPr="002742BE">
              <w:rPr>
                <w:rFonts w:ascii="Arial" w:hAnsi="Arial" w:cs="Arial"/>
                <w:sz w:val="21"/>
                <w:szCs w:val="21"/>
                <w:lang w:val="en-AU"/>
              </w:rPr>
              <w:t>rivaroxaban</w:t>
            </w:r>
          </w:p>
          <w:p w:rsidR="00476327" w:rsidRPr="002742BE" w:rsidRDefault="008814B4" w:rsidP="008D74F3">
            <w:pPr>
              <w:pStyle w:val="Default"/>
              <w:widowControl/>
              <w:spacing w:before="120" w:line="260" w:lineRule="exact"/>
              <w:ind w:right="-141"/>
              <w:jc w:val="center"/>
              <w:rPr>
                <w:rFonts w:ascii="Arial" w:hAnsi="Arial" w:cs="Arial"/>
                <w:sz w:val="21"/>
                <w:szCs w:val="21"/>
                <w:lang w:val="en-AU"/>
              </w:rPr>
            </w:pPr>
            <w:r w:rsidRPr="002742BE">
              <w:rPr>
                <w:rFonts w:ascii="Arial" w:hAnsi="Arial" w:cs="Arial"/>
                <w:sz w:val="21"/>
                <w:szCs w:val="21"/>
                <w:lang w:val="en-AU"/>
              </w:rPr>
              <w:t xml:space="preserve">n = </w:t>
            </w:r>
            <w:r w:rsidR="00476327" w:rsidRPr="002742BE">
              <w:rPr>
                <w:rFonts w:ascii="Arial" w:hAnsi="Arial" w:cs="Arial"/>
                <w:sz w:val="21"/>
                <w:szCs w:val="21"/>
                <w:lang w:val="en-AU"/>
              </w:rPr>
              <w:t>7123</w:t>
            </w:r>
          </w:p>
        </w:tc>
        <w:tc>
          <w:tcPr>
            <w:tcW w:w="2976" w:type="dxa"/>
            <w:shd w:val="clear" w:color="auto" w:fill="auto"/>
          </w:tcPr>
          <w:p w:rsidR="008814B4" w:rsidRPr="002742BE" w:rsidRDefault="008814B4" w:rsidP="00C72F73">
            <w:pPr>
              <w:pStyle w:val="Default"/>
              <w:widowControl/>
              <w:spacing w:before="120" w:line="260" w:lineRule="exact"/>
              <w:ind w:right="-142"/>
              <w:jc w:val="center"/>
              <w:rPr>
                <w:rFonts w:ascii="Arial" w:hAnsi="Arial" w:cs="Arial"/>
                <w:sz w:val="21"/>
                <w:szCs w:val="21"/>
                <w:lang w:val="en-AU"/>
              </w:rPr>
            </w:pPr>
            <w:r w:rsidRPr="002742BE">
              <w:rPr>
                <w:rFonts w:ascii="Arial" w:hAnsi="Arial" w:cs="Arial"/>
                <w:sz w:val="21"/>
                <w:szCs w:val="21"/>
                <w:lang w:val="en-AU"/>
              </w:rPr>
              <w:t>warfarin</w:t>
            </w:r>
          </w:p>
          <w:p w:rsidR="00476327" w:rsidRPr="002742BE" w:rsidRDefault="008814B4" w:rsidP="00C72F73">
            <w:pPr>
              <w:pStyle w:val="Default"/>
              <w:widowControl/>
              <w:spacing w:before="120" w:line="260" w:lineRule="exact"/>
              <w:ind w:right="-142"/>
              <w:jc w:val="center"/>
              <w:rPr>
                <w:rFonts w:ascii="Arial" w:hAnsi="Arial" w:cs="Arial"/>
                <w:sz w:val="21"/>
                <w:szCs w:val="21"/>
                <w:lang w:val="en-AU"/>
              </w:rPr>
            </w:pPr>
            <w:r w:rsidRPr="002742BE">
              <w:rPr>
                <w:rFonts w:ascii="Arial" w:hAnsi="Arial" w:cs="Arial"/>
                <w:sz w:val="21"/>
                <w:szCs w:val="21"/>
                <w:lang w:val="en-AU"/>
              </w:rPr>
              <w:t xml:space="preserve">n = </w:t>
            </w:r>
            <w:r w:rsidR="00476327" w:rsidRPr="002742BE">
              <w:rPr>
                <w:rFonts w:ascii="Arial" w:hAnsi="Arial" w:cs="Arial"/>
                <w:sz w:val="21"/>
                <w:szCs w:val="21"/>
                <w:lang w:val="en-AU"/>
              </w:rPr>
              <w:t>7124</w:t>
            </w:r>
          </w:p>
        </w:tc>
      </w:tr>
      <w:tr w:rsidR="00476327" w:rsidRPr="002742BE" w:rsidTr="00834736">
        <w:tc>
          <w:tcPr>
            <w:tcW w:w="3544" w:type="dxa"/>
            <w:shd w:val="clear" w:color="auto" w:fill="auto"/>
          </w:tcPr>
          <w:p w:rsidR="00476327" w:rsidRPr="002742BE" w:rsidRDefault="00476327" w:rsidP="00C72F73">
            <w:pPr>
              <w:pStyle w:val="Default"/>
              <w:widowControl/>
              <w:tabs>
                <w:tab w:val="left" w:pos="567"/>
              </w:tabs>
              <w:spacing w:before="120" w:line="260" w:lineRule="exact"/>
              <w:ind w:right="-108"/>
              <w:jc w:val="center"/>
              <w:rPr>
                <w:rFonts w:ascii="Arial" w:hAnsi="Arial" w:cs="Arial"/>
                <w:sz w:val="21"/>
                <w:szCs w:val="21"/>
                <w:lang w:val="en-AU"/>
              </w:rPr>
            </w:pPr>
            <w:r w:rsidRPr="002742BE">
              <w:rPr>
                <w:rFonts w:ascii="Arial" w:hAnsi="Arial" w:cs="Arial"/>
                <w:sz w:val="21"/>
                <w:szCs w:val="21"/>
                <w:lang w:val="en-AU"/>
              </w:rPr>
              <w:t>&lt;30 (severe)</w:t>
            </w:r>
          </w:p>
        </w:tc>
        <w:tc>
          <w:tcPr>
            <w:tcW w:w="2552" w:type="dxa"/>
            <w:shd w:val="clear" w:color="auto" w:fill="auto"/>
          </w:tcPr>
          <w:p w:rsidR="00476327" w:rsidRPr="002742BE" w:rsidRDefault="0091087B" w:rsidP="00C72F73">
            <w:pPr>
              <w:pStyle w:val="Default"/>
              <w:widowControl/>
              <w:spacing w:before="120" w:line="260" w:lineRule="exact"/>
              <w:ind w:right="-141"/>
              <w:jc w:val="center"/>
              <w:rPr>
                <w:rFonts w:ascii="Arial" w:hAnsi="Arial" w:cs="Arial"/>
                <w:sz w:val="21"/>
                <w:szCs w:val="21"/>
                <w:lang w:val="en-AU"/>
              </w:rPr>
            </w:pPr>
            <w:r w:rsidRPr="002742BE">
              <w:rPr>
                <w:rFonts w:ascii="Arial" w:hAnsi="Arial" w:cs="Arial"/>
                <w:sz w:val="21"/>
                <w:szCs w:val="21"/>
                <w:lang w:val="en-AU"/>
              </w:rPr>
              <w:t>4 (0.1</w:t>
            </w:r>
            <w:r w:rsidR="00476327" w:rsidRPr="002742BE">
              <w:rPr>
                <w:rFonts w:ascii="Arial" w:hAnsi="Arial" w:cs="Arial"/>
                <w:sz w:val="21"/>
                <w:szCs w:val="21"/>
                <w:lang w:val="en-AU"/>
              </w:rPr>
              <w:t>)</w:t>
            </w:r>
          </w:p>
        </w:tc>
        <w:tc>
          <w:tcPr>
            <w:tcW w:w="2976" w:type="dxa"/>
            <w:shd w:val="clear" w:color="auto" w:fill="auto"/>
          </w:tcPr>
          <w:p w:rsidR="00476327" w:rsidRPr="002742BE" w:rsidRDefault="0091087B" w:rsidP="00C72F73">
            <w:pPr>
              <w:pStyle w:val="Default"/>
              <w:widowControl/>
              <w:spacing w:before="120" w:line="260" w:lineRule="exact"/>
              <w:ind w:right="-142"/>
              <w:jc w:val="center"/>
              <w:rPr>
                <w:rFonts w:ascii="Arial" w:hAnsi="Arial" w:cs="Arial"/>
                <w:sz w:val="21"/>
                <w:szCs w:val="21"/>
                <w:lang w:val="en-AU"/>
              </w:rPr>
            </w:pPr>
            <w:r w:rsidRPr="002742BE">
              <w:rPr>
                <w:rFonts w:ascii="Arial" w:hAnsi="Arial" w:cs="Arial"/>
                <w:sz w:val="21"/>
                <w:szCs w:val="21"/>
                <w:lang w:val="en-AU"/>
              </w:rPr>
              <w:t>4 (0.1</w:t>
            </w:r>
            <w:r w:rsidR="00476327" w:rsidRPr="002742BE">
              <w:rPr>
                <w:rFonts w:ascii="Arial" w:hAnsi="Arial" w:cs="Arial"/>
                <w:sz w:val="21"/>
                <w:szCs w:val="21"/>
                <w:lang w:val="en-AU"/>
              </w:rPr>
              <w:t>)</w:t>
            </w:r>
          </w:p>
        </w:tc>
      </w:tr>
      <w:tr w:rsidR="00476327" w:rsidRPr="002742BE" w:rsidTr="00834736">
        <w:tc>
          <w:tcPr>
            <w:tcW w:w="3544" w:type="dxa"/>
            <w:shd w:val="clear" w:color="auto" w:fill="auto"/>
          </w:tcPr>
          <w:p w:rsidR="00476327" w:rsidRPr="002742BE" w:rsidRDefault="00111D29" w:rsidP="00111D29">
            <w:pPr>
              <w:pStyle w:val="Default"/>
              <w:widowControl/>
              <w:tabs>
                <w:tab w:val="left" w:pos="567"/>
              </w:tabs>
              <w:spacing w:before="120" w:line="260" w:lineRule="exact"/>
              <w:ind w:right="-108"/>
              <w:jc w:val="center"/>
              <w:rPr>
                <w:rFonts w:ascii="Arial" w:hAnsi="Arial" w:cs="Arial"/>
                <w:sz w:val="21"/>
                <w:szCs w:val="21"/>
                <w:lang w:val="en-AU"/>
              </w:rPr>
            </w:pPr>
            <w:r w:rsidRPr="002742BE">
              <w:rPr>
                <w:rFonts w:ascii="Arial" w:hAnsi="Arial" w:cs="Arial"/>
                <w:sz w:val="21"/>
                <w:szCs w:val="21"/>
                <w:lang w:val="en-AU"/>
              </w:rPr>
              <w:t>30 - 49</w:t>
            </w:r>
            <w:r w:rsidR="00476327" w:rsidRPr="002742BE">
              <w:rPr>
                <w:rFonts w:ascii="Arial" w:hAnsi="Arial" w:cs="Arial"/>
                <w:sz w:val="21"/>
                <w:szCs w:val="21"/>
                <w:lang w:val="en-AU"/>
              </w:rPr>
              <w:t xml:space="preserve"> (</w:t>
            </w:r>
            <w:r w:rsidRPr="002742BE">
              <w:rPr>
                <w:rFonts w:ascii="Arial" w:hAnsi="Arial" w:cs="Arial"/>
                <w:sz w:val="21"/>
                <w:szCs w:val="21"/>
                <w:lang w:val="en-AU"/>
              </w:rPr>
              <w:t>moderate</w:t>
            </w:r>
            <w:r w:rsidR="00476327" w:rsidRPr="002742BE">
              <w:rPr>
                <w:rFonts w:ascii="Arial" w:hAnsi="Arial" w:cs="Arial"/>
                <w:sz w:val="21"/>
                <w:szCs w:val="21"/>
                <w:lang w:val="en-AU"/>
              </w:rPr>
              <w:t>)</w:t>
            </w:r>
          </w:p>
        </w:tc>
        <w:tc>
          <w:tcPr>
            <w:tcW w:w="2552" w:type="dxa"/>
            <w:shd w:val="clear" w:color="auto" w:fill="auto"/>
          </w:tcPr>
          <w:p w:rsidR="00476327" w:rsidRPr="002742BE" w:rsidRDefault="0091087B" w:rsidP="00C72F73">
            <w:pPr>
              <w:pStyle w:val="Default"/>
              <w:widowControl/>
              <w:spacing w:before="120" w:line="260" w:lineRule="exact"/>
              <w:ind w:right="-141"/>
              <w:jc w:val="center"/>
              <w:rPr>
                <w:rFonts w:ascii="Arial" w:hAnsi="Arial" w:cs="Arial"/>
                <w:sz w:val="21"/>
                <w:szCs w:val="21"/>
                <w:lang w:val="en-AU"/>
              </w:rPr>
            </w:pPr>
            <w:r w:rsidRPr="002742BE">
              <w:rPr>
                <w:rFonts w:ascii="Arial" w:hAnsi="Arial" w:cs="Arial"/>
                <w:sz w:val="21"/>
                <w:szCs w:val="21"/>
                <w:lang w:val="en-AU"/>
              </w:rPr>
              <w:t>1503 (21.1</w:t>
            </w:r>
            <w:r w:rsidR="00476327" w:rsidRPr="002742BE">
              <w:rPr>
                <w:rFonts w:ascii="Arial" w:hAnsi="Arial" w:cs="Arial"/>
                <w:sz w:val="21"/>
                <w:szCs w:val="21"/>
                <w:lang w:val="en-AU"/>
              </w:rPr>
              <w:t>)</w:t>
            </w:r>
          </w:p>
        </w:tc>
        <w:tc>
          <w:tcPr>
            <w:tcW w:w="2976" w:type="dxa"/>
            <w:shd w:val="clear" w:color="auto" w:fill="auto"/>
          </w:tcPr>
          <w:p w:rsidR="00476327" w:rsidRPr="002742BE" w:rsidRDefault="00476327" w:rsidP="0091087B">
            <w:pPr>
              <w:pStyle w:val="Default"/>
              <w:widowControl/>
              <w:spacing w:before="120" w:line="260" w:lineRule="exact"/>
              <w:ind w:right="-142"/>
              <w:jc w:val="center"/>
              <w:rPr>
                <w:rFonts w:ascii="Arial" w:hAnsi="Arial" w:cs="Arial"/>
                <w:sz w:val="21"/>
                <w:szCs w:val="21"/>
                <w:lang w:val="en-AU"/>
              </w:rPr>
            </w:pPr>
            <w:r w:rsidRPr="002742BE">
              <w:rPr>
                <w:rFonts w:ascii="Arial" w:hAnsi="Arial" w:cs="Arial"/>
                <w:sz w:val="21"/>
                <w:szCs w:val="21"/>
                <w:lang w:val="en-AU"/>
              </w:rPr>
              <w:t>1475 (20.7)</w:t>
            </w:r>
          </w:p>
        </w:tc>
      </w:tr>
      <w:tr w:rsidR="00476327" w:rsidRPr="002742BE" w:rsidTr="00834736">
        <w:tc>
          <w:tcPr>
            <w:tcW w:w="3544" w:type="dxa"/>
            <w:shd w:val="clear" w:color="auto" w:fill="auto"/>
          </w:tcPr>
          <w:p w:rsidR="00476327" w:rsidRPr="002742BE" w:rsidRDefault="00111D29" w:rsidP="00111D29">
            <w:pPr>
              <w:pStyle w:val="Default"/>
              <w:widowControl/>
              <w:tabs>
                <w:tab w:val="left" w:pos="567"/>
              </w:tabs>
              <w:spacing w:before="120" w:line="260" w:lineRule="exact"/>
              <w:ind w:right="-108"/>
              <w:jc w:val="center"/>
              <w:rPr>
                <w:rFonts w:ascii="Arial" w:hAnsi="Arial" w:cs="Arial"/>
                <w:sz w:val="21"/>
                <w:szCs w:val="21"/>
                <w:lang w:val="en-AU"/>
              </w:rPr>
            </w:pPr>
            <w:r w:rsidRPr="002742BE">
              <w:rPr>
                <w:rFonts w:ascii="Arial" w:hAnsi="Arial" w:cs="Arial"/>
                <w:sz w:val="21"/>
                <w:szCs w:val="21"/>
                <w:lang w:val="en-AU"/>
              </w:rPr>
              <w:t>50 - 80</w:t>
            </w:r>
            <w:r w:rsidR="00476327" w:rsidRPr="002742BE">
              <w:rPr>
                <w:rFonts w:ascii="Arial" w:hAnsi="Arial" w:cs="Arial"/>
                <w:sz w:val="21"/>
                <w:szCs w:val="21"/>
                <w:lang w:val="en-AU"/>
              </w:rPr>
              <w:t xml:space="preserve"> (</w:t>
            </w:r>
            <w:r w:rsidRPr="002742BE">
              <w:rPr>
                <w:rFonts w:ascii="Arial" w:hAnsi="Arial" w:cs="Arial"/>
                <w:sz w:val="21"/>
                <w:szCs w:val="21"/>
                <w:lang w:val="en-AU"/>
              </w:rPr>
              <w:t>mild</w:t>
            </w:r>
            <w:r w:rsidR="00476327" w:rsidRPr="002742BE">
              <w:rPr>
                <w:rFonts w:ascii="Arial" w:hAnsi="Arial" w:cs="Arial"/>
                <w:sz w:val="21"/>
                <w:szCs w:val="21"/>
                <w:lang w:val="en-AU"/>
              </w:rPr>
              <w:t>)</w:t>
            </w:r>
          </w:p>
        </w:tc>
        <w:tc>
          <w:tcPr>
            <w:tcW w:w="2552" w:type="dxa"/>
            <w:shd w:val="clear" w:color="auto" w:fill="auto"/>
          </w:tcPr>
          <w:p w:rsidR="00476327" w:rsidRPr="002742BE" w:rsidRDefault="00476327" w:rsidP="0091087B">
            <w:pPr>
              <w:pStyle w:val="Default"/>
              <w:widowControl/>
              <w:spacing w:before="120" w:line="260" w:lineRule="exact"/>
              <w:ind w:right="-141"/>
              <w:jc w:val="center"/>
              <w:rPr>
                <w:rFonts w:ascii="Arial" w:hAnsi="Arial" w:cs="Arial"/>
                <w:sz w:val="21"/>
                <w:szCs w:val="21"/>
                <w:lang w:val="en-AU"/>
              </w:rPr>
            </w:pPr>
            <w:r w:rsidRPr="002742BE">
              <w:rPr>
                <w:rFonts w:ascii="Arial" w:hAnsi="Arial" w:cs="Arial"/>
                <w:sz w:val="21"/>
                <w:szCs w:val="21"/>
                <w:lang w:val="en-AU"/>
              </w:rPr>
              <w:t>3321 (46.6)</w:t>
            </w:r>
          </w:p>
        </w:tc>
        <w:tc>
          <w:tcPr>
            <w:tcW w:w="2976" w:type="dxa"/>
            <w:shd w:val="clear" w:color="auto" w:fill="auto"/>
          </w:tcPr>
          <w:p w:rsidR="00476327" w:rsidRPr="002742BE" w:rsidRDefault="00476327" w:rsidP="0091087B">
            <w:pPr>
              <w:pStyle w:val="Default"/>
              <w:widowControl/>
              <w:spacing w:before="120" w:line="260" w:lineRule="exact"/>
              <w:ind w:right="-142"/>
              <w:jc w:val="center"/>
              <w:rPr>
                <w:rFonts w:ascii="Arial" w:hAnsi="Arial" w:cs="Arial"/>
                <w:sz w:val="21"/>
                <w:szCs w:val="21"/>
                <w:lang w:val="en-AU"/>
              </w:rPr>
            </w:pPr>
            <w:r w:rsidRPr="002742BE">
              <w:rPr>
                <w:rFonts w:ascii="Arial" w:hAnsi="Arial" w:cs="Arial"/>
                <w:sz w:val="21"/>
                <w:szCs w:val="21"/>
                <w:lang w:val="en-AU"/>
              </w:rPr>
              <w:t>3414 (47.9)</w:t>
            </w:r>
          </w:p>
        </w:tc>
      </w:tr>
      <w:tr w:rsidR="00476327" w:rsidRPr="002742BE" w:rsidTr="00834736">
        <w:tc>
          <w:tcPr>
            <w:tcW w:w="3544" w:type="dxa"/>
            <w:shd w:val="clear" w:color="auto" w:fill="auto"/>
          </w:tcPr>
          <w:p w:rsidR="00476327" w:rsidRPr="002742BE" w:rsidRDefault="00111D29" w:rsidP="00111D29">
            <w:pPr>
              <w:pStyle w:val="Default"/>
              <w:widowControl/>
              <w:tabs>
                <w:tab w:val="left" w:pos="567"/>
              </w:tabs>
              <w:spacing w:before="120" w:line="260" w:lineRule="exact"/>
              <w:ind w:right="-108"/>
              <w:jc w:val="center"/>
              <w:rPr>
                <w:rFonts w:ascii="Arial" w:hAnsi="Arial" w:cs="Arial"/>
                <w:sz w:val="21"/>
                <w:szCs w:val="21"/>
                <w:lang w:val="en-AU"/>
              </w:rPr>
            </w:pPr>
            <w:r w:rsidRPr="002742BE">
              <w:rPr>
                <w:rFonts w:ascii="Arial" w:hAnsi="Arial" w:cs="Arial"/>
                <w:sz w:val="21"/>
                <w:szCs w:val="21"/>
                <w:lang w:val="en-AU"/>
              </w:rPr>
              <w:t xml:space="preserve">&gt; </w:t>
            </w:r>
            <w:r w:rsidR="00476327" w:rsidRPr="002742BE">
              <w:rPr>
                <w:rFonts w:ascii="Arial" w:hAnsi="Arial" w:cs="Arial"/>
                <w:sz w:val="21"/>
                <w:szCs w:val="21"/>
                <w:lang w:val="en-AU"/>
              </w:rPr>
              <w:t>80 (normal)</w:t>
            </w:r>
          </w:p>
        </w:tc>
        <w:tc>
          <w:tcPr>
            <w:tcW w:w="2552" w:type="dxa"/>
            <w:shd w:val="clear" w:color="auto" w:fill="auto"/>
          </w:tcPr>
          <w:p w:rsidR="00476327" w:rsidRPr="002742BE" w:rsidRDefault="00476327" w:rsidP="0091087B">
            <w:pPr>
              <w:pStyle w:val="Default"/>
              <w:widowControl/>
              <w:spacing w:before="120" w:line="260" w:lineRule="exact"/>
              <w:ind w:right="-141"/>
              <w:jc w:val="center"/>
              <w:rPr>
                <w:rFonts w:ascii="Arial" w:hAnsi="Arial" w:cs="Arial"/>
                <w:sz w:val="21"/>
                <w:szCs w:val="21"/>
                <w:lang w:val="en-AU"/>
              </w:rPr>
            </w:pPr>
            <w:r w:rsidRPr="002742BE">
              <w:rPr>
                <w:rFonts w:ascii="Arial" w:hAnsi="Arial" w:cs="Arial"/>
                <w:sz w:val="21"/>
                <w:szCs w:val="21"/>
                <w:lang w:val="en-AU"/>
              </w:rPr>
              <w:t>2295 (32.2)</w:t>
            </w:r>
          </w:p>
        </w:tc>
        <w:tc>
          <w:tcPr>
            <w:tcW w:w="2976" w:type="dxa"/>
            <w:shd w:val="clear" w:color="auto" w:fill="auto"/>
          </w:tcPr>
          <w:p w:rsidR="00476327" w:rsidRPr="002742BE" w:rsidRDefault="0091087B" w:rsidP="00C72F73">
            <w:pPr>
              <w:pStyle w:val="Default"/>
              <w:widowControl/>
              <w:spacing w:before="120" w:line="260" w:lineRule="exact"/>
              <w:ind w:right="-142"/>
              <w:jc w:val="center"/>
              <w:rPr>
                <w:rFonts w:ascii="Arial" w:hAnsi="Arial" w:cs="Arial"/>
                <w:sz w:val="21"/>
                <w:szCs w:val="21"/>
                <w:lang w:val="en-AU"/>
              </w:rPr>
            </w:pPr>
            <w:r w:rsidRPr="002742BE">
              <w:rPr>
                <w:rFonts w:ascii="Arial" w:hAnsi="Arial" w:cs="Arial"/>
                <w:sz w:val="21"/>
                <w:szCs w:val="21"/>
                <w:lang w:val="en-AU"/>
              </w:rPr>
              <w:t>2231 (31.3</w:t>
            </w:r>
            <w:r w:rsidR="00476327" w:rsidRPr="002742BE">
              <w:rPr>
                <w:rFonts w:ascii="Arial" w:hAnsi="Arial" w:cs="Arial"/>
                <w:sz w:val="21"/>
                <w:szCs w:val="21"/>
                <w:lang w:val="en-AU"/>
              </w:rPr>
              <w:t>)</w:t>
            </w:r>
          </w:p>
        </w:tc>
      </w:tr>
    </w:tbl>
    <w:p w:rsidR="00476327" w:rsidRPr="002742BE" w:rsidRDefault="00476327" w:rsidP="00834736">
      <w:pPr>
        <w:pStyle w:val="Default"/>
        <w:spacing w:before="120"/>
        <w:ind w:right="46"/>
        <w:jc w:val="both"/>
        <w:rPr>
          <w:rFonts w:ascii="Arial" w:hAnsi="Arial" w:cs="Arial"/>
          <w:sz w:val="22"/>
          <w:szCs w:val="22"/>
          <w:lang w:val="en-AU"/>
        </w:rPr>
      </w:pPr>
      <w:r w:rsidRPr="002742BE">
        <w:rPr>
          <w:rFonts w:ascii="Arial" w:hAnsi="Arial" w:cs="Arial"/>
          <w:sz w:val="22"/>
          <w:szCs w:val="22"/>
          <w:lang w:val="en-AU"/>
        </w:rPr>
        <w:t>Exclusion criteria included</w:t>
      </w:r>
      <w:r w:rsidR="00591995" w:rsidRPr="002742BE">
        <w:rPr>
          <w:rFonts w:ascii="Arial" w:hAnsi="Arial" w:cs="Arial"/>
          <w:sz w:val="22"/>
          <w:szCs w:val="22"/>
          <w:lang w:val="en-AU"/>
        </w:rPr>
        <w:t>:</w:t>
      </w:r>
      <w:r w:rsidRPr="002742BE">
        <w:rPr>
          <w:rFonts w:ascii="Arial" w:hAnsi="Arial" w:cs="Arial"/>
          <w:sz w:val="22"/>
          <w:szCs w:val="22"/>
          <w:lang w:val="en-AU"/>
        </w:rPr>
        <w:t xml:space="preserve"> </w:t>
      </w:r>
    </w:p>
    <w:p w:rsidR="00476327" w:rsidRPr="002742BE" w:rsidRDefault="00476327" w:rsidP="00834736">
      <w:pPr>
        <w:pStyle w:val="Default"/>
        <w:numPr>
          <w:ilvl w:val="0"/>
          <w:numId w:val="15"/>
        </w:numPr>
        <w:spacing w:before="120"/>
        <w:ind w:left="426" w:right="46" w:hanging="426"/>
        <w:jc w:val="both"/>
        <w:rPr>
          <w:rFonts w:ascii="Arial" w:hAnsi="Arial" w:cs="Arial"/>
          <w:sz w:val="22"/>
          <w:szCs w:val="22"/>
          <w:lang w:val="en-AU"/>
        </w:rPr>
      </w:pPr>
      <w:r w:rsidRPr="002742BE">
        <w:rPr>
          <w:rFonts w:ascii="Arial" w:hAnsi="Arial" w:cs="Arial"/>
          <w:sz w:val="22"/>
          <w:szCs w:val="22"/>
          <w:lang w:val="en-AU"/>
        </w:rPr>
        <w:t>cardiac related conditions (haemodynamically significant mitral valve stenosis, prosthetic heart valve, planned cardioversion, transient atrial fibrillation caused by reversible disease, known presence of atrial myxoma or left ventricular thrombus and active endocarditis),</w:t>
      </w:r>
    </w:p>
    <w:p w:rsidR="00476327" w:rsidRPr="002742BE" w:rsidRDefault="00476327" w:rsidP="00834736">
      <w:pPr>
        <w:pStyle w:val="Default"/>
        <w:numPr>
          <w:ilvl w:val="0"/>
          <w:numId w:val="15"/>
        </w:numPr>
        <w:spacing w:before="120"/>
        <w:ind w:left="426" w:right="46" w:hanging="426"/>
        <w:jc w:val="both"/>
        <w:rPr>
          <w:rFonts w:ascii="Arial" w:hAnsi="Arial" w:cs="Arial"/>
          <w:sz w:val="22"/>
          <w:szCs w:val="22"/>
          <w:lang w:val="en-AU"/>
        </w:rPr>
      </w:pPr>
      <w:r w:rsidRPr="002742BE">
        <w:rPr>
          <w:rFonts w:ascii="Arial" w:hAnsi="Arial" w:cs="Arial"/>
          <w:sz w:val="22"/>
          <w:szCs w:val="22"/>
          <w:lang w:val="en-AU"/>
        </w:rPr>
        <w:t>h</w:t>
      </w:r>
      <w:r w:rsidR="002A439C" w:rsidRPr="002742BE">
        <w:rPr>
          <w:rFonts w:ascii="Arial" w:hAnsi="Arial" w:cs="Arial"/>
          <w:sz w:val="22"/>
          <w:szCs w:val="22"/>
          <w:lang w:val="en-AU"/>
        </w:rPr>
        <w:t>a</w:t>
      </w:r>
      <w:r w:rsidRPr="002742BE">
        <w:rPr>
          <w:rFonts w:ascii="Arial" w:hAnsi="Arial" w:cs="Arial"/>
          <w:sz w:val="22"/>
          <w:szCs w:val="22"/>
          <w:lang w:val="en-AU"/>
        </w:rPr>
        <w:t xml:space="preserve">emorrhage risk related conditions (active internal bleeding, major surgical procedure or trauma within 30 days before randomisation, clinically significant </w:t>
      </w:r>
      <w:r w:rsidR="00EF33B6" w:rsidRPr="002742BE">
        <w:rPr>
          <w:rFonts w:ascii="Arial" w:hAnsi="Arial" w:cs="Arial"/>
          <w:sz w:val="22"/>
          <w:szCs w:val="22"/>
          <w:lang w:val="en-AU"/>
        </w:rPr>
        <w:t>gastrointestinal (</w:t>
      </w:r>
      <w:r w:rsidRPr="002742BE">
        <w:rPr>
          <w:rFonts w:ascii="Arial" w:hAnsi="Arial" w:cs="Arial"/>
          <w:sz w:val="22"/>
          <w:szCs w:val="22"/>
          <w:lang w:val="en-AU"/>
        </w:rPr>
        <w:t>GI</w:t>
      </w:r>
      <w:r w:rsidR="00EF33B6" w:rsidRPr="002742BE">
        <w:rPr>
          <w:rFonts w:ascii="Arial" w:hAnsi="Arial" w:cs="Arial"/>
          <w:sz w:val="22"/>
          <w:szCs w:val="22"/>
          <w:lang w:val="en-AU"/>
        </w:rPr>
        <w:t>)</w:t>
      </w:r>
      <w:r w:rsidRPr="002742BE">
        <w:rPr>
          <w:rFonts w:ascii="Arial" w:hAnsi="Arial" w:cs="Arial"/>
          <w:sz w:val="22"/>
          <w:szCs w:val="22"/>
          <w:lang w:val="en-AU"/>
        </w:rPr>
        <w:t xml:space="preserve"> bleeding within 6 months of randomisation, history of intracranial, intraocular, spinal or atraumatic intra-articular bleeding, chronic haemorrhagic disorder, known intracranial neoplasm, arteriovenous malformation, or aneurysm)</w:t>
      </w:r>
    </w:p>
    <w:p w:rsidR="00476327" w:rsidRPr="002742BE" w:rsidRDefault="00476327" w:rsidP="00834736">
      <w:pPr>
        <w:pStyle w:val="Default"/>
        <w:numPr>
          <w:ilvl w:val="0"/>
          <w:numId w:val="15"/>
        </w:numPr>
        <w:spacing w:before="120"/>
        <w:ind w:left="426" w:right="46" w:hanging="426"/>
        <w:jc w:val="both"/>
        <w:rPr>
          <w:rFonts w:ascii="Arial" w:hAnsi="Arial" w:cs="Arial"/>
          <w:sz w:val="22"/>
          <w:szCs w:val="22"/>
          <w:lang w:val="en-AU"/>
        </w:rPr>
      </w:pPr>
      <w:r w:rsidRPr="002742BE">
        <w:rPr>
          <w:rFonts w:ascii="Arial" w:hAnsi="Arial" w:cs="Arial"/>
          <w:sz w:val="22"/>
          <w:szCs w:val="22"/>
          <w:lang w:val="en-AU"/>
        </w:rPr>
        <w:t>planned invasive procedure with potential for uncontrolled bleeding</w:t>
      </w:r>
    </w:p>
    <w:p w:rsidR="00476327" w:rsidRPr="002742BE" w:rsidRDefault="00476327" w:rsidP="00834736">
      <w:pPr>
        <w:pStyle w:val="Default"/>
        <w:numPr>
          <w:ilvl w:val="0"/>
          <w:numId w:val="15"/>
        </w:numPr>
        <w:spacing w:before="120"/>
        <w:ind w:left="426" w:right="46" w:hanging="426"/>
        <w:jc w:val="both"/>
        <w:rPr>
          <w:rFonts w:ascii="Arial" w:hAnsi="Arial" w:cs="Arial"/>
          <w:sz w:val="22"/>
          <w:szCs w:val="22"/>
          <w:lang w:val="en-AU"/>
        </w:rPr>
      </w:pPr>
      <w:r w:rsidRPr="002742BE">
        <w:rPr>
          <w:rFonts w:ascii="Arial" w:hAnsi="Arial" w:cs="Arial"/>
          <w:sz w:val="22"/>
          <w:szCs w:val="22"/>
          <w:lang w:val="en-AU"/>
        </w:rPr>
        <w:lastRenderedPageBreak/>
        <w:t>sustained uncontrolled hypertension ( &gt;180/100 mm Hg)</w:t>
      </w:r>
    </w:p>
    <w:p w:rsidR="005F4395" w:rsidRPr="002742BE" w:rsidRDefault="00476327" w:rsidP="00834736">
      <w:pPr>
        <w:pStyle w:val="Default"/>
        <w:numPr>
          <w:ilvl w:val="0"/>
          <w:numId w:val="15"/>
        </w:numPr>
        <w:spacing w:before="120" w:after="240"/>
        <w:ind w:left="425" w:right="45" w:hanging="425"/>
        <w:jc w:val="both"/>
        <w:rPr>
          <w:rFonts w:ascii="Arial" w:hAnsi="Arial" w:cs="Arial"/>
          <w:sz w:val="22"/>
          <w:szCs w:val="22"/>
          <w:lang w:val="en-AU"/>
        </w:rPr>
      </w:pPr>
      <w:r w:rsidRPr="002742BE">
        <w:rPr>
          <w:rFonts w:ascii="Arial" w:hAnsi="Arial" w:cs="Arial"/>
          <w:sz w:val="22"/>
          <w:szCs w:val="22"/>
          <w:lang w:val="en-AU"/>
        </w:rPr>
        <w:t xml:space="preserve">concomitant conditions and therapies listed under CONTRAINDICATIONS as well as severe disabling stroke (modified Rankin score 4-5) or any stroke within 14 days, TIA within 3 days, &gt;100 mg </w:t>
      </w:r>
      <w:r w:rsidR="002623D3" w:rsidRPr="002742BE">
        <w:rPr>
          <w:rFonts w:ascii="Arial" w:hAnsi="Arial" w:cs="Arial"/>
          <w:sz w:val="22"/>
          <w:szCs w:val="22"/>
          <w:lang w:val="en-AU"/>
        </w:rPr>
        <w:t>acetylsalicylic acid (</w:t>
      </w:r>
      <w:r w:rsidRPr="002742BE">
        <w:rPr>
          <w:rFonts w:ascii="Arial" w:hAnsi="Arial" w:cs="Arial"/>
          <w:sz w:val="22"/>
          <w:szCs w:val="22"/>
          <w:lang w:val="en-AU"/>
        </w:rPr>
        <w:t>ASA</w:t>
      </w:r>
      <w:r w:rsidR="002623D3" w:rsidRPr="002742BE">
        <w:rPr>
          <w:rFonts w:ascii="Arial" w:hAnsi="Arial" w:cs="Arial"/>
          <w:sz w:val="22"/>
          <w:szCs w:val="22"/>
          <w:lang w:val="en-AU"/>
        </w:rPr>
        <w:t>)</w:t>
      </w:r>
      <w:r w:rsidRPr="002742BE">
        <w:rPr>
          <w:rFonts w:ascii="Arial" w:hAnsi="Arial" w:cs="Arial"/>
          <w:sz w:val="22"/>
          <w:szCs w:val="22"/>
          <w:lang w:val="en-AU"/>
        </w:rPr>
        <w:t>, anticipated need for chronic NSAIDs treatment, known HIV infection at the time of screening, significant hepatic impairment</w:t>
      </w:r>
      <w:r w:rsidR="003812C2" w:rsidRPr="002742BE">
        <w:rPr>
          <w:rFonts w:ascii="Arial" w:hAnsi="Arial" w:cs="Arial"/>
          <w:sz w:val="22"/>
          <w:szCs w:val="22"/>
          <w:lang w:val="en-AU"/>
        </w:rPr>
        <w:t xml:space="preserve"> or</w:t>
      </w:r>
      <w:r w:rsidRPr="002742BE">
        <w:rPr>
          <w:rFonts w:ascii="Arial" w:hAnsi="Arial" w:cs="Arial"/>
          <w:sz w:val="22"/>
          <w:szCs w:val="22"/>
          <w:lang w:val="en-AU"/>
        </w:rPr>
        <w:t xml:space="preserve"> ( </w:t>
      </w:r>
      <w:r w:rsidR="003812C2" w:rsidRPr="002742BE">
        <w:rPr>
          <w:rFonts w:ascii="Arial" w:hAnsi="Arial" w:cs="Arial"/>
          <w:sz w:val="22"/>
          <w:szCs w:val="22"/>
          <w:lang w:val="en-AU"/>
        </w:rPr>
        <w:t xml:space="preserve">ALT </w:t>
      </w:r>
      <w:r w:rsidRPr="002742BE">
        <w:rPr>
          <w:rFonts w:ascii="Arial" w:hAnsi="Arial" w:cs="Arial"/>
          <w:sz w:val="22"/>
          <w:szCs w:val="22"/>
          <w:lang w:val="en-AU"/>
        </w:rPr>
        <w:t xml:space="preserve">&gt; 3 x ULN) </w:t>
      </w:r>
    </w:p>
    <w:p w:rsidR="00E01419" w:rsidRPr="002742BE" w:rsidRDefault="00E01419" w:rsidP="00834736">
      <w:pPr>
        <w:pStyle w:val="Default"/>
        <w:widowControl/>
        <w:spacing w:before="120" w:after="240"/>
        <w:ind w:right="45"/>
        <w:jc w:val="both"/>
        <w:rPr>
          <w:rFonts w:ascii="Arial" w:hAnsi="Arial" w:cs="Arial"/>
          <w:sz w:val="22"/>
          <w:szCs w:val="22"/>
          <w:lang w:val="en-AU"/>
        </w:rPr>
      </w:pPr>
      <w:r w:rsidRPr="002742BE">
        <w:rPr>
          <w:rFonts w:ascii="Arial" w:hAnsi="Arial" w:cs="Arial"/>
          <w:sz w:val="22"/>
          <w:szCs w:val="22"/>
          <w:lang w:val="en-AU"/>
        </w:rPr>
        <w:t>The Princip</w:t>
      </w:r>
      <w:r w:rsidR="00296A60" w:rsidRPr="002742BE">
        <w:rPr>
          <w:rFonts w:ascii="Arial" w:hAnsi="Arial" w:cs="Arial"/>
          <w:sz w:val="22"/>
          <w:szCs w:val="22"/>
          <w:lang w:val="en-AU"/>
        </w:rPr>
        <w:t>a</w:t>
      </w:r>
      <w:r w:rsidRPr="002742BE">
        <w:rPr>
          <w:rFonts w:ascii="Arial" w:hAnsi="Arial" w:cs="Arial"/>
          <w:sz w:val="22"/>
          <w:szCs w:val="22"/>
          <w:lang w:val="en-AU"/>
        </w:rPr>
        <w:t>l Investigators were instructed to dose their patients with warfarin orally once daily, dose-adjusted to a target International Normali</w:t>
      </w:r>
      <w:r w:rsidR="00913E16">
        <w:rPr>
          <w:rFonts w:ascii="Arial" w:hAnsi="Arial" w:cs="Arial"/>
          <w:sz w:val="22"/>
          <w:szCs w:val="22"/>
          <w:lang w:val="en-AU"/>
        </w:rPr>
        <w:t>s</w:t>
      </w:r>
      <w:r w:rsidRPr="002742BE">
        <w:rPr>
          <w:rFonts w:ascii="Arial" w:hAnsi="Arial" w:cs="Arial"/>
          <w:sz w:val="22"/>
          <w:szCs w:val="22"/>
          <w:lang w:val="en-AU"/>
        </w:rPr>
        <w:t>ed Ratio [INR] of 2.5 [range 2.0 to 3.0, inclusive]. During the study, INR monitoring (using a Hemosense® point</w:t>
      </w:r>
      <w:r w:rsidR="0065671E" w:rsidRPr="002742BE">
        <w:rPr>
          <w:rFonts w:ascii="Arial" w:hAnsi="Arial" w:cs="Arial"/>
          <w:sz w:val="22"/>
          <w:szCs w:val="22"/>
          <w:lang w:val="en-AU"/>
        </w:rPr>
        <w:t xml:space="preserve"> </w:t>
      </w:r>
      <w:r w:rsidRPr="002742BE">
        <w:rPr>
          <w:rFonts w:ascii="Arial" w:hAnsi="Arial" w:cs="Arial"/>
          <w:sz w:val="22"/>
          <w:szCs w:val="22"/>
          <w:lang w:val="en-AU"/>
        </w:rPr>
        <w:t>of-care INR device [INRatio</w:t>
      </w:r>
      <w:r w:rsidRPr="002742BE">
        <w:rPr>
          <w:rFonts w:ascii="Arial" w:hAnsi="Arial" w:cs="Arial"/>
          <w:sz w:val="22"/>
          <w:szCs w:val="22"/>
          <w:vertAlign w:val="superscript"/>
          <w:lang w:val="en-AU"/>
        </w:rPr>
        <w:t>®</w:t>
      </w:r>
      <w:r w:rsidRPr="002742BE">
        <w:rPr>
          <w:rFonts w:ascii="Arial" w:hAnsi="Arial" w:cs="Arial"/>
          <w:sz w:val="22"/>
          <w:szCs w:val="22"/>
          <w:lang w:val="en-AU"/>
        </w:rPr>
        <w:t xml:space="preserve">]) was to occur as clinically indicated but at least every 4 weeks. Unblinded INR measurements were not performed while subjects were on study drug, except in case of a medical emergency. </w:t>
      </w:r>
    </w:p>
    <w:p w:rsidR="00F04C47" w:rsidRPr="002742BE" w:rsidRDefault="00E01419" w:rsidP="00834736">
      <w:pPr>
        <w:pStyle w:val="Default"/>
        <w:widowControl/>
        <w:spacing w:before="120" w:after="240"/>
        <w:ind w:right="45"/>
        <w:jc w:val="both"/>
        <w:rPr>
          <w:rFonts w:ascii="Arial" w:hAnsi="Arial" w:cs="Arial"/>
          <w:sz w:val="22"/>
          <w:szCs w:val="22"/>
          <w:lang w:val="en-AU"/>
        </w:rPr>
      </w:pPr>
      <w:r w:rsidRPr="002742BE">
        <w:rPr>
          <w:rFonts w:ascii="Arial" w:hAnsi="Arial" w:cs="Arial"/>
          <w:sz w:val="22"/>
          <w:szCs w:val="22"/>
          <w:lang w:val="en-AU"/>
        </w:rPr>
        <w:t>In order to maintain the integrity of the blind, local unblinded INR measurements (i.e., not using the study Hemosense INRatio</w:t>
      </w:r>
      <w:r w:rsidRPr="002742BE">
        <w:rPr>
          <w:rFonts w:ascii="Arial" w:hAnsi="Arial" w:cs="Arial"/>
          <w:sz w:val="22"/>
          <w:szCs w:val="22"/>
          <w:vertAlign w:val="superscript"/>
          <w:lang w:val="en-AU"/>
        </w:rPr>
        <w:t>®</w:t>
      </w:r>
      <w:r w:rsidRPr="002742BE">
        <w:rPr>
          <w:rFonts w:ascii="Arial" w:hAnsi="Arial" w:cs="Arial"/>
          <w:sz w:val="22"/>
          <w:szCs w:val="22"/>
          <w:lang w:val="en-AU"/>
        </w:rPr>
        <w:t xml:space="preserve"> device) were discouraged for at least 3 days after subjects stopped receiving study drug (after the start of open-label VKA therapy), including when the subject discontinued study medication, or completed the study. After 3 days, VKA dosing was managed using local unblinded INR measurements.</w:t>
      </w:r>
      <w:r w:rsidRPr="002742BE">
        <w:rPr>
          <w:rFonts w:ascii="Arial" w:hAnsi="Arial" w:cs="Arial"/>
          <w:sz w:val="22"/>
          <w:szCs w:val="22"/>
          <w:lang w:val="en-AU"/>
        </w:rPr>
        <w:br/>
      </w:r>
      <w:r w:rsidRPr="002742BE">
        <w:rPr>
          <w:rFonts w:ascii="Arial" w:hAnsi="Arial" w:cs="Arial"/>
          <w:sz w:val="22"/>
          <w:szCs w:val="22"/>
          <w:lang w:val="en-AU"/>
        </w:rPr>
        <w:br/>
      </w:r>
      <w:r w:rsidR="00F04C47" w:rsidRPr="002742BE">
        <w:rPr>
          <w:rFonts w:ascii="Arial" w:hAnsi="Arial" w:cs="Arial"/>
          <w:sz w:val="22"/>
          <w:szCs w:val="22"/>
          <w:lang w:val="en-AU"/>
        </w:rPr>
        <w:t xml:space="preserve">Comparative efficacy with standard of care (warfarin) in the double blind </w:t>
      </w:r>
      <w:r w:rsidR="00BD4F5F" w:rsidRPr="002742BE">
        <w:rPr>
          <w:rFonts w:ascii="Arial" w:hAnsi="Arial" w:cs="Arial"/>
          <w:sz w:val="22"/>
          <w:szCs w:val="22"/>
          <w:lang w:val="en-AU"/>
        </w:rPr>
        <w:t xml:space="preserve">clinical trial </w:t>
      </w:r>
      <w:r w:rsidR="00F04C47" w:rsidRPr="002742BE">
        <w:rPr>
          <w:rFonts w:ascii="Arial" w:hAnsi="Arial" w:cs="Arial"/>
          <w:sz w:val="22"/>
          <w:szCs w:val="22"/>
          <w:lang w:val="en-AU"/>
        </w:rPr>
        <w:t xml:space="preserve">setting provides evidence that rivaroxaban is as effective as warfarin. There is insufficient experience to determine how </w:t>
      </w:r>
      <w:r w:rsidR="005F2822" w:rsidRPr="002742BE">
        <w:rPr>
          <w:rFonts w:ascii="Arial" w:hAnsi="Arial" w:cs="Arial"/>
          <w:sz w:val="22"/>
          <w:szCs w:val="22"/>
          <w:lang w:val="en-AU"/>
        </w:rPr>
        <w:t xml:space="preserve">Xarelto </w:t>
      </w:r>
      <w:r w:rsidR="00F04C47" w:rsidRPr="002742BE">
        <w:rPr>
          <w:rFonts w:ascii="Arial" w:hAnsi="Arial" w:cs="Arial"/>
          <w:sz w:val="22"/>
          <w:szCs w:val="22"/>
          <w:lang w:val="en-AU"/>
        </w:rPr>
        <w:t xml:space="preserve">and warfarin compare when warfarin therapy is </w:t>
      </w:r>
      <w:r w:rsidR="00BD4F5F" w:rsidRPr="002742BE">
        <w:rPr>
          <w:rFonts w:ascii="Arial" w:hAnsi="Arial" w:cs="Arial"/>
          <w:sz w:val="22"/>
          <w:szCs w:val="22"/>
          <w:lang w:val="en-AU"/>
        </w:rPr>
        <w:t>well</w:t>
      </w:r>
      <w:r w:rsidR="00F04C47" w:rsidRPr="002742BE">
        <w:rPr>
          <w:rFonts w:ascii="Arial" w:hAnsi="Arial" w:cs="Arial"/>
          <w:sz w:val="22"/>
          <w:szCs w:val="22"/>
          <w:lang w:val="en-AU"/>
        </w:rPr>
        <w:t xml:space="preserve"> controlled.</w:t>
      </w:r>
    </w:p>
    <w:p w:rsidR="00E01419" w:rsidRPr="002742BE" w:rsidRDefault="00E01419" w:rsidP="00834736">
      <w:pPr>
        <w:pStyle w:val="Default"/>
        <w:widowControl/>
        <w:spacing w:before="120" w:after="240"/>
        <w:ind w:right="45"/>
        <w:jc w:val="both"/>
        <w:rPr>
          <w:rFonts w:ascii="Arial" w:hAnsi="Arial" w:cs="Arial"/>
          <w:sz w:val="22"/>
          <w:szCs w:val="22"/>
          <w:lang w:val="en-AU"/>
        </w:rPr>
      </w:pPr>
      <w:r w:rsidRPr="002742BE">
        <w:rPr>
          <w:rFonts w:ascii="Arial" w:hAnsi="Arial" w:cs="Arial"/>
          <w:sz w:val="22"/>
          <w:szCs w:val="22"/>
          <w:lang w:val="en-AU"/>
        </w:rPr>
        <w:t>Unlike some other contemporary trials, these committees did not provide detailed and focused direction to the sites about their handling of individual patient INRs, since one goal of the trial was to run the study as close to usual care as possible, to maximize generalisability of the final results to standard practice.</w:t>
      </w:r>
    </w:p>
    <w:p w:rsidR="00B66FBF" w:rsidRPr="002742BE" w:rsidRDefault="00B66FBF" w:rsidP="00834736">
      <w:pPr>
        <w:pStyle w:val="Default"/>
        <w:spacing w:before="120" w:after="240"/>
        <w:ind w:right="45"/>
        <w:jc w:val="both"/>
        <w:rPr>
          <w:rFonts w:ascii="Arial" w:hAnsi="Arial" w:cs="Arial"/>
          <w:sz w:val="22"/>
          <w:szCs w:val="22"/>
          <w:lang w:val="en-AU"/>
        </w:rPr>
      </w:pPr>
      <w:r w:rsidRPr="002742BE">
        <w:rPr>
          <w:rFonts w:ascii="Arial" w:hAnsi="Arial" w:cs="Arial"/>
          <w:sz w:val="22"/>
          <w:szCs w:val="22"/>
          <w:lang w:val="en-AU"/>
        </w:rPr>
        <w:t xml:space="preserve">The primary objective of the study was met, as Xarelto was shown to be non-inferior to warfarin in the primary efficacy endpoint, composite of stroke and systemic embolism (HR 0.79, 95% CI 0.66 – 0.96, p &lt; 0.001). As non-inferiority was met, Xarelto was tested, as per the pre-specified analysis, for superiority in primary and secondary endpoints. Xarelto demonstrated superiority over warfarin for stroke and systemic embolism in the on treatment, safety population (HR 0.79, 95% CI 0.65 – 0.95, p = 0.015). Major secondary endpoints; composite of stroke, systemic embolism and vascular death and composite of stroke, systemic embolism, myocardial infarction (MI) and vascular death were also reduced significantly (see </w:t>
      </w:r>
      <w:fldSimple w:instr=" REF _Ref285203211 \h  \* MERGEFORMAT ">
        <w:r w:rsidR="00A24B67" w:rsidRPr="00B15449">
          <w:rPr>
            <w:rFonts w:ascii="Arial" w:hAnsi="Arial" w:cs="Arial"/>
            <w:sz w:val="22"/>
            <w:szCs w:val="22"/>
            <w:lang w:val="en-AU"/>
          </w:rPr>
          <w:t>Table 5</w:t>
        </w:r>
      </w:fldSimple>
      <w:r w:rsidRPr="002742BE">
        <w:rPr>
          <w:rFonts w:ascii="Arial" w:hAnsi="Arial" w:cs="Arial"/>
          <w:i/>
          <w:sz w:val="22"/>
          <w:szCs w:val="22"/>
          <w:lang w:val="en-AU"/>
        </w:rPr>
        <w:t>)</w:t>
      </w:r>
      <w:r w:rsidRPr="002742BE">
        <w:rPr>
          <w:rFonts w:ascii="Arial" w:hAnsi="Arial" w:cs="Arial"/>
          <w:sz w:val="22"/>
          <w:szCs w:val="22"/>
          <w:lang w:val="en-AU"/>
        </w:rPr>
        <w:t xml:space="preserve">. </w:t>
      </w:r>
    </w:p>
    <w:p w:rsidR="00B66FBF" w:rsidRPr="002742BE" w:rsidRDefault="00B66FBF" w:rsidP="00834736">
      <w:pPr>
        <w:pStyle w:val="Default"/>
        <w:spacing w:before="120" w:after="240"/>
        <w:ind w:right="45"/>
        <w:rPr>
          <w:rFonts w:ascii="Arial" w:hAnsi="Arial" w:cs="Arial"/>
          <w:sz w:val="22"/>
          <w:szCs w:val="22"/>
          <w:lang w:val="en-AU"/>
        </w:rPr>
      </w:pPr>
      <w:r w:rsidRPr="002742BE">
        <w:rPr>
          <w:rFonts w:ascii="Arial" w:hAnsi="Arial" w:cs="Arial"/>
          <w:sz w:val="22"/>
          <w:szCs w:val="22"/>
          <w:lang w:val="en-AU"/>
        </w:rPr>
        <w:t xml:space="preserve">The incidence rates for the principal safety outcome (major and non-major clinically relevant bleeding events) were similar for both treatment groups (see </w:t>
      </w:r>
      <w:fldSimple w:instr=" REF  _Ref285192620  \* MERGEFORMAT ">
        <w:r w:rsidR="00A24B67" w:rsidRPr="00B15449">
          <w:rPr>
            <w:rFonts w:ascii="Arial" w:hAnsi="Arial" w:cs="Arial"/>
            <w:sz w:val="22"/>
            <w:szCs w:val="22"/>
            <w:lang w:val="en-AU"/>
          </w:rPr>
          <w:t xml:space="preserve">Table </w:t>
        </w:r>
        <w:r w:rsidR="00A24B67" w:rsidRPr="00B15449">
          <w:rPr>
            <w:rFonts w:ascii="Arial" w:hAnsi="Arial" w:cs="Arial"/>
            <w:noProof/>
            <w:sz w:val="22"/>
            <w:szCs w:val="22"/>
            <w:lang w:val="en-AU"/>
          </w:rPr>
          <w:t>6</w:t>
        </w:r>
      </w:fldSimple>
      <w:r w:rsidRPr="002742BE">
        <w:rPr>
          <w:rFonts w:ascii="Arial" w:hAnsi="Arial" w:cs="Arial"/>
          <w:sz w:val="22"/>
          <w:szCs w:val="22"/>
          <w:lang w:val="en-AU"/>
        </w:rPr>
        <w:t>).</w:t>
      </w:r>
    </w:p>
    <w:p w:rsidR="00B66FBF" w:rsidRPr="002742BE" w:rsidRDefault="00B66FBF" w:rsidP="00F04C47">
      <w:pPr>
        <w:pStyle w:val="Default"/>
        <w:widowControl/>
        <w:spacing w:before="120"/>
        <w:ind w:right="46"/>
        <w:rPr>
          <w:rFonts w:ascii="Arial" w:hAnsi="Arial" w:cs="Arial"/>
          <w:sz w:val="22"/>
          <w:szCs w:val="22"/>
          <w:lang w:val="en-AU"/>
        </w:rPr>
      </w:pPr>
    </w:p>
    <w:p w:rsidR="00B66FBF" w:rsidRPr="002742BE" w:rsidRDefault="00B66FBF" w:rsidP="00F04C47">
      <w:pPr>
        <w:pStyle w:val="Caption"/>
        <w:ind w:right="46"/>
        <w:rPr>
          <w:rFonts w:ascii="Arial" w:hAnsi="Arial" w:cs="Arial"/>
          <w:lang w:val="en-AU"/>
        </w:rPr>
      </w:pPr>
      <w:bookmarkStart w:id="6" w:name="_Ref285203211"/>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5</w:t>
      </w:r>
      <w:r w:rsidR="00794C79" w:rsidRPr="002742BE">
        <w:rPr>
          <w:rFonts w:ascii="Arial" w:hAnsi="Arial" w:cs="Arial"/>
          <w:lang w:val="en-AU"/>
        </w:rPr>
        <w:fldChar w:fldCharType="end"/>
      </w:r>
      <w:bookmarkEnd w:id="6"/>
      <w:r w:rsidRPr="002742BE">
        <w:rPr>
          <w:rFonts w:ascii="Arial" w:hAnsi="Arial" w:cs="Arial"/>
          <w:lang w:val="en-AU"/>
        </w:rPr>
        <w:t xml:space="preserve">: Efficacy results from Phase </w:t>
      </w:r>
      <w:smartTag w:uri="urn:schemas-microsoft-com:office:smarttags" w:element="stockticker">
        <w:r w:rsidRPr="002742BE">
          <w:rPr>
            <w:rFonts w:ascii="Arial" w:hAnsi="Arial" w:cs="Arial"/>
            <w:lang w:val="en-AU"/>
          </w:rPr>
          <w:t>III</w:t>
        </w:r>
      </w:smartTag>
      <w:r w:rsidRPr="002742BE">
        <w:rPr>
          <w:rFonts w:ascii="Arial" w:hAnsi="Arial" w:cs="Arial"/>
          <w:lang w:val="en-AU"/>
        </w:rPr>
        <w:t xml:space="preserve"> ROCKET AF (Stroke Prevention in AF)</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580"/>
        <w:gridCol w:w="2220"/>
        <w:gridCol w:w="2040"/>
      </w:tblGrid>
      <w:tr w:rsidR="00B66FBF" w:rsidRPr="002742BE" w:rsidTr="00946883">
        <w:trPr>
          <w:cantSplit/>
          <w:trHeight w:val="399"/>
          <w:tblHeader/>
        </w:trPr>
        <w:tc>
          <w:tcPr>
            <w:tcW w:w="2340" w:type="dxa"/>
            <w:shd w:val="clear" w:color="auto" w:fill="E0E0E0"/>
            <w:vAlign w:val="center"/>
          </w:tcPr>
          <w:p w:rsidR="00B66FBF" w:rsidRPr="002742BE" w:rsidRDefault="00B66FBF" w:rsidP="00F04C47">
            <w:pPr>
              <w:pStyle w:val="BayerTableColumnHeadings"/>
              <w:keepNext/>
              <w:ind w:right="46"/>
              <w:rPr>
                <w:rFonts w:ascii="Arial" w:hAnsi="Arial" w:cs="Arial"/>
                <w:sz w:val="18"/>
                <w:szCs w:val="18"/>
                <w:lang w:val="en-AU"/>
              </w:rPr>
            </w:pPr>
            <w:r w:rsidRPr="002742BE">
              <w:rPr>
                <w:rFonts w:ascii="Arial" w:hAnsi="Arial" w:cs="Arial"/>
                <w:sz w:val="18"/>
                <w:szCs w:val="18"/>
                <w:lang w:val="en-AU"/>
              </w:rPr>
              <w:lastRenderedPageBreak/>
              <w:t>Study Population</w:t>
            </w:r>
          </w:p>
        </w:tc>
        <w:tc>
          <w:tcPr>
            <w:tcW w:w="6840" w:type="dxa"/>
            <w:gridSpan w:val="3"/>
            <w:shd w:val="clear" w:color="auto" w:fill="E0E0E0"/>
            <w:vAlign w:val="center"/>
          </w:tcPr>
          <w:p w:rsidR="00B66FBF" w:rsidRPr="002742BE" w:rsidRDefault="00B66FBF" w:rsidP="00F04C47">
            <w:pPr>
              <w:pStyle w:val="BayerTableColumnHeadings"/>
              <w:keepNext/>
              <w:ind w:right="46"/>
              <w:rPr>
                <w:rFonts w:ascii="Arial" w:hAnsi="Arial" w:cs="Arial"/>
                <w:sz w:val="18"/>
                <w:szCs w:val="18"/>
                <w:lang w:val="en-AU"/>
              </w:rPr>
            </w:pPr>
            <w:r w:rsidRPr="002742BE">
              <w:rPr>
                <w:rFonts w:ascii="Arial" w:hAnsi="Arial" w:cs="Arial"/>
                <w:sz w:val="18"/>
                <w:szCs w:val="18"/>
                <w:lang w:val="en-AU"/>
              </w:rPr>
              <w:t>Patients with non-valvular atrial fibrillation (AF) ^</w:t>
            </w:r>
          </w:p>
        </w:tc>
      </w:tr>
      <w:tr w:rsidR="00B66FBF" w:rsidRPr="002742BE" w:rsidTr="00946883">
        <w:trPr>
          <w:cantSplit/>
          <w:trHeight w:val="1501"/>
          <w:tblHeader/>
        </w:trPr>
        <w:tc>
          <w:tcPr>
            <w:tcW w:w="2340" w:type="dxa"/>
            <w:shd w:val="clear" w:color="auto" w:fill="auto"/>
            <w:vAlign w:val="center"/>
          </w:tcPr>
          <w:p w:rsidR="00B66FBF" w:rsidRPr="002742BE" w:rsidRDefault="00B66FBF" w:rsidP="00F04C47">
            <w:pPr>
              <w:pStyle w:val="BayerTableRowHeadings"/>
              <w:keepNext/>
              <w:spacing w:after="0"/>
              <w:ind w:right="46"/>
              <w:rPr>
                <w:rFonts w:ascii="Arial" w:hAnsi="Arial" w:cs="Arial"/>
                <w:b/>
                <w:sz w:val="18"/>
                <w:szCs w:val="18"/>
                <w:lang w:val="en-AU"/>
              </w:rPr>
            </w:pPr>
            <w:r w:rsidRPr="002742BE">
              <w:rPr>
                <w:rFonts w:ascii="Arial" w:hAnsi="Arial" w:cs="Arial"/>
                <w:b/>
                <w:sz w:val="18"/>
                <w:szCs w:val="18"/>
                <w:lang w:val="en-AU"/>
              </w:rPr>
              <w:t xml:space="preserve">Treatment Dosage </w:t>
            </w:r>
          </w:p>
        </w:tc>
        <w:tc>
          <w:tcPr>
            <w:tcW w:w="2580" w:type="dxa"/>
            <w:shd w:val="clear" w:color="auto" w:fill="auto"/>
            <w:vAlign w:val="center"/>
          </w:tcPr>
          <w:p w:rsidR="00B66FBF" w:rsidRPr="002742BE" w:rsidRDefault="00B66FBF" w:rsidP="00F04C47">
            <w:pPr>
              <w:pStyle w:val="BayerBodyTextFull"/>
              <w:keepNext/>
              <w:ind w:right="46"/>
              <w:jc w:val="center"/>
              <w:rPr>
                <w:rFonts w:ascii="Arial" w:hAnsi="Arial" w:cs="Arial"/>
                <w:sz w:val="18"/>
                <w:szCs w:val="18"/>
                <w:lang w:val="en-AU"/>
              </w:rPr>
            </w:pPr>
            <w:r w:rsidRPr="002742BE">
              <w:rPr>
                <w:rFonts w:ascii="Arial" w:hAnsi="Arial" w:cs="Arial"/>
                <w:sz w:val="18"/>
                <w:szCs w:val="18"/>
                <w:lang w:val="en-AU"/>
              </w:rPr>
              <w:t>Rivaroxaban</w:t>
            </w:r>
            <w:r w:rsidRPr="002742BE">
              <w:rPr>
                <w:rFonts w:ascii="Arial" w:hAnsi="Arial" w:cs="Arial"/>
                <w:sz w:val="18"/>
                <w:szCs w:val="18"/>
                <w:lang w:val="en-AU"/>
              </w:rPr>
              <w:br/>
              <w:t xml:space="preserve">20 mg orally od </w:t>
            </w:r>
            <w:r w:rsidRPr="002742BE">
              <w:rPr>
                <w:rFonts w:ascii="Arial" w:hAnsi="Arial" w:cs="Arial"/>
                <w:sz w:val="18"/>
                <w:szCs w:val="18"/>
                <w:lang w:val="en-AU"/>
              </w:rPr>
              <w:br/>
              <w:t>(15 mg orally od in patients with CrCl 30 to 49 mL/min)</w:t>
            </w:r>
          </w:p>
          <w:p w:rsidR="00B66FBF" w:rsidRPr="002742BE" w:rsidRDefault="00B66FBF" w:rsidP="00F04C47">
            <w:pPr>
              <w:pStyle w:val="BayerBodyTextFull"/>
              <w:keepNext/>
              <w:ind w:right="46"/>
              <w:jc w:val="center"/>
              <w:rPr>
                <w:rFonts w:ascii="Arial" w:hAnsi="Arial" w:cs="Arial"/>
                <w:sz w:val="18"/>
                <w:szCs w:val="18"/>
                <w:lang w:val="en-AU"/>
              </w:rPr>
            </w:pPr>
            <w:r w:rsidRPr="002742BE">
              <w:rPr>
                <w:rFonts w:ascii="Arial" w:hAnsi="Arial" w:cs="Arial"/>
                <w:sz w:val="18"/>
                <w:szCs w:val="18"/>
                <w:lang w:val="en-AU"/>
              </w:rPr>
              <w:t>N=7061</w:t>
            </w:r>
            <w:r w:rsidRPr="002742BE">
              <w:rPr>
                <w:rFonts w:ascii="Arial" w:hAnsi="Arial" w:cs="Arial"/>
                <w:sz w:val="18"/>
                <w:szCs w:val="18"/>
                <w:lang w:val="en-AU"/>
              </w:rPr>
              <w:br/>
              <w:t>Event Rate (100 Pt-yr)#</w:t>
            </w:r>
          </w:p>
        </w:tc>
        <w:tc>
          <w:tcPr>
            <w:tcW w:w="2220" w:type="dxa"/>
            <w:shd w:val="clear" w:color="auto" w:fill="auto"/>
            <w:vAlign w:val="center"/>
          </w:tcPr>
          <w:p w:rsidR="00B66FBF" w:rsidRPr="002742BE" w:rsidRDefault="00B66FBF" w:rsidP="00F04C47">
            <w:pPr>
              <w:pStyle w:val="BayerBodyTextFull"/>
              <w:keepNext/>
              <w:ind w:right="46"/>
              <w:jc w:val="center"/>
              <w:rPr>
                <w:rFonts w:ascii="Arial" w:hAnsi="Arial" w:cs="Arial"/>
                <w:sz w:val="18"/>
                <w:szCs w:val="18"/>
                <w:lang w:val="en-AU"/>
              </w:rPr>
            </w:pPr>
            <w:r w:rsidRPr="002742BE">
              <w:rPr>
                <w:rFonts w:ascii="Arial" w:hAnsi="Arial" w:cs="Arial"/>
                <w:sz w:val="18"/>
                <w:szCs w:val="18"/>
                <w:lang w:val="en-AU"/>
              </w:rPr>
              <w:t>Warfarin</w:t>
            </w:r>
            <w:r w:rsidRPr="002742BE">
              <w:rPr>
                <w:rFonts w:ascii="Arial" w:hAnsi="Arial" w:cs="Arial"/>
                <w:sz w:val="18"/>
                <w:szCs w:val="18"/>
                <w:lang w:val="en-AU"/>
              </w:rPr>
              <w:br/>
              <w:t>titrated to a target INR of 2.5 (therapeutic range 2.0 to 3.0)</w:t>
            </w:r>
            <w:r w:rsidRPr="002742BE">
              <w:rPr>
                <w:rFonts w:ascii="Arial" w:hAnsi="Arial" w:cs="Arial"/>
                <w:sz w:val="18"/>
                <w:szCs w:val="18"/>
                <w:lang w:val="en-AU"/>
              </w:rPr>
              <w:br/>
              <w:t>N=7082</w:t>
            </w:r>
            <w:r w:rsidRPr="002742BE">
              <w:rPr>
                <w:rFonts w:ascii="Arial" w:hAnsi="Arial" w:cs="Arial"/>
                <w:sz w:val="18"/>
                <w:szCs w:val="18"/>
                <w:lang w:val="en-AU"/>
              </w:rPr>
              <w:br/>
              <w:t>Event Rate (100 Pt-yr) #</w:t>
            </w:r>
          </w:p>
        </w:tc>
        <w:tc>
          <w:tcPr>
            <w:tcW w:w="2040" w:type="dxa"/>
            <w:shd w:val="clear" w:color="auto" w:fill="auto"/>
            <w:vAlign w:val="center"/>
          </w:tcPr>
          <w:p w:rsidR="00B66FBF" w:rsidRPr="002742BE" w:rsidRDefault="00B66FBF" w:rsidP="00F04C47">
            <w:pPr>
              <w:pStyle w:val="BayerBodyTextFull"/>
              <w:keepNext/>
              <w:ind w:right="46"/>
              <w:jc w:val="center"/>
              <w:rPr>
                <w:rFonts w:ascii="Arial" w:hAnsi="Arial" w:cs="Arial"/>
                <w:sz w:val="18"/>
                <w:szCs w:val="18"/>
                <w:lang w:val="en-AU"/>
              </w:rPr>
            </w:pPr>
            <w:r w:rsidRPr="002742BE">
              <w:rPr>
                <w:rFonts w:ascii="Arial" w:hAnsi="Arial" w:cs="Arial"/>
                <w:sz w:val="18"/>
                <w:szCs w:val="18"/>
                <w:lang w:val="en-AU"/>
              </w:rPr>
              <w:t>Hazard Ratio (95% CI)</w:t>
            </w:r>
            <w:r w:rsidRPr="002742BE">
              <w:rPr>
                <w:rFonts w:ascii="Arial" w:hAnsi="Arial" w:cs="Arial"/>
                <w:sz w:val="18"/>
                <w:szCs w:val="18"/>
                <w:lang w:val="en-AU"/>
              </w:rPr>
              <w:br/>
              <w:t xml:space="preserve">p-value </w:t>
            </w:r>
          </w:p>
        </w:tc>
      </w:tr>
      <w:tr w:rsidR="00B66FBF" w:rsidRPr="002742BE" w:rsidTr="00946883">
        <w:trPr>
          <w:cantSplit/>
          <w:trHeight w:val="531"/>
        </w:trPr>
        <w:tc>
          <w:tcPr>
            <w:tcW w:w="2340" w:type="dxa"/>
            <w:shd w:val="clear" w:color="auto" w:fill="auto"/>
            <w:vAlign w:val="center"/>
          </w:tcPr>
          <w:p w:rsidR="00B66FBF" w:rsidRPr="002742BE" w:rsidRDefault="00B66FBF" w:rsidP="00F04C47">
            <w:pPr>
              <w:pStyle w:val="BayerTableRowHeadings"/>
              <w:spacing w:after="0"/>
              <w:ind w:right="46"/>
              <w:rPr>
                <w:rFonts w:ascii="Arial" w:hAnsi="Arial" w:cs="Arial"/>
                <w:b/>
                <w:sz w:val="18"/>
                <w:szCs w:val="18"/>
                <w:lang w:val="en-AU"/>
              </w:rPr>
            </w:pPr>
            <w:r w:rsidRPr="002742BE">
              <w:rPr>
                <w:rFonts w:ascii="Arial" w:hAnsi="Arial" w:cs="Arial"/>
                <w:b/>
                <w:sz w:val="18"/>
                <w:szCs w:val="18"/>
                <w:lang w:val="en-AU"/>
              </w:rPr>
              <w:t>Stroke and Non-CNS Systemic embolism</w:t>
            </w:r>
          </w:p>
        </w:tc>
        <w:tc>
          <w:tcPr>
            <w:tcW w:w="258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189</w:t>
            </w:r>
            <w:r w:rsidRPr="002742BE">
              <w:rPr>
                <w:rFonts w:ascii="Arial" w:hAnsi="Arial" w:cs="Arial"/>
                <w:sz w:val="18"/>
                <w:szCs w:val="18"/>
                <w:lang w:val="en-AU"/>
              </w:rPr>
              <w:br/>
              <w:t>(1.70)</w:t>
            </w:r>
          </w:p>
        </w:tc>
        <w:tc>
          <w:tcPr>
            <w:tcW w:w="222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243</w:t>
            </w:r>
            <w:r w:rsidRPr="002742BE">
              <w:rPr>
                <w:rFonts w:ascii="Arial" w:hAnsi="Arial" w:cs="Arial"/>
                <w:sz w:val="18"/>
                <w:szCs w:val="18"/>
                <w:lang w:val="en-AU"/>
              </w:rPr>
              <w:br/>
              <w:t>(2.15)</w:t>
            </w:r>
          </w:p>
        </w:tc>
        <w:tc>
          <w:tcPr>
            <w:tcW w:w="204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0.79 (0.65-0.95)</w:t>
            </w:r>
            <w:r w:rsidRPr="002742BE">
              <w:rPr>
                <w:rFonts w:ascii="Arial" w:hAnsi="Arial" w:cs="Arial"/>
                <w:sz w:val="18"/>
                <w:szCs w:val="18"/>
                <w:lang w:val="en-AU"/>
              </w:rPr>
              <w:br/>
              <w:t>0.015*</w:t>
            </w:r>
          </w:p>
        </w:tc>
      </w:tr>
      <w:tr w:rsidR="00B66FBF" w:rsidRPr="002742BE" w:rsidTr="00946883">
        <w:trPr>
          <w:cantSplit/>
          <w:trHeight w:val="705"/>
        </w:trPr>
        <w:tc>
          <w:tcPr>
            <w:tcW w:w="2340" w:type="dxa"/>
            <w:shd w:val="clear" w:color="auto" w:fill="auto"/>
            <w:vAlign w:val="center"/>
          </w:tcPr>
          <w:p w:rsidR="00B66FBF" w:rsidRPr="002742BE" w:rsidRDefault="00B66FBF" w:rsidP="00F04C47">
            <w:pPr>
              <w:pStyle w:val="BayerTableRowHeadings"/>
              <w:spacing w:after="0"/>
              <w:ind w:right="46"/>
              <w:rPr>
                <w:rFonts w:ascii="Arial" w:hAnsi="Arial" w:cs="Arial"/>
                <w:b/>
                <w:sz w:val="18"/>
                <w:szCs w:val="18"/>
                <w:lang w:val="en-AU"/>
              </w:rPr>
            </w:pPr>
            <w:r w:rsidRPr="002742BE">
              <w:rPr>
                <w:rFonts w:ascii="Arial" w:hAnsi="Arial" w:cs="Arial"/>
                <w:b/>
                <w:sz w:val="18"/>
                <w:szCs w:val="18"/>
                <w:lang w:val="en-AU"/>
              </w:rPr>
              <w:t>Stroke, Non-CNS Systemic embolism and Vascular Death</w:t>
            </w:r>
          </w:p>
        </w:tc>
        <w:tc>
          <w:tcPr>
            <w:tcW w:w="258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346</w:t>
            </w:r>
            <w:r w:rsidRPr="002742BE">
              <w:rPr>
                <w:rFonts w:ascii="Arial" w:hAnsi="Arial" w:cs="Arial"/>
                <w:sz w:val="18"/>
                <w:szCs w:val="18"/>
                <w:lang w:val="en-AU"/>
              </w:rPr>
              <w:br/>
              <w:t>(3.11)</w:t>
            </w:r>
          </w:p>
        </w:tc>
        <w:tc>
          <w:tcPr>
            <w:tcW w:w="222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410</w:t>
            </w:r>
            <w:r w:rsidRPr="002742BE">
              <w:rPr>
                <w:rFonts w:ascii="Arial" w:hAnsi="Arial" w:cs="Arial"/>
                <w:sz w:val="18"/>
                <w:szCs w:val="18"/>
                <w:lang w:val="en-AU"/>
              </w:rPr>
              <w:br/>
              <w:t>(3.63)</w:t>
            </w:r>
          </w:p>
        </w:tc>
        <w:tc>
          <w:tcPr>
            <w:tcW w:w="204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0.86 (0.74-0.99)</w:t>
            </w:r>
            <w:r w:rsidRPr="002742BE">
              <w:rPr>
                <w:rFonts w:ascii="Arial" w:hAnsi="Arial" w:cs="Arial"/>
                <w:sz w:val="18"/>
                <w:szCs w:val="18"/>
                <w:lang w:val="en-AU"/>
              </w:rPr>
              <w:br/>
              <w:t>0.034*</w:t>
            </w:r>
          </w:p>
        </w:tc>
      </w:tr>
      <w:tr w:rsidR="00B66FBF" w:rsidRPr="002742BE" w:rsidTr="00946883">
        <w:trPr>
          <w:cantSplit/>
          <w:trHeight w:val="697"/>
        </w:trPr>
        <w:tc>
          <w:tcPr>
            <w:tcW w:w="2340" w:type="dxa"/>
            <w:shd w:val="clear" w:color="auto" w:fill="auto"/>
            <w:vAlign w:val="center"/>
          </w:tcPr>
          <w:p w:rsidR="00B66FBF" w:rsidRPr="002742BE" w:rsidRDefault="00B66FBF" w:rsidP="00F04C47">
            <w:pPr>
              <w:pStyle w:val="BayerTableRowHeadings"/>
              <w:spacing w:after="0"/>
              <w:ind w:right="46"/>
              <w:rPr>
                <w:rFonts w:ascii="Arial" w:hAnsi="Arial" w:cs="Arial"/>
                <w:b/>
                <w:sz w:val="18"/>
                <w:szCs w:val="18"/>
                <w:lang w:val="en-AU"/>
              </w:rPr>
            </w:pPr>
            <w:r w:rsidRPr="002742BE">
              <w:rPr>
                <w:rFonts w:ascii="Arial" w:hAnsi="Arial" w:cs="Arial"/>
                <w:b/>
                <w:sz w:val="18"/>
                <w:szCs w:val="18"/>
                <w:lang w:val="en-AU"/>
              </w:rPr>
              <w:t>Stroke, Non-CNS Systemic embolism, Vascular Death and MI</w:t>
            </w:r>
          </w:p>
        </w:tc>
        <w:tc>
          <w:tcPr>
            <w:tcW w:w="258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433</w:t>
            </w:r>
            <w:r w:rsidRPr="002742BE">
              <w:rPr>
                <w:rFonts w:ascii="Arial" w:hAnsi="Arial" w:cs="Arial"/>
                <w:sz w:val="18"/>
                <w:szCs w:val="18"/>
                <w:lang w:val="en-AU"/>
              </w:rPr>
              <w:br/>
              <w:t>(3.91)</w:t>
            </w:r>
          </w:p>
        </w:tc>
        <w:tc>
          <w:tcPr>
            <w:tcW w:w="222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519</w:t>
            </w:r>
            <w:r w:rsidRPr="002742BE">
              <w:rPr>
                <w:rFonts w:ascii="Arial" w:hAnsi="Arial" w:cs="Arial"/>
                <w:sz w:val="18"/>
                <w:szCs w:val="18"/>
                <w:lang w:val="en-AU"/>
              </w:rPr>
              <w:br/>
              <w:t>(4.62)</w:t>
            </w:r>
          </w:p>
        </w:tc>
        <w:tc>
          <w:tcPr>
            <w:tcW w:w="204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0.85 (0.74-0.96)</w:t>
            </w:r>
            <w:r w:rsidRPr="002742BE">
              <w:rPr>
                <w:rFonts w:ascii="Arial" w:hAnsi="Arial" w:cs="Arial"/>
                <w:sz w:val="18"/>
                <w:szCs w:val="18"/>
                <w:lang w:val="en-AU"/>
              </w:rPr>
              <w:br/>
              <w:t>0.010*</w:t>
            </w:r>
          </w:p>
        </w:tc>
      </w:tr>
      <w:tr w:rsidR="00B66FBF" w:rsidRPr="002742BE" w:rsidTr="00946883">
        <w:trPr>
          <w:cantSplit/>
          <w:trHeight w:val="537"/>
        </w:trPr>
        <w:tc>
          <w:tcPr>
            <w:tcW w:w="2340" w:type="dxa"/>
            <w:shd w:val="clear" w:color="auto" w:fill="auto"/>
            <w:vAlign w:val="center"/>
          </w:tcPr>
          <w:p w:rsidR="00B66FBF" w:rsidRPr="002742BE" w:rsidRDefault="00B66FBF" w:rsidP="00F04C47">
            <w:pPr>
              <w:pStyle w:val="BayerTableRowHeadings"/>
              <w:spacing w:after="0"/>
              <w:ind w:right="46"/>
              <w:rPr>
                <w:rFonts w:ascii="Arial" w:hAnsi="Arial" w:cs="Arial"/>
                <w:b/>
                <w:sz w:val="18"/>
                <w:szCs w:val="18"/>
                <w:lang w:val="en-AU"/>
              </w:rPr>
            </w:pPr>
            <w:r w:rsidRPr="002742BE">
              <w:rPr>
                <w:rFonts w:ascii="Arial" w:hAnsi="Arial" w:cs="Arial"/>
                <w:b/>
                <w:sz w:val="18"/>
                <w:szCs w:val="18"/>
                <w:lang w:val="en-AU"/>
              </w:rPr>
              <w:t xml:space="preserve">Stroke </w:t>
            </w:r>
          </w:p>
        </w:tc>
        <w:tc>
          <w:tcPr>
            <w:tcW w:w="258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184</w:t>
            </w:r>
            <w:r w:rsidRPr="002742BE">
              <w:rPr>
                <w:rFonts w:ascii="Arial" w:hAnsi="Arial" w:cs="Arial"/>
                <w:sz w:val="18"/>
                <w:szCs w:val="18"/>
                <w:lang w:val="en-AU"/>
              </w:rPr>
              <w:br/>
              <w:t>(1.65)</w:t>
            </w:r>
          </w:p>
        </w:tc>
        <w:tc>
          <w:tcPr>
            <w:tcW w:w="222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221</w:t>
            </w:r>
            <w:r w:rsidRPr="002742BE">
              <w:rPr>
                <w:rFonts w:ascii="Arial" w:hAnsi="Arial" w:cs="Arial"/>
                <w:sz w:val="18"/>
                <w:szCs w:val="18"/>
                <w:lang w:val="en-AU"/>
              </w:rPr>
              <w:br/>
              <w:t>(1.96)</w:t>
            </w:r>
          </w:p>
        </w:tc>
        <w:tc>
          <w:tcPr>
            <w:tcW w:w="204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0.85 (0.70 - 1.03)</w:t>
            </w:r>
            <w:r w:rsidRPr="002742BE">
              <w:rPr>
                <w:rFonts w:ascii="Arial" w:hAnsi="Arial" w:cs="Arial"/>
                <w:sz w:val="18"/>
                <w:szCs w:val="18"/>
                <w:lang w:val="en-AU"/>
              </w:rPr>
              <w:br/>
              <w:t>0.092</w:t>
            </w:r>
          </w:p>
        </w:tc>
      </w:tr>
      <w:tr w:rsidR="00B66FBF" w:rsidRPr="002742BE" w:rsidTr="00946883">
        <w:trPr>
          <w:cantSplit/>
          <w:trHeight w:val="531"/>
        </w:trPr>
        <w:tc>
          <w:tcPr>
            <w:tcW w:w="2340" w:type="dxa"/>
            <w:shd w:val="clear" w:color="auto" w:fill="auto"/>
            <w:vAlign w:val="center"/>
          </w:tcPr>
          <w:p w:rsidR="00B66FBF" w:rsidRPr="002742BE" w:rsidRDefault="00B66FBF" w:rsidP="00F04C47">
            <w:pPr>
              <w:pStyle w:val="BayerTableRowHeadings"/>
              <w:spacing w:after="0"/>
              <w:ind w:right="46"/>
              <w:rPr>
                <w:rFonts w:ascii="Arial" w:hAnsi="Arial" w:cs="Arial"/>
                <w:b/>
                <w:sz w:val="18"/>
                <w:szCs w:val="18"/>
                <w:lang w:val="en-AU"/>
              </w:rPr>
            </w:pPr>
            <w:r w:rsidRPr="002742BE">
              <w:rPr>
                <w:rFonts w:ascii="Arial" w:hAnsi="Arial" w:cs="Arial"/>
                <w:b/>
                <w:sz w:val="18"/>
                <w:szCs w:val="18"/>
                <w:lang w:val="en-AU"/>
              </w:rPr>
              <w:t xml:space="preserve">Non-CNS Systemic </w:t>
            </w:r>
            <w:r w:rsidRPr="002742BE">
              <w:rPr>
                <w:rFonts w:ascii="Arial" w:hAnsi="Arial" w:cs="Arial"/>
                <w:b/>
                <w:sz w:val="18"/>
                <w:szCs w:val="18"/>
                <w:lang w:val="en-AU"/>
              </w:rPr>
              <w:br/>
              <w:t xml:space="preserve">Embolism </w:t>
            </w:r>
          </w:p>
        </w:tc>
        <w:tc>
          <w:tcPr>
            <w:tcW w:w="258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5</w:t>
            </w:r>
            <w:r w:rsidRPr="002742BE">
              <w:rPr>
                <w:rFonts w:ascii="Arial" w:hAnsi="Arial" w:cs="Arial"/>
                <w:sz w:val="18"/>
                <w:szCs w:val="18"/>
                <w:lang w:val="en-AU"/>
              </w:rPr>
              <w:br/>
              <w:t>(0.04)</w:t>
            </w:r>
          </w:p>
        </w:tc>
        <w:tc>
          <w:tcPr>
            <w:tcW w:w="222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22</w:t>
            </w:r>
            <w:r w:rsidRPr="002742BE">
              <w:rPr>
                <w:rFonts w:ascii="Arial" w:hAnsi="Arial" w:cs="Arial"/>
                <w:sz w:val="18"/>
                <w:szCs w:val="18"/>
                <w:lang w:val="en-AU"/>
              </w:rPr>
              <w:br/>
              <w:t>(0.19)</w:t>
            </w:r>
          </w:p>
        </w:tc>
        <w:tc>
          <w:tcPr>
            <w:tcW w:w="2040" w:type="dxa"/>
            <w:shd w:val="clear" w:color="auto" w:fill="auto"/>
            <w:vAlign w:val="center"/>
          </w:tcPr>
          <w:p w:rsidR="00B66FBF" w:rsidRPr="002742BE" w:rsidRDefault="00B66FBF"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0.23 (0.09 - 0.61)</w:t>
            </w:r>
            <w:r w:rsidRPr="002742BE">
              <w:rPr>
                <w:rFonts w:ascii="Arial" w:hAnsi="Arial" w:cs="Arial"/>
                <w:sz w:val="18"/>
                <w:szCs w:val="18"/>
                <w:lang w:val="en-AU"/>
              </w:rPr>
              <w:br/>
              <w:t>0.003**</w:t>
            </w:r>
          </w:p>
        </w:tc>
      </w:tr>
      <w:tr w:rsidR="00946883" w:rsidRPr="002742BE" w:rsidTr="00946883">
        <w:trPr>
          <w:cantSplit/>
          <w:trHeight w:val="531"/>
        </w:trPr>
        <w:tc>
          <w:tcPr>
            <w:tcW w:w="2340" w:type="dxa"/>
            <w:shd w:val="clear" w:color="auto" w:fill="auto"/>
            <w:vAlign w:val="center"/>
          </w:tcPr>
          <w:p w:rsidR="00946883" w:rsidRPr="002742BE" w:rsidRDefault="00946883" w:rsidP="00F04C47">
            <w:pPr>
              <w:pStyle w:val="BayerTableRowHeadings"/>
              <w:spacing w:after="0"/>
              <w:ind w:right="46"/>
              <w:rPr>
                <w:rFonts w:ascii="Arial" w:hAnsi="Arial" w:cs="Arial"/>
                <w:b/>
                <w:sz w:val="18"/>
                <w:szCs w:val="18"/>
                <w:lang w:val="en-AU"/>
              </w:rPr>
            </w:pPr>
            <w:r w:rsidRPr="002742BE">
              <w:rPr>
                <w:rFonts w:ascii="Arial" w:hAnsi="Arial" w:cs="Arial"/>
                <w:b/>
                <w:sz w:val="18"/>
                <w:szCs w:val="18"/>
                <w:lang w:val="en-AU"/>
              </w:rPr>
              <w:t>All-cause Mortality</w:t>
            </w:r>
          </w:p>
        </w:tc>
        <w:tc>
          <w:tcPr>
            <w:tcW w:w="2580" w:type="dxa"/>
            <w:shd w:val="clear" w:color="auto" w:fill="auto"/>
            <w:vAlign w:val="center"/>
          </w:tcPr>
          <w:p w:rsidR="00946883" w:rsidRPr="002742BE" w:rsidRDefault="00946883"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208 (1.87)</w:t>
            </w:r>
          </w:p>
        </w:tc>
        <w:tc>
          <w:tcPr>
            <w:tcW w:w="2220" w:type="dxa"/>
            <w:shd w:val="clear" w:color="auto" w:fill="auto"/>
            <w:vAlign w:val="center"/>
          </w:tcPr>
          <w:p w:rsidR="00946883" w:rsidRPr="002742BE" w:rsidRDefault="00946883"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250 (2.21)</w:t>
            </w:r>
          </w:p>
        </w:tc>
        <w:tc>
          <w:tcPr>
            <w:tcW w:w="2040" w:type="dxa"/>
            <w:shd w:val="clear" w:color="auto" w:fill="auto"/>
            <w:vAlign w:val="center"/>
          </w:tcPr>
          <w:p w:rsidR="00946883" w:rsidRPr="002742BE" w:rsidRDefault="00946883" w:rsidP="00F04C47">
            <w:pPr>
              <w:pStyle w:val="BayerBodyTextFull"/>
              <w:ind w:right="46"/>
              <w:jc w:val="center"/>
              <w:rPr>
                <w:rFonts w:ascii="Arial" w:hAnsi="Arial" w:cs="Arial"/>
                <w:sz w:val="18"/>
                <w:szCs w:val="18"/>
                <w:lang w:val="en-AU"/>
              </w:rPr>
            </w:pPr>
            <w:r w:rsidRPr="002742BE">
              <w:rPr>
                <w:rFonts w:ascii="Arial" w:hAnsi="Arial" w:cs="Arial"/>
                <w:sz w:val="18"/>
                <w:szCs w:val="18"/>
                <w:lang w:val="en-AU"/>
              </w:rPr>
              <w:t>0.85 (0.70 - 1.02)</w:t>
            </w:r>
            <w:r w:rsidRPr="002742BE">
              <w:rPr>
                <w:rFonts w:ascii="Arial" w:hAnsi="Arial" w:cs="Arial"/>
                <w:sz w:val="18"/>
                <w:szCs w:val="18"/>
                <w:lang w:val="en-AU"/>
              </w:rPr>
              <w:br/>
              <w:t>0.073</w:t>
            </w:r>
            <w:r w:rsidRPr="002742BE">
              <w:rPr>
                <w:rFonts w:ascii="Arial" w:hAnsi="Arial" w:cs="Arial"/>
                <w:sz w:val="18"/>
                <w:szCs w:val="18"/>
                <w:vertAlign w:val="superscript"/>
                <w:lang w:val="en-AU"/>
              </w:rPr>
              <w:t>a</w:t>
            </w:r>
          </w:p>
        </w:tc>
      </w:tr>
    </w:tbl>
    <w:p w:rsidR="00B66FBF" w:rsidRPr="002742BE" w:rsidRDefault="00B66FBF" w:rsidP="00C72F73">
      <w:pPr>
        <w:ind w:left="284" w:right="46" w:hanging="284"/>
        <w:rPr>
          <w:rFonts w:ascii="Arial" w:eastAsia="PMingLiU" w:hAnsi="Arial" w:cs="Arial"/>
          <w:bCs/>
          <w:sz w:val="20"/>
          <w:szCs w:val="20"/>
          <w:lang w:val="en-AU" w:eastAsia="zh-TW"/>
        </w:rPr>
      </w:pPr>
      <w:r w:rsidRPr="002742BE">
        <w:rPr>
          <w:rFonts w:ascii="Arial" w:eastAsia="PMingLiU" w:hAnsi="Arial" w:cs="Arial"/>
          <w:b/>
          <w:sz w:val="20"/>
          <w:szCs w:val="20"/>
          <w:lang w:val="en-AU" w:eastAsia="zh-TW"/>
        </w:rPr>
        <w:t>^</w:t>
      </w:r>
      <w:r w:rsidRPr="002742BE">
        <w:rPr>
          <w:rFonts w:ascii="Arial" w:eastAsia="PMingLiU" w:hAnsi="Arial" w:cs="Arial"/>
          <w:bCs/>
          <w:sz w:val="20"/>
          <w:szCs w:val="20"/>
          <w:lang w:val="en-AU" w:eastAsia="zh-TW"/>
        </w:rPr>
        <w:t xml:space="preserve">   Safety population, on treatment = All ITT subjects who take at least 1 dose of study medication after    randomisation during double-blind treatment period </w:t>
      </w:r>
      <w:r w:rsidR="001B1D95" w:rsidRPr="002742BE">
        <w:rPr>
          <w:rFonts w:ascii="Arial" w:eastAsia="PMingLiU" w:hAnsi="Arial" w:cs="Arial"/>
          <w:bCs/>
          <w:sz w:val="20"/>
          <w:szCs w:val="20"/>
          <w:lang w:val="en-AU" w:eastAsia="zh-TW"/>
        </w:rPr>
        <w:t xml:space="preserve">or </w:t>
      </w:r>
      <w:r w:rsidR="00F1594D" w:rsidRPr="002742BE">
        <w:rPr>
          <w:rFonts w:ascii="Arial" w:eastAsia="PMingLiU" w:hAnsi="Arial" w:cs="Arial"/>
          <w:bCs/>
          <w:sz w:val="20"/>
          <w:szCs w:val="20"/>
          <w:lang w:val="en-AU" w:eastAsia="zh-TW"/>
        </w:rPr>
        <w:t xml:space="preserve">within 2 days after discontinuation </w:t>
      </w:r>
      <w:r w:rsidRPr="002742BE">
        <w:rPr>
          <w:rFonts w:ascii="Arial" w:eastAsia="PMingLiU" w:hAnsi="Arial" w:cs="Arial"/>
          <w:bCs/>
          <w:sz w:val="20"/>
          <w:szCs w:val="20"/>
          <w:lang w:val="en-AU" w:eastAsia="zh-TW"/>
        </w:rPr>
        <w:t>(site 042012 was excluded for efficacy analysis)</w:t>
      </w:r>
    </w:p>
    <w:p w:rsidR="00B66FBF" w:rsidRPr="002742BE" w:rsidRDefault="00B66FBF" w:rsidP="00C72F73">
      <w:pPr>
        <w:ind w:left="284" w:right="46" w:hanging="284"/>
        <w:rPr>
          <w:rFonts w:ascii="Arial" w:eastAsia="PMingLiU" w:hAnsi="Arial" w:cs="Arial"/>
          <w:b/>
          <w:sz w:val="20"/>
          <w:szCs w:val="20"/>
          <w:lang w:val="en-AU" w:eastAsia="zh-TW"/>
        </w:rPr>
      </w:pPr>
      <w:r w:rsidRPr="002742BE">
        <w:rPr>
          <w:rFonts w:ascii="Arial" w:eastAsia="PMingLiU" w:hAnsi="Arial" w:cs="Arial"/>
          <w:b/>
          <w:sz w:val="20"/>
          <w:szCs w:val="20"/>
          <w:lang w:val="en-AU" w:eastAsia="zh-TW"/>
        </w:rPr>
        <w:t xml:space="preserve">#   </w:t>
      </w:r>
      <w:r w:rsidRPr="002742BE">
        <w:rPr>
          <w:rFonts w:ascii="Arial" w:eastAsia="PMingLiU" w:hAnsi="Arial" w:cs="Arial"/>
          <w:bCs/>
          <w:sz w:val="20"/>
          <w:szCs w:val="20"/>
          <w:lang w:val="en-AU" w:eastAsia="zh-TW"/>
        </w:rPr>
        <w:t>Number of events per 100 patient years of follow up</w:t>
      </w:r>
    </w:p>
    <w:p w:rsidR="00B66FBF" w:rsidRPr="002742BE" w:rsidRDefault="00B66FBF" w:rsidP="00C72F73">
      <w:pPr>
        <w:ind w:left="284" w:right="46" w:hanging="284"/>
        <w:rPr>
          <w:rFonts w:ascii="Arial" w:eastAsia="PMingLiU" w:hAnsi="Arial" w:cs="Arial"/>
          <w:bCs/>
          <w:sz w:val="20"/>
          <w:szCs w:val="20"/>
          <w:lang w:val="en-AU" w:eastAsia="zh-TW"/>
        </w:rPr>
      </w:pPr>
      <w:r w:rsidRPr="002742BE">
        <w:rPr>
          <w:rFonts w:ascii="Arial" w:eastAsia="SimSun" w:hAnsi="Arial" w:cs="Arial"/>
          <w:sz w:val="20"/>
          <w:szCs w:val="20"/>
          <w:lang w:val="en-AU" w:eastAsia="zh-CN" w:bidi="he-IL"/>
        </w:rPr>
        <w:t>*</w:t>
      </w:r>
      <w:r w:rsidRPr="002742BE">
        <w:rPr>
          <w:rFonts w:ascii="Arial" w:eastAsia="PMingLiU" w:hAnsi="Arial" w:cs="Arial"/>
          <w:b/>
          <w:sz w:val="20"/>
          <w:szCs w:val="20"/>
          <w:lang w:val="en-AU" w:eastAsia="zh-TW"/>
        </w:rPr>
        <w:t xml:space="preserve">   </w:t>
      </w:r>
      <w:r w:rsidRPr="002742BE">
        <w:rPr>
          <w:rFonts w:ascii="Arial" w:eastAsia="PMingLiU" w:hAnsi="Arial" w:cs="Arial"/>
          <w:bCs/>
          <w:sz w:val="20"/>
          <w:szCs w:val="20"/>
          <w:lang w:val="en-AU" w:eastAsia="zh-TW"/>
        </w:rPr>
        <w:t>Statistically significant at 0.025 (one-sided) for non-inferiority and 0.05 (two-sided) for superiority</w:t>
      </w:r>
      <w:r w:rsidR="0065671E" w:rsidRPr="002742BE">
        <w:rPr>
          <w:rFonts w:ascii="Arial" w:eastAsia="PMingLiU" w:hAnsi="Arial" w:cs="Arial"/>
          <w:bCs/>
          <w:sz w:val="20"/>
          <w:szCs w:val="20"/>
          <w:lang w:val="en-AU" w:eastAsia="zh-TW"/>
        </w:rPr>
        <w:t xml:space="preserve"> </w:t>
      </w:r>
      <w:r w:rsidRPr="002742BE">
        <w:rPr>
          <w:rFonts w:ascii="Arial" w:eastAsia="PMingLiU" w:hAnsi="Arial" w:cs="Arial"/>
          <w:bCs/>
          <w:sz w:val="20"/>
          <w:szCs w:val="20"/>
          <w:lang w:val="en-AU" w:eastAsia="zh-TW"/>
        </w:rPr>
        <w:t>in favour of rivaroxaban</w:t>
      </w:r>
    </w:p>
    <w:p w:rsidR="00B66FBF" w:rsidRPr="002742BE" w:rsidRDefault="00B66FBF" w:rsidP="00C72F73">
      <w:pPr>
        <w:ind w:left="284" w:right="46" w:hanging="284"/>
        <w:rPr>
          <w:rFonts w:ascii="Arial" w:eastAsia="SimSun" w:hAnsi="Arial" w:cs="Arial"/>
          <w:sz w:val="20"/>
          <w:szCs w:val="20"/>
          <w:lang w:val="en-AU" w:eastAsia="zh-CN" w:bidi="he-IL"/>
        </w:rPr>
      </w:pPr>
      <w:r w:rsidRPr="002742BE">
        <w:rPr>
          <w:rFonts w:ascii="Arial" w:eastAsia="SimSun" w:hAnsi="Arial" w:cs="Arial"/>
          <w:sz w:val="20"/>
          <w:szCs w:val="20"/>
          <w:lang w:val="en-AU" w:eastAsia="zh-CN" w:bidi="he-IL"/>
        </w:rPr>
        <w:t>**  Statistically significant at nominal alpha = 0.05 (two sided)</w:t>
      </w:r>
    </w:p>
    <w:p w:rsidR="00946883" w:rsidRPr="002742BE" w:rsidRDefault="00946883" w:rsidP="00C72F73">
      <w:pPr>
        <w:autoSpaceDE w:val="0"/>
        <w:autoSpaceDN w:val="0"/>
        <w:adjustRightInd w:val="0"/>
        <w:spacing w:after="120"/>
        <w:ind w:left="284" w:right="46" w:hanging="284"/>
        <w:rPr>
          <w:rFonts w:ascii="Arial" w:eastAsia="SimSun" w:hAnsi="Arial" w:cs="Arial"/>
          <w:sz w:val="20"/>
          <w:szCs w:val="20"/>
          <w:lang w:val="en-AU" w:eastAsia="zh-CN" w:bidi="he-IL"/>
        </w:rPr>
      </w:pPr>
      <w:r w:rsidRPr="002742BE">
        <w:rPr>
          <w:rFonts w:ascii="Arial" w:eastAsia="SimSun" w:hAnsi="Arial" w:cs="Arial"/>
          <w:sz w:val="20"/>
          <w:szCs w:val="20"/>
          <w:lang w:val="en-AU" w:eastAsia="zh-CN" w:bidi="he-IL"/>
        </w:rPr>
        <w:t>a</w:t>
      </w:r>
      <w:r w:rsidRPr="002742BE">
        <w:rPr>
          <w:rFonts w:ascii="Arial" w:eastAsia="SimSun" w:hAnsi="Arial" w:cs="Arial"/>
          <w:sz w:val="20"/>
          <w:szCs w:val="20"/>
          <w:lang w:val="en-AU" w:eastAsia="zh-CN" w:bidi="he-IL"/>
        </w:rPr>
        <w:tab/>
      </w:r>
      <w:r w:rsidRPr="002742BE">
        <w:rPr>
          <w:rFonts w:ascii="Arial" w:hAnsi="Arial" w:cs="Arial"/>
          <w:color w:val="000000"/>
          <w:sz w:val="20"/>
          <w:szCs w:val="20"/>
          <w:lang w:val="en-AU"/>
        </w:rPr>
        <w:t>p value (two-sided) for superiority of rivaroxaban versus warfarin in hazard ratio</w:t>
      </w:r>
      <w:r w:rsidRPr="002742BE">
        <w:rPr>
          <w:rFonts w:ascii="Arial" w:hAnsi="Arial" w:cs="Arial"/>
          <w:sz w:val="20"/>
          <w:szCs w:val="20"/>
          <w:lang w:val="en-AU"/>
        </w:rPr>
        <w:t> </w:t>
      </w:r>
    </w:p>
    <w:p w:rsidR="00B66FBF" w:rsidRPr="002742BE" w:rsidRDefault="00B66FBF" w:rsidP="00F04C47">
      <w:pPr>
        <w:pStyle w:val="Caption"/>
        <w:ind w:right="46"/>
        <w:rPr>
          <w:rFonts w:ascii="Arial" w:hAnsi="Arial" w:cs="Arial"/>
          <w:lang w:val="en-AU"/>
        </w:rPr>
      </w:pPr>
      <w:bookmarkStart w:id="7" w:name="_Ref285192620"/>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6</w:t>
      </w:r>
      <w:r w:rsidR="00794C79" w:rsidRPr="002742BE">
        <w:rPr>
          <w:rFonts w:ascii="Arial" w:hAnsi="Arial" w:cs="Arial"/>
          <w:lang w:val="en-AU"/>
        </w:rPr>
        <w:fldChar w:fldCharType="end"/>
      </w:r>
      <w:bookmarkEnd w:id="7"/>
      <w:r w:rsidRPr="002742BE">
        <w:rPr>
          <w:rFonts w:ascii="Arial" w:hAnsi="Arial" w:cs="Arial"/>
          <w:lang w:val="en-AU"/>
        </w:rPr>
        <w:t xml:space="preserve">: Safety results from Phase </w:t>
      </w:r>
      <w:smartTag w:uri="urn:schemas-microsoft-com:office:smarttags" w:element="stockticker">
        <w:r w:rsidRPr="002742BE">
          <w:rPr>
            <w:rFonts w:ascii="Arial" w:hAnsi="Arial" w:cs="Arial"/>
            <w:lang w:val="en-AU"/>
          </w:rPr>
          <w:t>III</w:t>
        </w:r>
      </w:smartTag>
      <w:r w:rsidRPr="002742BE">
        <w:rPr>
          <w:rFonts w:ascii="Arial" w:hAnsi="Arial" w:cs="Arial"/>
          <w:lang w:val="en-AU"/>
        </w:rPr>
        <w:t xml:space="preserve"> ROCKET AF (Stroke Prevention in AF)</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460"/>
        <w:gridCol w:w="2220"/>
        <w:gridCol w:w="2374"/>
      </w:tblGrid>
      <w:tr w:rsidR="00B66FBF" w:rsidRPr="002742BE" w:rsidTr="00BF595A">
        <w:trPr>
          <w:cantSplit/>
          <w:trHeight w:val="455"/>
          <w:tblHeader/>
        </w:trPr>
        <w:tc>
          <w:tcPr>
            <w:tcW w:w="2160" w:type="dxa"/>
            <w:shd w:val="clear" w:color="auto" w:fill="E0E0E0"/>
            <w:vAlign w:val="center"/>
          </w:tcPr>
          <w:p w:rsidR="00B66FBF" w:rsidRPr="002742BE" w:rsidRDefault="00B66FBF" w:rsidP="00F04C47">
            <w:pPr>
              <w:pStyle w:val="BayerTableColumnHeadings"/>
              <w:keepNext/>
              <w:spacing w:before="60" w:after="60"/>
              <w:ind w:right="46"/>
              <w:rPr>
                <w:rFonts w:ascii="Arial" w:hAnsi="Arial" w:cs="Arial"/>
                <w:sz w:val="18"/>
                <w:szCs w:val="18"/>
                <w:lang w:val="en-AU"/>
              </w:rPr>
            </w:pPr>
            <w:r w:rsidRPr="002742BE">
              <w:rPr>
                <w:rFonts w:ascii="Arial" w:hAnsi="Arial" w:cs="Arial"/>
                <w:sz w:val="18"/>
                <w:szCs w:val="18"/>
                <w:lang w:val="en-AU"/>
              </w:rPr>
              <w:t>Study Population</w:t>
            </w:r>
          </w:p>
        </w:tc>
        <w:tc>
          <w:tcPr>
            <w:tcW w:w="7054" w:type="dxa"/>
            <w:gridSpan w:val="3"/>
            <w:shd w:val="clear" w:color="auto" w:fill="E0E0E0"/>
            <w:vAlign w:val="center"/>
          </w:tcPr>
          <w:p w:rsidR="00B66FBF" w:rsidRPr="002742BE" w:rsidRDefault="00B66FBF" w:rsidP="00F04C47">
            <w:pPr>
              <w:pStyle w:val="BayerTableColumnHeadings"/>
              <w:keepNext/>
              <w:spacing w:before="60" w:after="60"/>
              <w:ind w:right="46"/>
              <w:rPr>
                <w:rFonts w:ascii="Arial" w:hAnsi="Arial" w:cs="Arial"/>
                <w:sz w:val="18"/>
                <w:szCs w:val="18"/>
                <w:lang w:val="en-AU"/>
              </w:rPr>
            </w:pPr>
            <w:r w:rsidRPr="002742BE">
              <w:rPr>
                <w:rFonts w:ascii="Arial" w:hAnsi="Arial" w:cs="Arial"/>
                <w:sz w:val="18"/>
                <w:szCs w:val="18"/>
                <w:lang w:val="en-AU"/>
              </w:rPr>
              <w:t>Patients with non-valvular atrial fibrillation (AF)</w:t>
            </w:r>
            <w:r w:rsidRPr="002742BE">
              <w:rPr>
                <w:rFonts w:ascii="Arial" w:eastAsia="PMingLiU" w:hAnsi="Arial" w:cs="Arial"/>
                <w:b w:val="0"/>
                <w:sz w:val="18"/>
                <w:szCs w:val="18"/>
                <w:lang w:val="en-AU" w:eastAsia="zh-TW"/>
              </w:rPr>
              <w:t xml:space="preserve"> ^</w:t>
            </w:r>
          </w:p>
        </w:tc>
      </w:tr>
      <w:tr w:rsidR="00B66FBF" w:rsidRPr="002742BE" w:rsidTr="00BF595A">
        <w:trPr>
          <w:cantSplit/>
          <w:tblHeader/>
        </w:trPr>
        <w:tc>
          <w:tcPr>
            <w:tcW w:w="2160" w:type="dxa"/>
            <w:shd w:val="clear" w:color="auto" w:fill="auto"/>
            <w:vAlign w:val="center"/>
          </w:tcPr>
          <w:p w:rsidR="00B66FBF" w:rsidRPr="002742BE" w:rsidRDefault="00B66FBF" w:rsidP="00F04C47">
            <w:pPr>
              <w:pStyle w:val="BayerTableRowHeadings"/>
              <w:keepNext/>
              <w:spacing w:before="60" w:after="60"/>
              <w:ind w:right="46"/>
              <w:rPr>
                <w:rFonts w:ascii="Arial" w:hAnsi="Arial" w:cs="Arial"/>
                <w:b/>
                <w:sz w:val="18"/>
                <w:szCs w:val="18"/>
                <w:lang w:val="en-AU"/>
              </w:rPr>
            </w:pPr>
            <w:r w:rsidRPr="002742BE">
              <w:rPr>
                <w:rFonts w:ascii="Arial" w:hAnsi="Arial" w:cs="Arial"/>
                <w:b/>
                <w:sz w:val="18"/>
                <w:szCs w:val="18"/>
                <w:lang w:val="en-AU"/>
              </w:rPr>
              <w:t xml:space="preserve">Treatment Dosage </w:t>
            </w:r>
          </w:p>
        </w:tc>
        <w:tc>
          <w:tcPr>
            <w:tcW w:w="2460" w:type="dxa"/>
            <w:shd w:val="clear" w:color="auto" w:fill="auto"/>
            <w:vAlign w:val="center"/>
          </w:tcPr>
          <w:p w:rsidR="00B66FBF" w:rsidRPr="002742BE" w:rsidRDefault="00B66FBF" w:rsidP="00F04C47">
            <w:pPr>
              <w:pStyle w:val="BayerBodyTextFull"/>
              <w:keepNext/>
              <w:spacing w:before="60" w:after="60"/>
              <w:ind w:right="46"/>
              <w:jc w:val="center"/>
              <w:rPr>
                <w:rFonts w:ascii="Arial" w:hAnsi="Arial" w:cs="Arial"/>
                <w:sz w:val="18"/>
                <w:szCs w:val="18"/>
                <w:lang w:val="en-AU"/>
              </w:rPr>
            </w:pPr>
            <w:r w:rsidRPr="002742BE">
              <w:rPr>
                <w:rFonts w:ascii="Arial" w:hAnsi="Arial" w:cs="Arial"/>
                <w:sz w:val="18"/>
                <w:szCs w:val="18"/>
                <w:lang w:val="en-AU"/>
              </w:rPr>
              <w:t>Rivaroxaban</w:t>
            </w:r>
            <w:r w:rsidRPr="002742BE">
              <w:rPr>
                <w:rFonts w:ascii="Arial" w:hAnsi="Arial" w:cs="Arial"/>
                <w:sz w:val="18"/>
                <w:szCs w:val="18"/>
                <w:lang w:val="en-AU"/>
              </w:rPr>
              <w:br/>
              <w:t xml:space="preserve">20 mg orally od </w:t>
            </w:r>
            <w:r w:rsidRPr="002742BE">
              <w:rPr>
                <w:rFonts w:ascii="Arial" w:hAnsi="Arial" w:cs="Arial"/>
                <w:sz w:val="18"/>
                <w:szCs w:val="18"/>
                <w:lang w:val="en-AU"/>
              </w:rPr>
              <w:br/>
              <w:t>(15 mg orally od in patients with CrCl 30 to 49 mL/min)</w:t>
            </w:r>
          </w:p>
          <w:p w:rsidR="00B66FBF" w:rsidRPr="002742BE" w:rsidRDefault="00B66FBF" w:rsidP="00F04C47">
            <w:pPr>
              <w:pStyle w:val="BayerBodyTextFull"/>
              <w:keepNext/>
              <w:spacing w:before="60" w:after="60"/>
              <w:ind w:right="46"/>
              <w:jc w:val="center"/>
              <w:rPr>
                <w:rFonts w:ascii="Arial" w:hAnsi="Arial" w:cs="Arial"/>
                <w:sz w:val="18"/>
                <w:szCs w:val="18"/>
                <w:lang w:val="en-AU"/>
              </w:rPr>
            </w:pPr>
            <w:r w:rsidRPr="002742BE">
              <w:rPr>
                <w:rFonts w:ascii="Arial" w:hAnsi="Arial" w:cs="Arial"/>
                <w:sz w:val="18"/>
                <w:szCs w:val="18"/>
                <w:lang w:val="en-AU"/>
              </w:rPr>
              <w:t>N=7111</w:t>
            </w:r>
            <w:r w:rsidRPr="002742BE">
              <w:rPr>
                <w:rFonts w:ascii="Arial" w:hAnsi="Arial" w:cs="Arial"/>
                <w:sz w:val="18"/>
                <w:szCs w:val="18"/>
                <w:lang w:val="en-AU"/>
              </w:rPr>
              <w:br/>
              <w:t>Event Rate (100 Pt-yr)</w:t>
            </w:r>
            <w:r w:rsidRPr="002742BE">
              <w:rPr>
                <w:rFonts w:ascii="Arial" w:eastAsia="PMingLiU" w:hAnsi="Arial" w:cs="Arial"/>
                <w:b/>
                <w:sz w:val="18"/>
                <w:szCs w:val="18"/>
                <w:lang w:val="en-AU" w:eastAsia="zh-TW"/>
              </w:rPr>
              <w:t xml:space="preserve"> </w:t>
            </w:r>
            <w:r w:rsidRPr="002742BE">
              <w:rPr>
                <w:rFonts w:ascii="Arial" w:eastAsia="PMingLiU" w:hAnsi="Arial" w:cs="Arial"/>
                <w:b/>
                <w:sz w:val="18"/>
                <w:szCs w:val="18"/>
                <w:vertAlign w:val="superscript"/>
                <w:lang w:val="en-AU" w:eastAsia="zh-TW"/>
              </w:rPr>
              <w:t>#</w:t>
            </w:r>
          </w:p>
        </w:tc>
        <w:tc>
          <w:tcPr>
            <w:tcW w:w="2220" w:type="dxa"/>
            <w:shd w:val="clear" w:color="auto" w:fill="auto"/>
            <w:vAlign w:val="center"/>
          </w:tcPr>
          <w:p w:rsidR="00B66FBF" w:rsidRPr="002742BE" w:rsidRDefault="00B66FBF" w:rsidP="00F04C47">
            <w:pPr>
              <w:pStyle w:val="BayerBodyTextFull"/>
              <w:keepNext/>
              <w:spacing w:before="60" w:after="60"/>
              <w:ind w:right="46"/>
              <w:jc w:val="center"/>
              <w:rPr>
                <w:rFonts w:ascii="Arial" w:hAnsi="Arial" w:cs="Arial"/>
                <w:sz w:val="18"/>
                <w:szCs w:val="18"/>
                <w:lang w:val="en-AU"/>
              </w:rPr>
            </w:pPr>
            <w:r w:rsidRPr="002742BE">
              <w:rPr>
                <w:rFonts w:ascii="Arial" w:hAnsi="Arial" w:cs="Arial"/>
                <w:sz w:val="18"/>
                <w:szCs w:val="18"/>
                <w:lang w:val="en-AU"/>
              </w:rPr>
              <w:t>Warfarin</w:t>
            </w:r>
            <w:r w:rsidRPr="002742BE">
              <w:rPr>
                <w:rFonts w:ascii="Arial" w:hAnsi="Arial" w:cs="Arial"/>
                <w:sz w:val="18"/>
                <w:szCs w:val="18"/>
                <w:lang w:val="en-AU"/>
              </w:rPr>
              <w:br/>
              <w:t>titrated to a target INR of 2.5 (therapeutic range 2.0 to 3.0)</w:t>
            </w:r>
            <w:r w:rsidRPr="002742BE">
              <w:rPr>
                <w:rFonts w:ascii="Arial" w:hAnsi="Arial" w:cs="Arial"/>
                <w:sz w:val="18"/>
                <w:szCs w:val="18"/>
                <w:lang w:val="en-AU"/>
              </w:rPr>
              <w:br/>
              <w:t>N=7125</w:t>
            </w:r>
            <w:r w:rsidRPr="002742BE">
              <w:rPr>
                <w:rFonts w:ascii="Arial" w:hAnsi="Arial" w:cs="Arial"/>
                <w:sz w:val="18"/>
                <w:szCs w:val="18"/>
                <w:lang w:val="en-AU"/>
              </w:rPr>
              <w:br/>
              <w:t>Event Rate (100 Pt-yr)</w:t>
            </w:r>
            <w:r w:rsidRPr="002742BE">
              <w:rPr>
                <w:rFonts w:ascii="Arial" w:eastAsia="PMingLiU" w:hAnsi="Arial" w:cs="Arial"/>
                <w:b/>
                <w:sz w:val="18"/>
                <w:szCs w:val="18"/>
                <w:lang w:val="en-AU" w:eastAsia="zh-TW"/>
              </w:rPr>
              <w:t xml:space="preserve"> </w:t>
            </w:r>
            <w:r w:rsidRPr="002742BE">
              <w:rPr>
                <w:rFonts w:ascii="Arial" w:eastAsia="PMingLiU" w:hAnsi="Arial" w:cs="Arial"/>
                <w:b/>
                <w:sz w:val="18"/>
                <w:szCs w:val="18"/>
                <w:vertAlign w:val="superscript"/>
                <w:lang w:val="en-AU" w:eastAsia="zh-TW"/>
              </w:rPr>
              <w:t>#</w:t>
            </w:r>
          </w:p>
        </w:tc>
        <w:tc>
          <w:tcPr>
            <w:tcW w:w="2374" w:type="dxa"/>
            <w:shd w:val="clear" w:color="auto" w:fill="auto"/>
            <w:vAlign w:val="center"/>
          </w:tcPr>
          <w:p w:rsidR="00B66FBF" w:rsidRPr="002742BE" w:rsidRDefault="00B66FBF" w:rsidP="00F04C47">
            <w:pPr>
              <w:pStyle w:val="BayerBodyTextFull"/>
              <w:keepNext/>
              <w:spacing w:before="60" w:after="60"/>
              <w:ind w:right="46"/>
              <w:jc w:val="center"/>
              <w:rPr>
                <w:rFonts w:ascii="Arial" w:hAnsi="Arial" w:cs="Arial"/>
                <w:sz w:val="18"/>
                <w:szCs w:val="18"/>
                <w:lang w:val="en-AU"/>
              </w:rPr>
            </w:pPr>
            <w:r w:rsidRPr="002742BE">
              <w:rPr>
                <w:rFonts w:ascii="Arial" w:hAnsi="Arial" w:cs="Arial"/>
                <w:sz w:val="18"/>
                <w:szCs w:val="18"/>
                <w:lang w:val="en-AU"/>
              </w:rPr>
              <w:t>Hazard Ratio (95% CI)</w:t>
            </w:r>
            <w:r w:rsidRPr="002742BE">
              <w:rPr>
                <w:rFonts w:ascii="Arial" w:hAnsi="Arial" w:cs="Arial"/>
                <w:sz w:val="18"/>
                <w:szCs w:val="18"/>
                <w:lang w:val="en-AU"/>
              </w:rPr>
              <w:br/>
              <w:t xml:space="preserve">p-value </w:t>
            </w:r>
          </w:p>
        </w:tc>
      </w:tr>
      <w:tr w:rsidR="00B66FBF" w:rsidRPr="002742BE" w:rsidTr="00BF595A">
        <w:trPr>
          <w:cantSplit/>
        </w:trPr>
        <w:tc>
          <w:tcPr>
            <w:tcW w:w="2160" w:type="dxa"/>
            <w:shd w:val="clear" w:color="auto" w:fill="auto"/>
            <w:vAlign w:val="center"/>
          </w:tcPr>
          <w:p w:rsidR="00B66FBF" w:rsidRPr="002742BE" w:rsidRDefault="00B66FBF" w:rsidP="00F04C47">
            <w:pPr>
              <w:pStyle w:val="BayerTableRowHeadings"/>
              <w:spacing w:before="60" w:after="60"/>
              <w:ind w:right="46"/>
              <w:rPr>
                <w:rFonts w:ascii="Arial" w:hAnsi="Arial" w:cs="Arial"/>
                <w:b/>
                <w:sz w:val="18"/>
                <w:szCs w:val="18"/>
                <w:lang w:val="en-AU"/>
              </w:rPr>
            </w:pPr>
            <w:r w:rsidRPr="002742BE">
              <w:rPr>
                <w:rFonts w:ascii="Arial" w:hAnsi="Arial" w:cs="Arial"/>
                <w:b/>
                <w:sz w:val="18"/>
                <w:szCs w:val="18"/>
                <w:lang w:val="en-AU"/>
              </w:rPr>
              <w:t>Major and Non-major Clinically Relevant bleeding events</w:t>
            </w:r>
          </w:p>
        </w:tc>
        <w:tc>
          <w:tcPr>
            <w:tcW w:w="246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1475</w:t>
            </w:r>
            <w:r w:rsidRPr="002742BE">
              <w:rPr>
                <w:rFonts w:ascii="Arial" w:hAnsi="Arial" w:cs="Arial"/>
                <w:sz w:val="18"/>
                <w:szCs w:val="18"/>
                <w:lang w:val="en-AU"/>
              </w:rPr>
              <w:br/>
              <w:t>(14.91)</w:t>
            </w:r>
          </w:p>
        </w:tc>
        <w:tc>
          <w:tcPr>
            <w:tcW w:w="222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1449</w:t>
            </w:r>
            <w:r w:rsidRPr="002742BE">
              <w:rPr>
                <w:rFonts w:ascii="Arial" w:hAnsi="Arial" w:cs="Arial"/>
                <w:sz w:val="18"/>
                <w:szCs w:val="18"/>
                <w:lang w:val="en-AU"/>
              </w:rPr>
              <w:br/>
              <w:t>(14.52)</w:t>
            </w:r>
          </w:p>
        </w:tc>
        <w:tc>
          <w:tcPr>
            <w:tcW w:w="2374"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1.03 (0.96 - 1.11)</w:t>
            </w:r>
            <w:r w:rsidRPr="002742BE">
              <w:rPr>
                <w:rFonts w:ascii="Arial" w:hAnsi="Arial" w:cs="Arial"/>
                <w:sz w:val="18"/>
                <w:szCs w:val="18"/>
                <w:lang w:val="en-AU"/>
              </w:rPr>
              <w:br/>
              <w:t>0.442</w:t>
            </w:r>
          </w:p>
        </w:tc>
      </w:tr>
      <w:tr w:rsidR="00B66FBF" w:rsidRPr="002742BE" w:rsidTr="00BF595A">
        <w:trPr>
          <w:cantSplit/>
        </w:trPr>
        <w:tc>
          <w:tcPr>
            <w:tcW w:w="2160" w:type="dxa"/>
            <w:shd w:val="clear" w:color="auto" w:fill="auto"/>
            <w:vAlign w:val="center"/>
          </w:tcPr>
          <w:p w:rsidR="00B66FBF" w:rsidRPr="002742BE" w:rsidRDefault="00B66FBF" w:rsidP="00F04C47">
            <w:pPr>
              <w:pStyle w:val="BayerTableRowHeadings"/>
              <w:spacing w:before="60" w:after="60"/>
              <w:ind w:right="46"/>
              <w:rPr>
                <w:rFonts w:ascii="Arial" w:hAnsi="Arial" w:cs="Arial"/>
                <w:b/>
                <w:sz w:val="18"/>
                <w:szCs w:val="18"/>
                <w:lang w:val="en-AU"/>
              </w:rPr>
            </w:pPr>
            <w:r w:rsidRPr="002742BE">
              <w:rPr>
                <w:rFonts w:ascii="Arial" w:hAnsi="Arial" w:cs="Arial"/>
                <w:b/>
                <w:sz w:val="18"/>
                <w:szCs w:val="18"/>
                <w:lang w:val="en-AU"/>
              </w:rPr>
              <w:t>Major bleeding events</w:t>
            </w:r>
          </w:p>
        </w:tc>
        <w:tc>
          <w:tcPr>
            <w:tcW w:w="246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395</w:t>
            </w:r>
            <w:r w:rsidRPr="002742BE">
              <w:rPr>
                <w:rFonts w:ascii="Arial" w:hAnsi="Arial" w:cs="Arial"/>
                <w:sz w:val="18"/>
                <w:szCs w:val="18"/>
                <w:lang w:val="en-AU"/>
              </w:rPr>
              <w:br/>
              <w:t>(3.60)</w:t>
            </w:r>
          </w:p>
        </w:tc>
        <w:tc>
          <w:tcPr>
            <w:tcW w:w="222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386</w:t>
            </w:r>
            <w:r w:rsidRPr="002742BE">
              <w:rPr>
                <w:rFonts w:ascii="Arial" w:hAnsi="Arial" w:cs="Arial"/>
                <w:sz w:val="18"/>
                <w:szCs w:val="18"/>
                <w:lang w:val="en-AU"/>
              </w:rPr>
              <w:br/>
              <w:t>(3.45)</w:t>
            </w:r>
          </w:p>
        </w:tc>
        <w:tc>
          <w:tcPr>
            <w:tcW w:w="2374"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1.04 (0.90 - 1.20)</w:t>
            </w:r>
            <w:r w:rsidRPr="002742BE">
              <w:rPr>
                <w:rFonts w:ascii="Arial" w:hAnsi="Arial" w:cs="Arial"/>
                <w:sz w:val="18"/>
                <w:szCs w:val="18"/>
                <w:lang w:val="en-AU"/>
              </w:rPr>
              <w:br/>
              <w:t>0.576</w:t>
            </w:r>
          </w:p>
        </w:tc>
      </w:tr>
      <w:tr w:rsidR="00B66FBF" w:rsidRPr="002742BE" w:rsidTr="00BF595A">
        <w:trPr>
          <w:cantSplit/>
        </w:trPr>
        <w:tc>
          <w:tcPr>
            <w:tcW w:w="2160" w:type="dxa"/>
            <w:shd w:val="clear" w:color="auto" w:fill="auto"/>
            <w:vAlign w:val="center"/>
          </w:tcPr>
          <w:p w:rsidR="00B66FBF" w:rsidRPr="002742BE" w:rsidRDefault="00B66FBF" w:rsidP="00F04C47">
            <w:pPr>
              <w:pStyle w:val="NormalWeb"/>
              <w:spacing w:before="60" w:after="60"/>
              <w:ind w:right="46"/>
              <w:rPr>
                <w:rFonts w:ascii="Arial" w:hAnsi="Arial" w:cs="Arial"/>
                <w:b/>
                <w:sz w:val="18"/>
                <w:szCs w:val="18"/>
                <w:lang w:val="en-AU"/>
              </w:rPr>
            </w:pPr>
            <w:r w:rsidRPr="002742BE">
              <w:rPr>
                <w:rFonts w:ascii="Arial" w:hAnsi="Arial" w:cs="Arial"/>
                <w:b/>
                <w:sz w:val="18"/>
                <w:szCs w:val="18"/>
                <w:lang w:val="en-AU"/>
              </w:rPr>
              <w:t xml:space="preserve">Death </w:t>
            </w:r>
            <w:r w:rsidR="0068544D" w:rsidRPr="002742BE">
              <w:rPr>
                <w:rFonts w:ascii="Arial" w:hAnsi="Arial" w:cs="Arial"/>
                <w:b/>
                <w:sz w:val="18"/>
                <w:szCs w:val="18"/>
                <w:lang w:val="en-AU"/>
              </w:rPr>
              <w:t>due to bleeding</w:t>
            </w:r>
          </w:p>
        </w:tc>
        <w:tc>
          <w:tcPr>
            <w:tcW w:w="246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27</w:t>
            </w:r>
            <w:r w:rsidRPr="002742BE">
              <w:rPr>
                <w:rFonts w:ascii="Arial" w:hAnsi="Arial" w:cs="Arial"/>
                <w:sz w:val="18"/>
                <w:szCs w:val="18"/>
                <w:lang w:val="en-AU"/>
              </w:rPr>
              <w:br/>
              <w:t>(0.24)</w:t>
            </w:r>
          </w:p>
        </w:tc>
        <w:tc>
          <w:tcPr>
            <w:tcW w:w="222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55</w:t>
            </w:r>
            <w:r w:rsidRPr="002742BE">
              <w:rPr>
                <w:rFonts w:ascii="Arial" w:hAnsi="Arial" w:cs="Arial"/>
                <w:sz w:val="18"/>
                <w:szCs w:val="18"/>
                <w:lang w:val="en-AU"/>
              </w:rPr>
              <w:br/>
              <w:t>(0.48)</w:t>
            </w:r>
          </w:p>
        </w:tc>
        <w:tc>
          <w:tcPr>
            <w:tcW w:w="2374"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0.50 (0.31,0.79)</w:t>
            </w:r>
            <w:r w:rsidRPr="002742BE">
              <w:rPr>
                <w:rFonts w:ascii="Arial" w:hAnsi="Arial" w:cs="Arial"/>
                <w:sz w:val="18"/>
                <w:szCs w:val="18"/>
                <w:lang w:val="en-AU"/>
              </w:rPr>
              <w:br/>
              <w:t>0.003*</w:t>
            </w:r>
          </w:p>
        </w:tc>
      </w:tr>
      <w:tr w:rsidR="00B66FBF" w:rsidRPr="002742BE" w:rsidTr="00BF595A">
        <w:trPr>
          <w:cantSplit/>
        </w:trPr>
        <w:tc>
          <w:tcPr>
            <w:tcW w:w="2160" w:type="dxa"/>
            <w:shd w:val="clear" w:color="auto" w:fill="auto"/>
            <w:vAlign w:val="center"/>
          </w:tcPr>
          <w:p w:rsidR="00B66FBF" w:rsidRPr="002742BE" w:rsidRDefault="00B66FBF" w:rsidP="00F04C47">
            <w:pPr>
              <w:pStyle w:val="BayerTableRowHeadings"/>
              <w:spacing w:before="60" w:after="60"/>
              <w:ind w:right="46"/>
              <w:rPr>
                <w:rFonts w:ascii="Arial" w:hAnsi="Arial" w:cs="Arial"/>
                <w:b/>
                <w:sz w:val="18"/>
                <w:szCs w:val="18"/>
                <w:lang w:val="en-AU"/>
              </w:rPr>
            </w:pPr>
            <w:r w:rsidRPr="002742BE">
              <w:rPr>
                <w:rFonts w:ascii="Arial" w:hAnsi="Arial" w:cs="Arial"/>
                <w:b/>
                <w:sz w:val="18"/>
                <w:szCs w:val="18"/>
                <w:lang w:val="en-AU"/>
              </w:rPr>
              <w:t>Critical Organ</w:t>
            </w:r>
            <w:r w:rsidRPr="002742BE">
              <w:rPr>
                <w:rFonts w:ascii="Arial" w:hAnsi="Arial" w:cs="Arial"/>
                <w:b/>
                <w:sz w:val="18"/>
                <w:szCs w:val="18"/>
                <w:lang w:val="en-AU"/>
              </w:rPr>
              <w:br/>
              <w:t xml:space="preserve">Bleeding </w:t>
            </w:r>
          </w:p>
        </w:tc>
        <w:tc>
          <w:tcPr>
            <w:tcW w:w="246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91</w:t>
            </w:r>
            <w:r w:rsidRPr="002742BE">
              <w:rPr>
                <w:rFonts w:ascii="Arial" w:hAnsi="Arial" w:cs="Arial"/>
                <w:sz w:val="18"/>
                <w:szCs w:val="18"/>
                <w:lang w:val="en-AU"/>
              </w:rPr>
              <w:br/>
              <w:t>(0.82)</w:t>
            </w:r>
          </w:p>
        </w:tc>
        <w:tc>
          <w:tcPr>
            <w:tcW w:w="222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133</w:t>
            </w:r>
            <w:r w:rsidRPr="002742BE">
              <w:rPr>
                <w:rFonts w:ascii="Arial" w:hAnsi="Arial" w:cs="Arial"/>
                <w:sz w:val="18"/>
                <w:szCs w:val="18"/>
                <w:lang w:val="en-AU"/>
              </w:rPr>
              <w:br/>
              <w:t>(1.18)</w:t>
            </w:r>
          </w:p>
        </w:tc>
        <w:tc>
          <w:tcPr>
            <w:tcW w:w="2374"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0.69 (0.53 - 0.91)</w:t>
            </w:r>
            <w:r w:rsidRPr="002742BE">
              <w:rPr>
                <w:rFonts w:ascii="Arial" w:hAnsi="Arial" w:cs="Arial"/>
                <w:sz w:val="18"/>
                <w:szCs w:val="18"/>
                <w:lang w:val="en-AU"/>
              </w:rPr>
              <w:br/>
              <w:t>0.007*</w:t>
            </w:r>
          </w:p>
        </w:tc>
      </w:tr>
      <w:tr w:rsidR="00B66FBF" w:rsidRPr="002742BE" w:rsidTr="00BF595A">
        <w:trPr>
          <w:cantSplit/>
        </w:trPr>
        <w:tc>
          <w:tcPr>
            <w:tcW w:w="2160" w:type="dxa"/>
            <w:shd w:val="clear" w:color="auto" w:fill="auto"/>
            <w:vAlign w:val="center"/>
          </w:tcPr>
          <w:p w:rsidR="00B66FBF" w:rsidRPr="002742BE" w:rsidRDefault="00B66FBF" w:rsidP="00F04C47">
            <w:pPr>
              <w:pStyle w:val="BayerTableRowHeadings"/>
              <w:spacing w:before="60" w:after="60"/>
              <w:ind w:right="46"/>
              <w:rPr>
                <w:rFonts w:ascii="Arial" w:hAnsi="Arial" w:cs="Arial"/>
                <w:b/>
                <w:sz w:val="18"/>
                <w:szCs w:val="18"/>
                <w:lang w:val="en-AU"/>
              </w:rPr>
            </w:pPr>
            <w:r w:rsidRPr="002742BE">
              <w:rPr>
                <w:rFonts w:ascii="Arial" w:hAnsi="Arial" w:cs="Arial"/>
                <w:b/>
                <w:sz w:val="18"/>
                <w:szCs w:val="18"/>
                <w:lang w:val="en-AU"/>
              </w:rPr>
              <w:t xml:space="preserve">Intracranial </w:t>
            </w:r>
            <w:r w:rsidRPr="002742BE">
              <w:rPr>
                <w:rFonts w:ascii="Arial" w:hAnsi="Arial" w:cs="Arial"/>
                <w:b/>
                <w:sz w:val="18"/>
                <w:szCs w:val="18"/>
                <w:lang w:val="en-AU"/>
              </w:rPr>
              <w:br/>
              <w:t xml:space="preserve">haemorrhage </w:t>
            </w:r>
          </w:p>
        </w:tc>
        <w:tc>
          <w:tcPr>
            <w:tcW w:w="246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55</w:t>
            </w:r>
            <w:r w:rsidRPr="002742BE">
              <w:rPr>
                <w:rFonts w:ascii="Arial" w:hAnsi="Arial" w:cs="Arial"/>
                <w:sz w:val="18"/>
                <w:szCs w:val="18"/>
                <w:lang w:val="en-AU"/>
              </w:rPr>
              <w:br/>
              <w:t>(</w:t>
            </w:r>
            <w:r w:rsidR="00A468FD" w:rsidRPr="002742BE">
              <w:rPr>
                <w:rFonts w:ascii="Arial" w:hAnsi="Arial" w:cs="Arial"/>
                <w:sz w:val="18"/>
                <w:szCs w:val="18"/>
                <w:lang w:val="en-AU"/>
              </w:rPr>
              <w:t>0.49</w:t>
            </w:r>
            <w:r w:rsidRPr="002742BE">
              <w:rPr>
                <w:rFonts w:ascii="Arial" w:hAnsi="Arial" w:cs="Arial"/>
                <w:sz w:val="18"/>
                <w:szCs w:val="18"/>
                <w:lang w:val="en-AU"/>
              </w:rPr>
              <w:t>)</w:t>
            </w:r>
          </w:p>
        </w:tc>
        <w:tc>
          <w:tcPr>
            <w:tcW w:w="222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84</w:t>
            </w:r>
            <w:r w:rsidRPr="002742BE">
              <w:rPr>
                <w:rFonts w:ascii="Arial" w:hAnsi="Arial" w:cs="Arial"/>
                <w:sz w:val="18"/>
                <w:szCs w:val="18"/>
                <w:lang w:val="en-AU"/>
              </w:rPr>
              <w:br/>
              <w:t>(</w:t>
            </w:r>
            <w:r w:rsidR="00A468FD" w:rsidRPr="002742BE">
              <w:rPr>
                <w:rFonts w:ascii="Arial" w:hAnsi="Arial" w:cs="Arial"/>
                <w:sz w:val="18"/>
                <w:szCs w:val="18"/>
                <w:lang w:val="en-AU"/>
              </w:rPr>
              <w:t>0.75</w:t>
            </w:r>
            <w:r w:rsidRPr="002742BE">
              <w:rPr>
                <w:rFonts w:ascii="Arial" w:hAnsi="Arial" w:cs="Arial"/>
                <w:sz w:val="18"/>
                <w:szCs w:val="18"/>
                <w:lang w:val="en-AU"/>
              </w:rPr>
              <w:t>)</w:t>
            </w:r>
          </w:p>
        </w:tc>
        <w:tc>
          <w:tcPr>
            <w:tcW w:w="2374"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0.67 (0.47–0.93) 0,019*</w:t>
            </w:r>
          </w:p>
        </w:tc>
      </w:tr>
      <w:tr w:rsidR="00B66FBF" w:rsidRPr="002742BE" w:rsidTr="00BF595A">
        <w:trPr>
          <w:cantSplit/>
        </w:trPr>
        <w:tc>
          <w:tcPr>
            <w:tcW w:w="2160" w:type="dxa"/>
            <w:shd w:val="clear" w:color="auto" w:fill="auto"/>
            <w:vAlign w:val="center"/>
          </w:tcPr>
          <w:p w:rsidR="00B66FBF" w:rsidRPr="002742BE" w:rsidRDefault="00B66FBF" w:rsidP="00F04C47">
            <w:pPr>
              <w:pStyle w:val="NormalWeb"/>
              <w:spacing w:before="60" w:after="60"/>
              <w:ind w:right="46"/>
              <w:rPr>
                <w:rFonts w:ascii="Arial" w:hAnsi="Arial" w:cs="Arial"/>
                <w:b/>
                <w:sz w:val="18"/>
                <w:szCs w:val="18"/>
                <w:lang w:val="en-AU"/>
              </w:rPr>
            </w:pPr>
            <w:r w:rsidRPr="002742BE">
              <w:rPr>
                <w:rFonts w:ascii="Arial" w:hAnsi="Arial" w:cs="Arial"/>
                <w:b/>
                <w:sz w:val="18"/>
                <w:szCs w:val="18"/>
                <w:lang w:val="en-AU"/>
              </w:rPr>
              <w:lastRenderedPageBreak/>
              <w:t>Haemoglobin</w:t>
            </w:r>
            <w:r w:rsidR="0068544D" w:rsidRPr="002742BE">
              <w:rPr>
                <w:rFonts w:ascii="Arial" w:hAnsi="Arial" w:cs="Arial"/>
                <w:b/>
                <w:sz w:val="18"/>
                <w:szCs w:val="18"/>
                <w:lang w:val="en-AU"/>
              </w:rPr>
              <w:t xml:space="preserve"> drop</w:t>
            </w:r>
            <w:r w:rsidRPr="002742BE">
              <w:rPr>
                <w:rFonts w:ascii="Arial" w:hAnsi="Arial" w:cs="Arial"/>
                <w:b/>
                <w:sz w:val="18"/>
                <w:szCs w:val="18"/>
                <w:lang w:val="en-AU"/>
              </w:rPr>
              <w:t xml:space="preserve"> </w:t>
            </w:r>
          </w:p>
        </w:tc>
        <w:tc>
          <w:tcPr>
            <w:tcW w:w="246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305</w:t>
            </w:r>
            <w:r w:rsidRPr="002742BE">
              <w:rPr>
                <w:rFonts w:ascii="Arial" w:hAnsi="Arial" w:cs="Arial"/>
                <w:sz w:val="18"/>
                <w:szCs w:val="18"/>
                <w:lang w:val="en-AU"/>
              </w:rPr>
              <w:br/>
              <w:t>(2.77)</w:t>
            </w:r>
          </w:p>
        </w:tc>
        <w:tc>
          <w:tcPr>
            <w:tcW w:w="222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254</w:t>
            </w:r>
            <w:r w:rsidRPr="002742BE">
              <w:rPr>
                <w:rFonts w:ascii="Arial" w:hAnsi="Arial" w:cs="Arial"/>
                <w:sz w:val="18"/>
                <w:szCs w:val="18"/>
                <w:lang w:val="en-AU"/>
              </w:rPr>
              <w:br/>
              <w:t>(2.26)</w:t>
            </w:r>
          </w:p>
        </w:tc>
        <w:tc>
          <w:tcPr>
            <w:tcW w:w="2374"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1.22 (1.03 - 1.44)</w:t>
            </w:r>
            <w:r w:rsidRPr="002742BE">
              <w:rPr>
                <w:rFonts w:ascii="Arial" w:hAnsi="Arial" w:cs="Arial"/>
                <w:sz w:val="18"/>
                <w:szCs w:val="18"/>
                <w:lang w:val="en-AU"/>
              </w:rPr>
              <w:br/>
              <w:t>0.019*</w:t>
            </w:r>
          </w:p>
        </w:tc>
      </w:tr>
      <w:tr w:rsidR="00B66FBF" w:rsidRPr="002742BE" w:rsidTr="00BF595A">
        <w:trPr>
          <w:cantSplit/>
        </w:trPr>
        <w:tc>
          <w:tcPr>
            <w:tcW w:w="2160" w:type="dxa"/>
            <w:shd w:val="clear" w:color="auto" w:fill="auto"/>
            <w:vAlign w:val="center"/>
          </w:tcPr>
          <w:p w:rsidR="00B66FBF" w:rsidRPr="002742BE" w:rsidRDefault="00B66FBF" w:rsidP="00F04C47">
            <w:pPr>
              <w:pStyle w:val="NormalWeb"/>
              <w:spacing w:before="60" w:after="60"/>
              <w:ind w:right="46"/>
              <w:rPr>
                <w:rFonts w:ascii="Arial" w:hAnsi="Arial" w:cs="Arial"/>
                <w:b/>
                <w:sz w:val="18"/>
                <w:szCs w:val="18"/>
                <w:lang w:val="en-AU"/>
              </w:rPr>
            </w:pPr>
            <w:r w:rsidRPr="002742BE">
              <w:rPr>
                <w:rFonts w:ascii="Arial" w:hAnsi="Arial" w:cs="Arial"/>
                <w:b/>
                <w:sz w:val="18"/>
                <w:szCs w:val="18"/>
                <w:lang w:val="en-AU"/>
              </w:rPr>
              <w:t xml:space="preserve">Transfusion </w:t>
            </w:r>
            <w:r w:rsidRPr="002742BE">
              <w:rPr>
                <w:rFonts w:ascii="Arial" w:eastAsia="SimSun" w:hAnsi="Arial" w:cs="Arial"/>
                <w:b/>
                <w:sz w:val="18"/>
                <w:szCs w:val="18"/>
                <w:lang w:val="en-AU" w:eastAsia="ja-JP"/>
              </w:rPr>
              <w:t>of 2 or more units of packed red blood cells or whole blood.</w:t>
            </w:r>
            <w:r w:rsidRPr="002742BE">
              <w:rPr>
                <w:rFonts w:ascii="Arial" w:hAnsi="Arial" w:cs="Arial"/>
                <w:b/>
                <w:sz w:val="18"/>
                <w:szCs w:val="18"/>
                <w:lang w:val="en-AU"/>
              </w:rPr>
              <w:t xml:space="preserve"> </w:t>
            </w:r>
          </w:p>
        </w:tc>
        <w:tc>
          <w:tcPr>
            <w:tcW w:w="246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183</w:t>
            </w:r>
            <w:r w:rsidRPr="002742BE">
              <w:rPr>
                <w:rFonts w:ascii="Arial" w:hAnsi="Arial" w:cs="Arial"/>
                <w:sz w:val="18"/>
                <w:szCs w:val="18"/>
                <w:lang w:val="en-AU"/>
              </w:rPr>
              <w:br/>
              <w:t>(1.65)</w:t>
            </w:r>
          </w:p>
        </w:tc>
        <w:tc>
          <w:tcPr>
            <w:tcW w:w="222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149</w:t>
            </w:r>
            <w:r w:rsidRPr="002742BE">
              <w:rPr>
                <w:rFonts w:ascii="Arial" w:hAnsi="Arial" w:cs="Arial"/>
                <w:sz w:val="18"/>
                <w:szCs w:val="18"/>
                <w:lang w:val="en-AU"/>
              </w:rPr>
              <w:br/>
              <w:t>(1.32)</w:t>
            </w:r>
          </w:p>
        </w:tc>
        <w:tc>
          <w:tcPr>
            <w:tcW w:w="2374"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1.25 (1.01 - 1.55)</w:t>
            </w:r>
            <w:r w:rsidRPr="002742BE">
              <w:rPr>
                <w:rFonts w:ascii="Arial" w:hAnsi="Arial" w:cs="Arial"/>
                <w:sz w:val="18"/>
                <w:szCs w:val="18"/>
                <w:lang w:val="en-AU"/>
              </w:rPr>
              <w:br/>
              <w:t>0.044*</w:t>
            </w:r>
          </w:p>
        </w:tc>
      </w:tr>
      <w:tr w:rsidR="00B66FBF" w:rsidRPr="002742BE" w:rsidTr="00BF595A">
        <w:trPr>
          <w:cantSplit/>
        </w:trPr>
        <w:tc>
          <w:tcPr>
            <w:tcW w:w="2160" w:type="dxa"/>
            <w:shd w:val="clear" w:color="auto" w:fill="auto"/>
            <w:vAlign w:val="center"/>
          </w:tcPr>
          <w:p w:rsidR="00B66FBF" w:rsidRPr="002742BE" w:rsidRDefault="00B66FBF" w:rsidP="00F04C47">
            <w:pPr>
              <w:pStyle w:val="BayerTableRowHeadings"/>
              <w:spacing w:before="60" w:after="60"/>
              <w:ind w:right="46"/>
              <w:rPr>
                <w:rFonts w:ascii="Arial" w:hAnsi="Arial" w:cs="Arial"/>
                <w:b/>
                <w:sz w:val="18"/>
                <w:szCs w:val="18"/>
                <w:lang w:val="en-AU"/>
              </w:rPr>
            </w:pPr>
            <w:r w:rsidRPr="002742BE">
              <w:rPr>
                <w:rFonts w:ascii="Arial" w:hAnsi="Arial" w:cs="Arial"/>
                <w:b/>
                <w:sz w:val="18"/>
                <w:szCs w:val="18"/>
                <w:lang w:val="en-AU"/>
              </w:rPr>
              <w:t>Non-major Clinically</w:t>
            </w:r>
            <w:r w:rsidRPr="002742BE">
              <w:rPr>
                <w:rFonts w:ascii="Arial" w:hAnsi="Arial" w:cs="Arial"/>
                <w:b/>
                <w:sz w:val="18"/>
                <w:szCs w:val="18"/>
                <w:lang w:val="en-AU"/>
              </w:rPr>
              <w:br/>
              <w:t xml:space="preserve">Relevant bleeding </w:t>
            </w:r>
            <w:r w:rsidRPr="002742BE">
              <w:rPr>
                <w:rFonts w:ascii="Arial" w:hAnsi="Arial" w:cs="Arial"/>
                <w:b/>
                <w:sz w:val="18"/>
                <w:szCs w:val="18"/>
                <w:lang w:val="en-AU"/>
              </w:rPr>
              <w:br/>
              <w:t>events</w:t>
            </w:r>
          </w:p>
        </w:tc>
        <w:tc>
          <w:tcPr>
            <w:tcW w:w="246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1185</w:t>
            </w:r>
            <w:r w:rsidRPr="002742BE">
              <w:rPr>
                <w:rFonts w:ascii="Arial" w:hAnsi="Arial" w:cs="Arial"/>
                <w:sz w:val="18"/>
                <w:szCs w:val="18"/>
                <w:lang w:val="en-AU"/>
              </w:rPr>
              <w:br/>
              <w:t>(11.80)</w:t>
            </w:r>
          </w:p>
        </w:tc>
        <w:tc>
          <w:tcPr>
            <w:tcW w:w="2220"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1151</w:t>
            </w:r>
            <w:r w:rsidRPr="002742BE">
              <w:rPr>
                <w:rFonts w:ascii="Arial" w:hAnsi="Arial" w:cs="Arial"/>
                <w:sz w:val="18"/>
                <w:szCs w:val="18"/>
                <w:lang w:val="en-AU"/>
              </w:rPr>
              <w:br/>
              <w:t>(11.37)</w:t>
            </w:r>
          </w:p>
        </w:tc>
        <w:tc>
          <w:tcPr>
            <w:tcW w:w="2374" w:type="dxa"/>
            <w:shd w:val="clear" w:color="auto" w:fill="auto"/>
            <w:vAlign w:val="center"/>
          </w:tcPr>
          <w:p w:rsidR="00B66FBF" w:rsidRPr="002742BE" w:rsidRDefault="00B66FBF" w:rsidP="00F04C47">
            <w:pPr>
              <w:pStyle w:val="BayerBodyTextFull"/>
              <w:spacing w:before="60" w:after="60"/>
              <w:ind w:right="46"/>
              <w:jc w:val="center"/>
              <w:rPr>
                <w:rFonts w:ascii="Arial" w:hAnsi="Arial" w:cs="Arial"/>
                <w:sz w:val="18"/>
                <w:szCs w:val="18"/>
                <w:lang w:val="en-AU"/>
              </w:rPr>
            </w:pPr>
            <w:r w:rsidRPr="002742BE">
              <w:rPr>
                <w:rFonts w:ascii="Arial" w:hAnsi="Arial" w:cs="Arial"/>
                <w:sz w:val="18"/>
                <w:szCs w:val="18"/>
                <w:lang w:val="en-AU"/>
              </w:rPr>
              <w:t>1.04 (0.96 - 1.13)</w:t>
            </w:r>
            <w:r w:rsidRPr="002742BE">
              <w:rPr>
                <w:rFonts w:ascii="Arial" w:hAnsi="Arial" w:cs="Arial"/>
                <w:sz w:val="18"/>
                <w:szCs w:val="18"/>
                <w:lang w:val="en-AU"/>
              </w:rPr>
              <w:br/>
              <w:t>0.345</w:t>
            </w:r>
          </w:p>
        </w:tc>
      </w:tr>
    </w:tbl>
    <w:p w:rsidR="00B66FBF" w:rsidRPr="002742BE" w:rsidRDefault="00B66FBF" w:rsidP="00F767C3">
      <w:pPr>
        <w:ind w:left="284" w:right="46" w:hanging="284"/>
        <w:rPr>
          <w:rFonts w:ascii="Arial" w:eastAsia="PMingLiU" w:hAnsi="Arial" w:cs="Arial"/>
          <w:bCs/>
          <w:sz w:val="20"/>
          <w:szCs w:val="20"/>
          <w:lang w:val="en-AU" w:eastAsia="zh-TW"/>
        </w:rPr>
      </w:pPr>
      <w:r w:rsidRPr="002742BE">
        <w:rPr>
          <w:rFonts w:ascii="Arial" w:eastAsia="PMingLiU" w:hAnsi="Arial" w:cs="Arial"/>
          <w:b/>
          <w:sz w:val="20"/>
          <w:szCs w:val="20"/>
          <w:lang w:val="en-AU" w:eastAsia="zh-TW"/>
        </w:rPr>
        <w:t>^</w:t>
      </w:r>
      <w:r w:rsidRPr="002742BE">
        <w:rPr>
          <w:rFonts w:ascii="Arial" w:eastAsia="PMingLiU" w:hAnsi="Arial" w:cs="Arial"/>
          <w:bCs/>
          <w:sz w:val="20"/>
          <w:szCs w:val="20"/>
          <w:lang w:val="en-AU" w:eastAsia="zh-TW"/>
        </w:rPr>
        <w:t xml:space="preserve">   Safety population, on treatment = All ITT subjects who take at least 1 dose of study medication after    randomisation during double-blind treatment period </w:t>
      </w:r>
      <w:r w:rsidR="006A54F6" w:rsidRPr="002742BE">
        <w:rPr>
          <w:rFonts w:ascii="Arial" w:eastAsia="PMingLiU" w:hAnsi="Arial" w:cs="Arial"/>
          <w:bCs/>
          <w:sz w:val="20"/>
          <w:szCs w:val="20"/>
          <w:lang w:val="en-AU" w:eastAsia="zh-TW"/>
        </w:rPr>
        <w:t xml:space="preserve">or within 2 days after discontinuation </w:t>
      </w:r>
      <w:r w:rsidRPr="002742BE">
        <w:rPr>
          <w:rFonts w:ascii="Arial" w:eastAsia="PMingLiU" w:hAnsi="Arial" w:cs="Arial"/>
          <w:bCs/>
          <w:sz w:val="20"/>
          <w:szCs w:val="20"/>
          <w:lang w:val="en-AU" w:eastAsia="zh-TW"/>
        </w:rPr>
        <w:t>(site 042012 was excluded for efficacy analysis)</w:t>
      </w:r>
    </w:p>
    <w:p w:rsidR="00B66FBF" w:rsidRPr="002742BE" w:rsidRDefault="00B66FBF" w:rsidP="00F767C3">
      <w:pPr>
        <w:ind w:left="284" w:right="46" w:hanging="284"/>
        <w:rPr>
          <w:rFonts w:ascii="Arial" w:eastAsia="PMingLiU" w:hAnsi="Arial" w:cs="Arial"/>
          <w:b/>
          <w:sz w:val="20"/>
          <w:szCs w:val="20"/>
          <w:lang w:val="en-AU" w:eastAsia="zh-TW"/>
        </w:rPr>
      </w:pPr>
      <w:r w:rsidRPr="002742BE">
        <w:rPr>
          <w:rFonts w:ascii="Arial" w:eastAsia="PMingLiU" w:hAnsi="Arial" w:cs="Arial"/>
          <w:b/>
          <w:sz w:val="20"/>
          <w:szCs w:val="20"/>
          <w:vertAlign w:val="superscript"/>
          <w:lang w:val="en-AU" w:eastAsia="zh-TW"/>
        </w:rPr>
        <w:t>#</w:t>
      </w:r>
      <w:r w:rsidRPr="002742BE">
        <w:rPr>
          <w:rFonts w:ascii="Arial" w:eastAsia="PMingLiU" w:hAnsi="Arial" w:cs="Arial"/>
          <w:b/>
          <w:sz w:val="20"/>
          <w:szCs w:val="20"/>
          <w:lang w:val="en-AU" w:eastAsia="zh-TW"/>
        </w:rPr>
        <w:t xml:space="preserve">   </w:t>
      </w:r>
      <w:r w:rsidRPr="002742BE">
        <w:rPr>
          <w:rFonts w:ascii="Arial" w:eastAsia="PMingLiU" w:hAnsi="Arial" w:cs="Arial"/>
          <w:bCs/>
          <w:sz w:val="20"/>
          <w:szCs w:val="20"/>
          <w:lang w:val="en-AU" w:eastAsia="zh-TW"/>
        </w:rPr>
        <w:t>Number of events per 100 patient years of follow up</w:t>
      </w:r>
    </w:p>
    <w:p w:rsidR="00B66FBF" w:rsidRPr="002742BE" w:rsidRDefault="00B66FBF" w:rsidP="00F767C3">
      <w:pPr>
        <w:ind w:left="284" w:right="46" w:hanging="284"/>
        <w:rPr>
          <w:rFonts w:ascii="Arial" w:hAnsi="Arial" w:cs="Arial"/>
          <w:bCs/>
          <w:sz w:val="20"/>
          <w:szCs w:val="20"/>
          <w:lang w:val="en-AU"/>
        </w:rPr>
      </w:pPr>
      <w:r w:rsidRPr="002742BE">
        <w:rPr>
          <w:rFonts w:ascii="Arial" w:hAnsi="Arial" w:cs="Arial"/>
          <w:bCs/>
          <w:sz w:val="20"/>
          <w:szCs w:val="20"/>
          <w:lang w:val="en-AU"/>
        </w:rPr>
        <w:t xml:space="preserve">* </w:t>
      </w:r>
      <w:r w:rsidRPr="002742BE">
        <w:rPr>
          <w:rFonts w:ascii="Arial" w:hAnsi="Arial" w:cs="Arial"/>
          <w:bCs/>
          <w:sz w:val="20"/>
          <w:szCs w:val="20"/>
          <w:lang w:val="en-AU"/>
        </w:rPr>
        <w:tab/>
        <w:t xml:space="preserve">Statistically significant at nominal alpha = 0.05 (two sided) </w:t>
      </w:r>
    </w:p>
    <w:p w:rsidR="0050329B" w:rsidRPr="00833794" w:rsidRDefault="0050329B" w:rsidP="0050329B">
      <w:pPr>
        <w:pStyle w:val="Heading2"/>
        <w:rPr>
          <w:rFonts w:ascii="Arial" w:hAnsi="Arial" w:cs="Arial"/>
          <w:sz w:val="22"/>
          <w:szCs w:val="22"/>
        </w:rPr>
      </w:pPr>
      <w:r w:rsidRPr="00833794">
        <w:rPr>
          <w:rFonts w:ascii="Arial" w:hAnsi="Arial" w:cs="Arial"/>
          <w:sz w:val="22"/>
          <w:szCs w:val="22"/>
        </w:rPr>
        <w:t xml:space="preserve">Treatment of Deep Vein Thrombosis (DVT), Pulmonary Embolism (PE) and prevention of recurrent DVT and Pulmonary Embolism </w:t>
      </w:r>
    </w:p>
    <w:p w:rsidR="0050329B" w:rsidRPr="00833794" w:rsidRDefault="0050329B" w:rsidP="0050329B">
      <w:pPr>
        <w:pStyle w:val="Default"/>
        <w:spacing w:after="240"/>
        <w:ind w:right="46"/>
        <w:jc w:val="both"/>
        <w:rPr>
          <w:rFonts w:ascii="Arial" w:hAnsi="Arial" w:cs="Arial"/>
          <w:sz w:val="22"/>
          <w:szCs w:val="22"/>
          <w:lang w:val="en-AU"/>
        </w:rPr>
      </w:pPr>
      <w:r w:rsidRPr="00833794">
        <w:rPr>
          <w:rFonts w:ascii="Arial" w:hAnsi="Arial" w:cs="Arial"/>
          <w:sz w:val="22"/>
          <w:szCs w:val="22"/>
          <w:lang w:val="en-AU"/>
        </w:rPr>
        <w:t>The EINSTEIN clinical program was designed to demonstrate the efficacy of rivaroxaban in the initial and continued treatment of acute DVT and PE and prevention of recurrent DVT and PE. Over 9400 patients were studied in three randomised controlled Phase </w:t>
      </w:r>
      <w:smartTag w:uri="urn:schemas-microsoft-com:office:smarttags" w:element="PlaceType">
        <w:r w:rsidRPr="00833794">
          <w:rPr>
            <w:rFonts w:ascii="Arial" w:hAnsi="Arial" w:cs="Arial"/>
            <w:sz w:val="22"/>
            <w:szCs w:val="22"/>
            <w:lang w:val="en-AU"/>
          </w:rPr>
          <w:t>III</w:t>
        </w:r>
      </w:smartTag>
      <w:r w:rsidRPr="00833794">
        <w:rPr>
          <w:rFonts w:ascii="Arial" w:hAnsi="Arial" w:cs="Arial"/>
          <w:sz w:val="22"/>
          <w:szCs w:val="22"/>
          <w:lang w:val="en-AU"/>
        </w:rPr>
        <w:t xml:space="preserve"> clinical studies (EINSTEIN DVT, EINSTEIN PE and EINSTEIN Extension) and additionally a predefined analysis of the pooled EINSTEIN DVT and EINSTEIN PE studies was conducted (</w:t>
      </w:r>
      <w:r w:rsidRPr="00E8796E">
        <w:rPr>
          <w:rFonts w:ascii="Arial" w:hAnsi="Arial" w:cs="Arial"/>
          <w:sz w:val="22"/>
          <w:szCs w:val="22"/>
          <w:lang w:val="en-AU"/>
        </w:rPr>
        <w:t xml:space="preserve">see </w:t>
      </w:r>
      <w:fldSimple w:instr=" REF _Ref325642767  \* MERGEFORMAT ">
        <w:r w:rsidR="00A24B67" w:rsidRPr="00B15449">
          <w:rPr>
            <w:rFonts w:ascii="Arial" w:hAnsi="Arial" w:cs="Arial"/>
            <w:sz w:val="22"/>
            <w:szCs w:val="22"/>
            <w:lang w:val="en-AU"/>
          </w:rPr>
          <w:t xml:space="preserve">Table </w:t>
        </w:r>
        <w:r w:rsidR="00A24B67" w:rsidRPr="00B15449">
          <w:rPr>
            <w:rFonts w:ascii="Arial" w:hAnsi="Arial" w:cs="Arial"/>
            <w:noProof/>
            <w:sz w:val="22"/>
            <w:szCs w:val="22"/>
            <w:lang w:val="en-AU"/>
          </w:rPr>
          <w:t>10</w:t>
        </w:r>
      </w:fldSimple>
      <w:r w:rsidRPr="00833794">
        <w:rPr>
          <w:rFonts w:ascii="Arial" w:hAnsi="Arial" w:cs="Arial"/>
          <w:sz w:val="22"/>
          <w:szCs w:val="22"/>
          <w:lang w:val="en-AU"/>
        </w:rPr>
        <w:t>). The overall combined treatment duration in all studies was up to 21 months.</w:t>
      </w:r>
    </w:p>
    <w:p w:rsidR="0050329B" w:rsidRPr="00833794" w:rsidRDefault="0050329B" w:rsidP="0050329B">
      <w:pPr>
        <w:pStyle w:val="Default"/>
        <w:spacing w:after="240"/>
        <w:ind w:right="46"/>
        <w:jc w:val="both"/>
        <w:rPr>
          <w:rFonts w:ascii="Arial" w:hAnsi="Arial" w:cs="Arial"/>
          <w:sz w:val="22"/>
          <w:szCs w:val="22"/>
          <w:lang w:val="en-AU"/>
        </w:rPr>
      </w:pPr>
      <w:r w:rsidRPr="00833794">
        <w:rPr>
          <w:rFonts w:ascii="Arial" w:hAnsi="Arial" w:cs="Arial"/>
          <w:sz w:val="22"/>
          <w:szCs w:val="22"/>
          <w:lang w:val="en-AU"/>
        </w:rPr>
        <w:t xml:space="preserve">All Phase </w:t>
      </w:r>
      <w:smartTag w:uri="urn:schemas-microsoft-com:office:smarttags" w:element="PlaceType">
        <w:r w:rsidRPr="00833794">
          <w:rPr>
            <w:rFonts w:ascii="Arial" w:hAnsi="Arial" w:cs="Arial"/>
            <w:sz w:val="22"/>
            <w:szCs w:val="22"/>
            <w:lang w:val="en-AU"/>
          </w:rPr>
          <w:t>III</w:t>
        </w:r>
      </w:smartTag>
      <w:r w:rsidRPr="00833794">
        <w:rPr>
          <w:rFonts w:ascii="Arial" w:hAnsi="Arial" w:cs="Arial"/>
          <w:sz w:val="22"/>
          <w:szCs w:val="22"/>
          <w:lang w:val="en-AU"/>
        </w:rPr>
        <w:t xml:space="preserve"> studies used the same pre-defined primary and secondary efficacy outcomes. The primary efficacy outcome was symptomatic recurrent VTE defined as the composite of recurrent DVT or fatal or non-fatal PE. The secondary efficacy outcome was defined as the composite of recurrent DVT, non-fatal PE and all</w:t>
      </w:r>
      <w:r w:rsidR="007514E5">
        <w:rPr>
          <w:rFonts w:ascii="Arial" w:hAnsi="Arial" w:cs="Arial"/>
          <w:sz w:val="22"/>
          <w:szCs w:val="22"/>
          <w:lang w:val="en-AU"/>
        </w:rPr>
        <w:t>-</w:t>
      </w:r>
      <w:r w:rsidRPr="00833794">
        <w:rPr>
          <w:rFonts w:ascii="Arial" w:hAnsi="Arial" w:cs="Arial"/>
          <w:sz w:val="22"/>
          <w:szCs w:val="22"/>
          <w:lang w:val="en-AU"/>
        </w:rPr>
        <w:t xml:space="preserve">cause mortality. </w:t>
      </w:r>
    </w:p>
    <w:p w:rsidR="0050329B" w:rsidRPr="00833794" w:rsidRDefault="0050329B" w:rsidP="0050329B">
      <w:pPr>
        <w:pStyle w:val="Default"/>
        <w:spacing w:after="240"/>
        <w:ind w:right="46"/>
        <w:jc w:val="both"/>
        <w:rPr>
          <w:rFonts w:ascii="Arial" w:hAnsi="Arial" w:cs="Arial"/>
          <w:sz w:val="22"/>
          <w:szCs w:val="22"/>
          <w:u w:val="single"/>
          <w:lang w:val="de-DE"/>
        </w:rPr>
      </w:pPr>
      <w:r w:rsidRPr="00833794">
        <w:rPr>
          <w:rFonts w:ascii="Arial" w:hAnsi="Arial" w:cs="Arial"/>
          <w:sz w:val="22"/>
          <w:szCs w:val="22"/>
          <w:u w:val="single"/>
          <w:lang w:val="de-DE"/>
        </w:rPr>
        <w:t xml:space="preserve">EINSTEIN DVT </w:t>
      </w:r>
      <w:r w:rsidRPr="00CC04EE">
        <w:rPr>
          <w:rFonts w:ascii="Arial" w:hAnsi="Arial" w:cs="Arial"/>
          <w:sz w:val="22"/>
          <w:szCs w:val="22"/>
          <w:u w:val="single"/>
          <w:lang w:val="de-DE"/>
        </w:rPr>
        <w:t>and</w:t>
      </w:r>
      <w:r w:rsidRPr="00833794">
        <w:rPr>
          <w:rFonts w:ascii="Arial" w:hAnsi="Arial" w:cs="Arial"/>
          <w:sz w:val="22"/>
          <w:szCs w:val="22"/>
          <w:u w:val="single"/>
          <w:lang w:val="de-DE"/>
        </w:rPr>
        <w:t xml:space="preserve"> EINSTEIN PE </w:t>
      </w:r>
      <w:r w:rsidRPr="00CC04EE">
        <w:rPr>
          <w:rFonts w:ascii="Arial" w:hAnsi="Arial" w:cs="Arial"/>
          <w:sz w:val="22"/>
          <w:szCs w:val="22"/>
          <w:u w:val="single"/>
          <w:lang w:val="de-DE"/>
        </w:rPr>
        <w:t>studies</w:t>
      </w:r>
    </w:p>
    <w:p w:rsidR="0050329B" w:rsidRPr="00833794" w:rsidRDefault="0050329B" w:rsidP="0050329B">
      <w:pPr>
        <w:pStyle w:val="Default"/>
        <w:spacing w:after="240"/>
        <w:ind w:right="46"/>
        <w:jc w:val="both"/>
        <w:rPr>
          <w:rFonts w:ascii="Arial" w:hAnsi="Arial" w:cs="Arial"/>
          <w:sz w:val="22"/>
          <w:szCs w:val="22"/>
          <w:lang w:val="en-AU"/>
        </w:rPr>
      </w:pPr>
      <w:r w:rsidRPr="00833794">
        <w:rPr>
          <w:rFonts w:ascii="Arial" w:hAnsi="Arial" w:cs="Arial"/>
          <w:sz w:val="22"/>
          <w:szCs w:val="22"/>
          <w:lang w:val="en-AU"/>
        </w:rPr>
        <w:t xml:space="preserve">In the EINSTEIN DVT and EINSTEIN PE, open label, randomised, event driven non-inferiority studies, 3449 patients with acute DVT were studied for the treatment of DVT and the prevention of recurrent DVT and PE; 4832 patients with acute PE were studied for the treatment of PE and the prevention of recurrent DVT and PE. </w:t>
      </w:r>
      <w:r w:rsidRPr="00833794">
        <w:rPr>
          <w:rFonts w:ascii="Arial" w:hAnsi="Arial" w:cs="Arial"/>
          <w:color w:val="auto"/>
          <w:sz w:val="22"/>
          <w:szCs w:val="22"/>
          <w:lang w:val="en-AU"/>
        </w:rPr>
        <w:t>Concomitant conditions listed under CONTRAINDICATIONS as well as subjects who had significant liver disease or ALT &gt; 3 x ULN, bacterial endocarditis, VKA treatment indicated other than DVT and/or PE were excluded from these studies.</w:t>
      </w:r>
    </w:p>
    <w:p w:rsidR="0050329B" w:rsidRPr="00833794" w:rsidRDefault="0016633B" w:rsidP="0050329B">
      <w:pPr>
        <w:pStyle w:val="Default"/>
        <w:spacing w:before="120" w:after="240"/>
        <w:ind w:right="45"/>
        <w:jc w:val="both"/>
        <w:rPr>
          <w:rFonts w:ascii="Arial" w:hAnsi="Arial" w:cs="Arial"/>
          <w:sz w:val="22"/>
          <w:szCs w:val="22"/>
          <w:lang w:val="en-AU"/>
        </w:rPr>
      </w:pPr>
      <w:r>
        <w:rPr>
          <w:rFonts w:ascii="Arial" w:hAnsi="Arial" w:cs="Arial"/>
          <w:sz w:val="22"/>
          <w:szCs w:val="22"/>
          <w:lang w:val="en-AU"/>
        </w:rPr>
        <w:t>B</w:t>
      </w:r>
      <w:r w:rsidRPr="00833794">
        <w:rPr>
          <w:rFonts w:ascii="Arial" w:hAnsi="Arial" w:cs="Arial"/>
          <w:sz w:val="22"/>
          <w:szCs w:val="22"/>
          <w:lang w:val="en-AU"/>
        </w:rPr>
        <w:t>ased on the clinical judgement of the investigator</w:t>
      </w:r>
      <w:r>
        <w:rPr>
          <w:rFonts w:ascii="Arial" w:hAnsi="Arial" w:cs="Arial"/>
          <w:sz w:val="22"/>
          <w:szCs w:val="22"/>
          <w:lang w:val="en-AU"/>
        </w:rPr>
        <w:t>,</w:t>
      </w:r>
      <w:r w:rsidRPr="00833794">
        <w:rPr>
          <w:rFonts w:ascii="Arial" w:hAnsi="Arial" w:cs="Arial"/>
          <w:sz w:val="22"/>
          <w:szCs w:val="22"/>
          <w:lang w:val="en-AU"/>
        </w:rPr>
        <w:t xml:space="preserve"> </w:t>
      </w:r>
      <w:r>
        <w:rPr>
          <w:rFonts w:ascii="Arial" w:hAnsi="Arial" w:cs="Arial"/>
          <w:sz w:val="22"/>
          <w:szCs w:val="22"/>
          <w:lang w:val="en-AU"/>
        </w:rPr>
        <w:t>t</w:t>
      </w:r>
      <w:r w:rsidR="0050329B" w:rsidRPr="00833794">
        <w:rPr>
          <w:rFonts w:ascii="Arial" w:hAnsi="Arial" w:cs="Arial"/>
          <w:sz w:val="22"/>
          <w:szCs w:val="22"/>
          <w:lang w:val="en-AU"/>
        </w:rPr>
        <w:t>he treatment duration was up to 12 months in both studies, assigned prior to randomisation, For the initial 3 week treatment of acute DVT and acute PE, 15 mg of Xarelto was administered twice daily. This was followed by 20 mg of Xarelto once daily. Patients with moderate renal impairment (creatinine clearance 30 </w:t>
      </w:r>
      <w:r w:rsidR="0050329B" w:rsidRPr="00833794">
        <w:rPr>
          <w:rFonts w:ascii="Arial" w:hAnsi="Arial" w:cs="Arial"/>
          <w:sz w:val="22"/>
          <w:szCs w:val="22"/>
          <w:lang w:val="en-AU"/>
        </w:rPr>
        <w:noBreakHyphen/>
        <w:t xml:space="preserve"> 49 mL/min) were treated with the same dose as patients with creatinine clearance above 50 mL/min (i.e. 15 mg twice daily for the first three weeks and 20 mg once daily from day 22 onwards). The comparator treatment regimen consisted of enoxaparin administered for at </w:t>
      </w:r>
      <w:r w:rsidR="0050329B" w:rsidRPr="00833794">
        <w:rPr>
          <w:rFonts w:ascii="Arial" w:hAnsi="Arial" w:cs="Arial"/>
          <w:sz w:val="22"/>
          <w:szCs w:val="22"/>
          <w:lang w:val="en-AU"/>
        </w:rPr>
        <w:lastRenderedPageBreak/>
        <w:t>least 5 days in combination with vitamin K antagonist treatment until the prothrombin time/international normalised ratio (PT/INR) was in therapeutic range (</w:t>
      </w:r>
      <w:r w:rsidR="0050329B" w:rsidRPr="00833794">
        <w:rPr>
          <w:rFonts w:ascii="Arial" w:hAnsi="Arial" w:cs="Arial"/>
          <w:sz w:val="22"/>
          <w:szCs w:val="22"/>
          <w:lang w:val="en-AU"/>
        </w:rPr>
        <w:sym w:font="Symbol" w:char="00B3"/>
      </w:r>
      <w:r w:rsidR="0050329B" w:rsidRPr="00833794">
        <w:rPr>
          <w:rFonts w:ascii="Arial" w:hAnsi="Arial" w:cs="Arial"/>
          <w:sz w:val="22"/>
          <w:szCs w:val="22"/>
          <w:lang w:val="en-AU"/>
        </w:rPr>
        <w:t xml:space="preserve"> 2.0). Treatment was continued with a vitamin K antagonist dose-adjusted to maintain the PT/INR values within the therapeutic range of 2.0 to 3.0. </w:t>
      </w:r>
    </w:p>
    <w:p w:rsidR="0050329B" w:rsidRPr="00833794" w:rsidRDefault="0050329B" w:rsidP="0050329B">
      <w:pPr>
        <w:pStyle w:val="Default"/>
        <w:spacing w:after="240"/>
        <w:ind w:right="46"/>
        <w:jc w:val="both"/>
        <w:rPr>
          <w:rFonts w:ascii="Arial" w:hAnsi="Arial" w:cs="Arial"/>
          <w:sz w:val="22"/>
          <w:szCs w:val="22"/>
          <w:lang w:val="en-AU"/>
        </w:rPr>
      </w:pPr>
      <w:r w:rsidRPr="00833794">
        <w:rPr>
          <w:rFonts w:ascii="Arial" w:hAnsi="Arial" w:cs="Arial"/>
          <w:sz w:val="22"/>
          <w:szCs w:val="22"/>
          <w:lang w:val="en-AU"/>
        </w:rPr>
        <w:t>After randomi</w:t>
      </w:r>
      <w:r w:rsidR="006C6D87">
        <w:rPr>
          <w:rFonts w:ascii="Arial" w:hAnsi="Arial" w:cs="Arial"/>
          <w:sz w:val="22"/>
          <w:szCs w:val="22"/>
          <w:lang w:val="en-AU"/>
        </w:rPr>
        <w:t>s</w:t>
      </w:r>
      <w:r w:rsidRPr="00833794">
        <w:rPr>
          <w:rFonts w:ascii="Arial" w:hAnsi="Arial" w:cs="Arial"/>
          <w:sz w:val="22"/>
          <w:szCs w:val="22"/>
          <w:lang w:val="en-AU"/>
        </w:rPr>
        <w:t>ation, subjects allocated to the comparator arm received enoxaparin twice daily for at least 5 days in combination with VKA (overlap 4 to 5 days) and continued with VKA only after the INR had been ≥ 2 for two consecutive measurements at least 24 hours apart. Warfarin and acenocoumarol were allowed as VKAs.  Warfarin and acenocoumarol were to be started not la</w:t>
      </w:r>
      <w:r w:rsidR="006C6D87">
        <w:rPr>
          <w:rFonts w:ascii="Arial" w:hAnsi="Arial" w:cs="Arial"/>
          <w:sz w:val="22"/>
          <w:szCs w:val="22"/>
          <w:lang w:val="en-AU"/>
        </w:rPr>
        <w:t>ter than 48 hours after randomis</w:t>
      </w:r>
      <w:r w:rsidRPr="00833794">
        <w:rPr>
          <w:rFonts w:ascii="Arial" w:hAnsi="Arial" w:cs="Arial"/>
          <w:sz w:val="22"/>
          <w:szCs w:val="22"/>
          <w:lang w:val="en-AU"/>
        </w:rPr>
        <w:t>ation.   VKA dosages were individually titrated and adjusted to achieve a  target INR of 2.5 and maintain the INR within the therapeutic range (range 2.0-3.0) for either 3, 6 or 12 months. The INR had to be measured initially every 2 to 3 days, and at least once monthly once stable.  Each centr</w:t>
      </w:r>
      <w:r w:rsidR="001B6C3F">
        <w:rPr>
          <w:rFonts w:ascii="Arial" w:hAnsi="Arial" w:cs="Arial"/>
          <w:sz w:val="22"/>
          <w:szCs w:val="22"/>
          <w:lang w:val="en-AU"/>
        </w:rPr>
        <w:t>e</w:t>
      </w:r>
      <w:r w:rsidRPr="00833794">
        <w:rPr>
          <w:rFonts w:ascii="Arial" w:hAnsi="Arial" w:cs="Arial"/>
          <w:sz w:val="22"/>
          <w:szCs w:val="22"/>
          <w:lang w:val="en-AU"/>
        </w:rPr>
        <w:t xml:space="preserve"> had to specify before study start which VKA compound (warfarin or acenocoumarol) would be used during the study.</w:t>
      </w:r>
    </w:p>
    <w:p w:rsidR="0050329B" w:rsidRPr="00833794" w:rsidRDefault="0050329B" w:rsidP="0050329B">
      <w:pPr>
        <w:pStyle w:val="Default"/>
        <w:spacing w:after="240"/>
        <w:ind w:right="46"/>
        <w:jc w:val="both"/>
        <w:rPr>
          <w:rFonts w:ascii="TimesNewRoman" w:hAnsi="TimesNewRoman" w:cs="TimesNewRoman"/>
          <w:lang w:val="en-AU" w:eastAsia="zh-CN"/>
        </w:rPr>
      </w:pPr>
      <w:r w:rsidRPr="00833794">
        <w:rPr>
          <w:rFonts w:ascii="Arial" w:hAnsi="Arial" w:cs="Arial"/>
          <w:sz w:val="22"/>
          <w:szCs w:val="22"/>
          <w:lang w:val="en-AU"/>
        </w:rPr>
        <w:t xml:space="preserve">In the ITT analysis of EINSTEIN DVT, subjects were comparable between treatment groups. About 57% of subjects were male. The race of about 77% of subjects was described as white, about 13% as Asian, and about 2% as black. Age ranged from 18-95 years in the rivaroxaban and from 18-97 years in the enoxaparin/VKA group, with a mean of approximately 56 years in both groups. </w:t>
      </w:r>
      <w:r w:rsidRPr="00833794">
        <w:rPr>
          <w:rFonts w:ascii="TimesNewRoman" w:hAnsi="TimesNewRoman" w:cs="TimesNewRoman"/>
          <w:lang w:val="en-AU" w:eastAsia="zh-CN"/>
        </w:rPr>
        <w:t xml:space="preserve"> </w:t>
      </w:r>
      <w:r w:rsidRPr="00833794">
        <w:rPr>
          <w:rFonts w:ascii="Arial" w:hAnsi="Arial" w:cs="Arial"/>
          <w:sz w:val="22"/>
          <w:szCs w:val="22"/>
          <w:lang w:val="en-AU"/>
        </w:rPr>
        <w:t>Mean body weight was about 82 kg, with ranges from 33 to 193 kg.</w:t>
      </w:r>
      <w:r w:rsidRPr="00833794">
        <w:rPr>
          <w:rFonts w:ascii="TimesNewRoman" w:hAnsi="TimesNewRoman" w:cs="TimesNewRoman"/>
          <w:lang w:val="en-AU" w:eastAsia="zh-CN"/>
        </w:rPr>
        <w:t xml:space="preserve"> </w:t>
      </w:r>
    </w:p>
    <w:p w:rsidR="0050329B" w:rsidRPr="00833794" w:rsidRDefault="0050329B" w:rsidP="0050329B">
      <w:pPr>
        <w:pStyle w:val="Default"/>
        <w:spacing w:after="240"/>
        <w:ind w:right="46"/>
        <w:jc w:val="both"/>
        <w:rPr>
          <w:rFonts w:ascii="Arial" w:hAnsi="Arial" w:cs="Arial"/>
          <w:sz w:val="21"/>
          <w:szCs w:val="22"/>
          <w:lang w:val="en-AU"/>
        </w:rPr>
      </w:pPr>
      <w:r w:rsidRPr="00833794">
        <w:rPr>
          <w:rFonts w:ascii="Arial" w:hAnsi="Arial" w:cs="Arial"/>
          <w:sz w:val="22"/>
          <w:lang w:val="en-AU" w:eastAsia="zh-CN"/>
        </w:rPr>
        <w:t>In the ITT analysis of EINSTEIN PE, subjects were comparable between treatment groups. 54.1% and 51.7% were men in the rivaroxaban and enoxaparin / VKA groups respectively. The race of about 66% of subjects was described as white. Age ranged from 18 to 97 years, with a mean of approximately 58 years in both treatment groups. Mean body weight was about 83 kg, ranging from 35 to 220 kg.</w:t>
      </w:r>
    </w:p>
    <w:p w:rsidR="0050329B" w:rsidRPr="00833794" w:rsidRDefault="0050329B" w:rsidP="0050329B">
      <w:pPr>
        <w:pStyle w:val="Caption"/>
        <w:rPr>
          <w:rFonts w:ascii="Arial" w:hAnsi="Arial" w:cs="Arial"/>
          <w:lang w:val="en-AU"/>
        </w:rPr>
      </w:pPr>
      <w:r w:rsidRPr="00833794">
        <w:rPr>
          <w:rFonts w:ascii="Arial" w:hAnsi="Arial" w:cs="Arial"/>
          <w:lang w:val="en-AU"/>
        </w:rPr>
        <w:t xml:space="preserve">Table </w:t>
      </w:r>
      <w:r w:rsidR="00794C79" w:rsidRPr="00833794">
        <w:rPr>
          <w:rFonts w:ascii="Arial" w:hAnsi="Arial" w:cs="Arial"/>
          <w:lang w:val="en-AU"/>
        </w:rPr>
        <w:fldChar w:fldCharType="begin"/>
      </w:r>
      <w:r w:rsidRPr="00833794">
        <w:rPr>
          <w:rFonts w:ascii="Arial" w:hAnsi="Arial" w:cs="Arial"/>
          <w:lang w:val="en-AU"/>
        </w:rPr>
        <w:instrText xml:space="preserve"> SEQ Table \* ARABIC </w:instrText>
      </w:r>
      <w:r w:rsidR="00794C79" w:rsidRPr="00833794">
        <w:rPr>
          <w:rFonts w:ascii="Arial" w:hAnsi="Arial" w:cs="Arial"/>
          <w:lang w:val="en-AU"/>
        </w:rPr>
        <w:fldChar w:fldCharType="separate"/>
      </w:r>
      <w:r w:rsidR="00A24B67">
        <w:rPr>
          <w:rFonts w:ascii="Arial" w:hAnsi="Arial" w:cs="Arial"/>
          <w:noProof/>
          <w:lang w:val="en-AU"/>
        </w:rPr>
        <w:t>7</w:t>
      </w:r>
      <w:r w:rsidR="00794C79" w:rsidRPr="00833794">
        <w:rPr>
          <w:rFonts w:ascii="Arial" w:hAnsi="Arial" w:cs="Arial"/>
          <w:lang w:val="en-AU"/>
        </w:rPr>
        <w:fldChar w:fldCharType="end"/>
      </w:r>
      <w:r w:rsidRPr="00833794">
        <w:rPr>
          <w:rFonts w:ascii="Arial" w:hAnsi="Arial" w:cs="Arial"/>
          <w:lang w:val="en-AU"/>
        </w:rPr>
        <w:t>: Baseline patient numbers for creatinine clearance groups in EINSTEIN DVT and EINSTEIN PE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701"/>
        <w:gridCol w:w="1843"/>
        <w:gridCol w:w="1701"/>
        <w:gridCol w:w="1701"/>
      </w:tblGrid>
      <w:tr w:rsidR="0050329B" w:rsidRPr="00833794" w:rsidTr="0050329B">
        <w:tc>
          <w:tcPr>
            <w:tcW w:w="2268" w:type="dxa"/>
            <w:tcBorders>
              <w:top w:val="nil"/>
              <w:left w:val="nil"/>
              <w:bottom w:val="single" w:sz="4" w:space="0" w:color="auto"/>
              <w:right w:val="single" w:sz="4" w:space="0" w:color="auto"/>
            </w:tcBorders>
            <w:shd w:val="clear" w:color="auto" w:fill="auto"/>
            <w:vAlign w:val="center"/>
          </w:tcPr>
          <w:p w:rsidR="0050329B" w:rsidRPr="00833794" w:rsidRDefault="0050329B" w:rsidP="0050329B">
            <w:pPr>
              <w:pStyle w:val="Default"/>
              <w:spacing w:line="276" w:lineRule="auto"/>
              <w:ind w:right="45"/>
              <w:jc w:val="center"/>
              <w:rPr>
                <w:rFonts w:ascii="Arial" w:hAnsi="Arial" w:cs="Arial"/>
                <w:sz w:val="20"/>
                <w:szCs w:val="20"/>
                <w:lang w:val="en-AU"/>
              </w:rPr>
            </w:pPr>
          </w:p>
        </w:tc>
        <w:tc>
          <w:tcPr>
            <w:tcW w:w="3544" w:type="dxa"/>
            <w:gridSpan w:val="2"/>
            <w:tcBorders>
              <w:left w:val="single" w:sz="4" w:space="0" w:color="auto"/>
            </w:tcBorders>
            <w:shd w:val="clear" w:color="auto" w:fill="auto"/>
            <w:vAlign w:val="center"/>
          </w:tcPr>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EINSTEIN DVT</w:t>
            </w:r>
          </w:p>
        </w:tc>
        <w:tc>
          <w:tcPr>
            <w:tcW w:w="3402" w:type="dxa"/>
            <w:gridSpan w:val="2"/>
            <w:vAlign w:val="center"/>
          </w:tcPr>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EINSTEIN PE</w:t>
            </w:r>
          </w:p>
        </w:tc>
      </w:tr>
      <w:tr w:rsidR="0050329B" w:rsidRPr="00833794" w:rsidTr="0050329B">
        <w:tc>
          <w:tcPr>
            <w:tcW w:w="2268" w:type="dxa"/>
            <w:tcBorders>
              <w:top w:val="single" w:sz="4" w:space="0" w:color="auto"/>
            </w:tcBorders>
            <w:shd w:val="clear" w:color="auto" w:fill="auto"/>
            <w:vAlign w:val="center"/>
          </w:tcPr>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Creatinine clearance (mL/min)</w:t>
            </w:r>
          </w:p>
        </w:tc>
        <w:tc>
          <w:tcPr>
            <w:tcW w:w="1701" w:type="dxa"/>
            <w:shd w:val="clear" w:color="auto" w:fill="auto"/>
            <w:vAlign w:val="center"/>
          </w:tcPr>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Rivaroxaban</w:t>
            </w:r>
          </w:p>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n = 1525</w:t>
            </w:r>
          </w:p>
        </w:tc>
        <w:tc>
          <w:tcPr>
            <w:tcW w:w="1843" w:type="dxa"/>
            <w:shd w:val="clear" w:color="auto" w:fill="auto"/>
            <w:vAlign w:val="center"/>
          </w:tcPr>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Enox/VKA</w:t>
            </w:r>
          </w:p>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n = 1571</w:t>
            </w:r>
          </w:p>
        </w:tc>
        <w:tc>
          <w:tcPr>
            <w:tcW w:w="1701" w:type="dxa"/>
            <w:vAlign w:val="center"/>
          </w:tcPr>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Rivaroxaban</w:t>
            </w:r>
          </w:p>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n = 2419</w:t>
            </w:r>
          </w:p>
        </w:tc>
        <w:tc>
          <w:tcPr>
            <w:tcW w:w="1701" w:type="dxa"/>
            <w:vAlign w:val="center"/>
          </w:tcPr>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Enox/VKA</w:t>
            </w:r>
          </w:p>
          <w:p w:rsidR="0050329B" w:rsidRPr="00833794" w:rsidRDefault="0050329B" w:rsidP="0050329B">
            <w:pPr>
              <w:pStyle w:val="Default"/>
              <w:spacing w:line="276" w:lineRule="auto"/>
              <w:ind w:right="45"/>
              <w:jc w:val="center"/>
              <w:rPr>
                <w:rFonts w:ascii="Arial" w:hAnsi="Arial" w:cs="Arial"/>
                <w:sz w:val="20"/>
                <w:szCs w:val="20"/>
                <w:lang w:val="en-AU"/>
              </w:rPr>
            </w:pPr>
            <w:r w:rsidRPr="00833794">
              <w:rPr>
                <w:rFonts w:ascii="Arial" w:hAnsi="Arial" w:cs="Arial"/>
                <w:sz w:val="20"/>
                <w:szCs w:val="20"/>
                <w:lang w:val="en-AU"/>
              </w:rPr>
              <w:t>n = 2413</w:t>
            </w:r>
          </w:p>
        </w:tc>
      </w:tr>
      <w:tr w:rsidR="0050329B" w:rsidRPr="00833794" w:rsidTr="0050329B">
        <w:tc>
          <w:tcPr>
            <w:tcW w:w="2268" w:type="dxa"/>
            <w:shd w:val="clear" w:color="auto" w:fill="auto"/>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rPr>
            </w:pPr>
            <w:r w:rsidRPr="00833794">
              <w:rPr>
                <w:rFonts w:ascii="Arial" w:hAnsi="Arial" w:cs="Arial"/>
                <w:sz w:val="20"/>
                <w:szCs w:val="20"/>
                <w:lang w:val="en-AU"/>
              </w:rPr>
              <w:t>&lt; 30 mL/min (severe)</w:t>
            </w:r>
          </w:p>
        </w:tc>
        <w:tc>
          <w:tcPr>
            <w:tcW w:w="1701" w:type="dxa"/>
            <w:shd w:val="clear" w:color="auto" w:fill="auto"/>
            <w:vAlign w:val="center"/>
          </w:tcPr>
          <w:p w:rsidR="0050329B" w:rsidRPr="00833794" w:rsidRDefault="0050329B" w:rsidP="00BF7560">
            <w:pPr>
              <w:pStyle w:val="Default"/>
              <w:spacing w:before="60" w:line="360" w:lineRule="auto"/>
              <w:ind w:right="45"/>
              <w:jc w:val="center"/>
              <w:rPr>
                <w:rFonts w:ascii="Arial" w:hAnsi="Arial" w:cs="Arial"/>
                <w:sz w:val="20"/>
                <w:szCs w:val="20"/>
                <w:lang w:val="en-AU"/>
              </w:rPr>
            </w:pPr>
            <w:r w:rsidRPr="00833794">
              <w:rPr>
                <w:rFonts w:ascii="Arial" w:hAnsi="Arial" w:cs="Arial"/>
                <w:sz w:val="20"/>
                <w:szCs w:val="20"/>
                <w:lang w:val="en-AU"/>
              </w:rPr>
              <w:t>6 (</w:t>
            </w:r>
            <w:r w:rsidR="00BF7560">
              <w:rPr>
                <w:rFonts w:ascii="Arial" w:hAnsi="Arial" w:cs="Arial"/>
                <w:sz w:val="20"/>
                <w:szCs w:val="20"/>
                <w:lang w:val="en-AU"/>
              </w:rPr>
              <w:t>0.3</w:t>
            </w:r>
            <w:r w:rsidRPr="00833794">
              <w:rPr>
                <w:rFonts w:ascii="Arial" w:hAnsi="Arial" w:cs="Arial"/>
                <w:sz w:val="20"/>
                <w:szCs w:val="20"/>
                <w:lang w:val="en-AU"/>
              </w:rPr>
              <w:t>%)</w:t>
            </w:r>
          </w:p>
        </w:tc>
        <w:tc>
          <w:tcPr>
            <w:tcW w:w="1843" w:type="dxa"/>
            <w:shd w:val="clear" w:color="auto" w:fill="auto"/>
            <w:vAlign w:val="center"/>
          </w:tcPr>
          <w:p w:rsidR="0050329B" w:rsidRPr="00833794" w:rsidRDefault="00BF7560" w:rsidP="00BF7560">
            <w:pPr>
              <w:pStyle w:val="Default"/>
              <w:spacing w:before="60" w:line="360" w:lineRule="auto"/>
              <w:ind w:right="45"/>
              <w:jc w:val="center"/>
              <w:rPr>
                <w:rFonts w:ascii="Arial" w:hAnsi="Arial" w:cs="Arial"/>
                <w:sz w:val="20"/>
                <w:szCs w:val="20"/>
                <w:lang w:val="en-AU"/>
              </w:rPr>
            </w:pPr>
            <w:r>
              <w:rPr>
                <w:rFonts w:ascii="Arial" w:hAnsi="Arial" w:cs="Arial"/>
                <w:sz w:val="20"/>
                <w:szCs w:val="20"/>
                <w:lang w:val="en-AU" w:eastAsia="zh-CN"/>
              </w:rPr>
              <w:t>9</w:t>
            </w:r>
            <w:r w:rsidRPr="00833794">
              <w:rPr>
                <w:rFonts w:ascii="Arial" w:hAnsi="Arial" w:cs="Arial"/>
                <w:sz w:val="20"/>
                <w:szCs w:val="20"/>
                <w:lang w:val="en-AU" w:eastAsia="zh-CN"/>
              </w:rPr>
              <w:t xml:space="preserve"> </w:t>
            </w:r>
            <w:r w:rsidR="0050329B" w:rsidRPr="00833794">
              <w:rPr>
                <w:rFonts w:ascii="Arial" w:hAnsi="Arial" w:cs="Arial"/>
                <w:sz w:val="20"/>
                <w:szCs w:val="20"/>
                <w:lang w:val="en-AU" w:eastAsia="zh-CN"/>
              </w:rPr>
              <w:t>(</w:t>
            </w:r>
            <w:r>
              <w:rPr>
                <w:rFonts w:ascii="Arial" w:hAnsi="Arial" w:cs="Arial"/>
                <w:sz w:val="20"/>
                <w:szCs w:val="20"/>
                <w:lang w:val="en-AU" w:eastAsia="zh-CN"/>
              </w:rPr>
              <w:t>0.5</w:t>
            </w:r>
            <w:r w:rsidR="0050329B" w:rsidRPr="00833794">
              <w:rPr>
                <w:rFonts w:ascii="Arial" w:hAnsi="Arial" w:cs="Arial"/>
                <w:sz w:val="20"/>
                <w:szCs w:val="20"/>
                <w:lang w:val="en-AU" w:eastAsia="zh-CN"/>
              </w:rPr>
              <w:t>%)</w:t>
            </w:r>
          </w:p>
        </w:tc>
        <w:tc>
          <w:tcPr>
            <w:tcW w:w="1701" w:type="dxa"/>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eastAsia="zh-CN"/>
              </w:rPr>
            </w:pPr>
            <w:r w:rsidRPr="00833794">
              <w:rPr>
                <w:rFonts w:ascii="Arial" w:hAnsi="Arial" w:cs="Arial"/>
                <w:sz w:val="20"/>
                <w:szCs w:val="20"/>
                <w:lang w:val="en-AU" w:eastAsia="zh-CN"/>
              </w:rPr>
              <w:t>4 (0.2%)</w:t>
            </w:r>
          </w:p>
        </w:tc>
        <w:tc>
          <w:tcPr>
            <w:tcW w:w="1701" w:type="dxa"/>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eastAsia="zh-CN"/>
              </w:rPr>
            </w:pPr>
            <w:r w:rsidRPr="00833794">
              <w:rPr>
                <w:rFonts w:ascii="Arial" w:hAnsi="Arial" w:cs="Arial"/>
                <w:sz w:val="20"/>
                <w:szCs w:val="20"/>
                <w:lang w:val="en-AU" w:eastAsia="zh-CN"/>
              </w:rPr>
              <w:t>2 (&lt; 0.1%)</w:t>
            </w:r>
          </w:p>
        </w:tc>
      </w:tr>
      <w:tr w:rsidR="0050329B" w:rsidRPr="00833794" w:rsidTr="0050329B">
        <w:tc>
          <w:tcPr>
            <w:tcW w:w="2268" w:type="dxa"/>
            <w:shd w:val="clear" w:color="auto" w:fill="auto"/>
            <w:vAlign w:val="center"/>
          </w:tcPr>
          <w:p w:rsidR="0050329B" w:rsidRPr="00833794" w:rsidRDefault="0050329B" w:rsidP="0050329B">
            <w:pPr>
              <w:pStyle w:val="Default"/>
              <w:spacing w:before="60"/>
              <w:ind w:right="45"/>
              <w:jc w:val="center"/>
              <w:rPr>
                <w:rFonts w:ascii="Arial" w:hAnsi="Arial" w:cs="Arial"/>
                <w:sz w:val="20"/>
                <w:szCs w:val="20"/>
                <w:lang w:val="en-AU"/>
              </w:rPr>
            </w:pPr>
            <w:r w:rsidRPr="00833794">
              <w:rPr>
                <w:rFonts w:ascii="Arial" w:hAnsi="Arial" w:cs="Arial"/>
                <w:sz w:val="20"/>
                <w:szCs w:val="20"/>
                <w:lang w:val="en-AU"/>
              </w:rPr>
              <w:t>30 - 49 mL/min (moderate)</w:t>
            </w:r>
          </w:p>
        </w:tc>
        <w:tc>
          <w:tcPr>
            <w:tcW w:w="1701" w:type="dxa"/>
            <w:shd w:val="clear" w:color="auto" w:fill="auto"/>
            <w:vAlign w:val="center"/>
          </w:tcPr>
          <w:p w:rsidR="0050329B" w:rsidRPr="00833794" w:rsidRDefault="00BF7560" w:rsidP="0050329B">
            <w:pPr>
              <w:pStyle w:val="Default"/>
              <w:spacing w:before="60" w:line="360" w:lineRule="auto"/>
              <w:ind w:right="45"/>
              <w:jc w:val="center"/>
              <w:rPr>
                <w:rFonts w:ascii="Arial" w:hAnsi="Arial" w:cs="Arial"/>
                <w:sz w:val="20"/>
                <w:szCs w:val="20"/>
                <w:lang w:val="en-AU"/>
              </w:rPr>
            </w:pPr>
            <w:r>
              <w:rPr>
                <w:rFonts w:ascii="Arial" w:hAnsi="Arial" w:cs="Arial"/>
                <w:sz w:val="20"/>
                <w:szCs w:val="20"/>
                <w:lang w:val="en-AU" w:eastAsia="zh-CN"/>
              </w:rPr>
              <w:t>115</w:t>
            </w:r>
            <w:r w:rsidRPr="00833794">
              <w:rPr>
                <w:rFonts w:ascii="Arial" w:hAnsi="Arial" w:cs="Arial"/>
                <w:sz w:val="20"/>
                <w:szCs w:val="20"/>
                <w:lang w:val="en-AU" w:eastAsia="zh-CN"/>
              </w:rPr>
              <w:t xml:space="preserve"> </w:t>
            </w:r>
            <w:r w:rsidR="0050329B" w:rsidRPr="00833794">
              <w:rPr>
                <w:rFonts w:ascii="Arial" w:hAnsi="Arial" w:cs="Arial"/>
                <w:sz w:val="20"/>
                <w:szCs w:val="20"/>
                <w:lang w:val="en-AU" w:eastAsia="zh-CN"/>
              </w:rPr>
              <w:t>(6.6%)</w:t>
            </w:r>
          </w:p>
        </w:tc>
        <w:tc>
          <w:tcPr>
            <w:tcW w:w="1843" w:type="dxa"/>
            <w:shd w:val="clear" w:color="auto" w:fill="auto"/>
            <w:vAlign w:val="center"/>
          </w:tcPr>
          <w:p w:rsidR="0050329B" w:rsidRPr="00833794" w:rsidRDefault="00BF7560" w:rsidP="00BF7560">
            <w:pPr>
              <w:pStyle w:val="Default"/>
              <w:spacing w:before="60" w:line="360" w:lineRule="auto"/>
              <w:ind w:right="45"/>
              <w:jc w:val="center"/>
              <w:rPr>
                <w:rFonts w:ascii="Arial" w:hAnsi="Arial" w:cs="Arial"/>
                <w:sz w:val="20"/>
                <w:szCs w:val="20"/>
                <w:lang w:val="en-AU"/>
              </w:rPr>
            </w:pPr>
            <w:r>
              <w:rPr>
                <w:rFonts w:ascii="Arial" w:hAnsi="Arial" w:cs="Arial"/>
                <w:sz w:val="20"/>
                <w:szCs w:val="20"/>
                <w:lang w:val="en-AU"/>
              </w:rPr>
              <w:t>120</w:t>
            </w:r>
            <w:r w:rsidRPr="00833794">
              <w:rPr>
                <w:rFonts w:ascii="Arial" w:hAnsi="Arial" w:cs="Arial"/>
                <w:sz w:val="20"/>
                <w:szCs w:val="20"/>
                <w:lang w:val="en-AU"/>
              </w:rPr>
              <w:t xml:space="preserve"> </w:t>
            </w:r>
            <w:r w:rsidR="0050329B" w:rsidRPr="00833794">
              <w:rPr>
                <w:rFonts w:ascii="Arial" w:hAnsi="Arial" w:cs="Arial"/>
                <w:sz w:val="20"/>
                <w:szCs w:val="20"/>
                <w:lang w:val="en-AU"/>
              </w:rPr>
              <w:t>(</w:t>
            </w:r>
            <w:r>
              <w:rPr>
                <w:rFonts w:ascii="Arial" w:hAnsi="Arial" w:cs="Arial"/>
                <w:sz w:val="20"/>
                <w:szCs w:val="20"/>
                <w:lang w:val="en-AU"/>
              </w:rPr>
              <w:t>7.0</w:t>
            </w:r>
            <w:r w:rsidR="0050329B" w:rsidRPr="00833794">
              <w:rPr>
                <w:rFonts w:ascii="Arial" w:hAnsi="Arial" w:cs="Arial"/>
                <w:sz w:val="20"/>
                <w:szCs w:val="20"/>
                <w:lang w:val="en-AU"/>
              </w:rPr>
              <w:t>%)</w:t>
            </w:r>
          </w:p>
        </w:tc>
        <w:tc>
          <w:tcPr>
            <w:tcW w:w="1701" w:type="dxa"/>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eastAsia="zh-CN"/>
              </w:rPr>
            </w:pPr>
            <w:r w:rsidRPr="00833794">
              <w:rPr>
                <w:rFonts w:ascii="Arial" w:hAnsi="Arial" w:cs="Arial"/>
                <w:sz w:val="20"/>
                <w:szCs w:val="20"/>
                <w:lang w:val="en-AU" w:eastAsia="zh-CN"/>
              </w:rPr>
              <w:t>207 (8.6%)</w:t>
            </w:r>
          </w:p>
        </w:tc>
        <w:tc>
          <w:tcPr>
            <w:tcW w:w="1701" w:type="dxa"/>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rPr>
            </w:pPr>
            <w:r w:rsidRPr="00833794">
              <w:rPr>
                <w:rFonts w:ascii="Arial" w:hAnsi="Arial" w:cs="Arial"/>
                <w:sz w:val="20"/>
                <w:szCs w:val="20"/>
                <w:lang w:val="en-AU" w:eastAsia="zh-CN"/>
              </w:rPr>
              <w:t>191 (7.9%)</w:t>
            </w:r>
          </w:p>
        </w:tc>
      </w:tr>
      <w:tr w:rsidR="0050329B" w:rsidRPr="00833794" w:rsidTr="0050329B">
        <w:tc>
          <w:tcPr>
            <w:tcW w:w="2268" w:type="dxa"/>
            <w:shd w:val="clear" w:color="auto" w:fill="auto"/>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rPr>
            </w:pPr>
            <w:r w:rsidRPr="00833794">
              <w:rPr>
                <w:rFonts w:ascii="Arial" w:hAnsi="Arial" w:cs="Arial"/>
                <w:sz w:val="20"/>
                <w:szCs w:val="20"/>
                <w:lang w:val="en-AU"/>
              </w:rPr>
              <w:t>50 - 80 mL/min (mild)</w:t>
            </w:r>
          </w:p>
        </w:tc>
        <w:tc>
          <w:tcPr>
            <w:tcW w:w="1701" w:type="dxa"/>
            <w:shd w:val="clear" w:color="auto" w:fill="auto"/>
            <w:vAlign w:val="center"/>
          </w:tcPr>
          <w:p w:rsidR="0050329B" w:rsidRPr="00833794" w:rsidRDefault="00BF7560" w:rsidP="00BF7560">
            <w:pPr>
              <w:pStyle w:val="Default"/>
              <w:spacing w:before="60" w:line="360" w:lineRule="auto"/>
              <w:ind w:right="45"/>
              <w:jc w:val="center"/>
              <w:rPr>
                <w:rFonts w:ascii="Arial" w:hAnsi="Arial" w:cs="Arial"/>
                <w:sz w:val="20"/>
                <w:szCs w:val="20"/>
                <w:lang w:val="en-AU"/>
              </w:rPr>
            </w:pPr>
            <w:r>
              <w:rPr>
                <w:rFonts w:ascii="Arial" w:hAnsi="Arial" w:cs="Arial"/>
                <w:sz w:val="20"/>
                <w:szCs w:val="20"/>
                <w:lang w:val="en-AU" w:eastAsia="zh-CN"/>
              </w:rPr>
              <w:t>393</w:t>
            </w:r>
            <w:r w:rsidRPr="00833794">
              <w:rPr>
                <w:rFonts w:ascii="Arial" w:hAnsi="Arial" w:cs="Arial"/>
                <w:sz w:val="20"/>
                <w:szCs w:val="20"/>
                <w:lang w:val="en-AU" w:eastAsia="zh-CN"/>
              </w:rPr>
              <w:t xml:space="preserve"> </w:t>
            </w:r>
            <w:r w:rsidR="0050329B" w:rsidRPr="00833794">
              <w:rPr>
                <w:rFonts w:ascii="Arial" w:hAnsi="Arial" w:cs="Arial"/>
                <w:sz w:val="20"/>
                <w:szCs w:val="20"/>
                <w:lang w:val="en-AU" w:eastAsia="zh-CN"/>
              </w:rPr>
              <w:t>(</w:t>
            </w:r>
            <w:r>
              <w:rPr>
                <w:rFonts w:ascii="Arial" w:hAnsi="Arial" w:cs="Arial"/>
                <w:sz w:val="20"/>
                <w:szCs w:val="20"/>
                <w:lang w:val="en-AU" w:eastAsia="zh-CN"/>
              </w:rPr>
              <w:t>22.7</w:t>
            </w:r>
            <w:r w:rsidR="0050329B" w:rsidRPr="00833794">
              <w:rPr>
                <w:rFonts w:ascii="Arial" w:hAnsi="Arial" w:cs="Arial"/>
                <w:sz w:val="20"/>
                <w:szCs w:val="20"/>
                <w:lang w:val="en-AU" w:eastAsia="zh-CN"/>
              </w:rPr>
              <w:t>%)</w:t>
            </w:r>
          </w:p>
        </w:tc>
        <w:tc>
          <w:tcPr>
            <w:tcW w:w="1843" w:type="dxa"/>
            <w:shd w:val="clear" w:color="auto" w:fill="auto"/>
            <w:vAlign w:val="center"/>
          </w:tcPr>
          <w:p w:rsidR="0050329B" w:rsidRPr="00833794" w:rsidRDefault="00BF7560" w:rsidP="00BF7560">
            <w:pPr>
              <w:pStyle w:val="Default"/>
              <w:spacing w:before="60" w:line="360" w:lineRule="auto"/>
              <w:ind w:right="45"/>
              <w:jc w:val="center"/>
              <w:rPr>
                <w:rFonts w:ascii="Arial" w:hAnsi="Arial" w:cs="Arial"/>
                <w:sz w:val="20"/>
                <w:szCs w:val="20"/>
                <w:lang w:val="en-AU"/>
              </w:rPr>
            </w:pPr>
            <w:r>
              <w:rPr>
                <w:rFonts w:ascii="Arial" w:hAnsi="Arial" w:cs="Arial"/>
                <w:sz w:val="20"/>
                <w:szCs w:val="20"/>
                <w:lang w:val="en-AU" w:eastAsia="zh-CN"/>
              </w:rPr>
              <w:t>399</w:t>
            </w:r>
            <w:r w:rsidRPr="00833794">
              <w:rPr>
                <w:rFonts w:ascii="Arial" w:hAnsi="Arial" w:cs="Arial"/>
                <w:sz w:val="20"/>
                <w:szCs w:val="20"/>
                <w:lang w:val="en-AU" w:eastAsia="zh-CN"/>
              </w:rPr>
              <w:t xml:space="preserve"> </w:t>
            </w:r>
            <w:r w:rsidR="0050329B" w:rsidRPr="00833794">
              <w:rPr>
                <w:rFonts w:ascii="Arial" w:hAnsi="Arial" w:cs="Arial"/>
                <w:sz w:val="20"/>
                <w:szCs w:val="20"/>
                <w:lang w:val="en-AU" w:eastAsia="zh-CN"/>
              </w:rPr>
              <w:t>(</w:t>
            </w:r>
            <w:r>
              <w:rPr>
                <w:rFonts w:ascii="Arial" w:hAnsi="Arial" w:cs="Arial"/>
                <w:sz w:val="20"/>
                <w:szCs w:val="20"/>
                <w:lang w:val="en-AU" w:eastAsia="zh-CN"/>
              </w:rPr>
              <w:t>23.2</w:t>
            </w:r>
            <w:r w:rsidR="0050329B" w:rsidRPr="00833794">
              <w:rPr>
                <w:rFonts w:ascii="Arial" w:hAnsi="Arial" w:cs="Arial"/>
                <w:sz w:val="20"/>
                <w:szCs w:val="20"/>
                <w:lang w:val="en-AU" w:eastAsia="zh-CN"/>
              </w:rPr>
              <w:t>%)</w:t>
            </w:r>
          </w:p>
        </w:tc>
        <w:tc>
          <w:tcPr>
            <w:tcW w:w="1701" w:type="dxa"/>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eastAsia="zh-CN"/>
              </w:rPr>
            </w:pPr>
            <w:r w:rsidRPr="00833794">
              <w:rPr>
                <w:rFonts w:ascii="Arial" w:hAnsi="Arial" w:cs="Arial"/>
                <w:sz w:val="20"/>
                <w:szCs w:val="20"/>
                <w:lang w:val="en-AU" w:eastAsia="zh-CN"/>
              </w:rPr>
              <w:t>637 (26.3%)</w:t>
            </w:r>
          </w:p>
        </w:tc>
        <w:tc>
          <w:tcPr>
            <w:tcW w:w="1701" w:type="dxa"/>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eastAsia="zh-CN"/>
              </w:rPr>
            </w:pPr>
            <w:r w:rsidRPr="00833794">
              <w:rPr>
                <w:rFonts w:ascii="Arial" w:hAnsi="Arial" w:cs="Arial"/>
                <w:sz w:val="20"/>
                <w:szCs w:val="20"/>
                <w:lang w:val="en-AU" w:eastAsia="zh-CN"/>
              </w:rPr>
              <w:t>593 (24.6%)</w:t>
            </w:r>
          </w:p>
        </w:tc>
      </w:tr>
      <w:tr w:rsidR="0050329B" w:rsidRPr="00833794" w:rsidTr="0050329B">
        <w:tc>
          <w:tcPr>
            <w:tcW w:w="2268" w:type="dxa"/>
            <w:shd w:val="clear" w:color="auto" w:fill="auto"/>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rPr>
            </w:pPr>
            <w:r w:rsidRPr="00833794">
              <w:rPr>
                <w:rFonts w:ascii="Arial" w:hAnsi="Arial" w:cs="Arial"/>
                <w:sz w:val="20"/>
                <w:szCs w:val="20"/>
                <w:lang w:val="en-AU"/>
              </w:rPr>
              <w:t>&gt; 80 mL/min (normal)</w:t>
            </w:r>
          </w:p>
        </w:tc>
        <w:tc>
          <w:tcPr>
            <w:tcW w:w="1701" w:type="dxa"/>
            <w:shd w:val="clear" w:color="auto" w:fill="auto"/>
            <w:vAlign w:val="center"/>
          </w:tcPr>
          <w:p w:rsidR="0050329B" w:rsidRPr="00833794" w:rsidRDefault="00BF7560" w:rsidP="00BF7560">
            <w:pPr>
              <w:pStyle w:val="Default"/>
              <w:spacing w:before="60" w:line="360" w:lineRule="auto"/>
              <w:ind w:right="45"/>
              <w:jc w:val="center"/>
              <w:rPr>
                <w:rFonts w:ascii="Arial" w:hAnsi="Arial" w:cs="Arial"/>
                <w:sz w:val="20"/>
                <w:szCs w:val="20"/>
                <w:lang w:val="en-AU"/>
              </w:rPr>
            </w:pPr>
            <w:r>
              <w:rPr>
                <w:rFonts w:ascii="Arial" w:hAnsi="Arial" w:cs="Arial"/>
                <w:sz w:val="20"/>
                <w:szCs w:val="20"/>
                <w:lang w:val="en-AU" w:eastAsia="zh-CN"/>
              </w:rPr>
              <w:t>1193</w:t>
            </w:r>
            <w:r w:rsidRPr="00833794">
              <w:rPr>
                <w:rFonts w:ascii="Arial" w:hAnsi="Arial" w:cs="Arial"/>
                <w:sz w:val="20"/>
                <w:szCs w:val="20"/>
                <w:lang w:val="en-AU" w:eastAsia="zh-CN"/>
              </w:rPr>
              <w:t xml:space="preserve"> </w:t>
            </w:r>
            <w:r w:rsidR="0050329B" w:rsidRPr="00833794">
              <w:rPr>
                <w:rFonts w:ascii="Arial" w:hAnsi="Arial" w:cs="Arial"/>
                <w:sz w:val="20"/>
                <w:szCs w:val="20"/>
                <w:lang w:val="en-AU" w:eastAsia="zh-CN"/>
              </w:rPr>
              <w:t>(</w:t>
            </w:r>
            <w:r>
              <w:rPr>
                <w:rFonts w:ascii="Arial" w:hAnsi="Arial" w:cs="Arial"/>
                <w:sz w:val="20"/>
                <w:szCs w:val="20"/>
                <w:lang w:val="en-AU" w:eastAsia="zh-CN"/>
              </w:rPr>
              <w:t>68.9</w:t>
            </w:r>
            <w:r w:rsidR="0050329B" w:rsidRPr="00833794">
              <w:rPr>
                <w:rFonts w:ascii="Arial" w:hAnsi="Arial" w:cs="Arial"/>
                <w:sz w:val="20"/>
                <w:szCs w:val="20"/>
                <w:lang w:val="en-AU" w:eastAsia="zh-CN"/>
              </w:rPr>
              <w:t>%)</w:t>
            </w:r>
          </w:p>
        </w:tc>
        <w:tc>
          <w:tcPr>
            <w:tcW w:w="1843" w:type="dxa"/>
            <w:shd w:val="clear" w:color="auto" w:fill="auto"/>
            <w:vAlign w:val="center"/>
          </w:tcPr>
          <w:p w:rsidR="0050329B" w:rsidRPr="00833794" w:rsidRDefault="00BF7560" w:rsidP="00BF7560">
            <w:pPr>
              <w:pStyle w:val="Default"/>
              <w:spacing w:before="60" w:line="360" w:lineRule="auto"/>
              <w:ind w:right="45"/>
              <w:jc w:val="center"/>
              <w:rPr>
                <w:rFonts w:ascii="Arial" w:hAnsi="Arial" w:cs="Arial"/>
                <w:sz w:val="20"/>
                <w:szCs w:val="20"/>
                <w:lang w:val="en-AU"/>
              </w:rPr>
            </w:pPr>
            <w:r>
              <w:rPr>
                <w:rFonts w:ascii="Arial" w:hAnsi="Arial" w:cs="Arial"/>
                <w:sz w:val="20"/>
                <w:szCs w:val="20"/>
                <w:lang w:val="en-AU" w:eastAsia="zh-CN"/>
              </w:rPr>
              <w:t>1170</w:t>
            </w:r>
            <w:r w:rsidRPr="00833794">
              <w:rPr>
                <w:rFonts w:ascii="Arial" w:hAnsi="Arial" w:cs="Arial"/>
                <w:sz w:val="20"/>
                <w:szCs w:val="20"/>
                <w:lang w:val="en-AU" w:eastAsia="zh-CN"/>
              </w:rPr>
              <w:t xml:space="preserve"> </w:t>
            </w:r>
            <w:r w:rsidR="0050329B" w:rsidRPr="00833794">
              <w:rPr>
                <w:rFonts w:ascii="Arial" w:hAnsi="Arial" w:cs="Arial"/>
                <w:sz w:val="20"/>
                <w:szCs w:val="20"/>
                <w:lang w:val="en-AU" w:eastAsia="zh-CN"/>
              </w:rPr>
              <w:t>(</w:t>
            </w:r>
            <w:r>
              <w:rPr>
                <w:rFonts w:ascii="Arial" w:hAnsi="Arial" w:cs="Arial"/>
                <w:sz w:val="20"/>
                <w:szCs w:val="20"/>
                <w:lang w:val="en-AU" w:eastAsia="zh-CN"/>
              </w:rPr>
              <w:t>68.1</w:t>
            </w:r>
            <w:r w:rsidR="0050329B" w:rsidRPr="00833794">
              <w:rPr>
                <w:rFonts w:ascii="Arial" w:hAnsi="Arial" w:cs="Arial"/>
                <w:sz w:val="20"/>
                <w:szCs w:val="20"/>
                <w:lang w:val="en-AU" w:eastAsia="zh-CN"/>
              </w:rPr>
              <w:t>%)</w:t>
            </w:r>
          </w:p>
        </w:tc>
        <w:tc>
          <w:tcPr>
            <w:tcW w:w="1701" w:type="dxa"/>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eastAsia="zh-CN"/>
              </w:rPr>
            </w:pPr>
            <w:r w:rsidRPr="00833794">
              <w:rPr>
                <w:rFonts w:ascii="Arial" w:hAnsi="Arial" w:cs="Arial"/>
                <w:sz w:val="20"/>
                <w:szCs w:val="20"/>
                <w:lang w:val="en-AU" w:eastAsia="zh-CN"/>
              </w:rPr>
              <w:t>1555 (64.3%)</w:t>
            </w:r>
          </w:p>
        </w:tc>
        <w:tc>
          <w:tcPr>
            <w:tcW w:w="1701" w:type="dxa"/>
            <w:vAlign w:val="center"/>
          </w:tcPr>
          <w:p w:rsidR="0050329B" w:rsidRPr="00833794" w:rsidRDefault="0050329B" w:rsidP="0050329B">
            <w:pPr>
              <w:pStyle w:val="Default"/>
              <w:spacing w:before="60" w:line="360" w:lineRule="auto"/>
              <w:ind w:right="45"/>
              <w:jc w:val="center"/>
              <w:rPr>
                <w:rFonts w:ascii="Arial" w:hAnsi="Arial" w:cs="Arial"/>
                <w:sz w:val="20"/>
                <w:szCs w:val="20"/>
                <w:lang w:val="en-AU" w:eastAsia="zh-CN"/>
              </w:rPr>
            </w:pPr>
            <w:r w:rsidRPr="00833794">
              <w:rPr>
                <w:rFonts w:ascii="Arial" w:hAnsi="Arial" w:cs="Arial"/>
                <w:sz w:val="20"/>
                <w:szCs w:val="20"/>
                <w:lang w:val="en-AU" w:eastAsia="zh-CN"/>
              </w:rPr>
              <w:t>1617 (67.0%)</w:t>
            </w:r>
          </w:p>
        </w:tc>
      </w:tr>
    </w:tbl>
    <w:p w:rsidR="0050329B" w:rsidRPr="00833794" w:rsidRDefault="0050329B" w:rsidP="0050329B">
      <w:pPr>
        <w:pStyle w:val="Default"/>
        <w:spacing w:after="240"/>
        <w:ind w:right="46"/>
        <w:jc w:val="both"/>
        <w:rPr>
          <w:rFonts w:ascii="Arial" w:hAnsi="Arial" w:cs="Arial"/>
          <w:sz w:val="22"/>
          <w:szCs w:val="22"/>
          <w:lang w:val="en-AU"/>
        </w:rPr>
      </w:pPr>
    </w:p>
    <w:p w:rsidR="0050329B" w:rsidRPr="00833794" w:rsidRDefault="0050329B" w:rsidP="0050329B">
      <w:pPr>
        <w:pStyle w:val="Default"/>
        <w:spacing w:after="240"/>
        <w:ind w:right="46"/>
        <w:jc w:val="both"/>
        <w:rPr>
          <w:rFonts w:ascii="Arial" w:hAnsi="Arial" w:cs="Arial"/>
          <w:sz w:val="22"/>
          <w:szCs w:val="22"/>
          <w:lang w:val="en-AU"/>
        </w:rPr>
      </w:pPr>
      <w:r w:rsidRPr="00833794">
        <w:rPr>
          <w:rFonts w:ascii="Arial" w:hAnsi="Arial" w:cs="Arial"/>
          <w:sz w:val="22"/>
          <w:szCs w:val="22"/>
          <w:lang w:val="en-AU"/>
        </w:rPr>
        <w:t>EINSTEIN-DVT (</w:t>
      </w:r>
      <w:r w:rsidRPr="00E8796E">
        <w:rPr>
          <w:rFonts w:ascii="Arial" w:hAnsi="Arial" w:cs="Arial"/>
          <w:sz w:val="22"/>
          <w:szCs w:val="22"/>
          <w:lang w:val="en-AU"/>
        </w:rPr>
        <w:t>see</w:t>
      </w:r>
      <w:r w:rsidR="00942E30" w:rsidRPr="00C66ABD">
        <w:rPr>
          <w:rFonts w:ascii="Arial" w:hAnsi="Arial" w:cs="Arial"/>
          <w:sz w:val="22"/>
          <w:szCs w:val="22"/>
          <w:lang w:val="en-AU"/>
        </w:rPr>
        <w:t xml:space="preserve"> </w:t>
      </w:r>
      <w:fldSimple w:instr=" REF _Ref325642843  \* MERGEFORMAT ">
        <w:r w:rsidR="00A24B67" w:rsidRPr="00B15449">
          <w:rPr>
            <w:rFonts w:ascii="Arial" w:hAnsi="Arial" w:cs="Arial"/>
            <w:sz w:val="22"/>
            <w:szCs w:val="22"/>
            <w:lang w:val="en-AU"/>
          </w:rPr>
          <w:t xml:space="preserve">Table </w:t>
        </w:r>
        <w:r w:rsidR="00A24B67" w:rsidRPr="00B15449">
          <w:rPr>
            <w:rFonts w:ascii="Arial" w:hAnsi="Arial" w:cs="Arial"/>
            <w:noProof/>
            <w:sz w:val="22"/>
            <w:szCs w:val="22"/>
            <w:lang w:val="en-AU"/>
          </w:rPr>
          <w:t>8</w:t>
        </w:r>
      </w:fldSimple>
      <w:r w:rsidRPr="00A111A4">
        <w:rPr>
          <w:rFonts w:ascii="Arial" w:hAnsi="Arial" w:cs="Arial"/>
          <w:sz w:val="22"/>
          <w:szCs w:val="22"/>
          <w:lang w:val="en-AU"/>
        </w:rPr>
        <w:t>)</w:t>
      </w:r>
      <w:r w:rsidRPr="00833794">
        <w:rPr>
          <w:rFonts w:ascii="Arial" w:hAnsi="Arial" w:cs="Arial"/>
          <w:sz w:val="22"/>
          <w:szCs w:val="22"/>
          <w:lang w:val="en-AU"/>
        </w:rPr>
        <w:t xml:space="preserve"> met its principal objective, demonstrating that Xarelto was non-inferior to enoxaparin/VKA for the primary outcome of symptomatic recurrent VTE (HR of 0.68 [95% CI = 0.44 – 1.04], p &lt;0.001). The pre-specified test for superiority was not statistically significant (p = 0.0764). The incidence rates for the principal safety outcome (major or clinically relevant non-major bleeding events), as well as the secondary safety outcome (major bleeding events), were similar for both groups (HR of 0.97 [95% CI = 0.76 – 1.22], p = 0.77 and HR of 0.65 [95% CI = 0.33 – 1.30), p = 0.21, respectively). The pre-defined secondary outcome of net clinical benefit, (the composite of the primary efficacy outcome and major bleeding events), was reported with a HR of 0.67 ([95% CI = 0.47 – 0.95], p = 0.03) in favour of Xarelto. </w:t>
      </w:r>
    </w:p>
    <w:p w:rsidR="0050329B" w:rsidRDefault="0050329B" w:rsidP="0050329B">
      <w:pPr>
        <w:pStyle w:val="Default"/>
        <w:spacing w:after="240"/>
        <w:ind w:right="46"/>
        <w:jc w:val="both"/>
        <w:rPr>
          <w:rFonts w:ascii="Arial" w:hAnsi="Arial" w:cs="Arial"/>
          <w:sz w:val="22"/>
          <w:szCs w:val="22"/>
          <w:lang w:val="en-AU"/>
        </w:rPr>
      </w:pPr>
      <w:r w:rsidRPr="00833794">
        <w:rPr>
          <w:rFonts w:ascii="Arial" w:hAnsi="Arial" w:cs="Arial"/>
          <w:sz w:val="22"/>
          <w:szCs w:val="22"/>
          <w:lang w:val="en-AU"/>
        </w:rPr>
        <w:lastRenderedPageBreak/>
        <w:t>The relative efficacy and safety findings were consistent regardless of pre-treatment (none, LMWH, unfraction</w:t>
      </w:r>
      <w:r w:rsidR="001B6C3F">
        <w:rPr>
          <w:rFonts w:ascii="Arial" w:hAnsi="Arial" w:cs="Arial"/>
          <w:sz w:val="22"/>
          <w:szCs w:val="22"/>
          <w:lang w:val="en-AU"/>
        </w:rPr>
        <w:t>at</w:t>
      </w:r>
      <w:r w:rsidRPr="00833794">
        <w:rPr>
          <w:rFonts w:ascii="Arial" w:hAnsi="Arial" w:cs="Arial"/>
          <w:sz w:val="22"/>
          <w:szCs w:val="22"/>
          <w:lang w:val="en-AU"/>
        </w:rPr>
        <w:t>ed heparin or fondaparinux) as well as among the 3, 6 and 12-month durations. In terms of other secondary outcomes, vascular events occurred in 12 patients (0.7%) in the Xarelto arm and 14 patients (0.8%) in the enoxaparin/VKA group (HR of 0.79 [95% CI = 0.36 – 1.71], p = 0.55), and total mortality accounted for 38 (2.2%) vs. 49 (2.9%) patients in the Xarelto vs. enoxaparin/VKA arms, respectively (p = 0.06).</w:t>
      </w:r>
    </w:p>
    <w:p w:rsidR="001B6C3F" w:rsidRPr="00833794" w:rsidRDefault="001B6C3F" w:rsidP="0050329B">
      <w:pPr>
        <w:pStyle w:val="Default"/>
        <w:spacing w:after="240"/>
        <w:ind w:right="46"/>
        <w:jc w:val="both"/>
        <w:rPr>
          <w:rFonts w:ascii="Arial" w:hAnsi="Arial" w:cs="Arial"/>
          <w:sz w:val="22"/>
          <w:szCs w:val="22"/>
          <w:lang w:val="en-AU"/>
        </w:rPr>
      </w:pPr>
    </w:p>
    <w:p w:rsidR="0050329B" w:rsidRPr="00833794" w:rsidRDefault="0050329B" w:rsidP="0050329B">
      <w:pPr>
        <w:pStyle w:val="Caption"/>
        <w:ind w:right="46"/>
        <w:rPr>
          <w:rFonts w:ascii="Arial" w:hAnsi="Arial" w:cs="Arial"/>
          <w:lang w:val="en-AU"/>
        </w:rPr>
      </w:pPr>
      <w:bookmarkStart w:id="8" w:name="_Ref325642843"/>
      <w:r w:rsidRPr="00833794">
        <w:rPr>
          <w:rFonts w:ascii="Arial" w:hAnsi="Arial" w:cs="Arial"/>
          <w:lang w:val="en-AU"/>
        </w:rPr>
        <w:t xml:space="preserve">Table </w:t>
      </w:r>
      <w:r w:rsidR="00794C79" w:rsidRPr="00833794">
        <w:rPr>
          <w:rFonts w:ascii="Arial" w:hAnsi="Arial" w:cs="Arial"/>
          <w:lang w:val="en-AU"/>
        </w:rPr>
        <w:fldChar w:fldCharType="begin"/>
      </w:r>
      <w:r w:rsidRPr="00833794">
        <w:rPr>
          <w:rFonts w:ascii="Arial" w:hAnsi="Arial" w:cs="Arial"/>
          <w:lang w:val="en-AU"/>
        </w:rPr>
        <w:instrText xml:space="preserve"> SEQ Table \* ARABIC </w:instrText>
      </w:r>
      <w:r w:rsidR="00794C79" w:rsidRPr="00833794">
        <w:rPr>
          <w:rFonts w:ascii="Arial" w:hAnsi="Arial" w:cs="Arial"/>
          <w:lang w:val="en-AU"/>
        </w:rPr>
        <w:fldChar w:fldCharType="separate"/>
      </w:r>
      <w:r w:rsidR="00A24B67">
        <w:rPr>
          <w:rFonts w:ascii="Arial" w:hAnsi="Arial" w:cs="Arial"/>
          <w:noProof/>
          <w:lang w:val="en-AU"/>
        </w:rPr>
        <w:t>8</w:t>
      </w:r>
      <w:r w:rsidR="00794C79" w:rsidRPr="00833794">
        <w:rPr>
          <w:rFonts w:ascii="Arial" w:hAnsi="Arial" w:cs="Arial"/>
          <w:lang w:val="en-AU"/>
        </w:rPr>
        <w:fldChar w:fldCharType="end"/>
      </w:r>
      <w:bookmarkEnd w:id="8"/>
      <w:r w:rsidRPr="00833794">
        <w:rPr>
          <w:rFonts w:ascii="Arial" w:hAnsi="Arial" w:cs="Arial"/>
          <w:lang w:val="en-AU"/>
        </w:rPr>
        <w:t xml:space="preserve">: Efficacy and safety results from Phase </w:t>
      </w:r>
      <w:smartTag w:uri="urn:schemas-microsoft-com:office:smarttags" w:element="PlaceType">
        <w:r w:rsidRPr="00833794">
          <w:rPr>
            <w:rFonts w:ascii="Arial" w:hAnsi="Arial" w:cs="Arial"/>
            <w:lang w:val="en-AU"/>
          </w:rPr>
          <w:t>III</w:t>
        </w:r>
      </w:smartTag>
      <w:r w:rsidRPr="00833794">
        <w:rPr>
          <w:rFonts w:ascii="Arial" w:hAnsi="Arial" w:cs="Arial"/>
          <w:lang w:val="en-AU"/>
        </w:rPr>
        <w:t xml:space="preserve"> EINSTEIN DVT (DVT treatment)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2925"/>
        <w:gridCol w:w="2880"/>
      </w:tblGrid>
      <w:tr w:rsidR="0050329B" w:rsidRPr="00833794" w:rsidTr="0050329B">
        <w:trPr>
          <w:cantSplit/>
          <w:trHeight w:val="487"/>
          <w:tblHeader/>
        </w:trPr>
        <w:tc>
          <w:tcPr>
            <w:tcW w:w="2835" w:type="dxa"/>
            <w:shd w:val="clear" w:color="auto" w:fill="E0E0E0"/>
            <w:vAlign w:val="center"/>
          </w:tcPr>
          <w:p w:rsidR="0050329B" w:rsidRPr="00833794" w:rsidRDefault="0050329B" w:rsidP="0050329B">
            <w:pPr>
              <w:pStyle w:val="BayerTableColumnHeadings"/>
              <w:keepNext/>
              <w:spacing w:before="60" w:after="60"/>
              <w:ind w:right="46"/>
              <w:rPr>
                <w:rFonts w:ascii="Arial" w:hAnsi="Arial" w:cs="Arial"/>
                <w:sz w:val="18"/>
                <w:szCs w:val="18"/>
                <w:lang w:val="en-AU"/>
              </w:rPr>
            </w:pPr>
            <w:r w:rsidRPr="00833794">
              <w:rPr>
                <w:rFonts w:ascii="Arial" w:hAnsi="Arial" w:cs="Arial"/>
                <w:sz w:val="18"/>
                <w:szCs w:val="18"/>
                <w:lang w:val="en-AU"/>
              </w:rPr>
              <w:t>Study Population</w:t>
            </w:r>
          </w:p>
        </w:tc>
        <w:tc>
          <w:tcPr>
            <w:tcW w:w="5805" w:type="dxa"/>
            <w:gridSpan w:val="2"/>
            <w:shd w:val="clear" w:color="auto" w:fill="E0E0E0"/>
            <w:vAlign w:val="center"/>
          </w:tcPr>
          <w:p w:rsidR="0050329B" w:rsidRPr="00833794" w:rsidRDefault="0050329B" w:rsidP="0050329B">
            <w:pPr>
              <w:pStyle w:val="BayerTableColumnHeadings"/>
              <w:keepNext/>
              <w:spacing w:before="60" w:after="60"/>
              <w:ind w:right="46"/>
              <w:rPr>
                <w:rFonts w:ascii="Arial" w:hAnsi="Arial" w:cs="Arial"/>
                <w:sz w:val="18"/>
                <w:szCs w:val="18"/>
                <w:lang w:val="en-AU"/>
              </w:rPr>
            </w:pPr>
            <w:r w:rsidRPr="00833794">
              <w:rPr>
                <w:rFonts w:ascii="Arial" w:hAnsi="Arial" w:cs="Arial"/>
                <w:sz w:val="18"/>
                <w:szCs w:val="18"/>
                <w:lang w:val="en-AU"/>
              </w:rPr>
              <w:t>3449 patients with symptomatic acute deep vein thrombosis</w:t>
            </w:r>
          </w:p>
        </w:tc>
      </w:tr>
      <w:tr w:rsidR="0050329B" w:rsidRPr="00833794" w:rsidTr="0050329B">
        <w:trPr>
          <w:cantSplit/>
          <w:tblHeader/>
        </w:trPr>
        <w:tc>
          <w:tcPr>
            <w:tcW w:w="2835" w:type="dxa"/>
            <w:shd w:val="clear" w:color="auto" w:fill="auto"/>
            <w:vAlign w:val="center"/>
          </w:tcPr>
          <w:p w:rsidR="0050329B" w:rsidRPr="00833794" w:rsidRDefault="0050329B" w:rsidP="0050329B">
            <w:pPr>
              <w:pStyle w:val="BayerTableRowHeadings"/>
              <w:keepNext/>
              <w:spacing w:before="60" w:after="60"/>
              <w:ind w:right="46"/>
              <w:rPr>
                <w:rFonts w:ascii="Arial" w:hAnsi="Arial" w:cs="Arial"/>
                <w:b/>
                <w:sz w:val="18"/>
                <w:szCs w:val="18"/>
                <w:lang w:val="en-AU"/>
              </w:rPr>
            </w:pPr>
            <w:r w:rsidRPr="00833794">
              <w:rPr>
                <w:rFonts w:ascii="Arial" w:hAnsi="Arial" w:cs="Arial"/>
                <w:b/>
                <w:sz w:val="18"/>
                <w:szCs w:val="18"/>
                <w:lang w:val="en-AU"/>
              </w:rPr>
              <w:t>Treatment Dosage and Duration</w:t>
            </w:r>
          </w:p>
        </w:tc>
        <w:tc>
          <w:tcPr>
            <w:tcW w:w="2925" w:type="dxa"/>
            <w:shd w:val="clear" w:color="auto" w:fill="auto"/>
            <w:vAlign w:val="center"/>
          </w:tcPr>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Xarelto</w:t>
            </w:r>
            <w:r w:rsidRPr="00833794">
              <w:rPr>
                <w:rFonts w:ascii="Arial" w:hAnsi="Arial" w:cs="Arial"/>
                <w:sz w:val="18"/>
                <w:szCs w:val="18"/>
                <w:lang w:val="en-AU"/>
              </w:rPr>
              <w:br/>
              <w:t>15 mg BID for 3 weeks followed by 20 mg OD</w:t>
            </w:r>
            <w:r w:rsidRPr="00833794">
              <w:rPr>
                <w:rFonts w:ascii="Arial" w:hAnsi="Arial" w:cs="Arial"/>
                <w:sz w:val="18"/>
                <w:szCs w:val="18"/>
                <w:lang w:val="en-AU"/>
              </w:rPr>
              <w:br/>
              <w:t>3, 6 or 12 months</w:t>
            </w:r>
          </w:p>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N=1731</w:t>
            </w:r>
          </w:p>
        </w:tc>
        <w:tc>
          <w:tcPr>
            <w:tcW w:w="2880" w:type="dxa"/>
            <w:shd w:val="clear" w:color="auto" w:fill="auto"/>
            <w:vAlign w:val="center"/>
          </w:tcPr>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Enoxaparin</w:t>
            </w:r>
            <w:r w:rsidRPr="00833794">
              <w:rPr>
                <w:rFonts w:ascii="Arial" w:hAnsi="Arial" w:cs="Arial"/>
                <w:sz w:val="18"/>
                <w:szCs w:val="18"/>
                <w:lang w:val="en-AU"/>
              </w:rPr>
              <w:br/>
              <w:t>for 5 days</w:t>
            </w:r>
            <w:r w:rsidRPr="00833794">
              <w:rPr>
                <w:rFonts w:ascii="Arial" w:hAnsi="Arial" w:cs="Arial"/>
                <w:sz w:val="18"/>
                <w:szCs w:val="18"/>
                <w:lang w:val="en-AU"/>
              </w:rPr>
              <w:br/>
              <w:t>followed by VKA</w:t>
            </w:r>
            <w:r w:rsidRPr="00833794">
              <w:rPr>
                <w:rFonts w:ascii="Arial" w:hAnsi="Arial" w:cs="Arial"/>
                <w:sz w:val="18"/>
                <w:szCs w:val="18"/>
                <w:lang w:val="en-AU"/>
              </w:rPr>
              <w:br/>
              <w:t>3, 6 or 12 months</w:t>
            </w:r>
          </w:p>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N=1718</w:t>
            </w:r>
          </w:p>
        </w:tc>
      </w:tr>
      <w:tr w:rsidR="0050329B" w:rsidRPr="00833794" w:rsidTr="0050329B">
        <w:trPr>
          <w:cantSplit/>
          <w:trHeight w:val="355"/>
        </w:trPr>
        <w:tc>
          <w:tcPr>
            <w:tcW w:w="2835" w:type="dxa"/>
            <w:shd w:val="clear" w:color="auto" w:fill="auto"/>
            <w:vAlign w:val="center"/>
          </w:tcPr>
          <w:p w:rsidR="0050329B" w:rsidRPr="00833794" w:rsidRDefault="0050329B" w:rsidP="0050329B">
            <w:pPr>
              <w:pStyle w:val="BayerTableRowHeadings"/>
              <w:spacing w:before="60" w:after="60"/>
              <w:ind w:right="46"/>
              <w:rPr>
                <w:rFonts w:ascii="Arial" w:hAnsi="Arial" w:cs="Arial"/>
                <w:b/>
                <w:sz w:val="18"/>
                <w:szCs w:val="18"/>
                <w:lang w:val="en-AU"/>
              </w:rPr>
            </w:pPr>
            <w:r w:rsidRPr="00833794">
              <w:rPr>
                <w:rFonts w:ascii="Arial" w:hAnsi="Arial" w:cs="Arial"/>
                <w:b/>
                <w:sz w:val="18"/>
                <w:szCs w:val="18"/>
                <w:lang w:val="en-AU"/>
              </w:rPr>
              <w:t>Symptomatic recurrent VTE*</w:t>
            </w:r>
          </w:p>
        </w:tc>
        <w:tc>
          <w:tcPr>
            <w:tcW w:w="2925"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36 (2.1%)</w:t>
            </w:r>
          </w:p>
        </w:tc>
        <w:tc>
          <w:tcPr>
            <w:tcW w:w="2880"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51 (3.0%)</w:t>
            </w:r>
          </w:p>
        </w:tc>
      </w:tr>
      <w:tr w:rsidR="0050329B" w:rsidRPr="00833794" w:rsidTr="0050329B">
        <w:trPr>
          <w:cantSplit/>
          <w:trHeight w:val="352"/>
        </w:trPr>
        <w:tc>
          <w:tcPr>
            <w:tcW w:w="2835" w:type="dxa"/>
            <w:shd w:val="clear" w:color="auto" w:fill="auto"/>
            <w:vAlign w:val="center"/>
          </w:tcPr>
          <w:p w:rsidR="0050329B" w:rsidRPr="00833794" w:rsidRDefault="0050329B" w:rsidP="0050329B">
            <w:pPr>
              <w:pStyle w:val="BayerTableRowHeadings"/>
              <w:spacing w:before="60" w:after="60"/>
              <w:ind w:right="46"/>
              <w:rPr>
                <w:rFonts w:ascii="Arial" w:hAnsi="Arial" w:cs="Arial"/>
                <w:b/>
                <w:sz w:val="18"/>
                <w:szCs w:val="18"/>
                <w:lang w:val="en-AU"/>
              </w:rPr>
            </w:pPr>
            <w:r w:rsidRPr="00833794">
              <w:rPr>
                <w:rFonts w:ascii="Arial" w:hAnsi="Arial" w:cs="Arial"/>
                <w:b/>
                <w:sz w:val="18"/>
                <w:szCs w:val="18"/>
                <w:lang w:val="en-AU"/>
              </w:rPr>
              <w:t>Symptomatic recurrent PE</w:t>
            </w:r>
          </w:p>
        </w:tc>
        <w:tc>
          <w:tcPr>
            <w:tcW w:w="2925"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20 (1.2%)</w:t>
            </w:r>
          </w:p>
        </w:tc>
        <w:tc>
          <w:tcPr>
            <w:tcW w:w="2880"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18 (1.0%)</w:t>
            </w:r>
          </w:p>
        </w:tc>
      </w:tr>
      <w:tr w:rsidR="0050329B" w:rsidRPr="00833794" w:rsidTr="0050329B">
        <w:trPr>
          <w:cantSplit/>
          <w:trHeight w:val="361"/>
        </w:trPr>
        <w:tc>
          <w:tcPr>
            <w:tcW w:w="2835" w:type="dxa"/>
            <w:shd w:val="clear" w:color="auto" w:fill="auto"/>
            <w:vAlign w:val="center"/>
          </w:tcPr>
          <w:p w:rsidR="0050329B" w:rsidRPr="00833794" w:rsidRDefault="0050329B" w:rsidP="0050329B">
            <w:pPr>
              <w:pStyle w:val="BayerTableRowHeadings"/>
              <w:spacing w:before="60" w:after="60"/>
              <w:ind w:right="46"/>
              <w:rPr>
                <w:rFonts w:ascii="Arial" w:hAnsi="Arial" w:cs="Arial"/>
                <w:b/>
                <w:sz w:val="18"/>
                <w:szCs w:val="18"/>
                <w:lang w:val="en-AU"/>
              </w:rPr>
            </w:pPr>
            <w:r w:rsidRPr="00833794">
              <w:rPr>
                <w:rFonts w:ascii="Arial" w:hAnsi="Arial" w:cs="Arial"/>
                <w:b/>
                <w:sz w:val="18"/>
                <w:szCs w:val="18"/>
                <w:lang w:val="en-AU"/>
              </w:rPr>
              <w:t>Symptomatic recurrent DVT</w:t>
            </w:r>
          </w:p>
        </w:tc>
        <w:tc>
          <w:tcPr>
            <w:tcW w:w="2925"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14 (0.8%)</w:t>
            </w:r>
          </w:p>
        </w:tc>
        <w:tc>
          <w:tcPr>
            <w:tcW w:w="2880"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28 (1.6%)</w:t>
            </w:r>
          </w:p>
        </w:tc>
      </w:tr>
      <w:tr w:rsidR="0050329B" w:rsidRPr="00833794" w:rsidTr="0050329B">
        <w:trPr>
          <w:cantSplit/>
          <w:trHeight w:val="343"/>
        </w:trPr>
        <w:tc>
          <w:tcPr>
            <w:tcW w:w="2835" w:type="dxa"/>
            <w:shd w:val="clear" w:color="auto" w:fill="auto"/>
            <w:vAlign w:val="center"/>
          </w:tcPr>
          <w:p w:rsidR="0050329B" w:rsidRPr="00833794" w:rsidRDefault="0050329B" w:rsidP="0050329B">
            <w:pPr>
              <w:pStyle w:val="BayerTableRowHeadings"/>
              <w:spacing w:before="60" w:after="60"/>
              <w:ind w:right="46"/>
              <w:rPr>
                <w:rFonts w:ascii="Arial" w:hAnsi="Arial" w:cs="Arial"/>
                <w:b/>
                <w:sz w:val="18"/>
                <w:szCs w:val="18"/>
                <w:lang w:val="en-AU"/>
              </w:rPr>
            </w:pPr>
            <w:r w:rsidRPr="00833794">
              <w:rPr>
                <w:rFonts w:ascii="Arial" w:hAnsi="Arial" w:cs="Arial"/>
                <w:b/>
                <w:sz w:val="18"/>
                <w:szCs w:val="18"/>
                <w:lang w:val="en-AU"/>
              </w:rPr>
              <w:t>Symptomatic PE and DVT</w:t>
            </w:r>
          </w:p>
        </w:tc>
        <w:tc>
          <w:tcPr>
            <w:tcW w:w="2925"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1 (0.1%)</w:t>
            </w:r>
          </w:p>
        </w:tc>
        <w:tc>
          <w:tcPr>
            <w:tcW w:w="2880"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0</w:t>
            </w:r>
          </w:p>
        </w:tc>
      </w:tr>
      <w:tr w:rsidR="0050329B" w:rsidRPr="00833794" w:rsidTr="0050329B">
        <w:trPr>
          <w:cantSplit/>
          <w:trHeight w:val="533"/>
        </w:trPr>
        <w:tc>
          <w:tcPr>
            <w:tcW w:w="2835" w:type="dxa"/>
            <w:shd w:val="clear" w:color="auto" w:fill="auto"/>
            <w:vAlign w:val="center"/>
          </w:tcPr>
          <w:p w:rsidR="0050329B" w:rsidRPr="00833794" w:rsidRDefault="0050329B" w:rsidP="0050329B">
            <w:pPr>
              <w:pStyle w:val="BayerTableRowHeadings"/>
              <w:spacing w:before="60" w:after="60"/>
              <w:ind w:right="46"/>
              <w:rPr>
                <w:rFonts w:ascii="Arial" w:hAnsi="Arial" w:cs="Arial"/>
                <w:b/>
                <w:sz w:val="18"/>
                <w:szCs w:val="18"/>
                <w:lang w:val="en-AU"/>
              </w:rPr>
            </w:pPr>
            <w:r w:rsidRPr="00833794">
              <w:rPr>
                <w:rFonts w:ascii="Arial" w:hAnsi="Arial" w:cs="Arial"/>
                <w:b/>
                <w:sz w:val="18"/>
                <w:szCs w:val="18"/>
                <w:lang w:val="en-AU"/>
              </w:rPr>
              <w:t>Fatal PE/Death where PE cannot be ruled out</w:t>
            </w:r>
          </w:p>
        </w:tc>
        <w:tc>
          <w:tcPr>
            <w:tcW w:w="2925"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4 (0.2%)</w:t>
            </w:r>
          </w:p>
        </w:tc>
        <w:tc>
          <w:tcPr>
            <w:tcW w:w="2880"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6 (0.3%)</w:t>
            </w:r>
          </w:p>
        </w:tc>
      </w:tr>
      <w:tr w:rsidR="0050329B" w:rsidRPr="00833794" w:rsidTr="0050329B">
        <w:trPr>
          <w:cantSplit/>
          <w:trHeight w:val="347"/>
        </w:trPr>
        <w:tc>
          <w:tcPr>
            <w:tcW w:w="2835" w:type="dxa"/>
            <w:shd w:val="clear" w:color="auto" w:fill="auto"/>
            <w:vAlign w:val="center"/>
          </w:tcPr>
          <w:p w:rsidR="0050329B" w:rsidRPr="00833794" w:rsidRDefault="0050329B" w:rsidP="0050329B">
            <w:pPr>
              <w:pStyle w:val="BayerTableRowHeadings"/>
              <w:keepNext/>
              <w:spacing w:before="60" w:after="60"/>
              <w:ind w:right="46"/>
              <w:rPr>
                <w:rFonts w:ascii="Arial" w:hAnsi="Arial" w:cs="Arial"/>
                <w:b/>
                <w:sz w:val="18"/>
                <w:szCs w:val="18"/>
                <w:lang w:val="en-AU"/>
              </w:rPr>
            </w:pPr>
            <w:r w:rsidRPr="00833794">
              <w:rPr>
                <w:rFonts w:ascii="Arial" w:hAnsi="Arial" w:cs="Arial"/>
                <w:b/>
                <w:sz w:val="18"/>
                <w:szCs w:val="18"/>
                <w:lang w:val="en-AU"/>
              </w:rPr>
              <w:t>Major bleeding events</w:t>
            </w:r>
          </w:p>
        </w:tc>
        <w:tc>
          <w:tcPr>
            <w:tcW w:w="2925" w:type="dxa"/>
            <w:shd w:val="clear" w:color="auto" w:fill="auto"/>
            <w:vAlign w:val="center"/>
          </w:tcPr>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14 (0.8%)</w:t>
            </w:r>
          </w:p>
        </w:tc>
        <w:tc>
          <w:tcPr>
            <w:tcW w:w="2880" w:type="dxa"/>
            <w:shd w:val="clear" w:color="auto" w:fill="auto"/>
            <w:vAlign w:val="center"/>
          </w:tcPr>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20 (1.2%)</w:t>
            </w:r>
          </w:p>
        </w:tc>
      </w:tr>
      <w:tr w:rsidR="0050329B" w:rsidRPr="00833794" w:rsidTr="0050329B">
        <w:trPr>
          <w:cantSplit/>
          <w:trHeight w:val="347"/>
        </w:trPr>
        <w:tc>
          <w:tcPr>
            <w:tcW w:w="2835" w:type="dxa"/>
            <w:shd w:val="clear" w:color="auto" w:fill="auto"/>
            <w:vAlign w:val="center"/>
          </w:tcPr>
          <w:p w:rsidR="0050329B" w:rsidRPr="00833794" w:rsidRDefault="0050329B" w:rsidP="0050329B">
            <w:pPr>
              <w:pStyle w:val="NormalWeb"/>
              <w:spacing w:before="60" w:after="60"/>
              <w:ind w:right="46"/>
              <w:jc w:val="left"/>
              <w:rPr>
                <w:rFonts w:ascii="Arial" w:hAnsi="Arial" w:cs="Arial"/>
                <w:b/>
                <w:sz w:val="18"/>
                <w:szCs w:val="18"/>
                <w:lang w:val="en-AU"/>
              </w:rPr>
            </w:pPr>
            <w:r w:rsidRPr="00833794">
              <w:rPr>
                <w:rFonts w:ascii="Arial" w:hAnsi="Arial" w:cs="Arial"/>
                <w:b/>
                <w:bCs/>
                <w:sz w:val="18"/>
                <w:szCs w:val="18"/>
                <w:lang w:val="en-AU"/>
              </w:rPr>
              <w:t>All-cause Mortality</w:t>
            </w:r>
          </w:p>
        </w:tc>
        <w:tc>
          <w:tcPr>
            <w:tcW w:w="2925" w:type="dxa"/>
            <w:shd w:val="clear" w:color="auto" w:fill="auto"/>
            <w:vAlign w:val="center"/>
          </w:tcPr>
          <w:p w:rsidR="0050329B" w:rsidRPr="00833794" w:rsidRDefault="0050329B" w:rsidP="0050329B">
            <w:pPr>
              <w:pStyle w:val="NormalWeb"/>
              <w:spacing w:before="60" w:after="60"/>
              <w:ind w:right="46"/>
              <w:jc w:val="center"/>
              <w:rPr>
                <w:rFonts w:ascii="Arial" w:hAnsi="Arial" w:cs="Arial"/>
                <w:sz w:val="18"/>
                <w:szCs w:val="18"/>
                <w:lang w:val="en-AU"/>
              </w:rPr>
            </w:pPr>
            <w:r w:rsidRPr="00833794">
              <w:rPr>
                <w:rFonts w:ascii="Arial" w:hAnsi="Arial" w:cs="Arial"/>
                <w:sz w:val="18"/>
                <w:szCs w:val="18"/>
                <w:lang w:val="en-AU"/>
              </w:rPr>
              <w:t>38 (2.2%)</w:t>
            </w:r>
          </w:p>
        </w:tc>
        <w:tc>
          <w:tcPr>
            <w:tcW w:w="2880" w:type="dxa"/>
            <w:shd w:val="clear" w:color="auto" w:fill="auto"/>
            <w:vAlign w:val="center"/>
          </w:tcPr>
          <w:p w:rsidR="0050329B" w:rsidRPr="00833794" w:rsidRDefault="0050329B" w:rsidP="0050329B">
            <w:pPr>
              <w:pStyle w:val="NormalWeb"/>
              <w:spacing w:before="60" w:after="60"/>
              <w:ind w:right="46"/>
              <w:jc w:val="center"/>
              <w:rPr>
                <w:rFonts w:ascii="Arial" w:hAnsi="Arial" w:cs="Arial"/>
                <w:sz w:val="18"/>
                <w:szCs w:val="18"/>
                <w:lang w:val="en-AU"/>
              </w:rPr>
            </w:pPr>
            <w:r w:rsidRPr="00833794">
              <w:rPr>
                <w:rFonts w:ascii="Arial" w:hAnsi="Arial" w:cs="Arial"/>
                <w:sz w:val="18"/>
                <w:szCs w:val="18"/>
                <w:lang w:val="en-AU"/>
              </w:rPr>
              <w:t>49 (2.9%)</w:t>
            </w:r>
          </w:p>
        </w:tc>
      </w:tr>
    </w:tbl>
    <w:p w:rsidR="0050329B" w:rsidRPr="00833794" w:rsidRDefault="0050329B" w:rsidP="0050329B">
      <w:pPr>
        <w:pStyle w:val="Default"/>
        <w:widowControl/>
        <w:spacing w:after="120" w:line="300" w:lineRule="atLeast"/>
        <w:ind w:right="46"/>
        <w:rPr>
          <w:rFonts w:ascii="Arial" w:hAnsi="Arial" w:cs="Arial"/>
          <w:sz w:val="20"/>
          <w:szCs w:val="20"/>
          <w:lang w:val="en-AU"/>
        </w:rPr>
      </w:pPr>
      <w:r w:rsidRPr="00833794">
        <w:rPr>
          <w:rFonts w:ascii="Arial" w:hAnsi="Arial" w:cs="Arial"/>
          <w:sz w:val="20"/>
          <w:szCs w:val="20"/>
          <w:lang w:val="en-AU"/>
        </w:rPr>
        <w:t xml:space="preserve">*p: &lt; 0.0001 (non-inferiority), 0.076 (superiority), HR: 0.680 (0.443 </w:t>
      </w:r>
      <w:r w:rsidRPr="00833794">
        <w:rPr>
          <w:rFonts w:ascii="Arial" w:hAnsi="Arial" w:cs="Arial"/>
          <w:sz w:val="20"/>
          <w:szCs w:val="20"/>
          <w:lang w:val="en-AU"/>
        </w:rPr>
        <w:noBreakHyphen/>
        <w:t xml:space="preserve"> 1.042)</w:t>
      </w:r>
    </w:p>
    <w:p w:rsidR="0050329B" w:rsidRPr="00833794" w:rsidRDefault="0050329B" w:rsidP="0050329B">
      <w:pPr>
        <w:pStyle w:val="Default"/>
        <w:spacing w:after="240"/>
        <w:ind w:right="46"/>
        <w:jc w:val="both"/>
        <w:rPr>
          <w:rFonts w:ascii="Arial" w:hAnsi="Arial" w:cs="Arial"/>
          <w:bCs/>
          <w:sz w:val="22"/>
          <w:szCs w:val="22"/>
          <w:lang w:val="en-AU"/>
        </w:rPr>
      </w:pPr>
      <w:r w:rsidRPr="00833794">
        <w:rPr>
          <w:rFonts w:ascii="Arial" w:hAnsi="Arial" w:cs="Arial"/>
          <w:sz w:val="22"/>
          <w:szCs w:val="22"/>
          <w:lang w:val="en-AU"/>
        </w:rPr>
        <w:t xml:space="preserve">In the EINSTEIN PE </w:t>
      </w:r>
      <w:r w:rsidRPr="00E8796E">
        <w:rPr>
          <w:rFonts w:ascii="Arial" w:hAnsi="Arial" w:cs="Arial"/>
          <w:sz w:val="22"/>
          <w:szCs w:val="22"/>
          <w:lang w:val="en-AU"/>
        </w:rPr>
        <w:t>study (</w:t>
      </w:r>
      <w:r w:rsidRPr="00C66ABD">
        <w:rPr>
          <w:rFonts w:ascii="Arial" w:hAnsi="Arial" w:cs="Arial"/>
          <w:iCs/>
          <w:sz w:val="22"/>
          <w:szCs w:val="22"/>
          <w:lang w:val="en-AU"/>
        </w:rPr>
        <w:t>see</w:t>
      </w:r>
      <w:r w:rsidR="00CF65A9" w:rsidRPr="00A111A4">
        <w:rPr>
          <w:rFonts w:ascii="Arial" w:hAnsi="Arial" w:cs="Arial"/>
          <w:iCs/>
          <w:sz w:val="22"/>
          <w:szCs w:val="22"/>
          <w:lang w:val="en-AU"/>
        </w:rPr>
        <w:t xml:space="preserve"> </w:t>
      </w:r>
      <w:fldSimple w:instr=" REF _Ref325642889  \* MERGEFORMAT ">
        <w:r w:rsidR="00A24B67" w:rsidRPr="00B15449">
          <w:rPr>
            <w:rFonts w:ascii="Arial" w:hAnsi="Arial" w:cs="Arial"/>
            <w:sz w:val="22"/>
            <w:szCs w:val="22"/>
            <w:lang w:val="en-AU"/>
          </w:rPr>
          <w:t xml:space="preserve">Table </w:t>
        </w:r>
        <w:r w:rsidR="00A24B67" w:rsidRPr="00B15449">
          <w:rPr>
            <w:rFonts w:ascii="Arial" w:hAnsi="Arial" w:cs="Arial"/>
            <w:noProof/>
            <w:sz w:val="22"/>
            <w:szCs w:val="22"/>
            <w:lang w:val="en-AU"/>
          </w:rPr>
          <w:t>9</w:t>
        </w:r>
      </w:fldSimple>
      <w:r w:rsidRPr="00A111A4">
        <w:rPr>
          <w:rFonts w:ascii="Arial" w:hAnsi="Arial" w:cs="Arial"/>
          <w:sz w:val="22"/>
          <w:szCs w:val="22"/>
          <w:lang w:val="en-AU"/>
        </w:rPr>
        <w:t>) rivaroxaban</w:t>
      </w:r>
      <w:r w:rsidRPr="00833794">
        <w:rPr>
          <w:rFonts w:ascii="Arial" w:hAnsi="Arial" w:cs="Arial"/>
          <w:sz w:val="22"/>
          <w:szCs w:val="22"/>
          <w:lang w:val="en-AU"/>
        </w:rPr>
        <w:t xml:space="preserve"> was demonstrated to be non-inferior to enoxaparin/VKA for the primary efficacy outcome (p</w:t>
      </w:r>
      <w:r w:rsidR="00723E80">
        <w:rPr>
          <w:rFonts w:ascii="Arial" w:hAnsi="Arial" w:cs="Arial"/>
          <w:sz w:val="22"/>
          <w:szCs w:val="22"/>
          <w:lang w:val="en-AU"/>
        </w:rPr>
        <w:t xml:space="preserve"> </w:t>
      </w:r>
      <w:r w:rsidRPr="00833794">
        <w:rPr>
          <w:rFonts w:ascii="Arial" w:hAnsi="Arial" w:cs="Arial"/>
          <w:sz w:val="22"/>
          <w:szCs w:val="22"/>
          <w:lang w:val="en-AU"/>
        </w:rPr>
        <w:t>=</w:t>
      </w:r>
      <w:r w:rsidR="00723E80">
        <w:rPr>
          <w:rFonts w:ascii="Arial" w:hAnsi="Arial" w:cs="Arial"/>
          <w:sz w:val="22"/>
          <w:szCs w:val="22"/>
          <w:lang w:val="en-AU"/>
        </w:rPr>
        <w:t xml:space="preserve"> </w:t>
      </w:r>
      <w:r w:rsidRPr="00833794">
        <w:rPr>
          <w:rFonts w:ascii="Arial" w:hAnsi="Arial" w:cs="Arial"/>
          <w:sz w:val="22"/>
          <w:szCs w:val="22"/>
          <w:lang w:val="en-AU"/>
        </w:rPr>
        <w:t>0.0026 (test for non-inferiority); hazard ratio: 1.12 (0.75 – 1.68)).</w:t>
      </w:r>
      <w:r w:rsidRPr="00833794">
        <w:rPr>
          <w:rFonts w:ascii="Arial" w:hAnsi="Arial" w:cs="Arial"/>
          <w:bCs/>
          <w:sz w:val="22"/>
          <w:szCs w:val="22"/>
          <w:lang w:val="en-AU"/>
        </w:rPr>
        <w:t xml:space="preserve"> The pre</w:t>
      </w:r>
      <w:r w:rsidR="001B6C3F">
        <w:rPr>
          <w:rFonts w:ascii="Arial" w:hAnsi="Arial" w:cs="Arial"/>
          <w:bCs/>
          <w:sz w:val="22"/>
          <w:szCs w:val="22"/>
          <w:lang w:val="en-AU"/>
        </w:rPr>
        <w:t>-</w:t>
      </w:r>
      <w:r w:rsidRPr="00833794">
        <w:rPr>
          <w:rFonts w:ascii="Arial" w:hAnsi="Arial" w:cs="Arial"/>
          <w:bCs/>
          <w:sz w:val="22"/>
          <w:szCs w:val="22"/>
          <w:lang w:val="en-AU"/>
        </w:rPr>
        <w:t>specified net clinical benefit (primary efficacy outcome plus major bleeding events) was reported with a hazard ratio of 0.85 ((95% CI: 0.63 - 1.14), nominal p value p</w:t>
      </w:r>
      <w:r w:rsidR="00AF3870">
        <w:rPr>
          <w:rFonts w:ascii="Arial" w:hAnsi="Arial" w:cs="Arial"/>
          <w:bCs/>
          <w:sz w:val="22"/>
          <w:szCs w:val="22"/>
          <w:lang w:val="en-AU"/>
        </w:rPr>
        <w:t xml:space="preserve"> </w:t>
      </w:r>
      <w:r w:rsidRPr="00833794">
        <w:rPr>
          <w:rFonts w:ascii="Arial" w:hAnsi="Arial" w:cs="Arial"/>
          <w:bCs/>
          <w:sz w:val="22"/>
          <w:szCs w:val="22"/>
          <w:lang w:val="en-AU"/>
        </w:rPr>
        <w:t xml:space="preserve">= 0.275). </w:t>
      </w:r>
    </w:p>
    <w:p w:rsidR="0050329B" w:rsidRPr="00833794" w:rsidRDefault="0050329B" w:rsidP="0050329B">
      <w:pPr>
        <w:pStyle w:val="Default"/>
        <w:spacing w:after="240"/>
        <w:ind w:right="46"/>
        <w:jc w:val="both"/>
        <w:rPr>
          <w:rFonts w:ascii="Arial" w:hAnsi="Arial" w:cs="Arial"/>
          <w:sz w:val="22"/>
          <w:szCs w:val="22"/>
          <w:lang w:val="en-AU"/>
        </w:rPr>
      </w:pPr>
      <w:r w:rsidRPr="00833794">
        <w:rPr>
          <w:rFonts w:ascii="Arial" w:hAnsi="Arial" w:cs="Arial"/>
          <w:sz w:val="22"/>
          <w:szCs w:val="22"/>
          <w:lang w:val="en-AU"/>
        </w:rPr>
        <w:t>The incidence rate for the primary safety outcome (major or clinically relevant non-major bleeding events) was slightly lower in the rivaroxaban treatment group (10.3% (249/2412)) than in the enoxaparin/VKA treatment group (11.4% (274/2405)). The incidence of the secondary safety outcome (major bleeding events) was lower in the rivaroxaban group (1.1% (26/2412)) than in the enoxaparin/VKA group (2.2% (52/2405)) with a hazard ratio 0.49 (95% CI: 0.31 </w:t>
      </w:r>
      <w:r w:rsidRPr="00833794">
        <w:rPr>
          <w:rFonts w:ascii="Arial" w:hAnsi="Arial" w:cs="Arial"/>
          <w:sz w:val="22"/>
          <w:szCs w:val="22"/>
          <w:lang w:val="en-AU"/>
        </w:rPr>
        <w:noBreakHyphen/>
        <w:t> 0.79; p-value for superiority 0.0032).</w:t>
      </w:r>
    </w:p>
    <w:p w:rsidR="0050329B" w:rsidRPr="00833794" w:rsidRDefault="0050329B" w:rsidP="0050329B">
      <w:pPr>
        <w:pStyle w:val="Caption"/>
        <w:rPr>
          <w:rFonts w:ascii="Arial" w:hAnsi="Arial" w:cs="Arial"/>
          <w:lang w:val="en-AU"/>
        </w:rPr>
      </w:pPr>
      <w:bookmarkStart w:id="9" w:name="_Ref325642889"/>
      <w:r w:rsidRPr="00833794">
        <w:rPr>
          <w:rFonts w:ascii="Arial" w:hAnsi="Arial" w:cs="Arial"/>
          <w:lang w:val="en-AU"/>
        </w:rPr>
        <w:t xml:space="preserve">Table </w:t>
      </w:r>
      <w:r w:rsidR="00794C79" w:rsidRPr="00833794">
        <w:rPr>
          <w:rFonts w:ascii="Arial" w:hAnsi="Arial" w:cs="Arial"/>
          <w:lang w:val="en-AU"/>
        </w:rPr>
        <w:fldChar w:fldCharType="begin"/>
      </w:r>
      <w:r w:rsidRPr="00833794">
        <w:rPr>
          <w:rFonts w:ascii="Arial" w:hAnsi="Arial" w:cs="Arial"/>
          <w:lang w:val="en-AU"/>
        </w:rPr>
        <w:instrText xml:space="preserve"> SEQ Table \* ARABIC </w:instrText>
      </w:r>
      <w:r w:rsidR="00794C79" w:rsidRPr="00833794">
        <w:rPr>
          <w:rFonts w:ascii="Arial" w:hAnsi="Arial" w:cs="Arial"/>
          <w:lang w:val="en-AU"/>
        </w:rPr>
        <w:fldChar w:fldCharType="separate"/>
      </w:r>
      <w:r w:rsidR="00A24B67">
        <w:rPr>
          <w:rFonts w:ascii="Arial" w:hAnsi="Arial" w:cs="Arial"/>
          <w:noProof/>
          <w:lang w:val="en-AU"/>
        </w:rPr>
        <w:t>9</w:t>
      </w:r>
      <w:r w:rsidR="00794C79" w:rsidRPr="00833794">
        <w:rPr>
          <w:rFonts w:ascii="Arial" w:hAnsi="Arial" w:cs="Arial"/>
          <w:lang w:val="en-AU"/>
        </w:rPr>
        <w:fldChar w:fldCharType="end"/>
      </w:r>
      <w:bookmarkEnd w:id="9"/>
      <w:r w:rsidRPr="00833794">
        <w:rPr>
          <w:rFonts w:ascii="Arial" w:hAnsi="Arial" w:cs="Arial"/>
          <w:lang w:val="en-AU"/>
        </w:rPr>
        <w:t>: Efficacy and safety results from Phase III EINSTEIN PE</w:t>
      </w:r>
      <w:r w:rsidR="00B618C9">
        <w:rPr>
          <w:rFonts w:ascii="Arial" w:hAnsi="Arial" w:cs="Arial"/>
          <w:lang w:val="en-AU"/>
        </w:rPr>
        <w:t xml:space="preserve"> (PE treatment)</w:t>
      </w:r>
    </w:p>
    <w:tbl>
      <w:tblPr>
        <w:tblW w:w="9214" w:type="dxa"/>
        <w:tblInd w:w="108" w:type="dxa"/>
        <w:tblLook w:val="01E0"/>
      </w:tblPr>
      <w:tblGrid>
        <w:gridCol w:w="3360"/>
        <w:gridCol w:w="3120"/>
        <w:gridCol w:w="2734"/>
      </w:tblGrid>
      <w:tr w:rsidR="0050329B" w:rsidRPr="00833794" w:rsidTr="0050329B">
        <w:trPr>
          <w:cantSplit/>
          <w:tblHeader/>
        </w:trPr>
        <w:tc>
          <w:tcPr>
            <w:tcW w:w="33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329B" w:rsidRPr="00833794" w:rsidRDefault="0050329B" w:rsidP="0050329B">
            <w:pPr>
              <w:pStyle w:val="Default"/>
              <w:spacing w:before="120" w:after="120"/>
              <w:ind w:right="45"/>
              <w:jc w:val="center"/>
              <w:rPr>
                <w:rFonts w:ascii="Arial" w:hAnsi="Arial" w:cs="Arial"/>
                <w:b/>
                <w:sz w:val="18"/>
                <w:szCs w:val="18"/>
                <w:lang w:val="en-AU"/>
              </w:rPr>
            </w:pPr>
            <w:r w:rsidRPr="00833794">
              <w:rPr>
                <w:rFonts w:ascii="Arial" w:hAnsi="Arial" w:cs="Arial"/>
                <w:b/>
                <w:sz w:val="18"/>
                <w:szCs w:val="18"/>
                <w:lang w:val="en-AU"/>
              </w:rPr>
              <w:t>Study population</w:t>
            </w:r>
          </w:p>
        </w:tc>
        <w:tc>
          <w:tcPr>
            <w:tcW w:w="58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0329B" w:rsidRPr="00833794" w:rsidRDefault="0050329B" w:rsidP="0050329B">
            <w:pPr>
              <w:pStyle w:val="Default"/>
              <w:spacing w:before="120" w:after="120"/>
              <w:ind w:right="45"/>
              <w:jc w:val="center"/>
              <w:rPr>
                <w:rFonts w:ascii="Arial" w:hAnsi="Arial" w:cs="Arial"/>
                <w:b/>
                <w:sz w:val="18"/>
                <w:szCs w:val="18"/>
                <w:lang w:val="en-AU"/>
              </w:rPr>
            </w:pPr>
            <w:r w:rsidRPr="00833794">
              <w:rPr>
                <w:rFonts w:ascii="Arial" w:hAnsi="Arial" w:cs="Arial"/>
                <w:b/>
                <w:sz w:val="18"/>
                <w:szCs w:val="18"/>
                <w:lang w:val="en-AU"/>
              </w:rPr>
              <w:t>4,832 patients with an acute symptomatic PE</w:t>
            </w:r>
          </w:p>
        </w:tc>
      </w:tr>
      <w:tr w:rsidR="0050329B" w:rsidRPr="00833794" w:rsidTr="0050329B">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both"/>
              <w:rPr>
                <w:rFonts w:ascii="Arial" w:hAnsi="Arial" w:cs="Arial"/>
                <w:b/>
                <w:sz w:val="18"/>
                <w:szCs w:val="18"/>
                <w:lang w:val="en-AU"/>
              </w:rPr>
            </w:pPr>
            <w:r w:rsidRPr="00833794">
              <w:rPr>
                <w:rFonts w:ascii="Arial" w:hAnsi="Arial" w:cs="Arial"/>
                <w:b/>
                <w:sz w:val="18"/>
                <w:szCs w:val="18"/>
                <w:lang w:val="en-AU"/>
              </w:rPr>
              <w:t>Treatment dosage and duration</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Xarelto</w:t>
            </w:r>
          </w:p>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15 mg BID for 3 weeks followed by 20 mg OD</w:t>
            </w:r>
          </w:p>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3, 6 or 12 months</w:t>
            </w:r>
          </w:p>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N</w:t>
            </w:r>
            <w:r w:rsidR="00971C77">
              <w:rPr>
                <w:rFonts w:ascii="Arial" w:hAnsi="Arial" w:cs="Arial"/>
                <w:sz w:val="18"/>
                <w:szCs w:val="18"/>
                <w:lang w:val="en-AU"/>
              </w:rPr>
              <w:t xml:space="preserve"> </w:t>
            </w:r>
            <w:r w:rsidRPr="00833794">
              <w:rPr>
                <w:rFonts w:ascii="Arial" w:hAnsi="Arial" w:cs="Arial"/>
                <w:sz w:val="18"/>
                <w:szCs w:val="18"/>
                <w:lang w:val="en-AU"/>
              </w:rPr>
              <w:t>=</w:t>
            </w:r>
            <w:r w:rsidR="00971C77">
              <w:rPr>
                <w:rFonts w:ascii="Arial" w:hAnsi="Arial" w:cs="Arial"/>
                <w:sz w:val="18"/>
                <w:szCs w:val="18"/>
                <w:lang w:val="en-AU"/>
              </w:rPr>
              <w:t xml:space="preserve"> </w:t>
            </w:r>
            <w:r w:rsidRPr="00833794">
              <w:rPr>
                <w:rFonts w:ascii="Arial" w:hAnsi="Arial" w:cs="Arial"/>
                <w:sz w:val="18"/>
                <w:szCs w:val="18"/>
                <w:lang w:val="en-AU"/>
              </w:rPr>
              <w:t>2419</w:t>
            </w:r>
          </w:p>
        </w:tc>
        <w:tc>
          <w:tcPr>
            <w:tcW w:w="2734"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Enoxaparin for 5 days followed by VKA</w:t>
            </w:r>
          </w:p>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3, 6 or 12 months</w:t>
            </w:r>
          </w:p>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N</w:t>
            </w:r>
            <w:r w:rsidR="00971C77">
              <w:rPr>
                <w:rFonts w:ascii="Arial" w:hAnsi="Arial" w:cs="Arial"/>
                <w:sz w:val="18"/>
                <w:szCs w:val="18"/>
                <w:lang w:val="en-AU"/>
              </w:rPr>
              <w:t xml:space="preserve"> </w:t>
            </w:r>
            <w:r w:rsidRPr="00833794">
              <w:rPr>
                <w:rFonts w:ascii="Arial" w:hAnsi="Arial" w:cs="Arial"/>
                <w:sz w:val="18"/>
                <w:szCs w:val="18"/>
                <w:lang w:val="en-AU"/>
              </w:rPr>
              <w:t>=</w:t>
            </w:r>
            <w:r w:rsidR="00971C77">
              <w:rPr>
                <w:rFonts w:ascii="Arial" w:hAnsi="Arial" w:cs="Arial"/>
                <w:sz w:val="18"/>
                <w:szCs w:val="18"/>
                <w:lang w:val="en-AU"/>
              </w:rPr>
              <w:t xml:space="preserve"> </w:t>
            </w:r>
            <w:r w:rsidRPr="00833794">
              <w:rPr>
                <w:rFonts w:ascii="Arial" w:hAnsi="Arial" w:cs="Arial"/>
                <w:sz w:val="18"/>
                <w:szCs w:val="18"/>
                <w:lang w:val="en-AU"/>
              </w:rPr>
              <w:t>2413</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both"/>
              <w:rPr>
                <w:rFonts w:ascii="Arial" w:hAnsi="Arial" w:cs="Arial"/>
                <w:b/>
                <w:sz w:val="18"/>
                <w:szCs w:val="18"/>
                <w:lang w:val="en-AU"/>
              </w:rPr>
            </w:pPr>
            <w:r w:rsidRPr="00833794">
              <w:rPr>
                <w:rFonts w:ascii="Arial" w:hAnsi="Arial" w:cs="Arial"/>
                <w:b/>
                <w:sz w:val="18"/>
                <w:szCs w:val="18"/>
                <w:lang w:val="en-AU"/>
              </w:rPr>
              <w:t>Symptomatic recurrent VTE*</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50 (2.1%)</w:t>
            </w:r>
          </w:p>
        </w:tc>
        <w:tc>
          <w:tcPr>
            <w:tcW w:w="2734"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44 (1.8%)</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both"/>
              <w:rPr>
                <w:rFonts w:ascii="Arial" w:hAnsi="Arial" w:cs="Arial"/>
                <w:b/>
                <w:sz w:val="18"/>
                <w:szCs w:val="18"/>
                <w:lang w:val="en-AU"/>
              </w:rPr>
            </w:pPr>
            <w:r w:rsidRPr="00833794">
              <w:rPr>
                <w:rFonts w:ascii="Arial" w:hAnsi="Arial" w:cs="Arial"/>
                <w:b/>
                <w:sz w:val="18"/>
                <w:szCs w:val="18"/>
                <w:lang w:val="en-AU"/>
              </w:rPr>
              <w:t xml:space="preserve">     Symptomatic recurrent PE</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23 (1.0%)</w:t>
            </w:r>
          </w:p>
        </w:tc>
        <w:tc>
          <w:tcPr>
            <w:tcW w:w="2734"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20 (0.8%)</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both"/>
              <w:rPr>
                <w:rFonts w:ascii="Arial" w:hAnsi="Arial" w:cs="Arial"/>
                <w:b/>
                <w:sz w:val="18"/>
                <w:szCs w:val="18"/>
                <w:lang w:val="en-AU"/>
              </w:rPr>
            </w:pPr>
            <w:r w:rsidRPr="00833794">
              <w:rPr>
                <w:rFonts w:ascii="Arial" w:hAnsi="Arial" w:cs="Arial"/>
                <w:b/>
                <w:sz w:val="18"/>
                <w:szCs w:val="18"/>
                <w:lang w:val="en-AU"/>
              </w:rPr>
              <w:lastRenderedPageBreak/>
              <w:t xml:space="preserve">    Symptomatic recurrent DVT</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18 (0.7%)</w:t>
            </w:r>
          </w:p>
        </w:tc>
        <w:tc>
          <w:tcPr>
            <w:tcW w:w="2734"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17 (0.7%)</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both"/>
              <w:rPr>
                <w:rFonts w:ascii="Arial" w:hAnsi="Arial" w:cs="Arial"/>
                <w:b/>
                <w:sz w:val="18"/>
                <w:szCs w:val="18"/>
                <w:lang w:val="en-AU"/>
              </w:rPr>
            </w:pPr>
            <w:r w:rsidRPr="00833794">
              <w:rPr>
                <w:rFonts w:ascii="Arial" w:hAnsi="Arial" w:cs="Arial"/>
                <w:b/>
                <w:sz w:val="18"/>
                <w:szCs w:val="18"/>
                <w:lang w:val="en-AU"/>
              </w:rPr>
              <w:t xml:space="preserve">    Symptomatic PE and DVT</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0</w:t>
            </w:r>
          </w:p>
        </w:tc>
        <w:tc>
          <w:tcPr>
            <w:tcW w:w="2734"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2 (&lt; 0.1%)</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32199B">
            <w:pPr>
              <w:pStyle w:val="Default"/>
              <w:spacing w:before="60" w:after="60"/>
              <w:ind w:left="176" w:right="45"/>
              <w:jc w:val="both"/>
              <w:rPr>
                <w:rFonts w:ascii="Arial" w:hAnsi="Arial" w:cs="Arial"/>
                <w:b/>
                <w:sz w:val="18"/>
                <w:szCs w:val="18"/>
                <w:lang w:val="en-AU"/>
              </w:rPr>
            </w:pPr>
            <w:r w:rsidRPr="00833794">
              <w:rPr>
                <w:rFonts w:ascii="Arial" w:hAnsi="Arial" w:cs="Arial"/>
                <w:b/>
                <w:sz w:val="18"/>
                <w:szCs w:val="18"/>
                <w:lang w:val="en-AU"/>
              </w:rPr>
              <w:t xml:space="preserve">Fatal PE/Death where PE cannot </w:t>
            </w:r>
            <w:r w:rsidR="00750073">
              <w:rPr>
                <w:rFonts w:ascii="Arial" w:hAnsi="Arial" w:cs="Arial"/>
                <w:b/>
                <w:sz w:val="18"/>
                <w:szCs w:val="18"/>
                <w:lang w:val="en-AU"/>
              </w:rPr>
              <w:t xml:space="preserve"> </w:t>
            </w:r>
            <w:r w:rsidRPr="00833794">
              <w:rPr>
                <w:rFonts w:ascii="Arial" w:hAnsi="Arial" w:cs="Arial"/>
                <w:b/>
                <w:sz w:val="18"/>
                <w:szCs w:val="18"/>
                <w:lang w:val="en-AU"/>
              </w:rPr>
              <w:t>be ruled out</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11 (0.5%)</w:t>
            </w:r>
          </w:p>
        </w:tc>
        <w:tc>
          <w:tcPr>
            <w:tcW w:w="2734"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7 (0.3%)</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both"/>
              <w:rPr>
                <w:rFonts w:ascii="Arial" w:hAnsi="Arial" w:cs="Arial"/>
                <w:b/>
                <w:sz w:val="18"/>
                <w:szCs w:val="18"/>
                <w:lang w:val="en-AU"/>
              </w:rPr>
            </w:pPr>
            <w:r w:rsidRPr="00833794">
              <w:rPr>
                <w:rFonts w:ascii="Arial" w:hAnsi="Arial" w:cs="Arial"/>
                <w:b/>
                <w:sz w:val="18"/>
                <w:szCs w:val="18"/>
                <w:lang w:val="en-AU"/>
              </w:rPr>
              <w:t>Major bleeding events</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26 (1.1%)</w:t>
            </w:r>
          </w:p>
        </w:tc>
        <w:tc>
          <w:tcPr>
            <w:tcW w:w="2734"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5"/>
              <w:jc w:val="center"/>
              <w:rPr>
                <w:rFonts w:ascii="Arial" w:hAnsi="Arial" w:cs="Arial"/>
                <w:sz w:val="18"/>
                <w:szCs w:val="18"/>
                <w:lang w:val="en-AU"/>
              </w:rPr>
            </w:pPr>
            <w:r w:rsidRPr="00833794">
              <w:rPr>
                <w:rFonts w:ascii="Arial" w:hAnsi="Arial" w:cs="Arial"/>
                <w:sz w:val="18"/>
                <w:szCs w:val="18"/>
                <w:lang w:val="en-AU"/>
              </w:rPr>
              <w:t>52 (2.2%)</w:t>
            </w:r>
          </w:p>
        </w:tc>
      </w:tr>
    </w:tbl>
    <w:p w:rsidR="0050329B" w:rsidRPr="00833794" w:rsidRDefault="008924D4" w:rsidP="00061E83">
      <w:pPr>
        <w:pStyle w:val="Default"/>
        <w:spacing w:before="60" w:after="240"/>
        <w:ind w:right="45"/>
        <w:jc w:val="both"/>
        <w:rPr>
          <w:rFonts w:ascii="Arial" w:hAnsi="Arial" w:cs="Arial"/>
          <w:sz w:val="20"/>
          <w:szCs w:val="22"/>
          <w:lang w:val="en-AU"/>
        </w:rPr>
      </w:pPr>
      <w:r w:rsidRPr="00061E83">
        <w:rPr>
          <w:rFonts w:ascii="Arial" w:hAnsi="Arial" w:cs="Arial"/>
          <w:sz w:val="20"/>
          <w:szCs w:val="22"/>
          <w:lang w:val="en-AU"/>
        </w:rPr>
        <w:t>*</w:t>
      </w:r>
      <w:r>
        <w:rPr>
          <w:rFonts w:ascii="Arial" w:hAnsi="Arial" w:cs="Arial"/>
          <w:sz w:val="20"/>
          <w:szCs w:val="22"/>
          <w:lang w:val="en-AU"/>
        </w:rPr>
        <w:t xml:space="preserve"> </w:t>
      </w:r>
      <w:r w:rsidR="0050329B" w:rsidRPr="00833794">
        <w:rPr>
          <w:rFonts w:ascii="Arial" w:hAnsi="Arial" w:cs="Arial"/>
          <w:sz w:val="20"/>
          <w:szCs w:val="22"/>
          <w:lang w:val="en-AU"/>
        </w:rPr>
        <w:t>p &lt; 0.0026 (non-inferiority); hazard ratio: 1.12 (0.75 – 1.68)</w:t>
      </w:r>
    </w:p>
    <w:p w:rsidR="0050329B" w:rsidRPr="00833794" w:rsidRDefault="0050329B" w:rsidP="0050329B">
      <w:pPr>
        <w:pStyle w:val="Default"/>
        <w:spacing w:before="120" w:after="240"/>
        <w:ind w:right="45"/>
        <w:jc w:val="both"/>
        <w:rPr>
          <w:rFonts w:ascii="Arial" w:hAnsi="Arial" w:cs="Arial"/>
          <w:sz w:val="22"/>
          <w:szCs w:val="22"/>
          <w:lang w:val="en-AU"/>
        </w:rPr>
      </w:pPr>
      <w:r w:rsidRPr="00833794">
        <w:rPr>
          <w:rFonts w:ascii="Arial" w:hAnsi="Arial" w:cs="Arial"/>
          <w:sz w:val="22"/>
          <w:szCs w:val="22"/>
          <w:lang w:val="en-AU"/>
        </w:rPr>
        <w:t xml:space="preserve">A prespecified pooled analysis of the outcome of the </w:t>
      </w:r>
      <w:r w:rsidR="00EA6FEA" w:rsidRPr="00833794">
        <w:rPr>
          <w:rFonts w:ascii="Arial" w:hAnsi="Arial" w:cs="Arial"/>
          <w:sz w:val="22"/>
          <w:szCs w:val="22"/>
          <w:lang w:val="en-AU"/>
        </w:rPr>
        <w:t xml:space="preserve">EINSTEIN </w:t>
      </w:r>
      <w:r w:rsidRPr="00833794">
        <w:rPr>
          <w:rFonts w:ascii="Arial" w:hAnsi="Arial" w:cs="Arial"/>
          <w:sz w:val="22"/>
          <w:szCs w:val="22"/>
          <w:lang w:val="en-AU"/>
        </w:rPr>
        <w:t xml:space="preserve">DVT and PE studies was </w:t>
      </w:r>
      <w:r w:rsidRPr="00E8796E">
        <w:rPr>
          <w:rFonts w:ascii="Arial" w:hAnsi="Arial" w:cs="Arial"/>
          <w:sz w:val="22"/>
          <w:szCs w:val="22"/>
          <w:lang w:val="en-AU"/>
        </w:rPr>
        <w:t xml:space="preserve">conducted (see </w:t>
      </w:r>
      <w:fldSimple w:instr=" REF _Ref325642767  \* MERGEFORMAT ">
        <w:r w:rsidR="00A24B67" w:rsidRPr="00B15449">
          <w:rPr>
            <w:rFonts w:ascii="Arial" w:hAnsi="Arial" w:cs="Arial"/>
            <w:sz w:val="22"/>
            <w:szCs w:val="22"/>
            <w:lang w:val="en-AU"/>
          </w:rPr>
          <w:t xml:space="preserve">Table </w:t>
        </w:r>
        <w:r w:rsidR="00A24B67" w:rsidRPr="00B15449">
          <w:rPr>
            <w:rFonts w:ascii="Arial" w:hAnsi="Arial" w:cs="Arial"/>
            <w:noProof/>
            <w:sz w:val="22"/>
            <w:szCs w:val="22"/>
            <w:lang w:val="en-AU"/>
          </w:rPr>
          <w:t>10</w:t>
        </w:r>
      </w:fldSimple>
      <w:r w:rsidRPr="00DE2FDC">
        <w:rPr>
          <w:rFonts w:ascii="Arial" w:hAnsi="Arial" w:cs="Arial"/>
          <w:sz w:val="22"/>
          <w:szCs w:val="22"/>
          <w:lang w:val="en-AU"/>
        </w:rPr>
        <w:t>).</w:t>
      </w:r>
    </w:p>
    <w:p w:rsidR="0050329B" w:rsidRPr="00833794" w:rsidRDefault="0050329B" w:rsidP="0050329B">
      <w:pPr>
        <w:pStyle w:val="Caption"/>
        <w:rPr>
          <w:rFonts w:ascii="Arial" w:eastAsia="PMingLiU" w:hAnsi="Arial" w:cs="Arial"/>
          <w:color w:val="000000"/>
          <w:sz w:val="22"/>
          <w:szCs w:val="22"/>
          <w:lang w:val="en-AU" w:eastAsia="zh-TW"/>
        </w:rPr>
      </w:pPr>
      <w:bookmarkStart w:id="10" w:name="_Ref325642767"/>
      <w:r w:rsidRPr="00833794">
        <w:rPr>
          <w:rFonts w:ascii="Arial" w:hAnsi="Arial" w:cs="Arial"/>
          <w:lang w:val="en-AU"/>
        </w:rPr>
        <w:t xml:space="preserve">Table </w:t>
      </w:r>
      <w:r w:rsidR="00794C79" w:rsidRPr="00833794">
        <w:rPr>
          <w:rFonts w:ascii="Arial" w:hAnsi="Arial" w:cs="Arial"/>
          <w:lang w:val="en-AU"/>
        </w:rPr>
        <w:fldChar w:fldCharType="begin"/>
      </w:r>
      <w:r w:rsidRPr="00833794">
        <w:rPr>
          <w:rFonts w:ascii="Arial" w:hAnsi="Arial" w:cs="Arial"/>
          <w:lang w:val="en-AU"/>
        </w:rPr>
        <w:instrText xml:space="preserve"> SEQ Table \* ARABIC </w:instrText>
      </w:r>
      <w:r w:rsidR="00794C79" w:rsidRPr="00833794">
        <w:rPr>
          <w:rFonts w:ascii="Arial" w:hAnsi="Arial" w:cs="Arial"/>
          <w:lang w:val="en-AU"/>
        </w:rPr>
        <w:fldChar w:fldCharType="separate"/>
      </w:r>
      <w:r w:rsidR="00A24B67">
        <w:rPr>
          <w:rFonts w:ascii="Arial" w:hAnsi="Arial" w:cs="Arial"/>
          <w:noProof/>
          <w:lang w:val="en-AU"/>
        </w:rPr>
        <w:t>10</w:t>
      </w:r>
      <w:r w:rsidR="00794C79" w:rsidRPr="00833794">
        <w:rPr>
          <w:rFonts w:ascii="Arial" w:hAnsi="Arial" w:cs="Arial"/>
          <w:lang w:val="en-AU"/>
        </w:rPr>
        <w:fldChar w:fldCharType="end"/>
      </w:r>
      <w:bookmarkEnd w:id="10"/>
      <w:r w:rsidRPr="00833794">
        <w:rPr>
          <w:rFonts w:ascii="Arial" w:hAnsi="Arial" w:cs="Arial"/>
          <w:lang w:val="en-AU"/>
        </w:rPr>
        <w:t xml:space="preserve">: Efficacy and safety results from pooled analysis of Phase III EINSTEIN DVT and EINSTEIN PE </w:t>
      </w:r>
    </w:p>
    <w:tbl>
      <w:tblPr>
        <w:tblW w:w="9360" w:type="dxa"/>
        <w:tblInd w:w="108" w:type="dxa"/>
        <w:tblLook w:val="01E0"/>
      </w:tblPr>
      <w:tblGrid>
        <w:gridCol w:w="3360"/>
        <w:gridCol w:w="3120"/>
        <w:gridCol w:w="2880"/>
      </w:tblGrid>
      <w:tr w:rsidR="0050329B" w:rsidRPr="00833794" w:rsidTr="0050329B">
        <w:trPr>
          <w:cantSplit/>
          <w:tblHeader/>
        </w:trPr>
        <w:tc>
          <w:tcPr>
            <w:tcW w:w="33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329B" w:rsidRPr="00833794" w:rsidRDefault="0050329B" w:rsidP="0050329B">
            <w:pPr>
              <w:pStyle w:val="Default"/>
              <w:spacing w:before="60" w:after="60"/>
              <w:ind w:right="46"/>
              <w:jc w:val="center"/>
              <w:rPr>
                <w:rFonts w:ascii="Arial" w:hAnsi="Arial" w:cs="Arial"/>
                <w:b/>
                <w:sz w:val="18"/>
                <w:szCs w:val="18"/>
                <w:lang w:val="en-AU"/>
              </w:rPr>
            </w:pPr>
            <w:r w:rsidRPr="00833794">
              <w:rPr>
                <w:rFonts w:ascii="Arial" w:hAnsi="Arial" w:cs="Arial"/>
                <w:b/>
                <w:sz w:val="18"/>
                <w:szCs w:val="18"/>
                <w:lang w:val="en-AU"/>
              </w:rPr>
              <w:t>Study population</w:t>
            </w:r>
          </w:p>
        </w:tc>
        <w:tc>
          <w:tcPr>
            <w:tcW w:w="600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0329B" w:rsidRPr="00833794" w:rsidRDefault="0050329B" w:rsidP="0050329B">
            <w:pPr>
              <w:pStyle w:val="Default"/>
              <w:spacing w:before="60" w:after="60"/>
              <w:ind w:right="46"/>
              <w:jc w:val="center"/>
              <w:rPr>
                <w:rFonts w:ascii="Arial" w:hAnsi="Arial" w:cs="Arial"/>
                <w:b/>
                <w:sz w:val="18"/>
                <w:szCs w:val="18"/>
                <w:lang w:val="en-AU"/>
              </w:rPr>
            </w:pPr>
            <w:r w:rsidRPr="00833794">
              <w:rPr>
                <w:rFonts w:ascii="Arial" w:hAnsi="Arial" w:cs="Arial"/>
                <w:b/>
                <w:sz w:val="18"/>
                <w:szCs w:val="18"/>
                <w:lang w:val="en-AU"/>
              </w:rPr>
              <w:t>8,281 patients with an acute symptomatic DVT or PE</w:t>
            </w:r>
          </w:p>
        </w:tc>
      </w:tr>
      <w:tr w:rsidR="0050329B" w:rsidRPr="00833794" w:rsidTr="0050329B">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both"/>
              <w:rPr>
                <w:rFonts w:ascii="Arial" w:hAnsi="Arial" w:cs="Arial"/>
                <w:b/>
                <w:sz w:val="18"/>
                <w:szCs w:val="18"/>
                <w:lang w:val="en-AU"/>
              </w:rPr>
            </w:pPr>
            <w:r w:rsidRPr="00833794">
              <w:rPr>
                <w:rFonts w:ascii="Arial" w:hAnsi="Arial" w:cs="Arial"/>
                <w:b/>
                <w:sz w:val="18"/>
                <w:szCs w:val="18"/>
                <w:lang w:val="en-AU"/>
              </w:rPr>
              <w:t>Treatment dosage and duration</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vertAlign w:val="superscript"/>
                <w:lang w:val="en-AU"/>
              </w:rPr>
            </w:pPr>
            <w:r w:rsidRPr="00833794">
              <w:rPr>
                <w:rFonts w:ascii="Arial" w:hAnsi="Arial" w:cs="Arial"/>
                <w:sz w:val="18"/>
                <w:szCs w:val="18"/>
                <w:lang w:val="en-AU"/>
              </w:rPr>
              <w:t>Xarelto</w:t>
            </w:r>
          </w:p>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15 mg BID for 3 weeks followed by 20 mg OD</w:t>
            </w:r>
          </w:p>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3, 6 or 12 months</w:t>
            </w:r>
          </w:p>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N</w:t>
            </w:r>
            <w:r w:rsidR="002B2B16">
              <w:rPr>
                <w:rFonts w:ascii="Arial" w:hAnsi="Arial" w:cs="Arial"/>
                <w:sz w:val="18"/>
                <w:szCs w:val="18"/>
                <w:lang w:val="en-AU"/>
              </w:rPr>
              <w:t xml:space="preserve"> </w:t>
            </w:r>
            <w:r w:rsidRPr="00833794">
              <w:rPr>
                <w:rFonts w:ascii="Arial" w:hAnsi="Arial" w:cs="Arial"/>
                <w:sz w:val="18"/>
                <w:szCs w:val="18"/>
                <w:lang w:val="en-AU"/>
              </w:rPr>
              <w:t>=</w:t>
            </w:r>
            <w:r w:rsidR="002B2B16">
              <w:rPr>
                <w:rFonts w:ascii="Arial" w:hAnsi="Arial" w:cs="Arial"/>
                <w:sz w:val="18"/>
                <w:szCs w:val="18"/>
                <w:lang w:val="en-AU"/>
              </w:rPr>
              <w:t xml:space="preserve"> </w:t>
            </w:r>
            <w:r w:rsidRPr="00833794">
              <w:rPr>
                <w:rFonts w:ascii="Arial" w:hAnsi="Arial" w:cs="Arial"/>
                <w:sz w:val="18"/>
                <w:szCs w:val="18"/>
                <w:lang w:val="en-AU"/>
              </w:rPr>
              <w:t>4,150</w:t>
            </w:r>
          </w:p>
        </w:tc>
        <w:tc>
          <w:tcPr>
            <w:tcW w:w="288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Enoxaparin for 5 days followed by VKA</w:t>
            </w:r>
          </w:p>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3, 6 or 12 months</w:t>
            </w:r>
          </w:p>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N</w:t>
            </w:r>
            <w:r w:rsidR="002B2B16">
              <w:rPr>
                <w:rFonts w:ascii="Arial" w:hAnsi="Arial" w:cs="Arial"/>
                <w:sz w:val="18"/>
                <w:szCs w:val="18"/>
                <w:lang w:val="en-AU"/>
              </w:rPr>
              <w:t xml:space="preserve"> </w:t>
            </w:r>
            <w:r w:rsidRPr="00833794">
              <w:rPr>
                <w:rFonts w:ascii="Arial" w:hAnsi="Arial" w:cs="Arial"/>
                <w:sz w:val="18"/>
                <w:szCs w:val="18"/>
                <w:lang w:val="en-AU"/>
              </w:rPr>
              <w:t>=</w:t>
            </w:r>
            <w:r w:rsidR="002B2B16">
              <w:rPr>
                <w:rFonts w:ascii="Arial" w:hAnsi="Arial" w:cs="Arial"/>
                <w:sz w:val="18"/>
                <w:szCs w:val="18"/>
                <w:lang w:val="en-AU"/>
              </w:rPr>
              <w:t xml:space="preserve"> </w:t>
            </w:r>
            <w:r w:rsidRPr="00833794">
              <w:rPr>
                <w:rFonts w:ascii="Arial" w:hAnsi="Arial" w:cs="Arial"/>
                <w:sz w:val="18"/>
                <w:szCs w:val="18"/>
                <w:lang w:val="en-AU"/>
              </w:rPr>
              <w:t>4,131</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both"/>
              <w:rPr>
                <w:rFonts w:ascii="Arial" w:hAnsi="Arial" w:cs="Arial"/>
                <w:b/>
                <w:sz w:val="18"/>
                <w:szCs w:val="18"/>
                <w:lang w:val="en-AU"/>
              </w:rPr>
            </w:pPr>
            <w:r w:rsidRPr="00833794">
              <w:rPr>
                <w:rFonts w:ascii="Arial" w:hAnsi="Arial" w:cs="Arial"/>
                <w:b/>
                <w:sz w:val="18"/>
                <w:szCs w:val="18"/>
                <w:lang w:val="en-AU"/>
              </w:rPr>
              <w:t>Symptomatic recurrent VTE*</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86 (2.1%)</w:t>
            </w:r>
          </w:p>
        </w:tc>
        <w:tc>
          <w:tcPr>
            <w:tcW w:w="288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95 (2.3%)</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both"/>
              <w:rPr>
                <w:rFonts w:ascii="Arial" w:hAnsi="Arial" w:cs="Arial"/>
                <w:b/>
                <w:sz w:val="18"/>
                <w:szCs w:val="18"/>
                <w:lang w:val="en-AU"/>
              </w:rPr>
            </w:pPr>
            <w:r w:rsidRPr="00833794">
              <w:rPr>
                <w:rFonts w:ascii="Arial" w:hAnsi="Arial" w:cs="Arial"/>
                <w:b/>
                <w:sz w:val="18"/>
                <w:szCs w:val="18"/>
                <w:lang w:val="en-AU"/>
              </w:rPr>
              <w:t xml:space="preserve">     Symptomatic recurrent PE</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43 (1.0%)</w:t>
            </w:r>
          </w:p>
        </w:tc>
        <w:tc>
          <w:tcPr>
            <w:tcW w:w="288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38 (0.9%)</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both"/>
              <w:rPr>
                <w:rFonts w:ascii="Arial" w:hAnsi="Arial" w:cs="Arial"/>
                <w:b/>
                <w:sz w:val="18"/>
                <w:szCs w:val="18"/>
                <w:lang w:val="en-AU"/>
              </w:rPr>
            </w:pPr>
            <w:r w:rsidRPr="00833794">
              <w:rPr>
                <w:rFonts w:ascii="Arial" w:hAnsi="Arial" w:cs="Arial"/>
                <w:b/>
                <w:sz w:val="18"/>
                <w:szCs w:val="18"/>
                <w:lang w:val="en-AU"/>
              </w:rPr>
              <w:t xml:space="preserve">    Symptomatic recurrent DVT</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32 (0.8%)</w:t>
            </w:r>
          </w:p>
        </w:tc>
        <w:tc>
          <w:tcPr>
            <w:tcW w:w="288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45 (1.1%)</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both"/>
              <w:rPr>
                <w:rFonts w:ascii="Arial" w:hAnsi="Arial" w:cs="Arial"/>
                <w:b/>
                <w:sz w:val="18"/>
                <w:szCs w:val="18"/>
                <w:lang w:val="en-AU"/>
              </w:rPr>
            </w:pPr>
            <w:r w:rsidRPr="00833794">
              <w:rPr>
                <w:rFonts w:ascii="Arial" w:hAnsi="Arial" w:cs="Arial"/>
                <w:b/>
                <w:sz w:val="18"/>
                <w:szCs w:val="18"/>
                <w:lang w:val="en-AU"/>
              </w:rPr>
              <w:t xml:space="preserve">    Symptomatic PE and DVT</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1 (&lt;0.1%)</w:t>
            </w:r>
          </w:p>
        </w:tc>
        <w:tc>
          <w:tcPr>
            <w:tcW w:w="288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2 (&lt;0.1%)</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both"/>
              <w:rPr>
                <w:rFonts w:ascii="Arial" w:hAnsi="Arial" w:cs="Arial"/>
                <w:b/>
                <w:sz w:val="18"/>
                <w:szCs w:val="18"/>
                <w:lang w:val="en-AU"/>
              </w:rPr>
            </w:pPr>
            <w:r w:rsidRPr="00833794">
              <w:rPr>
                <w:rFonts w:ascii="Arial" w:hAnsi="Arial" w:cs="Arial"/>
                <w:b/>
                <w:sz w:val="18"/>
                <w:szCs w:val="18"/>
                <w:lang w:val="en-AU"/>
              </w:rPr>
              <w:t xml:space="preserve">    Fatal PE/Death where PE cannot be ruled out</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15 (0.4%)</w:t>
            </w:r>
          </w:p>
        </w:tc>
        <w:tc>
          <w:tcPr>
            <w:tcW w:w="288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13 (0.3%)</w:t>
            </w:r>
          </w:p>
        </w:tc>
      </w:tr>
      <w:tr w:rsidR="0050329B" w:rsidRPr="00833794" w:rsidTr="0050329B">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both"/>
              <w:rPr>
                <w:rFonts w:ascii="Arial" w:hAnsi="Arial" w:cs="Arial"/>
                <w:b/>
                <w:sz w:val="18"/>
                <w:szCs w:val="18"/>
                <w:lang w:val="en-AU"/>
              </w:rPr>
            </w:pPr>
            <w:r w:rsidRPr="00833794">
              <w:rPr>
                <w:rFonts w:ascii="Arial" w:hAnsi="Arial" w:cs="Arial"/>
                <w:b/>
                <w:sz w:val="18"/>
                <w:szCs w:val="18"/>
                <w:lang w:val="en-AU"/>
              </w:rPr>
              <w:t>Major bleeding events</w:t>
            </w:r>
          </w:p>
        </w:tc>
        <w:tc>
          <w:tcPr>
            <w:tcW w:w="312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40 (1.0%)</w:t>
            </w:r>
          </w:p>
        </w:tc>
        <w:tc>
          <w:tcPr>
            <w:tcW w:w="2880" w:type="dxa"/>
            <w:tcBorders>
              <w:top w:val="single" w:sz="4" w:space="0" w:color="auto"/>
              <w:left w:val="single" w:sz="4" w:space="0" w:color="auto"/>
              <w:bottom w:val="single" w:sz="4" w:space="0" w:color="auto"/>
              <w:right w:val="single" w:sz="4" w:space="0" w:color="auto"/>
            </w:tcBorders>
            <w:vAlign w:val="center"/>
            <w:hideMark/>
          </w:tcPr>
          <w:p w:rsidR="0050329B" w:rsidRPr="00833794" w:rsidRDefault="0050329B" w:rsidP="0050329B">
            <w:pPr>
              <w:pStyle w:val="Default"/>
              <w:spacing w:before="60" w:after="60"/>
              <w:ind w:right="46"/>
              <w:jc w:val="center"/>
              <w:rPr>
                <w:rFonts w:ascii="Arial" w:hAnsi="Arial" w:cs="Arial"/>
                <w:sz w:val="18"/>
                <w:szCs w:val="18"/>
                <w:lang w:val="en-AU"/>
              </w:rPr>
            </w:pPr>
            <w:r w:rsidRPr="00833794">
              <w:rPr>
                <w:rFonts w:ascii="Arial" w:hAnsi="Arial" w:cs="Arial"/>
                <w:sz w:val="18"/>
                <w:szCs w:val="18"/>
                <w:lang w:val="en-AU"/>
              </w:rPr>
              <w:t>72 (1.7%)</w:t>
            </w:r>
          </w:p>
        </w:tc>
      </w:tr>
    </w:tbl>
    <w:p w:rsidR="0050329B" w:rsidRPr="00833794" w:rsidRDefault="008924D4" w:rsidP="00061E83">
      <w:pPr>
        <w:pStyle w:val="Default"/>
        <w:spacing w:before="60" w:after="240"/>
        <w:ind w:right="45"/>
        <w:jc w:val="both"/>
        <w:rPr>
          <w:rFonts w:ascii="Arial" w:hAnsi="Arial" w:cs="Arial"/>
          <w:sz w:val="20"/>
          <w:szCs w:val="21"/>
          <w:lang w:val="en-AU"/>
        </w:rPr>
      </w:pPr>
      <w:r w:rsidRPr="002A03C2">
        <w:rPr>
          <w:rFonts w:ascii="Arial" w:hAnsi="Arial" w:cs="Arial"/>
          <w:b/>
          <w:sz w:val="20"/>
          <w:szCs w:val="21"/>
          <w:lang w:val="en-AU"/>
        </w:rPr>
        <w:t>*</w:t>
      </w:r>
      <w:r>
        <w:rPr>
          <w:rFonts w:ascii="Arial" w:hAnsi="Arial" w:cs="Arial"/>
          <w:sz w:val="20"/>
          <w:szCs w:val="21"/>
          <w:lang w:val="en-AU"/>
        </w:rPr>
        <w:t xml:space="preserve"> </w:t>
      </w:r>
      <w:r w:rsidR="0050329B" w:rsidRPr="00833794">
        <w:rPr>
          <w:rFonts w:ascii="Arial" w:hAnsi="Arial" w:cs="Arial"/>
          <w:sz w:val="20"/>
          <w:szCs w:val="21"/>
          <w:lang w:val="en-AU"/>
        </w:rPr>
        <w:t xml:space="preserve">p &lt; 0.001 (non-inferiority); hazard ratio: 0.89 (0.66 – 1.19) </w:t>
      </w:r>
    </w:p>
    <w:p w:rsidR="0050329B" w:rsidRPr="00833794" w:rsidRDefault="0050329B" w:rsidP="0050329B">
      <w:pPr>
        <w:pStyle w:val="Default"/>
        <w:spacing w:after="240"/>
        <w:ind w:right="46"/>
        <w:jc w:val="both"/>
        <w:rPr>
          <w:rFonts w:ascii="Arial" w:hAnsi="Arial" w:cs="Arial"/>
          <w:sz w:val="22"/>
          <w:szCs w:val="22"/>
          <w:u w:val="single"/>
          <w:lang w:val="en-AU"/>
        </w:rPr>
      </w:pPr>
      <w:r w:rsidRPr="00833794">
        <w:rPr>
          <w:rFonts w:ascii="Arial" w:hAnsi="Arial" w:cs="Arial"/>
          <w:sz w:val="22"/>
          <w:szCs w:val="22"/>
          <w:u w:val="single"/>
          <w:lang w:val="en-AU"/>
        </w:rPr>
        <w:t>EINSTEIN Extension study</w:t>
      </w:r>
    </w:p>
    <w:p w:rsidR="0050329B" w:rsidRPr="00833794" w:rsidRDefault="0050329B" w:rsidP="0050329B">
      <w:pPr>
        <w:pStyle w:val="Default"/>
        <w:spacing w:after="240"/>
        <w:ind w:right="46"/>
        <w:jc w:val="both"/>
        <w:rPr>
          <w:rFonts w:ascii="Arial" w:hAnsi="Arial" w:cs="Arial"/>
          <w:sz w:val="22"/>
          <w:szCs w:val="22"/>
          <w:lang w:val="en-AU"/>
        </w:rPr>
      </w:pPr>
      <w:r w:rsidRPr="00833794">
        <w:rPr>
          <w:rFonts w:ascii="Arial" w:hAnsi="Arial" w:cs="Arial"/>
          <w:sz w:val="22"/>
          <w:szCs w:val="22"/>
          <w:lang w:val="en-AU"/>
        </w:rPr>
        <w:t>EINSTEIN Extension, a double blind, randomised, event driven superiority study included 1,197 patients with confirmed symptomatic DVT or PE. Xarelto 20 mg once daily was compared with placebo for an additional 6 to 12 months in patients who had completed initial treatment for DVT or PE for 6 to 14 months; where clinical uncertainty with respect to the need for continued anticoagulation existed. Patients with moderate renal impairment (creatinine clearance 30 </w:t>
      </w:r>
      <w:r w:rsidRPr="00833794">
        <w:rPr>
          <w:rFonts w:ascii="Arial" w:hAnsi="Arial" w:cs="Arial"/>
          <w:sz w:val="22"/>
          <w:szCs w:val="22"/>
          <w:lang w:val="en-AU"/>
        </w:rPr>
        <w:noBreakHyphen/>
        <w:t xml:space="preserve"> 49 mL/min) were treated with the same dose as patients with creatinine clearance above 50 mL/min (i.e. 20 mg once daily). The treatment duration, assigned prior to randomisation, was based on the clinical judgement of the investigator. </w:t>
      </w:r>
    </w:p>
    <w:p w:rsidR="0050329B" w:rsidRPr="00833794" w:rsidRDefault="0050329B" w:rsidP="0050329B">
      <w:pPr>
        <w:pStyle w:val="Default"/>
        <w:spacing w:after="240"/>
        <w:ind w:right="46"/>
        <w:jc w:val="both"/>
        <w:rPr>
          <w:rFonts w:ascii="Arial" w:hAnsi="Arial" w:cs="Arial"/>
          <w:sz w:val="22"/>
          <w:szCs w:val="22"/>
          <w:lang w:val="en-AU"/>
        </w:rPr>
      </w:pPr>
      <w:r w:rsidRPr="00833794">
        <w:rPr>
          <w:rFonts w:ascii="Arial" w:hAnsi="Arial" w:cs="Arial"/>
          <w:sz w:val="22"/>
          <w:szCs w:val="22"/>
          <w:lang w:val="en-AU"/>
        </w:rPr>
        <w:t>In the EINSTEIN-</w:t>
      </w:r>
      <w:r w:rsidRPr="00E8796E">
        <w:rPr>
          <w:rFonts w:ascii="Arial" w:hAnsi="Arial" w:cs="Arial"/>
          <w:sz w:val="22"/>
          <w:szCs w:val="22"/>
          <w:lang w:val="en-AU"/>
        </w:rPr>
        <w:t xml:space="preserve">Extension study (see </w:t>
      </w:r>
      <w:fldSimple w:instr=" REF _Ref325642965  \* MERGEFORMAT ">
        <w:r w:rsidR="00A24B67" w:rsidRPr="00B15449">
          <w:rPr>
            <w:rFonts w:ascii="Arial" w:hAnsi="Arial" w:cs="Arial"/>
            <w:sz w:val="22"/>
            <w:szCs w:val="22"/>
            <w:lang w:val="en-AU"/>
          </w:rPr>
          <w:t xml:space="preserve">Table </w:t>
        </w:r>
        <w:r w:rsidR="00A24B67" w:rsidRPr="00B15449">
          <w:rPr>
            <w:rFonts w:ascii="Arial" w:hAnsi="Arial" w:cs="Arial"/>
            <w:noProof/>
            <w:sz w:val="22"/>
            <w:szCs w:val="22"/>
            <w:lang w:val="en-AU"/>
          </w:rPr>
          <w:t>11</w:t>
        </w:r>
      </w:fldSimple>
      <w:r w:rsidRPr="007F7E33">
        <w:rPr>
          <w:rFonts w:ascii="Arial" w:hAnsi="Arial" w:cs="Arial"/>
          <w:sz w:val="22"/>
          <w:szCs w:val="22"/>
          <w:lang w:val="en-AU"/>
        </w:rPr>
        <w:t>), Xarelto</w:t>
      </w:r>
      <w:r w:rsidRPr="00833794">
        <w:rPr>
          <w:rFonts w:ascii="Arial" w:hAnsi="Arial" w:cs="Arial"/>
          <w:sz w:val="22"/>
          <w:szCs w:val="22"/>
          <w:lang w:val="en-AU"/>
        </w:rPr>
        <w:t xml:space="preserve"> was superior to placebo for the primary efficacy outcome with a HR of 0.18 [95% CI = 0.09 – 0.39], p &lt;0.001 (i.e. a relative risk reduction of 82%). For the principal safety outcome (major bleeding events) there was no significant difference between patients treated with Xarelto compared to placebo (p = 0.11). Therefore, the pre-defined secondary outcome of net clinical benefit, defined as the composite </w:t>
      </w:r>
      <w:r w:rsidRPr="00833794">
        <w:rPr>
          <w:rFonts w:ascii="Arial" w:hAnsi="Arial" w:cs="Arial"/>
          <w:sz w:val="22"/>
          <w:szCs w:val="22"/>
          <w:lang w:val="en-AU"/>
        </w:rPr>
        <w:lastRenderedPageBreak/>
        <w:t xml:space="preserve">of the primary efficacy outcome and major bleeding events, was reported with a HR of 0.28 ([95% CI = 0.15 – 0.53], p &lt; 0.001) in favour of Xarelto. </w:t>
      </w:r>
    </w:p>
    <w:p w:rsidR="0050329B" w:rsidRPr="00833794" w:rsidRDefault="0050329B" w:rsidP="0050329B">
      <w:pPr>
        <w:pStyle w:val="Caption"/>
        <w:ind w:right="46"/>
        <w:rPr>
          <w:rFonts w:ascii="Arial" w:hAnsi="Arial" w:cs="Arial"/>
          <w:lang w:val="en-AU"/>
        </w:rPr>
      </w:pPr>
      <w:bookmarkStart w:id="11" w:name="_Ref325642965"/>
      <w:r w:rsidRPr="00833794">
        <w:rPr>
          <w:rFonts w:ascii="Arial" w:hAnsi="Arial" w:cs="Arial"/>
          <w:lang w:val="en-AU"/>
        </w:rPr>
        <w:t xml:space="preserve">Table </w:t>
      </w:r>
      <w:r w:rsidR="00794C79" w:rsidRPr="00833794">
        <w:rPr>
          <w:rFonts w:ascii="Arial" w:hAnsi="Arial" w:cs="Arial"/>
          <w:lang w:val="en-AU"/>
        </w:rPr>
        <w:fldChar w:fldCharType="begin"/>
      </w:r>
      <w:r w:rsidRPr="00833794">
        <w:rPr>
          <w:rFonts w:ascii="Arial" w:hAnsi="Arial" w:cs="Arial"/>
          <w:lang w:val="en-AU"/>
        </w:rPr>
        <w:instrText xml:space="preserve"> SEQ Table \* ARABIC </w:instrText>
      </w:r>
      <w:r w:rsidR="00794C79" w:rsidRPr="00833794">
        <w:rPr>
          <w:rFonts w:ascii="Arial" w:hAnsi="Arial" w:cs="Arial"/>
          <w:lang w:val="en-AU"/>
        </w:rPr>
        <w:fldChar w:fldCharType="separate"/>
      </w:r>
      <w:r w:rsidR="00A24B67">
        <w:rPr>
          <w:rFonts w:ascii="Arial" w:hAnsi="Arial" w:cs="Arial"/>
          <w:noProof/>
          <w:lang w:val="en-AU"/>
        </w:rPr>
        <w:t>11</w:t>
      </w:r>
      <w:r w:rsidR="00794C79" w:rsidRPr="00833794">
        <w:rPr>
          <w:rFonts w:ascii="Arial" w:hAnsi="Arial" w:cs="Arial"/>
          <w:lang w:val="en-AU"/>
        </w:rPr>
        <w:fldChar w:fldCharType="end"/>
      </w:r>
      <w:bookmarkEnd w:id="11"/>
      <w:r w:rsidRPr="00833794">
        <w:rPr>
          <w:rFonts w:ascii="Arial" w:hAnsi="Arial" w:cs="Arial"/>
          <w:lang w:val="en-AU"/>
        </w:rPr>
        <w:t xml:space="preserve">: Efficacy and safety results from Phase </w:t>
      </w:r>
      <w:smartTag w:uri="urn:schemas-microsoft-com:office:smarttags" w:element="PlaceType">
        <w:r w:rsidRPr="00833794">
          <w:rPr>
            <w:rFonts w:ascii="Arial" w:hAnsi="Arial" w:cs="Arial"/>
            <w:lang w:val="en-AU"/>
          </w:rPr>
          <w:t>III</w:t>
        </w:r>
      </w:smartTag>
      <w:r w:rsidRPr="00833794">
        <w:rPr>
          <w:rFonts w:ascii="Arial" w:hAnsi="Arial" w:cs="Arial"/>
          <w:lang w:val="en-AU"/>
        </w:rPr>
        <w:t xml:space="preserve"> EINSTEIN EXTENSION (Prevention of recurrent DVT and PE)</w:t>
      </w:r>
    </w:p>
    <w:tbl>
      <w:tblPr>
        <w:tblW w:w="8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7"/>
        <w:gridCol w:w="2080"/>
        <w:gridCol w:w="2577"/>
      </w:tblGrid>
      <w:tr w:rsidR="0050329B" w:rsidRPr="00833794" w:rsidTr="0050329B">
        <w:trPr>
          <w:cantSplit/>
          <w:trHeight w:val="523"/>
          <w:tblHeader/>
        </w:trPr>
        <w:tc>
          <w:tcPr>
            <w:tcW w:w="4157" w:type="dxa"/>
            <w:shd w:val="clear" w:color="auto" w:fill="E0E0E0"/>
            <w:vAlign w:val="center"/>
          </w:tcPr>
          <w:p w:rsidR="0050329B" w:rsidRPr="00833794" w:rsidRDefault="0050329B" w:rsidP="0050329B">
            <w:pPr>
              <w:pStyle w:val="BayerTableColumnHeadings"/>
              <w:keepNext/>
              <w:spacing w:before="60" w:after="60"/>
              <w:ind w:right="46"/>
              <w:rPr>
                <w:rFonts w:ascii="Arial" w:hAnsi="Arial" w:cs="Arial"/>
                <w:sz w:val="18"/>
                <w:szCs w:val="18"/>
                <w:lang w:val="en-AU"/>
              </w:rPr>
            </w:pPr>
            <w:r w:rsidRPr="00833794">
              <w:rPr>
                <w:rFonts w:ascii="Arial" w:hAnsi="Arial" w:cs="Arial"/>
                <w:sz w:val="18"/>
                <w:szCs w:val="18"/>
                <w:lang w:val="en-AU"/>
              </w:rPr>
              <w:t>Study Population</w:t>
            </w:r>
          </w:p>
        </w:tc>
        <w:tc>
          <w:tcPr>
            <w:tcW w:w="4657" w:type="dxa"/>
            <w:gridSpan w:val="2"/>
            <w:shd w:val="clear" w:color="auto" w:fill="E0E0E0"/>
            <w:vAlign w:val="center"/>
          </w:tcPr>
          <w:p w:rsidR="0050329B" w:rsidRPr="00833794" w:rsidRDefault="0050329B" w:rsidP="0050329B">
            <w:pPr>
              <w:pStyle w:val="BayerTableColumnHeadings"/>
              <w:keepNext/>
              <w:spacing w:before="60" w:after="60"/>
              <w:ind w:right="46"/>
              <w:rPr>
                <w:rFonts w:ascii="Arial" w:hAnsi="Arial" w:cs="Arial"/>
                <w:sz w:val="18"/>
                <w:szCs w:val="18"/>
                <w:lang w:val="en-AU"/>
              </w:rPr>
            </w:pPr>
            <w:r w:rsidRPr="00833794">
              <w:rPr>
                <w:rFonts w:ascii="Arial" w:hAnsi="Arial" w:cs="Arial"/>
                <w:sz w:val="18"/>
                <w:szCs w:val="18"/>
                <w:lang w:val="en-AU"/>
              </w:rPr>
              <w:t xml:space="preserve">1197 patients </w:t>
            </w:r>
            <w:r w:rsidRPr="00833794">
              <w:rPr>
                <w:rFonts w:ascii="Arial" w:hAnsi="Arial" w:cs="Arial"/>
                <w:iCs/>
                <w:sz w:val="18"/>
                <w:szCs w:val="18"/>
                <w:lang w:val="en-AU"/>
              </w:rPr>
              <w:t>continued treatment and prevention</w:t>
            </w:r>
            <w:r w:rsidRPr="00833794">
              <w:rPr>
                <w:rFonts w:ascii="Arial" w:hAnsi="Arial" w:cs="Arial"/>
                <w:iCs/>
                <w:sz w:val="18"/>
                <w:szCs w:val="18"/>
                <w:lang w:val="en-AU"/>
              </w:rPr>
              <w:br/>
              <w:t xml:space="preserve">of recurrent </w:t>
            </w:r>
            <w:r w:rsidRPr="00833794">
              <w:rPr>
                <w:rFonts w:ascii="Arial" w:hAnsi="Arial" w:cs="Arial"/>
                <w:sz w:val="18"/>
                <w:szCs w:val="18"/>
                <w:lang w:val="en-AU"/>
              </w:rPr>
              <w:t>venous thromboembolism</w:t>
            </w:r>
          </w:p>
        </w:tc>
      </w:tr>
      <w:tr w:rsidR="0050329B" w:rsidRPr="00833794" w:rsidTr="0050329B">
        <w:trPr>
          <w:cantSplit/>
          <w:tblHeader/>
        </w:trPr>
        <w:tc>
          <w:tcPr>
            <w:tcW w:w="4157" w:type="dxa"/>
            <w:shd w:val="clear" w:color="auto" w:fill="auto"/>
            <w:vAlign w:val="center"/>
          </w:tcPr>
          <w:p w:rsidR="0050329B" w:rsidRPr="00833794" w:rsidRDefault="0050329B" w:rsidP="0050329B">
            <w:pPr>
              <w:pStyle w:val="BayerTableRowHeadings"/>
              <w:keepNext/>
              <w:spacing w:before="60" w:after="60"/>
              <w:ind w:right="46"/>
              <w:rPr>
                <w:rFonts w:ascii="Arial" w:hAnsi="Arial" w:cs="Arial"/>
                <w:b/>
                <w:sz w:val="18"/>
                <w:szCs w:val="18"/>
                <w:lang w:val="en-AU"/>
              </w:rPr>
            </w:pPr>
            <w:r w:rsidRPr="00833794">
              <w:rPr>
                <w:rFonts w:ascii="Arial" w:hAnsi="Arial" w:cs="Arial"/>
                <w:b/>
                <w:sz w:val="18"/>
                <w:szCs w:val="18"/>
                <w:lang w:val="en-AU"/>
              </w:rPr>
              <w:t>Treatment Dosage and Duration</w:t>
            </w:r>
          </w:p>
        </w:tc>
        <w:tc>
          <w:tcPr>
            <w:tcW w:w="2080" w:type="dxa"/>
            <w:shd w:val="clear" w:color="auto" w:fill="auto"/>
            <w:vAlign w:val="center"/>
          </w:tcPr>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Xarelto 20 mg OD</w:t>
            </w:r>
            <w:r w:rsidRPr="00833794">
              <w:rPr>
                <w:rFonts w:ascii="Arial" w:hAnsi="Arial" w:cs="Arial"/>
                <w:sz w:val="18"/>
                <w:szCs w:val="18"/>
                <w:lang w:val="en-AU"/>
              </w:rPr>
              <w:br/>
              <w:t>6 or 12 months</w:t>
            </w:r>
          </w:p>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N</w:t>
            </w:r>
            <w:r w:rsidR="002B2B16">
              <w:rPr>
                <w:rFonts w:ascii="Arial" w:hAnsi="Arial" w:cs="Arial"/>
                <w:sz w:val="18"/>
                <w:szCs w:val="18"/>
                <w:lang w:val="en-AU"/>
              </w:rPr>
              <w:t xml:space="preserve"> </w:t>
            </w:r>
            <w:r w:rsidRPr="00833794">
              <w:rPr>
                <w:rFonts w:ascii="Arial" w:hAnsi="Arial" w:cs="Arial"/>
                <w:sz w:val="18"/>
                <w:szCs w:val="18"/>
                <w:lang w:val="en-AU"/>
              </w:rPr>
              <w:t>=</w:t>
            </w:r>
            <w:r w:rsidR="002B2B16">
              <w:rPr>
                <w:rFonts w:ascii="Arial" w:hAnsi="Arial" w:cs="Arial"/>
                <w:sz w:val="18"/>
                <w:szCs w:val="18"/>
                <w:lang w:val="en-AU"/>
              </w:rPr>
              <w:t xml:space="preserve"> </w:t>
            </w:r>
            <w:r w:rsidRPr="00833794">
              <w:rPr>
                <w:rFonts w:ascii="Arial" w:hAnsi="Arial" w:cs="Arial"/>
                <w:sz w:val="18"/>
                <w:szCs w:val="18"/>
                <w:lang w:val="en-AU"/>
              </w:rPr>
              <w:t>602</w:t>
            </w:r>
          </w:p>
        </w:tc>
        <w:tc>
          <w:tcPr>
            <w:tcW w:w="2577" w:type="dxa"/>
            <w:shd w:val="clear" w:color="auto" w:fill="auto"/>
            <w:vAlign w:val="center"/>
          </w:tcPr>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Placebo</w:t>
            </w:r>
            <w:r w:rsidRPr="00833794">
              <w:rPr>
                <w:rFonts w:ascii="Arial" w:hAnsi="Arial" w:cs="Arial"/>
                <w:sz w:val="18"/>
                <w:szCs w:val="18"/>
                <w:lang w:val="en-AU"/>
              </w:rPr>
              <w:br/>
              <w:t>6 or 12 months</w:t>
            </w:r>
          </w:p>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N</w:t>
            </w:r>
            <w:r w:rsidR="002B2B16">
              <w:rPr>
                <w:rFonts w:ascii="Arial" w:hAnsi="Arial" w:cs="Arial"/>
                <w:sz w:val="18"/>
                <w:szCs w:val="18"/>
                <w:lang w:val="en-AU"/>
              </w:rPr>
              <w:t xml:space="preserve"> </w:t>
            </w:r>
            <w:r w:rsidRPr="00833794">
              <w:rPr>
                <w:rFonts w:ascii="Arial" w:hAnsi="Arial" w:cs="Arial"/>
                <w:sz w:val="18"/>
                <w:szCs w:val="18"/>
                <w:lang w:val="en-AU"/>
              </w:rPr>
              <w:t>=</w:t>
            </w:r>
            <w:r w:rsidR="002B2B16">
              <w:rPr>
                <w:rFonts w:ascii="Arial" w:hAnsi="Arial" w:cs="Arial"/>
                <w:sz w:val="18"/>
                <w:szCs w:val="18"/>
                <w:lang w:val="en-AU"/>
              </w:rPr>
              <w:t xml:space="preserve"> </w:t>
            </w:r>
            <w:r w:rsidRPr="00833794">
              <w:rPr>
                <w:rFonts w:ascii="Arial" w:hAnsi="Arial" w:cs="Arial"/>
                <w:sz w:val="18"/>
                <w:szCs w:val="18"/>
                <w:lang w:val="en-AU"/>
              </w:rPr>
              <w:t>594</w:t>
            </w:r>
          </w:p>
        </w:tc>
      </w:tr>
      <w:tr w:rsidR="0050329B" w:rsidRPr="00833794" w:rsidTr="0050329B">
        <w:trPr>
          <w:cantSplit/>
        </w:trPr>
        <w:tc>
          <w:tcPr>
            <w:tcW w:w="4157" w:type="dxa"/>
            <w:shd w:val="clear" w:color="auto" w:fill="auto"/>
            <w:vAlign w:val="center"/>
          </w:tcPr>
          <w:p w:rsidR="0050329B" w:rsidRPr="00833794" w:rsidRDefault="0050329B" w:rsidP="0050329B">
            <w:pPr>
              <w:pStyle w:val="BayerTableRowHeadings"/>
              <w:spacing w:before="60" w:after="60"/>
              <w:ind w:right="46"/>
              <w:rPr>
                <w:rFonts w:ascii="Arial" w:hAnsi="Arial" w:cs="Arial"/>
                <w:b/>
                <w:sz w:val="18"/>
                <w:szCs w:val="18"/>
                <w:lang w:val="en-AU"/>
              </w:rPr>
            </w:pPr>
            <w:r w:rsidRPr="00833794">
              <w:rPr>
                <w:rFonts w:ascii="Arial" w:hAnsi="Arial" w:cs="Arial"/>
                <w:b/>
                <w:sz w:val="18"/>
                <w:szCs w:val="18"/>
                <w:lang w:val="en-AU"/>
              </w:rPr>
              <w:t>Symptomatic recurrent VTE*</w:t>
            </w:r>
          </w:p>
        </w:tc>
        <w:tc>
          <w:tcPr>
            <w:tcW w:w="2080"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8 (1.3%)</w:t>
            </w:r>
          </w:p>
        </w:tc>
        <w:tc>
          <w:tcPr>
            <w:tcW w:w="2577"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42 (7.1%)</w:t>
            </w:r>
          </w:p>
        </w:tc>
      </w:tr>
      <w:tr w:rsidR="0050329B" w:rsidRPr="00833794" w:rsidTr="0050329B">
        <w:trPr>
          <w:cantSplit/>
        </w:trPr>
        <w:tc>
          <w:tcPr>
            <w:tcW w:w="4157" w:type="dxa"/>
            <w:shd w:val="clear" w:color="auto" w:fill="auto"/>
            <w:vAlign w:val="center"/>
          </w:tcPr>
          <w:p w:rsidR="0050329B" w:rsidRPr="00833794" w:rsidRDefault="0050329B" w:rsidP="0050329B">
            <w:pPr>
              <w:pStyle w:val="BayerTableRowHeadings"/>
              <w:spacing w:before="60" w:after="60"/>
              <w:ind w:right="46"/>
              <w:rPr>
                <w:rFonts w:ascii="Arial" w:hAnsi="Arial" w:cs="Arial"/>
                <w:b/>
                <w:sz w:val="18"/>
                <w:szCs w:val="18"/>
                <w:lang w:val="en-AU"/>
              </w:rPr>
            </w:pPr>
            <w:r w:rsidRPr="00833794">
              <w:rPr>
                <w:rFonts w:ascii="Arial" w:hAnsi="Arial" w:cs="Arial"/>
                <w:b/>
                <w:sz w:val="18"/>
                <w:szCs w:val="18"/>
                <w:lang w:val="en-AU"/>
              </w:rPr>
              <w:t>Symptomatic recurrent PE</w:t>
            </w:r>
          </w:p>
        </w:tc>
        <w:tc>
          <w:tcPr>
            <w:tcW w:w="2080"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2 (0.3%)</w:t>
            </w:r>
          </w:p>
        </w:tc>
        <w:tc>
          <w:tcPr>
            <w:tcW w:w="2577"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13 (2.2%)</w:t>
            </w:r>
          </w:p>
        </w:tc>
      </w:tr>
      <w:tr w:rsidR="0050329B" w:rsidRPr="00833794" w:rsidTr="0050329B">
        <w:trPr>
          <w:cantSplit/>
        </w:trPr>
        <w:tc>
          <w:tcPr>
            <w:tcW w:w="4157" w:type="dxa"/>
            <w:shd w:val="clear" w:color="auto" w:fill="auto"/>
            <w:vAlign w:val="center"/>
          </w:tcPr>
          <w:p w:rsidR="0050329B" w:rsidRPr="00833794" w:rsidRDefault="0050329B" w:rsidP="0050329B">
            <w:pPr>
              <w:pStyle w:val="BayerTableRowHeadings"/>
              <w:spacing w:before="60" w:after="60"/>
              <w:ind w:right="46"/>
              <w:rPr>
                <w:rFonts w:ascii="Arial" w:hAnsi="Arial" w:cs="Arial"/>
                <w:b/>
                <w:sz w:val="18"/>
                <w:szCs w:val="18"/>
                <w:lang w:val="en-AU"/>
              </w:rPr>
            </w:pPr>
            <w:r w:rsidRPr="00833794">
              <w:rPr>
                <w:rFonts w:ascii="Arial" w:hAnsi="Arial" w:cs="Arial"/>
                <w:b/>
                <w:sz w:val="18"/>
                <w:szCs w:val="18"/>
                <w:lang w:val="en-AU"/>
              </w:rPr>
              <w:t>Symptomatic recurrent DVT</w:t>
            </w:r>
          </w:p>
        </w:tc>
        <w:tc>
          <w:tcPr>
            <w:tcW w:w="2080"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5 (0.8%)</w:t>
            </w:r>
          </w:p>
        </w:tc>
        <w:tc>
          <w:tcPr>
            <w:tcW w:w="2577"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31 (5.2%)</w:t>
            </w:r>
          </w:p>
        </w:tc>
      </w:tr>
      <w:tr w:rsidR="0050329B" w:rsidRPr="00833794" w:rsidTr="0050329B">
        <w:trPr>
          <w:cantSplit/>
        </w:trPr>
        <w:tc>
          <w:tcPr>
            <w:tcW w:w="4157" w:type="dxa"/>
            <w:shd w:val="clear" w:color="auto" w:fill="auto"/>
            <w:vAlign w:val="center"/>
          </w:tcPr>
          <w:p w:rsidR="0050329B" w:rsidRPr="00833794" w:rsidRDefault="0050329B" w:rsidP="0050329B">
            <w:pPr>
              <w:pStyle w:val="BayerTableRowHeadings"/>
              <w:spacing w:before="60" w:after="60"/>
              <w:ind w:right="46"/>
              <w:rPr>
                <w:rFonts w:ascii="Arial" w:hAnsi="Arial" w:cs="Arial"/>
                <w:b/>
                <w:sz w:val="18"/>
                <w:szCs w:val="18"/>
                <w:lang w:val="en-AU"/>
              </w:rPr>
            </w:pPr>
            <w:r w:rsidRPr="00833794">
              <w:rPr>
                <w:rFonts w:ascii="Arial" w:hAnsi="Arial" w:cs="Arial"/>
                <w:b/>
                <w:sz w:val="18"/>
                <w:szCs w:val="18"/>
                <w:lang w:val="en-AU"/>
              </w:rPr>
              <w:t>Fatal PE/Death where PE cannot be ruled out</w:t>
            </w:r>
          </w:p>
        </w:tc>
        <w:tc>
          <w:tcPr>
            <w:tcW w:w="2080"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1 (0.2%)</w:t>
            </w:r>
          </w:p>
        </w:tc>
        <w:tc>
          <w:tcPr>
            <w:tcW w:w="2577" w:type="dxa"/>
            <w:shd w:val="clear" w:color="auto" w:fill="auto"/>
            <w:vAlign w:val="center"/>
          </w:tcPr>
          <w:p w:rsidR="0050329B" w:rsidRPr="00833794" w:rsidRDefault="0050329B" w:rsidP="0050329B">
            <w:pPr>
              <w:pStyle w:val="BayerBodyTextFull"/>
              <w:spacing w:before="60" w:after="60"/>
              <w:ind w:right="46"/>
              <w:jc w:val="center"/>
              <w:rPr>
                <w:rFonts w:ascii="Arial" w:hAnsi="Arial" w:cs="Arial"/>
                <w:sz w:val="18"/>
                <w:szCs w:val="18"/>
                <w:lang w:val="en-AU"/>
              </w:rPr>
            </w:pPr>
            <w:r w:rsidRPr="00833794">
              <w:rPr>
                <w:rFonts w:ascii="Arial" w:hAnsi="Arial" w:cs="Arial"/>
                <w:sz w:val="18"/>
                <w:szCs w:val="18"/>
                <w:lang w:val="en-AU"/>
              </w:rPr>
              <w:t>1 (0.2%)</w:t>
            </w:r>
          </w:p>
        </w:tc>
      </w:tr>
      <w:tr w:rsidR="0050329B" w:rsidRPr="00833794" w:rsidTr="0050329B">
        <w:trPr>
          <w:cantSplit/>
        </w:trPr>
        <w:tc>
          <w:tcPr>
            <w:tcW w:w="4157" w:type="dxa"/>
            <w:shd w:val="clear" w:color="auto" w:fill="auto"/>
            <w:vAlign w:val="center"/>
          </w:tcPr>
          <w:p w:rsidR="0050329B" w:rsidRPr="00833794" w:rsidRDefault="0050329B" w:rsidP="0050329B">
            <w:pPr>
              <w:pStyle w:val="BayerTableRowHeadings"/>
              <w:keepNext/>
              <w:spacing w:before="60" w:after="60"/>
              <w:ind w:right="46"/>
              <w:rPr>
                <w:rFonts w:ascii="Arial" w:hAnsi="Arial" w:cs="Arial"/>
                <w:b/>
                <w:sz w:val="18"/>
                <w:szCs w:val="18"/>
                <w:lang w:val="en-AU"/>
              </w:rPr>
            </w:pPr>
            <w:r w:rsidRPr="00833794">
              <w:rPr>
                <w:rFonts w:ascii="Arial" w:hAnsi="Arial" w:cs="Arial"/>
                <w:b/>
                <w:sz w:val="18"/>
                <w:szCs w:val="18"/>
                <w:lang w:val="en-AU"/>
              </w:rPr>
              <w:t>Major bleeding events</w:t>
            </w:r>
          </w:p>
        </w:tc>
        <w:tc>
          <w:tcPr>
            <w:tcW w:w="2080" w:type="dxa"/>
            <w:shd w:val="clear" w:color="auto" w:fill="auto"/>
            <w:vAlign w:val="center"/>
          </w:tcPr>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4 (0.7%)</w:t>
            </w:r>
          </w:p>
        </w:tc>
        <w:tc>
          <w:tcPr>
            <w:tcW w:w="2577" w:type="dxa"/>
            <w:shd w:val="clear" w:color="auto" w:fill="auto"/>
            <w:vAlign w:val="center"/>
          </w:tcPr>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0 (0.0%)</w:t>
            </w:r>
          </w:p>
        </w:tc>
      </w:tr>
      <w:tr w:rsidR="0050329B" w:rsidRPr="00833794" w:rsidTr="0050329B">
        <w:trPr>
          <w:cantSplit/>
          <w:trHeight w:val="347"/>
        </w:trPr>
        <w:tc>
          <w:tcPr>
            <w:tcW w:w="4157" w:type="dxa"/>
            <w:shd w:val="clear" w:color="auto" w:fill="auto"/>
            <w:vAlign w:val="center"/>
          </w:tcPr>
          <w:p w:rsidR="0050329B" w:rsidRPr="00833794" w:rsidRDefault="0050329B" w:rsidP="0050329B">
            <w:pPr>
              <w:pStyle w:val="BayerTableRowHeadings"/>
              <w:keepNext/>
              <w:spacing w:before="60" w:after="60"/>
              <w:ind w:right="46"/>
              <w:rPr>
                <w:rFonts w:ascii="Arial" w:hAnsi="Arial" w:cs="Arial"/>
                <w:b/>
                <w:sz w:val="18"/>
                <w:szCs w:val="18"/>
                <w:lang w:val="en-AU"/>
              </w:rPr>
            </w:pPr>
            <w:r w:rsidRPr="00833794">
              <w:rPr>
                <w:rFonts w:ascii="Arial" w:hAnsi="Arial" w:cs="Arial"/>
                <w:b/>
                <w:sz w:val="18"/>
                <w:szCs w:val="18"/>
                <w:lang w:val="en-AU"/>
              </w:rPr>
              <w:t>All-cause mortality</w:t>
            </w:r>
          </w:p>
        </w:tc>
        <w:tc>
          <w:tcPr>
            <w:tcW w:w="2080" w:type="dxa"/>
            <w:shd w:val="clear" w:color="auto" w:fill="auto"/>
            <w:vAlign w:val="center"/>
          </w:tcPr>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38 (2.2%)</w:t>
            </w:r>
          </w:p>
        </w:tc>
        <w:tc>
          <w:tcPr>
            <w:tcW w:w="2577" w:type="dxa"/>
            <w:shd w:val="clear" w:color="auto" w:fill="auto"/>
            <w:vAlign w:val="center"/>
          </w:tcPr>
          <w:p w:rsidR="0050329B" w:rsidRPr="00833794" w:rsidRDefault="0050329B" w:rsidP="0050329B">
            <w:pPr>
              <w:pStyle w:val="BayerBodyTextFull"/>
              <w:keepNext/>
              <w:spacing w:before="60" w:after="60"/>
              <w:ind w:right="46"/>
              <w:jc w:val="center"/>
              <w:rPr>
                <w:rFonts w:ascii="Arial" w:hAnsi="Arial" w:cs="Arial"/>
                <w:sz w:val="18"/>
                <w:szCs w:val="18"/>
                <w:lang w:val="en-AU"/>
              </w:rPr>
            </w:pPr>
            <w:r w:rsidRPr="00833794">
              <w:rPr>
                <w:rFonts w:ascii="Arial" w:hAnsi="Arial" w:cs="Arial"/>
                <w:sz w:val="18"/>
                <w:szCs w:val="18"/>
                <w:lang w:val="en-AU"/>
              </w:rPr>
              <w:t>49 (2.9%)</w:t>
            </w:r>
          </w:p>
        </w:tc>
      </w:tr>
    </w:tbl>
    <w:p w:rsidR="0050329B" w:rsidRPr="00833794" w:rsidRDefault="0050329B" w:rsidP="0050329B">
      <w:pPr>
        <w:pStyle w:val="Default"/>
        <w:widowControl/>
        <w:spacing w:after="120" w:line="300" w:lineRule="atLeast"/>
        <w:ind w:right="46"/>
        <w:rPr>
          <w:rFonts w:ascii="Arial" w:hAnsi="Arial" w:cs="Arial"/>
          <w:sz w:val="20"/>
          <w:szCs w:val="20"/>
          <w:lang w:val="en-AU"/>
        </w:rPr>
      </w:pPr>
      <w:r w:rsidRPr="00833794">
        <w:rPr>
          <w:rFonts w:ascii="Arial" w:hAnsi="Arial" w:cs="Arial"/>
          <w:sz w:val="20"/>
          <w:szCs w:val="20"/>
          <w:lang w:val="en-AU"/>
        </w:rPr>
        <w:t xml:space="preserve">* p: &lt; 0.0001 (superiority),  HR: 0.185 (0.087 </w:t>
      </w:r>
      <w:r w:rsidRPr="00833794">
        <w:rPr>
          <w:rFonts w:ascii="Arial" w:hAnsi="Arial" w:cs="Arial"/>
          <w:sz w:val="20"/>
          <w:szCs w:val="20"/>
          <w:lang w:val="en-AU"/>
        </w:rPr>
        <w:noBreakHyphen/>
        <w:t xml:space="preserve"> 0.393)</w:t>
      </w:r>
    </w:p>
    <w:p w:rsidR="0050329B" w:rsidRPr="002742BE" w:rsidRDefault="0050329B" w:rsidP="0050329B">
      <w:pPr>
        <w:pStyle w:val="Default"/>
        <w:spacing w:after="240"/>
        <w:ind w:right="46"/>
        <w:jc w:val="both"/>
        <w:rPr>
          <w:rFonts w:ascii="Arial" w:hAnsi="Arial" w:cs="Arial"/>
          <w:sz w:val="22"/>
          <w:szCs w:val="22"/>
          <w:lang w:val="en-AU"/>
        </w:rPr>
      </w:pPr>
      <w:r w:rsidRPr="00833794">
        <w:rPr>
          <w:rFonts w:ascii="Arial" w:hAnsi="Arial" w:cs="Arial"/>
          <w:sz w:val="22"/>
          <w:szCs w:val="22"/>
          <w:lang w:val="en-AU"/>
        </w:rPr>
        <w:t>In terms of other secondary outcomes, vascular events occurred in 3 patients in the Xarelto arm and 4 patients in the placebo group (HR of 0.74 [95% CI = 0.17 – 3.3], p = 0.69), and total mortality accounted for 1 (0.2%) vs. 2 (0.3%) of patients in the Xarelto vs. placebo arms, respectively.</w:t>
      </w:r>
    </w:p>
    <w:p w:rsidR="001D1004" w:rsidRPr="002742BE" w:rsidRDefault="001D1004" w:rsidP="00F04C47">
      <w:pPr>
        <w:pStyle w:val="Heading1"/>
        <w:spacing w:before="120" w:line="240" w:lineRule="auto"/>
        <w:ind w:right="46"/>
        <w:rPr>
          <w:rFonts w:ascii="Arial" w:hAnsi="Arial" w:cs="Arial"/>
          <w:sz w:val="24"/>
          <w:szCs w:val="24"/>
        </w:rPr>
      </w:pPr>
      <w:r w:rsidRPr="002742BE">
        <w:rPr>
          <w:rFonts w:ascii="Arial" w:hAnsi="Arial" w:cs="Arial"/>
          <w:sz w:val="24"/>
          <w:szCs w:val="24"/>
        </w:rPr>
        <w:t>INDICATIONS</w:t>
      </w:r>
    </w:p>
    <w:p w:rsidR="001F3445" w:rsidRPr="002742BE" w:rsidRDefault="00E8487E"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Xarelto </w:t>
      </w:r>
      <w:r w:rsidR="001D1004" w:rsidRPr="002742BE">
        <w:rPr>
          <w:rFonts w:ascii="Arial" w:hAnsi="Arial" w:cs="Arial"/>
          <w:sz w:val="22"/>
          <w:szCs w:val="22"/>
          <w:lang w:val="en-AU"/>
        </w:rPr>
        <w:t xml:space="preserve">is indicated for </w:t>
      </w:r>
    </w:p>
    <w:p w:rsidR="001D1004" w:rsidRPr="002742BE" w:rsidRDefault="001F3445" w:rsidP="0056504A">
      <w:pPr>
        <w:numPr>
          <w:ilvl w:val="0"/>
          <w:numId w:val="8"/>
        </w:numPr>
        <w:tabs>
          <w:tab w:val="clear" w:pos="720"/>
        </w:tabs>
        <w:spacing w:before="120" w:after="120"/>
        <w:ind w:left="567" w:right="46" w:hanging="567"/>
        <w:jc w:val="both"/>
        <w:rPr>
          <w:rFonts w:ascii="Arial" w:hAnsi="Arial" w:cs="Arial"/>
          <w:sz w:val="22"/>
          <w:szCs w:val="22"/>
          <w:lang w:val="en-AU"/>
        </w:rPr>
      </w:pPr>
      <w:r w:rsidRPr="002742BE">
        <w:rPr>
          <w:rFonts w:ascii="Arial" w:hAnsi="Arial" w:cs="Arial"/>
          <w:sz w:val="22"/>
          <w:szCs w:val="22"/>
          <w:lang w:val="en-AU"/>
        </w:rPr>
        <w:t xml:space="preserve">Prevention </w:t>
      </w:r>
      <w:r w:rsidR="001D1004" w:rsidRPr="002742BE">
        <w:rPr>
          <w:rFonts w:ascii="Arial" w:hAnsi="Arial" w:cs="Arial"/>
          <w:sz w:val="22"/>
          <w:szCs w:val="22"/>
          <w:lang w:val="en-AU"/>
        </w:rPr>
        <w:t xml:space="preserve">of venous thromboembolism (VTE) in </w:t>
      </w:r>
      <w:r w:rsidR="0070764F" w:rsidRPr="002742BE">
        <w:rPr>
          <w:rFonts w:ascii="Arial" w:hAnsi="Arial" w:cs="Arial"/>
          <w:sz w:val="22"/>
          <w:szCs w:val="22"/>
          <w:lang w:val="en-AU"/>
        </w:rPr>
        <w:t xml:space="preserve">adult </w:t>
      </w:r>
      <w:r w:rsidR="001D1004" w:rsidRPr="002742BE">
        <w:rPr>
          <w:rFonts w:ascii="Arial" w:hAnsi="Arial" w:cs="Arial"/>
          <w:sz w:val="22"/>
          <w:szCs w:val="22"/>
          <w:lang w:val="en-AU"/>
        </w:rPr>
        <w:t xml:space="preserve">patients </w:t>
      </w:r>
      <w:r w:rsidR="00000110" w:rsidRPr="002742BE">
        <w:rPr>
          <w:rFonts w:ascii="Arial" w:hAnsi="Arial" w:cs="Arial"/>
          <w:sz w:val="22"/>
          <w:szCs w:val="22"/>
          <w:lang w:val="en-AU"/>
        </w:rPr>
        <w:t xml:space="preserve">who have undergone </w:t>
      </w:r>
      <w:r w:rsidR="001D1004" w:rsidRPr="002742BE">
        <w:rPr>
          <w:rFonts w:ascii="Arial" w:hAnsi="Arial" w:cs="Arial"/>
          <w:sz w:val="22"/>
          <w:szCs w:val="22"/>
          <w:lang w:val="en-AU"/>
        </w:rPr>
        <w:t>major orthopaedic surgery of the lower limbs</w:t>
      </w:r>
      <w:r w:rsidR="008368FC" w:rsidRPr="002742BE">
        <w:rPr>
          <w:rFonts w:ascii="Arial" w:hAnsi="Arial" w:cs="Arial"/>
          <w:sz w:val="22"/>
          <w:szCs w:val="22"/>
          <w:lang w:val="en-AU"/>
        </w:rPr>
        <w:t xml:space="preserve"> (elective total hip</w:t>
      </w:r>
      <w:r w:rsidR="00C13157" w:rsidRPr="002742BE">
        <w:rPr>
          <w:rFonts w:ascii="Arial" w:hAnsi="Arial" w:cs="Arial"/>
          <w:sz w:val="22"/>
          <w:szCs w:val="22"/>
          <w:lang w:val="en-AU"/>
        </w:rPr>
        <w:t xml:space="preserve"> replacement</w:t>
      </w:r>
      <w:r w:rsidR="00197C70" w:rsidRPr="002742BE">
        <w:rPr>
          <w:rFonts w:ascii="Arial" w:hAnsi="Arial" w:cs="Arial"/>
          <w:sz w:val="22"/>
          <w:szCs w:val="22"/>
          <w:lang w:val="en-AU"/>
        </w:rPr>
        <w:t>,</w:t>
      </w:r>
      <w:r w:rsidR="004C1932" w:rsidRPr="002742BE">
        <w:rPr>
          <w:rFonts w:ascii="Arial" w:hAnsi="Arial" w:cs="Arial"/>
          <w:sz w:val="22"/>
          <w:szCs w:val="22"/>
          <w:lang w:val="en-AU"/>
        </w:rPr>
        <w:t xml:space="preserve"> treatment </w:t>
      </w:r>
      <w:r w:rsidR="00D94130" w:rsidRPr="002742BE">
        <w:rPr>
          <w:rFonts w:ascii="Arial" w:hAnsi="Arial" w:cs="Arial"/>
          <w:sz w:val="22"/>
          <w:szCs w:val="22"/>
          <w:lang w:val="en-AU"/>
        </w:rPr>
        <w:t xml:space="preserve">for </w:t>
      </w:r>
      <w:r w:rsidR="004C1932" w:rsidRPr="002742BE">
        <w:rPr>
          <w:rFonts w:ascii="Arial" w:hAnsi="Arial" w:cs="Arial"/>
          <w:sz w:val="22"/>
          <w:szCs w:val="22"/>
          <w:lang w:val="en-AU"/>
        </w:rPr>
        <w:t>up to</w:t>
      </w:r>
      <w:r w:rsidR="008D5C56" w:rsidRPr="002742BE">
        <w:rPr>
          <w:rFonts w:ascii="Arial" w:hAnsi="Arial" w:cs="Arial"/>
          <w:sz w:val="22"/>
          <w:szCs w:val="22"/>
          <w:lang w:val="en-AU"/>
        </w:rPr>
        <w:t xml:space="preserve"> 5 </w:t>
      </w:r>
      <w:r w:rsidR="00A560D7" w:rsidRPr="002742BE">
        <w:rPr>
          <w:rFonts w:ascii="Arial" w:hAnsi="Arial" w:cs="Arial"/>
          <w:sz w:val="22"/>
          <w:szCs w:val="22"/>
          <w:lang w:val="en-AU"/>
        </w:rPr>
        <w:t>weeks</w:t>
      </w:r>
      <w:r w:rsidR="00197C70" w:rsidRPr="002742BE">
        <w:rPr>
          <w:rFonts w:ascii="Arial" w:hAnsi="Arial" w:cs="Arial"/>
          <w:sz w:val="22"/>
          <w:szCs w:val="22"/>
          <w:lang w:val="en-AU"/>
        </w:rPr>
        <w:t>;</w:t>
      </w:r>
      <w:r w:rsidR="008D5C56" w:rsidRPr="002742BE">
        <w:rPr>
          <w:rFonts w:ascii="Arial" w:hAnsi="Arial" w:cs="Arial"/>
          <w:sz w:val="22"/>
          <w:szCs w:val="22"/>
          <w:lang w:val="en-AU"/>
        </w:rPr>
        <w:t xml:space="preserve"> </w:t>
      </w:r>
      <w:r w:rsidR="00197C70" w:rsidRPr="002742BE">
        <w:rPr>
          <w:rFonts w:ascii="Arial" w:hAnsi="Arial" w:cs="Arial"/>
          <w:sz w:val="22"/>
          <w:szCs w:val="22"/>
          <w:lang w:val="en-AU"/>
        </w:rPr>
        <w:t xml:space="preserve">elective total </w:t>
      </w:r>
      <w:r w:rsidR="008368FC" w:rsidRPr="002742BE">
        <w:rPr>
          <w:rFonts w:ascii="Arial" w:hAnsi="Arial" w:cs="Arial"/>
          <w:sz w:val="22"/>
          <w:szCs w:val="22"/>
          <w:lang w:val="en-AU"/>
        </w:rPr>
        <w:t>knee replacement</w:t>
      </w:r>
      <w:r w:rsidR="00197C70" w:rsidRPr="002742BE">
        <w:rPr>
          <w:rFonts w:ascii="Arial" w:hAnsi="Arial" w:cs="Arial"/>
          <w:sz w:val="22"/>
          <w:szCs w:val="22"/>
          <w:lang w:val="en-AU"/>
        </w:rPr>
        <w:t>,</w:t>
      </w:r>
      <w:r w:rsidR="004C1932" w:rsidRPr="002742BE">
        <w:rPr>
          <w:rFonts w:ascii="Arial" w:hAnsi="Arial" w:cs="Arial"/>
          <w:sz w:val="22"/>
          <w:szCs w:val="22"/>
          <w:lang w:val="en-AU"/>
        </w:rPr>
        <w:t xml:space="preserve"> treatment </w:t>
      </w:r>
      <w:r w:rsidR="00D94130" w:rsidRPr="002742BE">
        <w:rPr>
          <w:rFonts w:ascii="Arial" w:hAnsi="Arial" w:cs="Arial"/>
          <w:sz w:val="22"/>
          <w:szCs w:val="22"/>
          <w:lang w:val="en-AU"/>
        </w:rPr>
        <w:t xml:space="preserve">for </w:t>
      </w:r>
      <w:r w:rsidR="004C1932" w:rsidRPr="002742BE">
        <w:rPr>
          <w:rFonts w:ascii="Arial" w:hAnsi="Arial" w:cs="Arial"/>
          <w:sz w:val="22"/>
          <w:szCs w:val="22"/>
          <w:lang w:val="en-AU"/>
        </w:rPr>
        <w:t xml:space="preserve">up to </w:t>
      </w:r>
      <w:r w:rsidR="00A560D7" w:rsidRPr="002742BE">
        <w:rPr>
          <w:rFonts w:ascii="Arial" w:hAnsi="Arial" w:cs="Arial"/>
          <w:sz w:val="22"/>
          <w:szCs w:val="22"/>
          <w:lang w:val="en-AU"/>
        </w:rPr>
        <w:t>2 weeks</w:t>
      </w:r>
      <w:r w:rsidR="008368FC" w:rsidRPr="002742BE">
        <w:rPr>
          <w:rFonts w:ascii="Arial" w:hAnsi="Arial" w:cs="Arial"/>
          <w:sz w:val="22"/>
          <w:szCs w:val="22"/>
          <w:lang w:val="en-AU"/>
        </w:rPr>
        <w:t>)</w:t>
      </w:r>
      <w:r w:rsidR="001D1004" w:rsidRPr="002742BE">
        <w:rPr>
          <w:rFonts w:ascii="Arial" w:hAnsi="Arial" w:cs="Arial"/>
          <w:sz w:val="22"/>
          <w:szCs w:val="22"/>
          <w:lang w:val="en-AU"/>
        </w:rPr>
        <w:t xml:space="preserve">. </w:t>
      </w:r>
    </w:p>
    <w:p w:rsidR="00810C89" w:rsidRPr="002742BE" w:rsidRDefault="001F3445" w:rsidP="0056504A">
      <w:pPr>
        <w:numPr>
          <w:ilvl w:val="0"/>
          <w:numId w:val="8"/>
        </w:numPr>
        <w:tabs>
          <w:tab w:val="clear" w:pos="720"/>
        </w:tabs>
        <w:spacing w:before="120" w:after="120"/>
        <w:ind w:left="567" w:right="46" w:hanging="567"/>
        <w:jc w:val="both"/>
        <w:rPr>
          <w:rFonts w:ascii="Arial" w:hAnsi="Arial" w:cs="Arial"/>
          <w:sz w:val="22"/>
          <w:szCs w:val="22"/>
          <w:lang w:val="en-AU"/>
        </w:rPr>
      </w:pPr>
      <w:r w:rsidRPr="002742BE">
        <w:rPr>
          <w:rFonts w:ascii="Arial" w:hAnsi="Arial" w:cs="Arial"/>
          <w:sz w:val="22"/>
          <w:szCs w:val="22"/>
          <w:lang w:val="en-AU"/>
        </w:rPr>
        <w:t>Prevention of stroke and systemic embolism in patients with non-valvular atrial fibrillation</w:t>
      </w:r>
      <w:r w:rsidR="004445B3" w:rsidRPr="002742BE">
        <w:rPr>
          <w:rFonts w:ascii="Arial" w:hAnsi="Arial" w:cs="Arial"/>
          <w:sz w:val="22"/>
          <w:szCs w:val="22"/>
          <w:lang w:val="en-AU"/>
        </w:rPr>
        <w:t xml:space="preserve"> and at least one additional risk factor for stroke</w:t>
      </w:r>
      <w:r w:rsidRPr="002742BE">
        <w:rPr>
          <w:rFonts w:ascii="Arial" w:hAnsi="Arial" w:cs="Arial"/>
          <w:sz w:val="22"/>
          <w:szCs w:val="22"/>
          <w:lang w:val="en-AU"/>
        </w:rPr>
        <w:t>.</w:t>
      </w:r>
    </w:p>
    <w:p w:rsidR="001F3445" w:rsidRPr="002742BE" w:rsidRDefault="001F3445" w:rsidP="0056504A">
      <w:pPr>
        <w:numPr>
          <w:ilvl w:val="0"/>
          <w:numId w:val="8"/>
        </w:numPr>
        <w:tabs>
          <w:tab w:val="clear" w:pos="720"/>
        </w:tabs>
        <w:spacing w:before="120" w:after="120"/>
        <w:ind w:left="567" w:right="46" w:hanging="567"/>
        <w:jc w:val="both"/>
        <w:rPr>
          <w:rFonts w:ascii="Arial" w:hAnsi="Arial" w:cs="Arial"/>
          <w:sz w:val="22"/>
          <w:szCs w:val="22"/>
          <w:lang w:val="en-AU"/>
        </w:rPr>
      </w:pPr>
      <w:r w:rsidRPr="002742BE">
        <w:rPr>
          <w:rFonts w:ascii="Arial" w:hAnsi="Arial" w:cs="Arial"/>
          <w:sz w:val="22"/>
          <w:szCs w:val="22"/>
          <w:lang w:val="en-AU"/>
        </w:rPr>
        <w:t xml:space="preserve">Treatment of deep vein thrombosis (DVT) </w:t>
      </w:r>
      <w:r w:rsidR="00E93A85" w:rsidRPr="002742BE">
        <w:rPr>
          <w:rFonts w:ascii="Arial" w:hAnsi="Arial" w:cs="Arial"/>
          <w:sz w:val="22"/>
          <w:szCs w:val="22"/>
          <w:lang w:val="en-AU"/>
        </w:rPr>
        <w:t xml:space="preserve">and pulmonary embolism (PE) </w:t>
      </w:r>
      <w:r w:rsidRPr="002742BE">
        <w:rPr>
          <w:rFonts w:ascii="Arial" w:hAnsi="Arial" w:cs="Arial"/>
          <w:sz w:val="22"/>
          <w:szCs w:val="22"/>
          <w:lang w:val="en-AU"/>
        </w:rPr>
        <w:t>and for the prevention of recurrent DVT and PE.</w:t>
      </w:r>
    </w:p>
    <w:p w:rsidR="001D1004" w:rsidRPr="002742BE" w:rsidRDefault="001D1004" w:rsidP="00F04C47">
      <w:pPr>
        <w:pStyle w:val="Heading1"/>
        <w:spacing w:before="240" w:after="120" w:line="240" w:lineRule="auto"/>
        <w:ind w:right="46"/>
        <w:rPr>
          <w:rFonts w:ascii="Arial" w:hAnsi="Arial" w:cs="Arial"/>
          <w:sz w:val="24"/>
          <w:szCs w:val="24"/>
        </w:rPr>
      </w:pPr>
      <w:r w:rsidRPr="002742BE">
        <w:rPr>
          <w:rFonts w:ascii="Arial" w:hAnsi="Arial" w:cs="Arial"/>
          <w:sz w:val="24"/>
          <w:szCs w:val="24"/>
        </w:rPr>
        <w:t>CONTRAINDICATIONS</w:t>
      </w:r>
    </w:p>
    <w:p w:rsidR="001D1004" w:rsidRPr="002742BE" w:rsidRDefault="00E8487E" w:rsidP="00F04C47">
      <w:pPr>
        <w:keepNext/>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Xarelto </w:t>
      </w:r>
      <w:r w:rsidR="001D1004" w:rsidRPr="002742BE">
        <w:rPr>
          <w:rFonts w:ascii="Arial" w:hAnsi="Arial" w:cs="Arial"/>
          <w:sz w:val="22"/>
          <w:szCs w:val="22"/>
          <w:lang w:val="en-AU"/>
        </w:rPr>
        <w:t>is contraindicated in patients:</w:t>
      </w:r>
    </w:p>
    <w:p w:rsidR="001D1004" w:rsidRPr="002742BE" w:rsidRDefault="005651AA" w:rsidP="0056504A">
      <w:pPr>
        <w:pStyle w:val="BulletIndent1"/>
        <w:tabs>
          <w:tab w:val="clear" w:pos="567"/>
        </w:tabs>
        <w:spacing w:before="120" w:after="240" w:line="240" w:lineRule="auto"/>
        <w:ind w:right="46"/>
        <w:jc w:val="both"/>
        <w:rPr>
          <w:rFonts w:ascii="Arial" w:hAnsi="Arial" w:cs="Arial"/>
          <w:szCs w:val="22"/>
          <w:lang w:val="en-AU"/>
        </w:rPr>
      </w:pPr>
      <w:r w:rsidRPr="002742BE">
        <w:rPr>
          <w:rFonts w:ascii="Arial" w:hAnsi="Arial" w:cs="Arial"/>
          <w:szCs w:val="22"/>
          <w:lang w:val="en-AU"/>
        </w:rPr>
        <w:t xml:space="preserve">who are </w:t>
      </w:r>
      <w:r w:rsidR="001D1004" w:rsidRPr="002742BE">
        <w:rPr>
          <w:rFonts w:ascii="Arial" w:hAnsi="Arial" w:cs="Arial"/>
          <w:szCs w:val="22"/>
          <w:lang w:val="en-AU"/>
        </w:rPr>
        <w:t>hypersensitive to the active substance or to any of the excipients,</w:t>
      </w:r>
    </w:p>
    <w:p w:rsidR="001D1004" w:rsidRPr="002742BE" w:rsidRDefault="001D1004" w:rsidP="0056504A">
      <w:pPr>
        <w:pStyle w:val="BulletIndent1"/>
        <w:tabs>
          <w:tab w:val="clear" w:pos="567"/>
        </w:tabs>
        <w:spacing w:before="120" w:after="240" w:line="240" w:lineRule="auto"/>
        <w:ind w:right="46"/>
        <w:jc w:val="both"/>
        <w:rPr>
          <w:rFonts w:ascii="Arial" w:hAnsi="Arial" w:cs="Arial"/>
          <w:szCs w:val="22"/>
          <w:lang w:val="en-AU"/>
        </w:rPr>
      </w:pPr>
      <w:r w:rsidRPr="002742BE">
        <w:rPr>
          <w:rFonts w:ascii="Arial" w:hAnsi="Arial" w:cs="Arial"/>
          <w:szCs w:val="22"/>
          <w:lang w:val="en-AU"/>
        </w:rPr>
        <w:t>with clinically significant active bleeding (e.g. intracranial bleeding, gastrointestinal bleeding),</w:t>
      </w:r>
    </w:p>
    <w:p w:rsidR="00356E34" w:rsidRPr="002742BE" w:rsidRDefault="00356E34" w:rsidP="0056504A">
      <w:pPr>
        <w:pStyle w:val="BulletIndent1"/>
        <w:tabs>
          <w:tab w:val="clear" w:pos="567"/>
        </w:tabs>
        <w:spacing w:before="120" w:after="240" w:line="240" w:lineRule="auto"/>
        <w:ind w:right="46"/>
        <w:jc w:val="both"/>
        <w:rPr>
          <w:rFonts w:ascii="Arial" w:hAnsi="Arial" w:cs="Arial"/>
          <w:szCs w:val="22"/>
          <w:lang w:val="en-AU"/>
        </w:rPr>
      </w:pPr>
      <w:r w:rsidRPr="002742BE">
        <w:rPr>
          <w:rFonts w:ascii="Arial" w:hAnsi="Arial" w:cs="Arial"/>
          <w:szCs w:val="22"/>
          <w:lang w:val="en-AU"/>
        </w:rPr>
        <w:t>with lesions at increased risk of clinically significant bleeding and patients with spontaneous impairment of haemostasis,</w:t>
      </w:r>
    </w:p>
    <w:p w:rsidR="00277121" w:rsidRPr="002742BE" w:rsidRDefault="001D1004" w:rsidP="0056504A">
      <w:pPr>
        <w:pStyle w:val="BulletIndent1"/>
        <w:tabs>
          <w:tab w:val="clear" w:pos="567"/>
        </w:tabs>
        <w:spacing w:before="120" w:after="240" w:line="240" w:lineRule="auto"/>
        <w:ind w:right="46"/>
        <w:jc w:val="both"/>
        <w:rPr>
          <w:rFonts w:ascii="Arial" w:hAnsi="Arial" w:cs="Arial"/>
          <w:szCs w:val="22"/>
          <w:lang w:val="en-AU"/>
        </w:rPr>
      </w:pPr>
      <w:r w:rsidRPr="002742BE">
        <w:rPr>
          <w:rFonts w:ascii="Arial" w:hAnsi="Arial" w:cs="Arial"/>
          <w:szCs w:val="22"/>
          <w:lang w:val="en-AU"/>
        </w:rPr>
        <w:t xml:space="preserve">with </w:t>
      </w:r>
      <w:r w:rsidR="00F8345E" w:rsidRPr="002742BE">
        <w:rPr>
          <w:rFonts w:ascii="Arial" w:hAnsi="Arial" w:cs="Arial"/>
          <w:szCs w:val="22"/>
          <w:lang w:val="en-AU"/>
        </w:rPr>
        <w:t xml:space="preserve">significant </w:t>
      </w:r>
      <w:r w:rsidRPr="002742BE">
        <w:rPr>
          <w:rFonts w:ascii="Arial" w:hAnsi="Arial" w:cs="Arial"/>
          <w:szCs w:val="22"/>
          <w:lang w:val="en-AU"/>
        </w:rPr>
        <w:t>hepatic disease</w:t>
      </w:r>
      <w:r w:rsidR="006E09EF" w:rsidRPr="002742BE">
        <w:rPr>
          <w:rFonts w:ascii="Arial" w:hAnsi="Arial" w:cs="Arial"/>
          <w:szCs w:val="22"/>
          <w:lang w:val="en-AU"/>
        </w:rPr>
        <w:t xml:space="preserve"> (including moderate to severe hepatic</w:t>
      </w:r>
      <w:r w:rsidRPr="002742BE">
        <w:rPr>
          <w:rFonts w:ascii="Arial" w:hAnsi="Arial" w:cs="Arial"/>
          <w:szCs w:val="22"/>
          <w:lang w:val="en-AU"/>
        </w:rPr>
        <w:t xml:space="preserve"> </w:t>
      </w:r>
      <w:r w:rsidR="00C32154" w:rsidRPr="002742BE">
        <w:rPr>
          <w:rFonts w:ascii="Arial" w:hAnsi="Arial" w:cs="Arial"/>
          <w:szCs w:val="22"/>
          <w:lang w:val="en-AU"/>
        </w:rPr>
        <w:t>impairment</w:t>
      </w:r>
      <w:r w:rsidR="00AD1C0A" w:rsidRPr="002742BE">
        <w:rPr>
          <w:rFonts w:ascii="Arial" w:hAnsi="Arial" w:cs="Arial"/>
          <w:szCs w:val="22"/>
          <w:lang w:val="en-AU"/>
        </w:rPr>
        <w:t>, i.e. Child-Pugh B and C</w:t>
      </w:r>
      <w:r w:rsidR="006E09EF" w:rsidRPr="002742BE">
        <w:rPr>
          <w:rFonts w:ascii="Arial" w:hAnsi="Arial" w:cs="Arial"/>
          <w:szCs w:val="22"/>
          <w:lang w:val="en-AU"/>
        </w:rPr>
        <w:t xml:space="preserve">) </w:t>
      </w:r>
      <w:r w:rsidRPr="002742BE">
        <w:rPr>
          <w:rFonts w:ascii="Arial" w:hAnsi="Arial" w:cs="Arial"/>
          <w:szCs w:val="22"/>
          <w:lang w:val="en-AU"/>
        </w:rPr>
        <w:t xml:space="preserve">which is associated </w:t>
      </w:r>
      <w:r w:rsidRPr="002742BE">
        <w:rPr>
          <w:rFonts w:ascii="Arial" w:hAnsi="Arial" w:cs="Arial"/>
          <w:noProof/>
          <w:szCs w:val="22"/>
          <w:lang w:val="en-AU"/>
        </w:rPr>
        <w:t>with coagulopathy leading to a clinically relevant bleeding risk</w:t>
      </w:r>
      <w:r w:rsidRPr="002742BE">
        <w:rPr>
          <w:rFonts w:ascii="Arial" w:hAnsi="Arial" w:cs="Arial"/>
          <w:szCs w:val="22"/>
          <w:lang w:val="en-AU"/>
        </w:rPr>
        <w:t xml:space="preserve"> (see </w:t>
      </w:r>
      <w:r w:rsidR="0056504A" w:rsidRPr="002742BE">
        <w:rPr>
          <w:rFonts w:ascii="Arial" w:hAnsi="Arial" w:cs="Arial"/>
          <w:szCs w:val="22"/>
          <w:lang w:val="en-AU"/>
        </w:rPr>
        <w:t xml:space="preserve">PRECAUTIONS and </w:t>
      </w:r>
      <w:r w:rsidRPr="002742BE">
        <w:rPr>
          <w:rFonts w:ascii="Arial" w:hAnsi="Arial" w:cs="Arial"/>
          <w:szCs w:val="22"/>
          <w:lang w:val="en-AU"/>
        </w:rPr>
        <w:t>Pharmacokinetic properties)</w:t>
      </w:r>
      <w:r w:rsidR="00356E34" w:rsidRPr="002742BE">
        <w:rPr>
          <w:rFonts w:ascii="Arial" w:hAnsi="Arial" w:cs="Arial"/>
          <w:szCs w:val="22"/>
          <w:lang w:val="en-AU"/>
        </w:rPr>
        <w:t>,</w:t>
      </w:r>
    </w:p>
    <w:p w:rsidR="00356E34" w:rsidRPr="002742BE" w:rsidRDefault="00F04A45" w:rsidP="0056504A">
      <w:pPr>
        <w:pStyle w:val="BulletIndent1"/>
        <w:tabs>
          <w:tab w:val="clear" w:pos="567"/>
        </w:tabs>
        <w:spacing w:before="120" w:after="240" w:line="240" w:lineRule="auto"/>
        <w:ind w:right="46"/>
        <w:jc w:val="both"/>
        <w:rPr>
          <w:rFonts w:ascii="Arial" w:hAnsi="Arial" w:cs="Arial"/>
          <w:szCs w:val="22"/>
          <w:lang w:val="en-AU"/>
        </w:rPr>
      </w:pPr>
      <w:r>
        <w:rPr>
          <w:rFonts w:ascii="Arial" w:hAnsi="Arial" w:cs="Arial"/>
          <w:szCs w:val="22"/>
          <w:lang w:val="en-AU"/>
        </w:rPr>
        <w:lastRenderedPageBreak/>
        <w:t>undergoing</w:t>
      </w:r>
      <w:r w:rsidR="00626BB7">
        <w:rPr>
          <w:rFonts w:ascii="Arial" w:hAnsi="Arial" w:cs="Arial"/>
          <w:szCs w:val="22"/>
          <w:lang w:val="en-AU"/>
        </w:rPr>
        <w:t xml:space="preserve"> dialys</w:t>
      </w:r>
      <w:r w:rsidR="00605A0E">
        <w:rPr>
          <w:rFonts w:ascii="Arial" w:hAnsi="Arial" w:cs="Arial"/>
          <w:szCs w:val="22"/>
          <w:lang w:val="en-AU"/>
        </w:rPr>
        <w:t>i</w:t>
      </w:r>
      <w:r w:rsidR="00626BB7">
        <w:rPr>
          <w:rFonts w:ascii="Arial" w:hAnsi="Arial" w:cs="Arial"/>
          <w:szCs w:val="22"/>
          <w:lang w:val="en-AU"/>
        </w:rPr>
        <w:t xml:space="preserve">s or patients </w:t>
      </w:r>
      <w:r w:rsidR="00356E34" w:rsidRPr="002742BE">
        <w:rPr>
          <w:rFonts w:ascii="Arial" w:hAnsi="Arial" w:cs="Arial"/>
          <w:szCs w:val="22"/>
          <w:lang w:val="en-AU"/>
        </w:rPr>
        <w:t xml:space="preserve">with severe renal impairment with a creatinine clearance &lt; </w:t>
      </w:r>
      <w:r w:rsidR="00802BFD" w:rsidRPr="002742BE">
        <w:rPr>
          <w:rFonts w:ascii="Arial" w:hAnsi="Arial" w:cs="Arial"/>
          <w:szCs w:val="22"/>
          <w:lang w:val="en-AU"/>
        </w:rPr>
        <w:t xml:space="preserve">30 </w:t>
      </w:r>
      <w:r w:rsidR="00356E34" w:rsidRPr="002742BE">
        <w:rPr>
          <w:rFonts w:ascii="Arial" w:hAnsi="Arial" w:cs="Arial"/>
          <w:szCs w:val="22"/>
          <w:lang w:val="en-AU"/>
        </w:rPr>
        <w:t>mL/min</w:t>
      </w:r>
      <w:r w:rsidR="00802BFD" w:rsidRPr="002742BE">
        <w:rPr>
          <w:rFonts w:ascii="Arial" w:hAnsi="Arial" w:cs="Arial"/>
          <w:szCs w:val="22"/>
          <w:lang w:val="en-AU"/>
        </w:rPr>
        <w:t xml:space="preserve"> for Xarelto 15 mg and 20 mg tablets</w:t>
      </w:r>
      <w:r w:rsidR="00312BEA" w:rsidRPr="002742BE">
        <w:rPr>
          <w:rFonts w:ascii="Arial" w:hAnsi="Arial" w:cs="Arial"/>
          <w:szCs w:val="22"/>
          <w:lang w:val="en-AU"/>
        </w:rPr>
        <w:t xml:space="preserve">, </w:t>
      </w:r>
      <w:r w:rsidR="00D770BC" w:rsidRPr="002742BE">
        <w:rPr>
          <w:rFonts w:ascii="Arial" w:hAnsi="Arial" w:cs="Arial"/>
          <w:szCs w:val="22"/>
          <w:lang w:val="en-AU"/>
        </w:rPr>
        <w:t>(</w:t>
      </w:r>
      <w:r w:rsidR="004445B3" w:rsidRPr="002742BE">
        <w:rPr>
          <w:rFonts w:ascii="Arial" w:hAnsi="Arial" w:cs="Arial"/>
          <w:szCs w:val="22"/>
          <w:lang w:val="en-AU"/>
        </w:rPr>
        <w:t xml:space="preserve">CrCl </w:t>
      </w:r>
      <w:r w:rsidR="00312BEA" w:rsidRPr="002742BE">
        <w:rPr>
          <w:rFonts w:ascii="Arial" w:hAnsi="Arial" w:cs="Arial"/>
          <w:szCs w:val="22"/>
          <w:lang w:val="en-AU"/>
        </w:rPr>
        <w:t>&lt; 15 mL/min for Xarelto 10</w:t>
      </w:r>
      <w:r w:rsidR="00D770BC" w:rsidRPr="002742BE">
        <w:rPr>
          <w:rFonts w:ascii="Arial" w:hAnsi="Arial" w:cs="Arial"/>
          <w:szCs w:val="22"/>
          <w:lang w:val="en-AU"/>
        </w:rPr>
        <w:t xml:space="preserve"> mg)</w:t>
      </w:r>
      <w:r w:rsidR="00802BFD" w:rsidRPr="002742BE">
        <w:rPr>
          <w:rFonts w:ascii="Arial" w:hAnsi="Arial" w:cs="Arial"/>
          <w:szCs w:val="22"/>
          <w:lang w:val="en-AU"/>
        </w:rPr>
        <w:t xml:space="preserve"> due to </w:t>
      </w:r>
      <w:r w:rsidR="00F8345E" w:rsidRPr="002742BE">
        <w:rPr>
          <w:rFonts w:ascii="Arial" w:hAnsi="Arial" w:cs="Arial"/>
          <w:szCs w:val="22"/>
          <w:lang w:val="en-AU"/>
        </w:rPr>
        <w:t xml:space="preserve">increased plasma levels which may lead to </w:t>
      </w:r>
      <w:r w:rsidR="00802BFD" w:rsidRPr="002742BE">
        <w:rPr>
          <w:rFonts w:ascii="Arial" w:hAnsi="Arial" w:cs="Arial"/>
          <w:szCs w:val="22"/>
          <w:lang w:val="en-AU"/>
        </w:rPr>
        <w:t>an increased risk of  bleeding</w:t>
      </w:r>
      <w:r w:rsidR="00356E34" w:rsidRPr="002742BE">
        <w:rPr>
          <w:rFonts w:ascii="Arial" w:hAnsi="Arial" w:cs="Arial"/>
          <w:szCs w:val="22"/>
          <w:lang w:val="en-AU"/>
        </w:rPr>
        <w:t xml:space="preserve"> (see P</w:t>
      </w:r>
      <w:r w:rsidR="00356E34" w:rsidRPr="002742BE">
        <w:rPr>
          <w:rFonts w:ascii="Arial" w:hAnsi="Arial" w:cs="Arial"/>
          <w:lang w:val="en-AU"/>
        </w:rPr>
        <w:t>harmacokinetic properties and PRECAUTIONS),</w:t>
      </w:r>
    </w:p>
    <w:p w:rsidR="00342AB4" w:rsidRPr="002742BE" w:rsidRDefault="00914F70" w:rsidP="0056504A">
      <w:pPr>
        <w:pStyle w:val="BulletIndent1"/>
        <w:tabs>
          <w:tab w:val="clear" w:pos="567"/>
        </w:tabs>
        <w:spacing w:before="120" w:after="240" w:line="240" w:lineRule="auto"/>
        <w:ind w:right="46"/>
        <w:rPr>
          <w:rFonts w:ascii="Arial" w:hAnsi="Arial" w:cs="Arial"/>
          <w:szCs w:val="22"/>
          <w:lang w:val="en-AU"/>
        </w:rPr>
      </w:pPr>
      <w:r w:rsidRPr="002742BE">
        <w:rPr>
          <w:rFonts w:ascii="Arial" w:hAnsi="Arial" w:cs="Arial"/>
          <w:szCs w:val="22"/>
          <w:lang w:val="en-AU"/>
        </w:rPr>
        <w:t xml:space="preserve">concomitantly treated with strong inhibitors of both CYP 3A4 and </w:t>
      </w:r>
      <w:r w:rsidR="002D7BAA" w:rsidRPr="002742BE">
        <w:rPr>
          <w:rFonts w:ascii="Arial" w:hAnsi="Arial" w:cs="Arial"/>
          <w:szCs w:val="22"/>
          <w:lang w:val="en-AU"/>
        </w:rPr>
        <w:t>P</w:t>
      </w:r>
      <w:r w:rsidRPr="002742BE">
        <w:rPr>
          <w:rFonts w:ascii="Arial" w:hAnsi="Arial" w:cs="Arial"/>
          <w:szCs w:val="22"/>
          <w:lang w:val="en-AU"/>
        </w:rPr>
        <w:t>-glycoprotein such as HIV protease inhibitors (e.g. ritonavir) or systemically administered azole anti-mycotics (e.g. ketoconazole) (see Interactions with Other Medicines).</w:t>
      </w:r>
    </w:p>
    <w:p w:rsidR="00342AB4" w:rsidRPr="002742BE" w:rsidRDefault="00342AB4" w:rsidP="0056504A">
      <w:pPr>
        <w:pStyle w:val="BulletIndent1"/>
        <w:tabs>
          <w:tab w:val="clear" w:pos="567"/>
        </w:tabs>
        <w:spacing w:before="120" w:after="240" w:line="240" w:lineRule="auto"/>
        <w:ind w:right="46"/>
        <w:rPr>
          <w:rFonts w:ascii="Arial" w:hAnsi="Arial" w:cs="Arial"/>
          <w:noProof/>
          <w:lang w:val="en-AU"/>
        </w:rPr>
      </w:pPr>
      <w:r w:rsidRPr="002742BE">
        <w:rPr>
          <w:rFonts w:ascii="Arial" w:hAnsi="Arial" w:cs="Arial"/>
          <w:noProof/>
          <w:lang w:val="en-AU"/>
        </w:rPr>
        <w:t xml:space="preserve">who are </w:t>
      </w:r>
      <w:r w:rsidR="001D1004" w:rsidRPr="002742BE">
        <w:rPr>
          <w:rFonts w:ascii="Arial" w:hAnsi="Arial" w:cs="Arial"/>
          <w:noProof/>
          <w:lang w:val="en-AU"/>
        </w:rPr>
        <w:t>pregnant (see Use in Pregnancy)</w:t>
      </w:r>
    </w:p>
    <w:p w:rsidR="001D1004" w:rsidRPr="002742BE" w:rsidRDefault="00342AB4" w:rsidP="0056504A">
      <w:pPr>
        <w:pStyle w:val="BulletIndent1"/>
        <w:tabs>
          <w:tab w:val="clear" w:pos="567"/>
        </w:tabs>
        <w:spacing w:before="120" w:after="240" w:line="240" w:lineRule="auto"/>
        <w:ind w:right="46"/>
        <w:rPr>
          <w:rFonts w:ascii="Arial" w:hAnsi="Arial" w:cs="Arial"/>
          <w:noProof/>
          <w:lang w:val="en-AU"/>
        </w:rPr>
      </w:pPr>
      <w:r w:rsidRPr="002742BE">
        <w:rPr>
          <w:rFonts w:ascii="Arial" w:hAnsi="Arial" w:cs="Arial"/>
          <w:noProof/>
          <w:lang w:val="en-AU"/>
        </w:rPr>
        <w:t xml:space="preserve">who are </w:t>
      </w:r>
      <w:r w:rsidR="001D1004" w:rsidRPr="002742BE">
        <w:rPr>
          <w:rFonts w:ascii="Arial" w:hAnsi="Arial" w:cs="Arial"/>
          <w:noProof/>
          <w:lang w:val="en-AU"/>
        </w:rPr>
        <w:t>breast-feeding (see Use in Lactation)</w:t>
      </w:r>
    </w:p>
    <w:p w:rsidR="001D1004" w:rsidRPr="002742BE" w:rsidRDefault="001D1004" w:rsidP="00F04C47">
      <w:pPr>
        <w:pStyle w:val="Heading1"/>
        <w:spacing w:before="120" w:after="120" w:line="240" w:lineRule="auto"/>
        <w:ind w:right="46"/>
        <w:rPr>
          <w:rFonts w:ascii="Arial" w:hAnsi="Arial" w:cs="Arial"/>
          <w:color w:val="000000"/>
          <w:sz w:val="24"/>
          <w:szCs w:val="24"/>
        </w:rPr>
      </w:pPr>
      <w:r w:rsidRPr="002742BE">
        <w:rPr>
          <w:rFonts w:ascii="Arial" w:hAnsi="Arial" w:cs="Arial"/>
          <w:color w:val="000000"/>
          <w:sz w:val="24"/>
          <w:szCs w:val="24"/>
        </w:rPr>
        <w:t>PRECAUTIONS</w:t>
      </w:r>
    </w:p>
    <w:p w:rsidR="002626F2" w:rsidRPr="002742BE" w:rsidRDefault="002626F2" w:rsidP="00F04C47">
      <w:pPr>
        <w:pStyle w:val="Heading3"/>
        <w:ind w:right="46"/>
        <w:rPr>
          <w:rFonts w:ascii="Arial" w:hAnsi="Arial" w:cs="Arial"/>
          <w:i w:val="0"/>
          <w:sz w:val="22"/>
          <w:lang w:val="en-AU"/>
        </w:rPr>
      </w:pPr>
      <w:r w:rsidRPr="002742BE">
        <w:rPr>
          <w:rFonts w:ascii="Arial" w:hAnsi="Arial" w:cs="Arial"/>
          <w:i w:val="0"/>
          <w:sz w:val="22"/>
          <w:lang w:val="en-AU"/>
        </w:rPr>
        <w:t>Haemorrhagic risk</w:t>
      </w:r>
    </w:p>
    <w:p w:rsidR="002626F2" w:rsidRPr="002742BE" w:rsidRDefault="00CB375A" w:rsidP="00F04C47">
      <w:pPr>
        <w:spacing w:before="120" w:after="120"/>
        <w:ind w:right="46"/>
        <w:jc w:val="both"/>
        <w:rPr>
          <w:rFonts w:ascii="Arial" w:hAnsi="Arial" w:cs="Arial"/>
          <w:sz w:val="22"/>
          <w:szCs w:val="22"/>
          <w:lang w:val="en-AU"/>
        </w:rPr>
      </w:pPr>
      <w:r w:rsidRPr="002742BE">
        <w:rPr>
          <w:rFonts w:ascii="Arial" w:hAnsi="Arial" w:cs="Arial"/>
          <w:noProof/>
          <w:sz w:val="22"/>
          <w:szCs w:val="22"/>
          <w:lang w:val="en-AU"/>
        </w:rPr>
        <w:t xml:space="preserve">Like other anticoagulants, </w:t>
      </w:r>
      <w:r w:rsidR="003F1C9A" w:rsidRPr="002742BE">
        <w:rPr>
          <w:rFonts w:ascii="Arial" w:hAnsi="Arial" w:cs="Arial"/>
          <w:noProof/>
          <w:sz w:val="22"/>
          <w:szCs w:val="22"/>
          <w:lang w:val="en-AU"/>
        </w:rPr>
        <w:t xml:space="preserve">Xarelto increases the risk of bleeding and can cause serious or fatal bleeding. In deciding whether to prescribe Xarelto to patients at increased risk of bleeding, the risk of thrombotic events should be weighed against the risk of bleeding. </w:t>
      </w:r>
      <w:r w:rsidR="004100D9" w:rsidRPr="002742BE">
        <w:rPr>
          <w:rFonts w:ascii="Arial" w:hAnsi="Arial" w:cs="Arial"/>
          <w:noProof/>
          <w:sz w:val="22"/>
          <w:szCs w:val="22"/>
          <w:lang w:val="en-AU"/>
        </w:rPr>
        <w:t xml:space="preserve">Due to the pharmacological mode of action, the use of </w:t>
      </w:r>
      <w:r w:rsidR="00E8487E" w:rsidRPr="002742BE">
        <w:rPr>
          <w:rFonts w:ascii="Arial" w:hAnsi="Arial" w:cs="Arial"/>
          <w:noProof/>
          <w:sz w:val="22"/>
          <w:szCs w:val="22"/>
          <w:lang w:val="en-AU"/>
        </w:rPr>
        <w:t xml:space="preserve">Xarelto </w:t>
      </w:r>
      <w:r w:rsidR="004100D9" w:rsidRPr="002742BE">
        <w:rPr>
          <w:rFonts w:ascii="Arial" w:hAnsi="Arial" w:cs="Arial"/>
          <w:noProof/>
          <w:sz w:val="22"/>
          <w:szCs w:val="22"/>
          <w:lang w:val="en-AU"/>
        </w:rPr>
        <w:t>may be associated with a</w:t>
      </w:r>
      <w:r w:rsidR="00AC7A06" w:rsidRPr="002742BE">
        <w:rPr>
          <w:rFonts w:ascii="Arial" w:hAnsi="Arial" w:cs="Arial"/>
          <w:noProof/>
          <w:sz w:val="22"/>
          <w:szCs w:val="22"/>
          <w:lang w:val="en-AU"/>
        </w:rPr>
        <w:t>n increased</w:t>
      </w:r>
      <w:r w:rsidR="004100D9" w:rsidRPr="002742BE">
        <w:rPr>
          <w:rFonts w:ascii="Arial" w:hAnsi="Arial" w:cs="Arial"/>
          <w:noProof/>
          <w:sz w:val="22"/>
          <w:szCs w:val="22"/>
          <w:lang w:val="en-AU"/>
        </w:rPr>
        <w:t xml:space="preserve"> risk of occult or overt bleeding</w:t>
      </w:r>
      <w:r w:rsidR="00AC7A06" w:rsidRPr="002742BE">
        <w:rPr>
          <w:rFonts w:ascii="Arial" w:hAnsi="Arial" w:cs="Arial"/>
          <w:noProof/>
          <w:sz w:val="22"/>
          <w:szCs w:val="22"/>
          <w:lang w:val="en-AU"/>
        </w:rPr>
        <w:t xml:space="preserve"> which may result in posthaemorrhagic anaemia</w:t>
      </w:r>
      <w:r w:rsidR="004100D9" w:rsidRPr="002742BE">
        <w:rPr>
          <w:rFonts w:ascii="Arial" w:hAnsi="Arial" w:cs="Arial"/>
          <w:noProof/>
          <w:sz w:val="22"/>
          <w:szCs w:val="22"/>
          <w:lang w:val="en-AU"/>
        </w:rPr>
        <w:t xml:space="preserve"> (see </w:t>
      </w:r>
      <w:r w:rsidR="004100D9" w:rsidRPr="002742BE">
        <w:rPr>
          <w:rFonts w:ascii="Arial" w:hAnsi="Arial" w:cs="Arial"/>
          <w:sz w:val="22"/>
          <w:szCs w:val="22"/>
          <w:lang w:val="en-AU"/>
        </w:rPr>
        <w:t>ADVERSE EFFECTS)</w:t>
      </w:r>
      <w:r w:rsidR="004100D9" w:rsidRPr="002742BE">
        <w:rPr>
          <w:rFonts w:ascii="Arial" w:hAnsi="Arial" w:cs="Arial"/>
          <w:noProof/>
          <w:sz w:val="22"/>
          <w:szCs w:val="22"/>
          <w:lang w:val="en-AU"/>
        </w:rPr>
        <w:t>.</w:t>
      </w:r>
      <w:r w:rsidR="004100D9" w:rsidRPr="002742BE">
        <w:rPr>
          <w:rFonts w:ascii="Arial" w:hAnsi="Arial" w:cs="Arial"/>
          <w:sz w:val="22"/>
          <w:szCs w:val="22"/>
          <w:lang w:val="en-AU"/>
        </w:rPr>
        <w:t xml:space="preserve"> </w:t>
      </w:r>
      <w:r w:rsidR="002626F2" w:rsidRPr="002742BE">
        <w:rPr>
          <w:rFonts w:ascii="Arial" w:hAnsi="Arial" w:cs="Arial"/>
          <w:sz w:val="22"/>
          <w:szCs w:val="22"/>
          <w:lang w:val="en-AU"/>
        </w:rPr>
        <w:t xml:space="preserve">Several sub-groups of patients as detailed below are at increased risk of bleeding. These patients are to be carefully monitored for signs of bleeding complications after initiation of treatment. Any unexplained fall in haemoglobin or blood pressure should lead to a search for a bleeding site. </w:t>
      </w:r>
    </w:p>
    <w:p w:rsidR="007B6D79" w:rsidRPr="002742BE" w:rsidRDefault="007B6D79" w:rsidP="007B6D79">
      <w:pPr>
        <w:pStyle w:val="BodyText2"/>
        <w:adjustRightInd w:val="0"/>
        <w:ind w:right="46"/>
        <w:jc w:val="left"/>
        <w:textAlignment w:val="baseline"/>
        <w:rPr>
          <w:rFonts w:ascii="Arial" w:hAnsi="Arial" w:cs="Arial"/>
          <w:b w:val="0"/>
          <w:sz w:val="22"/>
          <w:szCs w:val="22"/>
        </w:rPr>
      </w:pPr>
      <w:r w:rsidRPr="002742BE">
        <w:rPr>
          <w:rFonts w:ascii="Arial" w:hAnsi="Arial" w:cs="Arial"/>
          <w:b w:val="0"/>
          <w:sz w:val="22"/>
          <w:szCs w:val="22"/>
        </w:rPr>
        <w:t>Haemorrhagic complications may present as weakness, paleness, dizziness, headache, or unexplained swelling, dyspnoea, and unexplained shock.</w:t>
      </w:r>
    </w:p>
    <w:p w:rsidR="007B6D79" w:rsidRPr="002742BE" w:rsidRDefault="007B6D79" w:rsidP="007B6D79">
      <w:pPr>
        <w:pStyle w:val="BodyText2"/>
        <w:adjustRightInd w:val="0"/>
        <w:ind w:right="46"/>
        <w:jc w:val="left"/>
        <w:textAlignment w:val="baseline"/>
        <w:rPr>
          <w:rFonts w:ascii="Arial" w:hAnsi="Arial" w:cs="Arial"/>
          <w:b w:val="0"/>
          <w:sz w:val="22"/>
          <w:szCs w:val="22"/>
        </w:rPr>
      </w:pPr>
      <w:r w:rsidRPr="002742BE">
        <w:rPr>
          <w:rFonts w:ascii="Arial" w:hAnsi="Arial" w:cs="Arial"/>
          <w:b w:val="0"/>
          <w:sz w:val="22"/>
          <w:szCs w:val="22"/>
        </w:rPr>
        <w:t xml:space="preserve">Patients at high risk of bleeding should not be prescribed Xarelto (see CONTRAINDICATIONS). </w:t>
      </w:r>
    </w:p>
    <w:p w:rsidR="007B6D79" w:rsidRPr="002742BE" w:rsidRDefault="007B6D79" w:rsidP="007B6D79">
      <w:pPr>
        <w:pStyle w:val="BodyText2"/>
        <w:adjustRightInd w:val="0"/>
        <w:ind w:right="46"/>
        <w:jc w:val="left"/>
        <w:textAlignment w:val="baseline"/>
        <w:rPr>
          <w:rFonts w:ascii="Arial" w:hAnsi="Arial" w:cs="Arial"/>
          <w:b w:val="0"/>
          <w:sz w:val="22"/>
          <w:szCs w:val="22"/>
        </w:rPr>
      </w:pPr>
      <w:r w:rsidRPr="002742BE">
        <w:rPr>
          <w:rFonts w:ascii="Arial" w:hAnsi="Arial" w:cs="Arial"/>
          <w:b w:val="0"/>
          <w:sz w:val="22"/>
          <w:szCs w:val="22"/>
        </w:rPr>
        <w:t xml:space="preserve">Close clinical </w:t>
      </w:r>
      <w:r w:rsidR="00F8345E" w:rsidRPr="002742BE">
        <w:rPr>
          <w:rFonts w:ascii="Arial" w:hAnsi="Arial" w:cs="Arial"/>
          <w:b w:val="0"/>
          <w:sz w:val="22"/>
          <w:szCs w:val="22"/>
        </w:rPr>
        <w:t>surveillance</w:t>
      </w:r>
      <w:r w:rsidRPr="002742BE">
        <w:rPr>
          <w:rFonts w:ascii="Arial" w:hAnsi="Arial" w:cs="Arial"/>
          <w:b w:val="0"/>
          <w:sz w:val="22"/>
          <w:szCs w:val="22"/>
        </w:rPr>
        <w:t xml:space="preserve"> is recommended in presence of multiple risk factors for bleeding including pharmacokinetic factors (renal impairment, </w:t>
      </w:r>
      <w:r w:rsidR="00672EAE" w:rsidRPr="002742BE">
        <w:rPr>
          <w:rFonts w:ascii="Arial" w:hAnsi="Arial" w:cs="Arial"/>
          <w:b w:val="0"/>
          <w:sz w:val="22"/>
          <w:szCs w:val="22"/>
        </w:rPr>
        <w:t xml:space="preserve">hepatic impairment, </w:t>
      </w:r>
      <w:r w:rsidRPr="002742BE">
        <w:rPr>
          <w:rFonts w:ascii="Arial" w:hAnsi="Arial" w:cs="Arial"/>
          <w:b w:val="0"/>
          <w:sz w:val="22"/>
          <w:szCs w:val="22"/>
        </w:rPr>
        <w:t>drug interactions), pharmacodynamic interactions (NSAIDs, platelet aggregation inhibitors), and general haemorrhagic risk factors (see below).</w:t>
      </w:r>
    </w:p>
    <w:p w:rsidR="00CF2BD8" w:rsidRPr="002742BE" w:rsidRDefault="00356E34" w:rsidP="00F04C47">
      <w:pPr>
        <w:pStyle w:val="BodyText2"/>
        <w:adjustRightInd w:val="0"/>
        <w:spacing w:before="120" w:after="120"/>
        <w:ind w:right="46"/>
        <w:jc w:val="left"/>
        <w:textAlignment w:val="baseline"/>
        <w:rPr>
          <w:rFonts w:ascii="Arial" w:hAnsi="Arial" w:cs="Arial"/>
          <w:b w:val="0"/>
          <w:i/>
          <w:sz w:val="22"/>
          <w:szCs w:val="22"/>
        </w:rPr>
      </w:pPr>
      <w:r w:rsidRPr="002742BE">
        <w:rPr>
          <w:rFonts w:ascii="Arial" w:hAnsi="Arial" w:cs="Arial"/>
          <w:b w:val="0"/>
          <w:i/>
          <w:sz w:val="22"/>
          <w:szCs w:val="22"/>
        </w:rPr>
        <w:t>General h</w:t>
      </w:r>
      <w:r w:rsidR="00CF2BD8" w:rsidRPr="002742BE">
        <w:rPr>
          <w:rFonts w:ascii="Arial" w:hAnsi="Arial" w:cs="Arial"/>
          <w:b w:val="0"/>
          <w:i/>
          <w:sz w:val="22"/>
          <w:szCs w:val="22"/>
        </w:rPr>
        <w:t>aemorrhag</w:t>
      </w:r>
      <w:r w:rsidR="00211B5B" w:rsidRPr="002742BE">
        <w:rPr>
          <w:rFonts w:ascii="Arial" w:hAnsi="Arial" w:cs="Arial"/>
          <w:b w:val="0"/>
          <w:i/>
          <w:sz w:val="22"/>
          <w:szCs w:val="22"/>
        </w:rPr>
        <w:t>ic risk</w:t>
      </w:r>
      <w:r w:rsidRPr="002742BE">
        <w:rPr>
          <w:rFonts w:ascii="Arial" w:hAnsi="Arial" w:cs="Arial"/>
          <w:b w:val="0"/>
          <w:i/>
          <w:sz w:val="22"/>
          <w:szCs w:val="22"/>
        </w:rPr>
        <w:t xml:space="preserve"> factors</w:t>
      </w:r>
    </w:p>
    <w:p w:rsidR="001D1004" w:rsidRPr="002742BE" w:rsidRDefault="00E8487E" w:rsidP="00F04C47">
      <w:pPr>
        <w:pStyle w:val="BodyText2"/>
        <w:keepNext/>
        <w:spacing w:before="120" w:after="120"/>
        <w:ind w:right="46"/>
        <w:jc w:val="left"/>
        <w:rPr>
          <w:rFonts w:ascii="Arial" w:hAnsi="Arial" w:cs="Arial"/>
          <w:b w:val="0"/>
          <w:sz w:val="22"/>
          <w:szCs w:val="22"/>
        </w:rPr>
      </w:pPr>
      <w:r w:rsidRPr="002742BE">
        <w:rPr>
          <w:rFonts w:ascii="Arial" w:hAnsi="Arial" w:cs="Arial"/>
          <w:b w:val="0"/>
          <w:sz w:val="22"/>
          <w:szCs w:val="22"/>
        </w:rPr>
        <w:t xml:space="preserve">Xarelto </w:t>
      </w:r>
      <w:r w:rsidR="001D1004" w:rsidRPr="002742BE">
        <w:rPr>
          <w:rFonts w:ascii="Arial" w:hAnsi="Arial" w:cs="Arial"/>
          <w:b w:val="0"/>
          <w:sz w:val="22"/>
          <w:szCs w:val="22"/>
        </w:rPr>
        <w:t>like other antithrombotics should be used with caution in patients with an increased bleeding risk such as:</w:t>
      </w:r>
    </w:p>
    <w:p w:rsidR="001D1004" w:rsidRPr="002742BE" w:rsidRDefault="001D1004" w:rsidP="00F04C47">
      <w:pPr>
        <w:pStyle w:val="BodyText2"/>
        <w:numPr>
          <w:ilvl w:val="0"/>
          <w:numId w:val="2"/>
        </w:numPr>
        <w:adjustRightInd w:val="0"/>
        <w:spacing w:after="120"/>
        <w:ind w:left="0" w:right="46" w:firstLine="0"/>
        <w:jc w:val="left"/>
        <w:textAlignment w:val="baseline"/>
        <w:rPr>
          <w:rFonts w:ascii="Arial" w:hAnsi="Arial" w:cs="Arial"/>
          <w:b w:val="0"/>
          <w:sz w:val="22"/>
          <w:szCs w:val="22"/>
        </w:rPr>
      </w:pPr>
      <w:r w:rsidRPr="002742BE">
        <w:rPr>
          <w:rFonts w:ascii="Arial" w:hAnsi="Arial" w:cs="Arial"/>
          <w:b w:val="0"/>
          <w:sz w:val="22"/>
          <w:szCs w:val="22"/>
        </w:rPr>
        <w:t>congenital or acquired bleeding disorders</w:t>
      </w:r>
    </w:p>
    <w:p w:rsidR="001D1004" w:rsidRPr="002742BE" w:rsidRDefault="001D1004" w:rsidP="00F04C47">
      <w:pPr>
        <w:pStyle w:val="BodyText2"/>
        <w:numPr>
          <w:ilvl w:val="0"/>
          <w:numId w:val="2"/>
        </w:numPr>
        <w:adjustRightInd w:val="0"/>
        <w:spacing w:after="120"/>
        <w:ind w:left="0" w:right="46" w:firstLine="0"/>
        <w:jc w:val="left"/>
        <w:textAlignment w:val="baseline"/>
        <w:rPr>
          <w:rFonts w:ascii="Arial" w:hAnsi="Arial" w:cs="Arial"/>
          <w:b w:val="0"/>
          <w:sz w:val="22"/>
          <w:szCs w:val="22"/>
        </w:rPr>
      </w:pPr>
      <w:r w:rsidRPr="002742BE">
        <w:rPr>
          <w:rFonts w:ascii="Arial" w:hAnsi="Arial" w:cs="Arial"/>
          <w:b w:val="0"/>
          <w:sz w:val="22"/>
          <w:szCs w:val="22"/>
        </w:rPr>
        <w:t>uncontrolled severe arterial hypertension</w:t>
      </w:r>
    </w:p>
    <w:p w:rsidR="001D1004" w:rsidRPr="002742BE" w:rsidRDefault="001D1004" w:rsidP="00F04C47">
      <w:pPr>
        <w:pStyle w:val="BodyText2"/>
        <w:numPr>
          <w:ilvl w:val="0"/>
          <w:numId w:val="2"/>
        </w:numPr>
        <w:adjustRightInd w:val="0"/>
        <w:spacing w:after="120"/>
        <w:ind w:left="0" w:right="46" w:firstLine="0"/>
        <w:jc w:val="left"/>
        <w:textAlignment w:val="baseline"/>
        <w:rPr>
          <w:rFonts w:ascii="Arial" w:hAnsi="Arial" w:cs="Arial"/>
          <w:b w:val="0"/>
          <w:sz w:val="22"/>
          <w:szCs w:val="22"/>
        </w:rPr>
      </w:pPr>
      <w:r w:rsidRPr="002742BE">
        <w:rPr>
          <w:rFonts w:ascii="Arial" w:hAnsi="Arial" w:cs="Arial"/>
          <w:b w:val="0"/>
          <w:sz w:val="22"/>
          <w:szCs w:val="22"/>
        </w:rPr>
        <w:t>active ulcerative gastrointestinal disease</w:t>
      </w:r>
    </w:p>
    <w:p w:rsidR="001D1004" w:rsidRPr="002742BE" w:rsidRDefault="001D1004" w:rsidP="00F04C47">
      <w:pPr>
        <w:pStyle w:val="BodyText2"/>
        <w:numPr>
          <w:ilvl w:val="0"/>
          <w:numId w:val="2"/>
        </w:numPr>
        <w:adjustRightInd w:val="0"/>
        <w:spacing w:after="120"/>
        <w:ind w:left="0" w:right="46" w:firstLine="0"/>
        <w:jc w:val="left"/>
        <w:textAlignment w:val="baseline"/>
        <w:rPr>
          <w:rFonts w:ascii="Arial" w:hAnsi="Arial" w:cs="Arial"/>
          <w:b w:val="0"/>
          <w:sz w:val="22"/>
          <w:szCs w:val="22"/>
        </w:rPr>
      </w:pPr>
      <w:r w:rsidRPr="002742BE">
        <w:rPr>
          <w:rFonts w:ascii="Arial" w:hAnsi="Arial" w:cs="Arial"/>
          <w:b w:val="0"/>
          <w:sz w:val="22"/>
          <w:szCs w:val="22"/>
        </w:rPr>
        <w:t>recent gastrointestinal ulcerations</w:t>
      </w:r>
    </w:p>
    <w:p w:rsidR="001D1004" w:rsidRPr="002742BE" w:rsidRDefault="001D1004" w:rsidP="00F04C47">
      <w:pPr>
        <w:pStyle w:val="BodyText2"/>
        <w:numPr>
          <w:ilvl w:val="0"/>
          <w:numId w:val="2"/>
        </w:numPr>
        <w:adjustRightInd w:val="0"/>
        <w:spacing w:after="120"/>
        <w:ind w:left="0" w:right="46" w:firstLine="0"/>
        <w:jc w:val="left"/>
        <w:textAlignment w:val="baseline"/>
        <w:rPr>
          <w:rFonts w:ascii="Arial" w:hAnsi="Arial" w:cs="Arial"/>
          <w:b w:val="0"/>
          <w:sz w:val="22"/>
          <w:szCs w:val="22"/>
        </w:rPr>
      </w:pPr>
      <w:r w:rsidRPr="002742BE">
        <w:rPr>
          <w:rFonts w:ascii="Arial" w:hAnsi="Arial" w:cs="Arial"/>
          <w:b w:val="0"/>
          <w:sz w:val="22"/>
          <w:szCs w:val="22"/>
        </w:rPr>
        <w:t>vascular retinopathy</w:t>
      </w:r>
    </w:p>
    <w:p w:rsidR="001D1004" w:rsidRPr="002742BE" w:rsidRDefault="001D1004" w:rsidP="00F04C47">
      <w:pPr>
        <w:pStyle w:val="BodyText2"/>
        <w:numPr>
          <w:ilvl w:val="0"/>
          <w:numId w:val="2"/>
        </w:numPr>
        <w:adjustRightInd w:val="0"/>
        <w:spacing w:after="120"/>
        <w:ind w:left="0" w:right="46" w:firstLine="0"/>
        <w:jc w:val="left"/>
        <w:textAlignment w:val="baseline"/>
        <w:rPr>
          <w:rFonts w:ascii="Arial" w:hAnsi="Arial" w:cs="Arial"/>
          <w:b w:val="0"/>
          <w:sz w:val="22"/>
          <w:szCs w:val="22"/>
        </w:rPr>
      </w:pPr>
      <w:r w:rsidRPr="002742BE">
        <w:rPr>
          <w:rFonts w:ascii="Arial" w:hAnsi="Arial" w:cs="Arial"/>
          <w:b w:val="0"/>
          <w:sz w:val="22"/>
          <w:szCs w:val="22"/>
        </w:rPr>
        <w:t>recent intracranial or intracerebral haemorrhage</w:t>
      </w:r>
    </w:p>
    <w:p w:rsidR="005F4F25" w:rsidRPr="002742BE" w:rsidRDefault="005F4F25" w:rsidP="00F04C47">
      <w:pPr>
        <w:pStyle w:val="BodyText2"/>
        <w:numPr>
          <w:ilvl w:val="0"/>
          <w:numId w:val="2"/>
        </w:numPr>
        <w:adjustRightInd w:val="0"/>
        <w:spacing w:after="120"/>
        <w:ind w:left="0" w:right="46" w:firstLine="0"/>
        <w:jc w:val="left"/>
        <w:textAlignment w:val="baseline"/>
        <w:rPr>
          <w:rFonts w:ascii="Arial" w:hAnsi="Arial" w:cs="Arial"/>
          <w:b w:val="0"/>
          <w:sz w:val="22"/>
          <w:szCs w:val="22"/>
        </w:rPr>
      </w:pPr>
      <w:r w:rsidRPr="002742BE">
        <w:rPr>
          <w:rFonts w:ascii="Arial" w:hAnsi="Arial" w:cs="Arial"/>
          <w:b w:val="0"/>
          <w:sz w:val="22"/>
          <w:szCs w:val="22"/>
        </w:rPr>
        <w:t>intraspinal or intracerebral vascular abnormalities</w:t>
      </w:r>
    </w:p>
    <w:p w:rsidR="001D1004" w:rsidRPr="002742BE" w:rsidRDefault="001D1004" w:rsidP="00F04C47">
      <w:pPr>
        <w:pStyle w:val="BodyText2"/>
        <w:numPr>
          <w:ilvl w:val="0"/>
          <w:numId w:val="2"/>
        </w:numPr>
        <w:adjustRightInd w:val="0"/>
        <w:spacing w:after="120"/>
        <w:ind w:left="0" w:right="46" w:firstLine="0"/>
        <w:jc w:val="left"/>
        <w:textAlignment w:val="baseline"/>
        <w:rPr>
          <w:rFonts w:ascii="Arial" w:hAnsi="Arial" w:cs="Arial"/>
          <w:b w:val="0"/>
          <w:sz w:val="22"/>
          <w:szCs w:val="22"/>
        </w:rPr>
      </w:pPr>
      <w:r w:rsidRPr="002742BE">
        <w:rPr>
          <w:rFonts w:ascii="Arial" w:hAnsi="Arial" w:cs="Arial"/>
          <w:b w:val="0"/>
          <w:sz w:val="22"/>
          <w:szCs w:val="22"/>
        </w:rPr>
        <w:t>shortly after brain, spinal or ophthalmological surgery</w:t>
      </w:r>
    </w:p>
    <w:p w:rsidR="00CF2BD8" w:rsidRPr="002742BE" w:rsidRDefault="00CF2BD8" w:rsidP="00F04C47">
      <w:pPr>
        <w:pStyle w:val="BodyText2"/>
        <w:numPr>
          <w:ilvl w:val="0"/>
          <w:numId w:val="2"/>
        </w:numPr>
        <w:adjustRightInd w:val="0"/>
        <w:spacing w:after="120"/>
        <w:ind w:left="0" w:right="46" w:firstLine="0"/>
        <w:jc w:val="left"/>
        <w:textAlignment w:val="baseline"/>
        <w:rPr>
          <w:rFonts w:ascii="Arial" w:hAnsi="Arial" w:cs="Arial"/>
          <w:b w:val="0"/>
          <w:sz w:val="22"/>
          <w:szCs w:val="22"/>
        </w:rPr>
      </w:pPr>
      <w:r w:rsidRPr="002742BE">
        <w:rPr>
          <w:rFonts w:ascii="Arial" w:hAnsi="Arial" w:cs="Arial"/>
          <w:b w:val="0"/>
          <w:sz w:val="22"/>
          <w:szCs w:val="22"/>
        </w:rPr>
        <w:t>concomitant use of medicines aff</w:t>
      </w:r>
      <w:r w:rsidR="00A81BB7" w:rsidRPr="002742BE">
        <w:rPr>
          <w:rFonts w:ascii="Arial" w:hAnsi="Arial" w:cs="Arial"/>
          <w:b w:val="0"/>
          <w:sz w:val="22"/>
          <w:szCs w:val="22"/>
        </w:rPr>
        <w:t>ecting haemosta</w:t>
      </w:r>
      <w:r w:rsidRPr="002742BE">
        <w:rPr>
          <w:rFonts w:ascii="Arial" w:hAnsi="Arial" w:cs="Arial"/>
          <w:b w:val="0"/>
          <w:sz w:val="22"/>
          <w:szCs w:val="22"/>
        </w:rPr>
        <w:t>sis</w:t>
      </w:r>
    </w:p>
    <w:p w:rsidR="008F7A0B" w:rsidRPr="002742BE" w:rsidRDefault="008F7A0B" w:rsidP="00F04C47">
      <w:pPr>
        <w:pStyle w:val="BodyText2"/>
        <w:numPr>
          <w:ilvl w:val="0"/>
          <w:numId w:val="2"/>
        </w:numPr>
        <w:adjustRightInd w:val="0"/>
        <w:spacing w:after="120"/>
        <w:ind w:left="0" w:right="46" w:firstLine="0"/>
        <w:jc w:val="left"/>
        <w:textAlignment w:val="baseline"/>
        <w:rPr>
          <w:rFonts w:ascii="Arial" w:hAnsi="Arial" w:cs="Arial"/>
          <w:b w:val="0"/>
          <w:sz w:val="22"/>
          <w:szCs w:val="22"/>
        </w:rPr>
      </w:pPr>
      <w:r w:rsidRPr="002742BE">
        <w:rPr>
          <w:rFonts w:ascii="Arial" w:hAnsi="Arial" w:cs="Arial"/>
          <w:b w:val="0"/>
          <w:sz w:val="22"/>
          <w:szCs w:val="22"/>
        </w:rPr>
        <w:lastRenderedPageBreak/>
        <w:t>bronchiectasis or history of pulmonary bleeding</w:t>
      </w:r>
    </w:p>
    <w:p w:rsidR="00EC0A1F" w:rsidRPr="002742BE" w:rsidRDefault="00413A01" w:rsidP="00F04C47">
      <w:pPr>
        <w:pStyle w:val="BodyText2"/>
        <w:adjustRightInd w:val="0"/>
        <w:spacing w:before="120"/>
        <w:ind w:right="46"/>
        <w:textAlignment w:val="baseline"/>
        <w:rPr>
          <w:rFonts w:ascii="Arial" w:hAnsi="Arial" w:cs="Arial"/>
          <w:b w:val="0"/>
          <w:sz w:val="22"/>
          <w:szCs w:val="22"/>
        </w:rPr>
      </w:pPr>
      <w:r w:rsidRPr="002742BE">
        <w:rPr>
          <w:rFonts w:ascii="Arial" w:hAnsi="Arial" w:cs="Arial"/>
          <w:b w:val="0"/>
          <w:sz w:val="22"/>
          <w:szCs w:val="22"/>
        </w:rPr>
        <w:t>For patients at risk of ulcerative gastrointestinal disease an appropriate prophylactic treatment may be considered.</w:t>
      </w:r>
    </w:p>
    <w:p w:rsidR="00963DBF" w:rsidRPr="002742BE" w:rsidRDefault="00963DBF" w:rsidP="00963DBF">
      <w:pPr>
        <w:rPr>
          <w:rFonts w:ascii="Arial" w:hAnsi="Arial" w:cs="Arial"/>
          <w:i/>
          <w:sz w:val="22"/>
          <w:lang w:val="en-AU"/>
        </w:rPr>
      </w:pPr>
      <w:r w:rsidRPr="002742BE">
        <w:rPr>
          <w:rFonts w:ascii="Arial" w:hAnsi="Arial" w:cs="Arial"/>
          <w:i/>
          <w:sz w:val="22"/>
          <w:lang w:val="en-AU"/>
        </w:rPr>
        <w:t>Other risk factors</w:t>
      </w:r>
    </w:p>
    <w:p w:rsidR="001D1004" w:rsidRPr="002742BE" w:rsidRDefault="00822788" w:rsidP="00F04C47">
      <w:pPr>
        <w:pStyle w:val="Heading3"/>
        <w:spacing w:before="120" w:after="240"/>
        <w:ind w:right="46"/>
        <w:rPr>
          <w:rFonts w:ascii="Arial" w:hAnsi="Arial" w:cs="Arial"/>
          <w:bCs w:val="0"/>
          <w:i w:val="0"/>
          <w:sz w:val="22"/>
          <w:szCs w:val="22"/>
          <w:lang w:val="en-AU"/>
        </w:rPr>
      </w:pPr>
      <w:r w:rsidRPr="002742BE">
        <w:rPr>
          <w:rFonts w:ascii="Arial" w:hAnsi="Arial" w:cs="Arial"/>
          <w:bCs w:val="0"/>
          <w:i w:val="0"/>
          <w:sz w:val="22"/>
          <w:szCs w:val="22"/>
          <w:lang w:val="en-AU"/>
        </w:rPr>
        <w:t>R</w:t>
      </w:r>
      <w:r w:rsidR="001D1004" w:rsidRPr="002742BE">
        <w:rPr>
          <w:rFonts w:ascii="Arial" w:hAnsi="Arial" w:cs="Arial"/>
          <w:bCs w:val="0"/>
          <w:i w:val="0"/>
          <w:sz w:val="22"/>
          <w:szCs w:val="22"/>
          <w:lang w:val="en-AU"/>
        </w:rPr>
        <w:t>enal impairment</w:t>
      </w:r>
    </w:p>
    <w:p w:rsidR="001D1004" w:rsidRPr="002742BE" w:rsidRDefault="00E8487E"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Xarelto </w:t>
      </w:r>
      <w:r w:rsidR="00981E7B" w:rsidRPr="002742BE">
        <w:rPr>
          <w:rFonts w:ascii="Arial" w:hAnsi="Arial" w:cs="Arial"/>
          <w:sz w:val="22"/>
          <w:szCs w:val="22"/>
          <w:lang w:val="en-AU"/>
        </w:rPr>
        <w:t>is to be used with caution in patients with moderate renal impairment (creatinine clearance 30</w:t>
      </w:r>
      <w:r w:rsidR="005D1E0B" w:rsidRPr="002742BE">
        <w:rPr>
          <w:rFonts w:ascii="Arial" w:hAnsi="Arial" w:cs="Arial"/>
          <w:sz w:val="22"/>
          <w:szCs w:val="22"/>
          <w:lang w:val="en-AU"/>
        </w:rPr>
        <w:t> </w:t>
      </w:r>
      <w:r w:rsidR="00981E7B" w:rsidRPr="002742BE">
        <w:rPr>
          <w:rFonts w:ascii="Arial" w:hAnsi="Arial" w:cs="Arial"/>
          <w:sz w:val="22"/>
          <w:szCs w:val="22"/>
          <w:lang w:val="en-AU"/>
        </w:rPr>
        <w:t>- 49</w:t>
      </w:r>
      <w:r w:rsidR="00307B9D" w:rsidRPr="002742BE">
        <w:rPr>
          <w:rFonts w:ascii="Arial" w:hAnsi="Arial" w:cs="Arial"/>
          <w:sz w:val="22"/>
          <w:szCs w:val="22"/>
          <w:lang w:val="en-AU"/>
        </w:rPr>
        <w:t> </w:t>
      </w:r>
      <w:r w:rsidR="00981E7B" w:rsidRPr="002742BE">
        <w:rPr>
          <w:rFonts w:ascii="Arial" w:hAnsi="Arial" w:cs="Arial"/>
          <w:sz w:val="22"/>
          <w:szCs w:val="22"/>
          <w:lang w:val="en-AU"/>
        </w:rPr>
        <w:t>mL/min) receiving co-medications</w:t>
      </w:r>
      <w:r w:rsidR="00626BB7">
        <w:rPr>
          <w:rFonts w:ascii="Arial" w:hAnsi="Arial" w:cs="Arial"/>
          <w:sz w:val="22"/>
          <w:szCs w:val="22"/>
          <w:lang w:val="en-AU"/>
        </w:rPr>
        <w:t xml:space="preserve"> (including moderate inhibitors of CYP3A4 or P-gp)</w:t>
      </w:r>
      <w:r w:rsidR="00981E7B" w:rsidRPr="002742BE">
        <w:rPr>
          <w:rFonts w:ascii="Arial" w:hAnsi="Arial" w:cs="Arial"/>
          <w:sz w:val="22"/>
          <w:szCs w:val="22"/>
          <w:lang w:val="en-AU"/>
        </w:rPr>
        <w:t xml:space="preserve"> leading to increased rivaroxaban plasma concentrations (see Interactions</w:t>
      </w:r>
      <w:r w:rsidR="00C32154" w:rsidRPr="002742BE">
        <w:rPr>
          <w:rFonts w:ascii="Arial" w:hAnsi="Arial" w:cs="Arial"/>
          <w:sz w:val="22"/>
          <w:szCs w:val="22"/>
          <w:lang w:val="en-AU"/>
        </w:rPr>
        <w:t xml:space="preserve"> with O</w:t>
      </w:r>
      <w:r w:rsidR="00981E7B" w:rsidRPr="002742BE">
        <w:rPr>
          <w:rFonts w:ascii="Arial" w:hAnsi="Arial" w:cs="Arial"/>
          <w:sz w:val="22"/>
          <w:szCs w:val="22"/>
          <w:lang w:val="en-AU"/>
        </w:rPr>
        <w:t xml:space="preserve">ther Medicines). </w:t>
      </w:r>
      <w:r w:rsidR="001D1004" w:rsidRPr="002742BE">
        <w:rPr>
          <w:rFonts w:ascii="Arial" w:hAnsi="Arial" w:cs="Arial"/>
          <w:sz w:val="22"/>
          <w:szCs w:val="22"/>
          <w:lang w:val="en-AU"/>
        </w:rPr>
        <w:t>In patients with severe renal impairment (</w:t>
      </w:r>
      <w:r w:rsidR="001D1004" w:rsidRPr="002742BE">
        <w:rPr>
          <w:rFonts w:ascii="Arial" w:hAnsi="Arial" w:cs="Arial"/>
          <w:noProof/>
          <w:sz w:val="22"/>
          <w:szCs w:val="22"/>
          <w:lang w:val="en-AU"/>
        </w:rPr>
        <w:t>creatinine clearance</w:t>
      </w:r>
      <w:r w:rsidR="001D1004" w:rsidRPr="002742BE">
        <w:rPr>
          <w:rFonts w:ascii="Arial" w:eastAsia="SimSun" w:hAnsi="Arial" w:cs="Arial"/>
          <w:iCs/>
          <w:snapToGrid w:val="0"/>
          <w:sz w:val="22"/>
          <w:szCs w:val="22"/>
          <w:lang w:val="en-AU" w:eastAsia="zh-CN"/>
        </w:rPr>
        <w:t xml:space="preserve"> &lt; 30 mL/min</w:t>
      </w:r>
      <w:r w:rsidR="001D1004" w:rsidRPr="002742BE">
        <w:rPr>
          <w:rFonts w:ascii="Arial" w:hAnsi="Arial" w:cs="Arial"/>
          <w:sz w:val="22"/>
          <w:szCs w:val="22"/>
          <w:lang w:val="en-AU"/>
        </w:rPr>
        <w:t xml:space="preserve">) rivaroxaban plasma levels may be significantly increased, which may lead to an increased bleeding risk. Due to the underlying disease these patients are also at an increased risk of both bleeding and thrombosis. Due to limited clinical data </w:t>
      </w:r>
      <w:r w:rsidRPr="002742BE">
        <w:rPr>
          <w:rFonts w:ascii="Arial" w:hAnsi="Arial" w:cs="Arial"/>
          <w:sz w:val="22"/>
          <w:szCs w:val="22"/>
          <w:lang w:val="en-AU"/>
        </w:rPr>
        <w:t xml:space="preserve">Xarelto </w:t>
      </w:r>
      <w:r w:rsidR="009D7998" w:rsidRPr="002742BE">
        <w:rPr>
          <w:rFonts w:ascii="Arial" w:hAnsi="Arial" w:cs="Arial"/>
          <w:sz w:val="22"/>
          <w:szCs w:val="22"/>
          <w:lang w:val="en-AU"/>
        </w:rPr>
        <w:t xml:space="preserve">10 mg </w:t>
      </w:r>
      <w:r w:rsidR="001D1004" w:rsidRPr="002742BE">
        <w:rPr>
          <w:rFonts w:ascii="Arial" w:hAnsi="Arial" w:cs="Arial"/>
          <w:sz w:val="22"/>
          <w:szCs w:val="22"/>
          <w:lang w:val="en-AU"/>
        </w:rPr>
        <w:t xml:space="preserve">should be used with caution in patients with </w:t>
      </w:r>
      <w:r w:rsidR="00981E7B" w:rsidRPr="002742BE">
        <w:rPr>
          <w:rFonts w:ascii="Arial" w:hAnsi="Arial" w:cs="Arial"/>
          <w:sz w:val="22"/>
          <w:szCs w:val="22"/>
          <w:lang w:val="en-AU"/>
        </w:rPr>
        <w:t>CrCl 15</w:t>
      </w:r>
      <w:r w:rsidR="00307B9D" w:rsidRPr="002742BE">
        <w:rPr>
          <w:rFonts w:ascii="Arial" w:hAnsi="Arial" w:cs="Arial"/>
          <w:sz w:val="22"/>
          <w:szCs w:val="22"/>
          <w:lang w:val="en-AU"/>
        </w:rPr>
        <w:t> </w:t>
      </w:r>
      <w:r w:rsidR="00981E7B" w:rsidRPr="002742BE">
        <w:rPr>
          <w:rFonts w:ascii="Arial" w:hAnsi="Arial" w:cs="Arial"/>
          <w:sz w:val="22"/>
          <w:szCs w:val="22"/>
          <w:lang w:val="en-AU"/>
        </w:rPr>
        <w:t>-</w:t>
      </w:r>
      <w:r w:rsidR="00307B9D" w:rsidRPr="002742BE">
        <w:rPr>
          <w:rFonts w:ascii="Arial" w:hAnsi="Arial" w:cs="Arial"/>
          <w:sz w:val="22"/>
          <w:szCs w:val="22"/>
          <w:lang w:val="en-AU"/>
        </w:rPr>
        <w:t> </w:t>
      </w:r>
      <w:r w:rsidR="00981E7B" w:rsidRPr="002742BE">
        <w:rPr>
          <w:rFonts w:ascii="Arial" w:hAnsi="Arial" w:cs="Arial"/>
          <w:sz w:val="22"/>
          <w:szCs w:val="22"/>
          <w:lang w:val="en-AU"/>
        </w:rPr>
        <w:t>29</w:t>
      </w:r>
      <w:r w:rsidR="00307B9D" w:rsidRPr="002742BE">
        <w:rPr>
          <w:rFonts w:ascii="Arial" w:hAnsi="Arial" w:cs="Arial"/>
          <w:sz w:val="22"/>
          <w:szCs w:val="22"/>
          <w:lang w:val="en-AU"/>
        </w:rPr>
        <w:t> </w:t>
      </w:r>
      <w:r w:rsidR="00981E7B" w:rsidRPr="002742BE">
        <w:rPr>
          <w:rFonts w:ascii="Arial" w:hAnsi="Arial" w:cs="Arial"/>
          <w:sz w:val="22"/>
          <w:szCs w:val="22"/>
          <w:lang w:val="en-AU"/>
        </w:rPr>
        <w:t>mL/min</w:t>
      </w:r>
      <w:r w:rsidR="009D7998" w:rsidRPr="002742BE">
        <w:rPr>
          <w:rFonts w:ascii="Arial" w:hAnsi="Arial" w:cs="Arial"/>
          <w:sz w:val="22"/>
          <w:szCs w:val="22"/>
          <w:lang w:val="en-AU"/>
        </w:rPr>
        <w:t>. Xarelto 15 mg and 20 mg should not be used in patients with CrCl &lt; 30 mL/min</w:t>
      </w:r>
      <w:r w:rsidR="005C3449">
        <w:rPr>
          <w:rFonts w:ascii="Arial" w:hAnsi="Arial" w:cs="Arial"/>
          <w:sz w:val="22"/>
          <w:szCs w:val="22"/>
          <w:lang w:val="en-AU"/>
        </w:rPr>
        <w:t>. Patients on dialysis have not been studied, Xarelto should not be used in this population</w:t>
      </w:r>
      <w:r w:rsidR="001D1004" w:rsidRPr="002742BE">
        <w:rPr>
          <w:rFonts w:ascii="Arial" w:hAnsi="Arial" w:cs="Arial"/>
          <w:sz w:val="22"/>
          <w:szCs w:val="22"/>
          <w:lang w:val="en-AU"/>
        </w:rPr>
        <w:t xml:space="preserve"> (see </w:t>
      </w:r>
      <w:r w:rsidR="004445B3" w:rsidRPr="002742BE">
        <w:rPr>
          <w:rFonts w:ascii="Arial" w:hAnsi="Arial" w:cs="Arial"/>
          <w:sz w:val="22"/>
          <w:szCs w:val="22"/>
          <w:lang w:val="en-AU"/>
        </w:rPr>
        <w:t xml:space="preserve">CONTRAINDICATIONS, </w:t>
      </w:r>
      <w:r w:rsidR="001D1004" w:rsidRPr="002742BE">
        <w:rPr>
          <w:rFonts w:ascii="Arial" w:hAnsi="Arial" w:cs="Arial"/>
          <w:sz w:val="22"/>
          <w:szCs w:val="22"/>
          <w:lang w:val="en-AU"/>
        </w:rPr>
        <w:t>DOSAGE AND ADMINISTRATION, PHARMACOLOGY).</w:t>
      </w:r>
    </w:p>
    <w:p w:rsidR="00862AC7" w:rsidRPr="002742BE" w:rsidRDefault="00981E7B"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No clinical data are available for patients with </w:t>
      </w:r>
      <w:r w:rsidR="00F8345E" w:rsidRPr="002742BE">
        <w:rPr>
          <w:rFonts w:ascii="Arial" w:hAnsi="Arial" w:cs="Arial"/>
          <w:sz w:val="22"/>
          <w:szCs w:val="22"/>
          <w:lang w:val="en-AU"/>
        </w:rPr>
        <w:t>creatinine clearance less than 15</w:t>
      </w:r>
      <w:r w:rsidR="009369FF" w:rsidRPr="002742BE">
        <w:rPr>
          <w:rFonts w:ascii="Arial" w:hAnsi="Arial" w:cs="Arial"/>
          <w:sz w:val="22"/>
          <w:szCs w:val="22"/>
          <w:lang w:val="en-AU"/>
        </w:rPr>
        <w:t xml:space="preserve"> </w:t>
      </w:r>
      <w:r w:rsidRPr="002742BE">
        <w:rPr>
          <w:rFonts w:ascii="Arial" w:hAnsi="Arial" w:cs="Arial"/>
          <w:sz w:val="22"/>
          <w:szCs w:val="22"/>
          <w:lang w:val="en-AU"/>
        </w:rPr>
        <w:t xml:space="preserve">mL/min. Therefore use of </w:t>
      </w:r>
      <w:r w:rsidR="00E8487E" w:rsidRPr="002742BE">
        <w:rPr>
          <w:rFonts w:ascii="Arial" w:hAnsi="Arial" w:cs="Arial"/>
          <w:sz w:val="22"/>
          <w:szCs w:val="22"/>
          <w:lang w:val="en-AU"/>
        </w:rPr>
        <w:t xml:space="preserve">Xarelto </w:t>
      </w:r>
      <w:r w:rsidRPr="002742BE">
        <w:rPr>
          <w:rFonts w:ascii="Arial" w:hAnsi="Arial" w:cs="Arial"/>
          <w:sz w:val="22"/>
          <w:szCs w:val="22"/>
          <w:lang w:val="en-AU"/>
        </w:rPr>
        <w:t>is</w:t>
      </w:r>
      <w:r w:rsidR="00307B9D" w:rsidRPr="002742BE">
        <w:rPr>
          <w:rFonts w:ascii="Arial" w:hAnsi="Arial" w:cs="Arial"/>
          <w:sz w:val="22"/>
          <w:szCs w:val="22"/>
          <w:lang w:val="en-AU"/>
        </w:rPr>
        <w:t xml:space="preserve"> contraindicated</w:t>
      </w:r>
      <w:r w:rsidRPr="002742BE">
        <w:rPr>
          <w:rFonts w:ascii="Arial" w:hAnsi="Arial" w:cs="Arial"/>
          <w:sz w:val="22"/>
          <w:szCs w:val="22"/>
          <w:lang w:val="en-AU"/>
        </w:rPr>
        <w:t xml:space="preserve"> in these patients (see</w:t>
      </w:r>
      <w:r w:rsidR="002626F2" w:rsidRPr="002742BE">
        <w:rPr>
          <w:rFonts w:ascii="Arial" w:hAnsi="Arial" w:cs="Arial"/>
          <w:sz w:val="22"/>
          <w:szCs w:val="22"/>
          <w:lang w:val="en-AU"/>
        </w:rPr>
        <w:t xml:space="preserve"> CONTRAINDICATIONS</w:t>
      </w:r>
      <w:r w:rsidRPr="002742BE">
        <w:rPr>
          <w:rFonts w:ascii="Arial" w:hAnsi="Arial" w:cs="Arial"/>
          <w:sz w:val="22"/>
          <w:szCs w:val="22"/>
          <w:lang w:val="en-AU"/>
        </w:rPr>
        <w:t>).</w:t>
      </w:r>
    </w:p>
    <w:p w:rsidR="00211B5B" w:rsidRPr="002742BE" w:rsidRDefault="00211B5B" w:rsidP="00F04C47">
      <w:pPr>
        <w:pStyle w:val="Heading3"/>
        <w:spacing w:before="120" w:after="120"/>
        <w:ind w:right="46"/>
        <w:rPr>
          <w:rFonts w:ascii="Arial" w:hAnsi="Arial" w:cs="Arial"/>
          <w:i w:val="0"/>
          <w:sz w:val="22"/>
          <w:lang w:val="en-AU"/>
        </w:rPr>
      </w:pPr>
      <w:r w:rsidRPr="002742BE">
        <w:rPr>
          <w:rFonts w:ascii="Arial" w:hAnsi="Arial" w:cs="Arial"/>
          <w:i w:val="0"/>
          <w:sz w:val="22"/>
          <w:lang w:val="en-AU"/>
        </w:rPr>
        <w:t>Hepatic impairment</w:t>
      </w:r>
    </w:p>
    <w:p w:rsidR="00616721" w:rsidRPr="002742BE" w:rsidRDefault="00E8487E" w:rsidP="00F04C47">
      <w:pPr>
        <w:spacing w:before="120" w:after="240"/>
        <w:ind w:right="46"/>
        <w:jc w:val="both"/>
        <w:rPr>
          <w:rFonts w:ascii="Arial" w:hAnsi="Arial" w:cs="Arial"/>
          <w:noProof/>
          <w:sz w:val="22"/>
          <w:szCs w:val="22"/>
          <w:lang w:val="en-AU"/>
        </w:rPr>
      </w:pPr>
      <w:r w:rsidRPr="002742BE">
        <w:rPr>
          <w:rFonts w:ascii="Arial" w:hAnsi="Arial" w:cs="Arial"/>
          <w:noProof/>
          <w:sz w:val="22"/>
          <w:szCs w:val="22"/>
          <w:lang w:val="en-AU"/>
        </w:rPr>
        <w:t xml:space="preserve">Xarelto </w:t>
      </w:r>
      <w:r w:rsidR="00616721" w:rsidRPr="002742BE">
        <w:rPr>
          <w:rFonts w:ascii="Arial" w:hAnsi="Arial" w:cs="Arial"/>
          <w:noProof/>
          <w:sz w:val="22"/>
          <w:szCs w:val="22"/>
          <w:lang w:val="en-AU"/>
        </w:rPr>
        <w:t xml:space="preserve">is contraindicated in patients with </w:t>
      </w:r>
      <w:r w:rsidR="00F95B66" w:rsidRPr="002742BE">
        <w:rPr>
          <w:rFonts w:ascii="Arial" w:hAnsi="Arial" w:cs="Arial"/>
          <w:noProof/>
          <w:sz w:val="22"/>
          <w:szCs w:val="22"/>
          <w:lang w:val="en-AU"/>
        </w:rPr>
        <w:t xml:space="preserve">significant </w:t>
      </w:r>
      <w:r w:rsidR="00616721" w:rsidRPr="002742BE">
        <w:rPr>
          <w:rFonts w:ascii="Arial" w:hAnsi="Arial" w:cs="Arial"/>
          <w:noProof/>
          <w:sz w:val="22"/>
          <w:szCs w:val="22"/>
          <w:lang w:val="en-AU"/>
        </w:rPr>
        <w:t xml:space="preserve">hepatic disease (including moderate to severe hepatic impairment, i.e. Child-Pugh B and C) which is associated with coagulopathy leading to a clinically relevant bleeding risk. </w:t>
      </w:r>
      <w:r w:rsidR="00613E9A" w:rsidRPr="002742BE">
        <w:rPr>
          <w:rFonts w:ascii="Arial" w:hAnsi="Arial" w:cs="Arial"/>
          <w:noProof/>
          <w:sz w:val="22"/>
          <w:szCs w:val="22"/>
          <w:lang w:val="en-AU"/>
        </w:rPr>
        <w:t xml:space="preserve">Limited clinical data in patients with moderate hepatic impairment (Child Pugh B) indicate a significant increase in the pharmacological activity. </w:t>
      </w:r>
      <w:r w:rsidRPr="002742BE">
        <w:rPr>
          <w:rFonts w:ascii="Arial" w:hAnsi="Arial" w:cs="Arial"/>
          <w:sz w:val="22"/>
          <w:szCs w:val="22"/>
          <w:lang w:val="en-AU"/>
        </w:rPr>
        <w:t xml:space="preserve">Xarelto </w:t>
      </w:r>
      <w:r w:rsidR="00862AC7" w:rsidRPr="002742BE">
        <w:rPr>
          <w:rFonts w:ascii="Arial" w:hAnsi="Arial" w:cs="Arial"/>
          <w:sz w:val="22"/>
          <w:szCs w:val="22"/>
          <w:lang w:val="en-AU"/>
        </w:rPr>
        <w:t>may be</w:t>
      </w:r>
      <w:r w:rsidR="00613E9A" w:rsidRPr="002742BE">
        <w:rPr>
          <w:rFonts w:ascii="Arial" w:hAnsi="Arial" w:cs="Arial"/>
          <w:sz w:val="22"/>
          <w:szCs w:val="22"/>
          <w:lang w:val="en-AU"/>
        </w:rPr>
        <w:t xml:space="preserve"> </w:t>
      </w:r>
      <w:r w:rsidR="00211B5B" w:rsidRPr="002742BE">
        <w:rPr>
          <w:rFonts w:ascii="Arial" w:hAnsi="Arial" w:cs="Arial"/>
          <w:sz w:val="22"/>
          <w:szCs w:val="22"/>
          <w:lang w:val="en-AU"/>
        </w:rPr>
        <w:t>used in cirrhotic patients with moderate hepatic</w:t>
      </w:r>
      <w:r w:rsidR="00616721" w:rsidRPr="002742BE">
        <w:rPr>
          <w:rFonts w:ascii="Arial" w:hAnsi="Arial" w:cs="Arial"/>
          <w:sz w:val="22"/>
          <w:szCs w:val="22"/>
          <w:lang w:val="en-AU"/>
        </w:rPr>
        <w:t xml:space="preserve"> (Child Pugh B)</w:t>
      </w:r>
      <w:r w:rsidR="00211B5B" w:rsidRPr="002742BE">
        <w:rPr>
          <w:rFonts w:ascii="Arial" w:hAnsi="Arial" w:cs="Arial"/>
          <w:sz w:val="22"/>
          <w:szCs w:val="22"/>
          <w:lang w:val="en-AU"/>
        </w:rPr>
        <w:t xml:space="preserve"> impairment </w:t>
      </w:r>
      <w:r w:rsidR="00862AC7" w:rsidRPr="002742BE">
        <w:rPr>
          <w:rFonts w:ascii="Arial" w:hAnsi="Arial" w:cs="Arial"/>
          <w:sz w:val="22"/>
          <w:szCs w:val="22"/>
          <w:lang w:val="en-AU"/>
        </w:rPr>
        <w:t xml:space="preserve">if it </w:t>
      </w:r>
      <w:r w:rsidR="00211B5B" w:rsidRPr="002742BE">
        <w:rPr>
          <w:rFonts w:ascii="Arial" w:hAnsi="Arial" w:cs="Arial"/>
          <w:sz w:val="22"/>
          <w:szCs w:val="22"/>
          <w:lang w:val="en-AU"/>
        </w:rPr>
        <w:t>is not associated with coagulopathy</w:t>
      </w:r>
      <w:r w:rsidR="0074584F" w:rsidRPr="002742BE">
        <w:rPr>
          <w:rFonts w:ascii="Arial" w:hAnsi="Arial" w:cs="Arial"/>
          <w:sz w:val="22"/>
          <w:szCs w:val="22"/>
          <w:lang w:val="en-AU"/>
        </w:rPr>
        <w:t xml:space="preserve"> (see PHARMACOLOGY</w:t>
      </w:r>
      <w:r w:rsidR="008D5C56" w:rsidRPr="002742BE">
        <w:rPr>
          <w:rFonts w:ascii="Arial" w:hAnsi="Arial" w:cs="Arial"/>
          <w:sz w:val="22"/>
          <w:szCs w:val="22"/>
          <w:lang w:val="en-AU"/>
        </w:rPr>
        <w:t xml:space="preserve"> and CONTRAINDICATIONS</w:t>
      </w:r>
      <w:r w:rsidR="0074584F" w:rsidRPr="002742BE">
        <w:rPr>
          <w:rFonts w:ascii="Arial" w:hAnsi="Arial" w:cs="Arial"/>
          <w:sz w:val="22"/>
          <w:szCs w:val="22"/>
          <w:lang w:val="en-AU"/>
        </w:rPr>
        <w:t>).</w:t>
      </w:r>
    </w:p>
    <w:p w:rsidR="001D1004" w:rsidRPr="002742BE" w:rsidRDefault="001D1004" w:rsidP="00F04C47">
      <w:pPr>
        <w:pStyle w:val="Heading3"/>
        <w:spacing w:before="120" w:after="240"/>
        <w:ind w:right="46"/>
        <w:rPr>
          <w:rFonts w:ascii="Arial" w:hAnsi="Arial" w:cs="Arial"/>
          <w:bCs w:val="0"/>
          <w:i w:val="0"/>
          <w:sz w:val="22"/>
          <w:szCs w:val="22"/>
          <w:lang w:val="en-AU"/>
        </w:rPr>
      </w:pPr>
      <w:r w:rsidRPr="002742BE">
        <w:rPr>
          <w:rFonts w:ascii="Arial" w:hAnsi="Arial" w:cs="Arial"/>
          <w:bCs w:val="0"/>
          <w:i w:val="0"/>
          <w:sz w:val="22"/>
          <w:szCs w:val="22"/>
          <w:lang w:val="en-AU"/>
        </w:rPr>
        <w:t>Strong CYP 3A4 and P-gp inhibitors</w:t>
      </w:r>
    </w:p>
    <w:p w:rsidR="001D1004" w:rsidRPr="002742BE" w:rsidRDefault="00E8487E" w:rsidP="00BC183B">
      <w:pPr>
        <w:spacing w:before="120" w:after="240"/>
        <w:jc w:val="both"/>
        <w:rPr>
          <w:rFonts w:ascii="Arial" w:hAnsi="Arial" w:cs="Arial"/>
          <w:sz w:val="22"/>
          <w:szCs w:val="22"/>
          <w:lang w:val="en-AU"/>
        </w:rPr>
      </w:pPr>
      <w:r w:rsidRPr="002742BE">
        <w:rPr>
          <w:rFonts w:ascii="Arial" w:hAnsi="Arial" w:cs="Arial"/>
          <w:sz w:val="22"/>
          <w:szCs w:val="22"/>
          <w:lang w:val="en-AU"/>
        </w:rPr>
        <w:t xml:space="preserve">Xarelto </w:t>
      </w:r>
      <w:r w:rsidR="00981E7B" w:rsidRPr="002742BE">
        <w:rPr>
          <w:rFonts w:ascii="Arial" w:hAnsi="Arial" w:cs="Arial"/>
          <w:sz w:val="22"/>
          <w:szCs w:val="22"/>
          <w:lang w:val="en-AU"/>
        </w:rPr>
        <w:t xml:space="preserve">is </w:t>
      </w:r>
      <w:r w:rsidR="009647C9" w:rsidRPr="002742BE">
        <w:rPr>
          <w:rFonts w:ascii="Arial" w:hAnsi="Arial" w:cs="Arial"/>
          <w:sz w:val="22"/>
          <w:szCs w:val="22"/>
          <w:lang w:val="en-AU"/>
        </w:rPr>
        <w:t>contraindicated</w:t>
      </w:r>
      <w:r w:rsidR="000825A9" w:rsidRPr="002742BE">
        <w:rPr>
          <w:rFonts w:ascii="Arial" w:hAnsi="Arial" w:cs="Arial"/>
          <w:sz w:val="22"/>
          <w:szCs w:val="22"/>
          <w:lang w:val="en-AU"/>
        </w:rPr>
        <w:t xml:space="preserve"> </w:t>
      </w:r>
      <w:r w:rsidR="001D1004" w:rsidRPr="002742BE">
        <w:rPr>
          <w:rFonts w:ascii="Arial" w:hAnsi="Arial" w:cs="Arial"/>
          <w:sz w:val="22"/>
          <w:szCs w:val="22"/>
          <w:lang w:val="en-AU"/>
        </w:rPr>
        <w:t>in patients receiving concomitant systemic treatment with azole-antimycotics (e.g. ketoconazole) or HIV protease inhibitors (e.g. ritonavir). These active substances are strong inhibitors of both CYP 3A4 and P-gp and therefore may increase rivaroxaban plasma concentrations to a clinically relevant degree</w:t>
      </w:r>
      <w:r w:rsidR="00981E7B" w:rsidRPr="002742BE">
        <w:rPr>
          <w:rFonts w:ascii="Arial" w:hAnsi="Arial" w:cs="Arial"/>
          <w:sz w:val="22"/>
          <w:szCs w:val="22"/>
          <w:lang w:val="en-AU"/>
        </w:rPr>
        <w:t xml:space="preserve"> which may lead to an increased bleeding risk</w:t>
      </w:r>
      <w:r w:rsidR="001D1004" w:rsidRPr="002742BE">
        <w:rPr>
          <w:rFonts w:ascii="Arial" w:hAnsi="Arial" w:cs="Arial"/>
          <w:sz w:val="22"/>
          <w:szCs w:val="22"/>
          <w:lang w:val="en-AU"/>
        </w:rPr>
        <w:t xml:space="preserve"> (see </w:t>
      </w:r>
      <w:r w:rsidR="009C25C6" w:rsidRPr="002742BE">
        <w:rPr>
          <w:rFonts w:ascii="Arial" w:hAnsi="Arial" w:cs="Arial"/>
          <w:sz w:val="22"/>
          <w:szCs w:val="22"/>
          <w:lang w:val="en-AU"/>
        </w:rPr>
        <w:t xml:space="preserve">CONTRAINDICATIONS and </w:t>
      </w:r>
      <w:r w:rsidR="002A03C2" w:rsidRPr="002742BE">
        <w:rPr>
          <w:rFonts w:ascii="Arial" w:hAnsi="Arial" w:cs="Arial"/>
          <w:sz w:val="22"/>
          <w:szCs w:val="22"/>
          <w:lang w:val="en-AU"/>
        </w:rPr>
        <w:t>INTERACTIONS WITH OTHER MEDICINES</w:t>
      </w:r>
      <w:r w:rsidR="001D1004" w:rsidRPr="002742BE">
        <w:rPr>
          <w:rFonts w:ascii="Arial" w:hAnsi="Arial" w:cs="Arial"/>
          <w:sz w:val="22"/>
          <w:szCs w:val="22"/>
          <w:lang w:val="en-AU"/>
        </w:rPr>
        <w:t>).</w:t>
      </w:r>
      <w:r w:rsidR="00C13157" w:rsidRPr="002742BE">
        <w:rPr>
          <w:rFonts w:ascii="Arial" w:hAnsi="Arial" w:cs="Arial"/>
          <w:b/>
          <w:sz w:val="22"/>
          <w:szCs w:val="22"/>
          <w:lang w:val="en-AU"/>
        </w:rPr>
        <w:t xml:space="preserve"> </w:t>
      </w:r>
      <w:r w:rsidR="00C13157" w:rsidRPr="002742BE">
        <w:rPr>
          <w:rFonts w:ascii="Arial" w:hAnsi="Arial" w:cs="Arial"/>
          <w:sz w:val="22"/>
          <w:szCs w:val="22"/>
          <w:lang w:val="en-AU"/>
        </w:rPr>
        <w:t>However, fluconazole</w:t>
      </w:r>
      <w:r w:rsidR="00EE5376" w:rsidRPr="002742BE">
        <w:rPr>
          <w:rFonts w:ascii="Arial" w:hAnsi="Arial" w:cs="Arial"/>
          <w:sz w:val="22"/>
          <w:szCs w:val="22"/>
          <w:lang w:val="en-AU"/>
        </w:rPr>
        <w:t>,</w:t>
      </w:r>
      <w:r w:rsidR="00C13157" w:rsidRPr="002742BE">
        <w:rPr>
          <w:rFonts w:ascii="Arial" w:hAnsi="Arial" w:cs="Arial"/>
          <w:sz w:val="22"/>
          <w:szCs w:val="22"/>
          <w:lang w:val="en-AU"/>
        </w:rPr>
        <w:t xml:space="preserve"> a less potent CYP3A4 and P-gp inhibitor </w:t>
      </w:r>
      <w:r w:rsidR="00EE5376" w:rsidRPr="002742BE">
        <w:rPr>
          <w:rFonts w:ascii="Arial" w:hAnsi="Arial" w:cs="Arial"/>
          <w:sz w:val="22"/>
          <w:szCs w:val="22"/>
          <w:lang w:val="en-AU"/>
        </w:rPr>
        <w:t xml:space="preserve">has less effect on rivaroxaban </w:t>
      </w:r>
      <w:r w:rsidR="00C13157" w:rsidRPr="002742BE">
        <w:rPr>
          <w:rFonts w:ascii="Arial" w:hAnsi="Arial" w:cs="Arial"/>
          <w:sz w:val="22"/>
          <w:szCs w:val="22"/>
          <w:lang w:val="en-AU"/>
        </w:rPr>
        <w:t>and may be co-administered</w:t>
      </w:r>
      <w:r w:rsidR="008C2BDA" w:rsidRPr="002742BE">
        <w:rPr>
          <w:rFonts w:ascii="Arial" w:hAnsi="Arial" w:cs="Arial"/>
          <w:sz w:val="22"/>
          <w:szCs w:val="22"/>
          <w:lang w:val="en-AU"/>
        </w:rPr>
        <w:t xml:space="preserve"> (see</w:t>
      </w:r>
      <w:r w:rsidR="00BC183B" w:rsidRPr="002742BE">
        <w:rPr>
          <w:rFonts w:ascii="Arial" w:hAnsi="Arial" w:cs="Arial"/>
          <w:sz w:val="22"/>
          <w:szCs w:val="22"/>
          <w:lang w:val="en-AU"/>
        </w:rPr>
        <w:t xml:space="preserve"> </w:t>
      </w:r>
      <w:fldSimple w:instr=" REF _Ref318973835  \* MERGEFORMAT ">
        <w:r w:rsidR="00A24B67" w:rsidRPr="00B15449">
          <w:rPr>
            <w:rFonts w:ascii="Arial" w:hAnsi="Arial" w:cs="Arial"/>
            <w:sz w:val="22"/>
            <w:szCs w:val="22"/>
            <w:lang w:val="en-AU"/>
          </w:rPr>
          <w:t xml:space="preserve">Table </w:t>
        </w:r>
        <w:r w:rsidR="00A24B67" w:rsidRPr="00B15449">
          <w:rPr>
            <w:rFonts w:ascii="Arial" w:hAnsi="Arial" w:cs="Arial"/>
            <w:noProof/>
            <w:sz w:val="22"/>
            <w:szCs w:val="22"/>
            <w:lang w:val="en-AU"/>
          </w:rPr>
          <w:t>12</w:t>
        </w:r>
      </w:fldSimple>
      <w:r w:rsidR="00F95B66" w:rsidRPr="002742BE">
        <w:rPr>
          <w:rFonts w:ascii="Arial" w:hAnsi="Arial" w:cs="Arial"/>
          <w:sz w:val="22"/>
          <w:szCs w:val="22"/>
          <w:lang w:val="en-AU"/>
        </w:rPr>
        <w:t xml:space="preserve"> and </w:t>
      </w:r>
      <w:fldSimple w:instr=" REF _Ref318972177  \* MERGEFORMAT ">
        <w:r w:rsidR="00A24B67" w:rsidRPr="00B15449">
          <w:rPr>
            <w:rFonts w:ascii="Arial" w:hAnsi="Arial" w:cs="Arial"/>
            <w:sz w:val="22"/>
            <w:szCs w:val="22"/>
            <w:lang w:val="en-AU"/>
          </w:rPr>
          <w:t xml:space="preserve">Table </w:t>
        </w:r>
        <w:r w:rsidR="00A24B67" w:rsidRPr="00B15449">
          <w:rPr>
            <w:rFonts w:ascii="Arial" w:hAnsi="Arial" w:cs="Arial"/>
            <w:noProof/>
            <w:sz w:val="22"/>
            <w:szCs w:val="22"/>
            <w:lang w:val="en-AU"/>
          </w:rPr>
          <w:t>13</w:t>
        </w:r>
      </w:fldSimple>
      <w:r w:rsidR="008C2BDA" w:rsidRPr="002742BE">
        <w:rPr>
          <w:rFonts w:ascii="Arial" w:hAnsi="Arial" w:cs="Arial"/>
          <w:sz w:val="22"/>
          <w:szCs w:val="22"/>
          <w:lang w:val="en-AU"/>
        </w:rPr>
        <w:t>)</w:t>
      </w:r>
      <w:r w:rsidR="00902FF2" w:rsidRPr="002742BE">
        <w:rPr>
          <w:rFonts w:ascii="Arial" w:hAnsi="Arial" w:cs="Arial"/>
          <w:sz w:val="22"/>
          <w:szCs w:val="22"/>
          <w:lang w:val="en-AU"/>
        </w:rPr>
        <w:t>.</w:t>
      </w:r>
    </w:p>
    <w:p w:rsidR="004538C6" w:rsidRPr="002742BE" w:rsidRDefault="004538C6" w:rsidP="004538C6">
      <w:pPr>
        <w:rPr>
          <w:rFonts w:ascii="Arial" w:hAnsi="Arial" w:cs="Arial"/>
          <w:i/>
          <w:sz w:val="22"/>
          <w:lang w:val="en-AU"/>
        </w:rPr>
      </w:pPr>
      <w:r w:rsidRPr="002742BE">
        <w:rPr>
          <w:rFonts w:ascii="Arial" w:hAnsi="Arial" w:cs="Arial"/>
          <w:i/>
          <w:sz w:val="22"/>
          <w:lang w:val="en-AU"/>
        </w:rPr>
        <w:t>Concomitant medications</w:t>
      </w:r>
    </w:p>
    <w:p w:rsidR="001D1004" w:rsidRPr="002742BE" w:rsidRDefault="00902FF2" w:rsidP="00F04C47">
      <w:pPr>
        <w:pStyle w:val="Heading3"/>
        <w:spacing w:before="120" w:after="240"/>
        <w:ind w:right="46"/>
        <w:rPr>
          <w:rFonts w:ascii="Arial" w:hAnsi="Arial" w:cs="Arial"/>
          <w:bCs w:val="0"/>
          <w:i w:val="0"/>
          <w:sz w:val="22"/>
          <w:szCs w:val="22"/>
          <w:lang w:val="en-AU"/>
        </w:rPr>
      </w:pPr>
      <w:r w:rsidRPr="002742BE">
        <w:rPr>
          <w:rFonts w:ascii="Arial" w:hAnsi="Arial" w:cs="Arial"/>
          <w:bCs w:val="0"/>
          <w:i w:val="0"/>
          <w:sz w:val="22"/>
          <w:szCs w:val="22"/>
          <w:lang w:val="en-AU"/>
        </w:rPr>
        <w:t>Non-steroidal anti-inflammatory drugs</w:t>
      </w:r>
    </w:p>
    <w:p w:rsidR="00902FF2" w:rsidRPr="002742BE" w:rsidRDefault="001D1004" w:rsidP="00F04C47">
      <w:pPr>
        <w:spacing w:before="120" w:after="240"/>
        <w:ind w:right="46"/>
        <w:jc w:val="both"/>
        <w:rPr>
          <w:rFonts w:ascii="Arial" w:hAnsi="Arial" w:cs="Arial"/>
          <w:sz w:val="22"/>
          <w:szCs w:val="22"/>
          <w:lang w:val="en-AU"/>
        </w:rPr>
      </w:pPr>
      <w:bookmarkStart w:id="12" w:name="OLE_LINK3"/>
      <w:r w:rsidRPr="002742BE">
        <w:rPr>
          <w:rFonts w:ascii="Arial" w:hAnsi="Arial" w:cs="Arial"/>
          <w:sz w:val="22"/>
          <w:szCs w:val="22"/>
          <w:lang w:val="en-AU"/>
        </w:rPr>
        <w:t>Care should be taken if patients are treated concomitantly with non-steroidal anti-inflammatory drugs (NSAIDs)</w:t>
      </w:r>
      <w:bookmarkEnd w:id="12"/>
      <w:r w:rsidR="00902FF2" w:rsidRPr="002742BE">
        <w:rPr>
          <w:rFonts w:ascii="Arial" w:hAnsi="Arial" w:cs="Arial"/>
          <w:sz w:val="22"/>
          <w:szCs w:val="22"/>
          <w:lang w:val="en-AU"/>
        </w:rPr>
        <w:t xml:space="preserve"> as these drugs may impact </w:t>
      </w:r>
      <w:r w:rsidR="00C16199" w:rsidRPr="002742BE">
        <w:rPr>
          <w:rFonts w:ascii="Arial" w:hAnsi="Arial" w:cs="Arial"/>
          <w:sz w:val="22"/>
          <w:szCs w:val="22"/>
          <w:lang w:val="en-AU"/>
        </w:rPr>
        <w:t>haemostasis</w:t>
      </w:r>
      <w:r w:rsidRPr="002742BE">
        <w:rPr>
          <w:rFonts w:ascii="Arial" w:hAnsi="Arial" w:cs="Arial"/>
          <w:i/>
          <w:iCs/>
          <w:sz w:val="22"/>
          <w:szCs w:val="22"/>
          <w:lang w:val="en-AU"/>
        </w:rPr>
        <w:t xml:space="preserve"> </w:t>
      </w:r>
      <w:r w:rsidRPr="002742BE">
        <w:rPr>
          <w:rFonts w:ascii="Arial" w:hAnsi="Arial" w:cs="Arial"/>
          <w:sz w:val="22"/>
          <w:szCs w:val="22"/>
          <w:lang w:val="en-AU"/>
        </w:rPr>
        <w:t xml:space="preserve">(see </w:t>
      </w:r>
      <w:r w:rsidR="00D96E44" w:rsidRPr="002742BE">
        <w:rPr>
          <w:rFonts w:ascii="Arial" w:hAnsi="Arial" w:cs="Arial"/>
          <w:sz w:val="22"/>
          <w:szCs w:val="22"/>
          <w:lang w:val="en-AU"/>
        </w:rPr>
        <w:t>INTERACTION WITH OTHER MEDICINES</w:t>
      </w:r>
      <w:r w:rsidRPr="002742BE">
        <w:rPr>
          <w:rFonts w:ascii="Arial" w:hAnsi="Arial" w:cs="Arial"/>
          <w:sz w:val="22"/>
          <w:szCs w:val="22"/>
          <w:lang w:val="en-AU"/>
        </w:rPr>
        <w:t>).</w:t>
      </w:r>
      <w:r w:rsidR="009647C9" w:rsidRPr="002742BE">
        <w:rPr>
          <w:rFonts w:ascii="Arial" w:hAnsi="Arial" w:cs="Arial"/>
          <w:sz w:val="22"/>
          <w:szCs w:val="22"/>
          <w:lang w:val="en-AU"/>
        </w:rPr>
        <w:t xml:space="preserve"> </w:t>
      </w:r>
    </w:p>
    <w:p w:rsidR="00902FF2" w:rsidRPr="002742BE" w:rsidRDefault="00902FF2" w:rsidP="00F04C47">
      <w:pPr>
        <w:pStyle w:val="Heading3"/>
        <w:spacing w:before="120" w:after="120"/>
        <w:ind w:right="46"/>
        <w:rPr>
          <w:rFonts w:ascii="Arial" w:hAnsi="Arial" w:cs="Arial"/>
          <w:i w:val="0"/>
          <w:sz w:val="22"/>
          <w:lang w:val="en-AU"/>
        </w:rPr>
      </w:pPr>
      <w:r w:rsidRPr="002742BE">
        <w:rPr>
          <w:rFonts w:ascii="Arial" w:hAnsi="Arial" w:cs="Arial"/>
          <w:i w:val="0"/>
          <w:sz w:val="22"/>
          <w:lang w:val="en-AU"/>
        </w:rPr>
        <w:lastRenderedPageBreak/>
        <w:t>Anticoagulants</w:t>
      </w:r>
    </w:p>
    <w:p w:rsidR="001D1004" w:rsidRPr="002742BE" w:rsidRDefault="009647C9"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Co administration of </w:t>
      </w:r>
      <w:r w:rsidR="00E8487E" w:rsidRPr="002742BE">
        <w:rPr>
          <w:rFonts w:ascii="Arial" w:hAnsi="Arial" w:cs="Arial"/>
          <w:sz w:val="22"/>
          <w:szCs w:val="22"/>
          <w:lang w:val="en-AU"/>
        </w:rPr>
        <w:t xml:space="preserve">Xarelto </w:t>
      </w:r>
      <w:r w:rsidRPr="002742BE">
        <w:rPr>
          <w:rFonts w:ascii="Arial" w:hAnsi="Arial" w:cs="Arial"/>
          <w:sz w:val="22"/>
          <w:szCs w:val="22"/>
          <w:lang w:val="en-AU"/>
        </w:rPr>
        <w:t>with other anticoagulant</w:t>
      </w:r>
      <w:r w:rsidR="008A735E" w:rsidRPr="002742BE">
        <w:rPr>
          <w:rFonts w:ascii="Arial" w:hAnsi="Arial" w:cs="Arial"/>
          <w:sz w:val="22"/>
          <w:szCs w:val="22"/>
          <w:lang w:val="en-AU"/>
        </w:rPr>
        <w:t>s</w:t>
      </w:r>
      <w:r w:rsidRPr="002742BE">
        <w:rPr>
          <w:rFonts w:ascii="Arial" w:hAnsi="Arial" w:cs="Arial"/>
          <w:sz w:val="22"/>
          <w:szCs w:val="22"/>
          <w:lang w:val="en-AU"/>
        </w:rPr>
        <w:t xml:space="preserve"> has not been studied in clinical trials and is not recommended, as it may lead to an increased bleeding risk</w:t>
      </w:r>
      <w:r w:rsidR="00FF7154" w:rsidRPr="002742BE">
        <w:rPr>
          <w:rFonts w:ascii="Arial" w:hAnsi="Arial" w:cs="Arial"/>
          <w:sz w:val="22"/>
          <w:szCs w:val="22"/>
          <w:lang w:val="en-AU"/>
        </w:rPr>
        <w:t xml:space="preserve"> (see </w:t>
      </w:r>
      <w:r w:rsidR="00D96E44" w:rsidRPr="002742BE">
        <w:rPr>
          <w:rFonts w:ascii="Arial" w:hAnsi="Arial" w:cs="Arial"/>
          <w:sz w:val="22"/>
          <w:szCs w:val="22"/>
          <w:lang w:val="en-AU"/>
        </w:rPr>
        <w:t>INTERACTION WITH OTHER MEDICINES</w:t>
      </w:r>
      <w:r w:rsidR="00FF7154" w:rsidRPr="002742BE">
        <w:rPr>
          <w:rFonts w:ascii="Arial" w:hAnsi="Arial" w:cs="Arial"/>
          <w:sz w:val="22"/>
          <w:szCs w:val="22"/>
          <w:lang w:val="en-AU"/>
        </w:rPr>
        <w:t>)</w:t>
      </w:r>
      <w:r w:rsidR="000168C5" w:rsidRPr="002742BE">
        <w:rPr>
          <w:rFonts w:ascii="Arial" w:hAnsi="Arial" w:cs="Arial"/>
          <w:sz w:val="22"/>
          <w:szCs w:val="22"/>
          <w:lang w:val="en-AU"/>
        </w:rPr>
        <w:t>.</w:t>
      </w:r>
    </w:p>
    <w:p w:rsidR="00902FF2" w:rsidRPr="002742BE" w:rsidRDefault="00902FF2" w:rsidP="00F04C47">
      <w:pPr>
        <w:pStyle w:val="Heading3"/>
        <w:spacing w:before="120" w:after="240"/>
        <w:ind w:right="46"/>
        <w:rPr>
          <w:rFonts w:ascii="Arial" w:hAnsi="Arial" w:cs="Arial"/>
          <w:bCs w:val="0"/>
          <w:i w:val="0"/>
          <w:sz w:val="22"/>
          <w:szCs w:val="22"/>
          <w:lang w:val="en-AU"/>
        </w:rPr>
      </w:pPr>
      <w:r w:rsidRPr="002742BE">
        <w:rPr>
          <w:rFonts w:ascii="Arial" w:hAnsi="Arial" w:cs="Arial"/>
          <w:bCs w:val="0"/>
          <w:i w:val="0"/>
          <w:sz w:val="22"/>
          <w:szCs w:val="22"/>
          <w:lang w:val="en-AU"/>
        </w:rPr>
        <w:t>Platelet aggregation inhibitors</w:t>
      </w:r>
    </w:p>
    <w:p w:rsidR="00902FF2" w:rsidRPr="002742BE" w:rsidRDefault="00902FF2"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Care should be taken if patients are treated concomitantly with platelet aggregation inhibitors (</w:t>
      </w:r>
      <w:r w:rsidR="00FF7154" w:rsidRPr="002742BE">
        <w:rPr>
          <w:rFonts w:ascii="Arial" w:hAnsi="Arial" w:cs="Arial"/>
          <w:sz w:val="22"/>
          <w:szCs w:val="22"/>
          <w:lang w:val="en-AU"/>
        </w:rPr>
        <w:t xml:space="preserve">e.g. </w:t>
      </w:r>
      <w:r w:rsidRPr="002742BE">
        <w:rPr>
          <w:rFonts w:ascii="Arial" w:hAnsi="Arial" w:cs="Arial"/>
          <w:sz w:val="22"/>
          <w:szCs w:val="22"/>
          <w:lang w:val="en-AU"/>
        </w:rPr>
        <w:t>clopidogrel</w:t>
      </w:r>
      <w:r w:rsidR="00FF7154" w:rsidRPr="002742BE">
        <w:rPr>
          <w:rFonts w:ascii="Arial" w:hAnsi="Arial" w:cs="Arial"/>
          <w:sz w:val="22"/>
          <w:szCs w:val="22"/>
          <w:lang w:val="en-AU"/>
        </w:rPr>
        <w:t xml:space="preserve"> and</w:t>
      </w:r>
      <w:r w:rsidRPr="002742BE">
        <w:rPr>
          <w:rFonts w:ascii="Arial" w:hAnsi="Arial" w:cs="Arial"/>
          <w:sz w:val="22"/>
          <w:szCs w:val="22"/>
          <w:lang w:val="en-AU"/>
        </w:rPr>
        <w:t xml:space="preserve"> acetylsalicylic acid)</w:t>
      </w:r>
      <w:r w:rsidR="009C25C6" w:rsidRPr="002742BE">
        <w:rPr>
          <w:rFonts w:ascii="Arial" w:hAnsi="Arial" w:cs="Arial"/>
          <w:sz w:val="22"/>
          <w:szCs w:val="22"/>
          <w:lang w:val="en-AU"/>
        </w:rPr>
        <w:t xml:space="preserve"> as it may lead to an increased bleeding risk</w:t>
      </w:r>
      <w:r w:rsidR="00FF7154" w:rsidRPr="002742BE">
        <w:rPr>
          <w:rFonts w:ascii="Arial" w:hAnsi="Arial" w:cs="Arial"/>
          <w:sz w:val="22"/>
          <w:szCs w:val="22"/>
          <w:lang w:val="en-AU"/>
        </w:rPr>
        <w:t xml:space="preserve"> (see </w:t>
      </w:r>
      <w:r w:rsidR="00D96E44" w:rsidRPr="002742BE">
        <w:rPr>
          <w:rFonts w:ascii="Arial" w:hAnsi="Arial" w:cs="Arial"/>
          <w:sz w:val="22"/>
          <w:szCs w:val="22"/>
          <w:lang w:val="en-AU"/>
        </w:rPr>
        <w:t>INTERACTION WITH OTHER MEDICINES</w:t>
      </w:r>
      <w:r w:rsidR="00FF7154" w:rsidRPr="002742BE">
        <w:rPr>
          <w:rFonts w:ascii="Arial" w:hAnsi="Arial" w:cs="Arial"/>
          <w:sz w:val="22"/>
          <w:szCs w:val="22"/>
          <w:lang w:val="en-AU"/>
        </w:rPr>
        <w:t>)</w:t>
      </w:r>
      <w:r w:rsidR="009C25C6" w:rsidRPr="002742BE">
        <w:rPr>
          <w:rFonts w:ascii="Arial" w:hAnsi="Arial" w:cs="Arial"/>
          <w:sz w:val="22"/>
          <w:szCs w:val="22"/>
          <w:lang w:val="en-AU"/>
        </w:rPr>
        <w:t xml:space="preserve">. </w:t>
      </w:r>
      <w:bookmarkStart w:id="13" w:name="OLE_LINK4"/>
      <w:r w:rsidR="00FF7154" w:rsidRPr="002742BE">
        <w:rPr>
          <w:rFonts w:ascii="Arial" w:hAnsi="Arial" w:cs="Arial"/>
          <w:sz w:val="22"/>
          <w:szCs w:val="22"/>
          <w:lang w:val="en-AU"/>
        </w:rPr>
        <w:t>For patients on antiplatelet therapy, a</w:t>
      </w:r>
      <w:r w:rsidR="009C25C6" w:rsidRPr="002742BE">
        <w:rPr>
          <w:rFonts w:ascii="Arial" w:hAnsi="Arial" w:cs="Arial"/>
          <w:sz w:val="22"/>
          <w:szCs w:val="22"/>
          <w:lang w:val="en-AU"/>
        </w:rPr>
        <w:t xml:space="preserve"> careful individual risk benefit assessment should be performed regarding the additional bleeding risk versus the thrombotic risk </w:t>
      </w:r>
      <w:r w:rsidR="00FF7154" w:rsidRPr="002742BE">
        <w:rPr>
          <w:rFonts w:ascii="Arial" w:hAnsi="Arial" w:cs="Arial"/>
          <w:sz w:val="22"/>
          <w:szCs w:val="22"/>
          <w:lang w:val="en-AU"/>
        </w:rPr>
        <w:t xml:space="preserve">associated with </w:t>
      </w:r>
      <w:r w:rsidR="009C25C6" w:rsidRPr="002742BE">
        <w:rPr>
          <w:rFonts w:ascii="Arial" w:hAnsi="Arial" w:cs="Arial"/>
          <w:sz w:val="22"/>
          <w:szCs w:val="22"/>
          <w:lang w:val="en-AU"/>
        </w:rPr>
        <w:t>the underlying disease</w:t>
      </w:r>
      <w:r w:rsidR="00FF7154" w:rsidRPr="002742BE">
        <w:rPr>
          <w:rFonts w:ascii="Arial" w:hAnsi="Arial" w:cs="Arial"/>
          <w:sz w:val="22"/>
          <w:szCs w:val="22"/>
          <w:lang w:val="en-AU"/>
        </w:rPr>
        <w:t>s.</w:t>
      </w:r>
      <w:bookmarkEnd w:id="13"/>
      <w:r w:rsidR="009C25C6" w:rsidRPr="002742BE">
        <w:rPr>
          <w:rFonts w:ascii="Arial" w:hAnsi="Arial" w:cs="Arial"/>
          <w:sz w:val="22"/>
          <w:szCs w:val="22"/>
          <w:lang w:val="en-AU"/>
        </w:rPr>
        <w:t xml:space="preserve"> </w:t>
      </w:r>
    </w:p>
    <w:p w:rsidR="008074CE" w:rsidRPr="002742BE" w:rsidRDefault="008074CE" w:rsidP="008074CE">
      <w:pPr>
        <w:pStyle w:val="Heading3"/>
        <w:rPr>
          <w:rFonts w:ascii="Arial" w:hAnsi="Arial" w:cs="Arial"/>
          <w:i w:val="0"/>
          <w:noProof/>
          <w:sz w:val="22"/>
          <w:lang w:val="en-AU"/>
        </w:rPr>
      </w:pPr>
      <w:r w:rsidRPr="002742BE">
        <w:rPr>
          <w:rFonts w:ascii="Arial" w:hAnsi="Arial" w:cs="Arial"/>
          <w:i w:val="0"/>
          <w:noProof/>
          <w:sz w:val="22"/>
          <w:lang w:val="en-AU"/>
        </w:rPr>
        <w:t>Management of bleeding</w:t>
      </w:r>
    </w:p>
    <w:p w:rsidR="008074CE" w:rsidRPr="002742BE" w:rsidRDefault="008074CE" w:rsidP="008074CE">
      <w:pPr>
        <w:keepNext/>
        <w:spacing w:before="120" w:after="240"/>
        <w:ind w:right="46"/>
        <w:jc w:val="both"/>
        <w:rPr>
          <w:rFonts w:ascii="Arial" w:hAnsi="Arial" w:cs="Arial"/>
          <w:noProof/>
          <w:sz w:val="22"/>
          <w:szCs w:val="22"/>
          <w:lang w:val="en-AU"/>
        </w:rPr>
      </w:pPr>
      <w:r w:rsidRPr="002742BE">
        <w:rPr>
          <w:rFonts w:ascii="Arial" w:hAnsi="Arial" w:cs="Arial"/>
          <w:noProof/>
          <w:sz w:val="22"/>
          <w:szCs w:val="22"/>
          <w:lang w:val="en-AU"/>
        </w:rPr>
        <w:t>Should bleeding occur, management of the haemorrhage may include the following steps:</w:t>
      </w:r>
    </w:p>
    <w:p w:rsidR="008074CE" w:rsidRPr="002742BE" w:rsidRDefault="008074CE" w:rsidP="001652FC">
      <w:pPr>
        <w:pStyle w:val="BulletIndent1"/>
        <w:tabs>
          <w:tab w:val="clear" w:pos="567"/>
        </w:tabs>
        <w:spacing w:before="120" w:after="240" w:line="240" w:lineRule="auto"/>
        <w:ind w:left="426" w:right="46" w:hanging="426"/>
        <w:jc w:val="both"/>
        <w:rPr>
          <w:rFonts w:ascii="Arial" w:hAnsi="Arial" w:cs="Arial"/>
          <w:noProof/>
          <w:szCs w:val="22"/>
          <w:lang w:val="en-AU"/>
        </w:rPr>
      </w:pPr>
      <w:r w:rsidRPr="002742BE">
        <w:rPr>
          <w:rFonts w:ascii="Arial" w:hAnsi="Arial" w:cs="Arial"/>
          <w:noProof/>
          <w:szCs w:val="22"/>
          <w:lang w:val="en-AU"/>
        </w:rPr>
        <w:t>Identify and treat the underlying cause of the bleeding</w:t>
      </w:r>
    </w:p>
    <w:p w:rsidR="008074CE" w:rsidRPr="002742BE" w:rsidRDefault="008074CE" w:rsidP="001652FC">
      <w:pPr>
        <w:pStyle w:val="BulletIndent1"/>
        <w:tabs>
          <w:tab w:val="clear" w:pos="567"/>
        </w:tabs>
        <w:spacing w:before="120" w:after="240" w:line="240" w:lineRule="auto"/>
        <w:ind w:left="426" w:right="46" w:hanging="426"/>
        <w:jc w:val="both"/>
        <w:rPr>
          <w:rFonts w:ascii="Arial" w:hAnsi="Arial" w:cs="Arial"/>
          <w:noProof/>
          <w:szCs w:val="22"/>
          <w:lang w:val="en-AU"/>
        </w:rPr>
      </w:pPr>
      <w:r w:rsidRPr="002742BE">
        <w:rPr>
          <w:rFonts w:ascii="Arial" w:hAnsi="Arial" w:cs="Arial"/>
          <w:noProof/>
          <w:szCs w:val="22"/>
          <w:lang w:val="en-AU"/>
        </w:rPr>
        <w:t>Where no source of bleeding can be identified, delay of next rivaroxaban administration or discontinuation of treatment as appropriate. Rivaroxaban has a terminal half-life between 5 and 13 hours (see Pharmacokinetic properties). Management should be individualised according to the severity and location of the haemorrhage.</w:t>
      </w:r>
      <w:r w:rsidR="00CC23EE" w:rsidRPr="002742BE">
        <w:rPr>
          <w:rFonts w:ascii="Arial" w:hAnsi="Arial" w:cs="Arial"/>
          <w:noProof/>
          <w:szCs w:val="22"/>
          <w:lang w:val="en-AU"/>
        </w:rPr>
        <w:t xml:space="preserve"> A specific agent to reverse the anti-coagulant effect of rivaroxaban is not yet available. Because of high plasma protein binding, rivaroxaban is not expected to be dialysable. Protamine sulfate and vitamin K are not expected to affect the anticoagulant activity of rivaroxaban.</w:t>
      </w:r>
    </w:p>
    <w:p w:rsidR="008074CE" w:rsidRPr="002742BE" w:rsidRDefault="008074CE" w:rsidP="001652FC">
      <w:pPr>
        <w:pStyle w:val="BulletIndent1"/>
        <w:tabs>
          <w:tab w:val="clear" w:pos="567"/>
        </w:tabs>
        <w:spacing w:before="120" w:after="240" w:line="240" w:lineRule="auto"/>
        <w:ind w:left="426" w:right="46" w:hanging="426"/>
        <w:jc w:val="both"/>
        <w:rPr>
          <w:rFonts w:ascii="Arial" w:hAnsi="Arial" w:cs="Arial"/>
          <w:noProof/>
          <w:szCs w:val="22"/>
          <w:lang w:val="en-AU"/>
        </w:rPr>
      </w:pPr>
      <w:r w:rsidRPr="002742BE">
        <w:rPr>
          <w:rFonts w:ascii="Arial" w:hAnsi="Arial" w:cs="Arial"/>
          <w:noProof/>
          <w:szCs w:val="22"/>
          <w:lang w:val="en-AU"/>
        </w:rPr>
        <w:t>appropriate symptomatic treatment, e.g. mechanical compression, surgical interventions, fluid replacement and haemodynamic support, blood product (packed red cells or fresh frozen plasma, depending on associated anaemia or coagulopathy) or platelets.</w:t>
      </w:r>
    </w:p>
    <w:p w:rsidR="008074CE" w:rsidRPr="002742BE" w:rsidRDefault="008074CE" w:rsidP="008074CE">
      <w:pPr>
        <w:keepNext/>
        <w:spacing w:before="120" w:after="240"/>
        <w:ind w:right="46"/>
        <w:jc w:val="both"/>
        <w:rPr>
          <w:rFonts w:ascii="Arial" w:hAnsi="Arial" w:cs="Arial"/>
          <w:noProof/>
          <w:sz w:val="22"/>
          <w:szCs w:val="22"/>
          <w:lang w:val="en-AU"/>
        </w:rPr>
      </w:pPr>
      <w:r w:rsidRPr="002742BE">
        <w:rPr>
          <w:rFonts w:ascii="Arial" w:hAnsi="Arial" w:cs="Arial"/>
          <w:noProof/>
          <w:sz w:val="22"/>
          <w:szCs w:val="22"/>
          <w:lang w:val="en-AU"/>
        </w:rPr>
        <w:t>If life threatening bleeding cannot be controlled by the above measures, administration of one of the following procoagulants may be considered:</w:t>
      </w:r>
    </w:p>
    <w:p w:rsidR="008074CE" w:rsidRPr="002742BE" w:rsidRDefault="008074CE" w:rsidP="001652FC">
      <w:pPr>
        <w:pStyle w:val="BulletIndent1"/>
        <w:keepNext/>
        <w:tabs>
          <w:tab w:val="clear" w:pos="567"/>
        </w:tabs>
        <w:spacing w:before="120" w:after="240" w:line="240" w:lineRule="auto"/>
        <w:ind w:left="426" w:right="46" w:hanging="426"/>
        <w:jc w:val="both"/>
        <w:rPr>
          <w:rFonts w:ascii="Arial" w:hAnsi="Arial" w:cs="Arial"/>
          <w:noProof/>
          <w:szCs w:val="22"/>
          <w:lang w:val="en-AU"/>
        </w:rPr>
      </w:pPr>
      <w:r w:rsidRPr="002742BE">
        <w:rPr>
          <w:rFonts w:ascii="Arial" w:hAnsi="Arial" w:cs="Arial"/>
          <w:color w:val="000000"/>
          <w:szCs w:val="22"/>
          <w:lang w:val="en-AU"/>
        </w:rPr>
        <w:t>activated prothrombin complex concentrate</w:t>
      </w:r>
      <w:r w:rsidRPr="002742BE">
        <w:rPr>
          <w:rFonts w:ascii="Arial" w:hAnsi="Arial" w:cs="Arial"/>
          <w:szCs w:val="22"/>
          <w:lang w:val="en-AU"/>
        </w:rPr>
        <w:t xml:space="preserve"> (APCC)</w:t>
      </w:r>
    </w:p>
    <w:p w:rsidR="008074CE" w:rsidRPr="002742BE" w:rsidRDefault="008074CE" w:rsidP="001652FC">
      <w:pPr>
        <w:pStyle w:val="BulletIndent1"/>
        <w:keepNext/>
        <w:tabs>
          <w:tab w:val="clear" w:pos="567"/>
        </w:tabs>
        <w:spacing w:before="120" w:after="240" w:line="240" w:lineRule="auto"/>
        <w:ind w:left="426" w:right="46" w:hanging="426"/>
        <w:jc w:val="both"/>
        <w:rPr>
          <w:rFonts w:ascii="Arial" w:hAnsi="Arial" w:cs="Arial"/>
          <w:noProof/>
          <w:szCs w:val="22"/>
          <w:lang w:val="en-AU"/>
        </w:rPr>
      </w:pPr>
      <w:r w:rsidRPr="002742BE">
        <w:rPr>
          <w:rFonts w:ascii="Arial" w:hAnsi="Arial" w:cs="Arial"/>
          <w:color w:val="000000"/>
          <w:szCs w:val="22"/>
          <w:lang w:val="en-AU"/>
        </w:rPr>
        <w:t>prothrombin complex concentrate (PCC)</w:t>
      </w:r>
    </w:p>
    <w:p w:rsidR="008074CE" w:rsidRPr="002742BE" w:rsidRDefault="008074CE" w:rsidP="001652FC">
      <w:pPr>
        <w:pStyle w:val="BulletIndent1"/>
        <w:keepNext/>
        <w:tabs>
          <w:tab w:val="clear" w:pos="567"/>
        </w:tabs>
        <w:spacing w:before="120" w:after="240" w:line="240" w:lineRule="auto"/>
        <w:ind w:left="426" w:right="46" w:hanging="426"/>
        <w:jc w:val="both"/>
        <w:rPr>
          <w:rFonts w:ascii="Arial" w:hAnsi="Arial" w:cs="Arial"/>
          <w:noProof/>
          <w:szCs w:val="22"/>
          <w:lang w:val="en-AU"/>
        </w:rPr>
      </w:pPr>
      <w:r w:rsidRPr="002742BE">
        <w:rPr>
          <w:rFonts w:ascii="Arial" w:hAnsi="Arial" w:cs="Arial"/>
          <w:noProof/>
          <w:szCs w:val="22"/>
          <w:lang w:val="en-AU"/>
        </w:rPr>
        <w:t>recombinant factor VIIa.</w:t>
      </w:r>
    </w:p>
    <w:p w:rsidR="008074CE" w:rsidRPr="002742BE" w:rsidRDefault="008074CE" w:rsidP="008074CE">
      <w:pPr>
        <w:spacing w:before="120" w:after="240"/>
        <w:ind w:right="46"/>
        <w:jc w:val="both"/>
        <w:rPr>
          <w:rFonts w:ascii="Arial" w:hAnsi="Arial" w:cs="Arial"/>
          <w:noProof/>
          <w:sz w:val="22"/>
          <w:szCs w:val="22"/>
          <w:lang w:val="en-AU"/>
        </w:rPr>
      </w:pPr>
      <w:r w:rsidRPr="002742BE">
        <w:rPr>
          <w:rFonts w:ascii="Arial" w:hAnsi="Arial" w:cs="Arial"/>
          <w:noProof/>
          <w:sz w:val="22"/>
          <w:szCs w:val="22"/>
          <w:lang w:val="en-AU"/>
        </w:rPr>
        <w:t xml:space="preserve">While there is currently no experience with the use of these products in individuals receiving Xarelto, all three procoagulants have demonstrated significant reductions in rivaroxaban-induced bleeding time prolongation in nonclinical studies. </w:t>
      </w:r>
    </w:p>
    <w:p w:rsidR="002656AD" w:rsidRPr="002742BE" w:rsidRDefault="002656AD" w:rsidP="002656AD">
      <w:pPr>
        <w:spacing w:before="120" w:after="240"/>
        <w:ind w:right="46"/>
        <w:jc w:val="both"/>
        <w:rPr>
          <w:rFonts w:ascii="Arial" w:hAnsi="Arial" w:cs="Arial"/>
          <w:sz w:val="22"/>
          <w:szCs w:val="22"/>
          <w:lang w:val="en-AU"/>
        </w:rPr>
      </w:pPr>
      <w:r w:rsidRPr="002742BE">
        <w:rPr>
          <w:rFonts w:ascii="Arial" w:hAnsi="Arial" w:cs="Arial"/>
          <w:iCs/>
          <w:sz w:val="22"/>
          <w:szCs w:val="22"/>
          <w:lang w:val="en-AU"/>
        </w:rPr>
        <w:t>There is no experience with antifibrinolytic agents (tranexamic acid, aminocaproic acid) in individuals receiving Xarelto. There is neither scientific rationale for benefit nor experience with the systemic haemostatics desmopressin and aprotinin in individuals receiving Xarelto.</w:t>
      </w:r>
    </w:p>
    <w:p w:rsidR="008074CE" w:rsidRPr="002742BE" w:rsidRDefault="008074CE" w:rsidP="00C56E4B">
      <w:pPr>
        <w:pStyle w:val="Heading3"/>
        <w:spacing w:before="120" w:after="240"/>
        <w:rPr>
          <w:rFonts w:ascii="Arial" w:hAnsi="Arial" w:cs="Arial"/>
          <w:i w:val="0"/>
          <w:sz w:val="22"/>
          <w:szCs w:val="22"/>
          <w:lang w:val="en-AU"/>
        </w:rPr>
      </w:pPr>
      <w:r w:rsidRPr="002742BE">
        <w:rPr>
          <w:rFonts w:ascii="Arial" w:hAnsi="Arial" w:cs="Arial"/>
          <w:i w:val="0"/>
          <w:sz w:val="22"/>
          <w:szCs w:val="22"/>
          <w:lang w:val="en-AU"/>
        </w:rPr>
        <w:t>Surgery and interventions</w:t>
      </w:r>
    </w:p>
    <w:p w:rsidR="008074CE" w:rsidRPr="002742BE" w:rsidRDefault="008074CE" w:rsidP="00C56E4B">
      <w:pPr>
        <w:pStyle w:val="BodyText2"/>
        <w:adjustRightInd w:val="0"/>
        <w:spacing w:before="120"/>
        <w:ind w:right="46"/>
        <w:textAlignment w:val="baseline"/>
        <w:rPr>
          <w:rFonts w:ascii="Arial" w:hAnsi="Arial" w:cs="Arial"/>
          <w:b w:val="0"/>
          <w:sz w:val="22"/>
          <w:szCs w:val="22"/>
        </w:rPr>
      </w:pPr>
      <w:r w:rsidRPr="002742BE">
        <w:rPr>
          <w:rFonts w:ascii="Arial" w:hAnsi="Arial" w:cs="Arial"/>
          <w:b w:val="0"/>
          <w:sz w:val="22"/>
          <w:szCs w:val="22"/>
        </w:rPr>
        <w:t>If an invasive procedure or surgical intervention is required, based on clinical judgement of the physician, Xarelto should be stopped at least 24 hours before the intervention if possible.</w:t>
      </w:r>
      <w:r w:rsidR="005E41F0" w:rsidRPr="002742BE">
        <w:rPr>
          <w:rFonts w:ascii="Arial" w:hAnsi="Arial" w:cs="Arial"/>
          <w:b w:val="0"/>
          <w:sz w:val="22"/>
          <w:szCs w:val="22"/>
        </w:rPr>
        <w:t xml:space="preserve"> Individual patient factors will need to be taken into account in the decision as to how long Xarelto should be stopped prior to surgery. Consider longer duration of treatment cessation </w:t>
      </w:r>
      <w:r w:rsidR="005E41F0" w:rsidRPr="002742BE">
        <w:rPr>
          <w:rFonts w:ascii="Arial" w:hAnsi="Arial" w:cs="Arial"/>
          <w:b w:val="0"/>
          <w:sz w:val="22"/>
          <w:szCs w:val="22"/>
        </w:rPr>
        <w:lastRenderedPageBreak/>
        <w:t>based on benefit/risk with patients at higher risk of bleeding or in cases of major surgery where complete haemostasis may be required.</w:t>
      </w:r>
    </w:p>
    <w:p w:rsidR="008074CE" w:rsidRPr="002742BE" w:rsidRDefault="00EC4F15" w:rsidP="00C56E4B">
      <w:pPr>
        <w:pStyle w:val="BodyText2"/>
        <w:adjustRightInd w:val="0"/>
        <w:spacing w:before="120"/>
        <w:ind w:right="46"/>
        <w:textAlignment w:val="baseline"/>
        <w:rPr>
          <w:rFonts w:ascii="Arial" w:hAnsi="Arial" w:cs="Arial"/>
          <w:b w:val="0"/>
          <w:sz w:val="22"/>
          <w:szCs w:val="22"/>
        </w:rPr>
      </w:pPr>
      <w:r w:rsidRPr="002742BE">
        <w:rPr>
          <w:rFonts w:ascii="Arial" w:hAnsi="Arial" w:cs="Arial"/>
          <w:b w:val="0"/>
          <w:sz w:val="22"/>
          <w:szCs w:val="22"/>
        </w:rPr>
        <w:t xml:space="preserve">A specific agent to reverse the anti-coagulant effect of rivaroxaban is not yet available. </w:t>
      </w:r>
      <w:r w:rsidR="008074CE" w:rsidRPr="002742BE">
        <w:rPr>
          <w:rFonts w:ascii="Arial" w:hAnsi="Arial" w:cs="Arial"/>
          <w:b w:val="0"/>
          <w:sz w:val="22"/>
          <w:szCs w:val="22"/>
        </w:rPr>
        <w:t>If the procedure cannot be delayed the increased risk of bleeding should be assessed against the urgency of the intervention.</w:t>
      </w:r>
      <w:r w:rsidRPr="002742BE">
        <w:rPr>
          <w:rFonts w:ascii="Arial" w:hAnsi="Arial" w:cs="Arial"/>
          <w:b w:val="0"/>
          <w:sz w:val="22"/>
          <w:szCs w:val="22"/>
        </w:rPr>
        <w:t xml:space="preserve"> </w:t>
      </w:r>
    </w:p>
    <w:p w:rsidR="008074CE" w:rsidRPr="002742BE" w:rsidRDefault="008074CE" w:rsidP="00C56E4B">
      <w:pPr>
        <w:pStyle w:val="BodyText2"/>
        <w:adjustRightInd w:val="0"/>
        <w:spacing w:before="120"/>
        <w:ind w:right="46"/>
        <w:textAlignment w:val="baseline"/>
        <w:rPr>
          <w:rFonts w:ascii="Arial" w:hAnsi="Arial" w:cs="Arial"/>
          <w:b w:val="0"/>
          <w:sz w:val="22"/>
          <w:szCs w:val="22"/>
        </w:rPr>
      </w:pPr>
      <w:r w:rsidRPr="002742BE">
        <w:rPr>
          <w:rFonts w:ascii="Arial" w:hAnsi="Arial" w:cs="Arial"/>
          <w:b w:val="0"/>
          <w:sz w:val="22"/>
          <w:szCs w:val="22"/>
        </w:rPr>
        <w:t>Xarelto should be restarted after the invasive procedure or surgical intervention as soon as possible provided the clinical situation allows and adequate haemostasis has been established (see</w:t>
      </w:r>
      <w:r w:rsidRPr="002742BE">
        <w:rPr>
          <w:rFonts w:ascii="Arial" w:hAnsi="Arial" w:cs="Arial"/>
          <w:b w:val="0"/>
          <w:i/>
          <w:sz w:val="22"/>
          <w:szCs w:val="22"/>
        </w:rPr>
        <w:t xml:space="preserve"> </w:t>
      </w:r>
      <w:r w:rsidRPr="002742BE">
        <w:rPr>
          <w:rFonts w:ascii="Arial" w:hAnsi="Arial" w:cs="Arial"/>
          <w:b w:val="0"/>
          <w:sz w:val="22"/>
          <w:szCs w:val="22"/>
        </w:rPr>
        <w:t>Metabolism and Elimination</w:t>
      </w:r>
      <w:r w:rsidR="005E41F0" w:rsidRPr="002742BE">
        <w:rPr>
          <w:rFonts w:ascii="Arial" w:hAnsi="Arial" w:cs="Arial"/>
          <w:b w:val="0"/>
          <w:sz w:val="22"/>
          <w:szCs w:val="22"/>
        </w:rPr>
        <w:t xml:space="preserve"> and Effect of Laboratory Tests</w:t>
      </w:r>
      <w:r w:rsidRPr="002742BE">
        <w:rPr>
          <w:rFonts w:ascii="Arial" w:hAnsi="Arial" w:cs="Arial"/>
          <w:b w:val="0"/>
          <w:sz w:val="22"/>
          <w:szCs w:val="22"/>
        </w:rPr>
        <w:t>).</w:t>
      </w:r>
    </w:p>
    <w:p w:rsidR="009441CF" w:rsidRPr="002742BE" w:rsidRDefault="009441CF" w:rsidP="00C56E4B">
      <w:pPr>
        <w:pStyle w:val="BodyText2"/>
        <w:adjustRightInd w:val="0"/>
        <w:spacing w:before="120"/>
        <w:ind w:right="46"/>
        <w:textAlignment w:val="baseline"/>
        <w:rPr>
          <w:rFonts w:ascii="Arial" w:hAnsi="Arial" w:cs="Arial"/>
          <w:sz w:val="22"/>
          <w:szCs w:val="22"/>
        </w:rPr>
      </w:pPr>
      <w:r w:rsidRPr="002742BE">
        <w:rPr>
          <w:rFonts w:ascii="Arial" w:hAnsi="Arial" w:cs="Arial"/>
          <w:sz w:val="22"/>
          <w:szCs w:val="22"/>
        </w:rPr>
        <w:t xml:space="preserve">Patients with prosthetic valves </w:t>
      </w:r>
    </w:p>
    <w:p w:rsidR="009441CF" w:rsidRPr="002742BE" w:rsidRDefault="009441CF" w:rsidP="00C56E4B">
      <w:pPr>
        <w:pStyle w:val="BodyText2"/>
        <w:keepNext/>
        <w:adjustRightInd w:val="0"/>
        <w:spacing w:before="120"/>
        <w:ind w:right="46"/>
        <w:textAlignment w:val="baseline"/>
        <w:rPr>
          <w:rFonts w:ascii="Arial" w:hAnsi="Arial" w:cs="Arial"/>
          <w:b w:val="0"/>
          <w:bCs w:val="0"/>
          <w:sz w:val="22"/>
          <w:szCs w:val="22"/>
        </w:rPr>
      </w:pPr>
      <w:r w:rsidRPr="002742BE">
        <w:rPr>
          <w:rFonts w:ascii="Arial" w:hAnsi="Arial" w:cs="Arial"/>
          <w:b w:val="0"/>
          <w:sz w:val="22"/>
          <w:szCs w:val="22"/>
        </w:rPr>
        <w:t xml:space="preserve">Safety and efficacy of Xarelto has not been studied in patients with prosthetic heart valves. </w:t>
      </w:r>
      <w:r w:rsidRPr="002742BE">
        <w:rPr>
          <w:rFonts w:ascii="Arial" w:hAnsi="Arial" w:cs="Arial"/>
          <w:b w:val="0"/>
          <w:bCs w:val="0"/>
          <w:sz w:val="22"/>
          <w:szCs w:val="22"/>
        </w:rPr>
        <w:t>Therefore, there are no data to support that Xarelto 20 mg (15 mg in patients with moderate renal impairment) provides adequate anti-coagulation in this patient population.</w:t>
      </w:r>
    </w:p>
    <w:p w:rsidR="001D1004" w:rsidRPr="002742BE" w:rsidRDefault="001D1004" w:rsidP="00C56E4B">
      <w:pPr>
        <w:pStyle w:val="Heading3"/>
        <w:spacing w:before="120" w:after="240"/>
        <w:ind w:right="46"/>
        <w:rPr>
          <w:rFonts w:ascii="Arial" w:hAnsi="Arial" w:cs="Arial"/>
          <w:i w:val="0"/>
          <w:snapToGrid w:val="0"/>
          <w:sz w:val="22"/>
          <w:lang w:val="en-AU"/>
        </w:rPr>
      </w:pPr>
      <w:r w:rsidRPr="002742BE">
        <w:rPr>
          <w:rFonts w:ascii="Arial" w:hAnsi="Arial" w:cs="Arial"/>
          <w:i w:val="0"/>
          <w:snapToGrid w:val="0"/>
          <w:sz w:val="22"/>
          <w:lang w:val="en-AU"/>
        </w:rPr>
        <w:t>Spinal / epidural anaesthesia or puncture</w:t>
      </w:r>
    </w:p>
    <w:p w:rsidR="001D1004" w:rsidRPr="002742BE" w:rsidRDefault="001D1004" w:rsidP="002A2DF8">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When neuraxial anaesthesia (spinal / epidural anaesthesia) or spinal /epidural puncture is performed, patients treated with antithrombotic agents for prevention of thromboembolic complications are at risk of developing an epidural or spinal haematoma which can result in long-term or permanent paralysis. The risk of these events may be increased by the post-operative use of indwelling epidural catheters or the concomitant use of medicinal products affecting haemostasis. The risk may also be increased by traumatic or repeated epidural or spinal puncture. </w:t>
      </w:r>
    </w:p>
    <w:p w:rsidR="001D1004" w:rsidRPr="002742BE" w:rsidRDefault="001D1004" w:rsidP="00834736">
      <w:pPr>
        <w:spacing w:before="120" w:after="240"/>
        <w:ind w:right="46"/>
        <w:jc w:val="both"/>
        <w:rPr>
          <w:rFonts w:ascii="Arial" w:hAnsi="Arial" w:cs="Arial"/>
          <w:sz w:val="22"/>
          <w:szCs w:val="22"/>
          <w:lang w:val="en-AU"/>
        </w:rPr>
      </w:pPr>
      <w:r w:rsidRPr="002742BE">
        <w:rPr>
          <w:rFonts w:ascii="Arial" w:hAnsi="Arial" w:cs="Arial"/>
          <w:sz w:val="22"/>
          <w:szCs w:val="22"/>
          <w:lang w:val="en-AU"/>
        </w:rPr>
        <w:t>Patients should be frequently monitored for signs and symptoms of neurological impairment (e.g. numbness or weakness of the legs, bowel or bladder dysfunction). If neurological compromise is noted, urgent diagnosis and treatment is necessary. Prior to neuraxial intervention</w:t>
      </w:r>
      <w:r w:rsidR="00E86E46" w:rsidRPr="002742BE">
        <w:rPr>
          <w:rFonts w:ascii="Arial" w:hAnsi="Arial" w:cs="Arial"/>
          <w:sz w:val="22"/>
          <w:szCs w:val="22"/>
          <w:lang w:val="en-AU"/>
        </w:rPr>
        <w:t>,</w:t>
      </w:r>
      <w:r w:rsidRPr="002742BE">
        <w:rPr>
          <w:rFonts w:ascii="Arial" w:hAnsi="Arial" w:cs="Arial"/>
          <w:sz w:val="22"/>
          <w:szCs w:val="22"/>
          <w:lang w:val="en-AU"/>
        </w:rPr>
        <w:t xml:space="preserve"> the physician should consider the potential benefit versus the risk in anticoagulated patients or in patients to be anticoagulated for thromboprophylaxis.</w:t>
      </w:r>
    </w:p>
    <w:p w:rsidR="001D1004" w:rsidRPr="002742BE" w:rsidRDefault="001D1004" w:rsidP="00834736">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An epidural catheter is not to be removed earlier than 18 hours after the last administration of </w:t>
      </w:r>
      <w:r w:rsidR="00E8487E" w:rsidRPr="002742BE">
        <w:rPr>
          <w:rFonts w:ascii="Arial" w:hAnsi="Arial" w:cs="Arial"/>
          <w:sz w:val="22"/>
          <w:szCs w:val="22"/>
          <w:lang w:val="en-AU"/>
        </w:rPr>
        <w:t>Xarelto</w:t>
      </w:r>
      <w:r w:rsidRPr="002742BE">
        <w:rPr>
          <w:rFonts w:ascii="Arial" w:hAnsi="Arial" w:cs="Arial"/>
          <w:sz w:val="22"/>
          <w:szCs w:val="22"/>
          <w:lang w:val="en-AU"/>
        </w:rPr>
        <w:t xml:space="preserve">. The next </w:t>
      </w:r>
      <w:r w:rsidR="00E8487E" w:rsidRPr="002742BE">
        <w:rPr>
          <w:rFonts w:ascii="Arial" w:hAnsi="Arial" w:cs="Arial"/>
          <w:sz w:val="22"/>
          <w:szCs w:val="22"/>
          <w:lang w:val="en-AU"/>
        </w:rPr>
        <w:t xml:space="preserve">Xarelto </w:t>
      </w:r>
      <w:r w:rsidRPr="002742BE">
        <w:rPr>
          <w:rFonts w:ascii="Arial" w:hAnsi="Arial" w:cs="Arial"/>
          <w:sz w:val="22"/>
          <w:szCs w:val="22"/>
          <w:lang w:val="en-AU"/>
        </w:rPr>
        <w:t>dose is to be administered not earlier than 6 hours after the removal of the catheter.</w:t>
      </w:r>
    </w:p>
    <w:p w:rsidR="001D1004" w:rsidRPr="002742BE" w:rsidRDefault="001D1004" w:rsidP="00C56E4B">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If traumatic puncture occurs the administration of </w:t>
      </w:r>
      <w:r w:rsidR="00E8487E" w:rsidRPr="002742BE">
        <w:rPr>
          <w:rFonts w:ascii="Arial" w:hAnsi="Arial" w:cs="Arial"/>
          <w:sz w:val="22"/>
          <w:szCs w:val="22"/>
          <w:lang w:val="en-AU"/>
        </w:rPr>
        <w:t xml:space="preserve">Xarelto </w:t>
      </w:r>
      <w:r w:rsidRPr="002742BE">
        <w:rPr>
          <w:rFonts w:ascii="Arial" w:hAnsi="Arial" w:cs="Arial"/>
          <w:sz w:val="22"/>
          <w:szCs w:val="22"/>
          <w:lang w:val="en-AU"/>
        </w:rPr>
        <w:t>is to be delayed for 24 hours.</w:t>
      </w:r>
    </w:p>
    <w:p w:rsidR="0081185C" w:rsidRPr="002742BE" w:rsidRDefault="0081185C" w:rsidP="00C56E4B">
      <w:pPr>
        <w:pStyle w:val="Heading3"/>
        <w:spacing w:before="120" w:after="240"/>
        <w:ind w:right="46"/>
        <w:rPr>
          <w:rFonts w:ascii="Arial" w:hAnsi="Arial" w:cs="Arial"/>
          <w:i w:val="0"/>
          <w:snapToGrid w:val="0"/>
          <w:sz w:val="22"/>
          <w:lang w:val="en-AU"/>
        </w:rPr>
      </w:pPr>
      <w:r w:rsidRPr="002742BE">
        <w:rPr>
          <w:rFonts w:ascii="Arial" w:hAnsi="Arial" w:cs="Arial"/>
          <w:i w:val="0"/>
          <w:snapToGrid w:val="0"/>
          <w:sz w:val="22"/>
          <w:lang w:val="en-AU"/>
        </w:rPr>
        <w:t>Hip fracture surgery</w:t>
      </w:r>
    </w:p>
    <w:p w:rsidR="0081185C" w:rsidRPr="002742BE" w:rsidRDefault="0081185C" w:rsidP="002A2DF8">
      <w:pPr>
        <w:spacing w:before="120" w:after="240"/>
        <w:ind w:right="46"/>
        <w:jc w:val="both"/>
        <w:rPr>
          <w:rFonts w:ascii="Arial" w:hAnsi="Arial" w:cs="Arial"/>
          <w:sz w:val="22"/>
          <w:szCs w:val="22"/>
          <w:lang w:val="en-AU"/>
        </w:rPr>
      </w:pPr>
      <w:r w:rsidRPr="002742BE">
        <w:rPr>
          <w:rFonts w:ascii="Arial" w:hAnsi="Arial" w:cs="Arial"/>
          <w:sz w:val="22"/>
          <w:szCs w:val="22"/>
          <w:lang w:val="en-AU"/>
        </w:rPr>
        <w:t>Rivaroxaban has not been studied in clinical trials in patients undergoing hip fracture surgery to evaluate efficacy and safety in these patients. Therefore, Xarelto is not recommended in these patients.</w:t>
      </w:r>
    </w:p>
    <w:p w:rsidR="005A5FB2" w:rsidRDefault="005A5FB2" w:rsidP="001327AC">
      <w:pPr>
        <w:pStyle w:val="Heading3"/>
        <w:spacing w:before="120" w:after="240"/>
        <w:ind w:right="46"/>
        <w:rPr>
          <w:rFonts w:ascii="Arial" w:hAnsi="Arial" w:cs="Arial"/>
          <w:i w:val="0"/>
          <w:snapToGrid w:val="0"/>
          <w:sz w:val="22"/>
          <w:lang w:val="en-AU"/>
        </w:rPr>
      </w:pPr>
      <w:r>
        <w:rPr>
          <w:rFonts w:ascii="Arial" w:hAnsi="Arial" w:cs="Arial"/>
          <w:i w:val="0"/>
          <w:snapToGrid w:val="0"/>
          <w:sz w:val="22"/>
          <w:lang w:val="en-AU"/>
        </w:rPr>
        <w:t>DVT and PE treatment: Haemodynamically unstable PE patients or patients who require thrombolysis or pulmonary embolectomy</w:t>
      </w:r>
    </w:p>
    <w:p w:rsidR="005A5FB2" w:rsidRPr="005A5FB2" w:rsidRDefault="005A5FB2" w:rsidP="001327AC">
      <w:pPr>
        <w:jc w:val="both"/>
        <w:rPr>
          <w:rFonts w:ascii="Arial" w:hAnsi="Arial" w:cs="Arial"/>
          <w:sz w:val="22"/>
          <w:lang w:val="en-AU"/>
        </w:rPr>
      </w:pPr>
      <w:r w:rsidRPr="005A5FB2">
        <w:rPr>
          <w:rFonts w:ascii="Arial" w:hAnsi="Arial" w:cs="Arial"/>
          <w:sz w:val="22"/>
          <w:lang w:val="en-AU"/>
        </w:rPr>
        <w:t>Xarelto is not recommended as an alternative to unfractionated heparin in patients with pulmonary embolism who are haemodynamically unstable or may receive thrombolysis or pulmonary embolectomy since the safety and efficacy of Xarelto have not been established in these clinical situations.</w:t>
      </w:r>
    </w:p>
    <w:p w:rsidR="001D1004" w:rsidRPr="002742BE" w:rsidRDefault="001D1004" w:rsidP="00C56E4B">
      <w:pPr>
        <w:pStyle w:val="Heading3"/>
        <w:spacing w:before="120" w:after="240"/>
        <w:ind w:right="46"/>
        <w:rPr>
          <w:rFonts w:ascii="Arial" w:hAnsi="Arial" w:cs="Arial"/>
          <w:i w:val="0"/>
          <w:snapToGrid w:val="0"/>
          <w:sz w:val="22"/>
          <w:lang w:val="en-AU"/>
        </w:rPr>
      </w:pPr>
      <w:r w:rsidRPr="002742BE">
        <w:rPr>
          <w:rFonts w:ascii="Arial" w:hAnsi="Arial" w:cs="Arial"/>
          <w:i w:val="0"/>
          <w:snapToGrid w:val="0"/>
          <w:sz w:val="22"/>
          <w:lang w:val="en-AU"/>
        </w:rPr>
        <w:lastRenderedPageBreak/>
        <w:t>Lactose intolerance</w:t>
      </w:r>
    </w:p>
    <w:p w:rsidR="001D1004" w:rsidRPr="002742BE" w:rsidRDefault="00E8487E" w:rsidP="002A2DF8">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Xarelto </w:t>
      </w:r>
      <w:r w:rsidR="001D1004" w:rsidRPr="002742BE">
        <w:rPr>
          <w:rFonts w:ascii="Arial" w:hAnsi="Arial" w:cs="Arial"/>
          <w:sz w:val="22"/>
          <w:szCs w:val="22"/>
          <w:lang w:val="en-AU"/>
        </w:rPr>
        <w:t xml:space="preserve">contains lactose. Patients with rare hereditary problems of </w:t>
      </w:r>
      <w:r w:rsidR="00B81A1F" w:rsidRPr="002742BE">
        <w:rPr>
          <w:rFonts w:ascii="Arial" w:hAnsi="Arial" w:cs="Arial"/>
          <w:sz w:val="22"/>
          <w:szCs w:val="22"/>
          <w:lang w:val="en-AU"/>
        </w:rPr>
        <w:t xml:space="preserve">lactose or </w:t>
      </w:r>
      <w:r w:rsidR="001D1004" w:rsidRPr="002742BE">
        <w:rPr>
          <w:rFonts w:ascii="Arial" w:hAnsi="Arial" w:cs="Arial"/>
          <w:sz w:val="22"/>
          <w:szCs w:val="22"/>
          <w:lang w:val="en-AU"/>
        </w:rPr>
        <w:t xml:space="preserve">galactose intolerance, the Lapp lactase deficiency or glucose-galactose malabsorption should not take </w:t>
      </w:r>
      <w:r w:rsidRPr="002742BE">
        <w:rPr>
          <w:rFonts w:ascii="Arial" w:hAnsi="Arial" w:cs="Arial"/>
          <w:sz w:val="22"/>
          <w:szCs w:val="22"/>
          <w:lang w:val="en-AU"/>
        </w:rPr>
        <w:t>Xarelto</w:t>
      </w:r>
      <w:r w:rsidR="001D1004" w:rsidRPr="002742BE">
        <w:rPr>
          <w:rFonts w:ascii="Arial" w:hAnsi="Arial" w:cs="Arial"/>
          <w:sz w:val="22"/>
          <w:szCs w:val="22"/>
          <w:lang w:val="en-AU"/>
        </w:rPr>
        <w:t>.</w:t>
      </w:r>
    </w:p>
    <w:p w:rsidR="006E4481" w:rsidRPr="002742BE" w:rsidRDefault="006E4481" w:rsidP="00C56E4B">
      <w:pPr>
        <w:pStyle w:val="Heading3"/>
        <w:spacing w:before="120" w:after="240"/>
        <w:rPr>
          <w:rFonts w:ascii="Arial" w:hAnsi="Arial" w:cs="Arial"/>
          <w:i w:val="0"/>
          <w:noProof/>
          <w:sz w:val="22"/>
          <w:lang w:val="en-AU"/>
        </w:rPr>
      </w:pPr>
      <w:r w:rsidRPr="002742BE">
        <w:rPr>
          <w:rFonts w:ascii="Arial" w:hAnsi="Arial" w:cs="Arial"/>
          <w:i w:val="0"/>
          <w:noProof/>
          <w:sz w:val="22"/>
          <w:lang w:val="en-AU"/>
        </w:rPr>
        <w:t>Information for the Patient</w:t>
      </w:r>
    </w:p>
    <w:p w:rsidR="006E4481" w:rsidRPr="002742BE" w:rsidRDefault="002B1D85" w:rsidP="00C56E4B">
      <w:pPr>
        <w:spacing w:before="120" w:after="240"/>
        <w:ind w:right="46"/>
        <w:rPr>
          <w:rFonts w:ascii="Arial" w:hAnsi="Arial" w:cs="Arial"/>
          <w:sz w:val="22"/>
          <w:lang w:val="en-AU"/>
        </w:rPr>
      </w:pPr>
      <w:r w:rsidRPr="002742BE">
        <w:rPr>
          <w:rFonts w:ascii="Arial" w:hAnsi="Arial" w:cs="Arial"/>
          <w:sz w:val="22"/>
          <w:lang w:val="en-AU"/>
        </w:rPr>
        <w:t>A Consumer Medicine Information leaflet is available. Please advise your patient to read this information carefully</w:t>
      </w:r>
      <w:r w:rsidR="006E4481" w:rsidRPr="002742BE">
        <w:rPr>
          <w:rFonts w:ascii="Arial" w:hAnsi="Arial" w:cs="Arial"/>
          <w:sz w:val="22"/>
          <w:lang w:val="en-AU"/>
        </w:rPr>
        <w:t xml:space="preserve">. </w:t>
      </w:r>
    </w:p>
    <w:p w:rsidR="001D1004" w:rsidRPr="002742BE" w:rsidRDefault="001D1004" w:rsidP="00C56E4B">
      <w:pPr>
        <w:pStyle w:val="Heading3"/>
        <w:spacing w:before="120" w:after="240"/>
        <w:ind w:right="46"/>
        <w:rPr>
          <w:rFonts w:ascii="Arial" w:hAnsi="Arial" w:cs="Arial"/>
          <w:i w:val="0"/>
          <w:sz w:val="22"/>
          <w:lang w:val="en-AU"/>
        </w:rPr>
      </w:pPr>
      <w:r w:rsidRPr="002742BE">
        <w:rPr>
          <w:rFonts w:ascii="Arial" w:hAnsi="Arial" w:cs="Arial"/>
          <w:i w:val="0"/>
          <w:sz w:val="22"/>
          <w:lang w:val="en-AU"/>
        </w:rPr>
        <w:t>Effects on Fertility</w:t>
      </w:r>
    </w:p>
    <w:p w:rsidR="001D1004" w:rsidRPr="002742BE" w:rsidRDefault="001D1004" w:rsidP="002A2DF8">
      <w:pPr>
        <w:spacing w:before="120" w:after="240"/>
        <w:ind w:right="46"/>
        <w:jc w:val="both"/>
        <w:rPr>
          <w:rFonts w:ascii="Arial" w:hAnsi="Arial" w:cs="Arial"/>
          <w:noProof/>
          <w:sz w:val="22"/>
          <w:szCs w:val="22"/>
          <w:lang w:val="en-AU"/>
        </w:rPr>
      </w:pPr>
      <w:r w:rsidRPr="002742BE">
        <w:rPr>
          <w:rFonts w:ascii="Arial" w:hAnsi="Arial" w:cs="Arial"/>
          <w:sz w:val="22"/>
          <w:szCs w:val="22"/>
          <w:lang w:val="en-AU" w:eastAsia="de-DE"/>
        </w:rPr>
        <w:t xml:space="preserve">Rivaroxaban did not </w:t>
      </w:r>
      <w:r w:rsidR="00C32154" w:rsidRPr="002742BE">
        <w:rPr>
          <w:rFonts w:ascii="Arial" w:hAnsi="Arial" w:cs="Arial"/>
          <w:sz w:val="22"/>
          <w:szCs w:val="22"/>
          <w:lang w:val="en-AU" w:eastAsia="de-DE"/>
        </w:rPr>
        <w:t>affect</w:t>
      </w:r>
      <w:r w:rsidRPr="002742BE">
        <w:rPr>
          <w:rFonts w:ascii="Arial" w:hAnsi="Arial" w:cs="Arial"/>
          <w:sz w:val="22"/>
          <w:szCs w:val="22"/>
          <w:lang w:val="en-AU" w:eastAsia="de-DE"/>
        </w:rPr>
        <w:t xml:space="preserve"> male or female fertility </w:t>
      </w:r>
      <w:r w:rsidR="00C32154" w:rsidRPr="002742BE">
        <w:rPr>
          <w:rFonts w:ascii="Arial" w:hAnsi="Arial" w:cs="Arial"/>
          <w:sz w:val="22"/>
          <w:szCs w:val="22"/>
          <w:lang w:val="en-AU" w:eastAsia="de-DE"/>
        </w:rPr>
        <w:t xml:space="preserve">at oral doses </w:t>
      </w:r>
      <w:r w:rsidRPr="002742BE">
        <w:rPr>
          <w:rFonts w:ascii="Arial" w:hAnsi="Arial" w:cs="Arial"/>
          <w:sz w:val="22"/>
          <w:szCs w:val="22"/>
          <w:lang w:val="en-AU" w:eastAsia="de-DE"/>
        </w:rPr>
        <w:t>up to 200 mg/kg</w:t>
      </w:r>
      <w:r w:rsidR="00C32154" w:rsidRPr="002742BE">
        <w:rPr>
          <w:rFonts w:ascii="Arial" w:hAnsi="Arial" w:cs="Arial"/>
          <w:sz w:val="22"/>
          <w:szCs w:val="22"/>
          <w:lang w:val="en-AU" w:eastAsia="de-DE"/>
        </w:rPr>
        <w:t>/day</w:t>
      </w:r>
      <w:r w:rsidRPr="002742BE">
        <w:rPr>
          <w:rFonts w:ascii="Arial" w:hAnsi="Arial" w:cs="Arial"/>
          <w:sz w:val="22"/>
          <w:szCs w:val="22"/>
          <w:lang w:val="en-AU" w:eastAsia="de-DE"/>
        </w:rPr>
        <w:t xml:space="preserve"> in Wistar rats</w:t>
      </w:r>
      <w:r w:rsidR="00C32154" w:rsidRPr="002742BE">
        <w:rPr>
          <w:rFonts w:ascii="Arial" w:hAnsi="Arial" w:cs="Arial"/>
          <w:sz w:val="22"/>
          <w:szCs w:val="22"/>
          <w:lang w:val="en-AU" w:eastAsia="de-DE"/>
        </w:rPr>
        <w:t xml:space="preserve">, which corresponds to </w:t>
      </w:r>
      <w:r w:rsidR="00590CF5" w:rsidRPr="002742BE">
        <w:rPr>
          <w:rFonts w:ascii="Arial" w:hAnsi="Arial" w:cs="Arial"/>
          <w:sz w:val="22"/>
          <w:szCs w:val="22"/>
          <w:lang w:val="en-AU" w:eastAsia="de-DE"/>
        </w:rPr>
        <w:t>33</w:t>
      </w:r>
      <w:r w:rsidR="00C32154" w:rsidRPr="002742BE">
        <w:rPr>
          <w:rFonts w:ascii="Arial" w:hAnsi="Arial" w:cs="Arial"/>
          <w:sz w:val="22"/>
          <w:szCs w:val="22"/>
          <w:lang w:val="en-AU" w:eastAsia="de-DE"/>
        </w:rPr>
        <w:t xml:space="preserve">-fold (males) and </w:t>
      </w:r>
      <w:r w:rsidR="00590CF5" w:rsidRPr="002742BE">
        <w:rPr>
          <w:rFonts w:ascii="Arial" w:hAnsi="Arial" w:cs="Arial"/>
          <w:sz w:val="22"/>
          <w:szCs w:val="22"/>
          <w:lang w:val="en-AU" w:eastAsia="de-DE"/>
        </w:rPr>
        <w:t>4</w:t>
      </w:r>
      <w:r w:rsidR="00C32154" w:rsidRPr="002742BE">
        <w:rPr>
          <w:rFonts w:ascii="Arial" w:hAnsi="Arial" w:cs="Arial"/>
          <w:sz w:val="22"/>
          <w:szCs w:val="22"/>
          <w:lang w:val="en-AU" w:eastAsia="de-DE"/>
        </w:rPr>
        <w:t>9-fold (females) the unbound rivaroxaban AUC in humans at the maximum recommended dose.</w:t>
      </w:r>
    </w:p>
    <w:p w:rsidR="001D1004" w:rsidRPr="002742BE" w:rsidRDefault="001D1004" w:rsidP="00C56E4B">
      <w:pPr>
        <w:pStyle w:val="Heading3"/>
        <w:spacing w:before="120" w:after="240"/>
        <w:ind w:right="46"/>
        <w:rPr>
          <w:rFonts w:ascii="Arial" w:hAnsi="Arial" w:cs="Arial"/>
          <w:i w:val="0"/>
          <w:sz w:val="22"/>
          <w:lang w:val="en-AU"/>
        </w:rPr>
      </w:pPr>
      <w:r w:rsidRPr="002742BE">
        <w:rPr>
          <w:rFonts w:ascii="Arial" w:hAnsi="Arial" w:cs="Arial"/>
          <w:i w:val="0"/>
          <w:sz w:val="22"/>
          <w:lang w:val="en-AU"/>
        </w:rPr>
        <w:t>Use in Pregnancy</w:t>
      </w:r>
    </w:p>
    <w:p w:rsidR="001D1004" w:rsidRPr="002742BE" w:rsidRDefault="001D1004" w:rsidP="002A2DF8">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Pregnancy Category </w:t>
      </w:r>
      <w:r w:rsidR="00C32154" w:rsidRPr="002742BE">
        <w:rPr>
          <w:rFonts w:ascii="Arial" w:hAnsi="Arial" w:cs="Arial"/>
          <w:sz w:val="22"/>
          <w:szCs w:val="22"/>
          <w:lang w:val="en-AU"/>
        </w:rPr>
        <w:t>C</w:t>
      </w:r>
    </w:p>
    <w:p w:rsidR="00C32154" w:rsidRPr="002742BE" w:rsidRDefault="001D1004" w:rsidP="00834736">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There are no data from the use of rivaroxaban in pregnant women. </w:t>
      </w:r>
      <w:r w:rsidR="00C32154" w:rsidRPr="002742BE">
        <w:rPr>
          <w:rFonts w:ascii="Arial" w:hAnsi="Arial" w:cs="Arial"/>
          <w:sz w:val="22"/>
          <w:szCs w:val="22"/>
          <w:lang w:val="en-AU"/>
        </w:rPr>
        <w:t>Thrombolytic agents can produce placental haemorrhage and subsequent prematurity and fetal loss.</w:t>
      </w:r>
    </w:p>
    <w:p w:rsidR="00C32154" w:rsidRPr="002742BE" w:rsidRDefault="00C32154" w:rsidP="00C56E4B">
      <w:pPr>
        <w:spacing w:before="120" w:after="240"/>
        <w:ind w:right="46"/>
        <w:jc w:val="both"/>
        <w:rPr>
          <w:rFonts w:ascii="Arial" w:hAnsi="Arial" w:cs="Arial"/>
          <w:sz w:val="22"/>
          <w:szCs w:val="22"/>
          <w:lang w:val="en-AU"/>
        </w:rPr>
      </w:pPr>
      <w:r w:rsidRPr="002742BE">
        <w:rPr>
          <w:rFonts w:ascii="Arial" w:hAnsi="Arial" w:cs="Arial"/>
          <w:sz w:val="22"/>
          <w:szCs w:val="22"/>
          <w:lang w:val="en-AU"/>
        </w:rPr>
        <w:t>Studies in rats and rabbits were affected by the anticoagulant effects of rivaroxaban on the mother. In rats, altered placental appearance and necrosis were observed at doses ≥ 10 mg/kg/day (4 times human exposure based on unbound plasma AUC). A NOAEL in rats for embryofetal development was established at 35 mg/kg/day (17 times human exposure based on unbound plasma AUC).</w:t>
      </w:r>
    </w:p>
    <w:p w:rsidR="001D1004" w:rsidRPr="002742BE" w:rsidRDefault="00C32154" w:rsidP="003652FC">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In rabbits, abortions occurred at doses ≥ 10 mg/kg/day (11 times human exposure based on unbound plasma AUC), while deaths occurred at doses ≥ 40 mg/kg/day (52 times human exposure based on unbound plasma AUC). Changes in placental appearance (course, grained and/or necrotic) were also noted at doses ≥ 10 mg/kg/day. A NOAEL in rabbits for embryofetal development was established at 2.5 mg/kg/day (3 times human exposure based on unbound plasma AUC). </w:t>
      </w:r>
      <w:r w:rsidR="00B81A1F" w:rsidRPr="002742BE">
        <w:rPr>
          <w:rFonts w:ascii="Arial" w:hAnsi="Arial" w:cs="Arial"/>
          <w:sz w:val="22"/>
          <w:szCs w:val="22"/>
          <w:lang w:val="en-AU"/>
        </w:rPr>
        <w:t>In rats and rabbits rivaroxaban showed pronounced maternal toxicity with placental changes related to its pharmacological mode of action (e.g., h</w:t>
      </w:r>
      <w:r w:rsidR="004E15B6" w:rsidRPr="002742BE">
        <w:rPr>
          <w:rFonts w:ascii="Arial" w:hAnsi="Arial" w:cs="Arial"/>
          <w:sz w:val="22"/>
          <w:szCs w:val="22"/>
          <w:lang w:val="en-AU"/>
        </w:rPr>
        <w:t>a</w:t>
      </w:r>
      <w:r w:rsidR="00B81A1F" w:rsidRPr="002742BE">
        <w:rPr>
          <w:rFonts w:ascii="Arial" w:hAnsi="Arial" w:cs="Arial"/>
          <w:sz w:val="22"/>
          <w:szCs w:val="22"/>
          <w:lang w:val="en-AU"/>
        </w:rPr>
        <w:t>emorrhagic complications)</w:t>
      </w:r>
      <w:r w:rsidR="004B7EBB" w:rsidRPr="002742BE">
        <w:rPr>
          <w:rFonts w:ascii="Arial" w:hAnsi="Arial" w:cs="Arial"/>
          <w:sz w:val="22"/>
          <w:szCs w:val="22"/>
          <w:lang w:val="en-AU"/>
        </w:rPr>
        <w:t xml:space="preserve"> leading to reproductive toxicity</w:t>
      </w:r>
      <w:r w:rsidR="00B81A1F" w:rsidRPr="002742BE">
        <w:rPr>
          <w:rFonts w:ascii="Arial" w:hAnsi="Arial" w:cs="Arial"/>
          <w:sz w:val="22"/>
          <w:szCs w:val="22"/>
          <w:lang w:val="en-AU"/>
        </w:rPr>
        <w:t xml:space="preserve">. No primary teratogenic potential was identified. Due to the intrinsic risk of bleeding and the evidence </w:t>
      </w:r>
      <w:r w:rsidR="0012039C" w:rsidRPr="002742BE">
        <w:rPr>
          <w:rFonts w:ascii="Arial" w:hAnsi="Arial" w:cs="Arial"/>
          <w:sz w:val="22"/>
          <w:szCs w:val="22"/>
          <w:lang w:val="en-AU"/>
        </w:rPr>
        <w:t xml:space="preserve">that rivaroxaban </w:t>
      </w:r>
      <w:r w:rsidR="00B81A1F" w:rsidRPr="002742BE">
        <w:rPr>
          <w:rFonts w:ascii="Arial" w:hAnsi="Arial" w:cs="Arial"/>
          <w:sz w:val="22"/>
          <w:szCs w:val="22"/>
          <w:lang w:val="en-AU"/>
        </w:rPr>
        <w:t xml:space="preserve">passes </w:t>
      </w:r>
      <w:r w:rsidR="0012039C" w:rsidRPr="002742BE">
        <w:rPr>
          <w:rFonts w:ascii="Arial" w:hAnsi="Arial" w:cs="Arial"/>
          <w:sz w:val="22"/>
          <w:szCs w:val="22"/>
          <w:lang w:val="en-AU"/>
        </w:rPr>
        <w:t>the placenta</w:t>
      </w:r>
      <w:r w:rsidR="00B81A1F" w:rsidRPr="002742BE">
        <w:rPr>
          <w:rFonts w:ascii="Arial" w:hAnsi="Arial" w:cs="Arial"/>
          <w:iCs/>
          <w:sz w:val="22"/>
          <w:szCs w:val="22"/>
          <w:lang w:val="en-AU"/>
        </w:rPr>
        <w:t>,</w:t>
      </w:r>
      <w:r w:rsidR="0012039C" w:rsidRPr="002742BE">
        <w:rPr>
          <w:rFonts w:ascii="Arial" w:hAnsi="Arial" w:cs="Arial"/>
          <w:sz w:val="22"/>
          <w:szCs w:val="22"/>
          <w:lang w:val="en-AU"/>
        </w:rPr>
        <w:t xml:space="preserve"> </w:t>
      </w:r>
      <w:r w:rsidR="00E8487E" w:rsidRPr="002742BE">
        <w:rPr>
          <w:rFonts w:ascii="Arial" w:hAnsi="Arial" w:cs="Arial"/>
          <w:sz w:val="22"/>
          <w:szCs w:val="22"/>
          <w:lang w:val="en-AU"/>
        </w:rPr>
        <w:t xml:space="preserve">Xarelto </w:t>
      </w:r>
      <w:r w:rsidR="0012039C" w:rsidRPr="002742BE">
        <w:rPr>
          <w:rFonts w:ascii="Arial" w:hAnsi="Arial" w:cs="Arial"/>
          <w:sz w:val="22"/>
          <w:szCs w:val="22"/>
          <w:lang w:val="en-AU"/>
        </w:rPr>
        <w:t xml:space="preserve">is contraindicated in pregnancy (see CONTRAINDICATIONS). </w:t>
      </w:r>
      <w:r w:rsidR="00E8487E" w:rsidRPr="002742BE">
        <w:rPr>
          <w:rFonts w:ascii="Arial" w:hAnsi="Arial" w:cs="Arial"/>
          <w:sz w:val="22"/>
          <w:szCs w:val="22"/>
          <w:lang w:val="en-AU"/>
        </w:rPr>
        <w:t xml:space="preserve">Xarelto </w:t>
      </w:r>
      <w:r w:rsidR="001D1004" w:rsidRPr="002742BE">
        <w:rPr>
          <w:rFonts w:ascii="Arial" w:hAnsi="Arial" w:cs="Arial"/>
          <w:sz w:val="22"/>
          <w:szCs w:val="22"/>
          <w:lang w:val="en-AU"/>
        </w:rPr>
        <w:t>should be used in women of childbearing potential only with effective contraception.</w:t>
      </w:r>
    </w:p>
    <w:p w:rsidR="001D1004" w:rsidRPr="002742BE" w:rsidRDefault="001D1004" w:rsidP="003652FC">
      <w:pPr>
        <w:pStyle w:val="Heading3"/>
        <w:spacing w:before="120" w:after="240"/>
        <w:ind w:right="46"/>
        <w:rPr>
          <w:rFonts w:ascii="Arial" w:hAnsi="Arial" w:cs="Arial"/>
          <w:i w:val="0"/>
          <w:sz w:val="22"/>
          <w:lang w:val="en-AU"/>
        </w:rPr>
      </w:pPr>
      <w:r w:rsidRPr="002742BE">
        <w:rPr>
          <w:rFonts w:ascii="Arial" w:hAnsi="Arial" w:cs="Arial"/>
          <w:i w:val="0"/>
          <w:sz w:val="22"/>
          <w:lang w:val="en-AU"/>
        </w:rPr>
        <w:t>Use in Lactation</w:t>
      </w:r>
    </w:p>
    <w:p w:rsidR="001D1004" w:rsidRPr="002742BE" w:rsidRDefault="001D1004" w:rsidP="002A2DF8">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No data on the use of rivaroxaban in nursing mothers are available. Data from animals indicate that rivaroxaban is secreted into milk. </w:t>
      </w:r>
      <w:r w:rsidRPr="002742BE">
        <w:rPr>
          <w:rFonts w:ascii="Arial" w:hAnsi="Arial" w:cs="Arial"/>
          <w:iCs/>
          <w:sz w:val="22"/>
          <w:szCs w:val="22"/>
          <w:lang w:val="en-AU"/>
        </w:rPr>
        <w:t>Therefore</w:t>
      </w:r>
      <w:r w:rsidRPr="002742BE">
        <w:rPr>
          <w:rFonts w:ascii="Arial" w:hAnsi="Arial" w:cs="Arial"/>
          <w:sz w:val="22"/>
          <w:szCs w:val="22"/>
          <w:lang w:val="en-AU"/>
        </w:rPr>
        <w:t xml:space="preserve"> </w:t>
      </w:r>
      <w:r w:rsidR="00E8487E" w:rsidRPr="002742BE">
        <w:rPr>
          <w:rFonts w:ascii="Arial" w:hAnsi="Arial" w:cs="Arial"/>
          <w:sz w:val="22"/>
          <w:szCs w:val="22"/>
          <w:lang w:val="en-AU"/>
        </w:rPr>
        <w:t xml:space="preserve">Xarelto </w:t>
      </w:r>
      <w:r w:rsidRPr="002742BE">
        <w:rPr>
          <w:rFonts w:ascii="Arial" w:hAnsi="Arial" w:cs="Arial"/>
          <w:sz w:val="22"/>
          <w:szCs w:val="22"/>
          <w:lang w:val="en-AU"/>
        </w:rPr>
        <w:t>is contraindicated during breast-feeding (see CONTRAINDICATIONS).</w:t>
      </w:r>
    </w:p>
    <w:p w:rsidR="001D1004" w:rsidRPr="002742BE" w:rsidRDefault="001D1004" w:rsidP="00834736">
      <w:pPr>
        <w:spacing w:before="120" w:after="240"/>
        <w:ind w:right="46"/>
        <w:jc w:val="both"/>
        <w:rPr>
          <w:rFonts w:ascii="Arial" w:hAnsi="Arial" w:cs="Arial"/>
          <w:sz w:val="22"/>
          <w:szCs w:val="22"/>
          <w:lang w:val="en-AU"/>
        </w:rPr>
      </w:pPr>
      <w:r w:rsidRPr="002742BE">
        <w:rPr>
          <w:rFonts w:ascii="Arial" w:hAnsi="Arial" w:cs="Arial"/>
          <w:sz w:val="22"/>
          <w:szCs w:val="22"/>
          <w:lang w:val="en-AU" w:eastAsia="de-DE"/>
        </w:rPr>
        <w:t>[</w:t>
      </w:r>
      <w:r w:rsidRPr="002742BE">
        <w:rPr>
          <w:rFonts w:ascii="Arial" w:hAnsi="Arial" w:cs="Arial"/>
          <w:sz w:val="22"/>
          <w:szCs w:val="22"/>
          <w:vertAlign w:val="superscript"/>
          <w:lang w:val="en-AU" w:eastAsia="de-DE"/>
        </w:rPr>
        <w:t>14</w:t>
      </w:r>
      <w:r w:rsidRPr="002742BE">
        <w:rPr>
          <w:rFonts w:ascii="Arial" w:hAnsi="Arial" w:cs="Arial"/>
          <w:sz w:val="22"/>
          <w:szCs w:val="22"/>
          <w:lang w:val="en-AU" w:eastAsia="de-DE"/>
        </w:rPr>
        <w:t>C] rivaroxaban was administered orally to lactating Wistar rats (day 8 to 10 post partum) as a single oral dose of 3 mg/kg body weight. [</w:t>
      </w:r>
      <w:r w:rsidRPr="002742BE">
        <w:rPr>
          <w:rFonts w:ascii="Arial" w:hAnsi="Arial" w:cs="Arial"/>
          <w:sz w:val="22"/>
          <w:szCs w:val="22"/>
          <w:vertAlign w:val="superscript"/>
          <w:lang w:val="en-AU" w:eastAsia="de-DE"/>
        </w:rPr>
        <w:t>14</w:t>
      </w:r>
      <w:r w:rsidRPr="002742BE">
        <w:rPr>
          <w:rFonts w:ascii="Arial" w:hAnsi="Arial" w:cs="Arial"/>
          <w:sz w:val="22"/>
          <w:szCs w:val="22"/>
          <w:lang w:val="en-AU" w:eastAsia="de-DE"/>
        </w:rPr>
        <w:t>C] rivaroxaban-related radioactivity was secreted into the milk of lactating rats only to a low extent in relation to the administered dose. The estimated amount of radioactivity excreted into milk was 2.12 % of the maternal dose within 32 hours after administration.</w:t>
      </w:r>
    </w:p>
    <w:p w:rsidR="001D1004" w:rsidRPr="002742BE" w:rsidRDefault="001D1004" w:rsidP="003652FC">
      <w:pPr>
        <w:pStyle w:val="Heading3"/>
        <w:spacing w:before="120" w:after="240"/>
        <w:ind w:right="46"/>
        <w:rPr>
          <w:rFonts w:ascii="Arial" w:hAnsi="Arial" w:cs="Arial"/>
          <w:i w:val="0"/>
          <w:sz w:val="22"/>
          <w:lang w:val="en-AU"/>
        </w:rPr>
      </w:pPr>
      <w:r w:rsidRPr="002742BE">
        <w:rPr>
          <w:rFonts w:ascii="Arial" w:hAnsi="Arial" w:cs="Arial"/>
          <w:i w:val="0"/>
          <w:sz w:val="22"/>
          <w:lang w:val="en-AU"/>
        </w:rPr>
        <w:lastRenderedPageBreak/>
        <w:t>Paediatric Use</w:t>
      </w:r>
    </w:p>
    <w:p w:rsidR="001D1004" w:rsidRPr="002742BE" w:rsidRDefault="00E8487E" w:rsidP="002A2DF8">
      <w:pPr>
        <w:spacing w:before="120" w:after="240"/>
        <w:ind w:right="46"/>
        <w:jc w:val="both"/>
        <w:rPr>
          <w:rFonts w:ascii="Arial" w:hAnsi="Arial" w:cs="Arial"/>
          <w:noProof/>
          <w:sz w:val="22"/>
          <w:szCs w:val="22"/>
          <w:lang w:val="en-AU"/>
        </w:rPr>
      </w:pPr>
      <w:r w:rsidRPr="002742BE">
        <w:rPr>
          <w:rFonts w:ascii="Arial" w:hAnsi="Arial" w:cs="Arial"/>
          <w:noProof/>
          <w:sz w:val="22"/>
          <w:szCs w:val="22"/>
          <w:lang w:val="en-AU"/>
        </w:rPr>
        <w:t xml:space="preserve">Xarelto </w:t>
      </w:r>
      <w:r w:rsidR="001D1004" w:rsidRPr="002742BE">
        <w:rPr>
          <w:rFonts w:ascii="Arial" w:hAnsi="Arial" w:cs="Arial"/>
          <w:noProof/>
          <w:sz w:val="22"/>
          <w:szCs w:val="22"/>
          <w:lang w:val="en-AU"/>
        </w:rPr>
        <w:t>is not recommended for use in children or adolescents below 18 years of age due to a lack of data on safety and efficacy (see DOSAGE AND ADMINISTRATION and Pharmacokinetic properties).</w:t>
      </w:r>
    </w:p>
    <w:p w:rsidR="001D1004" w:rsidRPr="002742BE" w:rsidRDefault="001D1004" w:rsidP="003652FC">
      <w:pPr>
        <w:pStyle w:val="Heading3"/>
        <w:spacing w:before="120" w:after="120"/>
        <w:ind w:right="45"/>
        <w:rPr>
          <w:rFonts w:ascii="Arial" w:hAnsi="Arial" w:cs="Arial"/>
          <w:i w:val="0"/>
          <w:sz w:val="22"/>
          <w:lang w:val="en-AU"/>
        </w:rPr>
      </w:pPr>
      <w:r w:rsidRPr="002742BE">
        <w:rPr>
          <w:rFonts w:ascii="Arial" w:hAnsi="Arial" w:cs="Arial"/>
          <w:i w:val="0"/>
          <w:sz w:val="22"/>
          <w:lang w:val="en-AU"/>
        </w:rPr>
        <w:t xml:space="preserve">Use in Elderly </w:t>
      </w:r>
    </w:p>
    <w:p w:rsidR="001D1004" w:rsidRPr="002742BE" w:rsidRDefault="001D1004" w:rsidP="003652FC">
      <w:pPr>
        <w:pStyle w:val="BodyText2"/>
        <w:spacing w:before="120" w:after="120"/>
        <w:ind w:right="45"/>
        <w:rPr>
          <w:rFonts w:ascii="Arial" w:hAnsi="Arial" w:cs="Arial"/>
          <w:b w:val="0"/>
          <w:sz w:val="22"/>
          <w:szCs w:val="22"/>
        </w:rPr>
      </w:pPr>
      <w:r w:rsidRPr="002742BE">
        <w:rPr>
          <w:rFonts w:ascii="Arial" w:hAnsi="Arial" w:cs="Arial"/>
          <w:b w:val="0"/>
          <w:sz w:val="22"/>
          <w:szCs w:val="22"/>
        </w:rPr>
        <w:t xml:space="preserve">No dose adjustment is required for </w:t>
      </w:r>
      <w:r w:rsidR="00103BB6" w:rsidRPr="002742BE">
        <w:rPr>
          <w:rFonts w:ascii="Arial" w:hAnsi="Arial" w:cs="Arial"/>
          <w:b w:val="0"/>
          <w:sz w:val="22"/>
          <w:szCs w:val="22"/>
        </w:rPr>
        <w:t>the elderly (&gt;</w:t>
      </w:r>
      <w:r w:rsidR="00DF220F">
        <w:rPr>
          <w:rFonts w:ascii="Arial" w:hAnsi="Arial" w:cs="Arial"/>
          <w:b w:val="0"/>
          <w:sz w:val="22"/>
          <w:szCs w:val="22"/>
        </w:rPr>
        <w:t xml:space="preserve"> </w:t>
      </w:r>
      <w:r w:rsidR="00103BB6" w:rsidRPr="002742BE">
        <w:rPr>
          <w:rFonts w:ascii="Arial" w:hAnsi="Arial" w:cs="Arial"/>
          <w:b w:val="0"/>
          <w:sz w:val="22"/>
          <w:szCs w:val="22"/>
        </w:rPr>
        <w:t>65 years of age)</w:t>
      </w:r>
      <w:r w:rsidRPr="002742BE">
        <w:rPr>
          <w:rFonts w:ascii="Arial" w:hAnsi="Arial" w:cs="Arial"/>
          <w:b w:val="0"/>
          <w:sz w:val="22"/>
          <w:szCs w:val="22"/>
        </w:rPr>
        <w:t>.</w:t>
      </w:r>
      <w:r w:rsidR="00103BB6" w:rsidRPr="002742BE">
        <w:rPr>
          <w:rFonts w:ascii="Arial" w:hAnsi="Arial" w:cs="Arial"/>
          <w:b w:val="0"/>
          <w:sz w:val="22"/>
          <w:szCs w:val="22"/>
        </w:rPr>
        <w:t xml:space="preserve"> </w:t>
      </w:r>
      <w:r w:rsidR="004E0911" w:rsidRPr="002742BE">
        <w:rPr>
          <w:rFonts w:ascii="Arial" w:hAnsi="Arial" w:cs="Arial"/>
          <w:b w:val="0"/>
          <w:sz w:val="22"/>
          <w:szCs w:val="22"/>
        </w:rPr>
        <w:t xml:space="preserve">It should be taken into </w:t>
      </w:r>
      <w:r w:rsidR="00D22E15" w:rsidRPr="002742BE">
        <w:rPr>
          <w:rFonts w:ascii="Arial" w:hAnsi="Arial" w:cs="Arial"/>
          <w:b w:val="0"/>
          <w:sz w:val="22"/>
          <w:szCs w:val="22"/>
        </w:rPr>
        <w:t>consideration</w:t>
      </w:r>
      <w:r w:rsidR="004E0911" w:rsidRPr="002742BE">
        <w:rPr>
          <w:rFonts w:ascii="Arial" w:hAnsi="Arial" w:cs="Arial"/>
          <w:b w:val="0"/>
          <w:sz w:val="22"/>
          <w:szCs w:val="22"/>
        </w:rPr>
        <w:t xml:space="preserve"> that i</w:t>
      </w:r>
      <w:r w:rsidR="00103BB6" w:rsidRPr="002742BE">
        <w:rPr>
          <w:rFonts w:ascii="Arial" w:hAnsi="Arial" w:cs="Arial"/>
          <w:b w:val="0"/>
          <w:sz w:val="22"/>
          <w:szCs w:val="22"/>
        </w:rPr>
        <w:t>ncreasing age may be associated with declining renal and hepatic function</w:t>
      </w:r>
      <w:r w:rsidR="004E0911" w:rsidRPr="002742BE">
        <w:rPr>
          <w:rFonts w:ascii="Arial" w:hAnsi="Arial" w:cs="Arial"/>
          <w:b w:val="0"/>
          <w:sz w:val="22"/>
          <w:szCs w:val="22"/>
        </w:rPr>
        <w:t xml:space="preserve"> (see CONTRAINDICATIONS, PRECAUTIONS and Pharmacokinetic properties)</w:t>
      </w:r>
      <w:r w:rsidR="003C64D2" w:rsidRPr="002742BE">
        <w:rPr>
          <w:rFonts w:ascii="Arial" w:hAnsi="Arial" w:cs="Arial"/>
          <w:b w:val="0"/>
          <w:sz w:val="22"/>
          <w:szCs w:val="22"/>
        </w:rPr>
        <w:t>.</w:t>
      </w:r>
    </w:p>
    <w:p w:rsidR="00103BB6" w:rsidRPr="002742BE" w:rsidRDefault="00103BB6" w:rsidP="003652FC">
      <w:pPr>
        <w:pStyle w:val="Heading3"/>
        <w:spacing w:before="120" w:after="120"/>
        <w:ind w:right="45"/>
        <w:rPr>
          <w:rFonts w:ascii="Arial" w:hAnsi="Arial" w:cs="Arial"/>
          <w:i w:val="0"/>
          <w:sz w:val="22"/>
          <w:lang w:val="en-AU"/>
        </w:rPr>
      </w:pPr>
      <w:r w:rsidRPr="002742BE">
        <w:rPr>
          <w:rFonts w:ascii="Arial" w:hAnsi="Arial" w:cs="Arial"/>
          <w:i w:val="0"/>
          <w:sz w:val="22"/>
          <w:lang w:val="en-AU"/>
        </w:rPr>
        <w:t>Different Gender and Different Weight Categories</w:t>
      </w:r>
    </w:p>
    <w:p w:rsidR="00103BB6" w:rsidRPr="002742BE" w:rsidRDefault="00103BB6" w:rsidP="003652FC">
      <w:pPr>
        <w:pStyle w:val="BodyText2"/>
        <w:spacing w:before="120" w:after="120"/>
        <w:ind w:right="45"/>
        <w:jc w:val="left"/>
        <w:rPr>
          <w:rFonts w:ascii="Arial" w:hAnsi="Arial" w:cs="Arial"/>
          <w:b w:val="0"/>
          <w:sz w:val="22"/>
          <w:szCs w:val="22"/>
        </w:rPr>
      </w:pPr>
      <w:r w:rsidRPr="002742BE">
        <w:rPr>
          <w:rFonts w:ascii="Arial" w:hAnsi="Arial" w:cs="Arial"/>
          <w:b w:val="0"/>
          <w:sz w:val="22"/>
          <w:szCs w:val="22"/>
        </w:rPr>
        <w:t>No dose adjustment is required for these patient populations (see Pharmaco</w:t>
      </w:r>
      <w:r w:rsidRPr="002742BE">
        <w:rPr>
          <w:rFonts w:ascii="Arial" w:hAnsi="Arial" w:cs="Arial"/>
          <w:b w:val="0"/>
          <w:sz w:val="22"/>
          <w:szCs w:val="22"/>
        </w:rPr>
        <w:softHyphen/>
        <w:t>kinetic properties).</w:t>
      </w:r>
    </w:p>
    <w:p w:rsidR="001D1004" w:rsidRPr="002742BE" w:rsidRDefault="001D1004" w:rsidP="003652FC">
      <w:pPr>
        <w:pStyle w:val="Heading3"/>
        <w:spacing w:before="120" w:after="120"/>
        <w:ind w:right="45"/>
        <w:rPr>
          <w:rFonts w:ascii="Arial" w:hAnsi="Arial" w:cs="Arial"/>
          <w:i w:val="0"/>
          <w:sz w:val="22"/>
          <w:lang w:val="en-AU"/>
        </w:rPr>
      </w:pPr>
      <w:r w:rsidRPr="002742BE">
        <w:rPr>
          <w:rFonts w:ascii="Arial" w:hAnsi="Arial" w:cs="Arial"/>
          <w:i w:val="0"/>
          <w:sz w:val="22"/>
          <w:lang w:val="en-AU"/>
        </w:rPr>
        <w:t>Carcinogenicity</w:t>
      </w:r>
    </w:p>
    <w:p w:rsidR="00576485" w:rsidRPr="002742BE" w:rsidRDefault="005931B7" w:rsidP="003652FC">
      <w:pPr>
        <w:spacing w:before="120" w:after="120"/>
        <w:ind w:right="45"/>
        <w:jc w:val="both"/>
        <w:rPr>
          <w:rFonts w:ascii="Arial" w:hAnsi="Arial" w:cs="Arial"/>
          <w:sz w:val="22"/>
          <w:szCs w:val="22"/>
          <w:lang w:val="en-AU"/>
        </w:rPr>
      </w:pPr>
      <w:r w:rsidRPr="002742BE">
        <w:rPr>
          <w:rFonts w:ascii="Arial" w:hAnsi="Arial" w:cs="Arial"/>
          <w:sz w:val="22"/>
          <w:szCs w:val="22"/>
          <w:lang w:val="en-AU"/>
        </w:rPr>
        <w:t xml:space="preserve">Testing was performed by oral dosing for 2 years at </w:t>
      </w:r>
      <w:r w:rsidR="00576485" w:rsidRPr="002742BE">
        <w:rPr>
          <w:rFonts w:ascii="Arial" w:hAnsi="Arial" w:cs="Arial"/>
          <w:sz w:val="22"/>
          <w:szCs w:val="22"/>
          <w:lang w:val="en-AU"/>
        </w:rPr>
        <w:t xml:space="preserve">up to 60 mg/kg/day reaching </w:t>
      </w:r>
      <w:r w:rsidRPr="002742BE">
        <w:rPr>
          <w:rFonts w:ascii="Arial" w:hAnsi="Arial" w:cs="Arial"/>
          <w:sz w:val="22"/>
          <w:szCs w:val="22"/>
          <w:lang w:val="en-AU"/>
        </w:rPr>
        <w:t xml:space="preserve">unbound plasma rivaroxaban </w:t>
      </w:r>
      <w:r w:rsidR="00576485" w:rsidRPr="002742BE">
        <w:rPr>
          <w:rFonts w:ascii="Arial" w:hAnsi="Arial" w:cs="Arial"/>
          <w:sz w:val="22"/>
          <w:szCs w:val="22"/>
          <w:lang w:val="en-AU"/>
        </w:rPr>
        <w:t>exposure levels similar to humans (mice) or up to 3.6</w:t>
      </w:r>
      <w:r w:rsidR="00576485" w:rsidRPr="002742BE">
        <w:rPr>
          <w:rFonts w:ascii="Arial" w:hAnsi="Arial" w:cs="Arial"/>
          <w:sz w:val="22"/>
          <w:szCs w:val="22"/>
          <w:lang w:val="en-AU"/>
        </w:rPr>
        <w:noBreakHyphen/>
        <w:t xml:space="preserve">fold higher (rats) than in humans. </w:t>
      </w:r>
    </w:p>
    <w:p w:rsidR="00576485" w:rsidRPr="002742BE" w:rsidDel="00E95B4B" w:rsidRDefault="00576485" w:rsidP="003652FC">
      <w:pPr>
        <w:spacing w:before="120" w:after="120"/>
        <w:ind w:right="45"/>
        <w:jc w:val="both"/>
        <w:rPr>
          <w:rFonts w:ascii="Arial" w:hAnsi="Arial" w:cs="Arial"/>
          <w:sz w:val="22"/>
          <w:szCs w:val="22"/>
          <w:lang w:val="en-AU"/>
        </w:rPr>
      </w:pPr>
      <w:r w:rsidRPr="002742BE">
        <w:rPr>
          <w:rFonts w:ascii="Arial" w:hAnsi="Arial" w:cs="Arial"/>
          <w:sz w:val="22"/>
          <w:szCs w:val="22"/>
          <w:lang w:val="en-AU"/>
        </w:rPr>
        <w:t xml:space="preserve">Rivaroxaban showed no carcinogenic potential in </w:t>
      </w:r>
      <w:r w:rsidR="00D47056" w:rsidRPr="002742BE">
        <w:rPr>
          <w:rFonts w:ascii="Arial" w:hAnsi="Arial" w:cs="Arial"/>
          <w:sz w:val="22"/>
          <w:szCs w:val="22"/>
          <w:lang w:val="en-AU"/>
        </w:rPr>
        <w:t>either species</w:t>
      </w:r>
      <w:r w:rsidRPr="002742BE">
        <w:rPr>
          <w:rFonts w:ascii="Arial" w:hAnsi="Arial" w:cs="Arial"/>
          <w:sz w:val="22"/>
          <w:szCs w:val="22"/>
          <w:lang w:val="en-AU"/>
        </w:rPr>
        <w:t>. </w:t>
      </w:r>
    </w:p>
    <w:p w:rsidR="001D1004" w:rsidRPr="002742BE" w:rsidRDefault="001D1004" w:rsidP="003652FC">
      <w:pPr>
        <w:pStyle w:val="Heading3"/>
        <w:spacing w:before="120" w:after="120"/>
        <w:ind w:right="45"/>
        <w:rPr>
          <w:rFonts w:ascii="Arial" w:hAnsi="Arial" w:cs="Arial"/>
          <w:i w:val="0"/>
          <w:sz w:val="22"/>
          <w:lang w:val="en-AU"/>
        </w:rPr>
      </w:pPr>
      <w:r w:rsidRPr="002742BE">
        <w:rPr>
          <w:rFonts w:ascii="Arial" w:hAnsi="Arial" w:cs="Arial"/>
          <w:i w:val="0"/>
          <w:sz w:val="22"/>
          <w:lang w:val="en-AU"/>
        </w:rPr>
        <w:t>Genotoxicity</w:t>
      </w:r>
    </w:p>
    <w:p w:rsidR="004E2938" w:rsidRPr="002742BE" w:rsidRDefault="004E2938" w:rsidP="003652FC">
      <w:pPr>
        <w:pStyle w:val="BodyText2"/>
        <w:spacing w:before="120" w:after="120"/>
        <w:ind w:right="45"/>
        <w:rPr>
          <w:rFonts w:ascii="Arial" w:hAnsi="Arial" w:cs="Arial"/>
          <w:b w:val="0"/>
          <w:sz w:val="22"/>
          <w:szCs w:val="22"/>
        </w:rPr>
      </w:pPr>
      <w:r w:rsidRPr="002742BE">
        <w:rPr>
          <w:rFonts w:ascii="Arial" w:hAnsi="Arial" w:cs="Arial"/>
          <w:b w:val="0"/>
          <w:sz w:val="22"/>
          <w:szCs w:val="22"/>
        </w:rPr>
        <w:t xml:space="preserve">Rivaroxaban showed no genotoxicity potential in bacterial mutagenicity tests, chromosomal aberration assays in Chinese hamster cells or in an </w:t>
      </w:r>
      <w:r w:rsidRPr="002742BE">
        <w:rPr>
          <w:rFonts w:ascii="Arial" w:hAnsi="Arial" w:cs="Arial"/>
          <w:b w:val="0"/>
          <w:i/>
          <w:sz w:val="22"/>
          <w:szCs w:val="22"/>
        </w:rPr>
        <w:t>in vivo</w:t>
      </w:r>
      <w:r w:rsidRPr="002742BE">
        <w:rPr>
          <w:rFonts w:ascii="Arial" w:hAnsi="Arial" w:cs="Arial"/>
          <w:b w:val="0"/>
          <w:sz w:val="22"/>
          <w:szCs w:val="22"/>
        </w:rPr>
        <w:t xml:space="preserve"> mouse micronucleus assay.</w:t>
      </w:r>
    </w:p>
    <w:p w:rsidR="00D11DE4" w:rsidRPr="002742BE" w:rsidRDefault="00D11DE4" w:rsidP="00D11DE4">
      <w:pPr>
        <w:pStyle w:val="Heading2"/>
        <w:spacing w:before="120" w:after="240"/>
        <w:ind w:right="46"/>
        <w:rPr>
          <w:rFonts w:ascii="Arial" w:hAnsi="Arial" w:cs="Arial"/>
          <w:sz w:val="22"/>
        </w:rPr>
      </w:pPr>
      <w:r w:rsidRPr="002742BE">
        <w:rPr>
          <w:rFonts w:ascii="Arial" w:hAnsi="Arial" w:cs="Arial"/>
          <w:sz w:val="22"/>
        </w:rPr>
        <w:t>Effect on Laboratory Tests</w:t>
      </w:r>
    </w:p>
    <w:p w:rsidR="00D11DE4" w:rsidRPr="002742BE" w:rsidRDefault="00D11DE4" w:rsidP="00D11DE4">
      <w:pPr>
        <w:spacing w:before="120" w:after="120"/>
        <w:ind w:right="46"/>
        <w:jc w:val="both"/>
        <w:rPr>
          <w:rFonts w:ascii="Arial" w:hAnsi="Arial" w:cs="Arial"/>
          <w:sz w:val="22"/>
          <w:szCs w:val="22"/>
          <w:lang w:val="en-AU"/>
        </w:rPr>
      </w:pPr>
      <w:r w:rsidRPr="002742BE">
        <w:rPr>
          <w:rFonts w:ascii="Arial" w:hAnsi="Arial" w:cs="Arial"/>
          <w:sz w:val="22"/>
          <w:szCs w:val="22"/>
          <w:lang w:val="en-AU"/>
        </w:rPr>
        <w:t>Xarelto at recommended doses prolongs the global clotting tests prothrombin time (PT), activated partial thromboplastin time (aPTT), HepTest</w:t>
      </w:r>
      <w:r w:rsidRPr="002742BE">
        <w:rPr>
          <w:rFonts w:ascii="Arial" w:hAnsi="Arial" w:cs="Arial"/>
          <w:sz w:val="22"/>
          <w:szCs w:val="22"/>
          <w:vertAlign w:val="superscript"/>
          <w:lang w:val="en-AU"/>
        </w:rPr>
        <w:t>®</w:t>
      </w:r>
      <w:r w:rsidRPr="002742BE">
        <w:rPr>
          <w:rFonts w:ascii="Arial" w:hAnsi="Arial" w:cs="Arial"/>
          <w:sz w:val="22"/>
          <w:szCs w:val="22"/>
          <w:lang w:val="en-AU"/>
        </w:rPr>
        <w:t>, as well as the specific clotting test, anti-Factor Xa activity. PT is influenced by Xarelto in a dose-dependent manner if Neoplastin</w:t>
      </w:r>
      <w:r w:rsidRPr="002742BE">
        <w:rPr>
          <w:rFonts w:ascii="Arial" w:hAnsi="Arial" w:cs="Arial"/>
          <w:sz w:val="22"/>
          <w:szCs w:val="22"/>
          <w:vertAlign w:val="superscript"/>
          <w:lang w:val="en-AU"/>
        </w:rPr>
        <w:t>®</w:t>
      </w:r>
      <w:r w:rsidRPr="002742BE">
        <w:rPr>
          <w:rFonts w:ascii="Arial" w:hAnsi="Arial" w:cs="Arial"/>
          <w:sz w:val="22"/>
          <w:szCs w:val="22"/>
          <w:lang w:val="en-AU"/>
        </w:rPr>
        <w:t xml:space="preserve"> is used for the assay. The 5/95 percentiles of PT (Neoplastin</w:t>
      </w:r>
      <w:r w:rsidRPr="002742BE">
        <w:rPr>
          <w:rFonts w:ascii="Arial" w:hAnsi="Arial" w:cs="Arial"/>
          <w:sz w:val="22"/>
          <w:szCs w:val="22"/>
          <w:vertAlign w:val="superscript"/>
          <w:lang w:val="en-AU"/>
        </w:rPr>
        <w:t>®</w:t>
      </w:r>
      <w:r w:rsidRPr="002742BE">
        <w:rPr>
          <w:rFonts w:ascii="Arial" w:hAnsi="Arial" w:cs="Arial"/>
          <w:sz w:val="22"/>
          <w:szCs w:val="22"/>
          <w:lang w:val="en-AU"/>
        </w:rPr>
        <w:t>) 2 to 4 hours after tablet intake (i.e. at the time of maximum effect) is described in Table 1 (see Pharmacodynamic effects). In case of excessive doses, the PT is expected to be outside of this range. Although aPTT, anti-Factor Xa activity and HepTest</w:t>
      </w:r>
      <w:r w:rsidRPr="002742BE">
        <w:rPr>
          <w:rFonts w:ascii="Arial" w:hAnsi="Arial" w:cs="Arial"/>
          <w:sz w:val="22"/>
          <w:szCs w:val="22"/>
          <w:vertAlign w:val="superscript"/>
          <w:lang w:val="en-AU"/>
        </w:rPr>
        <w:t>®</w:t>
      </w:r>
      <w:r w:rsidRPr="002742BE">
        <w:rPr>
          <w:rFonts w:ascii="Arial" w:hAnsi="Arial" w:cs="Arial"/>
          <w:sz w:val="22"/>
          <w:szCs w:val="22"/>
          <w:lang w:val="en-AU"/>
        </w:rPr>
        <w:t xml:space="preserve"> are also prolonged dose-dependently, none of these reliably assesses the pharmacodynamic effects of Xarelto. </w:t>
      </w:r>
    </w:p>
    <w:p w:rsidR="00D11DE4" w:rsidRPr="002742BE" w:rsidRDefault="00D11DE4" w:rsidP="00D11DE4">
      <w:pPr>
        <w:spacing w:before="120" w:after="120"/>
        <w:ind w:right="46"/>
        <w:jc w:val="both"/>
        <w:rPr>
          <w:rFonts w:ascii="Arial" w:hAnsi="Arial" w:cs="Arial"/>
          <w:sz w:val="22"/>
          <w:szCs w:val="22"/>
          <w:lang w:val="en-AU"/>
        </w:rPr>
      </w:pPr>
      <w:r w:rsidRPr="002742BE">
        <w:rPr>
          <w:rFonts w:ascii="Arial" w:hAnsi="Arial" w:cs="Arial"/>
          <w:sz w:val="22"/>
          <w:szCs w:val="22"/>
          <w:lang w:val="en-AU"/>
        </w:rPr>
        <w:t xml:space="preserve">During any conversion period when warfarin and Xarelto are overlapped, the pharmacodynamic effects of </w:t>
      </w:r>
      <w:r w:rsidR="0032199B">
        <w:rPr>
          <w:rFonts w:ascii="Arial" w:hAnsi="Arial" w:cs="Arial"/>
          <w:sz w:val="22"/>
          <w:szCs w:val="22"/>
          <w:lang w:val="en-AU"/>
        </w:rPr>
        <w:t>rivaroxaban</w:t>
      </w:r>
      <w:r w:rsidR="0032199B" w:rsidRPr="002742BE">
        <w:rPr>
          <w:rFonts w:ascii="Arial" w:hAnsi="Arial" w:cs="Arial"/>
          <w:sz w:val="22"/>
          <w:szCs w:val="22"/>
          <w:lang w:val="en-AU"/>
        </w:rPr>
        <w:t xml:space="preserve"> </w:t>
      </w:r>
      <w:r w:rsidRPr="002742BE">
        <w:rPr>
          <w:rFonts w:ascii="Arial" w:hAnsi="Arial" w:cs="Arial"/>
          <w:sz w:val="22"/>
          <w:szCs w:val="22"/>
          <w:lang w:val="en-AU"/>
        </w:rPr>
        <w:t>can be tested with the anti-Factor Xa activity, PiCT (Prothrombinase-induced Clotting Time), and HepTest</w:t>
      </w:r>
      <w:r w:rsidRPr="002742BE">
        <w:rPr>
          <w:rFonts w:ascii="Arial" w:hAnsi="Arial" w:cs="Arial"/>
          <w:sz w:val="22"/>
          <w:szCs w:val="22"/>
          <w:vertAlign w:val="superscript"/>
          <w:lang w:val="en-AU"/>
        </w:rPr>
        <w:t>®</w:t>
      </w:r>
      <w:r w:rsidRPr="002742BE">
        <w:rPr>
          <w:rFonts w:ascii="Arial" w:hAnsi="Arial" w:cs="Arial"/>
          <w:sz w:val="22"/>
          <w:szCs w:val="22"/>
          <w:lang w:val="en-AU"/>
        </w:rPr>
        <w:t xml:space="preserve"> assays, as these tests were not affected by warfarin. Four days after cessation of warfarin and onwards, all tests (including PT, aPTT, anti-Factor Xa activity and ETP) only reflected the effect of </w:t>
      </w:r>
      <w:r w:rsidR="0032199B">
        <w:rPr>
          <w:rFonts w:ascii="Arial" w:hAnsi="Arial" w:cs="Arial"/>
          <w:sz w:val="22"/>
          <w:szCs w:val="22"/>
          <w:lang w:val="en-AU"/>
        </w:rPr>
        <w:t>rivaroxaban</w:t>
      </w:r>
      <w:r w:rsidR="0032199B" w:rsidRPr="002742BE">
        <w:rPr>
          <w:rFonts w:ascii="Arial" w:hAnsi="Arial" w:cs="Arial"/>
          <w:sz w:val="22"/>
          <w:szCs w:val="22"/>
          <w:lang w:val="en-AU"/>
        </w:rPr>
        <w:t xml:space="preserve"> </w:t>
      </w:r>
      <w:r w:rsidRPr="002742BE">
        <w:rPr>
          <w:rFonts w:ascii="Arial" w:hAnsi="Arial" w:cs="Arial"/>
          <w:sz w:val="22"/>
          <w:szCs w:val="22"/>
          <w:lang w:val="en-AU"/>
        </w:rPr>
        <w:t>(see DOSAGE AND ADMINISTRATION and Pharmacodynamic properties).</w:t>
      </w:r>
    </w:p>
    <w:p w:rsidR="00D11DE4" w:rsidRPr="002742BE" w:rsidRDefault="00D11DE4" w:rsidP="00D11DE4">
      <w:pPr>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INR is not </w:t>
      </w:r>
      <w:r w:rsidR="0032199B">
        <w:rPr>
          <w:rFonts w:ascii="Arial" w:hAnsi="Arial" w:cs="Arial"/>
          <w:sz w:val="22"/>
          <w:szCs w:val="22"/>
          <w:lang w:val="en-AU"/>
        </w:rPr>
        <w:t xml:space="preserve">a </w:t>
      </w:r>
      <w:r w:rsidRPr="002742BE">
        <w:rPr>
          <w:rFonts w:ascii="Arial" w:hAnsi="Arial" w:cs="Arial"/>
          <w:sz w:val="22"/>
          <w:szCs w:val="22"/>
          <w:lang w:val="en-AU"/>
        </w:rPr>
        <w:t>valid measure</w:t>
      </w:r>
      <w:r w:rsidR="0032199B">
        <w:rPr>
          <w:rFonts w:ascii="Arial" w:hAnsi="Arial" w:cs="Arial"/>
          <w:sz w:val="22"/>
          <w:szCs w:val="22"/>
          <w:lang w:val="en-AU"/>
        </w:rPr>
        <w:t xml:space="preserve"> for</w:t>
      </w:r>
      <w:r w:rsidRPr="002742BE">
        <w:rPr>
          <w:rFonts w:ascii="Arial" w:hAnsi="Arial" w:cs="Arial"/>
          <w:sz w:val="22"/>
          <w:szCs w:val="22"/>
          <w:lang w:val="en-AU"/>
        </w:rPr>
        <w:t xml:space="preserve"> the anticoagulant activity of </w:t>
      </w:r>
      <w:r w:rsidR="0032199B">
        <w:rPr>
          <w:rFonts w:ascii="Arial" w:hAnsi="Arial" w:cs="Arial"/>
          <w:sz w:val="22"/>
          <w:szCs w:val="22"/>
          <w:lang w:val="en-AU"/>
        </w:rPr>
        <w:t>rivaroxaban</w:t>
      </w:r>
      <w:r w:rsidRPr="002742BE">
        <w:rPr>
          <w:rFonts w:ascii="Arial" w:hAnsi="Arial" w:cs="Arial"/>
          <w:sz w:val="22"/>
          <w:szCs w:val="22"/>
          <w:lang w:val="en-AU"/>
        </w:rPr>
        <w:t xml:space="preserve">, and therefore should not be used.  If measurement of rivaroxaban exposure is required in special clinical situations (such as suspected overdose, or emergency settings), both prothrombin time and chromogenic anti-Factor Xa  assays using validated rivaroxaban calibrators and controls have the potential to assess rivaroxaban plasma concentrations gravimetrically (ng/mL or µg/L). The pharmacokinetic profile of rivaroxaban has to be taken into account when interpreting results of these tests. </w:t>
      </w:r>
    </w:p>
    <w:p w:rsidR="00D11DE4" w:rsidRPr="002742BE" w:rsidRDefault="00D11DE4" w:rsidP="00D11DE4">
      <w:pPr>
        <w:pStyle w:val="Heading2"/>
        <w:spacing w:before="120" w:after="240"/>
        <w:ind w:right="45"/>
        <w:rPr>
          <w:rFonts w:ascii="Arial" w:hAnsi="Arial" w:cs="Arial"/>
          <w:noProof/>
          <w:sz w:val="22"/>
        </w:rPr>
      </w:pPr>
      <w:r w:rsidRPr="002742BE">
        <w:rPr>
          <w:rFonts w:ascii="Arial" w:hAnsi="Arial" w:cs="Arial"/>
          <w:noProof/>
          <w:sz w:val="22"/>
        </w:rPr>
        <w:lastRenderedPageBreak/>
        <w:t>Effects on ability to drive and use machines</w:t>
      </w:r>
    </w:p>
    <w:p w:rsidR="00D11DE4" w:rsidRPr="002742BE" w:rsidRDefault="00D11DE4" w:rsidP="00D11DE4">
      <w:pPr>
        <w:spacing w:before="120" w:after="240"/>
        <w:ind w:right="46"/>
        <w:jc w:val="both"/>
        <w:rPr>
          <w:rFonts w:ascii="Arial" w:hAnsi="Arial" w:cs="Arial"/>
          <w:sz w:val="22"/>
          <w:szCs w:val="22"/>
          <w:lang w:val="en-AU"/>
        </w:rPr>
      </w:pPr>
      <w:r w:rsidRPr="002742BE">
        <w:rPr>
          <w:rFonts w:ascii="Arial" w:hAnsi="Arial" w:cs="Arial"/>
          <w:sz w:val="22"/>
          <w:szCs w:val="22"/>
          <w:lang w:val="en-AU"/>
        </w:rPr>
        <w:t>Syncope and dizziness have been reported and may affect the ability to drive and use machines (see</w:t>
      </w:r>
      <w:r w:rsidRPr="002742BE">
        <w:rPr>
          <w:rFonts w:ascii="Arial" w:hAnsi="Arial" w:cs="Arial"/>
          <w:i/>
          <w:sz w:val="22"/>
          <w:szCs w:val="22"/>
          <w:lang w:val="en-AU"/>
        </w:rPr>
        <w:t xml:space="preserve"> </w:t>
      </w:r>
      <w:r w:rsidRPr="002742BE">
        <w:rPr>
          <w:rFonts w:ascii="Arial" w:hAnsi="Arial" w:cs="Arial"/>
          <w:sz w:val="22"/>
          <w:szCs w:val="22"/>
          <w:lang w:val="en-AU"/>
        </w:rPr>
        <w:t>ADVERSE EFFECTS). Patients experiencing these adverse reactions should not drive or use machines.</w:t>
      </w:r>
    </w:p>
    <w:p w:rsidR="001D1004" w:rsidRPr="002742BE" w:rsidRDefault="00290EC1" w:rsidP="003652FC">
      <w:pPr>
        <w:pStyle w:val="Heading1"/>
        <w:spacing w:before="120" w:after="120"/>
        <w:ind w:right="45"/>
        <w:rPr>
          <w:rFonts w:ascii="Arial" w:hAnsi="Arial" w:cs="Arial"/>
          <w:sz w:val="24"/>
        </w:rPr>
      </w:pPr>
      <w:r w:rsidRPr="002742BE">
        <w:rPr>
          <w:rFonts w:ascii="Arial" w:hAnsi="Arial" w:cs="Arial"/>
          <w:sz w:val="24"/>
        </w:rPr>
        <w:t>INTERACTIONS WITH OTHER MEDICINES</w:t>
      </w:r>
    </w:p>
    <w:p w:rsidR="001D1004" w:rsidRPr="002742BE" w:rsidRDefault="001D1004" w:rsidP="003652FC">
      <w:pPr>
        <w:pStyle w:val="Heading3"/>
        <w:tabs>
          <w:tab w:val="left" w:pos="567"/>
        </w:tabs>
        <w:spacing w:before="120" w:after="120"/>
        <w:ind w:right="45"/>
        <w:rPr>
          <w:rFonts w:ascii="Arial" w:hAnsi="Arial" w:cs="Arial"/>
          <w:bCs w:val="0"/>
          <w:spacing w:val="-4"/>
          <w:sz w:val="22"/>
          <w:szCs w:val="22"/>
          <w:lang w:val="en-AU"/>
        </w:rPr>
      </w:pPr>
      <w:bookmarkStart w:id="14" w:name="_Toc180211514"/>
      <w:r w:rsidRPr="002742BE">
        <w:rPr>
          <w:rFonts w:ascii="Arial" w:hAnsi="Arial" w:cs="Arial"/>
          <w:bCs w:val="0"/>
          <w:spacing w:val="-4"/>
          <w:sz w:val="22"/>
          <w:szCs w:val="22"/>
          <w:lang w:val="en-AU"/>
        </w:rPr>
        <w:t>Pharmacokinetic interactions</w:t>
      </w:r>
      <w:bookmarkEnd w:id="14"/>
    </w:p>
    <w:p w:rsidR="001D1004" w:rsidRPr="002742BE" w:rsidRDefault="001D1004" w:rsidP="003652FC">
      <w:pPr>
        <w:pStyle w:val="BodyText2"/>
        <w:spacing w:before="120" w:after="120"/>
        <w:ind w:right="45"/>
        <w:rPr>
          <w:rFonts w:ascii="Arial" w:hAnsi="Arial" w:cs="Arial"/>
          <w:b w:val="0"/>
          <w:sz w:val="22"/>
          <w:szCs w:val="22"/>
        </w:rPr>
      </w:pPr>
      <w:r w:rsidRPr="002742BE">
        <w:rPr>
          <w:rFonts w:ascii="Arial" w:hAnsi="Arial" w:cs="Arial"/>
          <w:b w:val="0"/>
          <w:sz w:val="22"/>
          <w:szCs w:val="22"/>
        </w:rPr>
        <w:t>Rivaroxaban is cleared mainly via cytochrome P450-mediated (CYP 3A4, CYP 2J2) hepatic metabo</w:t>
      </w:r>
      <w:r w:rsidRPr="002742BE">
        <w:rPr>
          <w:rFonts w:ascii="Arial" w:hAnsi="Arial" w:cs="Arial"/>
          <w:b w:val="0"/>
          <w:sz w:val="22"/>
          <w:szCs w:val="22"/>
        </w:rPr>
        <w:softHyphen/>
        <w:t>lism and renal excretion of the unchanged drug, involving the P-glyco</w:t>
      </w:r>
      <w:r w:rsidRPr="002742BE">
        <w:rPr>
          <w:rFonts w:ascii="Arial" w:hAnsi="Arial" w:cs="Arial"/>
          <w:b w:val="0"/>
          <w:sz w:val="22"/>
          <w:szCs w:val="22"/>
        </w:rPr>
        <w:softHyphen/>
        <w:t>pro</w:t>
      </w:r>
      <w:r w:rsidRPr="002742BE">
        <w:rPr>
          <w:rFonts w:ascii="Arial" w:hAnsi="Arial" w:cs="Arial"/>
          <w:b w:val="0"/>
          <w:sz w:val="22"/>
          <w:szCs w:val="22"/>
        </w:rPr>
        <w:softHyphen/>
        <w:t>tein (P</w:t>
      </w:r>
      <w:r w:rsidRPr="002742BE">
        <w:rPr>
          <w:rFonts w:ascii="Arial" w:hAnsi="Arial" w:cs="Arial"/>
          <w:b w:val="0"/>
          <w:sz w:val="22"/>
          <w:szCs w:val="22"/>
        </w:rPr>
        <w:noBreakHyphen/>
        <w:t>gp) / breast cancer resistance protein (Bcrp) transporter systems.</w:t>
      </w:r>
    </w:p>
    <w:p w:rsidR="001D1004" w:rsidRPr="002742BE" w:rsidRDefault="001D1004" w:rsidP="00F04C47">
      <w:pPr>
        <w:pStyle w:val="Heading4"/>
        <w:spacing w:before="120" w:after="120"/>
        <w:ind w:right="46"/>
        <w:jc w:val="both"/>
        <w:rPr>
          <w:rFonts w:ascii="Arial" w:hAnsi="Arial" w:cs="Arial"/>
          <w:b w:val="0"/>
          <w:bCs w:val="0"/>
          <w:i/>
          <w:spacing w:val="-4"/>
          <w:sz w:val="22"/>
          <w:szCs w:val="22"/>
          <w:lang w:val="en-AU"/>
        </w:rPr>
      </w:pPr>
      <w:r w:rsidRPr="002742BE">
        <w:rPr>
          <w:rFonts w:ascii="Arial" w:hAnsi="Arial" w:cs="Arial"/>
          <w:b w:val="0"/>
          <w:bCs w:val="0"/>
          <w:i/>
          <w:spacing w:val="-4"/>
          <w:sz w:val="22"/>
          <w:szCs w:val="22"/>
          <w:lang w:val="en-AU"/>
        </w:rPr>
        <w:t>CYP Inhibition</w:t>
      </w:r>
    </w:p>
    <w:p w:rsidR="001D1004" w:rsidRPr="002742BE" w:rsidRDefault="001D1004" w:rsidP="00F04C47">
      <w:pPr>
        <w:pStyle w:val="BodyText2"/>
        <w:spacing w:before="120" w:after="120"/>
        <w:ind w:right="46"/>
        <w:rPr>
          <w:rFonts w:ascii="Arial" w:hAnsi="Arial" w:cs="Arial"/>
          <w:b w:val="0"/>
          <w:sz w:val="22"/>
          <w:szCs w:val="22"/>
        </w:rPr>
      </w:pPr>
      <w:r w:rsidRPr="002742BE">
        <w:rPr>
          <w:rFonts w:ascii="Arial" w:hAnsi="Arial" w:cs="Arial"/>
          <w:b w:val="0"/>
          <w:sz w:val="22"/>
          <w:szCs w:val="22"/>
        </w:rPr>
        <w:t>Rivaroxaban does not inhibit CYP 3A4 or any other major CYP isoforms.</w:t>
      </w:r>
    </w:p>
    <w:p w:rsidR="001D1004" w:rsidRPr="002742BE" w:rsidRDefault="001D1004" w:rsidP="00F04C47">
      <w:pPr>
        <w:pStyle w:val="Heading4"/>
        <w:spacing w:before="120" w:after="120"/>
        <w:ind w:right="46"/>
        <w:jc w:val="both"/>
        <w:rPr>
          <w:rFonts w:ascii="Arial" w:hAnsi="Arial" w:cs="Arial"/>
          <w:b w:val="0"/>
          <w:bCs w:val="0"/>
          <w:i/>
          <w:spacing w:val="-4"/>
          <w:sz w:val="22"/>
          <w:szCs w:val="22"/>
          <w:lang w:val="en-AU"/>
        </w:rPr>
      </w:pPr>
      <w:r w:rsidRPr="002742BE">
        <w:rPr>
          <w:rFonts w:ascii="Arial" w:hAnsi="Arial" w:cs="Arial"/>
          <w:b w:val="0"/>
          <w:bCs w:val="0"/>
          <w:i/>
          <w:spacing w:val="-4"/>
          <w:sz w:val="22"/>
          <w:szCs w:val="22"/>
          <w:lang w:val="en-AU"/>
        </w:rPr>
        <w:t>CYP Induction</w:t>
      </w:r>
    </w:p>
    <w:p w:rsidR="001D1004" w:rsidRPr="002742BE" w:rsidRDefault="001D1004" w:rsidP="00F04C47">
      <w:pPr>
        <w:pStyle w:val="BodyText2"/>
        <w:spacing w:before="120" w:after="120"/>
        <w:ind w:right="46"/>
        <w:rPr>
          <w:rFonts w:ascii="Arial" w:hAnsi="Arial" w:cs="Arial"/>
          <w:b w:val="0"/>
          <w:sz w:val="22"/>
          <w:szCs w:val="22"/>
        </w:rPr>
      </w:pPr>
      <w:r w:rsidRPr="002742BE">
        <w:rPr>
          <w:rFonts w:ascii="Arial" w:hAnsi="Arial" w:cs="Arial"/>
          <w:b w:val="0"/>
          <w:sz w:val="22"/>
          <w:szCs w:val="22"/>
        </w:rPr>
        <w:t>Rivaroxaban does not induce CYP 3A4 or any other major CYP isoforms.</w:t>
      </w:r>
    </w:p>
    <w:p w:rsidR="001D1004" w:rsidRPr="002742BE" w:rsidRDefault="001D1004" w:rsidP="00F04C47">
      <w:pPr>
        <w:pStyle w:val="Heading4"/>
        <w:spacing w:after="120" w:line="300" w:lineRule="atLeast"/>
        <w:ind w:right="46"/>
        <w:jc w:val="both"/>
        <w:rPr>
          <w:rFonts w:ascii="Arial" w:hAnsi="Arial" w:cs="Arial"/>
          <w:b w:val="0"/>
          <w:bCs w:val="0"/>
          <w:i/>
          <w:spacing w:val="-4"/>
          <w:sz w:val="22"/>
          <w:szCs w:val="22"/>
          <w:u w:val="single"/>
          <w:lang w:val="en-AU"/>
        </w:rPr>
      </w:pPr>
      <w:r w:rsidRPr="002742BE">
        <w:rPr>
          <w:rFonts w:ascii="Arial" w:hAnsi="Arial" w:cs="Arial"/>
          <w:b w:val="0"/>
          <w:bCs w:val="0"/>
          <w:i/>
          <w:spacing w:val="-4"/>
          <w:sz w:val="22"/>
          <w:szCs w:val="22"/>
          <w:u w:val="single"/>
          <w:lang w:val="en-AU"/>
        </w:rPr>
        <w:t>Effects on rivaroxaban</w:t>
      </w:r>
    </w:p>
    <w:p w:rsidR="008D5C56" w:rsidRPr="002742BE" w:rsidRDefault="007812E5" w:rsidP="009F7DBF">
      <w:pPr>
        <w:pStyle w:val="BodyText2"/>
        <w:numPr>
          <w:ilvl w:val="0"/>
          <w:numId w:val="5"/>
        </w:numPr>
        <w:tabs>
          <w:tab w:val="clear" w:pos="1440"/>
          <w:tab w:val="num" w:pos="540"/>
        </w:tabs>
        <w:spacing w:before="120" w:after="120" w:line="300" w:lineRule="atLeast"/>
        <w:ind w:left="0" w:right="46" w:firstLine="0"/>
        <w:rPr>
          <w:rFonts w:ascii="Arial" w:hAnsi="Arial" w:cs="Arial"/>
          <w:b w:val="0"/>
          <w:i/>
          <w:sz w:val="22"/>
          <w:szCs w:val="22"/>
        </w:rPr>
      </w:pPr>
      <w:r w:rsidRPr="002742BE">
        <w:rPr>
          <w:rFonts w:ascii="Arial" w:hAnsi="Arial" w:cs="Arial"/>
          <w:b w:val="0"/>
          <w:i/>
          <w:sz w:val="22"/>
          <w:szCs w:val="22"/>
        </w:rPr>
        <w:t>St</w:t>
      </w:r>
      <w:r w:rsidR="008D5C56" w:rsidRPr="002742BE">
        <w:rPr>
          <w:rFonts w:ascii="Arial" w:hAnsi="Arial" w:cs="Arial"/>
          <w:b w:val="0"/>
          <w:i/>
          <w:sz w:val="22"/>
          <w:szCs w:val="22"/>
        </w:rPr>
        <w:t>rong</w:t>
      </w:r>
      <w:r w:rsidR="00734B2C" w:rsidRPr="002742BE">
        <w:rPr>
          <w:rFonts w:ascii="Arial" w:hAnsi="Arial" w:cs="Arial"/>
          <w:b w:val="0"/>
          <w:i/>
          <w:sz w:val="22"/>
          <w:szCs w:val="22"/>
        </w:rPr>
        <w:t xml:space="preserve"> inhibitors of both</w:t>
      </w:r>
      <w:r w:rsidR="008D5C56" w:rsidRPr="002742BE">
        <w:rPr>
          <w:rFonts w:ascii="Arial" w:hAnsi="Arial" w:cs="Arial"/>
          <w:b w:val="0"/>
          <w:i/>
          <w:sz w:val="22"/>
          <w:szCs w:val="22"/>
        </w:rPr>
        <w:t xml:space="preserve"> CYP3A4 and P-gp</w:t>
      </w:r>
    </w:p>
    <w:p w:rsidR="001D1004" w:rsidRPr="002742BE" w:rsidRDefault="001D1004" w:rsidP="002A2DF8">
      <w:pPr>
        <w:pStyle w:val="BodyText2"/>
        <w:spacing w:before="120" w:after="120"/>
        <w:ind w:right="46"/>
        <w:rPr>
          <w:rFonts w:ascii="Arial" w:hAnsi="Arial" w:cs="Arial"/>
          <w:b w:val="0"/>
          <w:sz w:val="22"/>
          <w:szCs w:val="22"/>
        </w:rPr>
      </w:pPr>
      <w:r w:rsidRPr="002742BE">
        <w:rPr>
          <w:rFonts w:ascii="Arial" w:hAnsi="Arial" w:cs="Arial"/>
          <w:b w:val="0"/>
          <w:sz w:val="22"/>
          <w:szCs w:val="22"/>
        </w:rPr>
        <w:t xml:space="preserve">The concomitant use of </w:t>
      </w:r>
      <w:r w:rsidR="00E8487E" w:rsidRPr="002742BE">
        <w:rPr>
          <w:rFonts w:ascii="Arial" w:hAnsi="Arial" w:cs="Arial"/>
          <w:b w:val="0"/>
          <w:sz w:val="22"/>
          <w:szCs w:val="22"/>
        </w:rPr>
        <w:t xml:space="preserve">Xarelto </w:t>
      </w:r>
      <w:r w:rsidRPr="002742BE">
        <w:rPr>
          <w:rFonts w:ascii="Arial" w:hAnsi="Arial" w:cs="Arial"/>
          <w:b w:val="0"/>
          <w:sz w:val="22"/>
          <w:szCs w:val="22"/>
        </w:rPr>
        <w:t xml:space="preserve">with </w:t>
      </w:r>
      <w:r w:rsidR="004E0911" w:rsidRPr="002742BE">
        <w:rPr>
          <w:rFonts w:ascii="Arial" w:hAnsi="Arial" w:cs="Arial"/>
          <w:b w:val="0"/>
          <w:sz w:val="22"/>
          <w:szCs w:val="22"/>
        </w:rPr>
        <w:t xml:space="preserve">substances </w:t>
      </w:r>
      <w:r w:rsidR="00854EED" w:rsidRPr="002742BE">
        <w:rPr>
          <w:rFonts w:ascii="Arial" w:hAnsi="Arial" w:cs="Arial"/>
          <w:b w:val="0"/>
          <w:sz w:val="22"/>
          <w:szCs w:val="22"/>
        </w:rPr>
        <w:t xml:space="preserve">that </w:t>
      </w:r>
      <w:r w:rsidRPr="002742BE">
        <w:rPr>
          <w:rFonts w:ascii="Arial" w:hAnsi="Arial" w:cs="Arial"/>
          <w:b w:val="0"/>
          <w:sz w:val="22"/>
          <w:szCs w:val="22"/>
        </w:rPr>
        <w:t>strong</w:t>
      </w:r>
      <w:r w:rsidR="004E0911" w:rsidRPr="002742BE">
        <w:rPr>
          <w:rFonts w:ascii="Arial" w:hAnsi="Arial" w:cs="Arial"/>
          <w:b w:val="0"/>
          <w:sz w:val="22"/>
          <w:szCs w:val="22"/>
        </w:rPr>
        <w:t>ly inhibit both</w:t>
      </w:r>
      <w:r w:rsidRPr="002742BE">
        <w:rPr>
          <w:rFonts w:ascii="Arial" w:hAnsi="Arial" w:cs="Arial"/>
          <w:b w:val="0"/>
          <w:sz w:val="22"/>
          <w:szCs w:val="22"/>
        </w:rPr>
        <w:t xml:space="preserve"> CYP 3A4 and P</w:t>
      </w:r>
      <w:r w:rsidRPr="002742BE">
        <w:rPr>
          <w:rFonts w:ascii="Arial" w:hAnsi="Arial" w:cs="Arial"/>
          <w:b w:val="0"/>
          <w:sz w:val="22"/>
          <w:szCs w:val="22"/>
        </w:rPr>
        <w:noBreakHyphen/>
        <w:t>gp may lead to reduced hepatic and renal clearance and thus significantly increased systemic exposure</w:t>
      </w:r>
      <w:r w:rsidR="00862AC7" w:rsidRPr="002742BE">
        <w:rPr>
          <w:rFonts w:ascii="Arial" w:hAnsi="Arial" w:cs="Arial"/>
          <w:b w:val="0"/>
          <w:sz w:val="22"/>
          <w:szCs w:val="22"/>
        </w:rPr>
        <w:t xml:space="preserve"> of rivaroxaban</w:t>
      </w:r>
      <w:r w:rsidRPr="002742BE">
        <w:rPr>
          <w:rFonts w:ascii="Arial" w:hAnsi="Arial" w:cs="Arial"/>
          <w:b w:val="0"/>
          <w:sz w:val="22"/>
          <w:szCs w:val="22"/>
        </w:rPr>
        <w:t>.</w:t>
      </w:r>
    </w:p>
    <w:p w:rsidR="001D1004" w:rsidRPr="002742BE" w:rsidRDefault="001D1004" w:rsidP="00834736">
      <w:pPr>
        <w:pStyle w:val="BayerBodytext"/>
        <w:widowControl/>
        <w:spacing w:before="120" w:after="120" w:line="240" w:lineRule="auto"/>
        <w:ind w:left="0" w:right="46"/>
        <w:rPr>
          <w:rFonts w:ascii="Arial" w:hAnsi="Arial" w:cs="Arial"/>
          <w:sz w:val="22"/>
          <w:szCs w:val="22"/>
          <w:lang w:val="en-AU"/>
        </w:rPr>
      </w:pPr>
      <w:r w:rsidRPr="002742BE">
        <w:rPr>
          <w:rFonts w:ascii="Arial" w:hAnsi="Arial" w:cs="Arial"/>
          <w:snapToGrid w:val="0"/>
          <w:sz w:val="22"/>
          <w:szCs w:val="22"/>
          <w:lang w:val="en-AU"/>
        </w:rPr>
        <w:t xml:space="preserve">Co-administration of </w:t>
      </w:r>
      <w:r w:rsidR="00E8487E" w:rsidRPr="002742BE">
        <w:rPr>
          <w:rFonts w:ascii="Arial" w:hAnsi="Arial" w:cs="Arial"/>
          <w:snapToGrid w:val="0"/>
          <w:sz w:val="22"/>
          <w:szCs w:val="22"/>
          <w:lang w:val="en-AU"/>
        </w:rPr>
        <w:t xml:space="preserve">Xarelto </w:t>
      </w:r>
      <w:r w:rsidRPr="002742BE">
        <w:rPr>
          <w:rFonts w:ascii="Arial" w:hAnsi="Arial" w:cs="Arial"/>
          <w:snapToGrid w:val="0"/>
          <w:sz w:val="22"/>
          <w:szCs w:val="22"/>
          <w:lang w:val="en-AU"/>
        </w:rPr>
        <w:t>with the azole-antimycotic ketoconazole (400 mg od), a strong CYP 3A4 </w:t>
      </w:r>
      <w:r w:rsidRPr="002742BE">
        <w:rPr>
          <w:rFonts w:ascii="Arial" w:hAnsi="Arial" w:cs="Arial"/>
          <w:sz w:val="22"/>
          <w:szCs w:val="22"/>
          <w:lang w:val="en-AU"/>
        </w:rPr>
        <w:t>and P</w:t>
      </w:r>
      <w:r w:rsidRPr="002742BE">
        <w:rPr>
          <w:rFonts w:ascii="Arial" w:hAnsi="Arial" w:cs="Arial"/>
          <w:sz w:val="22"/>
          <w:szCs w:val="22"/>
          <w:lang w:val="en-AU"/>
        </w:rPr>
        <w:noBreakHyphen/>
        <w:t>gp</w:t>
      </w:r>
      <w:r w:rsidRPr="002742BE">
        <w:rPr>
          <w:rFonts w:ascii="Arial" w:hAnsi="Arial" w:cs="Arial"/>
          <w:snapToGrid w:val="0"/>
          <w:sz w:val="22"/>
          <w:szCs w:val="22"/>
          <w:lang w:val="en-AU"/>
        </w:rPr>
        <w:t xml:space="preserve"> inhibitor,</w:t>
      </w:r>
      <w:r w:rsidRPr="002742BE">
        <w:rPr>
          <w:rFonts w:ascii="Arial" w:hAnsi="Arial" w:cs="Arial"/>
          <w:sz w:val="22"/>
          <w:szCs w:val="22"/>
          <w:lang w:val="en-AU"/>
        </w:rPr>
        <w:t xml:space="preserve"> </w:t>
      </w:r>
      <w:r w:rsidRPr="002742BE">
        <w:rPr>
          <w:rFonts w:ascii="Arial" w:hAnsi="Arial" w:cs="Arial"/>
          <w:snapToGrid w:val="0"/>
          <w:sz w:val="22"/>
          <w:szCs w:val="22"/>
          <w:lang w:val="en-AU"/>
        </w:rPr>
        <w:t>led to a 2.6</w:t>
      </w:r>
      <w:r w:rsidRPr="002742BE">
        <w:rPr>
          <w:rFonts w:ascii="Arial" w:hAnsi="Arial" w:cs="Arial"/>
          <w:snapToGrid w:val="0"/>
          <w:sz w:val="22"/>
          <w:szCs w:val="22"/>
          <w:lang w:val="en-AU"/>
        </w:rPr>
        <w:noBreakHyphen/>
        <w:t>fold increase in mean rivaroxaban steady state AUC and a 1.7</w:t>
      </w:r>
      <w:r w:rsidRPr="002742BE">
        <w:rPr>
          <w:rFonts w:ascii="Arial" w:hAnsi="Arial" w:cs="Arial"/>
          <w:snapToGrid w:val="0"/>
          <w:sz w:val="22"/>
          <w:szCs w:val="22"/>
          <w:lang w:val="en-AU"/>
        </w:rPr>
        <w:noBreakHyphen/>
        <w:t>fold in</w:t>
      </w:r>
      <w:r w:rsidRPr="002742BE">
        <w:rPr>
          <w:rFonts w:ascii="Arial" w:hAnsi="Arial" w:cs="Arial"/>
          <w:snapToGrid w:val="0"/>
          <w:sz w:val="22"/>
          <w:szCs w:val="22"/>
          <w:lang w:val="en-AU"/>
        </w:rPr>
        <w:softHyphen/>
        <w:t>crease in mean rivaroxaban C</w:t>
      </w:r>
      <w:r w:rsidRPr="002742BE">
        <w:rPr>
          <w:rFonts w:ascii="Arial" w:hAnsi="Arial" w:cs="Arial"/>
          <w:snapToGrid w:val="0"/>
          <w:sz w:val="22"/>
          <w:szCs w:val="22"/>
          <w:vertAlign w:val="subscript"/>
          <w:lang w:val="en-AU"/>
        </w:rPr>
        <w:t>max</w:t>
      </w:r>
      <w:r w:rsidRPr="002742BE">
        <w:rPr>
          <w:rFonts w:ascii="Arial" w:hAnsi="Arial" w:cs="Arial"/>
          <w:snapToGrid w:val="0"/>
          <w:sz w:val="22"/>
          <w:szCs w:val="22"/>
          <w:lang w:val="en-AU"/>
        </w:rPr>
        <w:t>, with significant increases in its pharmaco</w:t>
      </w:r>
      <w:r w:rsidRPr="002742BE">
        <w:rPr>
          <w:rFonts w:ascii="Arial" w:hAnsi="Arial" w:cs="Arial"/>
          <w:snapToGrid w:val="0"/>
          <w:sz w:val="22"/>
          <w:szCs w:val="22"/>
          <w:lang w:val="en-AU"/>
        </w:rPr>
        <w:softHyphen/>
        <w:t>dy</w:t>
      </w:r>
      <w:r w:rsidRPr="002742BE">
        <w:rPr>
          <w:rFonts w:ascii="Arial" w:hAnsi="Arial" w:cs="Arial"/>
          <w:snapToGrid w:val="0"/>
          <w:sz w:val="22"/>
          <w:szCs w:val="22"/>
          <w:lang w:val="en-AU"/>
        </w:rPr>
        <w:softHyphen/>
        <w:t>namic effects</w:t>
      </w:r>
      <w:r w:rsidRPr="002742BE">
        <w:rPr>
          <w:rFonts w:ascii="Arial" w:hAnsi="Arial" w:cs="Arial"/>
          <w:sz w:val="22"/>
          <w:szCs w:val="22"/>
          <w:lang w:val="en-AU"/>
        </w:rPr>
        <w:t>.</w:t>
      </w:r>
    </w:p>
    <w:p w:rsidR="001D1004" w:rsidRPr="002742BE" w:rsidRDefault="001D1004" w:rsidP="00C56E4B">
      <w:pPr>
        <w:pStyle w:val="BayerBodytext"/>
        <w:widowControl/>
        <w:spacing w:before="120" w:after="120" w:line="240" w:lineRule="auto"/>
        <w:ind w:left="0" w:right="46"/>
        <w:rPr>
          <w:rFonts w:ascii="Arial" w:hAnsi="Arial" w:cs="Arial"/>
          <w:sz w:val="22"/>
          <w:szCs w:val="22"/>
          <w:lang w:val="en-AU"/>
        </w:rPr>
      </w:pPr>
      <w:r w:rsidRPr="002742BE">
        <w:rPr>
          <w:rFonts w:ascii="Arial" w:hAnsi="Arial" w:cs="Arial"/>
          <w:sz w:val="22"/>
          <w:szCs w:val="22"/>
          <w:lang w:val="en-AU"/>
        </w:rPr>
        <w:t xml:space="preserve">Co-administration of </w:t>
      </w:r>
      <w:r w:rsidR="00E8487E" w:rsidRPr="002742BE">
        <w:rPr>
          <w:rFonts w:ascii="Arial" w:hAnsi="Arial" w:cs="Arial"/>
          <w:sz w:val="22"/>
          <w:szCs w:val="22"/>
          <w:lang w:val="en-AU"/>
        </w:rPr>
        <w:t xml:space="preserve">Xarelto </w:t>
      </w:r>
      <w:r w:rsidRPr="002742BE">
        <w:rPr>
          <w:rFonts w:ascii="Arial" w:hAnsi="Arial" w:cs="Arial"/>
          <w:sz w:val="22"/>
          <w:szCs w:val="22"/>
          <w:lang w:val="en-AU"/>
        </w:rPr>
        <w:t xml:space="preserve">with the HIV protease inhibitor ritonavir (600 mg bid), a </w:t>
      </w:r>
      <w:r w:rsidRPr="002742BE">
        <w:rPr>
          <w:rFonts w:ascii="Arial" w:hAnsi="Arial" w:cs="Arial"/>
          <w:snapToGrid w:val="0"/>
          <w:sz w:val="22"/>
          <w:szCs w:val="22"/>
          <w:lang w:val="en-AU"/>
        </w:rPr>
        <w:t xml:space="preserve">strong </w:t>
      </w:r>
      <w:r w:rsidRPr="002742BE">
        <w:rPr>
          <w:rFonts w:ascii="Arial" w:hAnsi="Arial" w:cs="Arial"/>
          <w:sz w:val="22"/>
          <w:szCs w:val="22"/>
          <w:lang w:val="en-AU"/>
        </w:rPr>
        <w:t>CYP 3A4 and P</w:t>
      </w:r>
      <w:r w:rsidRPr="002742BE">
        <w:rPr>
          <w:rFonts w:ascii="Arial" w:hAnsi="Arial" w:cs="Arial"/>
          <w:sz w:val="22"/>
          <w:szCs w:val="22"/>
          <w:lang w:val="en-AU"/>
        </w:rPr>
        <w:noBreakHyphen/>
        <w:t>gp inhibitor, led to a 2.5</w:t>
      </w:r>
      <w:r w:rsidRPr="002742BE">
        <w:rPr>
          <w:rFonts w:ascii="Arial" w:hAnsi="Arial" w:cs="Arial"/>
          <w:sz w:val="22"/>
          <w:szCs w:val="22"/>
          <w:lang w:val="en-AU"/>
        </w:rPr>
        <w:noBreakHyphen/>
        <w:t>fold increase in mean rivaroxaban AUC and a 1.6</w:t>
      </w:r>
      <w:r w:rsidRPr="002742BE">
        <w:rPr>
          <w:rFonts w:ascii="Arial" w:hAnsi="Arial" w:cs="Arial"/>
          <w:sz w:val="22"/>
          <w:szCs w:val="22"/>
          <w:lang w:val="en-AU"/>
        </w:rPr>
        <w:noBreakHyphen/>
        <w:t>fold in</w:t>
      </w:r>
      <w:r w:rsidRPr="002742BE">
        <w:rPr>
          <w:rFonts w:ascii="Arial" w:hAnsi="Arial" w:cs="Arial"/>
          <w:sz w:val="22"/>
          <w:szCs w:val="22"/>
          <w:lang w:val="en-AU"/>
        </w:rPr>
        <w:softHyphen/>
        <w:t>crease in mean riva</w:t>
      </w:r>
      <w:r w:rsidRPr="002742BE">
        <w:rPr>
          <w:rFonts w:ascii="Arial" w:hAnsi="Arial" w:cs="Arial"/>
          <w:sz w:val="22"/>
          <w:szCs w:val="22"/>
          <w:lang w:val="en-AU"/>
        </w:rPr>
        <w:softHyphen/>
        <w:t>roxaban C</w:t>
      </w:r>
      <w:r w:rsidRPr="002742BE">
        <w:rPr>
          <w:rFonts w:ascii="Arial" w:hAnsi="Arial" w:cs="Arial"/>
          <w:sz w:val="22"/>
          <w:szCs w:val="22"/>
          <w:vertAlign w:val="subscript"/>
          <w:lang w:val="en-AU"/>
        </w:rPr>
        <w:t>max</w:t>
      </w:r>
      <w:r w:rsidRPr="002742BE">
        <w:rPr>
          <w:rFonts w:ascii="Arial" w:hAnsi="Arial" w:cs="Arial"/>
          <w:snapToGrid w:val="0"/>
          <w:sz w:val="22"/>
          <w:szCs w:val="22"/>
          <w:lang w:val="en-AU"/>
        </w:rPr>
        <w:t>, with significant increases in its pharma</w:t>
      </w:r>
      <w:r w:rsidRPr="002742BE">
        <w:rPr>
          <w:rFonts w:ascii="Arial" w:hAnsi="Arial" w:cs="Arial"/>
          <w:snapToGrid w:val="0"/>
          <w:sz w:val="22"/>
          <w:szCs w:val="22"/>
          <w:lang w:val="en-AU"/>
        </w:rPr>
        <w:softHyphen/>
        <w:t>codynamic effects</w:t>
      </w:r>
      <w:r w:rsidRPr="002742BE">
        <w:rPr>
          <w:rFonts w:ascii="Arial" w:hAnsi="Arial" w:cs="Arial"/>
          <w:sz w:val="22"/>
          <w:szCs w:val="22"/>
          <w:lang w:val="en-AU"/>
        </w:rPr>
        <w:t>.</w:t>
      </w:r>
    </w:p>
    <w:p w:rsidR="001D1004" w:rsidRPr="002742BE" w:rsidRDefault="001D1004" w:rsidP="003652FC">
      <w:pPr>
        <w:pStyle w:val="BodyText2"/>
        <w:spacing w:before="120" w:after="120"/>
        <w:rPr>
          <w:rFonts w:ascii="Arial" w:hAnsi="Arial" w:cs="Arial"/>
          <w:b w:val="0"/>
          <w:sz w:val="22"/>
          <w:szCs w:val="22"/>
        </w:rPr>
      </w:pPr>
      <w:r w:rsidRPr="002742BE">
        <w:rPr>
          <w:rFonts w:ascii="Arial" w:hAnsi="Arial" w:cs="Arial"/>
          <w:b w:val="0"/>
          <w:sz w:val="22"/>
          <w:szCs w:val="22"/>
        </w:rPr>
        <w:t xml:space="preserve">Therefore </w:t>
      </w:r>
      <w:r w:rsidR="00E8487E" w:rsidRPr="002742BE">
        <w:rPr>
          <w:rFonts w:ascii="Arial" w:hAnsi="Arial" w:cs="Arial"/>
          <w:b w:val="0"/>
          <w:sz w:val="22"/>
          <w:szCs w:val="22"/>
        </w:rPr>
        <w:t xml:space="preserve">Xarelto </w:t>
      </w:r>
      <w:r w:rsidR="00981E7B" w:rsidRPr="002742BE">
        <w:rPr>
          <w:rFonts w:ascii="Arial" w:hAnsi="Arial" w:cs="Arial"/>
          <w:b w:val="0"/>
          <w:sz w:val="22"/>
          <w:szCs w:val="22"/>
        </w:rPr>
        <w:t xml:space="preserve">is </w:t>
      </w:r>
      <w:r w:rsidR="005568D7" w:rsidRPr="002742BE">
        <w:rPr>
          <w:rFonts w:ascii="Arial" w:hAnsi="Arial" w:cs="Arial"/>
          <w:b w:val="0"/>
          <w:sz w:val="22"/>
          <w:szCs w:val="22"/>
        </w:rPr>
        <w:t>contraindicated</w:t>
      </w:r>
      <w:r w:rsidR="00981E7B" w:rsidRPr="002742BE">
        <w:rPr>
          <w:rFonts w:ascii="Arial" w:hAnsi="Arial" w:cs="Arial"/>
          <w:b w:val="0"/>
          <w:sz w:val="22"/>
          <w:szCs w:val="22"/>
        </w:rPr>
        <w:t xml:space="preserve"> </w:t>
      </w:r>
      <w:r w:rsidRPr="002742BE">
        <w:rPr>
          <w:rFonts w:ascii="Arial" w:hAnsi="Arial" w:cs="Arial"/>
          <w:b w:val="0"/>
          <w:sz w:val="22"/>
          <w:szCs w:val="22"/>
        </w:rPr>
        <w:t>in patients receiving concomitant systemic treat</w:t>
      </w:r>
      <w:r w:rsidRPr="002742BE">
        <w:rPr>
          <w:rFonts w:ascii="Arial" w:hAnsi="Arial" w:cs="Arial"/>
          <w:b w:val="0"/>
          <w:sz w:val="22"/>
          <w:szCs w:val="22"/>
        </w:rPr>
        <w:softHyphen/>
        <w:t xml:space="preserve">ment with azole-antimycotics or HIV-protease inhibitors (see </w:t>
      </w:r>
      <w:r w:rsidR="005568D7" w:rsidRPr="002742BE">
        <w:rPr>
          <w:rFonts w:ascii="Arial" w:hAnsi="Arial" w:cs="Arial"/>
          <w:b w:val="0"/>
          <w:sz w:val="22"/>
          <w:szCs w:val="22"/>
        </w:rPr>
        <w:t>CONTRAINDICATIONS</w:t>
      </w:r>
      <w:r w:rsidRPr="002742BE">
        <w:rPr>
          <w:rFonts w:ascii="Arial" w:hAnsi="Arial" w:cs="Arial"/>
          <w:b w:val="0"/>
          <w:sz w:val="22"/>
          <w:szCs w:val="22"/>
        </w:rPr>
        <w:t>).</w:t>
      </w:r>
      <w:r w:rsidR="006002A2" w:rsidRPr="002742BE">
        <w:rPr>
          <w:rFonts w:ascii="Arial" w:hAnsi="Arial" w:cs="Arial"/>
          <w:b w:val="0"/>
          <w:sz w:val="22"/>
          <w:szCs w:val="22"/>
        </w:rPr>
        <w:t xml:space="preserve"> However, </w:t>
      </w:r>
      <w:r w:rsidR="009F5712" w:rsidRPr="002742BE">
        <w:rPr>
          <w:rFonts w:ascii="Arial" w:hAnsi="Arial" w:cs="Arial"/>
          <w:b w:val="0"/>
          <w:sz w:val="22"/>
          <w:szCs w:val="22"/>
        </w:rPr>
        <w:t>f</w:t>
      </w:r>
      <w:r w:rsidR="006002A2" w:rsidRPr="002742BE">
        <w:rPr>
          <w:rFonts w:ascii="Arial" w:hAnsi="Arial" w:cs="Arial"/>
          <w:b w:val="0"/>
          <w:sz w:val="22"/>
          <w:szCs w:val="22"/>
        </w:rPr>
        <w:t>luconazole</w:t>
      </w:r>
      <w:r w:rsidR="00576485" w:rsidRPr="002742BE">
        <w:rPr>
          <w:rFonts w:ascii="Arial" w:hAnsi="Arial" w:cs="Arial"/>
          <w:b w:val="0"/>
          <w:sz w:val="22"/>
          <w:szCs w:val="22"/>
        </w:rPr>
        <w:t xml:space="preserve"> (400 mg once daily) considered</w:t>
      </w:r>
      <w:r w:rsidR="006002A2" w:rsidRPr="002742BE">
        <w:rPr>
          <w:rFonts w:ascii="Arial" w:hAnsi="Arial" w:cs="Arial"/>
          <w:b w:val="0"/>
          <w:sz w:val="22"/>
          <w:szCs w:val="22"/>
        </w:rPr>
        <w:t xml:space="preserve"> a less potent CYP3A4 and P-gp inhibitor</w:t>
      </w:r>
      <w:r w:rsidR="00576485" w:rsidRPr="002742BE">
        <w:rPr>
          <w:rFonts w:ascii="Arial" w:hAnsi="Arial" w:cs="Arial"/>
          <w:b w:val="0"/>
          <w:sz w:val="22"/>
          <w:szCs w:val="22"/>
        </w:rPr>
        <w:t xml:space="preserve"> led to an increase in rivaroxaban AUC</w:t>
      </w:r>
      <w:r w:rsidR="006002A2" w:rsidRPr="002742BE">
        <w:rPr>
          <w:rFonts w:ascii="Arial" w:hAnsi="Arial" w:cs="Arial"/>
          <w:b w:val="0"/>
          <w:sz w:val="22"/>
          <w:szCs w:val="22"/>
        </w:rPr>
        <w:t xml:space="preserve"> </w:t>
      </w:r>
      <w:r w:rsidR="00576485" w:rsidRPr="002742BE">
        <w:rPr>
          <w:rFonts w:ascii="Arial" w:hAnsi="Arial" w:cs="Arial"/>
          <w:b w:val="0"/>
          <w:sz w:val="22"/>
          <w:szCs w:val="22"/>
        </w:rPr>
        <w:t>and C</w:t>
      </w:r>
      <w:r w:rsidR="00576485" w:rsidRPr="002742BE">
        <w:rPr>
          <w:rFonts w:ascii="Arial" w:hAnsi="Arial" w:cs="Arial"/>
          <w:b w:val="0"/>
          <w:sz w:val="22"/>
          <w:szCs w:val="22"/>
          <w:vertAlign w:val="subscript"/>
        </w:rPr>
        <w:t>max</w:t>
      </w:r>
      <w:r w:rsidR="00576485" w:rsidRPr="002742BE">
        <w:rPr>
          <w:rFonts w:ascii="Arial" w:hAnsi="Arial" w:cs="Arial"/>
          <w:b w:val="0"/>
          <w:sz w:val="22"/>
          <w:szCs w:val="22"/>
        </w:rPr>
        <w:t xml:space="preserve"> within the magnitude of normal variability</w:t>
      </w:r>
      <w:r w:rsidR="006002A2" w:rsidRPr="002742BE">
        <w:rPr>
          <w:rFonts w:ascii="Arial" w:hAnsi="Arial" w:cs="Arial"/>
          <w:b w:val="0"/>
          <w:sz w:val="22"/>
          <w:szCs w:val="22"/>
        </w:rPr>
        <w:t xml:space="preserve"> (see PRECAUTIONS</w:t>
      </w:r>
      <w:r w:rsidR="000D4DD1" w:rsidRPr="002742BE">
        <w:rPr>
          <w:rFonts w:ascii="Arial" w:hAnsi="Arial" w:cs="Arial"/>
          <w:b w:val="0"/>
          <w:sz w:val="22"/>
          <w:szCs w:val="22"/>
        </w:rPr>
        <w:t xml:space="preserve"> </w:t>
      </w:r>
      <w:r w:rsidR="00D22E15" w:rsidRPr="002742BE">
        <w:rPr>
          <w:rFonts w:ascii="Arial" w:hAnsi="Arial" w:cs="Arial"/>
          <w:b w:val="0"/>
          <w:sz w:val="22"/>
          <w:szCs w:val="22"/>
        </w:rPr>
        <w:t>and</w:t>
      </w:r>
      <w:r w:rsidR="00FF4854" w:rsidRPr="002742BE">
        <w:rPr>
          <w:rFonts w:ascii="Arial" w:hAnsi="Arial" w:cs="Arial"/>
          <w:b w:val="0"/>
          <w:sz w:val="22"/>
          <w:szCs w:val="22"/>
        </w:rPr>
        <w:t xml:space="preserve"> </w:t>
      </w:r>
      <w:fldSimple w:instr=" REF _Ref318973835  \* MERGEFORMAT ">
        <w:r w:rsidR="00A24B67" w:rsidRPr="00B15449">
          <w:rPr>
            <w:rFonts w:ascii="Arial" w:hAnsi="Arial" w:cs="Arial"/>
            <w:b w:val="0"/>
            <w:sz w:val="22"/>
            <w:szCs w:val="22"/>
          </w:rPr>
          <w:t xml:space="preserve">Table </w:t>
        </w:r>
        <w:r w:rsidR="00A24B67" w:rsidRPr="00B15449">
          <w:rPr>
            <w:rFonts w:ascii="Arial" w:hAnsi="Arial" w:cs="Arial"/>
            <w:b w:val="0"/>
            <w:noProof/>
            <w:sz w:val="22"/>
            <w:szCs w:val="22"/>
          </w:rPr>
          <w:t>12</w:t>
        </w:r>
      </w:fldSimple>
      <w:r w:rsidR="008405A6" w:rsidRPr="002742BE">
        <w:rPr>
          <w:rFonts w:ascii="Arial" w:hAnsi="Arial" w:cs="Arial"/>
          <w:b w:val="0"/>
          <w:sz w:val="22"/>
          <w:szCs w:val="22"/>
        </w:rPr>
        <w:t>,</w:t>
      </w:r>
      <w:r w:rsidR="00DF6C7B" w:rsidRPr="002742BE">
        <w:rPr>
          <w:rFonts w:ascii="Arial" w:hAnsi="Arial" w:cs="Arial"/>
          <w:b w:val="0"/>
          <w:sz w:val="22"/>
          <w:szCs w:val="22"/>
        </w:rPr>
        <w:t xml:space="preserve"> </w:t>
      </w:r>
      <w:fldSimple w:instr=" REF _Ref318972177  \* MERGEFORMAT ">
        <w:r w:rsidR="00A24B67" w:rsidRPr="00B15449">
          <w:rPr>
            <w:rFonts w:ascii="Arial" w:hAnsi="Arial" w:cs="Arial"/>
            <w:b w:val="0"/>
            <w:sz w:val="22"/>
            <w:szCs w:val="22"/>
          </w:rPr>
          <w:t xml:space="preserve">Table </w:t>
        </w:r>
        <w:r w:rsidR="00A24B67" w:rsidRPr="00B15449">
          <w:rPr>
            <w:rFonts w:ascii="Arial" w:hAnsi="Arial" w:cs="Arial"/>
            <w:b w:val="0"/>
            <w:noProof/>
            <w:sz w:val="22"/>
            <w:szCs w:val="22"/>
          </w:rPr>
          <w:t>13</w:t>
        </w:r>
      </w:fldSimple>
      <w:r w:rsidR="00D7139A" w:rsidRPr="002742BE">
        <w:rPr>
          <w:rFonts w:ascii="Arial" w:hAnsi="Arial" w:cs="Arial"/>
          <w:b w:val="0"/>
          <w:sz w:val="22"/>
          <w:szCs w:val="22"/>
        </w:rPr>
        <w:t xml:space="preserve"> </w:t>
      </w:r>
      <w:r w:rsidR="00734B2C" w:rsidRPr="002742BE">
        <w:rPr>
          <w:rFonts w:ascii="Arial" w:hAnsi="Arial" w:cs="Arial"/>
          <w:b w:val="0"/>
          <w:sz w:val="22"/>
          <w:szCs w:val="22"/>
        </w:rPr>
        <w:t>below)</w:t>
      </w:r>
      <w:r w:rsidR="00576485" w:rsidRPr="002742BE">
        <w:rPr>
          <w:rFonts w:ascii="Arial" w:hAnsi="Arial" w:cs="Arial"/>
          <w:b w:val="0"/>
          <w:sz w:val="22"/>
          <w:szCs w:val="22"/>
        </w:rPr>
        <w:t>.</w:t>
      </w:r>
    </w:p>
    <w:p w:rsidR="00734B2C" w:rsidRPr="002742BE" w:rsidRDefault="00734B2C" w:rsidP="009F7DBF">
      <w:pPr>
        <w:pStyle w:val="BodyText2"/>
        <w:numPr>
          <w:ilvl w:val="0"/>
          <w:numId w:val="5"/>
        </w:numPr>
        <w:tabs>
          <w:tab w:val="clear" w:pos="1440"/>
          <w:tab w:val="num" w:pos="360"/>
        </w:tabs>
        <w:spacing w:before="120" w:after="120" w:line="300" w:lineRule="atLeast"/>
        <w:ind w:left="0" w:right="45" w:firstLine="0"/>
        <w:rPr>
          <w:rFonts w:ascii="Arial" w:hAnsi="Arial" w:cs="Arial"/>
          <w:b w:val="0"/>
          <w:i/>
          <w:sz w:val="22"/>
          <w:szCs w:val="22"/>
        </w:rPr>
      </w:pPr>
      <w:r w:rsidRPr="002742BE">
        <w:rPr>
          <w:rFonts w:ascii="Arial" w:hAnsi="Arial" w:cs="Arial"/>
          <w:b w:val="0"/>
          <w:i/>
          <w:sz w:val="22"/>
          <w:szCs w:val="22"/>
        </w:rPr>
        <w:t>Strong inhibitors of CYP3A4 or P-gp</w:t>
      </w:r>
    </w:p>
    <w:p w:rsidR="00B411D6" w:rsidRPr="002742BE" w:rsidRDefault="001D1004" w:rsidP="009F7DBF">
      <w:pPr>
        <w:pStyle w:val="BodyText2"/>
        <w:spacing w:before="120" w:after="120"/>
        <w:ind w:right="45"/>
        <w:rPr>
          <w:rFonts w:ascii="Arial" w:hAnsi="Arial" w:cs="Arial"/>
          <w:b w:val="0"/>
          <w:sz w:val="22"/>
          <w:szCs w:val="22"/>
        </w:rPr>
      </w:pPr>
      <w:r w:rsidRPr="002742BE">
        <w:rPr>
          <w:rFonts w:ascii="Arial" w:hAnsi="Arial" w:cs="Arial"/>
          <w:b w:val="0"/>
          <w:sz w:val="22"/>
          <w:szCs w:val="22"/>
        </w:rPr>
        <w:t>Drugs strongly inhibiting only one of the rivaroxaban elimination pathways, either CYP 3A4 or P</w:t>
      </w:r>
      <w:r w:rsidRPr="002742BE">
        <w:rPr>
          <w:rFonts w:ascii="Arial" w:hAnsi="Arial" w:cs="Arial"/>
          <w:b w:val="0"/>
          <w:sz w:val="22"/>
          <w:szCs w:val="22"/>
        </w:rPr>
        <w:noBreakHyphen/>
        <w:t>gp,</w:t>
      </w:r>
      <w:r w:rsidR="00850C93" w:rsidRPr="002742BE">
        <w:rPr>
          <w:rFonts w:ascii="Arial" w:hAnsi="Arial" w:cs="Arial"/>
          <w:b w:val="0"/>
          <w:sz w:val="22"/>
          <w:szCs w:val="22"/>
        </w:rPr>
        <w:t xml:space="preserve"> </w:t>
      </w:r>
      <w:r w:rsidRPr="002742BE">
        <w:rPr>
          <w:rFonts w:ascii="Arial" w:hAnsi="Arial" w:cs="Arial"/>
          <w:b w:val="0"/>
          <w:sz w:val="22"/>
          <w:szCs w:val="22"/>
        </w:rPr>
        <w:t>increase rivaroxaban plasma concentrations</w:t>
      </w:r>
      <w:r w:rsidR="00E5317E" w:rsidRPr="002742BE">
        <w:rPr>
          <w:rFonts w:ascii="Arial" w:hAnsi="Arial" w:cs="Arial"/>
          <w:b w:val="0"/>
          <w:sz w:val="22"/>
          <w:szCs w:val="22"/>
        </w:rPr>
        <w:t xml:space="preserve"> to</w:t>
      </w:r>
      <w:r w:rsidR="00734B2C" w:rsidRPr="002742BE">
        <w:rPr>
          <w:rFonts w:ascii="Arial" w:hAnsi="Arial" w:cs="Arial"/>
          <w:b w:val="0"/>
          <w:sz w:val="22"/>
          <w:szCs w:val="22"/>
        </w:rPr>
        <w:t xml:space="preserve"> a level which is</w:t>
      </w:r>
      <w:r w:rsidR="00087A77" w:rsidRPr="002742BE">
        <w:rPr>
          <w:rFonts w:ascii="Arial" w:hAnsi="Arial" w:cs="Arial"/>
          <w:b w:val="0"/>
          <w:sz w:val="22"/>
          <w:szCs w:val="22"/>
        </w:rPr>
        <w:t xml:space="preserve"> </w:t>
      </w:r>
      <w:r w:rsidR="00AA41C1" w:rsidRPr="002742BE">
        <w:rPr>
          <w:rFonts w:ascii="Arial" w:hAnsi="Arial" w:cs="Arial"/>
          <w:b w:val="0"/>
          <w:sz w:val="22"/>
          <w:szCs w:val="22"/>
        </w:rPr>
        <w:t>considered not clinically relevant</w:t>
      </w:r>
      <w:r w:rsidR="000D4DD1" w:rsidRPr="002742BE">
        <w:rPr>
          <w:rFonts w:ascii="Arial" w:hAnsi="Arial" w:cs="Arial"/>
          <w:b w:val="0"/>
          <w:sz w:val="22"/>
          <w:szCs w:val="22"/>
        </w:rPr>
        <w:t xml:space="preserve"> </w:t>
      </w:r>
      <w:r w:rsidR="00850C93" w:rsidRPr="002742BE">
        <w:rPr>
          <w:rFonts w:ascii="Arial" w:hAnsi="Arial" w:cs="Arial"/>
          <w:b w:val="0"/>
          <w:sz w:val="22"/>
          <w:szCs w:val="22"/>
        </w:rPr>
        <w:t>(see</w:t>
      </w:r>
      <w:r w:rsidR="008B7C64" w:rsidRPr="002742BE">
        <w:rPr>
          <w:rFonts w:ascii="Arial" w:hAnsi="Arial" w:cs="Arial"/>
          <w:b w:val="0"/>
          <w:sz w:val="22"/>
          <w:szCs w:val="22"/>
        </w:rPr>
        <w:t xml:space="preserve"> </w:t>
      </w:r>
      <w:fldSimple w:instr=" REF _Ref318973835  \* MERGEFORMAT ">
        <w:r w:rsidR="00A24B67" w:rsidRPr="00B15449">
          <w:rPr>
            <w:rFonts w:ascii="Arial" w:hAnsi="Arial" w:cs="Arial"/>
            <w:b w:val="0"/>
            <w:sz w:val="22"/>
            <w:szCs w:val="22"/>
          </w:rPr>
          <w:t xml:space="preserve">Table </w:t>
        </w:r>
        <w:r w:rsidR="00A24B67" w:rsidRPr="00B15449">
          <w:rPr>
            <w:rFonts w:ascii="Arial" w:hAnsi="Arial" w:cs="Arial"/>
            <w:b w:val="0"/>
            <w:noProof/>
            <w:sz w:val="22"/>
            <w:szCs w:val="22"/>
          </w:rPr>
          <w:t>12</w:t>
        </w:r>
      </w:fldSimple>
      <w:r w:rsidR="00DF6C7B" w:rsidRPr="002742BE">
        <w:rPr>
          <w:rFonts w:ascii="Arial" w:hAnsi="Arial" w:cs="Arial"/>
          <w:b w:val="0"/>
          <w:sz w:val="22"/>
          <w:szCs w:val="22"/>
        </w:rPr>
        <w:t xml:space="preserve">, </w:t>
      </w:r>
      <w:fldSimple w:instr=" REF _Ref318972177  \* MERGEFORMAT ">
        <w:r w:rsidR="00A24B67" w:rsidRPr="00B15449">
          <w:rPr>
            <w:rFonts w:ascii="Arial" w:hAnsi="Arial" w:cs="Arial"/>
            <w:b w:val="0"/>
            <w:sz w:val="22"/>
            <w:szCs w:val="22"/>
          </w:rPr>
          <w:t xml:space="preserve">Table </w:t>
        </w:r>
        <w:r w:rsidR="00A24B67" w:rsidRPr="00B15449">
          <w:rPr>
            <w:rFonts w:ascii="Arial" w:hAnsi="Arial" w:cs="Arial"/>
            <w:b w:val="0"/>
            <w:noProof/>
            <w:sz w:val="22"/>
            <w:szCs w:val="22"/>
          </w:rPr>
          <w:t>13</w:t>
        </w:r>
      </w:fldSimple>
      <w:r w:rsidR="008405A6" w:rsidRPr="002742BE">
        <w:rPr>
          <w:rFonts w:ascii="Arial" w:hAnsi="Arial" w:cs="Arial"/>
          <w:b w:val="0"/>
          <w:sz w:val="22"/>
          <w:szCs w:val="22"/>
        </w:rPr>
        <w:t xml:space="preserve"> </w:t>
      </w:r>
      <w:r w:rsidR="00850C93" w:rsidRPr="002742BE">
        <w:rPr>
          <w:rFonts w:ascii="Arial" w:hAnsi="Arial" w:cs="Arial"/>
          <w:b w:val="0"/>
          <w:sz w:val="22"/>
          <w:szCs w:val="22"/>
        </w:rPr>
        <w:t>below)</w:t>
      </w:r>
      <w:r w:rsidR="00B411D6" w:rsidRPr="002742BE">
        <w:rPr>
          <w:rFonts w:ascii="Arial" w:hAnsi="Arial" w:cs="Arial"/>
          <w:b w:val="0"/>
          <w:sz w:val="22"/>
          <w:szCs w:val="22"/>
        </w:rPr>
        <w:t>.</w:t>
      </w:r>
    </w:p>
    <w:p w:rsidR="006E7343" w:rsidRPr="002742BE" w:rsidRDefault="006E7343" w:rsidP="009F7DBF">
      <w:pPr>
        <w:pStyle w:val="BodyText2"/>
        <w:spacing w:before="120" w:after="120"/>
        <w:ind w:right="45"/>
        <w:rPr>
          <w:rFonts w:ascii="Arial" w:hAnsi="Arial" w:cs="Arial"/>
          <w:sz w:val="22"/>
          <w:szCs w:val="22"/>
        </w:rPr>
      </w:pPr>
      <w:r w:rsidRPr="002742BE">
        <w:rPr>
          <w:rFonts w:ascii="Arial" w:hAnsi="Arial" w:cs="Arial"/>
          <w:b w:val="0"/>
          <w:sz w:val="22"/>
          <w:szCs w:val="22"/>
        </w:rPr>
        <w:t>Patients with renal impairment taking P-gp and weak to moderate CYP3A4 inhibitors may have significant increases in exposure, which may increase bleeding risk.</w:t>
      </w:r>
      <w:r w:rsidRPr="002742BE">
        <w:rPr>
          <w:rFonts w:ascii="Arial" w:hAnsi="Arial" w:cs="Arial"/>
          <w:sz w:val="22"/>
          <w:szCs w:val="22"/>
        </w:rPr>
        <w:t xml:space="preserve"> </w:t>
      </w:r>
    </w:p>
    <w:p w:rsidR="000F46C5" w:rsidRPr="002742BE" w:rsidRDefault="00B411D6" w:rsidP="009F7DBF">
      <w:pPr>
        <w:pStyle w:val="BodyText2"/>
        <w:spacing w:before="120" w:after="120"/>
        <w:ind w:right="45"/>
        <w:rPr>
          <w:rFonts w:ascii="Arial" w:hAnsi="Arial" w:cs="Arial"/>
          <w:b w:val="0"/>
          <w:sz w:val="22"/>
          <w:szCs w:val="22"/>
        </w:rPr>
      </w:pPr>
      <w:r w:rsidRPr="002742BE">
        <w:rPr>
          <w:rFonts w:ascii="Arial" w:hAnsi="Arial" w:cs="Arial"/>
          <w:b w:val="0"/>
          <w:sz w:val="22"/>
          <w:szCs w:val="22"/>
        </w:rPr>
        <w:t>Xarelto is to be used with caution in patients with moderate renal impairment (creatinine clearance 30 - 49 mL/min) receiving co-medications</w:t>
      </w:r>
      <w:r w:rsidR="00A776C8">
        <w:rPr>
          <w:rFonts w:ascii="Arial" w:hAnsi="Arial" w:cs="Arial"/>
          <w:b w:val="0"/>
          <w:sz w:val="22"/>
          <w:szCs w:val="22"/>
        </w:rPr>
        <w:t xml:space="preserve"> (including moderate inhibitors of CYP3A4 or P-gp)</w:t>
      </w:r>
      <w:r w:rsidRPr="002742BE">
        <w:rPr>
          <w:rFonts w:ascii="Arial" w:hAnsi="Arial" w:cs="Arial"/>
          <w:b w:val="0"/>
          <w:sz w:val="22"/>
          <w:szCs w:val="22"/>
        </w:rPr>
        <w:t xml:space="preserve"> leading to increased rivaroxaban plasma concentrations  (see PRECAUTIONS). </w:t>
      </w:r>
    </w:p>
    <w:p w:rsidR="00734B2C" w:rsidRPr="002742BE" w:rsidRDefault="00734B2C" w:rsidP="009F7DBF">
      <w:pPr>
        <w:pStyle w:val="BodyText2"/>
        <w:numPr>
          <w:ilvl w:val="0"/>
          <w:numId w:val="5"/>
        </w:numPr>
        <w:tabs>
          <w:tab w:val="clear" w:pos="1440"/>
          <w:tab w:val="num" w:pos="360"/>
        </w:tabs>
        <w:spacing w:before="120" w:after="120" w:line="300" w:lineRule="atLeast"/>
        <w:ind w:left="0" w:right="45" w:firstLine="0"/>
        <w:rPr>
          <w:rFonts w:ascii="Arial" w:hAnsi="Arial" w:cs="Arial"/>
          <w:b w:val="0"/>
          <w:i/>
          <w:sz w:val="22"/>
          <w:szCs w:val="22"/>
        </w:rPr>
      </w:pPr>
      <w:r w:rsidRPr="002742BE">
        <w:rPr>
          <w:rFonts w:ascii="Arial" w:hAnsi="Arial" w:cs="Arial"/>
          <w:b w:val="0"/>
          <w:i/>
          <w:sz w:val="22"/>
          <w:szCs w:val="22"/>
        </w:rPr>
        <w:t xml:space="preserve">CYP3A4 inducers </w:t>
      </w:r>
    </w:p>
    <w:p w:rsidR="00734B2C" w:rsidRPr="002742BE" w:rsidRDefault="00734B2C" w:rsidP="009F7DBF">
      <w:pPr>
        <w:pStyle w:val="BodyText2"/>
        <w:spacing w:before="120" w:after="120"/>
        <w:ind w:right="45"/>
        <w:rPr>
          <w:rFonts w:ascii="Arial" w:hAnsi="Arial" w:cs="Arial"/>
          <w:b w:val="0"/>
          <w:sz w:val="22"/>
          <w:szCs w:val="22"/>
        </w:rPr>
      </w:pPr>
      <w:r w:rsidRPr="002742BE">
        <w:rPr>
          <w:rFonts w:ascii="Arial" w:hAnsi="Arial" w:cs="Arial"/>
          <w:b w:val="0"/>
          <w:sz w:val="22"/>
          <w:szCs w:val="22"/>
        </w:rPr>
        <w:lastRenderedPageBreak/>
        <w:t>The concomitant use of rivaroxaban with strong CYP3A4 inducers (e.g. rifampicin, phenytoin, carbamazepine, phenobarbital or St. John’s Wort) may lead to reduced rivaroxaban plasma concentrations.</w:t>
      </w:r>
      <w:r w:rsidR="00EE0283" w:rsidRPr="002742BE">
        <w:rPr>
          <w:rFonts w:ascii="Arial" w:hAnsi="Arial" w:cs="Arial"/>
          <w:b w:val="0"/>
          <w:sz w:val="22"/>
          <w:szCs w:val="22"/>
        </w:rPr>
        <w:t xml:space="preserve"> Caution should be taken when Xarelto 15 and 20 mg tablets are co-administered with strong CYP3A4 inducers</w:t>
      </w:r>
      <w:r w:rsidRPr="002742BE">
        <w:rPr>
          <w:rFonts w:ascii="Arial" w:hAnsi="Arial" w:cs="Arial"/>
          <w:b w:val="0"/>
          <w:sz w:val="22"/>
          <w:szCs w:val="22"/>
        </w:rPr>
        <w:t xml:space="preserve"> (see</w:t>
      </w:r>
      <w:r w:rsidR="006C6558" w:rsidRPr="002742BE">
        <w:rPr>
          <w:rFonts w:ascii="Arial" w:hAnsi="Arial" w:cs="Arial"/>
          <w:b w:val="0"/>
          <w:sz w:val="22"/>
          <w:szCs w:val="22"/>
        </w:rPr>
        <w:t xml:space="preserve"> </w:t>
      </w:r>
      <w:fldSimple w:instr=" REF  _Ref318972177  \* MERGEFORMAT ">
        <w:r w:rsidR="00A24B67" w:rsidRPr="00B15449">
          <w:rPr>
            <w:rFonts w:ascii="Arial" w:hAnsi="Arial" w:cs="Arial"/>
            <w:b w:val="0"/>
            <w:sz w:val="22"/>
            <w:szCs w:val="22"/>
          </w:rPr>
          <w:t xml:space="preserve">Table </w:t>
        </w:r>
        <w:r w:rsidR="00A24B67" w:rsidRPr="00B15449">
          <w:rPr>
            <w:rFonts w:ascii="Arial" w:hAnsi="Arial" w:cs="Arial"/>
            <w:b w:val="0"/>
            <w:noProof/>
            <w:sz w:val="22"/>
            <w:szCs w:val="22"/>
          </w:rPr>
          <w:t>13</w:t>
        </w:r>
      </w:fldSimple>
      <w:r w:rsidR="008405A6" w:rsidRPr="002742BE">
        <w:rPr>
          <w:rFonts w:ascii="Arial" w:hAnsi="Arial" w:cs="Arial"/>
          <w:b w:val="0"/>
          <w:sz w:val="22"/>
          <w:szCs w:val="22"/>
        </w:rPr>
        <w:t xml:space="preserve"> </w:t>
      </w:r>
      <w:r w:rsidRPr="002742BE">
        <w:rPr>
          <w:rFonts w:ascii="Arial" w:hAnsi="Arial" w:cs="Arial"/>
          <w:b w:val="0"/>
          <w:sz w:val="22"/>
          <w:szCs w:val="22"/>
        </w:rPr>
        <w:t>below)</w:t>
      </w:r>
    </w:p>
    <w:p w:rsidR="000F46C5" w:rsidRPr="002742BE" w:rsidRDefault="008C2BDA" w:rsidP="00F04C47">
      <w:pPr>
        <w:pStyle w:val="Caption"/>
        <w:ind w:right="46"/>
        <w:rPr>
          <w:rFonts w:ascii="Arial" w:hAnsi="Arial" w:cs="Arial"/>
          <w:lang w:val="en-AU"/>
        </w:rPr>
      </w:pPr>
      <w:bookmarkStart w:id="15" w:name="_Ref286678071"/>
      <w:bookmarkStart w:id="16" w:name="_Ref318973835"/>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12</w:t>
      </w:r>
      <w:r w:rsidR="00794C79" w:rsidRPr="002742BE">
        <w:rPr>
          <w:rFonts w:ascii="Arial" w:hAnsi="Arial" w:cs="Arial"/>
          <w:lang w:val="en-AU"/>
        </w:rPr>
        <w:fldChar w:fldCharType="end"/>
      </w:r>
      <w:bookmarkEnd w:id="15"/>
      <w:bookmarkEnd w:id="16"/>
      <w:r w:rsidR="00850C93" w:rsidRPr="002742BE">
        <w:rPr>
          <w:rFonts w:ascii="Arial" w:hAnsi="Arial" w:cs="Arial"/>
          <w:lang w:val="en-AU"/>
        </w:rPr>
        <w:t>: Established or potential interactions</w:t>
      </w:r>
      <w:r w:rsidR="008405A6" w:rsidRPr="002742BE">
        <w:rPr>
          <w:rFonts w:ascii="Arial" w:hAnsi="Arial" w:cs="Arial"/>
          <w:lang w:val="en-AU"/>
        </w:rPr>
        <w:t xml:space="preserve"> which are clinically relevant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1794"/>
        <w:gridCol w:w="4585"/>
      </w:tblGrid>
      <w:tr w:rsidR="00FB06D4" w:rsidRPr="002742BE" w:rsidTr="00C072D4">
        <w:trPr>
          <w:tblHeader/>
        </w:trPr>
        <w:tc>
          <w:tcPr>
            <w:tcW w:w="2943" w:type="dxa"/>
            <w:shd w:val="clear" w:color="auto" w:fill="E0E0E0"/>
          </w:tcPr>
          <w:p w:rsidR="007C170B" w:rsidRPr="002742BE" w:rsidRDefault="00FC0CC4" w:rsidP="00F04C47">
            <w:pPr>
              <w:pStyle w:val="BodyText2"/>
              <w:tabs>
                <w:tab w:val="left" w:pos="567"/>
              </w:tabs>
              <w:spacing w:before="60" w:after="60"/>
              <w:ind w:right="46"/>
              <w:rPr>
                <w:rFonts w:ascii="Arial" w:hAnsi="Arial" w:cs="Arial"/>
                <w:b w:val="0"/>
                <w:i/>
                <w:sz w:val="20"/>
              </w:rPr>
            </w:pPr>
            <w:r w:rsidRPr="002742BE">
              <w:rPr>
                <w:rFonts w:ascii="Arial" w:hAnsi="Arial" w:cs="Arial"/>
                <w:b w:val="0"/>
                <w:i/>
                <w:sz w:val="20"/>
              </w:rPr>
              <w:t>Class</w:t>
            </w:r>
            <w:r w:rsidR="00F6712B" w:rsidRPr="002742BE">
              <w:rPr>
                <w:rFonts w:ascii="Arial" w:hAnsi="Arial" w:cs="Arial"/>
                <w:b w:val="0"/>
                <w:i/>
                <w:sz w:val="20"/>
              </w:rPr>
              <w:t xml:space="preserve"> (effect)</w:t>
            </w:r>
            <w:r w:rsidRPr="002742BE">
              <w:rPr>
                <w:rFonts w:ascii="Arial" w:hAnsi="Arial" w:cs="Arial"/>
                <w:b w:val="0"/>
                <w:i/>
                <w:sz w:val="20"/>
              </w:rPr>
              <w:t xml:space="preserve"> </w:t>
            </w:r>
          </w:p>
          <w:p w:rsidR="00A81BB7" w:rsidRPr="002742BE" w:rsidRDefault="00316779" w:rsidP="00F04C47">
            <w:pPr>
              <w:pStyle w:val="BodyText2"/>
              <w:tabs>
                <w:tab w:val="left" w:pos="567"/>
              </w:tabs>
              <w:spacing w:before="60" w:after="60"/>
              <w:ind w:right="46"/>
              <w:rPr>
                <w:rFonts w:ascii="Arial" w:hAnsi="Arial" w:cs="Arial"/>
                <w:b w:val="0"/>
                <w:sz w:val="20"/>
              </w:rPr>
            </w:pPr>
            <w:r w:rsidRPr="002742BE">
              <w:rPr>
                <w:rFonts w:ascii="Arial" w:hAnsi="Arial" w:cs="Arial"/>
                <w:b w:val="0"/>
                <w:sz w:val="20"/>
              </w:rPr>
              <w:t>Examples</w:t>
            </w:r>
          </w:p>
        </w:tc>
        <w:tc>
          <w:tcPr>
            <w:tcW w:w="1794" w:type="dxa"/>
            <w:shd w:val="clear" w:color="auto" w:fill="E0E0E0"/>
          </w:tcPr>
          <w:p w:rsidR="000F46C5" w:rsidRPr="002742BE" w:rsidRDefault="00FC0CC4" w:rsidP="00F04C47">
            <w:pPr>
              <w:pStyle w:val="BodyText2"/>
              <w:tabs>
                <w:tab w:val="left" w:pos="567"/>
              </w:tabs>
              <w:spacing w:before="60" w:after="60"/>
              <w:ind w:right="46"/>
              <w:jc w:val="left"/>
              <w:rPr>
                <w:rFonts w:ascii="Arial" w:hAnsi="Arial" w:cs="Arial"/>
                <w:b w:val="0"/>
                <w:sz w:val="20"/>
              </w:rPr>
            </w:pPr>
            <w:r w:rsidRPr="002742BE">
              <w:rPr>
                <w:rFonts w:ascii="Arial" w:hAnsi="Arial" w:cs="Arial"/>
                <w:b w:val="0"/>
                <w:sz w:val="20"/>
              </w:rPr>
              <w:t>Effect on rivaroxaban</w:t>
            </w:r>
            <w:r w:rsidR="00F6712B" w:rsidRPr="002742BE">
              <w:rPr>
                <w:rFonts w:ascii="Arial" w:hAnsi="Arial" w:cs="Arial"/>
                <w:b w:val="0"/>
                <w:sz w:val="20"/>
              </w:rPr>
              <w:t xml:space="preserve"> plasma concentration</w:t>
            </w:r>
          </w:p>
        </w:tc>
        <w:tc>
          <w:tcPr>
            <w:tcW w:w="4585" w:type="dxa"/>
            <w:shd w:val="clear" w:color="auto" w:fill="E0E0E0"/>
          </w:tcPr>
          <w:p w:rsidR="000F46C5" w:rsidRPr="002742BE" w:rsidRDefault="007C170B" w:rsidP="00F04C47">
            <w:pPr>
              <w:pStyle w:val="BodyText2"/>
              <w:tabs>
                <w:tab w:val="left" w:pos="567"/>
              </w:tabs>
              <w:spacing w:before="60" w:after="60"/>
              <w:ind w:right="46"/>
              <w:rPr>
                <w:rFonts w:ascii="Arial" w:hAnsi="Arial" w:cs="Arial"/>
                <w:b w:val="0"/>
                <w:sz w:val="20"/>
              </w:rPr>
            </w:pPr>
            <w:r w:rsidRPr="002742BE">
              <w:rPr>
                <w:rFonts w:ascii="Arial" w:hAnsi="Arial" w:cs="Arial"/>
                <w:b w:val="0"/>
                <w:sz w:val="20"/>
              </w:rPr>
              <w:t>Clinical c</w:t>
            </w:r>
            <w:r w:rsidR="00FC0CC4" w:rsidRPr="002742BE">
              <w:rPr>
                <w:rFonts w:ascii="Arial" w:hAnsi="Arial" w:cs="Arial"/>
                <w:b w:val="0"/>
                <w:sz w:val="20"/>
              </w:rPr>
              <w:t>omment</w:t>
            </w:r>
          </w:p>
        </w:tc>
      </w:tr>
      <w:tr w:rsidR="00734B2C" w:rsidRPr="002742BE" w:rsidTr="00C072D4">
        <w:tc>
          <w:tcPr>
            <w:tcW w:w="2943" w:type="dxa"/>
            <w:shd w:val="clear" w:color="auto" w:fill="auto"/>
          </w:tcPr>
          <w:p w:rsidR="00734B2C" w:rsidRPr="002742BE" w:rsidRDefault="00734B2C" w:rsidP="00F04C47">
            <w:pPr>
              <w:pStyle w:val="BodyText2"/>
              <w:tabs>
                <w:tab w:val="left" w:pos="567"/>
              </w:tabs>
              <w:spacing w:before="60" w:after="60"/>
              <w:ind w:right="46"/>
              <w:rPr>
                <w:rFonts w:ascii="Arial" w:hAnsi="Arial" w:cs="Arial"/>
                <w:b w:val="0"/>
                <w:i/>
                <w:sz w:val="20"/>
              </w:rPr>
            </w:pPr>
            <w:r w:rsidRPr="002742BE">
              <w:rPr>
                <w:rFonts w:ascii="Arial" w:hAnsi="Arial" w:cs="Arial"/>
                <w:b w:val="0"/>
                <w:i/>
                <w:sz w:val="20"/>
              </w:rPr>
              <w:t>Strong CYP3A4 and</w:t>
            </w:r>
            <w:r w:rsidR="00F6712B" w:rsidRPr="002742BE">
              <w:rPr>
                <w:rFonts w:ascii="Arial" w:hAnsi="Arial" w:cs="Arial"/>
                <w:b w:val="0"/>
                <w:i/>
                <w:sz w:val="20"/>
              </w:rPr>
              <w:t xml:space="preserve"> strong</w:t>
            </w:r>
            <w:r w:rsidRPr="002742BE">
              <w:rPr>
                <w:rFonts w:ascii="Arial" w:hAnsi="Arial" w:cs="Arial"/>
                <w:b w:val="0"/>
                <w:i/>
                <w:sz w:val="20"/>
              </w:rPr>
              <w:t xml:space="preserve"> P-gp</w:t>
            </w:r>
            <w:r w:rsidR="00F6712B" w:rsidRPr="002742BE">
              <w:rPr>
                <w:rFonts w:ascii="Arial" w:hAnsi="Arial" w:cs="Arial"/>
                <w:b w:val="0"/>
                <w:i/>
                <w:sz w:val="20"/>
              </w:rPr>
              <w:t xml:space="preserve"> inhibitor</w:t>
            </w:r>
          </w:p>
          <w:p w:rsidR="00854EED" w:rsidRPr="002742BE" w:rsidRDefault="00734B2C" w:rsidP="00F04C47">
            <w:pPr>
              <w:pStyle w:val="BodyText2"/>
              <w:tabs>
                <w:tab w:val="left" w:pos="567"/>
              </w:tabs>
              <w:spacing w:before="60" w:after="60"/>
              <w:ind w:right="46"/>
              <w:rPr>
                <w:rFonts w:ascii="Arial" w:hAnsi="Arial" w:cs="Arial"/>
                <w:b w:val="0"/>
                <w:sz w:val="20"/>
              </w:rPr>
            </w:pPr>
            <w:r w:rsidRPr="002742BE">
              <w:rPr>
                <w:rFonts w:ascii="Arial" w:hAnsi="Arial" w:cs="Arial"/>
                <w:b w:val="0"/>
                <w:sz w:val="20"/>
              </w:rPr>
              <w:t>Azole-antimycotics</w:t>
            </w:r>
            <w:r w:rsidR="00854EED" w:rsidRPr="002742BE">
              <w:rPr>
                <w:rFonts w:ascii="Arial" w:hAnsi="Arial" w:cs="Arial"/>
                <w:b w:val="0"/>
                <w:sz w:val="20"/>
              </w:rPr>
              <w:t xml:space="preserve"> </w:t>
            </w:r>
          </w:p>
          <w:p w:rsidR="00854EED" w:rsidRPr="002742BE" w:rsidRDefault="00854EED" w:rsidP="00F04C47">
            <w:pPr>
              <w:pStyle w:val="BodyText2"/>
              <w:tabs>
                <w:tab w:val="left" w:pos="567"/>
              </w:tabs>
              <w:spacing w:before="60" w:after="60"/>
              <w:ind w:right="46"/>
              <w:jc w:val="left"/>
              <w:rPr>
                <w:rFonts w:ascii="Arial" w:hAnsi="Arial" w:cs="Arial"/>
                <w:b w:val="0"/>
                <w:sz w:val="20"/>
              </w:rPr>
            </w:pPr>
            <w:r w:rsidRPr="002742BE">
              <w:rPr>
                <w:rFonts w:ascii="Arial" w:hAnsi="Arial" w:cs="Arial"/>
                <w:b w:val="0"/>
                <w:sz w:val="20"/>
              </w:rPr>
              <w:t>e.g. ketoconazole, itraconazole, voriconazole, posaconazole</w:t>
            </w:r>
          </w:p>
          <w:p w:rsidR="00734B2C" w:rsidRPr="002742BE" w:rsidRDefault="00734B2C" w:rsidP="00F04C47">
            <w:pPr>
              <w:pStyle w:val="BodyText2"/>
              <w:tabs>
                <w:tab w:val="left" w:pos="567"/>
              </w:tabs>
              <w:spacing w:before="60" w:after="60"/>
              <w:ind w:right="46"/>
              <w:rPr>
                <w:rFonts w:ascii="Arial" w:hAnsi="Arial" w:cs="Arial"/>
                <w:b w:val="0"/>
                <w:i/>
                <w:sz w:val="20"/>
              </w:rPr>
            </w:pPr>
            <w:r w:rsidRPr="002742BE">
              <w:rPr>
                <w:rFonts w:ascii="Arial" w:hAnsi="Arial" w:cs="Arial"/>
                <w:b w:val="0"/>
                <w:sz w:val="20"/>
              </w:rPr>
              <w:t xml:space="preserve"> or HIV-protease inhibitors</w:t>
            </w:r>
            <w:r w:rsidR="00854EED" w:rsidRPr="002742BE">
              <w:rPr>
                <w:rFonts w:ascii="Arial" w:hAnsi="Arial" w:cs="Arial"/>
                <w:b w:val="0"/>
                <w:sz w:val="20"/>
              </w:rPr>
              <w:t xml:space="preserve"> e.g. ritonavir</w:t>
            </w:r>
          </w:p>
        </w:tc>
        <w:tc>
          <w:tcPr>
            <w:tcW w:w="1794" w:type="dxa"/>
            <w:shd w:val="clear" w:color="auto" w:fill="auto"/>
          </w:tcPr>
          <w:p w:rsidR="00734B2C" w:rsidRPr="002742BE" w:rsidRDefault="00E80DAF" w:rsidP="00F04C47">
            <w:pPr>
              <w:pStyle w:val="BodyText2"/>
              <w:tabs>
                <w:tab w:val="left" w:pos="567"/>
              </w:tabs>
              <w:spacing w:before="60" w:after="60"/>
              <w:ind w:right="46"/>
              <w:rPr>
                <w:rFonts w:ascii="Arial" w:hAnsi="Arial" w:cs="Arial"/>
                <w:b w:val="0"/>
                <w:i/>
                <w:sz w:val="20"/>
              </w:rPr>
            </w:pPr>
            <w:r w:rsidRPr="002742BE">
              <w:rPr>
                <w:rFonts w:ascii="Book Antiqua" w:hAnsi="Book Antiqua" w:cs="Arial"/>
                <w:b w:val="0"/>
                <w:sz w:val="20"/>
              </w:rPr>
              <w:t>↑</w:t>
            </w:r>
            <w:r w:rsidRPr="002742BE">
              <w:rPr>
                <w:rFonts w:ascii="Arial" w:hAnsi="Arial" w:cs="Arial"/>
                <w:b w:val="0"/>
                <w:sz w:val="20"/>
              </w:rPr>
              <w:t xml:space="preserve"> rivaroxaban</w:t>
            </w:r>
          </w:p>
        </w:tc>
        <w:tc>
          <w:tcPr>
            <w:tcW w:w="4585" w:type="dxa"/>
            <w:shd w:val="clear" w:color="auto" w:fill="auto"/>
          </w:tcPr>
          <w:p w:rsidR="00734B2C" w:rsidRPr="002742BE" w:rsidRDefault="004E2F55" w:rsidP="00F04C47">
            <w:pPr>
              <w:pStyle w:val="BodyText2"/>
              <w:tabs>
                <w:tab w:val="left" w:pos="567"/>
              </w:tabs>
              <w:spacing w:before="60" w:after="60"/>
              <w:ind w:right="46"/>
              <w:rPr>
                <w:rFonts w:ascii="Arial" w:hAnsi="Arial" w:cs="Arial"/>
                <w:b w:val="0"/>
                <w:i/>
                <w:sz w:val="20"/>
              </w:rPr>
            </w:pPr>
            <w:r w:rsidRPr="002742BE">
              <w:rPr>
                <w:rFonts w:ascii="Arial" w:hAnsi="Arial" w:cs="Arial"/>
                <w:b w:val="0"/>
                <w:snapToGrid w:val="0"/>
                <w:sz w:val="20"/>
              </w:rPr>
              <w:t xml:space="preserve">Concomitant treatment with systemic azole-antimycotics or HIV-protease inhibitors is contraindicated. </w:t>
            </w:r>
          </w:p>
        </w:tc>
      </w:tr>
    </w:tbl>
    <w:p w:rsidR="00C078E8" w:rsidRPr="002742BE" w:rsidRDefault="00C078E8" w:rsidP="008405A6">
      <w:pPr>
        <w:pStyle w:val="Caption"/>
        <w:ind w:right="46"/>
        <w:rPr>
          <w:rFonts w:ascii="Arial" w:hAnsi="Arial" w:cs="Arial"/>
          <w:lang w:val="en-AU"/>
        </w:rPr>
      </w:pPr>
      <w:bookmarkStart w:id="17" w:name="_Ref318470870"/>
      <w:bookmarkStart w:id="18" w:name="_Toc180211515"/>
    </w:p>
    <w:p w:rsidR="008405A6" w:rsidRPr="002742BE" w:rsidRDefault="008405A6" w:rsidP="008405A6">
      <w:pPr>
        <w:pStyle w:val="Caption"/>
        <w:ind w:right="46"/>
        <w:rPr>
          <w:rFonts w:ascii="Arial" w:hAnsi="Arial" w:cs="Arial"/>
          <w:lang w:val="en-AU"/>
        </w:rPr>
      </w:pPr>
      <w:bookmarkStart w:id="19" w:name="_Ref318972177"/>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13</w:t>
      </w:r>
      <w:r w:rsidR="00794C79" w:rsidRPr="002742BE">
        <w:rPr>
          <w:rFonts w:ascii="Arial" w:hAnsi="Arial" w:cs="Arial"/>
          <w:lang w:val="en-AU"/>
        </w:rPr>
        <w:fldChar w:fldCharType="end"/>
      </w:r>
      <w:bookmarkEnd w:id="17"/>
      <w:bookmarkEnd w:id="19"/>
      <w:r w:rsidRPr="002742BE">
        <w:rPr>
          <w:rFonts w:ascii="Arial" w:hAnsi="Arial" w:cs="Arial"/>
          <w:lang w:val="en-AU"/>
        </w:rPr>
        <w:t>: Established or potential interactions which are not clinically relevant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1794"/>
        <w:gridCol w:w="4585"/>
      </w:tblGrid>
      <w:tr w:rsidR="008405A6" w:rsidRPr="002742BE" w:rsidTr="00C072D4">
        <w:trPr>
          <w:tblHeader/>
        </w:trPr>
        <w:tc>
          <w:tcPr>
            <w:tcW w:w="2943" w:type="dxa"/>
            <w:shd w:val="clear" w:color="auto" w:fill="E0E0E0"/>
          </w:tcPr>
          <w:p w:rsidR="008405A6" w:rsidRPr="002742BE" w:rsidRDefault="008405A6" w:rsidP="003432F8">
            <w:pPr>
              <w:pStyle w:val="BodyText2"/>
              <w:tabs>
                <w:tab w:val="left" w:pos="567"/>
              </w:tabs>
              <w:spacing w:before="60" w:after="60"/>
              <w:ind w:right="46"/>
              <w:rPr>
                <w:rFonts w:ascii="Arial" w:hAnsi="Arial" w:cs="Arial"/>
                <w:b w:val="0"/>
                <w:i/>
                <w:sz w:val="20"/>
              </w:rPr>
            </w:pPr>
            <w:r w:rsidRPr="002742BE">
              <w:rPr>
                <w:rFonts w:ascii="Arial" w:hAnsi="Arial" w:cs="Arial"/>
                <w:b w:val="0"/>
                <w:i/>
                <w:sz w:val="20"/>
              </w:rPr>
              <w:t xml:space="preserve">Class (effect) </w:t>
            </w:r>
          </w:p>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Examples</w:t>
            </w:r>
          </w:p>
        </w:tc>
        <w:tc>
          <w:tcPr>
            <w:tcW w:w="1794" w:type="dxa"/>
            <w:shd w:val="clear" w:color="auto" w:fill="E0E0E0"/>
          </w:tcPr>
          <w:p w:rsidR="008405A6" w:rsidRPr="002742BE" w:rsidRDefault="008405A6" w:rsidP="003432F8">
            <w:pPr>
              <w:pStyle w:val="BodyText2"/>
              <w:tabs>
                <w:tab w:val="left" w:pos="567"/>
              </w:tabs>
              <w:spacing w:before="60" w:after="60"/>
              <w:ind w:right="46"/>
              <w:jc w:val="left"/>
              <w:rPr>
                <w:rFonts w:ascii="Arial" w:hAnsi="Arial" w:cs="Arial"/>
                <w:b w:val="0"/>
                <w:sz w:val="20"/>
              </w:rPr>
            </w:pPr>
            <w:r w:rsidRPr="002742BE">
              <w:rPr>
                <w:rFonts w:ascii="Arial" w:hAnsi="Arial" w:cs="Arial"/>
                <w:b w:val="0"/>
                <w:sz w:val="20"/>
              </w:rPr>
              <w:t>Effect on rivaroxaban plasma concentration</w:t>
            </w:r>
          </w:p>
        </w:tc>
        <w:tc>
          <w:tcPr>
            <w:tcW w:w="4585" w:type="dxa"/>
            <w:shd w:val="clear" w:color="auto" w:fill="E0E0E0"/>
          </w:tcPr>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Clinical comment</w:t>
            </w:r>
          </w:p>
        </w:tc>
      </w:tr>
      <w:tr w:rsidR="008405A6" w:rsidRPr="002742BE" w:rsidTr="00C072D4">
        <w:tc>
          <w:tcPr>
            <w:tcW w:w="2943" w:type="dxa"/>
            <w:shd w:val="clear" w:color="auto" w:fill="auto"/>
          </w:tcPr>
          <w:p w:rsidR="008405A6" w:rsidRPr="002742BE" w:rsidRDefault="008405A6" w:rsidP="003432F8">
            <w:pPr>
              <w:pStyle w:val="BodyText2"/>
              <w:tabs>
                <w:tab w:val="left" w:pos="567"/>
              </w:tabs>
              <w:spacing w:before="60" w:after="60" w:line="260" w:lineRule="exact"/>
              <w:ind w:right="46"/>
              <w:rPr>
                <w:rFonts w:ascii="Arial" w:hAnsi="Arial" w:cs="Arial"/>
                <w:b w:val="0"/>
                <w:sz w:val="20"/>
              </w:rPr>
            </w:pPr>
            <w:r w:rsidRPr="002742BE">
              <w:rPr>
                <w:rFonts w:ascii="Arial" w:hAnsi="Arial" w:cs="Arial"/>
                <w:b w:val="0"/>
                <w:sz w:val="20"/>
              </w:rPr>
              <w:t xml:space="preserve">CYP3A4 and P-gp inhibitor </w:t>
            </w:r>
          </w:p>
          <w:p w:rsidR="008405A6" w:rsidRPr="002742BE" w:rsidRDefault="008405A6" w:rsidP="003432F8">
            <w:pPr>
              <w:pStyle w:val="BodyText2"/>
              <w:tabs>
                <w:tab w:val="left" w:pos="567"/>
              </w:tabs>
              <w:spacing w:before="60" w:after="60" w:line="260" w:lineRule="exact"/>
              <w:ind w:right="46"/>
              <w:rPr>
                <w:rFonts w:ascii="Arial" w:hAnsi="Arial" w:cs="Arial"/>
                <w:b w:val="0"/>
                <w:sz w:val="20"/>
              </w:rPr>
            </w:pPr>
            <w:r w:rsidRPr="002742BE">
              <w:rPr>
                <w:rFonts w:ascii="Arial" w:hAnsi="Arial" w:cs="Arial"/>
                <w:b w:val="0"/>
                <w:sz w:val="20"/>
              </w:rPr>
              <w:t>Fluconazole</w:t>
            </w:r>
          </w:p>
        </w:tc>
        <w:tc>
          <w:tcPr>
            <w:tcW w:w="1794" w:type="dxa"/>
            <w:shd w:val="clear" w:color="auto" w:fill="auto"/>
          </w:tcPr>
          <w:p w:rsidR="008405A6" w:rsidRPr="002742BE" w:rsidRDefault="008405A6" w:rsidP="003432F8">
            <w:pPr>
              <w:pStyle w:val="BodyText2"/>
              <w:tabs>
                <w:tab w:val="left" w:pos="567"/>
              </w:tabs>
              <w:spacing w:before="60" w:after="60" w:line="260" w:lineRule="exact"/>
              <w:ind w:right="46"/>
              <w:rPr>
                <w:rFonts w:ascii="Book Antiqua" w:hAnsi="Book Antiqua" w:cs="Arial"/>
                <w:b w:val="0"/>
                <w:sz w:val="20"/>
              </w:rPr>
            </w:pPr>
            <w:r w:rsidRPr="002742BE">
              <w:rPr>
                <w:rFonts w:ascii="Book Antiqua" w:hAnsi="Book Antiqua" w:cs="Arial"/>
                <w:b w:val="0"/>
                <w:sz w:val="20"/>
              </w:rPr>
              <w:t>↑</w:t>
            </w:r>
            <w:r w:rsidRPr="002742BE">
              <w:rPr>
                <w:rFonts w:ascii="Arial" w:hAnsi="Arial" w:cs="Arial"/>
                <w:b w:val="0"/>
                <w:sz w:val="20"/>
              </w:rPr>
              <w:t xml:space="preserve"> rivaroxaban</w:t>
            </w:r>
          </w:p>
        </w:tc>
        <w:tc>
          <w:tcPr>
            <w:tcW w:w="4585" w:type="dxa"/>
            <w:shd w:val="clear" w:color="auto" w:fill="auto"/>
          </w:tcPr>
          <w:p w:rsidR="008405A6" w:rsidRPr="002742BE" w:rsidRDefault="008405A6" w:rsidP="003432F8">
            <w:pPr>
              <w:pStyle w:val="BodyText2"/>
              <w:tabs>
                <w:tab w:val="left" w:pos="567"/>
              </w:tabs>
              <w:spacing w:before="60" w:after="60" w:line="260" w:lineRule="exact"/>
              <w:ind w:right="46"/>
              <w:rPr>
                <w:rFonts w:ascii="Arial" w:hAnsi="Arial" w:cs="Arial"/>
                <w:b w:val="0"/>
                <w:sz w:val="20"/>
              </w:rPr>
            </w:pPr>
            <w:r w:rsidRPr="002742BE">
              <w:rPr>
                <w:rFonts w:ascii="Arial" w:hAnsi="Arial" w:cs="Arial"/>
                <w:b w:val="0"/>
                <w:sz w:val="20"/>
              </w:rPr>
              <w:t>Fluconazole (400 mg once daily), considered as moderate CYP 3A4 inhibitor, led to a 1.4</w:t>
            </w:r>
            <w:r w:rsidRPr="002742BE">
              <w:rPr>
                <w:rFonts w:ascii="Arial" w:hAnsi="Arial" w:cs="Arial"/>
                <w:b w:val="0"/>
                <w:sz w:val="20"/>
              </w:rPr>
              <w:noBreakHyphen/>
              <w:t>fold increase in mean rivaroxaban AUC and a 1.3</w:t>
            </w:r>
            <w:r w:rsidRPr="002742BE">
              <w:rPr>
                <w:rFonts w:ascii="Arial" w:hAnsi="Arial" w:cs="Arial"/>
                <w:b w:val="0"/>
                <w:sz w:val="20"/>
              </w:rPr>
              <w:noBreakHyphen/>
              <w:t>fold increase in mean C</w:t>
            </w:r>
            <w:r w:rsidRPr="002742BE">
              <w:rPr>
                <w:rFonts w:ascii="Arial" w:hAnsi="Arial" w:cs="Arial"/>
                <w:b w:val="0"/>
                <w:sz w:val="20"/>
                <w:vertAlign w:val="subscript"/>
              </w:rPr>
              <w:t>max</w:t>
            </w:r>
            <w:r w:rsidRPr="002742BE">
              <w:rPr>
                <w:rFonts w:ascii="Arial" w:hAnsi="Arial" w:cs="Arial"/>
                <w:b w:val="0"/>
                <w:sz w:val="20"/>
              </w:rPr>
              <w:t>. This increase is within the magnitude of the normal variability of AUC and C</w:t>
            </w:r>
            <w:r w:rsidRPr="002742BE">
              <w:rPr>
                <w:rFonts w:ascii="Arial" w:hAnsi="Arial" w:cs="Arial"/>
                <w:b w:val="0"/>
                <w:sz w:val="20"/>
                <w:vertAlign w:val="subscript"/>
              </w:rPr>
              <w:t>max</w:t>
            </w:r>
            <w:r w:rsidRPr="002742BE">
              <w:rPr>
                <w:rFonts w:ascii="Arial" w:hAnsi="Arial" w:cs="Arial"/>
                <w:b w:val="0"/>
                <w:sz w:val="20"/>
              </w:rPr>
              <w:t xml:space="preserve"> and is considered not clinically relevant.</w:t>
            </w:r>
          </w:p>
        </w:tc>
      </w:tr>
      <w:tr w:rsidR="008405A6" w:rsidRPr="002742BE" w:rsidTr="00C072D4">
        <w:tc>
          <w:tcPr>
            <w:tcW w:w="2943"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i/>
                <w:sz w:val="20"/>
              </w:rPr>
            </w:pPr>
            <w:r w:rsidRPr="002742BE">
              <w:rPr>
                <w:rFonts w:ascii="Arial" w:hAnsi="Arial" w:cs="Arial"/>
                <w:b w:val="0"/>
                <w:i/>
                <w:sz w:val="20"/>
              </w:rPr>
              <w:t>Strong CYP 3A4 and moderate P-gp inhibitor</w:t>
            </w:r>
          </w:p>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 xml:space="preserve">Clarithromycin </w:t>
            </w:r>
          </w:p>
          <w:p w:rsidR="008405A6" w:rsidRPr="002742BE" w:rsidRDefault="008405A6" w:rsidP="003432F8">
            <w:pPr>
              <w:pStyle w:val="BodyText2"/>
              <w:tabs>
                <w:tab w:val="left" w:pos="567"/>
              </w:tabs>
              <w:spacing w:before="60" w:after="60"/>
              <w:ind w:right="46"/>
              <w:rPr>
                <w:rFonts w:ascii="Arial" w:hAnsi="Arial" w:cs="Arial"/>
                <w:b w:val="0"/>
                <w:sz w:val="20"/>
              </w:rPr>
            </w:pPr>
          </w:p>
        </w:tc>
        <w:tc>
          <w:tcPr>
            <w:tcW w:w="1794"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Book Antiqua" w:hAnsi="Book Antiqua" w:cs="Arial"/>
                <w:b w:val="0"/>
                <w:sz w:val="20"/>
              </w:rPr>
              <w:t>↑</w:t>
            </w:r>
            <w:r w:rsidRPr="002742BE">
              <w:rPr>
                <w:rFonts w:ascii="Arial" w:hAnsi="Arial" w:cs="Arial"/>
                <w:b w:val="0"/>
                <w:sz w:val="20"/>
              </w:rPr>
              <w:t xml:space="preserve"> rivaroxaban</w:t>
            </w:r>
          </w:p>
        </w:tc>
        <w:tc>
          <w:tcPr>
            <w:tcW w:w="4585"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500 mg bid led to a 1.5 fold increase in mean rivaroxaban AUC and a 1.4 fold increase in C</w:t>
            </w:r>
            <w:r w:rsidRPr="002742BE">
              <w:rPr>
                <w:rFonts w:ascii="Arial" w:hAnsi="Arial" w:cs="Arial"/>
                <w:b w:val="0"/>
                <w:sz w:val="20"/>
                <w:vertAlign w:val="subscript"/>
              </w:rPr>
              <w:t>max</w:t>
            </w:r>
            <w:r w:rsidRPr="002742BE">
              <w:rPr>
                <w:rFonts w:ascii="Arial" w:hAnsi="Arial" w:cs="Arial"/>
                <w:b w:val="0"/>
                <w:sz w:val="20"/>
              </w:rPr>
              <w:t>. This increase, which is close to the magnitude of the normal variability of AUC and C</w:t>
            </w:r>
            <w:r w:rsidRPr="002742BE">
              <w:rPr>
                <w:rFonts w:ascii="Arial" w:hAnsi="Arial" w:cs="Arial"/>
                <w:b w:val="0"/>
                <w:sz w:val="20"/>
                <w:vertAlign w:val="subscript"/>
              </w:rPr>
              <w:t>max</w:t>
            </w:r>
            <w:r w:rsidRPr="002742BE">
              <w:rPr>
                <w:rFonts w:ascii="Arial" w:hAnsi="Arial" w:cs="Arial"/>
                <w:b w:val="0"/>
                <w:sz w:val="20"/>
              </w:rPr>
              <w:t>, is considered to be not clinically relevant.</w:t>
            </w:r>
          </w:p>
        </w:tc>
      </w:tr>
      <w:tr w:rsidR="008405A6" w:rsidRPr="002742BE" w:rsidTr="00C072D4">
        <w:tc>
          <w:tcPr>
            <w:tcW w:w="2943"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i/>
                <w:sz w:val="20"/>
              </w:rPr>
            </w:pPr>
            <w:r w:rsidRPr="002742BE">
              <w:rPr>
                <w:rFonts w:ascii="Arial" w:hAnsi="Arial" w:cs="Arial"/>
                <w:b w:val="0"/>
                <w:i/>
                <w:sz w:val="20"/>
              </w:rPr>
              <w:t>Moderate CYP3A4 and moderate P-gp inhibitor</w:t>
            </w:r>
          </w:p>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Erythromycin</w:t>
            </w:r>
          </w:p>
        </w:tc>
        <w:tc>
          <w:tcPr>
            <w:tcW w:w="1794"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Book Antiqua" w:hAnsi="Book Antiqua" w:cs="Arial"/>
                <w:b w:val="0"/>
                <w:sz w:val="20"/>
              </w:rPr>
              <w:t>↑</w:t>
            </w:r>
            <w:r w:rsidRPr="002742BE">
              <w:rPr>
                <w:rFonts w:ascii="Arial" w:hAnsi="Arial" w:cs="Arial"/>
                <w:b w:val="0"/>
                <w:sz w:val="20"/>
              </w:rPr>
              <w:t xml:space="preserve"> rivaroxaban</w:t>
            </w:r>
          </w:p>
        </w:tc>
        <w:tc>
          <w:tcPr>
            <w:tcW w:w="4585"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500 mg tid led to a 1.3</w:t>
            </w:r>
            <w:r w:rsidRPr="002742BE">
              <w:rPr>
                <w:rFonts w:ascii="Arial" w:hAnsi="Arial" w:cs="Arial"/>
                <w:b w:val="0"/>
                <w:sz w:val="20"/>
              </w:rPr>
              <w:noBreakHyphen/>
              <w:t>fold in</w:t>
            </w:r>
            <w:r w:rsidRPr="002742BE">
              <w:rPr>
                <w:rFonts w:ascii="Arial" w:hAnsi="Arial" w:cs="Arial"/>
                <w:b w:val="0"/>
                <w:sz w:val="20"/>
              </w:rPr>
              <w:softHyphen/>
              <w:t>crease in mean rivaroxaban steady state AUC and C</w:t>
            </w:r>
            <w:r w:rsidRPr="002742BE">
              <w:rPr>
                <w:rFonts w:ascii="Arial" w:hAnsi="Arial" w:cs="Arial"/>
                <w:b w:val="0"/>
                <w:sz w:val="20"/>
                <w:vertAlign w:val="subscript"/>
              </w:rPr>
              <w:t>max</w:t>
            </w:r>
            <w:r w:rsidRPr="002742BE">
              <w:rPr>
                <w:rFonts w:ascii="Arial" w:hAnsi="Arial" w:cs="Arial"/>
                <w:b w:val="0"/>
                <w:sz w:val="20"/>
              </w:rPr>
              <w:t>. This increase is within the magnitude of the normal varia</w:t>
            </w:r>
            <w:r w:rsidRPr="002742BE">
              <w:rPr>
                <w:rFonts w:ascii="Arial" w:hAnsi="Arial" w:cs="Arial"/>
                <w:b w:val="0"/>
                <w:sz w:val="20"/>
              </w:rPr>
              <w:softHyphen/>
              <w:t>bility of AUC and C</w:t>
            </w:r>
            <w:r w:rsidRPr="002742BE">
              <w:rPr>
                <w:rFonts w:ascii="Arial" w:hAnsi="Arial" w:cs="Arial"/>
                <w:b w:val="0"/>
                <w:sz w:val="20"/>
                <w:vertAlign w:val="subscript"/>
              </w:rPr>
              <w:t>max</w:t>
            </w:r>
            <w:r w:rsidRPr="002742BE">
              <w:rPr>
                <w:rFonts w:ascii="Arial" w:hAnsi="Arial" w:cs="Arial"/>
                <w:b w:val="0"/>
                <w:sz w:val="20"/>
              </w:rPr>
              <w:t xml:space="preserve"> and is considered not clinically relevant.</w:t>
            </w:r>
          </w:p>
        </w:tc>
      </w:tr>
      <w:tr w:rsidR="008405A6" w:rsidRPr="002742BE" w:rsidTr="00C072D4">
        <w:tc>
          <w:tcPr>
            <w:tcW w:w="2943" w:type="dxa"/>
            <w:shd w:val="clear" w:color="auto" w:fill="auto"/>
          </w:tcPr>
          <w:p w:rsidR="008405A6" w:rsidRPr="002742BE" w:rsidRDefault="008405A6" w:rsidP="003432F8">
            <w:pPr>
              <w:pStyle w:val="BodyText2"/>
              <w:tabs>
                <w:tab w:val="left" w:pos="567"/>
              </w:tabs>
              <w:spacing w:before="60" w:after="60"/>
              <w:ind w:right="46"/>
              <w:jc w:val="left"/>
              <w:rPr>
                <w:rFonts w:ascii="Arial" w:hAnsi="Arial" w:cs="Arial"/>
                <w:b w:val="0"/>
                <w:i/>
                <w:sz w:val="20"/>
              </w:rPr>
            </w:pPr>
            <w:r w:rsidRPr="002742BE">
              <w:rPr>
                <w:rFonts w:ascii="Arial" w:hAnsi="Arial" w:cs="Arial"/>
                <w:b w:val="0"/>
                <w:i/>
                <w:sz w:val="20"/>
              </w:rPr>
              <w:t>Other P-gp inhibitors</w:t>
            </w:r>
          </w:p>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Cyclosporine, Amiodarone,</w:t>
            </w:r>
          </w:p>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Quinidine, Diltiazem,</w:t>
            </w:r>
          </w:p>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Verapamil</w:t>
            </w:r>
          </w:p>
        </w:tc>
        <w:tc>
          <w:tcPr>
            <w:tcW w:w="1794"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Book Antiqua" w:hAnsi="Book Antiqua" w:cs="Arial"/>
                <w:b w:val="0"/>
                <w:sz w:val="20"/>
              </w:rPr>
              <w:t>↑</w:t>
            </w:r>
            <w:r w:rsidRPr="002742BE">
              <w:rPr>
                <w:rFonts w:ascii="Arial" w:hAnsi="Arial" w:cs="Arial"/>
                <w:b w:val="0"/>
                <w:sz w:val="20"/>
              </w:rPr>
              <w:t xml:space="preserve"> rivaroxaban</w:t>
            </w:r>
          </w:p>
        </w:tc>
        <w:tc>
          <w:tcPr>
            <w:tcW w:w="4585"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 xml:space="preserve">Theoretically, due to the inhibition of P-gp mediated renal excretion, concomitant administration with Xarelto may lead to increased plasma rivaroxaban to a level which is considered not clinically relevant. </w:t>
            </w:r>
          </w:p>
        </w:tc>
      </w:tr>
      <w:tr w:rsidR="008405A6" w:rsidRPr="002742BE" w:rsidTr="00C072D4">
        <w:tc>
          <w:tcPr>
            <w:tcW w:w="2943"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i/>
                <w:sz w:val="20"/>
              </w:rPr>
            </w:pPr>
            <w:r w:rsidRPr="002742BE">
              <w:rPr>
                <w:rFonts w:ascii="Arial" w:hAnsi="Arial" w:cs="Arial"/>
                <w:b w:val="0"/>
                <w:i/>
                <w:sz w:val="20"/>
              </w:rPr>
              <w:t>Strong CYP 3A4 and P-gp inducer</w:t>
            </w:r>
          </w:p>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Rifampicin</w:t>
            </w:r>
          </w:p>
        </w:tc>
        <w:tc>
          <w:tcPr>
            <w:tcW w:w="1794" w:type="dxa"/>
            <w:shd w:val="clear" w:color="auto" w:fill="auto"/>
          </w:tcPr>
          <w:p w:rsidR="008405A6" w:rsidRPr="002742BE" w:rsidRDefault="008405A6" w:rsidP="003432F8">
            <w:pPr>
              <w:pStyle w:val="BodyText2"/>
              <w:tabs>
                <w:tab w:val="left" w:pos="567"/>
              </w:tabs>
              <w:spacing w:before="60" w:after="60"/>
              <w:ind w:right="46"/>
              <w:rPr>
                <w:rFonts w:ascii="Book Antiqua" w:hAnsi="Book Antiqua" w:cs="Arial"/>
                <w:b w:val="0"/>
                <w:sz w:val="20"/>
              </w:rPr>
            </w:pPr>
            <w:r w:rsidRPr="002742BE">
              <w:rPr>
                <w:rFonts w:ascii="Book Antiqua" w:hAnsi="Book Antiqua" w:cs="Arial"/>
                <w:b w:val="0"/>
                <w:sz w:val="20"/>
              </w:rPr>
              <w:t xml:space="preserve">↓ </w:t>
            </w:r>
            <w:r w:rsidRPr="002742BE">
              <w:rPr>
                <w:rFonts w:ascii="Arial" w:hAnsi="Arial" w:cs="Arial"/>
                <w:b w:val="0"/>
                <w:sz w:val="20"/>
              </w:rPr>
              <w:t>rivaroxaban</w:t>
            </w:r>
          </w:p>
        </w:tc>
        <w:tc>
          <w:tcPr>
            <w:tcW w:w="4585"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Led to an approximate 50 % decrease in mean rivaroxaban AUC, with parallel decreases in its pharma</w:t>
            </w:r>
            <w:r w:rsidRPr="002742BE">
              <w:rPr>
                <w:rFonts w:ascii="Arial" w:hAnsi="Arial" w:cs="Arial"/>
                <w:b w:val="0"/>
                <w:sz w:val="20"/>
              </w:rPr>
              <w:softHyphen/>
              <w:t>co</w:t>
            </w:r>
            <w:r w:rsidRPr="002742BE">
              <w:rPr>
                <w:rFonts w:ascii="Arial" w:hAnsi="Arial" w:cs="Arial"/>
                <w:b w:val="0"/>
                <w:sz w:val="20"/>
              </w:rPr>
              <w:softHyphen/>
              <w:t>dynamic effects. The decrease in rivaroxaban plasma concentration is considered not clinically relevant.</w:t>
            </w:r>
          </w:p>
        </w:tc>
      </w:tr>
      <w:tr w:rsidR="008405A6" w:rsidRPr="002742BE" w:rsidTr="00C072D4">
        <w:tc>
          <w:tcPr>
            <w:tcW w:w="2943" w:type="dxa"/>
            <w:shd w:val="clear" w:color="auto" w:fill="auto"/>
          </w:tcPr>
          <w:p w:rsidR="008405A6" w:rsidRPr="002742BE" w:rsidRDefault="008405A6" w:rsidP="003432F8">
            <w:pPr>
              <w:pStyle w:val="BodyText2"/>
              <w:tabs>
                <w:tab w:val="left" w:pos="567"/>
              </w:tabs>
              <w:spacing w:before="60" w:after="60"/>
              <w:ind w:right="46"/>
              <w:jc w:val="left"/>
              <w:rPr>
                <w:rFonts w:ascii="Arial" w:hAnsi="Arial" w:cs="Arial"/>
                <w:b w:val="0"/>
                <w:i/>
                <w:sz w:val="20"/>
              </w:rPr>
            </w:pPr>
            <w:r w:rsidRPr="002742BE">
              <w:rPr>
                <w:rFonts w:ascii="Arial" w:hAnsi="Arial" w:cs="Arial"/>
                <w:b w:val="0"/>
                <w:i/>
                <w:sz w:val="20"/>
              </w:rPr>
              <w:t>Other CYP 3A4 inducers</w:t>
            </w:r>
          </w:p>
          <w:p w:rsidR="008405A6" w:rsidRPr="002742BE" w:rsidRDefault="008405A6" w:rsidP="003432F8">
            <w:pPr>
              <w:pStyle w:val="BodyText2"/>
              <w:tabs>
                <w:tab w:val="left" w:pos="567"/>
              </w:tabs>
              <w:spacing w:before="60" w:after="60"/>
              <w:ind w:right="46"/>
              <w:jc w:val="left"/>
              <w:rPr>
                <w:rFonts w:ascii="Arial" w:hAnsi="Arial" w:cs="Arial"/>
                <w:b w:val="0"/>
                <w:sz w:val="20"/>
              </w:rPr>
            </w:pPr>
            <w:r w:rsidRPr="002742BE">
              <w:rPr>
                <w:rFonts w:ascii="Arial" w:hAnsi="Arial" w:cs="Arial"/>
                <w:b w:val="0"/>
                <w:sz w:val="20"/>
              </w:rPr>
              <w:lastRenderedPageBreak/>
              <w:t xml:space="preserve">Anticonvulsants e.g. Phenytoin, Carbamazepine, Phenobarbitone or </w:t>
            </w:r>
          </w:p>
          <w:p w:rsidR="008405A6" w:rsidRPr="002742BE" w:rsidRDefault="008405A6" w:rsidP="003432F8">
            <w:pPr>
              <w:pStyle w:val="BodyText2"/>
              <w:tabs>
                <w:tab w:val="left" w:pos="567"/>
              </w:tabs>
              <w:spacing w:before="60" w:after="60"/>
              <w:ind w:right="46"/>
              <w:jc w:val="left"/>
              <w:rPr>
                <w:rFonts w:ascii="Arial" w:hAnsi="Arial" w:cs="Arial"/>
                <w:b w:val="0"/>
                <w:sz w:val="20"/>
              </w:rPr>
            </w:pPr>
            <w:r w:rsidRPr="002742BE">
              <w:rPr>
                <w:rFonts w:ascii="Arial" w:hAnsi="Arial" w:cs="Arial"/>
                <w:b w:val="0"/>
                <w:sz w:val="20"/>
              </w:rPr>
              <w:t>St John’s Wort</w:t>
            </w:r>
          </w:p>
        </w:tc>
        <w:tc>
          <w:tcPr>
            <w:tcW w:w="1794" w:type="dxa"/>
            <w:shd w:val="clear" w:color="auto" w:fill="auto"/>
          </w:tcPr>
          <w:p w:rsidR="008405A6" w:rsidRPr="002742BE" w:rsidRDefault="008405A6" w:rsidP="003432F8">
            <w:pPr>
              <w:pStyle w:val="BodyText2"/>
              <w:tabs>
                <w:tab w:val="left" w:pos="567"/>
              </w:tabs>
              <w:spacing w:before="60" w:after="60"/>
              <w:ind w:right="46"/>
              <w:rPr>
                <w:rFonts w:ascii="Book Antiqua" w:hAnsi="Book Antiqua" w:cs="Arial"/>
                <w:b w:val="0"/>
                <w:sz w:val="20"/>
              </w:rPr>
            </w:pPr>
            <w:r w:rsidRPr="002742BE">
              <w:rPr>
                <w:rFonts w:ascii="Book Antiqua" w:hAnsi="Book Antiqua" w:cs="Arial"/>
                <w:b w:val="0"/>
                <w:sz w:val="20"/>
              </w:rPr>
              <w:lastRenderedPageBreak/>
              <w:t xml:space="preserve">↓ </w:t>
            </w:r>
            <w:r w:rsidRPr="002742BE">
              <w:rPr>
                <w:rFonts w:ascii="Arial" w:hAnsi="Arial" w:cs="Arial"/>
                <w:b w:val="0"/>
                <w:sz w:val="20"/>
              </w:rPr>
              <w:t>rivaroxaban</w:t>
            </w:r>
          </w:p>
        </w:tc>
        <w:tc>
          <w:tcPr>
            <w:tcW w:w="4585" w:type="dxa"/>
            <w:shd w:val="clear" w:color="auto" w:fill="auto"/>
          </w:tcPr>
          <w:p w:rsidR="008405A6" w:rsidRPr="002742BE" w:rsidRDefault="008405A6" w:rsidP="003432F8">
            <w:pPr>
              <w:pStyle w:val="BodyText2"/>
              <w:tabs>
                <w:tab w:val="left" w:pos="567"/>
              </w:tabs>
              <w:spacing w:before="60" w:after="60"/>
              <w:ind w:right="46"/>
              <w:rPr>
                <w:rFonts w:ascii="Arial" w:hAnsi="Arial" w:cs="Arial"/>
                <w:b w:val="0"/>
                <w:sz w:val="20"/>
              </w:rPr>
            </w:pPr>
            <w:r w:rsidRPr="002742BE">
              <w:rPr>
                <w:rFonts w:ascii="Arial" w:hAnsi="Arial" w:cs="Arial"/>
                <w:b w:val="0"/>
                <w:sz w:val="20"/>
              </w:rPr>
              <w:t xml:space="preserve">Concomitant use with Xarelto may lead to a </w:t>
            </w:r>
            <w:r w:rsidRPr="002742BE">
              <w:rPr>
                <w:rFonts w:ascii="Arial" w:hAnsi="Arial" w:cs="Arial"/>
                <w:b w:val="0"/>
                <w:sz w:val="20"/>
              </w:rPr>
              <w:lastRenderedPageBreak/>
              <w:t xml:space="preserve">decreased plasma rivaroxaban concentration. </w:t>
            </w:r>
          </w:p>
        </w:tc>
      </w:tr>
    </w:tbl>
    <w:p w:rsidR="008405A6" w:rsidRPr="002742BE" w:rsidRDefault="008405A6" w:rsidP="00C072D4">
      <w:pPr>
        <w:rPr>
          <w:lang w:val="en-AU"/>
        </w:rPr>
      </w:pPr>
    </w:p>
    <w:p w:rsidR="001D1004" w:rsidRPr="002742BE" w:rsidRDefault="001D1004" w:rsidP="00F04C47">
      <w:pPr>
        <w:pStyle w:val="Heading3"/>
        <w:tabs>
          <w:tab w:val="left" w:pos="567"/>
        </w:tabs>
        <w:spacing w:before="120" w:after="240"/>
        <w:ind w:right="46"/>
        <w:rPr>
          <w:rFonts w:ascii="Arial" w:hAnsi="Arial" w:cs="Arial"/>
          <w:bCs w:val="0"/>
          <w:spacing w:val="-4"/>
          <w:sz w:val="22"/>
          <w:szCs w:val="22"/>
          <w:lang w:val="en-AU"/>
        </w:rPr>
      </w:pPr>
      <w:r w:rsidRPr="002742BE">
        <w:rPr>
          <w:rFonts w:ascii="Arial" w:hAnsi="Arial" w:cs="Arial"/>
          <w:bCs w:val="0"/>
          <w:spacing w:val="-4"/>
          <w:sz w:val="22"/>
          <w:szCs w:val="22"/>
          <w:lang w:val="en-AU"/>
        </w:rPr>
        <w:t xml:space="preserve">Pharmacodynamic </w:t>
      </w:r>
      <w:r w:rsidR="003912A5" w:rsidRPr="002742BE">
        <w:rPr>
          <w:rFonts w:ascii="Arial" w:hAnsi="Arial" w:cs="Arial"/>
          <w:bCs w:val="0"/>
          <w:spacing w:val="-4"/>
          <w:sz w:val="22"/>
          <w:szCs w:val="22"/>
          <w:lang w:val="en-AU"/>
        </w:rPr>
        <w:t>Interactions</w:t>
      </w:r>
      <w:bookmarkEnd w:id="18"/>
    </w:p>
    <w:p w:rsidR="006805C0" w:rsidRPr="002742BE" w:rsidRDefault="006805C0" w:rsidP="005A2A87">
      <w:pPr>
        <w:pStyle w:val="Heading4"/>
        <w:spacing w:before="120" w:after="120"/>
        <w:ind w:right="45"/>
        <w:rPr>
          <w:rFonts w:ascii="Arial" w:hAnsi="Arial" w:cs="Arial"/>
          <w:b w:val="0"/>
          <w:i/>
          <w:sz w:val="22"/>
          <w:lang w:val="en-AU"/>
        </w:rPr>
      </w:pPr>
      <w:r w:rsidRPr="002742BE">
        <w:rPr>
          <w:rFonts w:ascii="Arial" w:hAnsi="Arial" w:cs="Arial"/>
          <w:b w:val="0"/>
          <w:i/>
          <w:sz w:val="22"/>
          <w:lang w:val="en-AU"/>
        </w:rPr>
        <w:t>Anticoagulants</w:t>
      </w:r>
    </w:p>
    <w:p w:rsidR="006805C0" w:rsidRPr="002742BE" w:rsidRDefault="001D1004" w:rsidP="005A2A87">
      <w:pPr>
        <w:spacing w:before="120" w:after="120"/>
        <w:ind w:right="45"/>
        <w:jc w:val="both"/>
        <w:rPr>
          <w:rFonts w:ascii="Arial" w:hAnsi="Arial" w:cs="Arial"/>
          <w:sz w:val="22"/>
          <w:szCs w:val="22"/>
          <w:lang w:val="en-AU"/>
        </w:rPr>
      </w:pPr>
      <w:r w:rsidRPr="002742BE">
        <w:rPr>
          <w:rFonts w:ascii="Arial" w:hAnsi="Arial" w:cs="Arial"/>
          <w:sz w:val="22"/>
          <w:szCs w:val="22"/>
          <w:lang w:val="en-AU"/>
        </w:rPr>
        <w:t>After combined administration of enoxaparin (40 mg single dose) with rivaroxaban (10 mg single dose), an additive effect on anti-Factor Xa activity was observed without any additional effects on clotting tests (PT, aPTT). Enoxaparin did not affect the pharmaco</w:t>
      </w:r>
      <w:r w:rsidRPr="002742BE">
        <w:rPr>
          <w:rFonts w:ascii="Arial" w:hAnsi="Arial" w:cs="Arial"/>
          <w:sz w:val="22"/>
          <w:szCs w:val="22"/>
          <w:lang w:val="en-AU"/>
        </w:rPr>
        <w:softHyphen/>
        <w:t>kinetics of rivaroxaban.</w:t>
      </w:r>
      <w:r w:rsidR="006805C0" w:rsidRPr="002742BE">
        <w:rPr>
          <w:rFonts w:ascii="Arial" w:hAnsi="Arial" w:cs="Arial"/>
          <w:b/>
          <w:sz w:val="22"/>
          <w:szCs w:val="22"/>
          <w:lang w:val="en-AU"/>
        </w:rPr>
        <w:t xml:space="preserve"> </w:t>
      </w:r>
      <w:r w:rsidR="006805C0" w:rsidRPr="002742BE">
        <w:rPr>
          <w:rFonts w:ascii="Arial" w:hAnsi="Arial" w:cs="Arial"/>
          <w:sz w:val="22"/>
          <w:szCs w:val="22"/>
          <w:lang w:val="en-AU"/>
        </w:rPr>
        <w:t xml:space="preserve">Co administration of </w:t>
      </w:r>
      <w:r w:rsidR="00E8487E" w:rsidRPr="002742BE">
        <w:rPr>
          <w:rFonts w:ascii="Arial" w:hAnsi="Arial" w:cs="Arial"/>
          <w:sz w:val="22"/>
          <w:szCs w:val="22"/>
          <w:lang w:val="en-AU"/>
        </w:rPr>
        <w:t xml:space="preserve">Xarelto </w:t>
      </w:r>
      <w:r w:rsidR="006805C0" w:rsidRPr="002742BE">
        <w:rPr>
          <w:rFonts w:ascii="Arial" w:hAnsi="Arial" w:cs="Arial"/>
          <w:sz w:val="22"/>
          <w:szCs w:val="22"/>
          <w:lang w:val="en-AU"/>
        </w:rPr>
        <w:t>with other anticoagulant therapy has not been studied in clinical trials and is not recommended, as it may lead to an increased bleeding risk</w:t>
      </w:r>
      <w:r w:rsidR="00316779" w:rsidRPr="002742BE">
        <w:rPr>
          <w:rFonts w:ascii="Arial" w:hAnsi="Arial" w:cs="Arial"/>
          <w:sz w:val="22"/>
          <w:szCs w:val="22"/>
          <w:lang w:val="en-AU"/>
        </w:rPr>
        <w:t xml:space="preserve"> (see PRECAUTIONS)</w:t>
      </w:r>
      <w:r w:rsidR="006805C0" w:rsidRPr="002742BE">
        <w:rPr>
          <w:rFonts w:ascii="Arial" w:hAnsi="Arial" w:cs="Arial"/>
          <w:sz w:val="22"/>
          <w:szCs w:val="22"/>
          <w:lang w:val="en-AU"/>
        </w:rPr>
        <w:t xml:space="preserve">. </w:t>
      </w:r>
    </w:p>
    <w:p w:rsidR="001C2437" w:rsidRPr="002742BE" w:rsidRDefault="001C2437" w:rsidP="005A2A87">
      <w:pPr>
        <w:spacing w:before="120" w:after="120"/>
        <w:ind w:right="45"/>
        <w:jc w:val="both"/>
        <w:rPr>
          <w:rFonts w:ascii="Arial" w:hAnsi="Arial" w:cs="Arial"/>
          <w:sz w:val="22"/>
          <w:szCs w:val="22"/>
          <w:lang w:val="en-AU"/>
        </w:rPr>
      </w:pPr>
      <w:r w:rsidRPr="002742BE">
        <w:rPr>
          <w:rFonts w:ascii="Arial" w:hAnsi="Arial" w:cs="Arial"/>
          <w:sz w:val="22"/>
          <w:szCs w:val="22"/>
          <w:lang w:val="en-AU"/>
        </w:rPr>
        <w:t xml:space="preserve">Converting patients from warfarin (INR 2.0 to 3.0) to Xarelto 20 mg </w:t>
      </w:r>
      <w:r w:rsidR="000155B2" w:rsidRPr="002742BE">
        <w:rPr>
          <w:rFonts w:ascii="Arial" w:hAnsi="Arial" w:cs="Arial"/>
          <w:sz w:val="22"/>
          <w:szCs w:val="22"/>
          <w:lang w:val="en-AU"/>
        </w:rPr>
        <w:t xml:space="preserve">or from Xarelto (20 mg) to warfarin (INR 2.0 to 3.0) </w:t>
      </w:r>
      <w:r w:rsidRPr="002742BE">
        <w:rPr>
          <w:rFonts w:ascii="Arial" w:hAnsi="Arial" w:cs="Arial"/>
          <w:sz w:val="22"/>
          <w:szCs w:val="22"/>
          <w:lang w:val="en-AU"/>
        </w:rPr>
        <w:t>increased prothrombin time/INR (Neoplastin</w:t>
      </w:r>
      <w:r w:rsidRPr="002742BE">
        <w:rPr>
          <w:rFonts w:ascii="Arial" w:hAnsi="Arial" w:cs="Arial"/>
          <w:sz w:val="22"/>
          <w:szCs w:val="22"/>
          <w:vertAlign w:val="superscript"/>
          <w:lang w:val="en-AU"/>
        </w:rPr>
        <w:t>®</w:t>
      </w:r>
      <w:r w:rsidRPr="002742BE">
        <w:rPr>
          <w:rFonts w:ascii="Arial" w:hAnsi="Arial" w:cs="Arial"/>
          <w:sz w:val="22"/>
          <w:szCs w:val="22"/>
          <w:lang w:val="en-AU"/>
        </w:rPr>
        <w:t>) more than additively (individual INR values up to 12 may be observed), whereas effects on aPTT, inhibition of Factor Xa activity and endogenous thrombin potential were additive. It should be noted that the anticoagulant effect of rivaroxaban does not correlate to INR values and therefore INR should not be used.</w:t>
      </w:r>
    </w:p>
    <w:p w:rsidR="0055539D" w:rsidRPr="002742BE" w:rsidRDefault="0055539D" w:rsidP="005A2A87">
      <w:pPr>
        <w:spacing w:before="120" w:after="120"/>
        <w:ind w:right="45"/>
        <w:jc w:val="both"/>
        <w:rPr>
          <w:rFonts w:ascii="Arial" w:hAnsi="Arial" w:cs="Arial"/>
          <w:bCs/>
          <w:sz w:val="22"/>
          <w:szCs w:val="22"/>
          <w:lang w:val="en-AU"/>
        </w:rPr>
      </w:pPr>
      <w:r w:rsidRPr="002742BE">
        <w:rPr>
          <w:rFonts w:ascii="Arial" w:hAnsi="Arial" w:cs="Arial"/>
          <w:bCs/>
          <w:sz w:val="22"/>
          <w:szCs w:val="22"/>
          <w:lang w:val="en-AU"/>
        </w:rPr>
        <w:t xml:space="preserve">If it is desired to test the pharmacodynamic effects of Xarelto during the conversion period, anti-Factor Xa activity, PiCT, and HepTest can be used as these tests were not affected by warfarin. From day 4 after stopping warfarin onwards, all tests (including PT, aPTT, inhibition of Factor Xa activity and ETP) reflected only the effect of Xarelto (see </w:t>
      </w:r>
      <w:r w:rsidR="001D4ACF" w:rsidRPr="002742BE">
        <w:rPr>
          <w:rFonts w:ascii="Arial" w:hAnsi="Arial" w:cs="Arial"/>
          <w:bCs/>
          <w:sz w:val="22"/>
          <w:szCs w:val="22"/>
          <w:lang w:val="en-AU"/>
        </w:rPr>
        <w:t>DOSAGE AND ADMINISTRATION</w:t>
      </w:r>
      <w:r w:rsidRPr="002742BE">
        <w:rPr>
          <w:rFonts w:ascii="Arial" w:hAnsi="Arial" w:cs="Arial"/>
          <w:bCs/>
          <w:sz w:val="22"/>
          <w:szCs w:val="22"/>
          <w:lang w:val="en-AU"/>
        </w:rPr>
        <w:t>).</w:t>
      </w:r>
    </w:p>
    <w:p w:rsidR="0055539D" w:rsidRPr="002742BE" w:rsidRDefault="0055539D" w:rsidP="005A2A87">
      <w:pPr>
        <w:spacing w:before="120" w:after="120"/>
        <w:ind w:right="45"/>
        <w:jc w:val="both"/>
        <w:rPr>
          <w:rFonts w:ascii="Arial" w:hAnsi="Arial" w:cs="Arial"/>
          <w:bCs/>
          <w:sz w:val="22"/>
          <w:szCs w:val="22"/>
          <w:lang w:val="en-AU"/>
        </w:rPr>
      </w:pPr>
      <w:r w:rsidRPr="002742BE">
        <w:rPr>
          <w:rFonts w:ascii="Arial" w:hAnsi="Arial" w:cs="Arial"/>
          <w:bCs/>
          <w:sz w:val="22"/>
          <w:szCs w:val="22"/>
          <w:lang w:val="en-AU"/>
        </w:rPr>
        <w:t>If it is desired to test the pharmacodynamic effects of warfarin during the conversion period, INR measurement can be used at the C</w:t>
      </w:r>
      <w:r w:rsidRPr="002742BE">
        <w:rPr>
          <w:rFonts w:ascii="Arial" w:hAnsi="Arial" w:cs="Arial"/>
          <w:bCs/>
          <w:sz w:val="22"/>
          <w:szCs w:val="22"/>
          <w:vertAlign w:val="subscript"/>
          <w:lang w:val="en-AU"/>
        </w:rPr>
        <w:t>trough</w:t>
      </w:r>
      <w:r w:rsidRPr="002742BE">
        <w:rPr>
          <w:rFonts w:ascii="Arial" w:hAnsi="Arial" w:cs="Arial"/>
          <w:bCs/>
          <w:sz w:val="22"/>
          <w:szCs w:val="22"/>
          <w:lang w:val="en-AU"/>
        </w:rPr>
        <w:t xml:space="preserve"> of rivaroxaban (24 hours after the previous intake of rivaroxaban) as this test is minimally affected by rivaroxaban at this time point.</w:t>
      </w:r>
    </w:p>
    <w:p w:rsidR="0055539D" w:rsidRPr="002742BE" w:rsidRDefault="0055539D" w:rsidP="005A2A87">
      <w:pPr>
        <w:spacing w:before="120" w:after="120"/>
        <w:ind w:right="45"/>
        <w:jc w:val="both"/>
        <w:rPr>
          <w:rFonts w:ascii="Arial" w:hAnsi="Arial" w:cs="Arial"/>
          <w:bCs/>
          <w:sz w:val="22"/>
          <w:szCs w:val="22"/>
          <w:lang w:val="en-AU"/>
        </w:rPr>
      </w:pPr>
      <w:r w:rsidRPr="002742BE">
        <w:rPr>
          <w:rFonts w:ascii="Arial" w:hAnsi="Arial" w:cs="Arial"/>
          <w:bCs/>
          <w:sz w:val="22"/>
          <w:szCs w:val="22"/>
          <w:lang w:val="en-AU"/>
        </w:rPr>
        <w:t>No pharmacokinetic interaction was observed between warfarin and Xarelto.</w:t>
      </w:r>
    </w:p>
    <w:p w:rsidR="00555275" w:rsidRPr="002742BE" w:rsidRDefault="00316779" w:rsidP="005A2A87">
      <w:pPr>
        <w:pStyle w:val="Heading4"/>
        <w:spacing w:before="120" w:after="120"/>
        <w:ind w:right="45"/>
        <w:rPr>
          <w:rFonts w:ascii="Arial" w:hAnsi="Arial" w:cs="Arial"/>
          <w:b w:val="0"/>
          <w:i/>
          <w:sz w:val="22"/>
          <w:lang w:val="en-AU"/>
        </w:rPr>
      </w:pPr>
      <w:r w:rsidRPr="002742BE">
        <w:rPr>
          <w:rFonts w:ascii="Arial" w:hAnsi="Arial" w:cs="Arial"/>
          <w:b w:val="0"/>
          <w:i/>
          <w:sz w:val="22"/>
          <w:lang w:val="en-AU"/>
        </w:rPr>
        <w:t>Non-steroidal anti-inflammatory drugs</w:t>
      </w:r>
    </w:p>
    <w:p w:rsidR="00563BE2" w:rsidRPr="002742BE" w:rsidRDefault="00E50F0D" w:rsidP="005A2A87">
      <w:pPr>
        <w:spacing w:before="120" w:after="120"/>
        <w:ind w:right="45"/>
        <w:jc w:val="both"/>
        <w:rPr>
          <w:rFonts w:ascii="Arial" w:hAnsi="Arial" w:cs="Arial"/>
          <w:iCs/>
          <w:sz w:val="22"/>
          <w:szCs w:val="22"/>
          <w:lang w:val="en-AU"/>
        </w:rPr>
      </w:pPr>
      <w:r w:rsidRPr="002742BE">
        <w:rPr>
          <w:rFonts w:ascii="Arial" w:hAnsi="Arial" w:cs="Arial"/>
          <w:sz w:val="22"/>
          <w:szCs w:val="22"/>
          <w:lang w:val="en-AU"/>
        </w:rPr>
        <w:t>Bleeding time was prolonged after co-administration of naproxen (500</w:t>
      </w:r>
      <w:r w:rsidR="00637CED" w:rsidRPr="002742BE">
        <w:rPr>
          <w:rFonts w:ascii="Arial" w:hAnsi="Arial" w:cs="Arial"/>
          <w:sz w:val="22"/>
          <w:szCs w:val="22"/>
          <w:lang w:val="en-AU"/>
        </w:rPr>
        <w:t xml:space="preserve"> mg) and </w:t>
      </w:r>
      <w:r w:rsidR="009F5712" w:rsidRPr="002742BE">
        <w:rPr>
          <w:rFonts w:ascii="Arial" w:hAnsi="Arial" w:cs="Arial"/>
          <w:sz w:val="22"/>
          <w:szCs w:val="22"/>
          <w:lang w:val="en-AU"/>
        </w:rPr>
        <w:t>r</w:t>
      </w:r>
      <w:r w:rsidR="00637CED" w:rsidRPr="002742BE">
        <w:rPr>
          <w:rFonts w:ascii="Arial" w:hAnsi="Arial" w:cs="Arial"/>
          <w:sz w:val="22"/>
          <w:szCs w:val="22"/>
          <w:lang w:val="en-AU"/>
        </w:rPr>
        <w:t>ivaroxaban (mean 11.3 </w:t>
      </w:r>
      <w:r w:rsidRPr="002742BE">
        <w:rPr>
          <w:rFonts w:ascii="Arial" w:hAnsi="Arial" w:cs="Arial"/>
          <w:sz w:val="22"/>
          <w:szCs w:val="22"/>
          <w:lang w:val="en-AU"/>
        </w:rPr>
        <w:t>minute</w:t>
      </w:r>
      <w:r w:rsidR="00637CED" w:rsidRPr="002742BE">
        <w:rPr>
          <w:rFonts w:ascii="Arial" w:hAnsi="Arial" w:cs="Arial"/>
          <w:sz w:val="22"/>
          <w:szCs w:val="22"/>
          <w:lang w:val="en-AU"/>
        </w:rPr>
        <w:t>s) as compared to naproxen (500 mg) alone (7.9 </w:t>
      </w:r>
      <w:r w:rsidRPr="002742BE">
        <w:rPr>
          <w:rFonts w:ascii="Arial" w:hAnsi="Arial" w:cs="Arial"/>
          <w:sz w:val="22"/>
          <w:szCs w:val="22"/>
          <w:lang w:val="en-AU"/>
        </w:rPr>
        <w:t>minu</w:t>
      </w:r>
      <w:r w:rsidR="00637CED" w:rsidRPr="002742BE">
        <w:rPr>
          <w:rFonts w:ascii="Arial" w:hAnsi="Arial" w:cs="Arial"/>
          <w:sz w:val="22"/>
          <w:szCs w:val="22"/>
          <w:lang w:val="en-AU"/>
        </w:rPr>
        <w:t xml:space="preserve">tes) and </w:t>
      </w:r>
      <w:r w:rsidR="009F5712" w:rsidRPr="002742BE">
        <w:rPr>
          <w:rFonts w:ascii="Arial" w:hAnsi="Arial" w:cs="Arial"/>
          <w:sz w:val="22"/>
          <w:szCs w:val="22"/>
          <w:lang w:val="en-AU"/>
        </w:rPr>
        <w:t>r</w:t>
      </w:r>
      <w:r w:rsidR="00637CED" w:rsidRPr="002742BE">
        <w:rPr>
          <w:rFonts w:ascii="Arial" w:hAnsi="Arial" w:cs="Arial"/>
          <w:sz w:val="22"/>
          <w:szCs w:val="22"/>
          <w:lang w:val="en-AU"/>
        </w:rPr>
        <w:t>ivaroxaban alone (6.1 </w:t>
      </w:r>
      <w:r w:rsidRPr="002742BE">
        <w:rPr>
          <w:rFonts w:ascii="Arial" w:hAnsi="Arial" w:cs="Arial"/>
          <w:sz w:val="22"/>
          <w:szCs w:val="22"/>
          <w:lang w:val="en-AU"/>
        </w:rPr>
        <w:t>minutes, normal</w:t>
      </w:r>
      <w:r w:rsidR="00637CED" w:rsidRPr="002742BE">
        <w:rPr>
          <w:rFonts w:ascii="Arial" w:hAnsi="Arial" w:cs="Arial"/>
          <w:sz w:val="22"/>
          <w:szCs w:val="22"/>
          <w:lang w:val="en-AU"/>
        </w:rPr>
        <w:t xml:space="preserve"> range of bleeding time: 2 to 8 </w:t>
      </w:r>
      <w:r w:rsidRPr="002742BE">
        <w:rPr>
          <w:rFonts w:ascii="Arial" w:hAnsi="Arial" w:cs="Arial"/>
          <w:sz w:val="22"/>
          <w:szCs w:val="22"/>
          <w:lang w:val="en-AU"/>
        </w:rPr>
        <w:t>minutes). In the three Phase</w:t>
      </w:r>
      <w:r w:rsidR="00637CED" w:rsidRPr="002742BE">
        <w:rPr>
          <w:rFonts w:ascii="Arial" w:hAnsi="Arial" w:cs="Arial"/>
          <w:sz w:val="22"/>
          <w:szCs w:val="22"/>
          <w:lang w:val="en-AU"/>
        </w:rPr>
        <w:t xml:space="preserve"> III trials (RECORD </w:t>
      </w:r>
      <w:r w:rsidRPr="002742BE">
        <w:rPr>
          <w:rFonts w:ascii="Arial" w:hAnsi="Arial" w:cs="Arial"/>
          <w:sz w:val="22"/>
          <w:szCs w:val="22"/>
          <w:lang w:val="en-AU"/>
        </w:rPr>
        <w:t>1, 2, a</w:t>
      </w:r>
      <w:r w:rsidR="00637CED" w:rsidRPr="002742BE">
        <w:rPr>
          <w:rFonts w:ascii="Arial" w:hAnsi="Arial" w:cs="Arial"/>
          <w:sz w:val="22"/>
          <w:szCs w:val="22"/>
          <w:lang w:val="en-AU"/>
        </w:rPr>
        <w:t>nd 3) more than 70 </w:t>
      </w:r>
      <w:r w:rsidRPr="002742BE">
        <w:rPr>
          <w:rFonts w:ascii="Arial" w:hAnsi="Arial" w:cs="Arial"/>
          <w:sz w:val="22"/>
          <w:szCs w:val="22"/>
          <w:lang w:val="en-AU"/>
        </w:rPr>
        <w:t>% of subjects received concomitant NSAIDs with</w:t>
      </w:r>
      <w:r w:rsidR="009F5712" w:rsidRPr="002742BE">
        <w:rPr>
          <w:rFonts w:ascii="Arial" w:hAnsi="Arial" w:cs="Arial"/>
          <w:sz w:val="22"/>
          <w:szCs w:val="22"/>
          <w:lang w:val="en-AU"/>
        </w:rPr>
        <w:t xml:space="preserve"> </w:t>
      </w:r>
      <w:r w:rsidR="001A3433" w:rsidRPr="002742BE">
        <w:rPr>
          <w:rFonts w:ascii="Arial" w:hAnsi="Arial" w:cs="Arial"/>
          <w:sz w:val="22"/>
          <w:szCs w:val="22"/>
          <w:lang w:val="en-AU"/>
        </w:rPr>
        <w:t xml:space="preserve">a </w:t>
      </w:r>
      <w:r w:rsidR="009F5712" w:rsidRPr="002742BE">
        <w:rPr>
          <w:rFonts w:ascii="Arial" w:hAnsi="Arial" w:cs="Arial"/>
          <w:sz w:val="22"/>
          <w:szCs w:val="22"/>
          <w:lang w:val="en-AU"/>
        </w:rPr>
        <w:t>similar</w:t>
      </w:r>
      <w:r w:rsidR="001C592E" w:rsidRPr="002742BE">
        <w:rPr>
          <w:rFonts w:ascii="Arial" w:hAnsi="Arial" w:cs="Arial"/>
          <w:sz w:val="22"/>
          <w:szCs w:val="22"/>
          <w:lang w:val="en-AU"/>
        </w:rPr>
        <w:t xml:space="preserve"> </w:t>
      </w:r>
      <w:r w:rsidRPr="002742BE">
        <w:rPr>
          <w:rFonts w:ascii="Arial" w:hAnsi="Arial" w:cs="Arial"/>
          <w:sz w:val="22"/>
          <w:szCs w:val="22"/>
          <w:lang w:val="en-AU"/>
        </w:rPr>
        <w:t xml:space="preserve">risk of bleeding as compared to comparator treatment. However, due to the general impact on haemostasis, care should be taken if </w:t>
      </w:r>
      <w:r w:rsidR="00637CED" w:rsidRPr="002742BE">
        <w:rPr>
          <w:rFonts w:ascii="Arial" w:hAnsi="Arial" w:cs="Arial"/>
          <w:sz w:val="22"/>
          <w:szCs w:val="22"/>
          <w:lang w:val="en-AU"/>
        </w:rPr>
        <w:t xml:space="preserve">anticoagulated </w:t>
      </w:r>
      <w:r w:rsidRPr="002742BE">
        <w:rPr>
          <w:rFonts w:ascii="Arial" w:hAnsi="Arial" w:cs="Arial"/>
          <w:sz w:val="22"/>
          <w:szCs w:val="22"/>
          <w:lang w:val="en-AU"/>
        </w:rPr>
        <w:t>patients are treated concomitantly with NSAIDs</w:t>
      </w:r>
      <w:r w:rsidR="00637CED" w:rsidRPr="002742BE">
        <w:rPr>
          <w:rFonts w:ascii="Arial" w:hAnsi="Arial" w:cs="Arial"/>
          <w:sz w:val="22"/>
          <w:szCs w:val="22"/>
          <w:lang w:val="en-AU"/>
        </w:rPr>
        <w:t xml:space="preserve"> (see PRECAUTIONS).</w:t>
      </w:r>
      <w:r w:rsidRPr="002742BE">
        <w:rPr>
          <w:rFonts w:ascii="Arial" w:hAnsi="Arial" w:cs="Arial"/>
          <w:sz w:val="22"/>
          <w:szCs w:val="22"/>
          <w:lang w:val="en-AU"/>
        </w:rPr>
        <w:t xml:space="preserve"> </w:t>
      </w:r>
    </w:p>
    <w:p w:rsidR="001C2437" w:rsidRPr="002742BE" w:rsidRDefault="001C2437" w:rsidP="005A2A87">
      <w:pPr>
        <w:spacing w:before="120" w:after="120"/>
        <w:ind w:right="46"/>
        <w:jc w:val="both"/>
        <w:rPr>
          <w:rFonts w:ascii="Arial" w:hAnsi="Arial" w:cs="Arial"/>
          <w:iCs/>
          <w:sz w:val="22"/>
          <w:szCs w:val="22"/>
          <w:lang w:val="en-AU"/>
        </w:rPr>
      </w:pPr>
      <w:r w:rsidRPr="002742BE">
        <w:rPr>
          <w:rFonts w:ascii="Arial" w:hAnsi="Arial" w:cs="Arial"/>
          <w:iCs/>
          <w:sz w:val="22"/>
          <w:szCs w:val="22"/>
          <w:lang w:val="en-AU"/>
        </w:rPr>
        <w:t>No clinically relevant prolongation of bleeding time was observed after concomitant administration of Xarelto (15 mg) and 500 mg naproxen. Nevertheless there may be individuals with more pronounced pharmacodynamic response (see PRECAUTIONS).</w:t>
      </w:r>
    </w:p>
    <w:p w:rsidR="00FC0CC4" w:rsidRPr="002742BE" w:rsidRDefault="00FC0CC4" w:rsidP="005A2A87">
      <w:pPr>
        <w:pStyle w:val="Heading4"/>
        <w:spacing w:before="120" w:after="120"/>
        <w:ind w:right="46"/>
        <w:rPr>
          <w:rFonts w:ascii="Arial" w:hAnsi="Arial" w:cs="Arial"/>
          <w:b w:val="0"/>
          <w:i/>
          <w:sz w:val="22"/>
          <w:lang w:val="en-AU"/>
        </w:rPr>
      </w:pPr>
      <w:r w:rsidRPr="002742BE">
        <w:rPr>
          <w:rFonts w:ascii="Arial" w:hAnsi="Arial" w:cs="Arial"/>
          <w:b w:val="0"/>
          <w:i/>
          <w:sz w:val="22"/>
          <w:lang w:val="en-AU"/>
        </w:rPr>
        <w:t xml:space="preserve">Platelet aggregation inhibitors </w:t>
      </w:r>
    </w:p>
    <w:p w:rsidR="001C5848" w:rsidRPr="002742BE" w:rsidRDefault="001D1004" w:rsidP="005A2A87">
      <w:pPr>
        <w:pStyle w:val="BodyText2"/>
        <w:spacing w:before="120" w:after="120"/>
        <w:ind w:right="46"/>
        <w:rPr>
          <w:rFonts w:ascii="Arial" w:hAnsi="Arial" w:cs="Arial"/>
          <w:b w:val="0"/>
          <w:iCs/>
          <w:sz w:val="22"/>
          <w:szCs w:val="22"/>
        </w:rPr>
      </w:pPr>
      <w:r w:rsidRPr="002742BE">
        <w:rPr>
          <w:rFonts w:ascii="Arial" w:hAnsi="Arial" w:cs="Arial"/>
          <w:b w:val="0"/>
          <w:sz w:val="22"/>
          <w:szCs w:val="22"/>
        </w:rPr>
        <w:t>Clopidogrel (300 mg loading dose followed by 75 mg maintenance dose) did not show a pharmaco</w:t>
      </w:r>
      <w:r w:rsidRPr="002742BE">
        <w:rPr>
          <w:rFonts w:ascii="Arial" w:hAnsi="Arial" w:cs="Arial"/>
          <w:b w:val="0"/>
          <w:sz w:val="22"/>
          <w:szCs w:val="22"/>
        </w:rPr>
        <w:softHyphen/>
        <w:t>kinetic interaction</w:t>
      </w:r>
      <w:r w:rsidR="001C2437" w:rsidRPr="002742BE">
        <w:rPr>
          <w:rFonts w:ascii="Arial" w:hAnsi="Arial" w:cs="Arial"/>
          <w:b w:val="0"/>
          <w:sz w:val="22"/>
          <w:szCs w:val="22"/>
        </w:rPr>
        <w:t xml:space="preserve"> (with Xarelto 15 mg)</w:t>
      </w:r>
      <w:r w:rsidR="00637CED" w:rsidRPr="002742BE">
        <w:rPr>
          <w:rFonts w:ascii="Arial" w:hAnsi="Arial" w:cs="Arial"/>
          <w:b w:val="0"/>
          <w:sz w:val="22"/>
          <w:szCs w:val="22"/>
        </w:rPr>
        <w:t>.</w:t>
      </w:r>
      <w:r w:rsidRPr="002742BE">
        <w:rPr>
          <w:rFonts w:ascii="Arial" w:hAnsi="Arial" w:cs="Arial"/>
          <w:b w:val="0"/>
          <w:sz w:val="22"/>
          <w:szCs w:val="22"/>
        </w:rPr>
        <w:t xml:space="preserve"> </w:t>
      </w:r>
      <w:r w:rsidR="00637CED" w:rsidRPr="002742BE">
        <w:rPr>
          <w:rFonts w:ascii="Arial" w:hAnsi="Arial" w:cs="Arial"/>
          <w:b w:val="0"/>
          <w:sz w:val="22"/>
          <w:szCs w:val="22"/>
        </w:rPr>
        <w:t xml:space="preserve">Bleeding time was prolonged after co-administration of </w:t>
      </w:r>
      <w:r w:rsidR="004962F4" w:rsidRPr="002742BE">
        <w:rPr>
          <w:rFonts w:ascii="Arial" w:hAnsi="Arial" w:cs="Arial"/>
          <w:b w:val="0"/>
          <w:sz w:val="22"/>
          <w:szCs w:val="22"/>
        </w:rPr>
        <w:t>c</w:t>
      </w:r>
      <w:r w:rsidR="00637CED" w:rsidRPr="002742BE">
        <w:rPr>
          <w:rFonts w:ascii="Arial" w:hAnsi="Arial" w:cs="Arial"/>
          <w:b w:val="0"/>
          <w:sz w:val="22"/>
          <w:szCs w:val="22"/>
        </w:rPr>
        <w:t xml:space="preserve">lopidogrel and </w:t>
      </w:r>
      <w:r w:rsidR="004962F4" w:rsidRPr="002742BE">
        <w:rPr>
          <w:rFonts w:ascii="Arial" w:hAnsi="Arial" w:cs="Arial"/>
          <w:b w:val="0"/>
          <w:sz w:val="22"/>
          <w:szCs w:val="22"/>
        </w:rPr>
        <w:t>r</w:t>
      </w:r>
      <w:r w:rsidR="00637CED" w:rsidRPr="002742BE">
        <w:rPr>
          <w:rFonts w:ascii="Arial" w:hAnsi="Arial" w:cs="Arial"/>
          <w:b w:val="0"/>
          <w:sz w:val="22"/>
          <w:szCs w:val="22"/>
        </w:rPr>
        <w:t xml:space="preserve">ivaroxaban (mean 21.7 minutes) as compared to </w:t>
      </w:r>
      <w:r w:rsidR="004962F4" w:rsidRPr="002742BE">
        <w:rPr>
          <w:rFonts w:ascii="Arial" w:hAnsi="Arial" w:cs="Arial"/>
          <w:b w:val="0"/>
          <w:sz w:val="22"/>
          <w:szCs w:val="22"/>
        </w:rPr>
        <w:t>c</w:t>
      </w:r>
      <w:r w:rsidR="00637CED" w:rsidRPr="002742BE">
        <w:rPr>
          <w:rFonts w:ascii="Arial" w:hAnsi="Arial" w:cs="Arial"/>
          <w:b w:val="0"/>
          <w:sz w:val="22"/>
          <w:szCs w:val="22"/>
        </w:rPr>
        <w:t xml:space="preserve">lopidogrel </w:t>
      </w:r>
      <w:r w:rsidR="00637CED" w:rsidRPr="002742BE">
        <w:rPr>
          <w:rFonts w:ascii="Arial" w:hAnsi="Arial" w:cs="Arial"/>
          <w:b w:val="0"/>
          <w:sz w:val="22"/>
          <w:szCs w:val="22"/>
        </w:rPr>
        <w:lastRenderedPageBreak/>
        <w:t xml:space="preserve">alone (12.7 minutes) and </w:t>
      </w:r>
      <w:r w:rsidR="004962F4" w:rsidRPr="002742BE">
        <w:rPr>
          <w:rFonts w:ascii="Arial" w:hAnsi="Arial" w:cs="Arial"/>
          <w:b w:val="0"/>
          <w:sz w:val="22"/>
          <w:szCs w:val="22"/>
        </w:rPr>
        <w:t>r</w:t>
      </w:r>
      <w:r w:rsidR="00637CED" w:rsidRPr="002742BE">
        <w:rPr>
          <w:rFonts w:ascii="Arial" w:hAnsi="Arial" w:cs="Arial"/>
          <w:b w:val="0"/>
          <w:sz w:val="22"/>
          <w:szCs w:val="22"/>
        </w:rPr>
        <w:t xml:space="preserve">ivaroxaban alone (7.7 minutes, normal range of bleeding time: 2 to 8 minutes) This increase in the combined treatment group was driven by a subset of patients in whom pronounced prolongations of bleeding times were observed. These prolongations of bleeding time did not correlate to platelet aggregation, P-selectin or GPIIb/IIIa receptor levels. For patients on antiplatelet therapy, a careful individual risk benefit assessment should be performed regarding the additional bleeding risk versus the thrombotic risk associated with the underlying diseases. </w:t>
      </w:r>
      <w:r w:rsidRPr="002742BE">
        <w:rPr>
          <w:rFonts w:ascii="Arial" w:hAnsi="Arial" w:cs="Arial"/>
          <w:b w:val="0"/>
          <w:sz w:val="22"/>
          <w:szCs w:val="22"/>
        </w:rPr>
        <w:t>(see PRECAUTIONS).</w:t>
      </w:r>
      <w:r w:rsidR="001C5848" w:rsidRPr="002742BE">
        <w:rPr>
          <w:rFonts w:ascii="Arial" w:hAnsi="Arial" w:cs="Arial"/>
          <w:b w:val="0"/>
          <w:sz w:val="22"/>
          <w:szCs w:val="22"/>
        </w:rPr>
        <w:t xml:space="preserve"> </w:t>
      </w:r>
    </w:p>
    <w:p w:rsidR="001D1004" w:rsidRPr="002742BE" w:rsidRDefault="001D1004" w:rsidP="005A2A87">
      <w:pPr>
        <w:pStyle w:val="Heading4"/>
        <w:spacing w:before="120" w:after="120"/>
        <w:ind w:right="46"/>
        <w:rPr>
          <w:rFonts w:ascii="Arial" w:hAnsi="Arial" w:cs="Arial"/>
          <w:b w:val="0"/>
          <w:i/>
          <w:sz w:val="22"/>
          <w:lang w:val="en-AU"/>
        </w:rPr>
      </w:pPr>
      <w:bookmarkStart w:id="20" w:name="_Toc180211516"/>
      <w:r w:rsidRPr="002742BE">
        <w:rPr>
          <w:rFonts w:ascii="Arial" w:hAnsi="Arial" w:cs="Arial"/>
          <w:b w:val="0"/>
          <w:i/>
          <w:sz w:val="22"/>
          <w:lang w:val="en-AU"/>
        </w:rPr>
        <w:t>Food and dairy products</w:t>
      </w:r>
      <w:bookmarkEnd w:id="20"/>
    </w:p>
    <w:p w:rsidR="001D1004" w:rsidRPr="002742BE" w:rsidRDefault="00E8487E" w:rsidP="005A2A87">
      <w:pPr>
        <w:pStyle w:val="BodyText2"/>
        <w:spacing w:before="120" w:after="120"/>
        <w:ind w:right="46"/>
        <w:rPr>
          <w:rFonts w:ascii="Arial" w:hAnsi="Arial" w:cs="Arial"/>
          <w:b w:val="0"/>
          <w:sz w:val="22"/>
          <w:szCs w:val="22"/>
        </w:rPr>
      </w:pPr>
      <w:r w:rsidRPr="002742BE">
        <w:rPr>
          <w:rFonts w:ascii="Arial" w:hAnsi="Arial" w:cs="Arial"/>
          <w:b w:val="0"/>
          <w:sz w:val="22"/>
          <w:szCs w:val="22"/>
        </w:rPr>
        <w:t xml:space="preserve">Xarelto </w:t>
      </w:r>
      <w:r w:rsidR="001C2437" w:rsidRPr="002742BE">
        <w:rPr>
          <w:rFonts w:ascii="Arial" w:hAnsi="Arial" w:cs="Arial"/>
          <w:b w:val="0"/>
          <w:sz w:val="22"/>
          <w:szCs w:val="22"/>
        </w:rPr>
        <w:t xml:space="preserve">10 mg </w:t>
      </w:r>
      <w:r w:rsidR="001D1004" w:rsidRPr="002742BE">
        <w:rPr>
          <w:rFonts w:ascii="Arial" w:hAnsi="Arial" w:cs="Arial"/>
          <w:b w:val="0"/>
          <w:sz w:val="22"/>
          <w:szCs w:val="22"/>
        </w:rPr>
        <w:t>can be taken with or without food (see Pharmacokinetic properties).</w:t>
      </w:r>
    </w:p>
    <w:p w:rsidR="001C2437" w:rsidRPr="002742BE" w:rsidRDefault="001C2437" w:rsidP="002A2DF8">
      <w:pPr>
        <w:pStyle w:val="BodyText2"/>
        <w:spacing w:before="120" w:after="120"/>
        <w:ind w:right="46"/>
        <w:rPr>
          <w:rFonts w:ascii="Arial" w:hAnsi="Arial" w:cs="Arial"/>
          <w:b w:val="0"/>
          <w:sz w:val="22"/>
          <w:szCs w:val="22"/>
        </w:rPr>
      </w:pPr>
      <w:bookmarkStart w:id="21" w:name="_Toc180211517"/>
      <w:r w:rsidRPr="002742BE">
        <w:rPr>
          <w:rFonts w:ascii="Arial" w:hAnsi="Arial" w:cs="Arial"/>
          <w:b w:val="0"/>
          <w:sz w:val="22"/>
          <w:szCs w:val="22"/>
        </w:rPr>
        <w:t>Xarelto 15 mg and 20 mg tablets should be taken with food (see Pharmacokinetic properties).</w:t>
      </w:r>
    </w:p>
    <w:p w:rsidR="001D1004" w:rsidRPr="002742BE" w:rsidRDefault="001D1004" w:rsidP="00834736">
      <w:pPr>
        <w:pStyle w:val="Heading3"/>
        <w:spacing w:before="120" w:after="240"/>
        <w:rPr>
          <w:rFonts w:ascii="Arial" w:hAnsi="Arial" w:cs="Arial"/>
          <w:sz w:val="22"/>
          <w:szCs w:val="22"/>
          <w:lang w:val="en-AU"/>
        </w:rPr>
      </w:pPr>
      <w:r w:rsidRPr="002742BE">
        <w:rPr>
          <w:rFonts w:ascii="Arial" w:hAnsi="Arial" w:cs="Arial"/>
          <w:sz w:val="22"/>
          <w:szCs w:val="22"/>
          <w:lang w:val="en-AU"/>
        </w:rPr>
        <w:t>Interactions shown not to exist</w:t>
      </w:r>
      <w:bookmarkEnd w:id="21"/>
    </w:p>
    <w:p w:rsidR="001D1004" w:rsidRPr="002742BE" w:rsidRDefault="001D1004" w:rsidP="005A2A87">
      <w:pPr>
        <w:pStyle w:val="BodyText2"/>
        <w:spacing w:before="120" w:after="120"/>
        <w:ind w:right="46"/>
        <w:rPr>
          <w:rFonts w:ascii="Arial" w:hAnsi="Arial" w:cs="Arial"/>
          <w:b w:val="0"/>
          <w:sz w:val="22"/>
          <w:szCs w:val="22"/>
        </w:rPr>
      </w:pPr>
      <w:r w:rsidRPr="002742BE">
        <w:rPr>
          <w:rFonts w:ascii="Arial" w:hAnsi="Arial" w:cs="Arial"/>
          <w:b w:val="0"/>
          <w:sz w:val="22"/>
          <w:szCs w:val="22"/>
        </w:rPr>
        <w:t>There were no mutual pharmacokinetic interactions between rivaroxaban and midazolam (sub</w:t>
      </w:r>
      <w:r w:rsidRPr="002742BE">
        <w:rPr>
          <w:rFonts w:ascii="Arial" w:hAnsi="Arial" w:cs="Arial"/>
          <w:b w:val="0"/>
          <w:sz w:val="22"/>
          <w:szCs w:val="22"/>
        </w:rPr>
        <w:softHyphen/>
        <w:t>strate of CYP 3A4), digoxin (substrate of P</w:t>
      </w:r>
      <w:r w:rsidRPr="002742BE">
        <w:rPr>
          <w:rFonts w:ascii="Arial" w:hAnsi="Arial" w:cs="Arial"/>
          <w:b w:val="0"/>
          <w:sz w:val="22"/>
          <w:szCs w:val="22"/>
        </w:rPr>
        <w:noBreakHyphen/>
      </w:r>
      <w:r w:rsidR="00590CF5" w:rsidRPr="002742BE">
        <w:rPr>
          <w:rFonts w:ascii="Arial" w:hAnsi="Arial" w:cs="Arial"/>
          <w:b w:val="0"/>
          <w:sz w:val="22"/>
          <w:szCs w:val="22"/>
        </w:rPr>
        <w:t>gp</w:t>
      </w:r>
      <w:r w:rsidRPr="002742BE">
        <w:rPr>
          <w:rFonts w:ascii="Arial" w:hAnsi="Arial" w:cs="Arial"/>
          <w:b w:val="0"/>
          <w:sz w:val="22"/>
          <w:szCs w:val="22"/>
        </w:rPr>
        <w:t>) or atorvastatin (substrate of CYP 3A4 and P-gp).</w:t>
      </w:r>
    </w:p>
    <w:p w:rsidR="001D1004" w:rsidRPr="002742BE" w:rsidRDefault="001D1004" w:rsidP="005A2A87">
      <w:pPr>
        <w:pStyle w:val="BodyText2"/>
        <w:spacing w:before="120" w:after="120"/>
        <w:ind w:right="46"/>
        <w:rPr>
          <w:rFonts w:ascii="Arial" w:hAnsi="Arial" w:cs="Arial"/>
          <w:b w:val="0"/>
          <w:sz w:val="22"/>
          <w:szCs w:val="22"/>
        </w:rPr>
      </w:pPr>
      <w:r w:rsidRPr="002742BE">
        <w:rPr>
          <w:rFonts w:ascii="Arial" w:hAnsi="Arial" w:cs="Arial"/>
          <w:b w:val="0"/>
          <w:sz w:val="22"/>
          <w:szCs w:val="22"/>
        </w:rPr>
        <w:t>Co-administration of the H</w:t>
      </w:r>
      <w:r w:rsidRPr="002742BE">
        <w:rPr>
          <w:rFonts w:ascii="Arial" w:hAnsi="Arial" w:cs="Arial"/>
          <w:b w:val="0"/>
          <w:sz w:val="22"/>
          <w:szCs w:val="22"/>
          <w:vertAlign w:val="subscript"/>
        </w:rPr>
        <w:t>2</w:t>
      </w:r>
      <w:r w:rsidRPr="002742BE">
        <w:rPr>
          <w:rFonts w:ascii="Arial" w:hAnsi="Arial" w:cs="Arial"/>
          <w:b w:val="0"/>
          <w:sz w:val="22"/>
          <w:szCs w:val="22"/>
        </w:rPr>
        <w:t> receptor antagonist ranitidine, the antacid aluminium hydroxide / mag</w:t>
      </w:r>
      <w:r w:rsidRPr="002742BE">
        <w:rPr>
          <w:rFonts w:ascii="Arial" w:hAnsi="Arial" w:cs="Arial"/>
          <w:b w:val="0"/>
          <w:sz w:val="22"/>
          <w:szCs w:val="22"/>
        </w:rPr>
        <w:softHyphen/>
      </w:r>
      <w:r w:rsidRPr="002742BE">
        <w:rPr>
          <w:rFonts w:ascii="Arial" w:hAnsi="Arial" w:cs="Arial"/>
          <w:b w:val="0"/>
          <w:sz w:val="22"/>
          <w:szCs w:val="22"/>
        </w:rPr>
        <w:softHyphen/>
        <w:t>nesium hydroxide, naproxen, clopido</w:t>
      </w:r>
      <w:r w:rsidRPr="002742BE">
        <w:rPr>
          <w:rFonts w:ascii="Arial" w:hAnsi="Arial" w:cs="Arial"/>
          <w:b w:val="0"/>
          <w:sz w:val="22"/>
          <w:szCs w:val="22"/>
        </w:rPr>
        <w:softHyphen/>
        <w:t>grel or enoxaparin did not affect riva</w:t>
      </w:r>
      <w:r w:rsidRPr="002742BE">
        <w:rPr>
          <w:rFonts w:ascii="Arial" w:hAnsi="Arial" w:cs="Arial"/>
          <w:b w:val="0"/>
          <w:sz w:val="22"/>
          <w:szCs w:val="22"/>
        </w:rPr>
        <w:softHyphen/>
        <w:t>roxaban bio</w:t>
      </w:r>
      <w:r w:rsidRPr="002742BE">
        <w:rPr>
          <w:rFonts w:ascii="Arial" w:hAnsi="Arial" w:cs="Arial"/>
          <w:b w:val="0"/>
          <w:sz w:val="22"/>
          <w:szCs w:val="22"/>
        </w:rPr>
        <w:softHyphen/>
        <w:t>availa</w:t>
      </w:r>
      <w:r w:rsidRPr="002742BE">
        <w:rPr>
          <w:rFonts w:ascii="Arial" w:hAnsi="Arial" w:cs="Arial"/>
          <w:b w:val="0"/>
          <w:sz w:val="22"/>
          <w:szCs w:val="22"/>
        </w:rPr>
        <w:softHyphen/>
        <w:t>bility and pharmacokinetics.</w:t>
      </w:r>
    </w:p>
    <w:p w:rsidR="00F65298" w:rsidRPr="002742BE" w:rsidRDefault="001D1004" w:rsidP="005A2A87">
      <w:pPr>
        <w:pStyle w:val="BodyText2"/>
        <w:spacing w:before="120" w:after="120"/>
        <w:ind w:right="46"/>
        <w:rPr>
          <w:rFonts w:ascii="Arial" w:hAnsi="Arial" w:cs="Arial"/>
          <w:b w:val="0"/>
          <w:sz w:val="22"/>
          <w:szCs w:val="22"/>
        </w:rPr>
      </w:pPr>
      <w:r w:rsidRPr="002742BE">
        <w:rPr>
          <w:rFonts w:ascii="Arial" w:hAnsi="Arial" w:cs="Arial"/>
          <w:b w:val="0"/>
          <w:sz w:val="22"/>
          <w:szCs w:val="22"/>
        </w:rPr>
        <w:t>No clinically significant pharmacokinetic or pharmacodynamic interactions were observed when riva</w:t>
      </w:r>
      <w:r w:rsidRPr="002742BE">
        <w:rPr>
          <w:rFonts w:ascii="Arial" w:hAnsi="Arial" w:cs="Arial"/>
          <w:b w:val="0"/>
          <w:sz w:val="22"/>
          <w:szCs w:val="22"/>
        </w:rPr>
        <w:softHyphen/>
        <w:t>roxa</w:t>
      </w:r>
      <w:r w:rsidRPr="002742BE">
        <w:rPr>
          <w:rFonts w:ascii="Arial" w:hAnsi="Arial" w:cs="Arial"/>
          <w:b w:val="0"/>
          <w:sz w:val="22"/>
          <w:szCs w:val="22"/>
        </w:rPr>
        <w:softHyphen/>
        <w:t>ban was co-administered with 500 mg acetylsalicylic acid (see PRECAUTIONS).</w:t>
      </w:r>
    </w:p>
    <w:p w:rsidR="001D1004" w:rsidRPr="002742BE" w:rsidRDefault="001D1004" w:rsidP="005A2A87">
      <w:pPr>
        <w:pStyle w:val="Heading1"/>
        <w:spacing w:before="120" w:line="240" w:lineRule="auto"/>
        <w:ind w:right="45"/>
        <w:rPr>
          <w:rFonts w:ascii="Arial" w:hAnsi="Arial" w:cs="Arial"/>
          <w:sz w:val="24"/>
          <w:szCs w:val="24"/>
        </w:rPr>
      </w:pPr>
      <w:r w:rsidRPr="002742BE">
        <w:rPr>
          <w:rFonts w:ascii="Arial" w:hAnsi="Arial" w:cs="Arial"/>
          <w:sz w:val="24"/>
          <w:szCs w:val="24"/>
        </w:rPr>
        <w:t>ADVERSE EFFECTS</w:t>
      </w:r>
    </w:p>
    <w:p w:rsidR="00407538" w:rsidRPr="002742BE" w:rsidRDefault="00407538" w:rsidP="00F04C47">
      <w:pPr>
        <w:ind w:right="46"/>
        <w:rPr>
          <w:rFonts w:ascii="Arial" w:hAnsi="Arial" w:cs="Arial"/>
          <w:sz w:val="22"/>
          <w:szCs w:val="22"/>
          <w:lang w:val="en-AU"/>
        </w:rPr>
      </w:pPr>
      <w:r w:rsidRPr="002742BE">
        <w:rPr>
          <w:rFonts w:ascii="Arial" w:hAnsi="Arial" w:cs="Arial"/>
          <w:sz w:val="22"/>
          <w:szCs w:val="22"/>
          <w:lang w:val="en-AU"/>
        </w:rPr>
        <w:t xml:space="preserve">The safety of rivaroxaban has been evaluated in </w:t>
      </w:r>
      <w:r w:rsidR="006E66FB">
        <w:rPr>
          <w:rFonts w:ascii="Arial" w:hAnsi="Arial" w:cs="Arial"/>
          <w:sz w:val="22"/>
          <w:szCs w:val="22"/>
          <w:lang w:val="en-AU"/>
        </w:rPr>
        <w:t>nine</w:t>
      </w:r>
      <w:r w:rsidR="006E66FB" w:rsidRPr="002742BE">
        <w:rPr>
          <w:rFonts w:ascii="Arial" w:hAnsi="Arial" w:cs="Arial"/>
          <w:sz w:val="22"/>
          <w:szCs w:val="22"/>
          <w:lang w:val="en-AU"/>
        </w:rPr>
        <w:t xml:space="preserve"> </w:t>
      </w:r>
      <w:r w:rsidR="006E66FB">
        <w:rPr>
          <w:rFonts w:ascii="Arial" w:hAnsi="Arial" w:cs="Arial"/>
          <w:sz w:val="22"/>
          <w:szCs w:val="22"/>
          <w:lang w:val="en-AU"/>
        </w:rPr>
        <w:t>P</w:t>
      </w:r>
      <w:r w:rsidRPr="002742BE">
        <w:rPr>
          <w:rFonts w:ascii="Arial" w:hAnsi="Arial" w:cs="Arial"/>
          <w:sz w:val="22"/>
          <w:szCs w:val="22"/>
          <w:lang w:val="en-AU"/>
        </w:rPr>
        <w:t xml:space="preserve">hase III studies including </w:t>
      </w:r>
      <w:r w:rsidR="006E66FB">
        <w:rPr>
          <w:rFonts w:ascii="Arial" w:hAnsi="Arial" w:cs="Arial"/>
          <w:sz w:val="22"/>
          <w:szCs w:val="22"/>
          <w:lang w:val="en-AU"/>
        </w:rPr>
        <w:t xml:space="preserve">18,403 </w:t>
      </w:r>
      <w:r w:rsidRPr="002742BE">
        <w:rPr>
          <w:rFonts w:ascii="Arial" w:hAnsi="Arial" w:cs="Arial"/>
          <w:sz w:val="22"/>
          <w:szCs w:val="22"/>
          <w:lang w:val="en-AU"/>
        </w:rPr>
        <w:t xml:space="preserve">patients exposed to rivaroxaban (see </w:t>
      </w:r>
      <w:fldSimple w:instr=" REF  _Ref286679088  \* MERGEFORMAT ">
        <w:r w:rsidR="00A24B67" w:rsidRPr="00B15449">
          <w:rPr>
            <w:rFonts w:ascii="Arial" w:hAnsi="Arial" w:cs="Arial"/>
            <w:sz w:val="22"/>
            <w:szCs w:val="22"/>
            <w:lang w:val="en-AU"/>
          </w:rPr>
          <w:t xml:space="preserve">Table </w:t>
        </w:r>
        <w:r w:rsidR="00A24B67" w:rsidRPr="00B15449">
          <w:rPr>
            <w:rFonts w:ascii="Arial" w:hAnsi="Arial" w:cs="Arial"/>
            <w:noProof/>
            <w:sz w:val="22"/>
            <w:szCs w:val="22"/>
            <w:lang w:val="en-AU"/>
          </w:rPr>
          <w:t>14</w:t>
        </w:r>
      </w:fldSimple>
      <w:r w:rsidRPr="002742BE">
        <w:rPr>
          <w:rFonts w:ascii="Arial" w:hAnsi="Arial" w:cs="Arial"/>
          <w:sz w:val="22"/>
          <w:szCs w:val="22"/>
          <w:lang w:val="en-AU"/>
        </w:rPr>
        <w:t>).</w:t>
      </w:r>
    </w:p>
    <w:p w:rsidR="002C399C" w:rsidRPr="002742BE" w:rsidRDefault="002C399C" w:rsidP="00F04C47">
      <w:pPr>
        <w:ind w:right="46"/>
        <w:rPr>
          <w:rFonts w:ascii="Arial" w:hAnsi="Arial" w:cs="Arial"/>
          <w:sz w:val="22"/>
          <w:szCs w:val="22"/>
          <w:lang w:val="en-AU"/>
        </w:rPr>
      </w:pPr>
    </w:p>
    <w:p w:rsidR="00F24DEA" w:rsidRPr="002742BE" w:rsidRDefault="00F24DEA" w:rsidP="00F04C47">
      <w:pPr>
        <w:pStyle w:val="Caption"/>
        <w:keepNext/>
        <w:ind w:right="46"/>
        <w:rPr>
          <w:rFonts w:ascii="Arial" w:hAnsi="Arial" w:cs="Arial"/>
          <w:lang w:val="en-AU"/>
        </w:rPr>
      </w:pPr>
      <w:bookmarkStart w:id="22" w:name="_Ref286679088"/>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14</w:t>
      </w:r>
      <w:r w:rsidR="00794C79" w:rsidRPr="002742BE">
        <w:rPr>
          <w:rFonts w:ascii="Arial" w:hAnsi="Arial" w:cs="Arial"/>
          <w:lang w:val="en-AU"/>
        </w:rPr>
        <w:fldChar w:fldCharType="end"/>
      </w:r>
      <w:bookmarkEnd w:id="22"/>
      <w:r w:rsidRPr="002742BE">
        <w:rPr>
          <w:rFonts w:ascii="Arial" w:hAnsi="Arial" w:cs="Arial"/>
          <w:lang w:val="en-AU"/>
        </w:rPr>
        <w:t>: Number of patients studied and treatment duration in Phase III studies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276"/>
        <w:gridCol w:w="2126"/>
        <w:gridCol w:w="2126"/>
      </w:tblGrid>
      <w:tr w:rsidR="00CD27D6" w:rsidRPr="002742BE" w:rsidTr="00735E7F">
        <w:tc>
          <w:tcPr>
            <w:tcW w:w="3402" w:type="dxa"/>
            <w:shd w:val="clear" w:color="auto" w:fill="E0E0E0"/>
          </w:tcPr>
          <w:p w:rsidR="00F24DEA" w:rsidRPr="002742BE" w:rsidRDefault="00F24DEA" w:rsidP="00F04C47">
            <w:pPr>
              <w:tabs>
                <w:tab w:val="left" w:pos="567"/>
              </w:tabs>
              <w:spacing w:before="60" w:after="60"/>
              <w:ind w:right="46"/>
              <w:rPr>
                <w:rFonts w:ascii="Arial" w:hAnsi="Arial" w:cs="Arial"/>
                <w:b/>
                <w:noProof/>
                <w:sz w:val="20"/>
                <w:szCs w:val="20"/>
                <w:lang w:val="en-AU"/>
              </w:rPr>
            </w:pPr>
            <w:r w:rsidRPr="002742BE">
              <w:rPr>
                <w:rFonts w:ascii="Arial" w:hAnsi="Arial" w:cs="Arial"/>
                <w:b/>
                <w:noProof/>
                <w:sz w:val="20"/>
                <w:szCs w:val="20"/>
                <w:lang w:val="en-AU"/>
              </w:rPr>
              <w:t>Indication</w:t>
            </w:r>
          </w:p>
        </w:tc>
        <w:tc>
          <w:tcPr>
            <w:tcW w:w="1276" w:type="dxa"/>
            <w:shd w:val="clear" w:color="auto" w:fill="E0E0E0"/>
          </w:tcPr>
          <w:p w:rsidR="00F24DEA" w:rsidRPr="002742BE" w:rsidRDefault="00F24DEA" w:rsidP="00F04C47">
            <w:pPr>
              <w:tabs>
                <w:tab w:val="left" w:pos="567"/>
              </w:tabs>
              <w:spacing w:before="60" w:after="60"/>
              <w:ind w:right="46"/>
              <w:rPr>
                <w:rFonts w:ascii="Arial" w:hAnsi="Arial" w:cs="Arial"/>
                <w:b/>
                <w:noProof/>
                <w:sz w:val="20"/>
                <w:szCs w:val="20"/>
                <w:lang w:val="en-AU"/>
              </w:rPr>
            </w:pPr>
            <w:r w:rsidRPr="002742BE">
              <w:rPr>
                <w:rFonts w:ascii="Arial" w:hAnsi="Arial" w:cs="Arial"/>
                <w:b/>
                <w:noProof/>
                <w:sz w:val="20"/>
                <w:szCs w:val="20"/>
                <w:lang w:val="en-AU"/>
              </w:rPr>
              <w:t>Number of patients</w:t>
            </w:r>
          </w:p>
        </w:tc>
        <w:tc>
          <w:tcPr>
            <w:tcW w:w="2126" w:type="dxa"/>
            <w:shd w:val="clear" w:color="auto" w:fill="E0E0E0"/>
          </w:tcPr>
          <w:p w:rsidR="00F24DEA" w:rsidRPr="002742BE" w:rsidRDefault="00F24DEA" w:rsidP="00F04C47">
            <w:pPr>
              <w:tabs>
                <w:tab w:val="left" w:pos="567"/>
              </w:tabs>
              <w:spacing w:before="60" w:after="60"/>
              <w:ind w:right="46"/>
              <w:rPr>
                <w:rFonts w:ascii="Arial" w:hAnsi="Arial" w:cs="Arial"/>
                <w:b/>
                <w:noProof/>
                <w:sz w:val="20"/>
                <w:szCs w:val="20"/>
                <w:lang w:val="en-AU"/>
              </w:rPr>
            </w:pPr>
            <w:r w:rsidRPr="002742BE">
              <w:rPr>
                <w:rFonts w:ascii="Arial" w:hAnsi="Arial" w:cs="Arial"/>
                <w:b/>
                <w:noProof/>
                <w:sz w:val="20"/>
                <w:szCs w:val="20"/>
                <w:lang w:val="en-AU"/>
              </w:rPr>
              <w:t>Maximum daily dose</w:t>
            </w:r>
          </w:p>
        </w:tc>
        <w:tc>
          <w:tcPr>
            <w:tcW w:w="2126" w:type="dxa"/>
            <w:shd w:val="clear" w:color="auto" w:fill="E0E0E0"/>
          </w:tcPr>
          <w:p w:rsidR="00F24DEA" w:rsidRPr="002742BE" w:rsidRDefault="00F24DEA" w:rsidP="00F04C47">
            <w:pPr>
              <w:spacing w:before="60" w:after="60"/>
              <w:ind w:right="46"/>
              <w:rPr>
                <w:rFonts w:ascii="Arial" w:hAnsi="Arial" w:cs="Arial"/>
                <w:b/>
                <w:noProof/>
                <w:sz w:val="20"/>
                <w:szCs w:val="20"/>
                <w:lang w:val="en-AU"/>
              </w:rPr>
            </w:pPr>
            <w:r w:rsidRPr="002742BE">
              <w:rPr>
                <w:rFonts w:ascii="Arial" w:hAnsi="Arial" w:cs="Arial"/>
                <w:b/>
                <w:noProof/>
                <w:sz w:val="20"/>
                <w:szCs w:val="20"/>
                <w:lang w:val="en-AU"/>
              </w:rPr>
              <w:t>Maximum t</w:t>
            </w:r>
            <w:r w:rsidR="007E409D" w:rsidRPr="002742BE">
              <w:rPr>
                <w:rFonts w:ascii="Arial" w:hAnsi="Arial" w:cs="Arial"/>
                <w:b/>
                <w:noProof/>
                <w:sz w:val="20"/>
                <w:szCs w:val="20"/>
                <w:lang w:val="en-AU"/>
              </w:rPr>
              <w:t>r</w:t>
            </w:r>
            <w:r w:rsidRPr="002742BE">
              <w:rPr>
                <w:rFonts w:ascii="Arial" w:hAnsi="Arial" w:cs="Arial"/>
                <w:b/>
                <w:noProof/>
                <w:sz w:val="20"/>
                <w:szCs w:val="20"/>
                <w:lang w:val="en-AU"/>
              </w:rPr>
              <w:t>eatment duration</w:t>
            </w:r>
          </w:p>
        </w:tc>
      </w:tr>
      <w:tr w:rsidR="00F02D64" w:rsidRPr="002742BE" w:rsidTr="00735E7F">
        <w:tc>
          <w:tcPr>
            <w:tcW w:w="3402" w:type="dxa"/>
            <w:shd w:val="clear" w:color="auto" w:fill="auto"/>
          </w:tcPr>
          <w:p w:rsidR="00F24DEA" w:rsidRPr="002742BE" w:rsidRDefault="00856DC2" w:rsidP="00F04C47">
            <w:pPr>
              <w:tabs>
                <w:tab w:val="left" w:pos="567"/>
              </w:tabs>
              <w:spacing w:before="60" w:after="60"/>
              <w:ind w:right="46"/>
              <w:rPr>
                <w:rFonts w:ascii="Arial" w:hAnsi="Arial" w:cs="Arial"/>
                <w:noProof/>
                <w:sz w:val="20"/>
                <w:szCs w:val="20"/>
                <w:lang w:val="en-AU"/>
              </w:rPr>
            </w:pPr>
            <w:r w:rsidRPr="002742BE">
              <w:rPr>
                <w:rFonts w:ascii="Arial" w:hAnsi="Arial" w:cs="Arial"/>
                <w:noProof/>
                <w:sz w:val="20"/>
                <w:szCs w:val="20"/>
                <w:lang w:val="en-AU"/>
              </w:rPr>
              <w:t>Prevention of venous thromboembolism (VTE) in adult patients undergoing elective hip or knee replacement surgrey</w:t>
            </w:r>
          </w:p>
        </w:tc>
        <w:tc>
          <w:tcPr>
            <w:tcW w:w="1276" w:type="dxa"/>
            <w:shd w:val="clear" w:color="auto" w:fill="auto"/>
          </w:tcPr>
          <w:p w:rsidR="00F24DEA" w:rsidRPr="002742BE" w:rsidRDefault="00856DC2" w:rsidP="00F04C47">
            <w:pPr>
              <w:tabs>
                <w:tab w:val="left" w:pos="567"/>
              </w:tabs>
              <w:spacing w:before="60" w:after="60"/>
              <w:ind w:right="46"/>
              <w:rPr>
                <w:rFonts w:ascii="Arial" w:hAnsi="Arial" w:cs="Arial"/>
                <w:noProof/>
                <w:sz w:val="20"/>
                <w:szCs w:val="20"/>
                <w:lang w:val="en-AU"/>
              </w:rPr>
            </w:pPr>
            <w:r w:rsidRPr="002742BE">
              <w:rPr>
                <w:rFonts w:ascii="Arial" w:hAnsi="Arial" w:cs="Arial"/>
                <w:noProof/>
                <w:sz w:val="20"/>
                <w:szCs w:val="20"/>
                <w:lang w:val="en-AU"/>
              </w:rPr>
              <w:t>6,097</w:t>
            </w:r>
          </w:p>
        </w:tc>
        <w:tc>
          <w:tcPr>
            <w:tcW w:w="2126" w:type="dxa"/>
            <w:shd w:val="clear" w:color="auto" w:fill="auto"/>
          </w:tcPr>
          <w:p w:rsidR="00F24DEA" w:rsidRPr="002742BE" w:rsidRDefault="00856DC2" w:rsidP="00F04C47">
            <w:pPr>
              <w:tabs>
                <w:tab w:val="left" w:pos="567"/>
              </w:tabs>
              <w:spacing w:before="60" w:after="60"/>
              <w:ind w:right="46"/>
              <w:rPr>
                <w:rFonts w:ascii="Arial" w:hAnsi="Arial" w:cs="Arial"/>
                <w:noProof/>
                <w:sz w:val="20"/>
                <w:szCs w:val="20"/>
                <w:lang w:val="en-AU"/>
              </w:rPr>
            </w:pPr>
            <w:r w:rsidRPr="002742BE">
              <w:rPr>
                <w:rFonts w:ascii="Arial" w:hAnsi="Arial" w:cs="Arial"/>
                <w:noProof/>
                <w:sz w:val="20"/>
                <w:szCs w:val="20"/>
                <w:lang w:val="en-AU"/>
              </w:rPr>
              <w:t>10 mg</w:t>
            </w:r>
          </w:p>
        </w:tc>
        <w:tc>
          <w:tcPr>
            <w:tcW w:w="2126" w:type="dxa"/>
            <w:shd w:val="clear" w:color="auto" w:fill="auto"/>
          </w:tcPr>
          <w:p w:rsidR="00F24DEA" w:rsidRPr="002742BE" w:rsidRDefault="00856DC2" w:rsidP="00F04C47">
            <w:pPr>
              <w:spacing w:before="60" w:after="60"/>
              <w:ind w:right="46"/>
              <w:rPr>
                <w:rFonts w:ascii="Arial" w:hAnsi="Arial" w:cs="Arial"/>
                <w:noProof/>
                <w:sz w:val="20"/>
                <w:szCs w:val="20"/>
                <w:lang w:val="en-AU"/>
              </w:rPr>
            </w:pPr>
            <w:r w:rsidRPr="002742BE">
              <w:rPr>
                <w:rFonts w:ascii="Arial" w:hAnsi="Arial" w:cs="Arial"/>
                <w:noProof/>
                <w:sz w:val="20"/>
                <w:szCs w:val="20"/>
                <w:lang w:val="en-AU"/>
              </w:rPr>
              <w:t>39 days</w:t>
            </w:r>
          </w:p>
        </w:tc>
      </w:tr>
      <w:tr w:rsidR="00F02D64" w:rsidRPr="002742BE" w:rsidTr="00735E7F">
        <w:tc>
          <w:tcPr>
            <w:tcW w:w="3402" w:type="dxa"/>
            <w:shd w:val="clear" w:color="auto" w:fill="auto"/>
          </w:tcPr>
          <w:p w:rsidR="00F24DEA" w:rsidRPr="002742BE" w:rsidRDefault="00856DC2" w:rsidP="00F04C47">
            <w:pPr>
              <w:tabs>
                <w:tab w:val="left" w:pos="567"/>
              </w:tabs>
              <w:spacing w:before="60" w:after="60"/>
              <w:ind w:right="46"/>
              <w:rPr>
                <w:rFonts w:ascii="Arial" w:hAnsi="Arial" w:cs="Arial"/>
                <w:noProof/>
                <w:sz w:val="20"/>
                <w:szCs w:val="20"/>
                <w:lang w:val="en-AU"/>
              </w:rPr>
            </w:pPr>
            <w:r w:rsidRPr="002742BE">
              <w:rPr>
                <w:rFonts w:ascii="Arial" w:hAnsi="Arial" w:cs="Arial"/>
                <w:noProof/>
                <w:sz w:val="20"/>
                <w:szCs w:val="20"/>
                <w:lang w:val="en-AU"/>
              </w:rPr>
              <w:t>T</w:t>
            </w:r>
            <w:r w:rsidR="007E409D" w:rsidRPr="002742BE">
              <w:rPr>
                <w:rFonts w:ascii="Arial" w:hAnsi="Arial" w:cs="Arial"/>
                <w:noProof/>
                <w:sz w:val="20"/>
                <w:szCs w:val="20"/>
                <w:lang w:val="en-AU"/>
              </w:rPr>
              <w:t>r</w:t>
            </w:r>
            <w:r w:rsidRPr="002742BE">
              <w:rPr>
                <w:rFonts w:ascii="Arial" w:hAnsi="Arial" w:cs="Arial"/>
                <w:noProof/>
                <w:sz w:val="20"/>
                <w:szCs w:val="20"/>
                <w:lang w:val="en-AU"/>
              </w:rPr>
              <w:t>eatment of DVT</w:t>
            </w:r>
            <w:r w:rsidR="00BE2A72">
              <w:rPr>
                <w:rFonts w:ascii="Arial" w:hAnsi="Arial" w:cs="Arial"/>
                <w:noProof/>
                <w:sz w:val="20"/>
                <w:szCs w:val="20"/>
                <w:lang w:val="en-AU"/>
              </w:rPr>
              <w:t>,</w:t>
            </w:r>
            <w:r w:rsidR="00DF2096">
              <w:rPr>
                <w:rFonts w:ascii="Arial" w:hAnsi="Arial" w:cs="Arial"/>
                <w:noProof/>
                <w:sz w:val="20"/>
                <w:szCs w:val="20"/>
                <w:lang w:val="en-AU"/>
              </w:rPr>
              <w:t xml:space="preserve"> </w:t>
            </w:r>
            <w:r w:rsidR="00BE2A72">
              <w:rPr>
                <w:rFonts w:ascii="Arial" w:hAnsi="Arial" w:cs="Arial"/>
                <w:noProof/>
                <w:sz w:val="20"/>
                <w:szCs w:val="20"/>
                <w:lang w:val="en-AU"/>
              </w:rPr>
              <w:t>PE</w:t>
            </w:r>
            <w:r w:rsidRPr="002742BE">
              <w:rPr>
                <w:rFonts w:ascii="Arial" w:hAnsi="Arial" w:cs="Arial"/>
                <w:noProof/>
                <w:sz w:val="20"/>
                <w:szCs w:val="20"/>
                <w:lang w:val="en-AU"/>
              </w:rPr>
              <w:t xml:space="preserve"> and prevention of recurrent DVT and PE</w:t>
            </w:r>
          </w:p>
        </w:tc>
        <w:tc>
          <w:tcPr>
            <w:tcW w:w="1276" w:type="dxa"/>
            <w:shd w:val="clear" w:color="auto" w:fill="auto"/>
          </w:tcPr>
          <w:p w:rsidR="00F24DEA" w:rsidRPr="002742BE" w:rsidRDefault="00BE2A72" w:rsidP="00F04C47">
            <w:pPr>
              <w:tabs>
                <w:tab w:val="left" w:pos="567"/>
              </w:tabs>
              <w:spacing w:before="60" w:after="60"/>
              <w:ind w:right="46"/>
              <w:rPr>
                <w:rFonts w:ascii="Arial" w:hAnsi="Arial" w:cs="Arial"/>
                <w:noProof/>
                <w:sz w:val="20"/>
                <w:szCs w:val="20"/>
                <w:lang w:val="en-AU"/>
              </w:rPr>
            </w:pPr>
            <w:r>
              <w:rPr>
                <w:rFonts w:ascii="Arial" w:hAnsi="Arial" w:cs="Arial"/>
                <w:noProof/>
                <w:sz w:val="20"/>
                <w:szCs w:val="20"/>
                <w:lang w:val="en-AU"/>
              </w:rPr>
              <w:t>4,556</w:t>
            </w:r>
          </w:p>
        </w:tc>
        <w:tc>
          <w:tcPr>
            <w:tcW w:w="2126" w:type="dxa"/>
            <w:shd w:val="clear" w:color="auto" w:fill="auto"/>
          </w:tcPr>
          <w:p w:rsidR="00F24DEA" w:rsidRPr="002742BE" w:rsidRDefault="00856DC2" w:rsidP="00F04C47">
            <w:pPr>
              <w:tabs>
                <w:tab w:val="left" w:pos="567"/>
              </w:tabs>
              <w:spacing w:before="60" w:after="60"/>
              <w:ind w:right="46"/>
              <w:rPr>
                <w:rFonts w:ascii="Arial" w:hAnsi="Arial" w:cs="Arial"/>
                <w:noProof/>
                <w:sz w:val="20"/>
                <w:szCs w:val="20"/>
                <w:lang w:val="en-AU"/>
              </w:rPr>
            </w:pPr>
            <w:r w:rsidRPr="002742BE">
              <w:rPr>
                <w:rFonts w:ascii="Arial" w:hAnsi="Arial" w:cs="Arial"/>
                <w:noProof/>
                <w:sz w:val="20"/>
                <w:szCs w:val="20"/>
                <w:lang w:val="en-AU"/>
              </w:rPr>
              <w:t>Day 1 – 21: 30 mg</w:t>
            </w:r>
          </w:p>
          <w:p w:rsidR="00856DC2" w:rsidRPr="002742BE" w:rsidRDefault="00856DC2" w:rsidP="00F04C47">
            <w:pPr>
              <w:tabs>
                <w:tab w:val="left" w:pos="567"/>
              </w:tabs>
              <w:spacing w:before="60" w:after="60"/>
              <w:ind w:right="46"/>
              <w:rPr>
                <w:rFonts w:ascii="Arial" w:hAnsi="Arial" w:cs="Arial"/>
                <w:noProof/>
                <w:sz w:val="20"/>
                <w:szCs w:val="20"/>
                <w:lang w:val="en-AU"/>
              </w:rPr>
            </w:pPr>
            <w:r w:rsidRPr="002742BE">
              <w:rPr>
                <w:rFonts w:ascii="Arial" w:hAnsi="Arial" w:cs="Arial"/>
                <w:noProof/>
                <w:sz w:val="20"/>
                <w:szCs w:val="20"/>
                <w:lang w:val="en-AU"/>
              </w:rPr>
              <w:t>Day 22 and onwards: 20mg</w:t>
            </w:r>
          </w:p>
        </w:tc>
        <w:tc>
          <w:tcPr>
            <w:tcW w:w="2126" w:type="dxa"/>
            <w:shd w:val="clear" w:color="auto" w:fill="auto"/>
          </w:tcPr>
          <w:p w:rsidR="00F24DEA" w:rsidRPr="002742BE" w:rsidRDefault="00856DC2" w:rsidP="00F04C47">
            <w:pPr>
              <w:spacing w:before="60" w:after="60"/>
              <w:ind w:right="46"/>
              <w:rPr>
                <w:rFonts w:ascii="Arial" w:hAnsi="Arial" w:cs="Arial"/>
                <w:noProof/>
                <w:sz w:val="20"/>
                <w:szCs w:val="20"/>
                <w:lang w:val="en-AU"/>
              </w:rPr>
            </w:pPr>
            <w:r w:rsidRPr="002742BE">
              <w:rPr>
                <w:rFonts w:ascii="Arial" w:hAnsi="Arial" w:cs="Arial"/>
                <w:noProof/>
                <w:sz w:val="20"/>
                <w:szCs w:val="20"/>
                <w:lang w:val="en-AU"/>
              </w:rPr>
              <w:t>21 months</w:t>
            </w:r>
          </w:p>
        </w:tc>
      </w:tr>
      <w:tr w:rsidR="00F02D64" w:rsidRPr="002742BE" w:rsidTr="00735E7F">
        <w:tc>
          <w:tcPr>
            <w:tcW w:w="3402" w:type="dxa"/>
            <w:shd w:val="clear" w:color="auto" w:fill="auto"/>
          </w:tcPr>
          <w:p w:rsidR="00F24DEA" w:rsidRPr="002742BE" w:rsidRDefault="00856DC2" w:rsidP="00F04C47">
            <w:pPr>
              <w:tabs>
                <w:tab w:val="left" w:pos="567"/>
              </w:tabs>
              <w:spacing w:before="60" w:after="60"/>
              <w:ind w:right="46"/>
              <w:rPr>
                <w:rFonts w:ascii="Arial" w:hAnsi="Arial" w:cs="Arial"/>
                <w:noProof/>
                <w:sz w:val="20"/>
                <w:szCs w:val="20"/>
                <w:lang w:val="en-AU"/>
              </w:rPr>
            </w:pPr>
            <w:r w:rsidRPr="002742BE">
              <w:rPr>
                <w:rFonts w:ascii="Arial" w:hAnsi="Arial" w:cs="Arial"/>
                <w:noProof/>
                <w:sz w:val="20"/>
                <w:szCs w:val="20"/>
                <w:lang w:val="en-AU"/>
              </w:rPr>
              <w:t>Prevention of stroke and systemic embolism in patients with non-valvular atrial fibrillation</w:t>
            </w:r>
          </w:p>
        </w:tc>
        <w:tc>
          <w:tcPr>
            <w:tcW w:w="1276" w:type="dxa"/>
            <w:shd w:val="clear" w:color="auto" w:fill="auto"/>
          </w:tcPr>
          <w:p w:rsidR="00F24DEA" w:rsidRPr="002742BE" w:rsidRDefault="00856DC2" w:rsidP="00F04C47">
            <w:pPr>
              <w:tabs>
                <w:tab w:val="left" w:pos="567"/>
              </w:tabs>
              <w:spacing w:before="60" w:after="60"/>
              <w:ind w:right="46"/>
              <w:rPr>
                <w:rFonts w:ascii="Arial" w:hAnsi="Arial" w:cs="Arial"/>
                <w:noProof/>
                <w:sz w:val="20"/>
                <w:szCs w:val="20"/>
                <w:lang w:val="en-AU"/>
              </w:rPr>
            </w:pPr>
            <w:r w:rsidRPr="002742BE">
              <w:rPr>
                <w:rFonts w:ascii="Arial" w:hAnsi="Arial" w:cs="Arial"/>
                <w:noProof/>
                <w:sz w:val="20"/>
                <w:szCs w:val="20"/>
                <w:lang w:val="en-AU"/>
              </w:rPr>
              <w:t>7,750</w:t>
            </w:r>
          </w:p>
        </w:tc>
        <w:tc>
          <w:tcPr>
            <w:tcW w:w="2126" w:type="dxa"/>
            <w:shd w:val="clear" w:color="auto" w:fill="auto"/>
          </w:tcPr>
          <w:p w:rsidR="00F24DEA" w:rsidRPr="002742BE" w:rsidRDefault="00856DC2" w:rsidP="00F04C47">
            <w:pPr>
              <w:tabs>
                <w:tab w:val="left" w:pos="567"/>
              </w:tabs>
              <w:spacing w:before="60" w:after="60"/>
              <w:ind w:right="46"/>
              <w:rPr>
                <w:rFonts w:ascii="Arial" w:hAnsi="Arial" w:cs="Arial"/>
                <w:noProof/>
                <w:sz w:val="20"/>
                <w:szCs w:val="20"/>
                <w:lang w:val="en-AU"/>
              </w:rPr>
            </w:pPr>
            <w:r w:rsidRPr="002742BE">
              <w:rPr>
                <w:rFonts w:ascii="Arial" w:hAnsi="Arial" w:cs="Arial"/>
                <w:noProof/>
                <w:sz w:val="20"/>
                <w:szCs w:val="20"/>
                <w:lang w:val="en-AU"/>
              </w:rPr>
              <w:t>20 mg</w:t>
            </w:r>
          </w:p>
        </w:tc>
        <w:tc>
          <w:tcPr>
            <w:tcW w:w="2126" w:type="dxa"/>
            <w:shd w:val="clear" w:color="auto" w:fill="auto"/>
          </w:tcPr>
          <w:p w:rsidR="00F24DEA" w:rsidRPr="002742BE" w:rsidRDefault="00856DC2" w:rsidP="00F04C47">
            <w:pPr>
              <w:spacing w:before="60" w:after="60"/>
              <w:ind w:right="46"/>
              <w:rPr>
                <w:rFonts w:ascii="Arial" w:hAnsi="Arial" w:cs="Arial"/>
                <w:noProof/>
                <w:sz w:val="20"/>
                <w:szCs w:val="20"/>
                <w:lang w:val="en-AU"/>
              </w:rPr>
            </w:pPr>
            <w:r w:rsidRPr="002742BE">
              <w:rPr>
                <w:rFonts w:ascii="Arial" w:hAnsi="Arial" w:cs="Arial"/>
                <w:noProof/>
                <w:sz w:val="20"/>
                <w:szCs w:val="20"/>
                <w:lang w:val="en-AU"/>
              </w:rPr>
              <w:t>41 months</w:t>
            </w:r>
          </w:p>
        </w:tc>
      </w:tr>
    </w:tbl>
    <w:p w:rsidR="00027373" w:rsidRPr="002742BE" w:rsidRDefault="009D1AC1" w:rsidP="005A2A87">
      <w:pPr>
        <w:spacing w:before="120" w:after="240"/>
        <w:ind w:right="45"/>
        <w:jc w:val="both"/>
        <w:rPr>
          <w:rFonts w:ascii="Arial" w:hAnsi="Arial" w:cs="Arial"/>
          <w:sz w:val="22"/>
          <w:szCs w:val="22"/>
          <w:lang w:val="en-AU"/>
        </w:rPr>
      </w:pPr>
      <w:r w:rsidRPr="002742BE">
        <w:rPr>
          <w:rFonts w:ascii="Arial" w:hAnsi="Arial" w:cs="Arial"/>
          <w:sz w:val="22"/>
          <w:szCs w:val="22"/>
          <w:lang w:val="en-AU"/>
        </w:rPr>
        <w:t xml:space="preserve">In total about </w:t>
      </w:r>
      <w:r w:rsidR="00910F68">
        <w:rPr>
          <w:rFonts w:ascii="Arial" w:hAnsi="Arial" w:cs="Arial"/>
          <w:sz w:val="22"/>
          <w:szCs w:val="22"/>
          <w:lang w:val="en-AU"/>
        </w:rPr>
        <w:t>74%</w:t>
      </w:r>
      <w:r w:rsidRPr="002742BE">
        <w:rPr>
          <w:rFonts w:ascii="Arial" w:hAnsi="Arial" w:cs="Arial"/>
          <w:sz w:val="22"/>
          <w:szCs w:val="22"/>
          <w:lang w:val="en-AU"/>
        </w:rPr>
        <w:t xml:space="preserve"> of patients exposed to at least one dose of rivaroxaban were reported with treatment emergent adverse events (regardless of causality). About </w:t>
      </w:r>
      <w:r w:rsidR="00910F68">
        <w:rPr>
          <w:rFonts w:ascii="Arial" w:hAnsi="Arial" w:cs="Arial"/>
          <w:sz w:val="22"/>
          <w:szCs w:val="22"/>
          <w:lang w:val="en-AU"/>
        </w:rPr>
        <w:t>25%</w:t>
      </w:r>
      <w:r w:rsidRPr="002742BE">
        <w:rPr>
          <w:rFonts w:ascii="Arial" w:hAnsi="Arial" w:cs="Arial"/>
          <w:sz w:val="22"/>
          <w:szCs w:val="22"/>
          <w:lang w:val="en-AU"/>
        </w:rPr>
        <w:t xml:space="preserve"> of patients experienced adverse events considered related to treatment as assessed by investigators. In patients treated with 10 mg Xarelto undergoing hip or knee replacement surgery, bleeding events occurred in approximately 6.8% of patients and anaemia occurred in approximately 5.9% of patients. In patients treated with either 15 mg twice daily Xarelto followed by 20 mg once daily for treatment of DVT, or with 20 mg once daily for prevention of recurrent DVT and PE, bleeding events occurred in approximately 22.7% of patients and anaemia occurred in approximately 1.8% of patients. </w:t>
      </w:r>
    </w:p>
    <w:p w:rsidR="009D1AC1" w:rsidRPr="002742BE" w:rsidRDefault="009D1AC1" w:rsidP="005A2A87">
      <w:pPr>
        <w:spacing w:before="120" w:after="240"/>
        <w:ind w:right="45"/>
        <w:jc w:val="both"/>
        <w:rPr>
          <w:rFonts w:ascii="Arial" w:hAnsi="Arial" w:cs="Arial"/>
          <w:sz w:val="22"/>
          <w:szCs w:val="22"/>
          <w:lang w:val="en-AU"/>
        </w:rPr>
      </w:pPr>
      <w:r w:rsidRPr="002742BE">
        <w:rPr>
          <w:rFonts w:ascii="Arial" w:hAnsi="Arial" w:cs="Arial"/>
          <w:sz w:val="22"/>
          <w:szCs w:val="22"/>
          <w:lang w:val="en-AU"/>
        </w:rPr>
        <w:lastRenderedPageBreak/>
        <w:t xml:space="preserve">In patients treated for prevention of stroke and systemic embolism, bleeding of any type or severity was reported with an event rate of 28 per 100 patient years, and anaemia with an event rate of 2.5 per 100 patient years. </w:t>
      </w:r>
    </w:p>
    <w:p w:rsidR="009D1AC1" w:rsidRPr="002742BE" w:rsidRDefault="009D1AC1" w:rsidP="005A2A87">
      <w:pPr>
        <w:spacing w:before="120" w:after="240"/>
        <w:ind w:right="45"/>
        <w:jc w:val="both"/>
        <w:rPr>
          <w:rFonts w:ascii="Arial" w:hAnsi="Arial" w:cs="Arial"/>
          <w:sz w:val="22"/>
          <w:szCs w:val="22"/>
          <w:lang w:val="en-AU"/>
        </w:rPr>
      </w:pPr>
      <w:r w:rsidRPr="002742BE">
        <w:rPr>
          <w:rFonts w:ascii="Arial" w:hAnsi="Arial" w:cs="Arial"/>
          <w:sz w:val="22"/>
          <w:szCs w:val="22"/>
          <w:lang w:val="en-AU"/>
        </w:rPr>
        <w:t xml:space="preserve">Due to the pharmacological mode of action, the use of Xarelto may be associated with an increased risk of occult or overt bleeding from any tissue and organ which may result in posthaemorrhagic anaemia. The signs, symptoms, and severity (including possible fatal outcome) will vary according to the location and degree or extent of the bleeding and/or anaemia. The risk of bleedings may be increased in certain patient groups e.g. patients with uncontrolled severe arterial hypertension and/or taking concomitant medications affecting haemostasis (see PRECAUTIONS). </w:t>
      </w:r>
      <w:r w:rsidR="004C6CA6" w:rsidRPr="002742BE">
        <w:rPr>
          <w:rFonts w:ascii="Arial" w:hAnsi="Arial" w:cs="Arial"/>
          <w:sz w:val="22"/>
          <w:szCs w:val="22"/>
          <w:lang w:val="en-AU"/>
        </w:rPr>
        <w:t xml:space="preserve">Menstrual bleeding may be intensified and/or prolonged. </w:t>
      </w:r>
      <w:r w:rsidRPr="002742BE">
        <w:rPr>
          <w:rFonts w:ascii="Arial" w:hAnsi="Arial" w:cs="Arial"/>
          <w:sz w:val="22"/>
          <w:szCs w:val="22"/>
          <w:lang w:val="en-AU"/>
        </w:rPr>
        <w:t xml:space="preserve">Haemorrhagic complications may present as weakness, asthenia, paleness, dizziness, headache or unexplained swelling, dyspnoea, and unexplained shock. In some cases as a consequence of anaemia, symptoms of cardiac ischaemia like chest pain or angina pectoris have been observed. </w:t>
      </w:r>
    </w:p>
    <w:p w:rsidR="00407538" w:rsidRPr="002742BE" w:rsidRDefault="009D1AC1" w:rsidP="005A2A87">
      <w:pPr>
        <w:spacing w:before="120" w:after="240"/>
        <w:ind w:right="45"/>
        <w:jc w:val="both"/>
        <w:rPr>
          <w:rFonts w:ascii="Arial" w:hAnsi="Arial" w:cs="Arial"/>
          <w:noProof/>
          <w:sz w:val="22"/>
          <w:szCs w:val="22"/>
          <w:lang w:val="en-AU"/>
        </w:rPr>
      </w:pPr>
      <w:r w:rsidRPr="002742BE">
        <w:rPr>
          <w:rFonts w:ascii="Arial" w:hAnsi="Arial" w:cs="Arial"/>
          <w:sz w:val="22"/>
          <w:szCs w:val="22"/>
          <w:lang w:val="en-AU"/>
        </w:rPr>
        <w:t>Known complications secondary to severe bleeding such as compartment syndrome and renal failure due to hypoperfusion have been reported for Xarelto. Therefore, the possibility of a haemorrhage is to be considered in evaluating the condition in any anticoagulated patient.</w:t>
      </w:r>
    </w:p>
    <w:p w:rsidR="0049000C" w:rsidRPr="002742BE" w:rsidRDefault="0049000C" w:rsidP="005A2A87">
      <w:pPr>
        <w:pStyle w:val="Heading2"/>
        <w:spacing w:before="120"/>
        <w:ind w:right="45"/>
        <w:rPr>
          <w:rFonts w:ascii="Arial" w:hAnsi="Arial" w:cs="Arial"/>
          <w:i/>
          <w:noProof/>
          <w:sz w:val="22"/>
        </w:rPr>
      </w:pPr>
      <w:r w:rsidRPr="002742BE">
        <w:rPr>
          <w:rFonts w:ascii="Arial" w:hAnsi="Arial" w:cs="Arial"/>
          <w:i/>
          <w:noProof/>
          <w:sz w:val="22"/>
        </w:rPr>
        <w:t>VTE Prevention in total hip and knee replacement</w:t>
      </w:r>
    </w:p>
    <w:p w:rsidR="000E3535" w:rsidRPr="002742BE" w:rsidRDefault="001D1004" w:rsidP="005A2A87">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The safety of </w:t>
      </w:r>
      <w:r w:rsidR="00E8487E" w:rsidRPr="002742BE">
        <w:rPr>
          <w:rFonts w:ascii="Arial" w:hAnsi="Arial" w:cs="Arial"/>
          <w:noProof/>
          <w:sz w:val="22"/>
          <w:szCs w:val="22"/>
          <w:lang w:val="en-AU"/>
        </w:rPr>
        <w:t xml:space="preserve">Xarelto </w:t>
      </w:r>
      <w:r w:rsidRPr="002742BE">
        <w:rPr>
          <w:rFonts w:ascii="Arial" w:hAnsi="Arial" w:cs="Arial"/>
          <w:noProof/>
          <w:sz w:val="22"/>
          <w:szCs w:val="22"/>
          <w:lang w:val="en-AU"/>
        </w:rPr>
        <w:t xml:space="preserve">has been evaluated in three Phase III studies including 4571 patients undergoing major orthopaedic surgery of the lower limbs (total hip replacement or total knee replacement) treated up to 39 days. </w:t>
      </w:r>
      <w:r w:rsidR="00590CF5" w:rsidRPr="002742BE">
        <w:rPr>
          <w:rFonts w:ascii="Arial" w:hAnsi="Arial" w:cs="Arial"/>
          <w:noProof/>
          <w:sz w:val="22"/>
          <w:szCs w:val="22"/>
          <w:lang w:val="en-AU"/>
        </w:rPr>
        <w:t>In the</w:t>
      </w:r>
      <w:r w:rsidR="009B0564" w:rsidRPr="002742BE">
        <w:rPr>
          <w:rFonts w:ascii="Arial" w:hAnsi="Arial" w:cs="Arial"/>
          <w:noProof/>
          <w:sz w:val="22"/>
          <w:szCs w:val="22"/>
          <w:lang w:val="en-AU"/>
        </w:rPr>
        <w:t xml:space="preserve"> population of subjects </w:t>
      </w:r>
      <w:r w:rsidR="006E09EF" w:rsidRPr="002742BE">
        <w:rPr>
          <w:rFonts w:ascii="Arial" w:hAnsi="Arial" w:cs="Arial"/>
          <w:noProof/>
          <w:sz w:val="22"/>
          <w:szCs w:val="22"/>
          <w:lang w:val="en-AU"/>
        </w:rPr>
        <w:t xml:space="preserve">who have </w:t>
      </w:r>
      <w:r w:rsidR="00953A49" w:rsidRPr="002742BE">
        <w:rPr>
          <w:rFonts w:ascii="Arial" w:hAnsi="Arial" w:cs="Arial"/>
          <w:noProof/>
          <w:sz w:val="22"/>
          <w:szCs w:val="22"/>
          <w:lang w:val="en-AU"/>
        </w:rPr>
        <w:t xml:space="preserve">taken </w:t>
      </w:r>
      <w:r w:rsidR="006E09EF" w:rsidRPr="002742BE">
        <w:rPr>
          <w:rFonts w:ascii="Arial" w:hAnsi="Arial" w:cs="Arial"/>
          <w:noProof/>
          <w:sz w:val="22"/>
          <w:szCs w:val="22"/>
          <w:lang w:val="en-AU"/>
        </w:rPr>
        <w:t xml:space="preserve">at least one dose of </w:t>
      </w:r>
      <w:r w:rsidR="00E8487E" w:rsidRPr="002742BE">
        <w:rPr>
          <w:rFonts w:ascii="Arial" w:hAnsi="Arial" w:cs="Arial"/>
          <w:noProof/>
          <w:sz w:val="22"/>
          <w:szCs w:val="22"/>
          <w:lang w:val="en-AU"/>
        </w:rPr>
        <w:t xml:space="preserve">Xarelto </w:t>
      </w:r>
      <w:r w:rsidR="000E3535" w:rsidRPr="002742BE">
        <w:rPr>
          <w:rFonts w:ascii="Arial" w:hAnsi="Arial" w:cs="Arial"/>
          <w:noProof/>
          <w:sz w:val="22"/>
          <w:szCs w:val="22"/>
          <w:lang w:val="en-AU"/>
        </w:rPr>
        <w:t xml:space="preserve">10 mg od, a total of </w:t>
      </w:r>
      <w:r w:rsidR="006E09EF" w:rsidRPr="002742BE">
        <w:rPr>
          <w:rFonts w:ascii="Arial" w:hAnsi="Arial" w:cs="Arial"/>
          <w:noProof/>
          <w:sz w:val="22"/>
          <w:szCs w:val="22"/>
          <w:lang w:val="en-AU"/>
        </w:rPr>
        <w:t>1191</w:t>
      </w:r>
      <w:r w:rsidR="000E3535" w:rsidRPr="002742BE">
        <w:rPr>
          <w:rFonts w:ascii="Arial" w:hAnsi="Arial" w:cs="Arial"/>
          <w:noProof/>
          <w:sz w:val="22"/>
          <w:szCs w:val="22"/>
          <w:lang w:val="en-AU"/>
        </w:rPr>
        <w:t xml:space="preserve"> subjects were </w:t>
      </w:r>
      <w:r w:rsidR="006E09EF" w:rsidRPr="002742BE">
        <w:rPr>
          <w:rFonts w:ascii="Arial" w:hAnsi="Arial" w:cs="Arial"/>
          <w:noProof/>
          <w:sz w:val="22"/>
          <w:szCs w:val="22"/>
          <w:lang w:val="en-AU"/>
        </w:rPr>
        <w:t>included in the knee replacement trial with a scheduled treatment period of about 2 weeks and 3380 subjects included in the to</w:t>
      </w:r>
      <w:r w:rsidR="00512D26" w:rsidRPr="002742BE">
        <w:rPr>
          <w:rFonts w:ascii="Arial" w:hAnsi="Arial" w:cs="Arial"/>
          <w:noProof/>
          <w:sz w:val="22"/>
          <w:szCs w:val="22"/>
          <w:lang w:val="en-AU"/>
        </w:rPr>
        <w:t>tal hip replaceme</w:t>
      </w:r>
      <w:r w:rsidR="006E09EF" w:rsidRPr="002742BE">
        <w:rPr>
          <w:rFonts w:ascii="Arial" w:hAnsi="Arial" w:cs="Arial"/>
          <w:noProof/>
          <w:sz w:val="22"/>
          <w:szCs w:val="22"/>
          <w:lang w:val="en-AU"/>
        </w:rPr>
        <w:t xml:space="preserve">nt trials with a scheduled treatment period of </w:t>
      </w:r>
      <w:r w:rsidR="000E3535" w:rsidRPr="002742BE">
        <w:rPr>
          <w:rFonts w:ascii="Arial" w:hAnsi="Arial" w:cs="Arial"/>
          <w:noProof/>
          <w:sz w:val="22"/>
          <w:szCs w:val="22"/>
          <w:lang w:val="en-AU"/>
        </w:rPr>
        <w:t xml:space="preserve">about 5 weeks. </w:t>
      </w:r>
      <w:r w:rsidR="00C03B6E" w:rsidRPr="002742BE">
        <w:rPr>
          <w:rFonts w:ascii="Arial" w:hAnsi="Arial" w:cs="Arial"/>
          <w:noProof/>
          <w:sz w:val="22"/>
          <w:szCs w:val="22"/>
          <w:lang w:val="en-AU"/>
        </w:rPr>
        <w:t>The two treatment groups, rivaroxaban and enoxaparin/placebo showed very similar demographic and baseline characteristics.</w:t>
      </w:r>
    </w:p>
    <w:p w:rsidR="000E3535" w:rsidRPr="002742BE" w:rsidRDefault="000E3535" w:rsidP="005A2A87">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The incidence of common treatment-emergent adverse </w:t>
      </w:r>
      <w:r w:rsidR="006E09EF" w:rsidRPr="002742BE">
        <w:rPr>
          <w:rFonts w:ascii="Arial" w:hAnsi="Arial" w:cs="Arial"/>
          <w:noProof/>
          <w:sz w:val="22"/>
          <w:szCs w:val="22"/>
          <w:lang w:val="en-AU"/>
        </w:rPr>
        <w:t>reactions</w:t>
      </w:r>
      <w:r w:rsidRPr="002742BE">
        <w:rPr>
          <w:rFonts w:ascii="Arial" w:hAnsi="Arial" w:cs="Arial"/>
          <w:noProof/>
          <w:sz w:val="22"/>
          <w:szCs w:val="22"/>
          <w:lang w:val="en-AU"/>
        </w:rPr>
        <w:t xml:space="preserve"> reported in the safety population was similar in both treatment groups for the three Phase III studies irrespective of treatment duration and for trea</w:t>
      </w:r>
      <w:r w:rsidR="007E409D" w:rsidRPr="002742BE">
        <w:rPr>
          <w:rFonts w:ascii="Arial" w:hAnsi="Arial" w:cs="Arial"/>
          <w:noProof/>
          <w:sz w:val="22"/>
          <w:szCs w:val="22"/>
          <w:lang w:val="en-AU"/>
        </w:rPr>
        <w:t>t</w:t>
      </w:r>
      <w:r w:rsidRPr="002742BE">
        <w:rPr>
          <w:rFonts w:ascii="Arial" w:hAnsi="Arial" w:cs="Arial"/>
          <w:noProof/>
          <w:sz w:val="22"/>
          <w:szCs w:val="22"/>
          <w:lang w:val="en-AU"/>
        </w:rPr>
        <w:t>ment period until Day 12 ± 2. The most frequently reported treatment-emergent</w:t>
      </w:r>
      <w:r w:rsidRPr="002742BE">
        <w:rPr>
          <w:rFonts w:ascii="Arial" w:hAnsi="Arial" w:cs="Arial"/>
          <w:noProof/>
          <w:color w:val="FF0000"/>
          <w:sz w:val="22"/>
          <w:szCs w:val="22"/>
          <w:lang w:val="en-AU"/>
        </w:rPr>
        <w:t xml:space="preserve"> </w:t>
      </w:r>
      <w:r w:rsidR="002B58D5" w:rsidRPr="002742BE">
        <w:rPr>
          <w:rFonts w:ascii="Arial" w:hAnsi="Arial" w:cs="Arial"/>
          <w:noProof/>
          <w:sz w:val="22"/>
          <w:szCs w:val="22"/>
          <w:lang w:val="en-AU"/>
        </w:rPr>
        <w:t>adverse reactions</w:t>
      </w:r>
      <w:r w:rsidRPr="002742BE">
        <w:rPr>
          <w:rFonts w:ascii="Arial" w:hAnsi="Arial" w:cs="Arial"/>
          <w:noProof/>
          <w:color w:val="FF0000"/>
          <w:sz w:val="22"/>
          <w:szCs w:val="22"/>
          <w:lang w:val="en-AU"/>
        </w:rPr>
        <w:t xml:space="preserve"> </w:t>
      </w:r>
      <w:r w:rsidRPr="002742BE">
        <w:rPr>
          <w:rFonts w:ascii="Arial" w:hAnsi="Arial" w:cs="Arial"/>
          <w:noProof/>
          <w:sz w:val="22"/>
          <w:szCs w:val="22"/>
          <w:lang w:val="en-AU"/>
        </w:rPr>
        <w:t>in both treatment groups during both treatment periods were gastrointes</w:t>
      </w:r>
      <w:r w:rsidR="00512D26" w:rsidRPr="002742BE">
        <w:rPr>
          <w:rFonts w:ascii="Arial" w:hAnsi="Arial" w:cs="Arial"/>
          <w:noProof/>
          <w:sz w:val="22"/>
          <w:szCs w:val="22"/>
          <w:lang w:val="en-AU"/>
        </w:rPr>
        <w:t>t</w:t>
      </w:r>
      <w:r w:rsidRPr="002742BE">
        <w:rPr>
          <w:rFonts w:ascii="Arial" w:hAnsi="Arial" w:cs="Arial"/>
          <w:noProof/>
          <w:sz w:val="22"/>
          <w:szCs w:val="22"/>
          <w:lang w:val="en-AU"/>
        </w:rPr>
        <w:t>inal disorders, in particular nausea</w:t>
      </w:r>
      <w:r w:rsidR="00512D26" w:rsidRPr="002742BE">
        <w:rPr>
          <w:rFonts w:ascii="Arial" w:hAnsi="Arial" w:cs="Arial"/>
          <w:noProof/>
          <w:sz w:val="22"/>
          <w:szCs w:val="22"/>
          <w:lang w:val="en-AU"/>
        </w:rPr>
        <w:t>;</w:t>
      </w:r>
      <w:r w:rsidRPr="002742BE">
        <w:rPr>
          <w:rFonts w:ascii="Arial" w:hAnsi="Arial" w:cs="Arial"/>
          <w:noProof/>
          <w:sz w:val="22"/>
          <w:szCs w:val="22"/>
          <w:lang w:val="en-AU"/>
        </w:rPr>
        <w:t xml:space="preserve"> procedural complications </w:t>
      </w:r>
      <w:r w:rsidR="00512D26" w:rsidRPr="002742BE">
        <w:rPr>
          <w:rFonts w:ascii="Arial" w:hAnsi="Arial" w:cs="Arial"/>
          <w:noProof/>
          <w:sz w:val="22"/>
          <w:szCs w:val="22"/>
          <w:lang w:val="en-AU"/>
        </w:rPr>
        <w:t>such as post operative anaemia</w:t>
      </w:r>
      <w:r w:rsidR="00C33FB9" w:rsidRPr="002742BE">
        <w:rPr>
          <w:rFonts w:ascii="Arial" w:hAnsi="Arial" w:cs="Arial"/>
          <w:noProof/>
          <w:sz w:val="22"/>
          <w:szCs w:val="22"/>
          <w:lang w:val="en-AU"/>
        </w:rPr>
        <w:t>;</w:t>
      </w:r>
      <w:r w:rsidR="00512D26" w:rsidRPr="002742BE">
        <w:rPr>
          <w:rFonts w:ascii="Arial" w:hAnsi="Arial" w:cs="Arial"/>
          <w:noProof/>
          <w:sz w:val="22"/>
          <w:szCs w:val="22"/>
          <w:lang w:val="en-AU"/>
        </w:rPr>
        <w:t xml:space="preserve"> and investigations, in particular related to liver function tests</w:t>
      </w:r>
      <w:r w:rsidRPr="002742BE">
        <w:rPr>
          <w:rFonts w:ascii="Arial" w:hAnsi="Arial" w:cs="Arial"/>
          <w:noProof/>
          <w:sz w:val="22"/>
          <w:szCs w:val="22"/>
          <w:lang w:val="en-AU"/>
        </w:rPr>
        <w:t>.</w:t>
      </w:r>
    </w:p>
    <w:p w:rsidR="001D1004" w:rsidRPr="002742BE" w:rsidRDefault="001D1004" w:rsidP="005A2A87">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The adverse </w:t>
      </w:r>
      <w:r w:rsidR="00FE51DC" w:rsidRPr="002742BE">
        <w:rPr>
          <w:rFonts w:ascii="Arial" w:hAnsi="Arial" w:cs="Arial"/>
          <w:noProof/>
          <w:sz w:val="22"/>
          <w:szCs w:val="22"/>
          <w:lang w:val="en-AU"/>
        </w:rPr>
        <w:t xml:space="preserve">events and adverse </w:t>
      </w:r>
      <w:r w:rsidRPr="002742BE">
        <w:rPr>
          <w:rFonts w:ascii="Arial" w:hAnsi="Arial" w:cs="Arial"/>
          <w:noProof/>
          <w:sz w:val="22"/>
          <w:szCs w:val="22"/>
          <w:lang w:val="en-AU"/>
        </w:rPr>
        <w:t xml:space="preserve">reactions are presented within each system organ class; </w:t>
      </w:r>
      <w:r w:rsidR="001C592E" w:rsidRPr="002742BE">
        <w:rPr>
          <w:rFonts w:ascii="Arial" w:hAnsi="Arial" w:cs="Arial"/>
          <w:noProof/>
          <w:sz w:val="22"/>
          <w:szCs w:val="22"/>
          <w:lang w:val="en-AU"/>
        </w:rPr>
        <w:t>and</w:t>
      </w:r>
      <w:r w:rsidRPr="002742BE">
        <w:rPr>
          <w:rFonts w:ascii="Arial" w:hAnsi="Arial" w:cs="Arial"/>
          <w:noProof/>
          <w:sz w:val="22"/>
          <w:szCs w:val="22"/>
          <w:lang w:val="en-AU"/>
        </w:rPr>
        <w:t xml:space="preserve"> should be interpreted within the surgical setting. </w:t>
      </w:r>
    </w:p>
    <w:p w:rsidR="0029723D" w:rsidRDefault="001D1004" w:rsidP="00E50FEE">
      <w:pPr>
        <w:pStyle w:val="Caption"/>
        <w:ind w:right="46"/>
        <w:jc w:val="both"/>
        <w:rPr>
          <w:rFonts w:ascii="Arial" w:hAnsi="Arial" w:cs="Arial"/>
          <w:b w:val="0"/>
          <w:noProof/>
          <w:sz w:val="22"/>
          <w:szCs w:val="22"/>
          <w:lang w:val="en-AU"/>
        </w:rPr>
      </w:pPr>
      <w:r w:rsidRPr="002742BE">
        <w:rPr>
          <w:rFonts w:ascii="Arial" w:hAnsi="Arial" w:cs="Arial"/>
          <w:b w:val="0"/>
          <w:noProof/>
          <w:sz w:val="22"/>
          <w:szCs w:val="22"/>
          <w:lang w:val="en-AU"/>
        </w:rPr>
        <w:t xml:space="preserve">Adverse </w:t>
      </w:r>
      <w:r w:rsidR="00FE51DC" w:rsidRPr="002742BE">
        <w:rPr>
          <w:rFonts w:ascii="Arial" w:hAnsi="Arial" w:cs="Arial"/>
          <w:b w:val="0"/>
          <w:noProof/>
          <w:sz w:val="22"/>
          <w:szCs w:val="22"/>
          <w:lang w:val="en-AU"/>
        </w:rPr>
        <w:t xml:space="preserve">events and adverse </w:t>
      </w:r>
      <w:r w:rsidRPr="002742BE">
        <w:rPr>
          <w:rFonts w:ascii="Arial" w:hAnsi="Arial" w:cs="Arial"/>
          <w:b w:val="0"/>
          <w:noProof/>
          <w:sz w:val="22"/>
          <w:szCs w:val="22"/>
          <w:lang w:val="en-AU"/>
        </w:rPr>
        <w:t>reactions as reported by the investigators in the three Phase III studies are listed in</w:t>
      </w:r>
      <w:r w:rsidR="005A3C32" w:rsidRPr="002742BE">
        <w:rPr>
          <w:rFonts w:ascii="Arial" w:hAnsi="Arial" w:cs="Arial"/>
          <w:b w:val="0"/>
          <w:noProof/>
          <w:sz w:val="22"/>
          <w:szCs w:val="22"/>
          <w:lang w:val="en-AU"/>
        </w:rPr>
        <w:t xml:space="preserve"> </w:t>
      </w:r>
      <w:fldSimple w:instr=" REF _Ref321240070  \* MERGEFORMAT ">
        <w:r w:rsidR="00A24B67" w:rsidRPr="00B15449">
          <w:rPr>
            <w:rFonts w:ascii="Arial" w:hAnsi="Arial" w:cs="Arial"/>
            <w:b w:val="0"/>
            <w:sz w:val="22"/>
            <w:szCs w:val="22"/>
            <w:lang w:val="en-AU"/>
          </w:rPr>
          <w:t>Table</w:t>
        </w:r>
        <w:r w:rsidR="00A24B67" w:rsidRPr="00B15449">
          <w:rPr>
            <w:rFonts w:ascii="Arial" w:hAnsi="Arial" w:cs="Arial"/>
            <w:b w:val="0"/>
            <w:noProof/>
            <w:sz w:val="22"/>
            <w:szCs w:val="22"/>
            <w:lang w:val="en-AU"/>
          </w:rPr>
          <w:t xml:space="preserve"> 15</w:t>
        </w:r>
      </w:fldSimple>
      <w:r w:rsidR="00F518EF" w:rsidRPr="002742BE">
        <w:rPr>
          <w:rFonts w:ascii="Arial" w:hAnsi="Arial" w:cs="Arial"/>
          <w:b w:val="0"/>
          <w:noProof/>
          <w:sz w:val="22"/>
          <w:szCs w:val="22"/>
          <w:lang w:val="en-AU"/>
        </w:rPr>
        <w:t xml:space="preserve"> </w:t>
      </w:r>
      <w:r w:rsidRPr="002742BE">
        <w:rPr>
          <w:rFonts w:ascii="Arial" w:hAnsi="Arial" w:cs="Arial"/>
          <w:b w:val="0"/>
          <w:noProof/>
          <w:sz w:val="22"/>
          <w:szCs w:val="22"/>
          <w:lang w:val="en-AU"/>
        </w:rPr>
        <w:t xml:space="preserve">below by system organ class (in MedDRA). </w:t>
      </w:r>
      <w:r w:rsidR="007E409D" w:rsidRPr="002742BE">
        <w:rPr>
          <w:rFonts w:ascii="Arial" w:hAnsi="Arial" w:cs="Arial"/>
          <w:b w:val="0"/>
          <w:noProof/>
          <w:sz w:val="22"/>
          <w:szCs w:val="22"/>
          <w:lang w:val="en-AU"/>
        </w:rPr>
        <w:t>RECORD 1-3 trials were similar in study design and patient population, the dose regimen tested was rivaroxaban 10 mg od compare to enoxaparin 40 mg od.</w:t>
      </w:r>
    </w:p>
    <w:p w:rsidR="00B74AA6" w:rsidRPr="00E50FEE" w:rsidRDefault="00B74AA6" w:rsidP="00E50FEE">
      <w:pPr>
        <w:rPr>
          <w:lang w:val="en-AU"/>
        </w:rPr>
      </w:pPr>
    </w:p>
    <w:p w:rsidR="00553E1C" w:rsidRPr="002742BE" w:rsidRDefault="00F518EF" w:rsidP="00036AEB">
      <w:pPr>
        <w:pStyle w:val="Caption"/>
        <w:ind w:right="46"/>
        <w:rPr>
          <w:rFonts w:ascii="Arial" w:hAnsi="Arial" w:cs="Arial"/>
          <w:noProof/>
          <w:lang w:val="en-AU"/>
        </w:rPr>
      </w:pPr>
      <w:bookmarkStart w:id="23" w:name="_Ref286679238"/>
      <w:bookmarkStart w:id="24" w:name="_Ref318972125"/>
      <w:bookmarkStart w:id="25" w:name="_Ref321240070"/>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15</w:t>
      </w:r>
      <w:r w:rsidR="00794C79" w:rsidRPr="002742BE">
        <w:rPr>
          <w:rFonts w:ascii="Arial" w:hAnsi="Arial" w:cs="Arial"/>
          <w:lang w:val="en-AU"/>
        </w:rPr>
        <w:fldChar w:fldCharType="end"/>
      </w:r>
      <w:bookmarkEnd w:id="23"/>
      <w:bookmarkEnd w:id="24"/>
      <w:bookmarkEnd w:id="25"/>
      <w:r w:rsidR="00A560D7" w:rsidRPr="002742BE">
        <w:rPr>
          <w:rFonts w:ascii="Arial" w:hAnsi="Arial" w:cs="Arial"/>
          <w:lang w:val="en-AU"/>
        </w:rPr>
        <w:t xml:space="preserve">: </w:t>
      </w:r>
      <w:r w:rsidR="00FF11E1" w:rsidRPr="002742BE">
        <w:rPr>
          <w:rFonts w:ascii="Arial" w:hAnsi="Arial" w:cs="Arial"/>
          <w:lang w:val="en-AU"/>
        </w:rPr>
        <w:t xml:space="preserve">Treatment-emergent adverse </w:t>
      </w:r>
      <w:r w:rsidR="00A560D7" w:rsidRPr="002742BE">
        <w:rPr>
          <w:rFonts w:ascii="Arial" w:hAnsi="Arial" w:cs="Arial"/>
          <w:lang w:val="en-AU"/>
        </w:rPr>
        <w:t>events</w:t>
      </w:r>
      <w:r w:rsidR="001D6F80" w:rsidRPr="002742BE">
        <w:rPr>
          <w:rFonts w:ascii="Arial" w:hAnsi="Arial" w:cs="Arial"/>
          <w:lang w:val="en-AU"/>
        </w:rPr>
        <w:t xml:space="preserve"> (AE)</w:t>
      </w:r>
      <w:r w:rsidR="00A560D7" w:rsidRPr="002742BE">
        <w:rPr>
          <w:rFonts w:ascii="Arial" w:hAnsi="Arial" w:cs="Arial"/>
          <w:lang w:val="en-AU"/>
        </w:rPr>
        <w:t xml:space="preserve"> </w:t>
      </w:r>
      <w:r w:rsidR="00FE51DC" w:rsidRPr="002742BE">
        <w:rPr>
          <w:rFonts w:ascii="Arial" w:hAnsi="Arial" w:cs="Arial"/>
          <w:noProof/>
          <w:lang w:val="en-AU"/>
        </w:rPr>
        <w:t>≥</w:t>
      </w:r>
      <w:r w:rsidR="00A560D7" w:rsidRPr="002742BE">
        <w:rPr>
          <w:rFonts w:ascii="Arial" w:hAnsi="Arial" w:cs="Arial"/>
          <w:lang w:val="en-AU"/>
        </w:rPr>
        <w:t>1% (regardless of causality)</w:t>
      </w:r>
      <w:r w:rsidR="00854EED" w:rsidRPr="002742BE">
        <w:rPr>
          <w:rFonts w:ascii="Arial" w:hAnsi="Arial" w:cs="Arial"/>
          <w:lang w:val="en-AU"/>
        </w:rPr>
        <w:t xml:space="preserve"> and treatment emergent adverse reactions</w:t>
      </w:r>
      <w:r w:rsidR="00A560D7" w:rsidRPr="002742BE">
        <w:rPr>
          <w:rFonts w:ascii="Arial" w:hAnsi="Arial" w:cs="Arial"/>
          <w:lang w:val="en-AU"/>
        </w:rPr>
        <w:t xml:space="preserve"> </w:t>
      </w:r>
      <w:r w:rsidR="00FF11E1" w:rsidRPr="002742BE">
        <w:rPr>
          <w:rFonts w:ascii="Arial" w:hAnsi="Arial" w:cs="Arial"/>
          <w:lang w:val="en-AU"/>
        </w:rPr>
        <w:t xml:space="preserve">(ADR) starting after initiation of rivaroxaban, </w:t>
      </w:r>
      <w:r w:rsidR="00A560D7" w:rsidRPr="002742BE">
        <w:rPr>
          <w:rFonts w:ascii="Arial" w:hAnsi="Arial" w:cs="Arial"/>
          <w:lang w:val="en-AU"/>
        </w:rPr>
        <w:t xml:space="preserve">as reported by the investigators in patients in </w:t>
      </w:r>
      <w:r w:rsidR="00A560D7" w:rsidRPr="002742BE">
        <w:rPr>
          <w:rFonts w:ascii="Arial" w:hAnsi="Arial" w:cs="Arial"/>
          <w:noProof/>
          <w:lang w:val="en-AU"/>
        </w:rPr>
        <w:t>three Phase III studies</w:t>
      </w:r>
      <w:r w:rsidR="00FF11E1" w:rsidRPr="002742BE">
        <w:rPr>
          <w:rFonts w:ascii="Arial" w:hAnsi="Arial" w:cs="Arial"/>
          <w:noProof/>
          <w:lang w:val="en-AU"/>
        </w:rPr>
        <w:t xml:space="preserve"> (RECORD 1 to 3)</w:t>
      </w:r>
      <w:r w:rsidR="00A560D7" w:rsidRPr="002742BE">
        <w:rPr>
          <w:rFonts w:ascii="Arial" w:hAnsi="Arial" w:cs="Arial"/>
          <w:noProof/>
          <w:lang w:val="en-AU"/>
        </w:rPr>
        <w:t xml:space="preserve"> 11354, 11357, 11356</w:t>
      </w:r>
    </w:p>
    <w:p w:rsidR="00AE5D62" w:rsidRPr="002742BE" w:rsidRDefault="00AE5D62" w:rsidP="005702DF">
      <w:pPr>
        <w:rPr>
          <w:lang w:val="en-AU"/>
        </w:rPr>
      </w:pPr>
    </w:p>
    <w:tbl>
      <w:tblPr>
        <w:tblpPr w:leftFromText="180" w:rightFromText="180" w:vertAnchor="text" w:tblpX="108" w:tblpY="1"/>
        <w:tblOverlap w:val="never"/>
        <w:tblW w:w="8820" w:type="dxa"/>
        <w:tblLayout w:type="fixed"/>
        <w:tblLook w:val="01E0"/>
      </w:tblPr>
      <w:tblGrid>
        <w:gridCol w:w="2700"/>
        <w:gridCol w:w="1620"/>
        <w:gridCol w:w="1440"/>
        <w:gridCol w:w="1620"/>
        <w:gridCol w:w="1440"/>
      </w:tblGrid>
      <w:tr w:rsidR="00E31BC3" w:rsidRPr="002742BE" w:rsidTr="00B9544A">
        <w:trPr>
          <w:tblHeader/>
        </w:trPr>
        <w:tc>
          <w:tcPr>
            <w:tcW w:w="2700" w:type="dxa"/>
            <w:tcBorders>
              <w:bottom w:val="single" w:sz="4" w:space="0" w:color="auto"/>
              <w:right w:val="single" w:sz="4" w:space="0" w:color="auto"/>
            </w:tcBorders>
            <w:shd w:val="clear" w:color="auto" w:fill="auto"/>
          </w:tcPr>
          <w:p w:rsidR="00E31BC3" w:rsidRPr="002742BE" w:rsidRDefault="00E31BC3" w:rsidP="00AC202B">
            <w:pPr>
              <w:keepNext/>
              <w:tabs>
                <w:tab w:val="left" w:pos="1843"/>
              </w:tabs>
              <w:spacing w:before="60" w:after="60"/>
              <w:ind w:right="46"/>
              <w:jc w:val="both"/>
              <w:rPr>
                <w:rFonts w:ascii="Arial" w:hAnsi="Arial" w:cs="Arial"/>
                <w:sz w:val="22"/>
                <w:szCs w:val="22"/>
                <w:lang w:val="en-AU"/>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E0E0E0"/>
          </w:tcPr>
          <w:p w:rsidR="00E31BC3" w:rsidRPr="002742BE" w:rsidRDefault="00E8487E" w:rsidP="00AC202B">
            <w:pPr>
              <w:keepNext/>
              <w:tabs>
                <w:tab w:val="left" w:pos="1844"/>
              </w:tabs>
              <w:spacing w:before="60" w:after="60"/>
              <w:ind w:right="46"/>
              <w:jc w:val="center"/>
              <w:rPr>
                <w:rFonts w:ascii="Arial" w:hAnsi="Arial" w:cs="Arial"/>
                <w:sz w:val="18"/>
                <w:szCs w:val="18"/>
                <w:lang w:val="en-AU"/>
              </w:rPr>
            </w:pPr>
            <w:r w:rsidRPr="002742BE">
              <w:rPr>
                <w:rFonts w:ascii="Arial" w:hAnsi="Arial" w:cs="Arial"/>
                <w:sz w:val="18"/>
                <w:szCs w:val="18"/>
                <w:lang w:val="en-AU"/>
              </w:rPr>
              <w:t>Xarelto</w:t>
            </w:r>
          </w:p>
          <w:p w:rsidR="0025780C" w:rsidRPr="002742BE" w:rsidRDefault="0025780C" w:rsidP="00AC202B">
            <w:pPr>
              <w:keepNext/>
              <w:tabs>
                <w:tab w:val="left" w:pos="1844"/>
              </w:tabs>
              <w:spacing w:before="60" w:after="60"/>
              <w:ind w:right="46"/>
              <w:jc w:val="center"/>
              <w:rPr>
                <w:rFonts w:ascii="Arial" w:hAnsi="Arial" w:cs="Arial"/>
                <w:sz w:val="18"/>
                <w:szCs w:val="18"/>
                <w:lang w:val="en-AU"/>
              </w:rPr>
            </w:pPr>
            <w:r w:rsidRPr="002742BE">
              <w:rPr>
                <w:rFonts w:ascii="Arial" w:hAnsi="Arial" w:cs="Arial"/>
                <w:sz w:val="18"/>
                <w:szCs w:val="18"/>
                <w:lang w:val="en-AU"/>
              </w:rPr>
              <w:t>(10 mg od)</w:t>
            </w:r>
          </w:p>
          <w:p w:rsidR="00E31BC3" w:rsidRPr="002742BE" w:rsidRDefault="00E31BC3" w:rsidP="00AC202B">
            <w:pPr>
              <w:keepNext/>
              <w:tabs>
                <w:tab w:val="left" w:pos="1844"/>
              </w:tabs>
              <w:spacing w:before="60" w:after="60"/>
              <w:ind w:right="46"/>
              <w:jc w:val="center"/>
              <w:rPr>
                <w:rFonts w:ascii="Arial" w:hAnsi="Arial" w:cs="Arial"/>
                <w:sz w:val="18"/>
                <w:szCs w:val="18"/>
                <w:lang w:val="en-AU"/>
              </w:rPr>
            </w:pPr>
            <w:r w:rsidRPr="002742BE">
              <w:rPr>
                <w:rFonts w:ascii="Arial" w:hAnsi="Arial" w:cs="Arial"/>
                <w:sz w:val="18"/>
                <w:szCs w:val="18"/>
                <w:lang w:val="en-AU"/>
              </w:rPr>
              <w:t>N = 4657</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0E0E0"/>
          </w:tcPr>
          <w:p w:rsidR="00E31BC3" w:rsidRPr="002742BE" w:rsidRDefault="00E31BC3" w:rsidP="00AC202B">
            <w:pPr>
              <w:keepNext/>
              <w:spacing w:before="60" w:after="60"/>
              <w:ind w:right="46"/>
              <w:jc w:val="center"/>
              <w:rPr>
                <w:rFonts w:ascii="Arial" w:hAnsi="Arial" w:cs="Arial"/>
                <w:sz w:val="18"/>
                <w:szCs w:val="18"/>
                <w:lang w:val="en-AU"/>
              </w:rPr>
            </w:pPr>
            <w:r w:rsidRPr="002742BE">
              <w:rPr>
                <w:rFonts w:ascii="Arial" w:hAnsi="Arial" w:cs="Arial"/>
                <w:sz w:val="18"/>
                <w:szCs w:val="18"/>
                <w:lang w:val="en-AU"/>
              </w:rPr>
              <w:t>Enoxaparin/Placebo</w:t>
            </w:r>
          </w:p>
          <w:p w:rsidR="0025780C" w:rsidRPr="002742BE" w:rsidRDefault="0025780C" w:rsidP="00AC202B">
            <w:pPr>
              <w:keepNext/>
              <w:spacing w:before="60" w:after="60"/>
              <w:ind w:right="46"/>
              <w:jc w:val="center"/>
              <w:rPr>
                <w:rFonts w:ascii="Arial" w:hAnsi="Arial" w:cs="Arial"/>
                <w:sz w:val="18"/>
                <w:szCs w:val="18"/>
                <w:lang w:val="en-AU"/>
              </w:rPr>
            </w:pPr>
            <w:r w:rsidRPr="002742BE">
              <w:rPr>
                <w:rFonts w:ascii="Arial" w:hAnsi="Arial" w:cs="Arial"/>
                <w:sz w:val="18"/>
                <w:szCs w:val="18"/>
                <w:lang w:val="en-AU"/>
              </w:rPr>
              <w:t>(40 mg od)</w:t>
            </w:r>
          </w:p>
          <w:p w:rsidR="00E31BC3" w:rsidRPr="002742BE" w:rsidRDefault="00E31BC3" w:rsidP="00AC202B">
            <w:pPr>
              <w:keepNext/>
              <w:spacing w:before="60" w:after="60"/>
              <w:ind w:right="46"/>
              <w:jc w:val="center"/>
              <w:rPr>
                <w:rFonts w:ascii="Arial" w:hAnsi="Arial" w:cs="Arial"/>
                <w:sz w:val="18"/>
                <w:szCs w:val="18"/>
                <w:lang w:val="en-AU"/>
              </w:rPr>
            </w:pPr>
            <w:r w:rsidRPr="002742BE">
              <w:rPr>
                <w:rFonts w:ascii="Arial" w:hAnsi="Arial" w:cs="Arial"/>
                <w:sz w:val="18"/>
                <w:szCs w:val="18"/>
                <w:lang w:val="en-AU"/>
              </w:rPr>
              <w:t>N = 4692</w:t>
            </w:r>
          </w:p>
        </w:tc>
      </w:tr>
      <w:tr w:rsidR="005C296E" w:rsidRPr="002742BE" w:rsidTr="00B9544A">
        <w:trPr>
          <w:tblHead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25780C" w:rsidRPr="002742BE" w:rsidRDefault="0025780C" w:rsidP="00AC202B">
            <w:pPr>
              <w:keepNext/>
              <w:tabs>
                <w:tab w:val="left" w:pos="1843"/>
              </w:tabs>
              <w:spacing w:before="60" w:after="60"/>
              <w:ind w:right="46"/>
              <w:rPr>
                <w:rFonts w:ascii="Arial" w:hAnsi="Arial" w:cs="Arial"/>
                <w:sz w:val="18"/>
                <w:szCs w:val="18"/>
                <w:lang w:val="en-AU"/>
              </w:rPr>
            </w:pPr>
            <w:r w:rsidRPr="002742BE">
              <w:rPr>
                <w:rFonts w:ascii="Arial" w:hAnsi="Arial" w:cs="Arial"/>
                <w:sz w:val="18"/>
                <w:szCs w:val="18"/>
                <w:lang w:val="en-AU"/>
              </w:rPr>
              <w:lastRenderedPageBreak/>
              <w:t>System Organ Clas</w:t>
            </w:r>
          </w:p>
          <w:p w:rsidR="005C296E" w:rsidRPr="002742BE" w:rsidRDefault="00E31BC3" w:rsidP="00AC202B">
            <w:pPr>
              <w:keepNext/>
              <w:tabs>
                <w:tab w:val="left" w:pos="1843"/>
              </w:tabs>
              <w:spacing w:before="60" w:after="60"/>
              <w:ind w:right="46"/>
              <w:rPr>
                <w:rFonts w:ascii="Arial" w:hAnsi="Arial" w:cs="Arial"/>
                <w:sz w:val="18"/>
                <w:szCs w:val="18"/>
                <w:lang w:val="en-AU"/>
              </w:rPr>
            </w:pPr>
            <w:r w:rsidRPr="002742BE">
              <w:rPr>
                <w:rFonts w:ascii="Arial" w:hAnsi="Arial" w:cs="Arial"/>
                <w:sz w:val="18"/>
                <w:szCs w:val="18"/>
                <w:lang w:val="en-AU"/>
              </w:rPr>
              <w:t>Medical Entity</w:t>
            </w:r>
            <w:r w:rsidR="0025780C" w:rsidRPr="002742BE">
              <w:rPr>
                <w:rFonts w:ascii="Arial" w:hAnsi="Arial" w:cs="Arial"/>
                <w:sz w:val="18"/>
                <w:szCs w:val="18"/>
                <w:lang w:val="en-AU"/>
              </w:rPr>
              <w:t xml:space="preserve"> / Preferred Term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C296E" w:rsidRPr="002742BE" w:rsidRDefault="00E31BC3" w:rsidP="00AC202B">
            <w:pPr>
              <w:keepNext/>
              <w:tabs>
                <w:tab w:val="left" w:pos="1844"/>
              </w:tabs>
              <w:spacing w:before="60" w:after="60"/>
              <w:ind w:right="46"/>
              <w:jc w:val="center"/>
              <w:rPr>
                <w:rFonts w:ascii="Arial" w:hAnsi="Arial" w:cs="Arial"/>
                <w:b/>
                <w:sz w:val="18"/>
                <w:szCs w:val="18"/>
                <w:lang w:val="en-AU"/>
              </w:rPr>
            </w:pPr>
            <w:r w:rsidRPr="002742BE">
              <w:rPr>
                <w:rFonts w:ascii="Arial" w:hAnsi="Arial" w:cs="Arial"/>
                <w:b/>
                <w:sz w:val="18"/>
                <w:szCs w:val="18"/>
                <w:lang w:val="en-AU"/>
              </w:rPr>
              <w:t>AE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C296E" w:rsidRPr="002742BE" w:rsidRDefault="00E31BC3" w:rsidP="00AC202B">
            <w:pPr>
              <w:keepNext/>
              <w:tabs>
                <w:tab w:val="left" w:pos="1844"/>
              </w:tabs>
              <w:spacing w:before="60" w:after="60"/>
              <w:ind w:right="46"/>
              <w:jc w:val="center"/>
              <w:rPr>
                <w:rFonts w:ascii="Arial" w:hAnsi="Arial" w:cs="Arial"/>
                <w:b/>
                <w:sz w:val="18"/>
                <w:szCs w:val="18"/>
                <w:lang w:val="en-AU"/>
              </w:rPr>
            </w:pPr>
            <w:r w:rsidRPr="002742BE">
              <w:rPr>
                <w:rFonts w:ascii="Arial" w:hAnsi="Arial" w:cs="Arial"/>
                <w:b/>
                <w:sz w:val="18"/>
                <w:szCs w:val="18"/>
                <w:lang w:val="en-AU"/>
              </w:rPr>
              <w:t>ADR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C296E" w:rsidRPr="002742BE" w:rsidRDefault="00E31BC3" w:rsidP="00AC202B">
            <w:pPr>
              <w:keepNext/>
              <w:spacing w:before="60" w:after="60"/>
              <w:ind w:right="46"/>
              <w:jc w:val="center"/>
              <w:rPr>
                <w:rFonts w:ascii="Arial" w:hAnsi="Arial" w:cs="Arial"/>
                <w:b/>
                <w:sz w:val="18"/>
                <w:szCs w:val="18"/>
                <w:lang w:val="en-AU"/>
              </w:rPr>
            </w:pPr>
            <w:r w:rsidRPr="002742BE">
              <w:rPr>
                <w:rFonts w:ascii="Arial" w:hAnsi="Arial" w:cs="Arial"/>
                <w:b/>
                <w:sz w:val="18"/>
                <w:szCs w:val="18"/>
                <w:lang w:val="en-AU"/>
              </w:rPr>
              <w:t>AE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5C296E" w:rsidRPr="002742BE" w:rsidRDefault="00E31BC3" w:rsidP="00AC202B">
            <w:pPr>
              <w:keepNext/>
              <w:spacing w:before="60" w:after="60"/>
              <w:ind w:right="46"/>
              <w:jc w:val="center"/>
              <w:rPr>
                <w:rFonts w:ascii="Arial" w:hAnsi="Arial" w:cs="Arial"/>
                <w:b/>
                <w:sz w:val="18"/>
                <w:szCs w:val="18"/>
                <w:lang w:val="en-AU"/>
              </w:rPr>
            </w:pPr>
            <w:r w:rsidRPr="002742BE">
              <w:rPr>
                <w:rFonts w:ascii="Arial" w:hAnsi="Arial" w:cs="Arial"/>
                <w:b/>
                <w:sz w:val="18"/>
                <w:szCs w:val="18"/>
                <w:lang w:val="en-AU"/>
              </w:rPr>
              <w:t>ADR</w:t>
            </w:r>
          </w:p>
        </w:tc>
      </w:tr>
      <w:tr w:rsidR="005C296E" w:rsidRPr="002742BE" w:rsidTr="00B9544A">
        <w:tc>
          <w:tcPr>
            <w:tcW w:w="2700" w:type="dxa"/>
            <w:tcBorders>
              <w:top w:val="single" w:sz="4" w:space="0" w:color="auto"/>
              <w:left w:val="single" w:sz="4" w:space="0" w:color="auto"/>
              <w:right w:val="single" w:sz="4" w:space="0" w:color="auto"/>
            </w:tcBorders>
            <w:shd w:val="clear" w:color="auto" w:fill="auto"/>
          </w:tcPr>
          <w:p w:rsidR="005C296E" w:rsidRPr="002742BE" w:rsidRDefault="00167C8D" w:rsidP="00AC202B">
            <w:pPr>
              <w:pStyle w:val="Heading1"/>
              <w:tabs>
                <w:tab w:val="left" w:pos="567"/>
              </w:tabs>
              <w:spacing w:before="120" w:after="120" w:line="240" w:lineRule="auto"/>
              <w:ind w:right="46"/>
              <w:jc w:val="left"/>
              <w:rPr>
                <w:rFonts w:ascii="Arial" w:hAnsi="Arial" w:cs="Arial"/>
                <w:caps w:val="0"/>
                <w:noProof/>
                <w:sz w:val="18"/>
                <w:szCs w:val="18"/>
              </w:rPr>
            </w:pPr>
            <w:r w:rsidRPr="002742BE">
              <w:rPr>
                <w:rFonts w:ascii="Arial" w:hAnsi="Arial" w:cs="Arial"/>
                <w:caps w:val="0"/>
                <w:noProof/>
                <w:sz w:val="18"/>
                <w:szCs w:val="18"/>
              </w:rPr>
              <w:t>Blood and lymphatic system disorders</w:t>
            </w:r>
          </w:p>
        </w:tc>
        <w:tc>
          <w:tcPr>
            <w:tcW w:w="162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r>
      <w:tr w:rsidR="005C296E" w:rsidRPr="002742BE" w:rsidTr="00B9544A">
        <w:tc>
          <w:tcPr>
            <w:tcW w:w="2700" w:type="dxa"/>
            <w:tcBorders>
              <w:left w:val="single" w:sz="4" w:space="0" w:color="auto"/>
              <w:bottom w:val="single" w:sz="4" w:space="0" w:color="auto"/>
              <w:right w:val="single" w:sz="4" w:space="0" w:color="auto"/>
            </w:tcBorders>
            <w:shd w:val="clear" w:color="auto" w:fill="auto"/>
          </w:tcPr>
          <w:p w:rsidR="002C4056" w:rsidRPr="002742BE" w:rsidRDefault="00167C8D" w:rsidP="00AC202B">
            <w:pPr>
              <w:keepNext/>
              <w:tabs>
                <w:tab w:val="left" w:pos="1843"/>
              </w:tabs>
              <w:spacing w:before="60" w:after="60"/>
              <w:ind w:right="46"/>
              <w:rPr>
                <w:rFonts w:ascii="Arial" w:hAnsi="Arial" w:cs="Arial"/>
                <w:sz w:val="22"/>
                <w:szCs w:val="22"/>
                <w:lang w:val="en-AU"/>
              </w:rPr>
            </w:pPr>
            <w:r w:rsidRPr="002742BE">
              <w:rPr>
                <w:rFonts w:ascii="Arial" w:hAnsi="Arial" w:cs="Arial"/>
                <w:sz w:val="18"/>
                <w:szCs w:val="18"/>
                <w:lang w:val="en-AU"/>
              </w:rPr>
              <w:t>Anaemia (incl. respective lab parameters)</w:t>
            </w:r>
          </w:p>
        </w:tc>
        <w:tc>
          <w:tcPr>
            <w:tcW w:w="1620" w:type="dxa"/>
            <w:tcBorders>
              <w:left w:val="single" w:sz="4" w:space="0" w:color="auto"/>
              <w:bottom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440" w:type="dxa"/>
            <w:tcBorders>
              <w:left w:val="single" w:sz="4" w:space="0" w:color="auto"/>
              <w:bottom w:val="single" w:sz="4" w:space="0" w:color="auto"/>
              <w:right w:val="single" w:sz="4" w:space="0" w:color="auto"/>
            </w:tcBorders>
            <w:shd w:val="clear" w:color="auto" w:fill="auto"/>
          </w:tcPr>
          <w:p w:rsidR="005C296E" w:rsidRPr="002742BE" w:rsidRDefault="00E84084"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54 (1.16%)</w:t>
            </w:r>
          </w:p>
        </w:tc>
        <w:tc>
          <w:tcPr>
            <w:tcW w:w="1620" w:type="dxa"/>
            <w:tcBorders>
              <w:left w:val="single" w:sz="4" w:space="0" w:color="auto"/>
              <w:bottom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c>
          <w:tcPr>
            <w:tcW w:w="1440" w:type="dxa"/>
            <w:tcBorders>
              <w:left w:val="single" w:sz="4" w:space="0" w:color="auto"/>
              <w:bottom w:val="single" w:sz="4" w:space="0" w:color="auto"/>
              <w:right w:val="single" w:sz="4" w:space="0" w:color="auto"/>
            </w:tcBorders>
            <w:shd w:val="clear" w:color="auto" w:fill="auto"/>
          </w:tcPr>
          <w:p w:rsidR="005C296E" w:rsidRPr="002742BE" w:rsidRDefault="00E84084" w:rsidP="00AC202B">
            <w:pPr>
              <w:keepNext/>
              <w:spacing w:before="60" w:after="60"/>
              <w:ind w:right="46"/>
              <w:rPr>
                <w:rFonts w:ascii="Arial" w:hAnsi="Arial" w:cs="Arial"/>
                <w:sz w:val="18"/>
                <w:szCs w:val="18"/>
                <w:lang w:val="en-AU"/>
              </w:rPr>
            </w:pPr>
            <w:r w:rsidRPr="002742BE">
              <w:rPr>
                <w:rFonts w:ascii="Arial" w:hAnsi="Arial" w:cs="Arial"/>
                <w:sz w:val="18"/>
                <w:szCs w:val="18"/>
                <w:lang w:val="en-AU"/>
              </w:rPr>
              <w:t>55 (1.17%)</w:t>
            </w:r>
          </w:p>
        </w:tc>
      </w:tr>
      <w:tr w:rsidR="005C296E" w:rsidRPr="002742BE" w:rsidTr="00B9544A">
        <w:tc>
          <w:tcPr>
            <w:tcW w:w="2700" w:type="dxa"/>
            <w:tcBorders>
              <w:top w:val="single" w:sz="4" w:space="0" w:color="auto"/>
              <w:left w:val="single" w:sz="4" w:space="0" w:color="auto"/>
              <w:right w:val="single" w:sz="4" w:space="0" w:color="auto"/>
            </w:tcBorders>
            <w:shd w:val="clear" w:color="auto" w:fill="auto"/>
          </w:tcPr>
          <w:p w:rsidR="005C296E" w:rsidRPr="002742BE" w:rsidRDefault="00E60D59" w:rsidP="00AC202B">
            <w:pPr>
              <w:keepNext/>
              <w:tabs>
                <w:tab w:val="left" w:pos="1843"/>
              </w:tabs>
              <w:spacing w:before="60" w:after="60"/>
              <w:ind w:right="46"/>
              <w:rPr>
                <w:rFonts w:ascii="Arial" w:hAnsi="Arial" w:cs="Arial"/>
                <w:b/>
                <w:sz w:val="18"/>
                <w:szCs w:val="18"/>
                <w:lang w:val="en-AU"/>
              </w:rPr>
            </w:pPr>
            <w:r w:rsidRPr="002742BE">
              <w:rPr>
                <w:rFonts w:ascii="Arial" w:hAnsi="Arial" w:cs="Arial"/>
                <w:b/>
                <w:sz w:val="18"/>
                <w:szCs w:val="18"/>
                <w:lang w:val="en-AU"/>
              </w:rPr>
              <w:t>Cardiac disorders</w:t>
            </w:r>
          </w:p>
        </w:tc>
        <w:tc>
          <w:tcPr>
            <w:tcW w:w="162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r>
      <w:tr w:rsidR="005C296E" w:rsidRPr="002742BE" w:rsidTr="00B9544A">
        <w:tc>
          <w:tcPr>
            <w:tcW w:w="2700" w:type="dxa"/>
            <w:tcBorders>
              <w:left w:val="single" w:sz="4" w:space="0" w:color="auto"/>
              <w:right w:val="single" w:sz="4" w:space="0" w:color="auto"/>
            </w:tcBorders>
            <w:shd w:val="clear" w:color="auto" w:fill="auto"/>
          </w:tcPr>
          <w:p w:rsidR="005C296E" w:rsidRPr="002742BE" w:rsidRDefault="00E60D59" w:rsidP="00AC202B">
            <w:pPr>
              <w:keepNext/>
              <w:tabs>
                <w:tab w:val="left" w:pos="1843"/>
              </w:tabs>
              <w:spacing w:before="60" w:after="60"/>
              <w:ind w:right="46"/>
              <w:rPr>
                <w:rFonts w:ascii="Arial" w:hAnsi="Arial" w:cs="Arial"/>
                <w:sz w:val="22"/>
                <w:szCs w:val="22"/>
                <w:lang w:val="en-AU"/>
              </w:rPr>
            </w:pPr>
            <w:r w:rsidRPr="002742BE">
              <w:rPr>
                <w:rFonts w:ascii="Arial" w:hAnsi="Arial" w:cs="Arial"/>
                <w:sz w:val="18"/>
                <w:szCs w:val="18"/>
                <w:lang w:val="en-AU"/>
              </w:rPr>
              <w:t>Hypertension</w:t>
            </w:r>
          </w:p>
        </w:tc>
        <w:tc>
          <w:tcPr>
            <w:tcW w:w="1620" w:type="dxa"/>
            <w:tcBorders>
              <w:left w:val="single" w:sz="4" w:space="0" w:color="auto"/>
              <w:right w:val="single" w:sz="4" w:space="0" w:color="auto"/>
            </w:tcBorders>
            <w:shd w:val="clear" w:color="auto" w:fill="auto"/>
          </w:tcPr>
          <w:p w:rsidR="005C296E" w:rsidRPr="002742BE" w:rsidRDefault="00D64C7C"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77 (1.65%)</w:t>
            </w:r>
          </w:p>
        </w:tc>
        <w:tc>
          <w:tcPr>
            <w:tcW w:w="1440" w:type="dxa"/>
            <w:tcBorders>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5C296E" w:rsidRPr="002742BE" w:rsidRDefault="00D64C7C" w:rsidP="00AC202B">
            <w:pPr>
              <w:keepNext/>
              <w:spacing w:before="60" w:after="60"/>
              <w:ind w:right="46"/>
              <w:rPr>
                <w:rFonts w:ascii="Arial" w:hAnsi="Arial" w:cs="Arial"/>
                <w:sz w:val="18"/>
                <w:szCs w:val="18"/>
                <w:lang w:val="en-AU"/>
              </w:rPr>
            </w:pPr>
            <w:r w:rsidRPr="002742BE">
              <w:rPr>
                <w:rFonts w:ascii="Arial" w:hAnsi="Arial" w:cs="Arial"/>
                <w:sz w:val="18"/>
                <w:szCs w:val="18"/>
                <w:lang w:val="en-AU"/>
              </w:rPr>
              <w:t>86 (1.83%)</w:t>
            </w:r>
          </w:p>
        </w:tc>
        <w:tc>
          <w:tcPr>
            <w:tcW w:w="1440" w:type="dxa"/>
            <w:tcBorders>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r>
      <w:tr w:rsidR="005C296E" w:rsidRPr="002742BE" w:rsidTr="00B9544A">
        <w:tc>
          <w:tcPr>
            <w:tcW w:w="2700" w:type="dxa"/>
            <w:tcBorders>
              <w:left w:val="single" w:sz="4" w:space="0" w:color="auto"/>
              <w:right w:val="single" w:sz="4" w:space="0" w:color="auto"/>
            </w:tcBorders>
            <w:shd w:val="clear" w:color="auto" w:fill="auto"/>
          </w:tcPr>
          <w:p w:rsidR="005C296E" w:rsidRPr="002742BE" w:rsidRDefault="00E60D59" w:rsidP="00AC202B">
            <w:pPr>
              <w:keepNext/>
              <w:tabs>
                <w:tab w:val="left" w:pos="1843"/>
              </w:tabs>
              <w:spacing w:before="60" w:after="60"/>
              <w:ind w:right="46"/>
              <w:rPr>
                <w:rFonts w:ascii="Arial" w:hAnsi="Arial" w:cs="Arial"/>
                <w:sz w:val="22"/>
                <w:szCs w:val="22"/>
                <w:lang w:val="en-AU"/>
              </w:rPr>
            </w:pPr>
            <w:r w:rsidRPr="002742BE">
              <w:rPr>
                <w:rFonts w:ascii="Arial" w:hAnsi="Arial" w:cs="Arial"/>
                <w:sz w:val="18"/>
                <w:szCs w:val="18"/>
                <w:lang w:val="en-AU"/>
              </w:rPr>
              <w:t>Hypotension</w:t>
            </w:r>
          </w:p>
        </w:tc>
        <w:tc>
          <w:tcPr>
            <w:tcW w:w="1620" w:type="dxa"/>
            <w:tcBorders>
              <w:left w:val="single" w:sz="4" w:space="0" w:color="auto"/>
              <w:right w:val="single" w:sz="4" w:space="0" w:color="auto"/>
            </w:tcBorders>
            <w:shd w:val="clear" w:color="auto" w:fill="auto"/>
          </w:tcPr>
          <w:p w:rsidR="005C296E" w:rsidRPr="002742BE" w:rsidRDefault="00D64C7C"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244 (5.24%)</w:t>
            </w:r>
          </w:p>
        </w:tc>
        <w:tc>
          <w:tcPr>
            <w:tcW w:w="1440" w:type="dxa"/>
            <w:tcBorders>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5C296E" w:rsidRPr="002742BE" w:rsidRDefault="00D64C7C" w:rsidP="00AC202B">
            <w:pPr>
              <w:keepNext/>
              <w:spacing w:before="60" w:after="60"/>
              <w:ind w:right="46"/>
              <w:rPr>
                <w:rFonts w:ascii="Arial" w:hAnsi="Arial" w:cs="Arial"/>
                <w:sz w:val="18"/>
                <w:szCs w:val="18"/>
                <w:lang w:val="en-AU"/>
              </w:rPr>
            </w:pPr>
            <w:r w:rsidRPr="002742BE">
              <w:rPr>
                <w:rFonts w:ascii="Arial" w:hAnsi="Arial" w:cs="Arial"/>
                <w:sz w:val="18"/>
                <w:szCs w:val="18"/>
                <w:lang w:val="en-AU"/>
              </w:rPr>
              <w:t>238 (5.07%)</w:t>
            </w:r>
          </w:p>
        </w:tc>
        <w:tc>
          <w:tcPr>
            <w:tcW w:w="1440" w:type="dxa"/>
            <w:tcBorders>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r>
      <w:tr w:rsidR="005C296E" w:rsidRPr="002742BE" w:rsidTr="00B9544A">
        <w:tc>
          <w:tcPr>
            <w:tcW w:w="2700" w:type="dxa"/>
            <w:tcBorders>
              <w:left w:val="single" w:sz="4" w:space="0" w:color="auto"/>
              <w:right w:val="single" w:sz="4" w:space="0" w:color="auto"/>
            </w:tcBorders>
            <w:shd w:val="clear" w:color="auto" w:fill="auto"/>
          </w:tcPr>
          <w:p w:rsidR="005C296E" w:rsidRPr="002742BE" w:rsidRDefault="00E60D59" w:rsidP="00AC202B">
            <w:pPr>
              <w:keepNext/>
              <w:tabs>
                <w:tab w:val="left" w:pos="1843"/>
              </w:tabs>
              <w:spacing w:before="60" w:after="60"/>
              <w:ind w:right="46"/>
              <w:rPr>
                <w:rFonts w:ascii="Arial" w:hAnsi="Arial" w:cs="Arial"/>
                <w:sz w:val="22"/>
                <w:szCs w:val="22"/>
                <w:lang w:val="en-AU"/>
              </w:rPr>
            </w:pPr>
            <w:r w:rsidRPr="002742BE">
              <w:rPr>
                <w:rFonts w:ascii="Arial" w:hAnsi="Arial" w:cs="Arial"/>
                <w:sz w:val="18"/>
                <w:szCs w:val="18"/>
                <w:lang w:val="en-AU"/>
              </w:rPr>
              <w:t>Tachycardia</w:t>
            </w:r>
          </w:p>
        </w:tc>
        <w:tc>
          <w:tcPr>
            <w:tcW w:w="1620" w:type="dxa"/>
            <w:tcBorders>
              <w:left w:val="single" w:sz="4" w:space="0" w:color="auto"/>
              <w:right w:val="single" w:sz="4" w:space="0" w:color="auto"/>
            </w:tcBorders>
            <w:shd w:val="clear" w:color="auto" w:fill="auto"/>
          </w:tcPr>
          <w:p w:rsidR="005C296E" w:rsidRPr="002742BE" w:rsidRDefault="00D64C7C"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74 (1.59%)</w:t>
            </w:r>
          </w:p>
        </w:tc>
        <w:tc>
          <w:tcPr>
            <w:tcW w:w="1440" w:type="dxa"/>
            <w:tcBorders>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5C296E" w:rsidRPr="002742BE" w:rsidRDefault="00D64C7C" w:rsidP="00AC202B">
            <w:pPr>
              <w:keepNext/>
              <w:spacing w:before="60" w:after="60"/>
              <w:ind w:right="46"/>
              <w:rPr>
                <w:rFonts w:ascii="Arial" w:hAnsi="Arial" w:cs="Arial"/>
                <w:sz w:val="18"/>
                <w:szCs w:val="18"/>
                <w:lang w:val="en-AU"/>
              </w:rPr>
            </w:pPr>
            <w:r w:rsidRPr="002742BE">
              <w:rPr>
                <w:rFonts w:ascii="Arial" w:hAnsi="Arial" w:cs="Arial"/>
                <w:sz w:val="18"/>
                <w:szCs w:val="18"/>
                <w:lang w:val="en-AU"/>
              </w:rPr>
              <w:t>71 (1.51%)</w:t>
            </w:r>
          </w:p>
        </w:tc>
        <w:tc>
          <w:tcPr>
            <w:tcW w:w="1440" w:type="dxa"/>
            <w:tcBorders>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r>
      <w:tr w:rsidR="005C296E" w:rsidRPr="002742BE" w:rsidTr="00B9544A">
        <w:tc>
          <w:tcPr>
            <w:tcW w:w="2700" w:type="dxa"/>
            <w:tcBorders>
              <w:left w:val="single" w:sz="4" w:space="0" w:color="auto"/>
              <w:bottom w:val="single" w:sz="4" w:space="0" w:color="auto"/>
              <w:right w:val="single" w:sz="4" w:space="0" w:color="auto"/>
            </w:tcBorders>
            <w:shd w:val="clear" w:color="auto" w:fill="auto"/>
          </w:tcPr>
          <w:p w:rsidR="002C4056" w:rsidRPr="002742BE" w:rsidRDefault="00E60D59" w:rsidP="00AC202B">
            <w:pPr>
              <w:keepNext/>
              <w:tabs>
                <w:tab w:val="left" w:pos="1843"/>
              </w:tabs>
              <w:spacing w:before="60" w:after="60"/>
              <w:ind w:right="46"/>
              <w:rPr>
                <w:rFonts w:ascii="Arial" w:hAnsi="Arial" w:cs="Arial"/>
                <w:sz w:val="22"/>
                <w:szCs w:val="22"/>
                <w:lang w:val="en-AU"/>
              </w:rPr>
            </w:pPr>
            <w:r w:rsidRPr="002742BE">
              <w:rPr>
                <w:rFonts w:ascii="Arial" w:hAnsi="Arial" w:cs="Arial"/>
                <w:sz w:val="18"/>
                <w:szCs w:val="18"/>
                <w:lang w:val="en-AU"/>
              </w:rPr>
              <w:t>Procedural hypotension</w:t>
            </w:r>
          </w:p>
        </w:tc>
        <w:tc>
          <w:tcPr>
            <w:tcW w:w="1620" w:type="dxa"/>
            <w:tcBorders>
              <w:left w:val="single" w:sz="4" w:space="0" w:color="auto"/>
              <w:bottom w:val="single" w:sz="4" w:space="0" w:color="auto"/>
              <w:right w:val="single" w:sz="4" w:space="0" w:color="auto"/>
            </w:tcBorders>
            <w:shd w:val="clear" w:color="auto" w:fill="auto"/>
          </w:tcPr>
          <w:p w:rsidR="005C296E" w:rsidRPr="002742BE" w:rsidRDefault="00D64C7C"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47 (1.01%)</w:t>
            </w:r>
          </w:p>
        </w:tc>
        <w:tc>
          <w:tcPr>
            <w:tcW w:w="1440" w:type="dxa"/>
            <w:tcBorders>
              <w:left w:val="single" w:sz="4" w:space="0" w:color="auto"/>
              <w:bottom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5C296E" w:rsidRPr="002742BE" w:rsidRDefault="00D64C7C" w:rsidP="00AC202B">
            <w:pPr>
              <w:keepNext/>
              <w:spacing w:before="60" w:after="60"/>
              <w:ind w:right="46"/>
              <w:rPr>
                <w:rFonts w:ascii="Arial" w:hAnsi="Arial" w:cs="Arial"/>
                <w:sz w:val="18"/>
                <w:szCs w:val="18"/>
                <w:lang w:val="en-AU"/>
              </w:rPr>
            </w:pPr>
            <w:r w:rsidRPr="002742BE">
              <w:rPr>
                <w:rFonts w:ascii="Arial" w:hAnsi="Arial" w:cs="Arial"/>
                <w:sz w:val="18"/>
                <w:szCs w:val="18"/>
                <w:lang w:val="en-AU"/>
              </w:rPr>
              <w:t>34 (0.72%)</w:t>
            </w:r>
          </w:p>
        </w:tc>
        <w:tc>
          <w:tcPr>
            <w:tcW w:w="1440" w:type="dxa"/>
            <w:tcBorders>
              <w:left w:val="single" w:sz="4" w:space="0" w:color="auto"/>
              <w:bottom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r>
      <w:tr w:rsidR="005C296E" w:rsidRPr="002742BE" w:rsidTr="00B9544A">
        <w:tc>
          <w:tcPr>
            <w:tcW w:w="2700" w:type="dxa"/>
            <w:tcBorders>
              <w:top w:val="single" w:sz="4" w:space="0" w:color="auto"/>
              <w:left w:val="single" w:sz="4" w:space="0" w:color="auto"/>
              <w:right w:val="single" w:sz="4" w:space="0" w:color="auto"/>
            </w:tcBorders>
            <w:shd w:val="clear" w:color="auto" w:fill="auto"/>
          </w:tcPr>
          <w:p w:rsidR="005C296E" w:rsidRPr="002742BE" w:rsidRDefault="00D64C7C" w:rsidP="00AC202B">
            <w:pPr>
              <w:keepNext/>
              <w:tabs>
                <w:tab w:val="left" w:pos="1843"/>
              </w:tabs>
              <w:spacing w:before="60" w:after="60"/>
              <w:ind w:right="46"/>
              <w:rPr>
                <w:rFonts w:ascii="Arial" w:hAnsi="Arial" w:cs="Arial"/>
                <w:b/>
                <w:sz w:val="22"/>
                <w:szCs w:val="22"/>
                <w:lang w:val="en-AU"/>
              </w:rPr>
            </w:pPr>
            <w:r w:rsidRPr="002742BE">
              <w:rPr>
                <w:rFonts w:ascii="Arial" w:hAnsi="Arial" w:cs="Arial"/>
                <w:b/>
                <w:noProof/>
                <w:sz w:val="18"/>
                <w:szCs w:val="18"/>
                <w:lang w:val="en-AU"/>
              </w:rPr>
              <w:t>Endocrine disorders</w:t>
            </w:r>
          </w:p>
        </w:tc>
        <w:tc>
          <w:tcPr>
            <w:tcW w:w="162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r>
      <w:tr w:rsidR="005C296E" w:rsidRPr="002742BE" w:rsidTr="00B9544A">
        <w:tc>
          <w:tcPr>
            <w:tcW w:w="2700" w:type="dxa"/>
            <w:tcBorders>
              <w:left w:val="single" w:sz="4" w:space="0" w:color="auto"/>
              <w:bottom w:val="single" w:sz="4" w:space="0" w:color="auto"/>
              <w:right w:val="single" w:sz="4" w:space="0" w:color="auto"/>
            </w:tcBorders>
            <w:shd w:val="clear" w:color="auto" w:fill="auto"/>
          </w:tcPr>
          <w:p w:rsidR="002C4056" w:rsidRPr="002742BE" w:rsidRDefault="00D64C7C" w:rsidP="00AC202B">
            <w:pPr>
              <w:keepNext/>
              <w:tabs>
                <w:tab w:val="left" w:pos="1843"/>
              </w:tabs>
              <w:spacing w:before="60" w:after="60"/>
              <w:ind w:right="46"/>
              <w:rPr>
                <w:rFonts w:ascii="Arial" w:hAnsi="Arial" w:cs="Arial"/>
                <w:sz w:val="22"/>
                <w:szCs w:val="22"/>
                <w:lang w:val="en-AU"/>
              </w:rPr>
            </w:pPr>
            <w:r w:rsidRPr="002742BE">
              <w:rPr>
                <w:rFonts w:ascii="Arial" w:hAnsi="Arial" w:cs="Arial"/>
                <w:sz w:val="18"/>
                <w:szCs w:val="18"/>
                <w:lang w:val="en-AU"/>
              </w:rPr>
              <w:t>Hyperglycaemia</w:t>
            </w:r>
          </w:p>
        </w:tc>
        <w:tc>
          <w:tcPr>
            <w:tcW w:w="1620" w:type="dxa"/>
            <w:tcBorders>
              <w:left w:val="single" w:sz="4" w:space="0" w:color="auto"/>
              <w:bottom w:val="single" w:sz="4" w:space="0" w:color="auto"/>
              <w:right w:val="single" w:sz="4" w:space="0" w:color="auto"/>
            </w:tcBorders>
            <w:shd w:val="clear" w:color="auto" w:fill="auto"/>
          </w:tcPr>
          <w:p w:rsidR="005C296E" w:rsidRPr="002742BE" w:rsidRDefault="00D64C7C"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43 (0.92%)</w:t>
            </w:r>
          </w:p>
        </w:tc>
        <w:tc>
          <w:tcPr>
            <w:tcW w:w="1440" w:type="dxa"/>
            <w:tcBorders>
              <w:left w:val="single" w:sz="4" w:space="0" w:color="auto"/>
              <w:bottom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5C296E" w:rsidRPr="002742BE" w:rsidRDefault="00D64C7C" w:rsidP="00AC202B">
            <w:pPr>
              <w:keepNext/>
              <w:spacing w:before="60" w:after="60"/>
              <w:ind w:right="46"/>
              <w:rPr>
                <w:rFonts w:ascii="Arial" w:hAnsi="Arial" w:cs="Arial"/>
                <w:sz w:val="18"/>
                <w:szCs w:val="18"/>
                <w:lang w:val="en-AU"/>
              </w:rPr>
            </w:pPr>
            <w:r w:rsidRPr="002742BE">
              <w:rPr>
                <w:rFonts w:ascii="Arial" w:hAnsi="Arial" w:cs="Arial"/>
                <w:sz w:val="18"/>
                <w:szCs w:val="18"/>
                <w:lang w:val="en-AU"/>
              </w:rPr>
              <w:t>53 (1.13%)</w:t>
            </w:r>
          </w:p>
        </w:tc>
        <w:tc>
          <w:tcPr>
            <w:tcW w:w="1440" w:type="dxa"/>
            <w:tcBorders>
              <w:left w:val="single" w:sz="4" w:space="0" w:color="auto"/>
              <w:bottom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r>
      <w:tr w:rsidR="005C296E" w:rsidRPr="002742BE" w:rsidTr="00B9544A">
        <w:tc>
          <w:tcPr>
            <w:tcW w:w="2700" w:type="dxa"/>
            <w:tcBorders>
              <w:top w:val="single" w:sz="4" w:space="0" w:color="auto"/>
              <w:left w:val="single" w:sz="4" w:space="0" w:color="auto"/>
              <w:right w:val="single" w:sz="4" w:space="0" w:color="auto"/>
            </w:tcBorders>
            <w:shd w:val="clear" w:color="auto" w:fill="auto"/>
          </w:tcPr>
          <w:p w:rsidR="005C296E" w:rsidRPr="002742BE" w:rsidRDefault="00CB143F" w:rsidP="00AC202B">
            <w:pPr>
              <w:keepNext/>
              <w:tabs>
                <w:tab w:val="left" w:pos="1843"/>
              </w:tabs>
              <w:spacing w:before="60" w:after="60"/>
              <w:ind w:right="46"/>
              <w:rPr>
                <w:rFonts w:ascii="Arial" w:hAnsi="Arial" w:cs="Arial"/>
                <w:b/>
                <w:sz w:val="22"/>
                <w:szCs w:val="22"/>
                <w:lang w:val="en-AU"/>
              </w:rPr>
            </w:pPr>
            <w:r w:rsidRPr="002742BE">
              <w:rPr>
                <w:rFonts w:ascii="Arial" w:hAnsi="Arial" w:cs="Arial"/>
                <w:b/>
                <w:noProof/>
                <w:sz w:val="18"/>
                <w:szCs w:val="18"/>
                <w:lang w:val="en-AU"/>
              </w:rPr>
              <w:t>Gastrointestinal disorders</w:t>
            </w:r>
          </w:p>
        </w:tc>
        <w:tc>
          <w:tcPr>
            <w:tcW w:w="162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tabs>
                <w:tab w:val="left" w:pos="1844"/>
              </w:tabs>
              <w:spacing w:before="60" w:after="60"/>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5C296E" w:rsidRPr="002742BE" w:rsidRDefault="005C296E" w:rsidP="00AC202B">
            <w:pPr>
              <w:keepNext/>
              <w:spacing w:before="60" w:after="60"/>
              <w:ind w:right="46"/>
              <w:rPr>
                <w:rFonts w:ascii="Arial" w:hAnsi="Arial" w:cs="Arial"/>
                <w:sz w:val="18"/>
                <w:szCs w:val="18"/>
                <w:lang w:val="en-AU"/>
              </w:rPr>
            </w:pPr>
          </w:p>
        </w:tc>
      </w:tr>
      <w:tr w:rsidR="0045621B" w:rsidRPr="002742BE" w:rsidTr="00B9544A">
        <w:tc>
          <w:tcPr>
            <w:tcW w:w="2700" w:type="dxa"/>
            <w:tcBorders>
              <w:left w:val="single" w:sz="4" w:space="0" w:color="auto"/>
              <w:right w:val="single" w:sz="4" w:space="0" w:color="auto"/>
            </w:tcBorders>
            <w:shd w:val="clear" w:color="auto" w:fill="auto"/>
          </w:tcPr>
          <w:p w:rsidR="0045621B" w:rsidRPr="002742BE" w:rsidRDefault="0045621B" w:rsidP="00AC202B">
            <w:pPr>
              <w:keepNext/>
              <w:tabs>
                <w:tab w:val="left" w:pos="1843"/>
              </w:tabs>
              <w:spacing w:before="60" w:after="60"/>
              <w:ind w:right="46"/>
              <w:rPr>
                <w:rFonts w:ascii="Arial" w:hAnsi="Arial" w:cs="Arial"/>
                <w:sz w:val="18"/>
                <w:szCs w:val="18"/>
                <w:lang w:val="en-AU"/>
              </w:rPr>
            </w:pPr>
            <w:r w:rsidRPr="002742BE">
              <w:rPr>
                <w:rFonts w:ascii="Arial" w:hAnsi="Arial" w:cs="Arial"/>
                <w:sz w:val="18"/>
                <w:szCs w:val="18"/>
                <w:lang w:val="en-AU"/>
              </w:rPr>
              <w:t>Nausea</w:t>
            </w:r>
          </w:p>
        </w:tc>
        <w:tc>
          <w:tcPr>
            <w:tcW w:w="1620" w:type="dxa"/>
            <w:tcBorders>
              <w:left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517 (11.10%)</w:t>
            </w:r>
          </w:p>
        </w:tc>
        <w:tc>
          <w:tcPr>
            <w:tcW w:w="1440" w:type="dxa"/>
            <w:tcBorders>
              <w:left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69 (1.48%)</w:t>
            </w:r>
          </w:p>
        </w:tc>
        <w:tc>
          <w:tcPr>
            <w:tcW w:w="1620" w:type="dxa"/>
            <w:tcBorders>
              <w:left w:val="single" w:sz="4" w:space="0" w:color="auto"/>
              <w:right w:val="single" w:sz="4" w:space="0" w:color="auto"/>
            </w:tcBorders>
            <w:shd w:val="clear" w:color="auto" w:fill="auto"/>
          </w:tcPr>
          <w:p w:rsidR="0045621B" w:rsidRPr="002742BE" w:rsidRDefault="0045621B"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519 (11.06%)</w:t>
            </w:r>
          </w:p>
        </w:tc>
        <w:tc>
          <w:tcPr>
            <w:tcW w:w="1440" w:type="dxa"/>
            <w:tcBorders>
              <w:left w:val="single" w:sz="4" w:space="0" w:color="auto"/>
              <w:right w:val="single" w:sz="4" w:space="0" w:color="auto"/>
            </w:tcBorders>
            <w:shd w:val="clear" w:color="auto" w:fill="auto"/>
          </w:tcPr>
          <w:p w:rsidR="0045621B" w:rsidRPr="002742BE" w:rsidRDefault="00C2474A" w:rsidP="00AC202B">
            <w:pPr>
              <w:keepNext/>
              <w:spacing w:before="60" w:after="60"/>
              <w:ind w:right="46"/>
              <w:rPr>
                <w:rFonts w:ascii="Arial" w:hAnsi="Arial" w:cs="Arial"/>
                <w:sz w:val="18"/>
                <w:szCs w:val="18"/>
                <w:lang w:val="en-AU"/>
              </w:rPr>
            </w:pPr>
            <w:r w:rsidRPr="002742BE">
              <w:rPr>
                <w:rFonts w:ascii="Arial" w:hAnsi="Arial" w:cs="Arial"/>
                <w:sz w:val="18"/>
                <w:szCs w:val="18"/>
                <w:lang w:val="en-AU"/>
              </w:rPr>
              <w:t>86 (1.83%)</w:t>
            </w:r>
          </w:p>
        </w:tc>
      </w:tr>
      <w:tr w:rsidR="0045621B" w:rsidRPr="002742BE" w:rsidTr="00B9544A">
        <w:tc>
          <w:tcPr>
            <w:tcW w:w="2700" w:type="dxa"/>
            <w:tcBorders>
              <w:left w:val="single" w:sz="4" w:space="0" w:color="auto"/>
              <w:right w:val="single" w:sz="4" w:space="0" w:color="auto"/>
            </w:tcBorders>
            <w:shd w:val="clear" w:color="auto" w:fill="auto"/>
          </w:tcPr>
          <w:p w:rsidR="0045621B" w:rsidRPr="002742BE" w:rsidRDefault="0045621B" w:rsidP="00AC202B">
            <w:pPr>
              <w:keepNext/>
              <w:tabs>
                <w:tab w:val="left" w:pos="1843"/>
              </w:tabs>
              <w:spacing w:before="60" w:after="60"/>
              <w:ind w:right="46"/>
              <w:rPr>
                <w:rFonts w:ascii="Arial" w:hAnsi="Arial" w:cs="Arial"/>
                <w:sz w:val="18"/>
                <w:szCs w:val="18"/>
                <w:lang w:val="en-AU"/>
              </w:rPr>
            </w:pPr>
            <w:r w:rsidRPr="002742BE">
              <w:rPr>
                <w:rFonts w:ascii="Arial" w:hAnsi="Arial" w:cs="Arial"/>
                <w:sz w:val="18"/>
                <w:szCs w:val="18"/>
                <w:lang w:val="en-AU"/>
              </w:rPr>
              <w:t>Constipation</w:t>
            </w:r>
          </w:p>
        </w:tc>
        <w:tc>
          <w:tcPr>
            <w:tcW w:w="1620" w:type="dxa"/>
            <w:tcBorders>
              <w:left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318 (6.83%)</w:t>
            </w:r>
          </w:p>
        </w:tc>
        <w:tc>
          <w:tcPr>
            <w:tcW w:w="1440" w:type="dxa"/>
            <w:tcBorders>
              <w:left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45621B" w:rsidRPr="002742BE" w:rsidRDefault="0045621B"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335 (7.14%)</w:t>
            </w:r>
          </w:p>
        </w:tc>
        <w:tc>
          <w:tcPr>
            <w:tcW w:w="1440" w:type="dxa"/>
            <w:tcBorders>
              <w:left w:val="single" w:sz="4" w:space="0" w:color="auto"/>
              <w:right w:val="single" w:sz="4" w:space="0" w:color="auto"/>
            </w:tcBorders>
            <w:shd w:val="clear" w:color="auto" w:fill="auto"/>
          </w:tcPr>
          <w:p w:rsidR="0045621B" w:rsidRPr="002742BE" w:rsidRDefault="0045621B" w:rsidP="00AC202B">
            <w:pPr>
              <w:keepNext/>
              <w:spacing w:before="60" w:after="60"/>
              <w:ind w:right="46"/>
              <w:rPr>
                <w:rFonts w:ascii="Arial" w:hAnsi="Arial" w:cs="Arial"/>
                <w:sz w:val="18"/>
                <w:szCs w:val="18"/>
                <w:lang w:val="en-AU"/>
              </w:rPr>
            </w:pPr>
          </w:p>
        </w:tc>
      </w:tr>
      <w:tr w:rsidR="0045621B" w:rsidRPr="002742BE" w:rsidTr="00B9544A">
        <w:tc>
          <w:tcPr>
            <w:tcW w:w="2700" w:type="dxa"/>
            <w:tcBorders>
              <w:left w:val="single" w:sz="4" w:space="0" w:color="auto"/>
              <w:right w:val="single" w:sz="4" w:space="0" w:color="auto"/>
            </w:tcBorders>
            <w:shd w:val="clear" w:color="auto" w:fill="auto"/>
          </w:tcPr>
          <w:p w:rsidR="0045621B" w:rsidRPr="002742BE" w:rsidRDefault="0045621B" w:rsidP="00AC202B">
            <w:pPr>
              <w:keepNext/>
              <w:tabs>
                <w:tab w:val="left" w:pos="1843"/>
              </w:tabs>
              <w:spacing w:before="60" w:after="60"/>
              <w:ind w:right="46"/>
              <w:rPr>
                <w:rFonts w:ascii="Arial" w:hAnsi="Arial" w:cs="Arial"/>
                <w:sz w:val="18"/>
                <w:szCs w:val="18"/>
                <w:lang w:val="en-AU"/>
              </w:rPr>
            </w:pPr>
            <w:r w:rsidRPr="002742BE">
              <w:rPr>
                <w:rFonts w:ascii="Arial" w:hAnsi="Arial" w:cs="Arial"/>
                <w:sz w:val="18"/>
                <w:szCs w:val="18"/>
                <w:lang w:val="en-AU"/>
              </w:rPr>
              <w:t>Diarrhoea</w:t>
            </w:r>
          </w:p>
        </w:tc>
        <w:tc>
          <w:tcPr>
            <w:tcW w:w="1620" w:type="dxa"/>
            <w:tcBorders>
              <w:left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106 (2.28%)</w:t>
            </w:r>
          </w:p>
        </w:tc>
        <w:tc>
          <w:tcPr>
            <w:tcW w:w="1440" w:type="dxa"/>
            <w:tcBorders>
              <w:left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45621B" w:rsidRPr="002742BE" w:rsidRDefault="0045621B"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137 (2.92%)</w:t>
            </w:r>
          </w:p>
        </w:tc>
        <w:tc>
          <w:tcPr>
            <w:tcW w:w="1440" w:type="dxa"/>
            <w:tcBorders>
              <w:left w:val="single" w:sz="4" w:space="0" w:color="auto"/>
              <w:right w:val="single" w:sz="4" w:space="0" w:color="auto"/>
            </w:tcBorders>
            <w:shd w:val="clear" w:color="auto" w:fill="auto"/>
          </w:tcPr>
          <w:p w:rsidR="0045621B" w:rsidRPr="002742BE" w:rsidRDefault="0045621B" w:rsidP="00AC202B">
            <w:pPr>
              <w:keepNext/>
              <w:spacing w:before="60" w:after="60"/>
              <w:ind w:right="46"/>
              <w:rPr>
                <w:rFonts w:ascii="Arial" w:hAnsi="Arial" w:cs="Arial"/>
                <w:sz w:val="18"/>
                <w:szCs w:val="18"/>
                <w:lang w:val="en-AU"/>
              </w:rPr>
            </w:pPr>
          </w:p>
        </w:tc>
      </w:tr>
      <w:tr w:rsidR="0045621B" w:rsidRPr="002742BE" w:rsidTr="00B9544A">
        <w:tc>
          <w:tcPr>
            <w:tcW w:w="2700" w:type="dxa"/>
            <w:tcBorders>
              <w:left w:val="single" w:sz="4" w:space="0" w:color="auto"/>
              <w:right w:val="single" w:sz="4" w:space="0" w:color="auto"/>
            </w:tcBorders>
            <w:shd w:val="clear" w:color="auto" w:fill="auto"/>
          </w:tcPr>
          <w:p w:rsidR="0045621B" w:rsidRPr="002742BE" w:rsidRDefault="0045621B" w:rsidP="00AC202B">
            <w:pPr>
              <w:keepNext/>
              <w:tabs>
                <w:tab w:val="left" w:pos="1843"/>
              </w:tabs>
              <w:spacing w:before="60" w:after="60"/>
              <w:ind w:right="46"/>
              <w:rPr>
                <w:rFonts w:ascii="Arial" w:hAnsi="Arial" w:cs="Arial"/>
                <w:sz w:val="18"/>
                <w:szCs w:val="18"/>
                <w:lang w:val="en-AU"/>
              </w:rPr>
            </w:pPr>
            <w:r w:rsidRPr="002742BE">
              <w:rPr>
                <w:rFonts w:ascii="Arial" w:hAnsi="Arial" w:cs="Arial"/>
                <w:sz w:val="18"/>
                <w:szCs w:val="18"/>
                <w:lang w:val="en-AU"/>
              </w:rPr>
              <w:t>Dyspepsia</w:t>
            </w:r>
          </w:p>
        </w:tc>
        <w:tc>
          <w:tcPr>
            <w:tcW w:w="1620" w:type="dxa"/>
            <w:tcBorders>
              <w:left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42 (0.90%)</w:t>
            </w:r>
          </w:p>
        </w:tc>
        <w:tc>
          <w:tcPr>
            <w:tcW w:w="1440" w:type="dxa"/>
            <w:tcBorders>
              <w:left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45621B" w:rsidRPr="002742BE" w:rsidRDefault="0045621B"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51 (1.09%)</w:t>
            </w:r>
          </w:p>
        </w:tc>
        <w:tc>
          <w:tcPr>
            <w:tcW w:w="1440" w:type="dxa"/>
            <w:tcBorders>
              <w:left w:val="single" w:sz="4" w:space="0" w:color="auto"/>
              <w:right w:val="single" w:sz="4" w:space="0" w:color="auto"/>
            </w:tcBorders>
            <w:shd w:val="clear" w:color="auto" w:fill="auto"/>
          </w:tcPr>
          <w:p w:rsidR="0045621B" w:rsidRPr="002742BE" w:rsidRDefault="0045621B" w:rsidP="00AC202B">
            <w:pPr>
              <w:keepNext/>
              <w:spacing w:before="60" w:after="60"/>
              <w:ind w:right="46"/>
              <w:rPr>
                <w:rFonts w:ascii="Arial" w:hAnsi="Arial" w:cs="Arial"/>
                <w:sz w:val="18"/>
                <w:szCs w:val="18"/>
                <w:lang w:val="en-AU"/>
              </w:rPr>
            </w:pPr>
          </w:p>
        </w:tc>
      </w:tr>
      <w:tr w:rsidR="0045621B" w:rsidRPr="002742BE" w:rsidTr="00B9544A">
        <w:tc>
          <w:tcPr>
            <w:tcW w:w="2700" w:type="dxa"/>
            <w:tcBorders>
              <w:left w:val="single" w:sz="4" w:space="0" w:color="auto"/>
              <w:right w:val="single" w:sz="4" w:space="0" w:color="auto"/>
            </w:tcBorders>
            <w:shd w:val="clear" w:color="auto" w:fill="auto"/>
          </w:tcPr>
          <w:p w:rsidR="0045621B" w:rsidRPr="002742BE" w:rsidRDefault="0045621B" w:rsidP="00AC202B">
            <w:pPr>
              <w:keepNext/>
              <w:tabs>
                <w:tab w:val="left" w:pos="1843"/>
              </w:tabs>
              <w:spacing w:before="60" w:after="60"/>
              <w:ind w:right="46"/>
              <w:rPr>
                <w:rFonts w:ascii="Arial" w:hAnsi="Arial" w:cs="Arial"/>
                <w:sz w:val="18"/>
                <w:szCs w:val="18"/>
                <w:lang w:val="en-AU"/>
              </w:rPr>
            </w:pPr>
            <w:r w:rsidRPr="002742BE">
              <w:rPr>
                <w:rFonts w:ascii="Arial" w:hAnsi="Arial" w:cs="Arial"/>
                <w:sz w:val="18"/>
                <w:szCs w:val="18"/>
                <w:lang w:val="en-AU"/>
              </w:rPr>
              <w:t>GI and abdominal pain</w:t>
            </w:r>
          </w:p>
        </w:tc>
        <w:tc>
          <w:tcPr>
            <w:tcW w:w="1620" w:type="dxa"/>
            <w:tcBorders>
              <w:left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89 (1.91%)</w:t>
            </w:r>
          </w:p>
        </w:tc>
        <w:tc>
          <w:tcPr>
            <w:tcW w:w="1440" w:type="dxa"/>
            <w:tcBorders>
              <w:left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45621B" w:rsidRPr="002742BE" w:rsidRDefault="0045621B"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93 (1.98%)</w:t>
            </w:r>
          </w:p>
        </w:tc>
        <w:tc>
          <w:tcPr>
            <w:tcW w:w="1440" w:type="dxa"/>
            <w:tcBorders>
              <w:left w:val="single" w:sz="4" w:space="0" w:color="auto"/>
              <w:right w:val="single" w:sz="4" w:space="0" w:color="auto"/>
            </w:tcBorders>
            <w:shd w:val="clear" w:color="auto" w:fill="auto"/>
          </w:tcPr>
          <w:p w:rsidR="0045621B" w:rsidRPr="002742BE" w:rsidRDefault="0045621B" w:rsidP="00AC202B">
            <w:pPr>
              <w:keepNext/>
              <w:spacing w:before="60" w:after="60"/>
              <w:ind w:right="46"/>
              <w:rPr>
                <w:rFonts w:ascii="Arial" w:hAnsi="Arial" w:cs="Arial"/>
                <w:sz w:val="18"/>
                <w:szCs w:val="18"/>
                <w:lang w:val="en-AU"/>
              </w:rPr>
            </w:pPr>
          </w:p>
        </w:tc>
      </w:tr>
      <w:tr w:rsidR="0045621B" w:rsidRPr="002742BE" w:rsidTr="00B9544A">
        <w:tc>
          <w:tcPr>
            <w:tcW w:w="2700" w:type="dxa"/>
            <w:tcBorders>
              <w:left w:val="single" w:sz="4" w:space="0" w:color="auto"/>
              <w:bottom w:val="single" w:sz="4" w:space="0" w:color="auto"/>
              <w:right w:val="single" w:sz="4" w:space="0" w:color="auto"/>
            </w:tcBorders>
            <w:shd w:val="clear" w:color="auto" w:fill="auto"/>
          </w:tcPr>
          <w:p w:rsidR="002C4056" w:rsidRPr="002742BE" w:rsidRDefault="0045621B" w:rsidP="00AC202B">
            <w:pPr>
              <w:keepNext/>
              <w:tabs>
                <w:tab w:val="left" w:pos="1843"/>
              </w:tabs>
              <w:spacing w:before="60" w:after="60"/>
              <w:ind w:right="46"/>
              <w:rPr>
                <w:rFonts w:ascii="Arial" w:hAnsi="Arial" w:cs="Arial"/>
                <w:sz w:val="18"/>
                <w:szCs w:val="18"/>
                <w:lang w:val="en-AU"/>
              </w:rPr>
            </w:pPr>
            <w:r w:rsidRPr="002742BE">
              <w:rPr>
                <w:rFonts w:ascii="Arial" w:hAnsi="Arial" w:cs="Arial"/>
                <w:sz w:val="18"/>
                <w:szCs w:val="18"/>
                <w:lang w:val="en-AU"/>
              </w:rPr>
              <w:t>Vomiting</w:t>
            </w:r>
          </w:p>
        </w:tc>
        <w:tc>
          <w:tcPr>
            <w:tcW w:w="1620" w:type="dxa"/>
            <w:tcBorders>
              <w:left w:val="single" w:sz="4" w:space="0" w:color="auto"/>
              <w:bottom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452 (9.71%)</w:t>
            </w:r>
          </w:p>
        </w:tc>
        <w:tc>
          <w:tcPr>
            <w:tcW w:w="1440" w:type="dxa"/>
            <w:tcBorders>
              <w:left w:val="single" w:sz="4" w:space="0" w:color="auto"/>
              <w:bottom w:val="single" w:sz="4" w:space="0" w:color="auto"/>
              <w:right w:val="single" w:sz="4" w:space="0" w:color="auto"/>
            </w:tcBorders>
            <w:shd w:val="clear" w:color="auto" w:fill="auto"/>
          </w:tcPr>
          <w:p w:rsidR="0045621B" w:rsidRPr="002742BE" w:rsidRDefault="0045621B"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AC202B" w:rsidRPr="002742BE" w:rsidRDefault="0045621B"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482 (10.27%)</w:t>
            </w:r>
          </w:p>
        </w:tc>
        <w:tc>
          <w:tcPr>
            <w:tcW w:w="1440" w:type="dxa"/>
            <w:tcBorders>
              <w:left w:val="single" w:sz="4" w:space="0" w:color="auto"/>
              <w:bottom w:val="single" w:sz="4" w:space="0" w:color="auto"/>
              <w:right w:val="single" w:sz="4" w:space="0" w:color="auto"/>
            </w:tcBorders>
            <w:shd w:val="clear" w:color="auto" w:fill="auto"/>
          </w:tcPr>
          <w:p w:rsidR="0045621B" w:rsidRPr="002742BE" w:rsidRDefault="0045621B" w:rsidP="00AC202B">
            <w:pPr>
              <w:keepNext/>
              <w:spacing w:before="60" w:after="60"/>
              <w:ind w:right="46"/>
              <w:rPr>
                <w:rFonts w:ascii="Arial" w:hAnsi="Arial" w:cs="Arial"/>
                <w:sz w:val="18"/>
                <w:szCs w:val="18"/>
                <w:lang w:val="en-AU"/>
              </w:rPr>
            </w:pPr>
          </w:p>
        </w:tc>
      </w:tr>
      <w:tr w:rsidR="00823ED3" w:rsidRPr="002742BE" w:rsidTr="00B9544A">
        <w:tc>
          <w:tcPr>
            <w:tcW w:w="2700" w:type="dxa"/>
            <w:tcBorders>
              <w:top w:val="single" w:sz="4" w:space="0" w:color="auto"/>
              <w:left w:val="single" w:sz="4" w:space="0" w:color="auto"/>
              <w:right w:val="single" w:sz="4" w:space="0" w:color="auto"/>
            </w:tcBorders>
            <w:shd w:val="clear" w:color="auto" w:fill="auto"/>
          </w:tcPr>
          <w:p w:rsidR="00823ED3" w:rsidRPr="002742BE" w:rsidRDefault="00823ED3" w:rsidP="00AC202B">
            <w:pPr>
              <w:pStyle w:val="Heading1"/>
              <w:tabs>
                <w:tab w:val="left" w:pos="567"/>
              </w:tabs>
              <w:spacing w:before="60" w:after="60" w:line="240" w:lineRule="auto"/>
              <w:ind w:right="46"/>
              <w:jc w:val="left"/>
              <w:rPr>
                <w:caps w:val="0"/>
                <w:noProof/>
                <w:sz w:val="18"/>
                <w:szCs w:val="18"/>
              </w:rPr>
            </w:pPr>
            <w:r w:rsidRPr="002742BE">
              <w:rPr>
                <w:rFonts w:ascii="Arial" w:hAnsi="Arial" w:cs="Arial"/>
                <w:caps w:val="0"/>
                <w:noProof/>
                <w:sz w:val="18"/>
                <w:szCs w:val="18"/>
              </w:rPr>
              <w:t xml:space="preserve">General disorders and administration site conditions </w:t>
            </w:r>
          </w:p>
        </w:tc>
        <w:tc>
          <w:tcPr>
            <w:tcW w:w="1620" w:type="dxa"/>
            <w:tcBorders>
              <w:top w:val="single" w:sz="4" w:space="0" w:color="auto"/>
              <w:left w:val="single" w:sz="4" w:space="0" w:color="auto"/>
              <w:right w:val="single" w:sz="4" w:space="0" w:color="auto"/>
            </w:tcBorders>
            <w:shd w:val="clear" w:color="auto" w:fill="auto"/>
          </w:tcPr>
          <w:p w:rsidR="00823ED3" w:rsidRPr="002742BE" w:rsidRDefault="00823ED3" w:rsidP="00AC202B">
            <w:pPr>
              <w:keepNext/>
              <w:tabs>
                <w:tab w:val="left" w:pos="1844"/>
              </w:tabs>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823ED3" w:rsidRPr="002742BE" w:rsidRDefault="00823ED3" w:rsidP="00AC202B">
            <w:pPr>
              <w:keepNext/>
              <w:tabs>
                <w:tab w:val="left" w:pos="1844"/>
              </w:tabs>
              <w:spacing w:before="60" w:after="60"/>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823ED3" w:rsidRPr="002742BE" w:rsidRDefault="00823ED3" w:rsidP="00AC202B">
            <w:pPr>
              <w:keepNext/>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823ED3" w:rsidRPr="002742BE" w:rsidRDefault="00823ED3" w:rsidP="00AC202B">
            <w:pPr>
              <w:keepNext/>
              <w:spacing w:before="60" w:after="60"/>
              <w:ind w:right="46"/>
              <w:rPr>
                <w:rFonts w:ascii="Arial" w:hAnsi="Arial" w:cs="Arial"/>
                <w:sz w:val="18"/>
                <w:szCs w:val="18"/>
                <w:lang w:val="en-AU"/>
              </w:rPr>
            </w:pPr>
          </w:p>
        </w:tc>
      </w:tr>
      <w:tr w:rsidR="00823ED3" w:rsidRPr="002742BE" w:rsidTr="00B9544A">
        <w:tc>
          <w:tcPr>
            <w:tcW w:w="2700" w:type="dxa"/>
            <w:tcBorders>
              <w:left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Feeling unwell</w:t>
            </w:r>
          </w:p>
        </w:tc>
        <w:tc>
          <w:tcPr>
            <w:tcW w:w="1620" w:type="dxa"/>
            <w:tcBorders>
              <w:left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92 (1.98%)</w:t>
            </w:r>
          </w:p>
        </w:tc>
        <w:tc>
          <w:tcPr>
            <w:tcW w:w="1440" w:type="dxa"/>
            <w:tcBorders>
              <w:left w:val="single" w:sz="4" w:space="0" w:color="auto"/>
              <w:right w:val="single" w:sz="4" w:space="0" w:color="auto"/>
            </w:tcBorders>
            <w:shd w:val="clear" w:color="auto" w:fill="auto"/>
          </w:tcPr>
          <w:p w:rsidR="00823ED3" w:rsidRPr="002742BE" w:rsidRDefault="00823ED3"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81 (1.73%)</w:t>
            </w:r>
          </w:p>
        </w:tc>
        <w:tc>
          <w:tcPr>
            <w:tcW w:w="1440" w:type="dxa"/>
            <w:tcBorders>
              <w:left w:val="single" w:sz="4" w:space="0" w:color="auto"/>
              <w:right w:val="single" w:sz="4" w:space="0" w:color="auto"/>
            </w:tcBorders>
            <w:shd w:val="clear" w:color="auto" w:fill="auto"/>
          </w:tcPr>
          <w:p w:rsidR="00823ED3" w:rsidRPr="002742BE" w:rsidRDefault="00823ED3" w:rsidP="00AC202B">
            <w:pPr>
              <w:keepNext/>
              <w:spacing w:before="60" w:after="60"/>
              <w:ind w:right="46"/>
              <w:rPr>
                <w:rFonts w:ascii="Arial" w:hAnsi="Arial" w:cs="Arial"/>
                <w:sz w:val="18"/>
                <w:szCs w:val="18"/>
                <w:lang w:val="en-AU"/>
              </w:rPr>
            </w:pPr>
          </w:p>
        </w:tc>
      </w:tr>
      <w:tr w:rsidR="00823ED3" w:rsidRPr="002742BE" w:rsidTr="00B9544A">
        <w:tc>
          <w:tcPr>
            <w:tcW w:w="2700" w:type="dxa"/>
            <w:tcBorders>
              <w:left w:val="single" w:sz="4" w:space="0" w:color="auto"/>
              <w:bottom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Fever</w:t>
            </w:r>
          </w:p>
        </w:tc>
        <w:tc>
          <w:tcPr>
            <w:tcW w:w="1620" w:type="dxa"/>
            <w:tcBorders>
              <w:left w:val="single" w:sz="4" w:space="0" w:color="auto"/>
              <w:bottom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430 (9.23%)</w:t>
            </w:r>
          </w:p>
        </w:tc>
        <w:tc>
          <w:tcPr>
            <w:tcW w:w="1440" w:type="dxa"/>
            <w:tcBorders>
              <w:left w:val="single" w:sz="4" w:space="0" w:color="auto"/>
              <w:bottom w:val="single" w:sz="4" w:space="0" w:color="auto"/>
              <w:right w:val="single" w:sz="4" w:space="0" w:color="auto"/>
            </w:tcBorders>
            <w:shd w:val="clear" w:color="auto" w:fill="auto"/>
          </w:tcPr>
          <w:p w:rsidR="00823ED3" w:rsidRPr="002742BE" w:rsidRDefault="00823ED3"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444 (9.46%)</w:t>
            </w:r>
          </w:p>
        </w:tc>
        <w:tc>
          <w:tcPr>
            <w:tcW w:w="1440" w:type="dxa"/>
            <w:tcBorders>
              <w:left w:val="single" w:sz="4" w:space="0" w:color="auto"/>
              <w:bottom w:val="single" w:sz="4" w:space="0" w:color="auto"/>
              <w:right w:val="single" w:sz="4" w:space="0" w:color="auto"/>
            </w:tcBorders>
            <w:shd w:val="clear" w:color="auto" w:fill="auto"/>
          </w:tcPr>
          <w:p w:rsidR="00823ED3" w:rsidRPr="002742BE" w:rsidRDefault="00823ED3" w:rsidP="00AC202B">
            <w:pPr>
              <w:keepNext/>
              <w:spacing w:before="60" w:after="60"/>
              <w:ind w:right="46"/>
              <w:rPr>
                <w:rFonts w:ascii="Arial" w:hAnsi="Arial" w:cs="Arial"/>
                <w:sz w:val="18"/>
                <w:szCs w:val="18"/>
                <w:lang w:val="en-AU"/>
              </w:rPr>
            </w:pPr>
          </w:p>
        </w:tc>
      </w:tr>
      <w:tr w:rsidR="00823ED3" w:rsidRPr="002742BE" w:rsidTr="00B9544A">
        <w:tc>
          <w:tcPr>
            <w:tcW w:w="2700" w:type="dxa"/>
            <w:tcBorders>
              <w:top w:val="single" w:sz="4" w:space="0" w:color="auto"/>
              <w:left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Headache</w:t>
            </w:r>
          </w:p>
        </w:tc>
        <w:tc>
          <w:tcPr>
            <w:tcW w:w="1620" w:type="dxa"/>
            <w:tcBorders>
              <w:top w:val="single" w:sz="4" w:space="0" w:color="auto"/>
              <w:left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108 (2.32%)</w:t>
            </w:r>
          </w:p>
        </w:tc>
        <w:tc>
          <w:tcPr>
            <w:tcW w:w="1440" w:type="dxa"/>
            <w:tcBorders>
              <w:top w:val="single" w:sz="4" w:space="0" w:color="auto"/>
              <w:left w:val="single" w:sz="4" w:space="0" w:color="auto"/>
              <w:right w:val="single" w:sz="4" w:space="0" w:color="auto"/>
            </w:tcBorders>
            <w:shd w:val="clear" w:color="auto" w:fill="auto"/>
          </w:tcPr>
          <w:p w:rsidR="00823ED3" w:rsidRPr="002742BE" w:rsidRDefault="00823ED3" w:rsidP="00AC202B">
            <w:pPr>
              <w:keepNext/>
              <w:tabs>
                <w:tab w:val="left" w:pos="1844"/>
              </w:tabs>
              <w:spacing w:before="60" w:after="60"/>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108 (2.30%)</w:t>
            </w:r>
          </w:p>
        </w:tc>
        <w:tc>
          <w:tcPr>
            <w:tcW w:w="1440" w:type="dxa"/>
            <w:tcBorders>
              <w:top w:val="single" w:sz="4" w:space="0" w:color="auto"/>
              <w:left w:val="single" w:sz="4" w:space="0" w:color="auto"/>
              <w:right w:val="single" w:sz="4" w:space="0" w:color="auto"/>
            </w:tcBorders>
            <w:shd w:val="clear" w:color="auto" w:fill="auto"/>
          </w:tcPr>
          <w:p w:rsidR="00823ED3" w:rsidRPr="002742BE" w:rsidRDefault="00823ED3" w:rsidP="00AC202B">
            <w:pPr>
              <w:keepNext/>
              <w:spacing w:before="60" w:after="60"/>
              <w:ind w:right="46"/>
              <w:rPr>
                <w:rFonts w:ascii="Arial" w:hAnsi="Arial" w:cs="Arial"/>
                <w:sz w:val="18"/>
                <w:szCs w:val="18"/>
                <w:lang w:val="en-AU"/>
              </w:rPr>
            </w:pPr>
          </w:p>
        </w:tc>
      </w:tr>
      <w:tr w:rsidR="00823ED3" w:rsidRPr="002742BE" w:rsidTr="00B9544A">
        <w:tc>
          <w:tcPr>
            <w:tcW w:w="2700" w:type="dxa"/>
            <w:tcBorders>
              <w:left w:val="single" w:sz="4" w:space="0" w:color="auto"/>
              <w:right w:val="single" w:sz="4" w:space="0" w:color="auto"/>
            </w:tcBorders>
            <w:shd w:val="clear" w:color="auto" w:fill="auto"/>
          </w:tcPr>
          <w:p w:rsidR="00823ED3" w:rsidRPr="002742BE" w:rsidRDefault="00F92152"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 xml:space="preserve">Peripheral </w:t>
            </w:r>
            <w:r w:rsidR="00823ED3" w:rsidRPr="002742BE">
              <w:rPr>
                <w:rFonts w:ascii="Arial" w:hAnsi="Arial" w:cs="Arial"/>
                <w:sz w:val="18"/>
                <w:szCs w:val="18"/>
                <w:lang w:val="en-AU"/>
              </w:rPr>
              <w:t>Oedema</w:t>
            </w:r>
          </w:p>
        </w:tc>
        <w:tc>
          <w:tcPr>
            <w:tcW w:w="1620" w:type="dxa"/>
            <w:tcBorders>
              <w:left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202 (4.34%)</w:t>
            </w:r>
          </w:p>
        </w:tc>
        <w:tc>
          <w:tcPr>
            <w:tcW w:w="1440" w:type="dxa"/>
            <w:tcBorders>
              <w:left w:val="single" w:sz="4" w:space="0" w:color="auto"/>
              <w:right w:val="single" w:sz="4" w:space="0" w:color="auto"/>
            </w:tcBorders>
            <w:shd w:val="clear" w:color="auto" w:fill="auto"/>
          </w:tcPr>
          <w:p w:rsidR="00823ED3" w:rsidRPr="002742BE" w:rsidRDefault="00823ED3"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168 (3.58%)</w:t>
            </w:r>
          </w:p>
        </w:tc>
        <w:tc>
          <w:tcPr>
            <w:tcW w:w="1440" w:type="dxa"/>
            <w:tcBorders>
              <w:left w:val="single" w:sz="4" w:space="0" w:color="auto"/>
              <w:right w:val="single" w:sz="4" w:space="0" w:color="auto"/>
            </w:tcBorders>
            <w:shd w:val="clear" w:color="auto" w:fill="auto"/>
          </w:tcPr>
          <w:p w:rsidR="00823ED3" w:rsidRPr="002742BE" w:rsidRDefault="00823ED3" w:rsidP="00AC202B">
            <w:pPr>
              <w:keepNext/>
              <w:spacing w:before="60" w:after="60"/>
              <w:ind w:right="46"/>
              <w:rPr>
                <w:rFonts w:ascii="Arial" w:hAnsi="Arial" w:cs="Arial"/>
                <w:sz w:val="18"/>
                <w:szCs w:val="18"/>
                <w:lang w:val="en-AU"/>
              </w:rPr>
            </w:pPr>
          </w:p>
        </w:tc>
      </w:tr>
      <w:tr w:rsidR="00823ED3" w:rsidRPr="002742BE" w:rsidTr="00B9544A">
        <w:tc>
          <w:tcPr>
            <w:tcW w:w="2700" w:type="dxa"/>
            <w:tcBorders>
              <w:left w:val="single" w:sz="4" w:space="0" w:color="auto"/>
              <w:bottom w:val="single" w:sz="4" w:space="0" w:color="auto"/>
              <w:right w:val="single" w:sz="4" w:space="0" w:color="auto"/>
            </w:tcBorders>
            <w:shd w:val="clear" w:color="auto" w:fill="auto"/>
          </w:tcPr>
          <w:p w:rsidR="002C4056" w:rsidRPr="002742BE" w:rsidRDefault="00823ED3" w:rsidP="00AC202B">
            <w:pPr>
              <w:tabs>
                <w:tab w:val="left" w:pos="567"/>
              </w:tabs>
              <w:spacing w:before="60" w:after="60"/>
              <w:ind w:right="46"/>
              <w:rPr>
                <w:lang w:val="en-AU"/>
              </w:rPr>
            </w:pPr>
            <w:r w:rsidRPr="002742BE">
              <w:rPr>
                <w:rFonts w:ascii="Arial" w:hAnsi="Arial" w:cs="Arial"/>
                <w:sz w:val="18"/>
                <w:szCs w:val="18"/>
                <w:lang w:val="en-AU"/>
              </w:rPr>
              <w:t>Unspecific pain</w:t>
            </w:r>
          </w:p>
        </w:tc>
        <w:tc>
          <w:tcPr>
            <w:tcW w:w="1620" w:type="dxa"/>
            <w:tcBorders>
              <w:left w:val="single" w:sz="4" w:space="0" w:color="auto"/>
              <w:bottom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lang w:val="en-AU"/>
              </w:rPr>
            </w:pPr>
            <w:r w:rsidRPr="002742BE">
              <w:rPr>
                <w:rFonts w:ascii="Arial" w:hAnsi="Arial" w:cs="Arial"/>
                <w:sz w:val="18"/>
                <w:szCs w:val="18"/>
                <w:lang w:val="en-AU"/>
              </w:rPr>
              <w:t>285 (6.12%)</w:t>
            </w:r>
          </w:p>
        </w:tc>
        <w:tc>
          <w:tcPr>
            <w:tcW w:w="1440" w:type="dxa"/>
            <w:tcBorders>
              <w:left w:val="single" w:sz="4" w:space="0" w:color="auto"/>
              <w:bottom w:val="single" w:sz="4" w:space="0" w:color="auto"/>
              <w:right w:val="single" w:sz="4" w:space="0" w:color="auto"/>
            </w:tcBorders>
            <w:shd w:val="clear" w:color="auto" w:fill="auto"/>
          </w:tcPr>
          <w:p w:rsidR="00823ED3" w:rsidRPr="002742BE" w:rsidRDefault="00823ED3"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823ED3" w:rsidRPr="002742BE" w:rsidRDefault="00823ED3" w:rsidP="00AC202B">
            <w:pPr>
              <w:tabs>
                <w:tab w:val="left" w:pos="567"/>
              </w:tabs>
              <w:spacing w:before="60" w:after="60"/>
              <w:ind w:right="46"/>
              <w:rPr>
                <w:lang w:val="en-AU"/>
              </w:rPr>
            </w:pPr>
            <w:r w:rsidRPr="002742BE">
              <w:rPr>
                <w:rFonts w:ascii="Arial" w:hAnsi="Arial" w:cs="Arial"/>
                <w:sz w:val="18"/>
                <w:szCs w:val="18"/>
                <w:lang w:val="en-AU"/>
              </w:rPr>
              <w:t>295 (6.29%)</w:t>
            </w:r>
          </w:p>
        </w:tc>
        <w:tc>
          <w:tcPr>
            <w:tcW w:w="1440" w:type="dxa"/>
            <w:tcBorders>
              <w:left w:val="single" w:sz="4" w:space="0" w:color="auto"/>
              <w:bottom w:val="single" w:sz="4" w:space="0" w:color="auto"/>
              <w:right w:val="single" w:sz="4" w:space="0" w:color="auto"/>
            </w:tcBorders>
            <w:shd w:val="clear" w:color="auto" w:fill="auto"/>
          </w:tcPr>
          <w:p w:rsidR="00823ED3" w:rsidRPr="002742BE" w:rsidRDefault="00823ED3" w:rsidP="00AC202B">
            <w:pPr>
              <w:keepNext/>
              <w:spacing w:before="60" w:after="60"/>
              <w:ind w:right="46"/>
              <w:rPr>
                <w:rFonts w:ascii="Arial" w:hAnsi="Arial" w:cs="Arial"/>
                <w:sz w:val="18"/>
                <w:szCs w:val="18"/>
                <w:lang w:val="en-AU"/>
              </w:rPr>
            </w:pPr>
          </w:p>
        </w:tc>
      </w:tr>
      <w:tr w:rsidR="00C97600" w:rsidRPr="002742BE" w:rsidTr="00B9544A">
        <w:tc>
          <w:tcPr>
            <w:tcW w:w="2700" w:type="dxa"/>
            <w:tcBorders>
              <w:top w:val="single" w:sz="4" w:space="0" w:color="auto"/>
              <w:left w:val="single" w:sz="4" w:space="0" w:color="auto"/>
              <w:right w:val="single" w:sz="4" w:space="0" w:color="auto"/>
            </w:tcBorders>
            <w:shd w:val="clear" w:color="auto" w:fill="auto"/>
          </w:tcPr>
          <w:p w:rsidR="00C97600" w:rsidRPr="002742BE" w:rsidRDefault="00C97600" w:rsidP="00AC202B">
            <w:pPr>
              <w:pStyle w:val="Heading1"/>
              <w:tabs>
                <w:tab w:val="left" w:pos="567"/>
              </w:tabs>
              <w:spacing w:before="60" w:after="60" w:line="240" w:lineRule="auto"/>
              <w:ind w:right="46"/>
              <w:rPr>
                <w:caps w:val="0"/>
                <w:noProof/>
                <w:sz w:val="18"/>
                <w:szCs w:val="18"/>
              </w:rPr>
            </w:pPr>
            <w:r w:rsidRPr="002742BE">
              <w:rPr>
                <w:rFonts w:ascii="Arial" w:hAnsi="Arial" w:cs="Arial"/>
                <w:caps w:val="0"/>
                <w:noProof/>
                <w:sz w:val="18"/>
                <w:szCs w:val="18"/>
              </w:rPr>
              <w:t>Infections and infestations</w:t>
            </w:r>
          </w:p>
        </w:tc>
        <w:tc>
          <w:tcPr>
            <w:tcW w:w="1620" w:type="dxa"/>
            <w:tcBorders>
              <w:top w:val="single" w:sz="4" w:space="0" w:color="auto"/>
              <w:left w:val="single" w:sz="4" w:space="0" w:color="auto"/>
              <w:right w:val="single" w:sz="4" w:space="0" w:color="auto"/>
            </w:tcBorders>
            <w:shd w:val="clear" w:color="auto" w:fill="auto"/>
          </w:tcPr>
          <w:p w:rsidR="00C97600" w:rsidRPr="002742BE" w:rsidRDefault="00C97600" w:rsidP="00AC202B">
            <w:pPr>
              <w:tabs>
                <w:tab w:val="left" w:pos="567"/>
              </w:tabs>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C97600" w:rsidRPr="002742BE" w:rsidRDefault="00C97600" w:rsidP="00AC202B">
            <w:pPr>
              <w:keepNext/>
              <w:tabs>
                <w:tab w:val="left" w:pos="567"/>
                <w:tab w:val="left" w:pos="1844"/>
              </w:tabs>
              <w:spacing w:before="60" w:after="60"/>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C97600" w:rsidRPr="002742BE" w:rsidRDefault="00C97600" w:rsidP="00AC202B">
            <w:pPr>
              <w:tabs>
                <w:tab w:val="left" w:pos="567"/>
              </w:tabs>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C97600" w:rsidRPr="002742BE" w:rsidRDefault="00C97600" w:rsidP="00AC202B">
            <w:pPr>
              <w:keepNext/>
              <w:tabs>
                <w:tab w:val="left" w:pos="567"/>
              </w:tabs>
              <w:spacing w:before="60" w:after="60"/>
              <w:ind w:right="46"/>
              <w:rPr>
                <w:rFonts w:ascii="Arial" w:hAnsi="Arial" w:cs="Arial"/>
                <w:sz w:val="18"/>
                <w:szCs w:val="18"/>
                <w:lang w:val="en-AU"/>
              </w:rPr>
            </w:pPr>
          </w:p>
        </w:tc>
      </w:tr>
      <w:tr w:rsidR="00C97600" w:rsidRPr="002742BE" w:rsidTr="00E50FEE">
        <w:tc>
          <w:tcPr>
            <w:tcW w:w="2700" w:type="dxa"/>
            <w:tcBorders>
              <w:left w:val="single" w:sz="4" w:space="0" w:color="auto"/>
              <w:bottom w:val="single" w:sz="4" w:space="0" w:color="auto"/>
              <w:right w:val="single" w:sz="4" w:space="0" w:color="auto"/>
            </w:tcBorders>
            <w:shd w:val="clear" w:color="auto" w:fill="auto"/>
          </w:tcPr>
          <w:p w:rsidR="002C4056" w:rsidRPr="002742BE" w:rsidRDefault="00C97600" w:rsidP="00AC202B">
            <w:pPr>
              <w:tabs>
                <w:tab w:val="left" w:pos="567"/>
              </w:tabs>
              <w:spacing w:before="60" w:after="60"/>
              <w:ind w:right="46"/>
              <w:rPr>
                <w:lang w:val="en-AU"/>
              </w:rPr>
            </w:pPr>
            <w:r w:rsidRPr="002742BE">
              <w:rPr>
                <w:rFonts w:ascii="Arial" w:hAnsi="Arial" w:cs="Arial"/>
                <w:sz w:val="18"/>
                <w:szCs w:val="18"/>
                <w:lang w:val="en-AU"/>
              </w:rPr>
              <w:t>Urinary tract infection</w:t>
            </w:r>
          </w:p>
        </w:tc>
        <w:tc>
          <w:tcPr>
            <w:tcW w:w="1620" w:type="dxa"/>
            <w:tcBorders>
              <w:left w:val="single" w:sz="4" w:space="0" w:color="auto"/>
              <w:bottom w:val="single" w:sz="4" w:space="0" w:color="auto"/>
              <w:right w:val="single" w:sz="4" w:space="0" w:color="auto"/>
            </w:tcBorders>
            <w:shd w:val="clear" w:color="auto" w:fill="auto"/>
          </w:tcPr>
          <w:p w:rsidR="00C97600" w:rsidRPr="002742BE" w:rsidRDefault="00C97600"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82 (1.76%)</w:t>
            </w:r>
          </w:p>
        </w:tc>
        <w:tc>
          <w:tcPr>
            <w:tcW w:w="1440" w:type="dxa"/>
            <w:tcBorders>
              <w:left w:val="single" w:sz="4" w:space="0" w:color="auto"/>
              <w:bottom w:val="single" w:sz="4" w:space="0" w:color="auto"/>
              <w:right w:val="single" w:sz="4" w:space="0" w:color="auto"/>
            </w:tcBorders>
            <w:shd w:val="clear" w:color="auto" w:fill="auto"/>
          </w:tcPr>
          <w:p w:rsidR="00C97600" w:rsidRPr="002742BE" w:rsidRDefault="00C97600" w:rsidP="00AC202B">
            <w:pPr>
              <w:keepNext/>
              <w:tabs>
                <w:tab w:val="left" w:pos="567"/>
                <w:tab w:val="left" w:pos="1844"/>
              </w:tabs>
              <w:spacing w:before="60" w:after="60"/>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C97600" w:rsidRPr="002742BE" w:rsidRDefault="00C97600" w:rsidP="00AC202B">
            <w:pPr>
              <w:tabs>
                <w:tab w:val="left" w:pos="567"/>
              </w:tabs>
              <w:spacing w:before="60" w:after="60"/>
              <w:ind w:right="46"/>
              <w:rPr>
                <w:rFonts w:ascii="Arial" w:hAnsi="Arial" w:cs="Arial"/>
                <w:sz w:val="18"/>
                <w:szCs w:val="18"/>
                <w:lang w:val="en-AU"/>
              </w:rPr>
            </w:pPr>
            <w:r w:rsidRPr="002742BE">
              <w:rPr>
                <w:rFonts w:ascii="Arial" w:hAnsi="Arial" w:cs="Arial"/>
                <w:sz w:val="18"/>
                <w:szCs w:val="18"/>
                <w:lang w:val="en-AU"/>
              </w:rPr>
              <w:t>90 (1.92%)</w:t>
            </w:r>
          </w:p>
        </w:tc>
        <w:tc>
          <w:tcPr>
            <w:tcW w:w="1440" w:type="dxa"/>
            <w:tcBorders>
              <w:left w:val="single" w:sz="4" w:space="0" w:color="auto"/>
              <w:bottom w:val="single" w:sz="4" w:space="0" w:color="auto"/>
              <w:right w:val="single" w:sz="4" w:space="0" w:color="auto"/>
            </w:tcBorders>
            <w:shd w:val="clear" w:color="auto" w:fill="auto"/>
          </w:tcPr>
          <w:p w:rsidR="00C97600" w:rsidRPr="002742BE" w:rsidRDefault="00C97600" w:rsidP="00AC202B">
            <w:pPr>
              <w:keepNext/>
              <w:tabs>
                <w:tab w:val="left" w:pos="567"/>
              </w:tabs>
              <w:spacing w:before="60" w:after="60"/>
              <w:ind w:right="46"/>
              <w:rPr>
                <w:rFonts w:ascii="Arial" w:hAnsi="Arial" w:cs="Arial"/>
                <w:sz w:val="18"/>
                <w:szCs w:val="18"/>
                <w:lang w:val="en-AU"/>
              </w:rPr>
            </w:pPr>
          </w:p>
        </w:tc>
      </w:tr>
      <w:tr w:rsidR="00C97600" w:rsidRPr="002742BE" w:rsidTr="00B9544A">
        <w:tc>
          <w:tcPr>
            <w:tcW w:w="2700" w:type="dxa"/>
            <w:tcBorders>
              <w:top w:val="single" w:sz="4" w:space="0" w:color="auto"/>
              <w:left w:val="single" w:sz="4" w:space="0" w:color="auto"/>
              <w:right w:val="single" w:sz="4" w:space="0" w:color="auto"/>
            </w:tcBorders>
            <w:shd w:val="clear" w:color="auto" w:fill="auto"/>
          </w:tcPr>
          <w:p w:rsidR="00C21355" w:rsidRPr="002742BE" w:rsidRDefault="00C21355" w:rsidP="00AC202B">
            <w:pPr>
              <w:tabs>
                <w:tab w:val="left" w:pos="567"/>
              </w:tabs>
              <w:spacing w:before="60" w:after="60" w:line="260" w:lineRule="exact"/>
              <w:ind w:right="46"/>
              <w:rPr>
                <w:rFonts w:ascii="Arial" w:hAnsi="Arial" w:cs="Arial"/>
                <w:b/>
                <w:sz w:val="18"/>
                <w:szCs w:val="18"/>
                <w:lang w:val="en-AU"/>
              </w:rPr>
            </w:pPr>
            <w:r w:rsidRPr="002742BE">
              <w:rPr>
                <w:rFonts w:ascii="Arial" w:hAnsi="Arial" w:cs="Arial"/>
                <w:b/>
                <w:sz w:val="18"/>
                <w:szCs w:val="18"/>
                <w:lang w:val="en-AU"/>
              </w:rPr>
              <w:t xml:space="preserve">Injury, Poisoning and </w:t>
            </w:r>
          </w:p>
          <w:p w:rsidR="00C97600" w:rsidRPr="002742BE" w:rsidRDefault="00C21355" w:rsidP="00AC202B">
            <w:pPr>
              <w:tabs>
                <w:tab w:val="left" w:pos="567"/>
              </w:tabs>
              <w:spacing w:before="60" w:after="60" w:line="260" w:lineRule="exact"/>
              <w:ind w:right="46"/>
              <w:rPr>
                <w:rFonts w:ascii="Arial" w:hAnsi="Arial" w:cs="Arial"/>
                <w:b/>
                <w:sz w:val="18"/>
                <w:szCs w:val="18"/>
                <w:lang w:val="en-AU"/>
              </w:rPr>
            </w:pPr>
            <w:r w:rsidRPr="002742BE">
              <w:rPr>
                <w:rFonts w:ascii="Arial" w:hAnsi="Arial" w:cs="Arial"/>
                <w:b/>
                <w:sz w:val="18"/>
                <w:szCs w:val="18"/>
                <w:lang w:val="en-AU"/>
              </w:rPr>
              <w:t>Procedural Complications</w:t>
            </w:r>
          </w:p>
        </w:tc>
        <w:tc>
          <w:tcPr>
            <w:tcW w:w="1620" w:type="dxa"/>
            <w:tcBorders>
              <w:top w:val="single" w:sz="4" w:space="0" w:color="auto"/>
              <w:left w:val="single" w:sz="4" w:space="0" w:color="auto"/>
              <w:right w:val="single" w:sz="4" w:space="0" w:color="auto"/>
            </w:tcBorders>
            <w:shd w:val="clear" w:color="auto" w:fill="auto"/>
          </w:tcPr>
          <w:p w:rsidR="00C97600" w:rsidRPr="002742BE" w:rsidRDefault="00C97600"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C97600" w:rsidRPr="002742BE" w:rsidRDefault="00C97600"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C97600" w:rsidRPr="002742BE" w:rsidRDefault="00C97600"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C97600" w:rsidRPr="002742BE" w:rsidRDefault="00C97600" w:rsidP="00AC202B">
            <w:pPr>
              <w:keepNext/>
              <w:tabs>
                <w:tab w:val="left" w:pos="567"/>
              </w:tabs>
              <w:spacing w:before="60" w:after="60" w:line="260" w:lineRule="exact"/>
              <w:ind w:right="46"/>
              <w:rPr>
                <w:rFonts w:ascii="Arial" w:hAnsi="Arial" w:cs="Arial"/>
                <w:sz w:val="18"/>
                <w:szCs w:val="18"/>
                <w:lang w:val="en-AU"/>
              </w:rPr>
            </w:pPr>
          </w:p>
        </w:tc>
      </w:tr>
      <w:tr w:rsidR="00C97600" w:rsidRPr="002742BE" w:rsidTr="00E50FEE">
        <w:tc>
          <w:tcPr>
            <w:tcW w:w="2700" w:type="dxa"/>
            <w:tcBorders>
              <w:left w:val="single" w:sz="4" w:space="0" w:color="auto"/>
              <w:bottom w:val="single" w:sz="4" w:space="0" w:color="auto"/>
              <w:right w:val="single" w:sz="4" w:space="0" w:color="auto"/>
            </w:tcBorders>
            <w:shd w:val="clear" w:color="auto" w:fill="auto"/>
          </w:tcPr>
          <w:p w:rsidR="00C97600" w:rsidRPr="002742BE" w:rsidRDefault="00C21355"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Arthralgia</w:t>
            </w:r>
          </w:p>
        </w:tc>
        <w:tc>
          <w:tcPr>
            <w:tcW w:w="1620" w:type="dxa"/>
            <w:tcBorders>
              <w:left w:val="single" w:sz="4" w:space="0" w:color="auto"/>
              <w:bottom w:val="single" w:sz="4" w:space="0" w:color="auto"/>
              <w:right w:val="single" w:sz="4" w:space="0" w:color="auto"/>
            </w:tcBorders>
            <w:shd w:val="clear" w:color="auto" w:fill="auto"/>
          </w:tcPr>
          <w:p w:rsidR="00C97600" w:rsidRPr="002742BE" w:rsidRDefault="00C21355"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65 (1.40%)</w:t>
            </w:r>
          </w:p>
        </w:tc>
        <w:tc>
          <w:tcPr>
            <w:tcW w:w="1440" w:type="dxa"/>
            <w:tcBorders>
              <w:left w:val="single" w:sz="4" w:space="0" w:color="auto"/>
              <w:bottom w:val="single" w:sz="4" w:space="0" w:color="auto"/>
              <w:right w:val="single" w:sz="4" w:space="0" w:color="auto"/>
            </w:tcBorders>
            <w:shd w:val="clear" w:color="auto" w:fill="auto"/>
          </w:tcPr>
          <w:p w:rsidR="00C97600" w:rsidRPr="002742BE" w:rsidRDefault="00C97600"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C97600" w:rsidRPr="002742BE" w:rsidRDefault="00C21355"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81 (1.73%)</w:t>
            </w:r>
          </w:p>
        </w:tc>
        <w:tc>
          <w:tcPr>
            <w:tcW w:w="1440" w:type="dxa"/>
            <w:tcBorders>
              <w:left w:val="single" w:sz="4" w:space="0" w:color="auto"/>
              <w:bottom w:val="single" w:sz="4" w:space="0" w:color="auto"/>
              <w:right w:val="single" w:sz="4" w:space="0" w:color="auto"/>
            </w:tcBorders>
            <w:shd w:val="clear" w:color="auto" w:fill="auto"/>
          </w:tcPr>
          <w:p w:rsidR="00C97600" w:rsidRPr="002742BE" w:rsidRDefault="00C97600" w:rsidP="00AC202B">
            <w:pPr>
              <w:keepNext/>
              <w:tabs>
                <w:tab w:val="left" w:pos="567"/>
              </w:tabs>
              <w:spacing w:before="60" w:after="60" w:line="260" w:lineRule="exact"/>
              <w:ind w:right="46"/>
              <w:rPr>
                <w:rFonts w:ascii="Arial" w:hAnsi="Arial" w:cs="Arial"/>
                <w:sz w:val="18"/>
                <w:szCs w:val="18"/>
                <w:lang w:val="en-AU"/>
              </w:rPr>
            </w:pPr>
          </w:p>
        </w:tc>
      </w:tr>
      <w:tr w:rsidR="00C97600" w:rsidRPr="002742BE" w:rsidTr="00E50FEE">
        <w:tc>
          <w:tcPr>
            <w:tcW w:w="2700" w:type="dxa"/>
            <w:tcBorders>
              <w:top w:val="single" w:sz="4" w:space="0" w:color="auto"/>
              <w:left w:val="single" w:sz="4" w:space="0" w:color="auto"/>
              <w:right w:val="single" w:sz="4" w:space="0" w:color="auto"/>
            </w:tcBorders>
            <w:shd w:val="clear" w:color="auto" w:fill="auto"/>
          </w:tcPr>
          <w:p w:rsidR="00C97600" w:rsidRPr="002742BE" w:rsidRDefault="00C21355"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Post procedural haemorrhage (incl. postoperative anaemia and wound haemorrhage)</w:t>
            </w:r>
          </w:p>
        </w:tc>
        <w:tc>
          <w:tcPr>
            <w:tcW w:w="1620" w:type="dxa"/>
            <w:tcBorders>
              <w:top w:val="single" w:sz="4" w:space="0" w:color="auto"/>
              <w:left w:val="single" w:sz="4" w:space="0" w:color="auto"/>
              <w:right w:val="single" w:sz="4" w:space="0" w:color="auto"/>
            </w:tcBorders>
            <w:shd w:val="clear" w:color="auto" w:fill="auto"/>
          </w:tcPr>
          <w:p w:rsidR="00C97600" w:rsidRPr="002742BE" w:rsidRDefault="00C21355"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292 (6.27%)</w:t>
            </w:r>
          </w:p>
        </w:tc>
        <w:tc>
          <w:tcPr>
            <w:tcW w:w="1440" w:type="dxa"/>
            <w:tcBorders>
              <w:top w:val="single" w:sz="4" w:space="0" w:color="auto"/>
              <w:left w:val="single" w:sz="4" w:space="0" w:color="auto"/>
              <w:right w:val="single" w:sz="4" w:space="0" w:color="auto"/>
            </w:tcBorders>
            <w:shd w:val="clear" w:color="auto" w:fill="auto"/>
          </w:tcPr>
          <w:p w:rsidR="00C97600" w:rsidRPr="002742BE" w:rsidRDefault="00C21355" w:rsidP="00AC202B">
            <w:pPr>
              <w:keepNext/>
              <w:tabs>
                <w:tab w:val="left" w:pos="567"/>
                <w:tab w:val="left" w:pos="1844"/>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123 (2.64%)</w:t>
            </w:r>
          </w:p>
        </w:tc>
        <w:tc>
          <w:tcPr>
            <w:tcW w:w="1620" w:type="dxa"/>
            <w:tcBorders>
              <w:top w:val="single" w:sz="4" w:space="0" w:color="auto"/>
              <w:left w:val="single" w:sz="4" w:space="0" w:color="auto"/>
              <w:right w:val="single" w:sz="4" w:space="0" w:color="auto"/>
            </w:tcBorders>
            <w:shd w:val="clear" w:color="auto" w:fill="auto"/>
          </w:tcPr>
          <w:p w:rsidR="00C97600" w:rsidRPr="002742BE" w:rsidRDefault="00C21355"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279 (5.95%)</w:t>
            </w:r>
          </w:p>
        </w:tc>
        <w:tc>
          <w:tcPr>
            <w:tcW w:w="1440" w:type="dxa"/>
            <w:tcBorders>
              <w:top w:val="single" w:sz="4" w:space="0" w:color="auto"/>
              <w:left w:val="single" w:sz="4" w:space="0" w:color="auto"/>
              <w:right w:val="single" w:sz="4" w:space="0" w:color="auto"/>
            </w:tcBorders>
            <w:shd w:val="clear" w:color="auto" w:fill="auto"/>
          </w:tcPr>
          <w:p w:rsidR="00C97600" w:rsidRPr="002742BE" w:rsidRDefault="00C21355" w:rsidP="00AC202B">
            <w:pPr>
              <w:keepNext/>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109 (2.32%)</w:t>
            </w:r>
          </w:p>
        </w:tc>
      </w:tr>
      <w:tr w:rsidR="00692328" w:rsidRPr="002742BE" w:rsidTr="00B9544A">
        <w:tc>
          <w:tcPr>
            <w:tcW w:w="270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1843"/>
              </w:tabs>
              <w:spacing w:before="60" w:after="60"/>
              <w:ind w:right="46"/>
              <w:rPr>
                <w:rFonts w:ascii="Arial" w:hAnsi="Arial" w:cs="Arial"/>
                <w:sz w:val="22"/>
                <w:szCs w:val="22"/>
                <w:lang w:val="en-AU"/>
              </w:rPr>
            </w:pPr>
            <w:r w:rsidRPr="002742BE">
              <w:rPr>
                <w:rFonts w:ascii="Arial" w:hAnsi="Arial" w:cs="Arial"/>
                <w:sz w:val="18"/>
                <w:szCs w:val="18"/>
                <w:lang w:val="en-AU"/>
              </w:rPr>
              <w:t>Wound healing complications</w:t>
            </w: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1844"/>
              </w:tabs>
              <w:spacing w:before="60" w:after="60"/>
              <w:ind w:right="46"/>
              <w:rPr>
                <w:rFonts w:ascii="Arial" w:hAnsi="Arial" w:cs="Arial"/>
                <w:sz w:val="18"/>
                <w:szCs w:val="18"/>
                <w:lang w:val="en-AU"/>
              </w:rPr>
            </w:pPr>
            <w:r w:rsidRPr="002742BE">
              <w:rPr>
                <w:rFonts w:ascii="Arial" w:hAnsi="Arial" w:cs="Arial"/>
                <w:sz w:val="18"/>
                <w:szCs w:val="18"/>
                <w:lang w:val="en-AU"/>
              </w:rPr>
              <w:t>199 (4.27%)</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1844"/>
              </w:tabs>
              <w:spacing w:before="60" w:after="60"/>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spacing w:before="60" w:after="60"/>
              <w:ind w:right="46"/>
              <w:rPr>
                <w:rFonts w:ascii="Arial" w:hAnsi="Arial" w:cs="Arial"/>
                <w:sz w:val="18"/>
                <w:szCs w:val="18"/>
                <w:lang w:val="en-AU"/>
              </w:rPr>
            </w:pPr>
            <w:r w:rsidRPr="002742BE">
              <w:rPr>
                <w:rFonts w:ascii="Arial" w:hAnsi="Arial" w:cs="Arial"/>
                <w:sz w:val="18"/>
                <w:szCs w:val="18"/>
                <w:lang w:val="en-AU"/>
              </w:rPr>
              <w:t>161 (3.43%)</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spacing w:before="60" w:after="60"/>
              <w:ind w:right="46"/>
              <w:rPr>
                <w:rFonts w:ascii="Arial" w:hAnsi="Arial" w:cs="Arial"/>
                <w:sz w:val="18"/>
                <w:szCs w:val="18"/>
                <w:lang w:val="en-AU"/>
              </w:rPr>
            </w:pPr>
          </w:p>
        </w:tc>
      </w:tr>
      <w:tr w:rsidR="00692328" w:rsidRPr="002742BE" w:rsidTr="00B9544A">
        <w:tc>
          <w:tcPr>
            <w:tcW w:w="270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1843"/>
              </w:tabs>
              <w:spacing w:before="60" w:after="60"/>
              <w:ind w:right="46"/>
              <w:rPr>
                <w:rFonts w:ascii="Arial" w:hAnsi="Arial" w:cs="Arial"/>
                <w:b/>
                <w:sz w:val="18"/>
                <w:szCs w:val="18"/>
                <w:lang w:val="en-AU"/>
              </w:rPr>
            </w:pPr>
            <w:r w:rsidRPr="002742BE">
              <w:rPr>
                <w:rFonts w:ascii="Arial" w:hAnsi="Arial" w:cs="Arial"/>
                <w:b/>
                <w:sz w:val="18"/>
                <w:szCs w:val="18"/>
                <w:lang w:val="en-AU"/>
              </w:rPr>
              <w:t>Investigations</w:t>
            </w: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1844"/>
              </w:tabs>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1844"/>
              </w:tabs>
              <w:spacing w:before="60" w:after="60"/>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spacing w:before="60" w:after="60"/>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spacing w:before="60" w:after="60"/>
              <w:ind w:right="46"/>
              <w:rPr>
                <w:rFonts w:ascii="Arial" w:hAnsi="Arial" w:cs="Arial"/>
                <w:sz w:val="18"/>
                <w:szCs w:val="18"/>
                <w:lang w:val="en-AU"/>
              </w:rPr>
            </w:pPr>
          </w:p>
        </w:tc>
      </w:tr>
      <w:tr w:rsidR="00692328" w:rsidRPr="002742BE" w:rsidTr="00B9544A">
        <w:tc>
          <w:tcPr>
            <w:tcW w:w="2700" w:type="dxa"/>
            <w:tcBorders>
              <w:left w:val="single" w:sz="4" w:space="0" w:color="auto"/>
              <w:right w:val="single" w:sz="4" w:space="0" w:color="auto"/>
            </w:tcBorders>
            <w:shd w:val="clear" w:color="auto" w:fill="auto"/>
          </w:tcPr>
          <w:p w:rsidR="00692328" w:rsidRPr="002742BE" w:rsidRDefault="00692328" w:rsidP="00AC202B">
            <w:pPr>
              <w:keepNext/>
              <w:tabs>
                <w:tab w:val="left" w:pos="567"/>
                <w:tab w:val="left" w:pos="1843"/>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Increase in blood alkaline phosphatase</w:t>
            </w:r>
          </w:p>
        </w:tc>
        <w:tc>
          <w:tcPr>
            <w:tcW w:w="1620" w:type="dxa"/>
            <w:tcBorders>
              <w:left w:val="single" w:sz="4" w:space="0" w:color="auto"/>
              <w:right w:val="single" w:sz="4" w:space="0" w:color="auto"/>
            </w:tcBorders>
            <w:shd w:val="clear" w:color="auto" w:fill="auto"/>
          </w:tcPr>
          <w:p w:rsidR="00692328" w:rsidRPr="002742BE" w:rsidRDefault="002E7D63" w:rsidP="00AC202B">
            <w:pPr>
              <w:keepNext/>
              <w:tabs>
                <w:tab w:val="left" w:pos="567"/>
                <w:tab w:val="left" w:pos="1844"/>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38 (0.82%)</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692328" w:rsidRPr="002742BE" w:rsidRDefault="002E7D63" w:rsidP="00AC202B">
            <w:pPr>
              <w:keepNext/>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57 (1.21%)</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 xml:space="preserve">Increase in transaminases (incl. ALT increase, AST </w:t>
            </w:r>
            <w:r w:rsidRPr="002742BE">
              <w:rPr>
                <w:rFonts w:ascii="Arial" w:hAnsi="Arial" w:cs="Arial"/>
                <w:sz w:val="18"/>
                <w:szCs w:val="18"/>
                <w:lang w:val="en-AU"/>
              </w:rPr>
              <w:lastRenderedPageBreak/>
              <w:t>increase)</w:t>
            </w:r>
          </w:p>
        </w:tc>
        <w:tc>
          <w:tcPr>
            <w:tcW w:w="1620" w:type="dxa"/>
            <w:tcBorders>
              <w:left w:val="single" w:sz="4" w:space="0" w:color="auto"/>
              <w:right w:val="single" w:sz="4" w:space="0" w:color="auto"/>
            </w:tcBorders>
            <w:shd w:val="clear" w:color="auto" w:fill="auto"/>
          </w:tcPr>
          <w:p w:rsidR="00692328" w:rsidRPr="002742BE" w:rsidRDefault="002E7D6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lastRenderedPageBreak/>
              <w:t>150 (3.22%)</w:t>
            </w:r>
          </w:p>
        </w:tc>
        <w:tc>
          <w:tcPr>
            <w:tcW w:w="1440" w:type="dxa"/>
            <w:tcBorders>
              <w:left w:val="single" w:sz="4" w:space="0" w:color="auto"/>
              <w:right w:val="single" w:sz="4" w:space="0" w:color="auto"/>
            </w:tcBorders>
            <w:shd w:val="clear" w:color="auto" w:fill="auto"/>
          </w:tcPr>
          <w:p w:rsidR="00692328" w:rsidRPr="002742BE" w:rsidRDefault="002E7D63" w:rsidP="00AC202B">
            <w:pPr>
              <w:keepNext/>
              <w:tabs>
                <w:tab w:val="left" w:pos="567"/>
                <w:tab w:val="left" w:pos="1844"/>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102 (2.19%)</w:t>
            </w:r>
          </w:p>
        </w:tc>
        <w:tc>
          <w:tcPr>
            <w:tcW w:w="1620" w:type="dxa"/>
            <w:tcBorders>
              <w:left w:val="single" w:sz="4" w:space="0" w:color="auto"/>
              <w:right w:val="single" w:sz="4" w:space="0" w:color="auto"/>
            </w:tcBorders>
            <w:shd w:val="clear" w:color="auto" w:fill="auto"/>
          </w:tcPr>
          <w:p w:rsidR="00692328" w:rsidRPr="002742BE" w:rsidRDefault="002E7D6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208 (4.43%)</w:t>
            </w:r>
          </w:p>
        </w:tc>
        <w:tc>
          <w:tcPr>
            <w:tcW w:w="1440" w:type="dxa"/>
            <w:tcBorders>
              <w:left w:val="single" w:sz="4" w:space="0" w:color="auto"/>
              <w:right w:val="single" w:sz="4" w:space="0" w:color="auto"/>
            </w:tcBorders>
            <w:shd w:val="clear" w:color="auto" w:fill="auto"/>
          </w:tcPr>
          <w:p w:rsidR="00692328" w:rsidRPr="002742BE" w:rsidRDefault="002E7D63" w:rsidP="00AC202B">
            <w:pPr>
              <w:keepNext/>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137 (2.92%)</w:t>
            </w:r>
          </w:p>
        </w:tc>
      </w:tr>
      <w:tr w:rsidR="00692328" w:rsidRPr="002742BE" w:rsidTr="00B9544A">
        <w:tc>
          <w:tcPr>
            <w:tcW w:w="2700" w:type="dxa"/>
            <w:tcBorders>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lastRenderedPageBreak/>
              <w:t>Increased gamma-glutamyltransferase</w:t>
            </w:r>
          </w:p>
        </w:tc>
        <w:tc>
          <w:tcPr>
            <w:tcW w:w="1620" w:type="dxa"/>
            <w:tcBorders>
              <w:left w:val="single" w:sz="4" w:space="0" w:color="auto"/>
              <w:right w:val="single" w:sz="4" w:space="0" w:color="auto"/>
            </w:tcBorders>
            <w:shd w:val="clear" w:color="auto" w:fill="auto"/>
          </w:tcPr>
          <w:p w:rsidR="00692328" w:rsidRPr="002742BE" w:rsidRDefault="002E7D6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84 (1.80%)</w:t>
            </w:r>
          </w:p>
        </w:tc>
        <w:tc>
          <w:tcPr>
            <w:tcW w:w="1440" w:type="dxa"/>
            <w:tcBorders>
              <w:left w:val="single" w:sz="4" w:space="0" w:color="auto"/>
              <w:right w:val="single" w:sz="4" w:space="0" w:color="auto"/>
            </w:tcBorders>
            <w:shd w:val="clear" w:color="auto" w:fill="auto"/>
          </w:tcPr>
          <w:p w:rsidR="00692328" w:rsidRPr="002742BE" w:rsidRDefault="002E7D63" w:rsidP="00AC202B">
            <w:pPr>
              <w:keepNext/>
              <w:tabs>
                <w:tab w:val="left" w:pos="567"/>
                <w:tab w:val="left" w:pos="1844"/>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56 (1.20%)</w:t>
            </w:r>
          </w:p>
        </w:tc>
        <w:tc>
          <w:tcPr>
            <w:tcW w:w="1620" w:type="dxa"/>
            <w:tcBorders>
              <w:left w:val="single" w:sz="4" w:space="0" w:color="auto"/>
              <w:right w:val="single" w:sz="4" w:space="0" w:color="auto"/>
            </w:tcBorders>
            <w:shd w:val="clear" w:color="auto" w:fill="auto"/>
          </w:tcPr>
          <w:p w:rsidR="00692328" w:rsidRPr="002742BE" w:rsidRDefault="002E7D6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126 (2.69%)</w:t>
            </w:r>
          </w:p>
        </w:tc>
        <w:tc>
          <w:tcPr>
            <w:tcW w:w="1440" w:type="dxa"/>
            <w:tcBorders>
              <w:left w:val="single" w:sz="4" w:space="0" w:color="auto"/>
              <w:right w:val="single" w:sz="4" w:space="0" w:color="auto"/>
            </w:tcBorders>
            <w:shd w:val="clear" w:color="auto" w:fill="auto"/>
          </w:tcPr>
          <w:p w:rsidR="00692328" w:rsidRPr="002742BE" w:rsidRDefault="002E7D63" w:rsidP="00AC202B">
            <w:pPr>
              <w:keepNext/>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73 (1.56%)</w:t>
            </w:r>
          </w:p>
        </w:tc>
      </w:tr>
      <w:tr w:rsidR="00692328" w:rsidRPr="002742BE" w:rsidTr="00B9544A">
        <w:tc>
          <w:tcPr>
            <w:tcW w:w="2700" w:type="dxa"/>
            <w:tcBorders>
              <w:left w:val="single" w:sz="4" w:space="0" w:color="auto"/>
              <w:bottom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Increased lactate dehydrogenase</w:t>
            </w: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2E7D6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45 (0.97%)</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2E7D6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56 (1.19%)</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top w:val="single" w:sz="4" w:space="0" w:color="auto"/>
              <w:left w:val="single" w:sz="4" w:space="0" w:color="auto"/>
              <w:right w:val="single" w:sz="4" w:space="0" w:color="auto"/>
            </w:tcBorders>
            <w:shd w:val="clear" w:color="auto" w:fill="auto"/>
          </w:tcPr>
          <w:p w:rsidR="00692328" w:rsidRPr="002742BE" w:rsidRDefault="00306BA9" w:rsidP="00AC202B">
            <w:pPr>
              <w:tabs>
                <w:tab w:val="left" w:pos="567"/>
              </w:tabs>
              <w:spacing w:before="60" w:after="60" w:line="260" w:lineRule="exact"/>
              <w:ind w:right="46"/>
              <w:rPr>
                <w:rFonts w:ascii="Arial" w:hAnsi="Arial" w:cs="Arial"/>
                <w:b/>
                <w:sz w:val="18"/>
                <w:szCs w:val="18"/>
                <w:lang w:val="en-AU"/>
              </w:rPr>
            </w:pPr>
            <w:r w:rsidRPr="002742BE">
              <w:rPr>
                <w:rFonts w:ascii="Arial" w:hAnsi="Arial" w:cs="Arial"/>
                <w:b/>
                <w:sz w:val="18"/>
                <w:szCs w:val="18"/>
                <w:lang w:val="en-AU"/>
              </w:rPr>
              <w:t>Musculoskeletal and connective tissue disorders</w:t>
            </w: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bottom w:val="single" w:sz="4" w:space="0" w:color="auto"/>
              <w:right w:val="single" w:sz="4" w:space="0" w:color="auto"/>
            </w:tcBorders>
            <w:shd w:val="clear" w:color="auto" w:fill="auto"/>
          </w:tcPr>
          <w:p w:rsidR="00692328" w:rsidRPr="002742BE" w:rsidRDefault="00306BA9"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Increased muscle tone and cramping</w:t>
            </w: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306BA9"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62 (1.33%)</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306BA9"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39 (0.83%)</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top w:val="single" w:sz="4" w:space="0" w:color="auto"/>
              <w:left w:val="single" w:sz="4" w:space="0" w:color="auto"/>
              <w:right w:val="single" w:sz="4" w:space="0" w:color="auto"/>
            </w:tcBorders>
            <w:shd w:val="clear" w:color="auto" w:fill="auto"/>
          </w:tcPr>
          <w:p w:rsidR="00692328" w:rsidRPr="002742BE" w:rsidRDefault="00B96DB3" w:rsidP="00AC202B">
            <w:pPr>
              <w:tabs>
                <w:tab w:val="left" w:pos="567"/>
              </w:tabs>
              <w:spacing w:before="60" w:after="60" w:line="260" w:lineRule="exact"/>
              <w:ind w:right="46"/>
              <w:rPr>
                <w:rFonts w:ascii="Arial" w:hAnsi="Arial" w:cs="Arial"/>
                <w:b/>
                <w:sz w:val="18"/>
                <w:szCs w:val="18"/>
                <w:lang w:val="en-AU"/>
              </w:rPr>
            </w:pPr>
            <w:r w:rsidRPr="002742BE">
              <w:rPr>
                <w:rFonts w:ascii="Arial" w:hAnsi="Arial" w:cs="Arial"/>
                <w:b/>
                <w:sz w:val="18"/>
                <w:szCs w:val="18"/>
                <w:lang w:val="en-AU"/>
              </w:rPr>
              <w:t>Nervous system disorders</w:t>
            </w: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right w:val="single" w:sz="4" w:space="0" w:color="auto"/>
            </w:tcBorders>
            <w:shd w:val="clear" w:color="auto" w:fill="auto"/>
          </w:tcPr>
          <w:p w:rsidR="00692328" w:rsidRPr="002742BE" w:rsidRDefault="00B96DB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Dizziness</w:t>
            </w:r>
          </w:p>
        </w:tc>
        <w:tc>
          <w:tcPr>
            <w:tcW w:w="1620" w:type="dxa"/>
            <w:tcBorders>
              <w:left w:val="single" w:sz="4" w:space="0" w:color="auto"/>
              <w:right w:val="single" w:sz="4" w:space="0" w:color="auto"/>
            </w:tcBorders>
            <w:shd w:val="clear" w:color="auto" w:fill="auto"/>
          </w:tcPr>
          <w:p w:rsidR="00692328" w:rsidRPr="002742BE" w:rsidRDefault="00B96DB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156 (3.35%)</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692328" w:rsidRPr="002742BE" w:rsidRDefault="00B96DB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144 (3.07%)</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right w:val="single" w:sz="4" w:space="0" w:color="auto"/>
            </w:tcBorders>
            <w:shd w:val="clear" w:color="auto" w:fill="auto"/>
          </w:tcPr>
          <w:p w:rsidR="00692328" w:rsidRPr="002742BE" w:rsidRDefault="00B96DB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Sleep disorders</w:t>
            </w:r>
          </w:p>
        </w:tc>
        <w:tc>
          <w:tcPr>
            <w:tcW w:w="1620" w:type="dxa"/>
            <w:tcBorders>
              <w:left w:val="single" w:sz="4" w:space="0" w:color="auto"/>
              <w:right w:val="single" w:sz="4" w:space="0" w:color="auto"/>
            </w:tcBorders>
            <w:shd w:val="clear" w:color="auto" w:fill="auto"/>
          </w:tcPr>
          <w:p w:rsidR="00692328" w:rsidRPr="002742BE" w:rsidRDefault="00B96DB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191 (4.10%)</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692328" w:rsidRPr="002742BE" w:rsidRDefault="00B96DB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196 (4.18%)</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bottom w:val="single" w:sz="4" w:space="0" w:color="auto"/>
              <w:right w:val="single" w:sz="4" w:space="0" w:color="auto"/>
            </w:tcBorders>
            <w:shd w:val="clear" w:color="auto" w:fill="auto"/>
          </w:tcPr>
          <w:p w:rsidR="00692328" w:rsidRPr="002742BE" w:rsidRDefault="00B96DB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Syncope</w:t>
            </w: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B96DB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60 (1.29%)</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B96DB3"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33 (0.70%)</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top w:val="single" w:sz="4" w:space="0" w:color="auto"/>
              <w:left w:val="single" w:sz="4" w:space="0" w:color="auto"/>
              <w:right w:val="single" w:sz="4" w:space="0" w:color="auto"/>
            </w:tcBorders>
            <w:shd w:val="clear" w:color="auto" w:fill="auto"/>
          </w:tcPr>
          <w:p w:rsidR="00692328" w:rsidRPr="002742BE" w:rsidRDefault="00F72F6F" w:rsidP="00AC202B">
            <w:pPr>
              <w:tabs>
                <w:tab w:val="left" w:pos="567"/>
              </w:tabs>
              <w:spacing w:before="60" w:after="60" w:line="260" w:lineRule="exact"/>
              <w:ind w:right="46"/>
              <w:rPr>
                <w:rFonts w:ascii="Arial" w:hAnsi="Arial" w:cs="Arial"/>
                <w:b/>
                <w:sz w:val="18"/>
                <w:szCs w:val="18"/>
                <w:lang w:val="en-AU"/>
              </w:rPr>
            </w:pPr>
            <w:r w:rsidRPr="002742BE">
              <w:rPr>
                <w:rFonts w:ascii="Arial" w:hAnsi="Arial" w:cs="Arial"/>
                <w:b/>
                <w:sz w:val="18"/>
                <w:szCs w:val="18"/>
                <w:lang w:val="en-AU"/>
              </w:rPr>
              <w:t>Renal and urinary disorders</w:t>
            </w: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bottom w:val="single" w:sz="4" w:space="0" w:color="auto"/>
              <w:right w:val="single" w:sz="4" w:space="0" w:color="auto"/>
            </w:tcBorders>
            <w:shd w:val="clear" w:color="auto" w:fill="auto"/>
          </w:tcPr>
          <w:p w:rsidR="00436BFF" w:rsidRPr="002742BE" w:rsidRDefault="00F72F6F"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Urinary retention</w:t>
            </w: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F72F6F"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84 (1.80%)</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F72F6F"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84 (1.79%)</w:t>
            </w:r>
          </w:p>
          <w:p w:rsidR="00AC202B" w:rsidRPr="002742BE" w:rsidRDefault="00AC202B" w:rsidP="00AC202B">
            <w:pPr>
              <w:tabs>
                <w:tab w:val="left" w:pos="567"/>
              </w:tabs>
              <w:spacing w:before="60" w:after="60" w:line="260" w:lineRule="exact"/>
              <w:ind w:right="46"/>
              <w:rPr>
                <w:rFonts w:ascii="Arial" w:hAnsi="Arial" w:cs="Arial"/>
                <w:sz w:val="18"/>
                <w:szCs w:val="18"/>
                <w:lang w:val="en-AU"/>
              </w:rPr>
            </w:pP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top w:val="single" w:sz="4" w:space="0" w:color="auto"/>
              <w:left w:val="single" w:sz="4" w:space="0" w:color="auto"/>
              <w:right w:val="single" w:sz="4" w:space="0" w:color="auto"/>
            </w:tcBorders>
            <w:shd w:val="clear" w:color="auto" w:fill="auto"/>
          </w:tcPr>
          <w:p w:rsidR="00692328" w:rsidRPr="002742BE" w:rsidRDefault="00F72F6F" w:rsidP="00AC202B">
            <w:pPr>
              <w:tabs>
                <w:tab w:val="left" w:pos="567"/>
              </w:tabs>
              <w:spacing w:before="60" w:after="60" w:line="260" w:lineRule="exact"/>
              <w:ind w:right="46"/>
              <w:rPr>
                <w:rFonts w:ascii="Arial" w:hAnsi="Arial" w:cs="Arial"/>
                <w:b/>
                <w:sz w:val="18"/>
                <w:szCs w:val="18"/>
                <w:lang w:val="en-AU"/>
              </w:rPr>
            </w:pPr>
            <w:r w:rsidRPr="002742BE">
              <w:rPr>
                <w:rFonts w:ascii="Arial" w:hAnsi="Arial" w:cs="Arial"/>
                <w:b/>
                <w:sz w:val="18"/>
                <w:szCs w:val="18"/>
                <w:lang w:val="en-AU"/>
              </w:rPr>
              <w:t>Respiratory, thoracic and mediastinal disorders</w:t>
            </w: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bottom w:val="single" w:sz="4" w:space="0" w:color="auto"/>
              <w:right w:val="single" w:sz="4" w:space="0" w:color="auto"/>
            </w:tcBorders>
            <w:shd w:val="clear" w:color="auto" w:fill="auto"/>
          </w:tcPr>
          <w:p w:rsidR="00436BFF" w:rsidRPr="002742BE" w:rsidRDefault="00F72F6F"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Dyspnoea</w:t>
            </w: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F72F6F"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49 (1.05%)</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F72F6F"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58 (1.24%)</w:t>
            </w:r>
          </w:p>
          <w:p w:rsidR="00AC202B" w:rsidRPr="002742BE" w:rsidRDefault="00AC202B" w:rsidP="00AC202B">
            <w:pPr>
              <w:tabs>
                <w:tab w:val="left" w:pos="567"/>
              </w:tabs>
              <w:spacing w:before="60" w:after="60" w:line="260" w:lineRule="exact"/>
              <w:ind w:right="46"/>
              <w:rPr>
                <w:rFonts w:ascii="Arial" w:hAnsi="Arial" w:cs="Arial"/>
                <w:sz w:val="18"/>
                <w:szCs w:val="18"/>
                <w:lang w:val="en-AU"/>
              </w:rPr>
            </w:pP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top w:val="single" w:sz="4" w:space="0" w:color="auto"/>
              <w:left w:val="single" w:sz="4" w:space="0" w:color="auto"/>
              <w:right w:val="single" w:sz="4" w:space="0" w:color="auto"/>
            </w:tcBorders>
            <w:shd w:val="clear" w:color="auto" w:fill="auto"/>
          </w:tcPr>
          <w:p w:rsidR="00692328" w:rsidRPr="002742BE" w:rsidRDefault="008E6D12" w:rsidP="00AC202B">
            <w:pPr>
              <w:tabs>
                <w:tab w:val="left" w:pos="567"/>
              </w:tabs>
              <w:spacing w:before="60" w:after="60" w:line="260" w:lineRule="exact"/>
              <w:ind w:right="46"/>
              <w:rPr>
                <w:rFonts w:ascii="Arial" w:hAnsi="Arial" w:cs="Arial"/>
                <w:b/>
                <w:sz w:val="18"/>
                <w:szCs w:val="18"/>
                <w:lang w:val="en-AU"/>
              </w:rPr>
            </w:pPr>
            <w:r w:rsidRPr="002742BE">
              <w:rPr>
                <w:rFonts w:ascii="Arial" w:hAnsi="Arial" w:cs="Arial"/>
                <w:b/>
                <w:sz w:val="18"/>
                <w:szCs w:val="18"/>
                <w:lang w:val="en-AU"/>
              </w:rPr>
              <w:t>Skin and subcutaneous tissue disorders</w:t>
            </w: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692328" w:rsidRPr="002742BE" w:rsidRDefault="00692328"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right w:val="single" w:sz="4" w:space="0" w:color="auto"/>
            </w:tcBorders>
            <w:shd w:val="clear" w:color="auto" w:fill="auto"/>
          </w:tcPr>
          <w:p w:rsidR="00692328" w:rsidRPr="002742BE" w:rsidRDefault="008E6D12"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Pruritus</w:t>
            </w:r>
          </w:p>
        </w:tc>
        <w:tc>
          <w:tcPr>
            <w:tcW w:w="1620" w:type="dxa"/>
            <w:tcBorders>
              <w:left w:val="single" w:sz="4" w:space="0" w:color="auto"/>
              <w:right w:val="single" w:sz="4" w:space="0" w:color="auto"/>
            </w:tcBorders>
            <w:shd w:val="clear" w:color="auto" w:fill="auto"/>
          </w:tcPr>
          <w:p w:rsidR="00692328" w:rsidRPr="002742BE" w:rsidRDefault="00647F7A"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110 (2.36%)</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692328" w:rsidRPr="002742BE" w:rsidRDefault="00647F7A"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87 (1.85%)</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right w:val="single" w:sz="4" w:space="0" w:color="auto"/>
            </w:tcBorders>
            <w:shd w:val="clear" w:color="auto" w:fill="auto"/>
          </w:tcPr>
          <w:p w:rsidR="00692328" w:rsidRPr="002742BE" w:rsidRDefault="008E6D12"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Rash</w:t>
            </w:r>
          </w:p>
        </w:tc>
        <w:tc>
          <w:tcPr>
            <w:tcW w:w="1620" w:type="dxa"/>
            <w:tcBorders>
              <w:left w:val="single" w:sz="4" w:space="0" w:color="auto"/>
              <w:right w:val="single" w:sz="4" w:space="0" w:color="auto"/>
            </w:tcBorders>
            <w:shd w:val="clear" w:color="auto" w:fill="auto"/>
          </w:tcPr>
          <w:p w:rsidR="00692328" w:rsidRPr="002742BE" w:rsidRDefault="00647F7A"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60 (1.29%)</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692328" w:rsidRPr="002742BE" w:rsidRDefault="00647F7A"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57 (1.21%)</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bottom w:val="single" w:sz="4" w:space="0" w:color="auto"/>
              <w:right w:val="single" w:sz="4" w:space="0" w:color="auto"/>
            </w:tcBorders>
            <w:shd w:val="clear" w:color="auto" w:fill="auto"/>
          </w:tcPr>
          <w:p w:rsidR="00692328" w:rsidRPr="002742BE" w:rsidRDefault="008E6D12"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Unspecific blistering</w:t>
            </w: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647F7A"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68 (1.46%)</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692328" w:rsidRPr="002742BE" w:rsidRDefault="00647F7A"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43 (0.92%)</w:t>
            </w:r>
          </w:p>
        </w:tc>
        <w:tc>
          <w:tcPr>
            <w:tcW w:w="1440" w:type="dxa"/>
            <w:tcBorders>
              <w:left w:val="single" w:sz="4" w:space="0" w:color="auto"/>
              <w:bottom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8E6D12" w:rsidRPr="002742BE" w:rsidTr="00B9544A">
        <w:tc>
          <w:tcPr>
            <w:tcW w:w="2700" w:type="dxa"/>
            <w:tcBorders>
              <w:top w:val="single" w:sz="4" w:space="0" w:color="auto"/>
              <w:left w:val="single" w:sz="4" w:space="0" w:color="auto"/>
              <w:right w:val="single" w:sz="4" w:space="0" w:color="auto"/>
            </w:tcBorders>
            <w:shd w:val="clear" w:color="auto" w:fill="auto"/>
          </w:tcPr>
          <w:p w:rsidR="008E6D12" w:rsidRPr="002742BE" w:rsidRDefault="00925940" w:rsidP="00AC202B">
            <w:pPr>
              <w:tabs>
                <w:tab w:val="left" w:pos="567"/>
              </w:tabs>
              <w:spacing w:before="60" w:after="60" w:line="260" w:lineRule="exact"/>
              <w:ind w:right="46"/>
              <w:rPr>
                <w:rFonts w:ascii="Arial" w:hAnsi="Arial" w:cs="Arial"/>
                <w:b/>
                <w:sz w:val="18"/>
                <w:szCs w:val="18"/>
                <w:lang w:val="en-AU"/>
              </w:rPr>
            </w:pPr>
            <w:r w:rsidRPr="002742BE">
              <w:rPr>
                <w:rFonts w:ascii="Arial" w:hAnsi="Arial" w:cs="Arial"/>
                <w:b/>
                <w:sz w:val="18"/>
                <w:szCs w:val="18"/>
                <w:lang w:val="en-AU"/>
              </w:rPr>
              <w:t>Social circumstances</w:t>
            </w:r>
          </w:p>
        </w:tc>
        <w:tc>
          <w:tcPr>
            <w:tcW w:w="1620" w:type="dxa"/>
            <w:tcBorders>
              <w:top w:val="single" w:sz="4" w:space="0" w:color="auto"/>
              <w:left w:val="single" w:sz="4" w:space="0" w:color="auto"/>
              <w:right w:val="single" w:sz="4" w:space="0" w:color="auto"/>
            </w:tcBorders>
            <w:shd w:val="clear" w:color="auto" w:fill="auto"/>
          </w:tcPr>
          <w:p w:rsidR="008E6D12" w:rsidRPr="002742BE" w:rsidRDefault="008E6D12"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8E6D12" w:rsidRPr="002742BE" w:rsidRDefault="008E6D12"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8E6D12" w:rsidRPr="002742BE" w:rsidRDefault="008E6D12"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8E6D12" w:rsidRPr="002742BE" w:rsidRDefault="008E6D12" w:rsidP="00AC202B">
            <w:pPr>
              <w:keepNext/>
              <w:tabs>
                <w:tab w:val="left" w:pos="567"/>
              </w:tabs>
              <w:spacing w:before="60" w:after="60" w:line="260" w:lineRule="exact"/>
              <w:ind w:right="46"/>
              <w:rPr>
                <w:rFonts w:ascii="Arial" w:hAnsi="Arial" w:cs="Arial"/>
                <w:sz w:val="18"/>
                <w:szCs w:val="18"/>
                <w:lang w:val="en-AU"/>
              </w:rPr>
            </w:pPr>
          </w:p>
        </w:tc>
      </w:tr>
      <w:tr w:rsidR="008E6D12" w:rsidRPr="002742BE" w:rsidTr="00B9544A">
        <w:tc>
          <w:tcPr>
            <w:tcW w:w="2700" w:type="dxa"/>
            <w:tcBorders>
              <w:left w:val="single" w:sz="4" w:space="0" w:color="auto"/>
              <w:bottom w:val="single" w:sz="4" w:space="0" w:color="auto"/>
              <w:right w:val="single" w:sz="4" w:space="0" w:color="auto"/>
            </w:tcBorders>
            <w:shd w:val="clear" w:color="auto" w:fill="auto"/>
          </w:tcPr>
          <w:p w:rsidR="008E6D12" w:rsidRPr="002742BE" w:rsidRDefault="00925940"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Anxiety reaction</w:t>
            </w:r>
          </w:p>
        </w:tc>
        <w:tc>
          <w:tcPr>
            <w:tcW w:w="1620" w:type="dxa"/>
            <w:tcBorders>
              <w:left w:val="single" w:sz="4" w:space="0" w:color="auto"/>
              <w:bottom w:val="single" w:sz="4" w:space="0" w:color="auto"/>
              <w:right w:val="single" w:sz="4" w:space="0" w:color="auto"/>
            </w:tcBorders>
            <w:shd w:val="clear" w:color="auto" w:fill="auto"/>
          </w:tcPr>
          <w:p w:rsidR="008E6D12" w:rsidRPr="002742BE" w:rsidRDefault="004B01B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52 (1.12%)</w:t>
            </w:r>
          </w:p>
        </w:tc>
        <w:tc>
          <w:tcPr>
            <w:tcW w:w="1440" w:type="dxa"/>
            <w:tcBorders>
              <w:left w:val="single" w:sz="4" w:space="0" w:color="auto"/>
              <w:bottom w:val="single" w:sz="4" w:space="0" w:color="auto"/>
              <w:right w:val="single" w:sz="4" w:space="0" w:color="auto"/>
            </w:tcBorders>
            <w:shd w:val="clear" w:color="auto" w:fill="auto"/>
          </w:tcPr>
          <w:p w:rsidR="008E6D12" w:rsidRPr="002742BE" w:rsidRDefault="008E6D12"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8E6D12" w:rsidRPr="002742BE" w:rsidRDefault="004B01B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39 (0.83%)</w:t>
            </w:r>
          </w:p>
        </w:tc>
        <w:tc>
          <w:tcPr>
            <w:tcW w:w="1440" w:type="dxa"/>
            <w:tcBorders>
              <w:left w:val="single" w:sz="4" w:space="0" w:color="auto"/>
              <w:bottom w:val="single" w:sz="4" w:space="0" w:color="auto"/>
              <w:right w:val="single" w:sz="4" w:space="0" w:color="auto"/>
            </w:tcBorders>
            <w:shd w:val="clear" w:color="auto" w:fill="auto"/>
          </w:tcPr>
          <w:p w:rsidR="008E6D12" w:rsidRPr="002742BE" w:rsidRDefault="008E6D12" w:rsidP="00AC202B">
            <w:pPr>
              <w:keepNext/>
              <w:tabs>
                <w:tab w:val="left" w:pos="567"/>
              </w:tabs>
              <w:spacing w:before="60" w:after="60" w:line="260" w:lineRule="exact"/>
              <w:ind w:right="46"/>
              <w:rPr>
                <w:rFonts w:ascii="Arial" w:hAnsi="Arial" w:cs="Arial"/>
                <w:sz w:val="18"/>
                <w:szCs w:val="18"/>
                <w:lang w:val="en-AU"/>
              </w:rPr>
            </w:pPr>
          </w:p>
        </w:tc>
      </w:tr>
      <w:tr w:rsidR="008E6D12" w:rsidRPr="002742BE" w:rsidTr="00B9544A">
        <w:tc>
          <w:tcPr>
            <w:tcW w:w="2700" w:type="dxa"/>
            <w:tcBorders>
              <w:top w:val="single" w:sz="4" w:space="0" w:color="auto"/>
              <w:left w:val="single" w:sz="4" w:space="0" w:color="auto"/>
              <w:right w:val="single" w:sz="4" w:space="0" w:color="auto"/>
            </w:tcBorders>
            <w:shd w:val="clear" w:color="auto" w:fill="auto"/>
          </w:tcPr>
          <w:p w:rsidR="008E6D12" w:rsidRPr="002742BE" w:rsidRDefault="00925940" w:rsidP="00AC202B">
            <w:pPr>
              <w:tabs>
                <w:tab w:val="left" w:pos="567"/>
              </w:tabs>
              <w:spacing w:before="60" w:after="60" w:line="260" w:lineRule="exact"/>
              <w:ind w:right="46"/>
              <w:rPr>
                <w:rFonts w:ascii="Arial" w:hAnsi="Arial" w:cs="Arial"/>
                <w:b/>
                <w:sz w:val="18"/>
                <w:szCs w:val="18"/>
                <w:lang w:val="en-AU"/>
              </w:rPr>
            </w:pPr>
            <w:r w:rsidRPr="002742BE">
              <w:rPr>
                <w:rFonts w:ascii="Arial" w:hAnsi="Arial" w:cs="Arial"/>
                <w:b/>
                <w:sz w:val="18"/>
                <w:szCs w:val="18"/>
                <w:lang w:val="en-AU"/>
              </w:rPr>
              <w:t>Vascular disorders</w:t>
            </w:r>
          </w:p>
        </w:tc>
        <w:tc>
          <w:tcPr>
            <w:tcW w:w="1620" w:type="dxa"/>
            <w:tcBorders>
              <w:top w:val="single" w:sz="4" w:space="0" w:color="auto"/>
              <w:left w:val="single" w:sz="4" w:space="0" w:color="auto"/>
              <w:right w:val="single" w:sz="4" w:space="0" w:color="auto"/>
            </w:tcBorders>
            <w:shd w:val="clear" w:color="auto" w:fill="auto"/>
          </w:tcPr>
          <w:p w:rsidR="008E6D12" w:rsidRPr="002742BE" w:rsidRDefault="008E6D12"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8E6D12" w:rsidRPr="002742BE" w:rsidRDefault="008E6D12"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8E6D12" w:rsidRPr="002742BE" w:rsidRDefault="008E6D12" w:rsidP="00AC202B">
            <w:pPr>
              <w:tabs>
                <w:tab w:val="left" w:pos="567"/>
              </w:tabs>
              <w:spacing w:before="60" w:after="60" w:line="260" w:lineRule="exact"/>
              <w:ind w:right="46"/>
              <w:rPr>
                <w:rFonts w:ascii="Arial" w:hAnsi="Arial" w:cs="Arial"/>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8E6D12" w:rsidRPr="002742BE" w:rsidRDefault="008E6D12" w:rsidP="00AC202B">
            <w:pPr>
              <w:keepNext/>
              <w:tabs>
                <w:tab w:val="left" w:pos="567"/>
              </w:tabs>
              <w:spacing w:before="60" w:after="60" w:line="260" w:lineRule="exact"/>
              <w:ind w:right="46"/>
              <w:rPr>
                <w:rFonts w:ascii="Arial" w:hAnsi="Arial" w:cs="Arial"/>
                <w:sz w:val="18"/>
                <w:szCs w:val="18"/>
                <w:lang w:val="en-AU"/>
              </w:rPr>
            </w:pPr>
          </w:p>
        </w:tc>
      </w:tr>
      <w:tr w:rsidR="008E6D12" w:rsidRPr="002742BE" w:rsidTr="00B9544A">
        <w:tc>
          <w:tcPr>
            <w:tcW w:w="2700" w:type="dxa"/>
            <w:tcBorders>
              <w:left w:val="single" w:sz="4" w:space="0" w:color="auto"/>
              <w:right w:val="single" w:sz="4" w:space="0" w:color="auto"/>
            </w:tcBorders>
            <w:shd w:val="clear" w:color="auto" w:fill="auto"/>
          </w:tcPr>
          <w:p w:rsidR="008E6D12" w:rsidRPr="002742BE" w:rsidRDefault="00925940"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Haemorrhage</w:t>
            </w:r>
          </w:p>
        </w:tc>
        <w:tc>
          <w:tcPr>
            <w:tcW w:w="1620" w:type="dxa"/>
            <w:tcBorders>
              <w:left w:val="single" w:sz="4" w:space="0" w:color="auto"/>
              <w:right w:val="single" w:sz="4" w:space="0" w:color="auto"/>
            </w:tcBorders>
            <w:shd w:val="clear" w:color="auto" w:fill="auto"/>
          </w:tcPr>
          <w:p w:rsidR="008E6D12" w:rsidRPr="002742BE" w:rsidRDefault="004B01B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67 (1.44%)</w:t>
            </w:r>
          </w:p>
        </w:tc>
        <w:tc>
          <w:tcPr>
            <w:tcW w:w="1440" w:type="dxa"/>
            <w:tcBorders>
              <w:left w:val="single" w:sz="4" w:space="0" w:color="auto"/>
              <w:right w:val="single" w:sz="4" w:space="0" w:color="auto"/>
            </w:tcBorders>
            <w:shd w:val="clear" w:color="auto" w:fill="auto"/>
          </w:tcPr>
          <w:p w:rsidR="008E6D12" w:rsidRPr="002742BE" w:rsidRDefault="008E6D12"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8E6D12" w:rsidRPr="002742BE" w:rsidRDefault="004B01B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72 (1.53%)</w:t>
            </w:r>
          </w:p>
        </w:tc>
        <w:tc>
          <w:tcPr>
            <w:tcW w:w="1440" w:type="dxa"/>
            <w:tcBorders>
              <w:left w:val="single" w:sz="4" w:space="0" w:color="auto"/>
              <w:right w:val="single" w:sz="4" w:space="0" w:color="auto"/>
            </w:tcBorders>
            <w:shd w:val="clear" w:color="auto" w:fill="auto"/>
          </w:tcPr>
          <w:p w:rsidR="008E6D12" w:rsidRPr="002742BE" w:rsidRDefault="008E6D12" w:rsidP="00AC202B">
            <w:pPr>
              <w:keepNext/>
              <w:tabs>
                <w:tab w:val="left" w:pos="567"/>
              </w:tabs>
              <w:spacing w:before="60" w:after="60" w:line="260" w:lineRule="exact"/>
              <w:ind w:right="46"/>
              <w:rPr>
                <w:rFonts w:ascii="Arial" w:hAnsi="Arial" w:cs="Arial"/>
                <w:sz w:val="18"/>
                <w:szCs w:val="18"/>
                <w:lang w:val="en-AU"/>
              </w:rPr>
            </w:pPr>
          </w:p>
        </w:tc>
      </w:tr>
      <w:tr w:rsidR="00692328" w:rsidRPr="002742BE" w:rsidTr="00B9544A">
        <w:tc>
          <w:tcPr>
            <w:tcW w:w="2700" w:type="dxa"/>
            <w:tcBorders>
              <w:left w:val="single" w:sz="4" w:space="0" w:color="auto"/>
              <w:right w:val="single" w:sz="4" w:space="0" w:color="auto"/>
            </w:tcBorders>
            <w:shd w:val="clear" w:color="auto" w:fill="auto"/>
          </w:tcPr>
          <w:p w:rsidR="00692328" w:rsidRPr="002742BE" w:rsidRDefault="00925940"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Thrombocythaemia</w:t>
            </w:r>
          </w:p>
        </w:tc>
        <w:tc>
          <w:tcPr>
            <w:tcW w:w="1620" w:type="dxa"/>
            <w:tcBorders>
              <w:left w:val="single" w:sz="4" w:space="0" w:color="auto"/>
              <w:right w:val="single" w:sz="4" w:space="0" w:color="auto"/>
            </w:tcBorders>
            <w:shd w:val="clear" w:color="auto" w:fill="auto"/>
          </w:tcPr>
          <w:p w:rsidR="00692328" w:rsidRPr="002742BE" w:rsidRDefault="004B01B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79 (1.70%)</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right w:val="single" w:sz="4" w:space="0" w:color="auto"/>
            </w:tcBorders>
            <w:shd w:val="clear" w:color="auto" w:fill="auto"/>
          </w:tcPr>
          <w:p w:rsidR="00692328" w:rsidRPr="002742BE" w:rsidRDefault="004B01B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87 (1.85%)</w:t>
            </w:r>
          </w:p>
        </w:tc>
        <w:tc>
          <w:tcPr>
            <w:tcW w:w="1440" w:type="dxa"/>
            <w:tcBorders>
              <w:left w:val="single" w:sz="4" w:space="0" w:color="auto"/>
              <w:right w:val="single" w:sz="4" w:space="0" w:color="auto"/>
            </w:tcBorders>
            <w:shd w:val="clear" w:color="auto" w:fill="auto"/>
          </w:tcPr>
          <w:p w:rsidR="00692328" w:rsidRPr="002742BE" w:rsidRDefault="00692328" w:rsidP="00AC202B">
            <w:pPr>
              <w:keepNext/>
              <w:tabs>
                <w:tab w:val="left" w:pos="567"/>
              </w:tabs>
              <w:spacing w:before="60" w:after="60" w:line="260" w:lineRule="exact"/>
              <w:ind w:right="46"/>
              <w:rPr>
                <w:rFonts w:ascii="Arial" w:hAnsi="Arial" w:cs="Arial"/>
                <w:sz w:val="18"/>
                <w:szCs w:val="18"/>
                <w:lang w:val="en-AU"/>
              </w:rPr>
            </w:pPr>
          </w:p>
        </w:tc>
      </w:tr>
      <w:tr w:rsidR="00925940" w:rsidRPr="002742BE" w:rsidTr="00B9544A">
        <w:tc>
          <w:tcPr>
            <w:tcW w:w="2700" w:type="dxa"/>
            <w:tcBorders>
              <w:left w:val="single" w:sz="4" w:space="0" w:color="auto"/>
              <w:bottom w:val="single" w:sz="4" w:space="0" w:color="auto"/>
              <w:right w:val="single" w:sz="4" w:space="0" w:color="auto"/>
            </w:tcBorders>
            <w:shd w:val="clear" w:color="auto" w:fill="auto"/>
          </w:tcPr>
          <w:p w:rsidR="00925940" w:rsidRPr="002742BE" w:rsidRDefault="00925940"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Deep vein thrombosis</w:t>
            </w:r>
          </w:p>
        </w:tc>
        <w:tc>
          <w:tcPr>
            <w:tcW w:w="1620" w:type="dxa"/>
            <w:tcBorders>
              <w:left w:val="single" w:sz="4" w:space="0" w:color="auto"/>
              <w:bottom w:val="single" w:sz="4" w:space="0" w:color="auto"/>
              <w:right w:val="single" w:sz="4" w:space="0" w:color="auto"/>
            </w:tcBorders>
            <w:shd w:val="clear" w:color="auto" w:fill="auto"/>
          </w:tcPr>
          <w:p w:rsidR="00925940" w:rsidRPr="002742BE" w:rsidRDefault="004B01B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198 (4.25%)</w:t>
            </w:r>
          </w:p>
        </w:tc>
        <w:tc>
          <w:tcPr>
            <w:tcW w:w="1440" w:type="dxa"/>
            <w:tcBorders>
              <w:left w:val="single" w:sz="4" w:space="0" w:color="auto"/>
              <w:bottom w:val="single" w:sz="4" w:space="0" w:color="auto"/>
              <w:right w:val="single" w:sz="4" w:space="0" w:color="auto"/>
            </w:tcBorders>
            <w:shd w:val="clear" w:color="auto" w:fill="auto"/>
          </w:tcPr>
          <w:p w:rsidR="00925940" w:rsidRPr="002742BE" w:rsidRDefault="00925940" w:rsidP="00AC202B">
            <w:pPr>
              <w:keepNext/>
              <w:tabs>
                <w:tab w:val="left" w:pos="567"/>
                <w:tab w:val="left" w:pos="1844"/>
              </w:tabs>
              <w:spacing w:before="60" w:after="60" w:line="260" w:lineRule="exact"/>
              <w:ind w:right="46"/>
              <w:rPr>
                <w:rFonts w:ascii="Arial" w:hAnsi="Arial" w:cs="Arial"/>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925940" w:rsidRPr="002742BE" w:rsidRDefault="004B01B8" w:rsidP="00AC202B">
            <w:pPr>
              <w:tabs>
                <w:tab w:val="left" w:pos="567"/>
              </w:tabs>
              <w:spacing w:before="60" w:after="60" w:line="260" w:lineRule="exact"/>
              <w:ind w:right="46"/>
              <w:rPr>
                <w:rFonts w:ascii="Arial" w:hAnsi="Arial" w:cs="Arial"/>
                <w:sz w:val="18"/>
                <w:szCs w:val="18"/>
                <w:lang w:val="en-AU"/>
              </w:rPr>
            </w:pPr>
            <w:r w:rsidRPr="002742BE">
              <w:rPr>
                <w:rFonts w:ascii="Arial" w:hAnsi="Arial" w:cs="Arial"/>
                <w:sz w:val="18"/>
                <w:szCs w:val="18"/>
                <w:lang w:val="en-AU"/>
              </w:rPr>
              <w:t>363 (7.74%)</w:t>
            </w:r>
          </w:p>
        </w:tc>
        <w:tc>
          <w:tcPr>
            <w:tcW w:w="1440" w:type="dxa"/>
            <w:tcBorders>
              <w:left w:val="single" w:sz="4" w:space="0" w:color="auto"/>
              <w:bottom w:val="single" w:sz="4" w:space="0" w:color="auto"/>
              <w:right w:val="single" w:sz="4" w:space="0" w:color="auto"/>
            </w:tcBorders>
            <w:shd w:val="clear" w:color="auto" w:fill="auto"/>
          </w:tcPr>
          <w:p w:rsidR="00925940" w:rsidRPr="002742BE" w:rsidRDefault="00925940" w:rsidP="00AC202B">
            <w:pPr>
              <w:keepNext/>
              <w:tabs>
                <w:tab w:val="left" w:pos="567"/>
              </w:tabs>
              <w:spacing w:before="60" w:after="60" w:line="260" w:lineRule="exact"/>
              <w:ind w:right="46"/>
              <w:rPr>
                <w:rFonts w:ascii="Arial" w:hAnsi="Arial" w:cs="Arial"/>
                <w:sz w:val="18"/>
                <w:szCs w:val="18"/>
                <w:lang w:val="en-AU"/>
              </w:rPr>
            </w:pPr>
          </w:p>
        </w:tc>
      </w:tr>
    </w:tbl>
    <w:p w:rsidR="00285C55" w:rsidRPr="002742BE" w:rsidRDefault="00285C55" w:rsidP="00F04C47">
      <w:pPr>
        <w:tabs>
          <w:tab w:val="left" w:pos="4500"/>
        </w:tabs>
        <w:spacing w:before="120" w:after="240"/>
        <w:ind w:right="46"/>
        <w:rPr>
          <w:rFonts w:ascii="Arial" w:hAnsi="Arial" w:cs="Arial"/>
          <w:b/>
          <w:sz w:val="21"/>
          <w:szCs w:val="21"/>
          <w:lang w:val="en-AU"/>
        </w:rPr>
      </w:pPr>
      <w:r w:rsidRPr="002742BE">
        <w:rPr>
          <w:rFonts w:ascii="Arial" w:hAnsi="Arial" w:cs="Arial"/>
          <w:b/>
          <w:sz w:val="21"/>
          <w:szCs w:val="21"/>
          <w:lang w:val="en-AU"/>
        </w:rPr>
        <w:t xml:space="preserve">Less </w:t>
      </w:r>
      <w:r w:rsidR="00F92152" w:rsidRPr="002742BE">
        <w:rPr>
          <w:rFonts w:ascii="Arial" w:hAnsi="Arial" w:cs="Arial"/>
          <w:b/>
          <w:sz w:val="21"/>
          <w:szCs w:val="21"/>
          <w:lang w:val="en-AU"/>
        </w:rPr>
        <w:t xml:space="preserve">frequent </w:t>
      </w:r>
      <w:r w:rsidRPr="002742BE">
        <w:rPr>
          <w:rFonts w:ascii="Arial" w:hAnsi="Arial" w:cs="Arial"/>
          <w:b/>
          <w:sz w:val="21"/>
          <w:szCs w:val="21"/>
          <w:lang w:val="en-AU"/>
        </w:rPr>
        <w:t>Clinical Trial Adverse Drug Reactions</w:t>
      </w:r>
      <w:r w:rsidR="005E3602" w:rsidRPr="002742BE">
        <w:rPr>
          <w:rFonts w:ascii="Arial" w:hAnsi="Arial" w:cs="Arial"/>
          <w:b/>
          <w:sz w:val="21"/>
          <w:szCs w:val="21"/>
          <w:lang w:val="en-AU"/>
        </w:rPr>
        <w:t xml:space="preserve"> </w:t>
      </w:r>
      <w:r w:rsidR="002274AA" w:rsidRPr="002742BE">
        <w:rPr>
          <w:rFonts w:ascii="Arial" w:hAnsi="Arial" w:cs="Arial"/>
          <w:b/>
          <w:sz w:val="21"/>
          <w:szCs w:val="21"/>
          <w:lang w:val="en-AU"/>
        </w:rPr>
        <w:t>&lt;</w:t>
      </w:r>
      <w:r w:rsidR="00B74AA6">
        <w:rPr>
          <w:rFonts w:ascii="Arial" w:hAnsi="Arial" w:cs="Arial"/>
          <w:b/>
          <w:sz w:val="21"/>
          <w:szCs w:val="21"/>
          <w:lang w:val="en-AU"/>
        </w:rPr>
        <w:t xml:space="preserve"> </w:t>
      </w:r>
      <w:r w:rsidR="002274AA" w:rsidRPr="002742BE">
        <w:rPr>
          <w:rFonts w:ascii="Arial" w:hAnsi="Arial" w:cs="Arial"/>
          <w:b/>
          <w:sz w:val="21"/>
          <w:szCs w:val="21"/>
          <w:lang w:val="en-AU"/>
        </w:rPr>
        <w:t xml:space="preserve">1% </w:t>
      </w:r>
      <w:r w:rsidR="005E3602" w:rsidRPr="002742BE">
        <w:rPr>
          <w:rFonts w:ascii="Arial" w:hAnsi="Arial" w:cs="Arial"/>
          <w:b/>
          <w:sz w:val="21"/>
          <w:szCs w:val="21"/>
          <w:lang w:val="en-AU"/>
        </w:rPr>
        <w:t>in the Phase III studies</w:t>
      </w:r>
      <w:r w:rsidR="00F92152" w:rsidRPr="002742BE">
        <w:rPr>
          <w:rFonts w:ascii="Arial" w:hAnsi="Arial" w:cs="Arial"/>
          <w:b/>
          <w:sz w:val="21"/>
          <w:szCs w:val="21"/>
          <w:lang w:val="en-AU"/>
        </w:rPr>
        <w:t>;</w:t>
      </w:r>
      <w:r w:rsidR="005E3602" w:rsidRPr="002742BE">
        <w:rPr>
          <w:rFonts w:ascii="Arial" w:hAnsi="Arial" w:cs="Arial"/>
          <w:b/>
          <w:sz w:val="21"/>
          <w:szCs w:val="21"/>
          <w:lang w:val="en-AU"/>
        </w:rPr>
        <w:t xml:space="preserve"> 11354, 11357, 11356</w:t>
      </w:r>
      <w:r w:rsidR="00F92152" w:rsidRPr="002742BE">
        <w:rPr>
          <w:rFonts w:ascii="Arial" w:hAnsi="Arial" w:cs="Arial"/>
          <w:b/>
          <w:sz w:val="21"/>
          <w:szCs w:val="21"/>
          <w:lang w:val="en-AU"/>
        </w:rPr>
        <w:t xml:space="preserve"> (RECORD 1 to 3)</w:t>
      </w:r>
      <w:r w:rsidRPr="002742BE">
        <w:rPr>
          <w:rFonts w:ascii="Arial" w:hAnsi="Arial" w:cs="Arial"/>
          <w:b/>
          <w:caps/>
          <w:sz w:val="21"/>
          <w:szCs w:val="21"/>
          <w:lang w:val="en-AU"/>
        </w:rPr>
        <w:t>:</w:t>
      </w:r>
    </w:p>
    <w:tbl>
      <w:tblPr>
        <w:tblW w:w="0" w:type="auto"/>
        <w:tblLook w:val="04A0"/>
      </w:tblPr>
      <w:tblGrid>
        <w:gridCol w:w="2802"/>
        <w:gridCol w:w="6095"/>
      </w:tblGrid>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Blood and the Lymphatic System Disorders: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Thrombocythaemia (incl. platelet count increased)</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Cardiac Disorders: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Tachycardia</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Gastrointestinal Disorders: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 xml:space="preserve">Constipation, diarrhoea, abdominal and gastrointestinal pain (incl. upper abdominal pain, stomach discomfort), dyspepsia </w:t>
            </w:r>
            <w:r w:rsidRPr="002742BE">
              <w:rPr>
                <w:rFonts w:ascii="Arial" w:hAnsi="Arial" w:cs="Arial"/>
                <w:sz w:val="21"/>
                <w:szCs w:val="21"/>
                <w:lang w:val="en-AU"/>
              </w:rPr>
              <w:lastRenderedPageBreak/>
              <w:t>(incl. epigastric discomfort), dry mouth, vomiting</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lastRenderedPageBreak/>
              <w:t>General Disorders and Administration Site Conditions: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Localised oedema, decreased general strength and energy (incl. fatigue, asthenia), feeling unwell (incl. malaise)</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Hepatobiliary disorders: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sz w:val="21"/>
                <w:szCs w:val="21"/>
                <w:lang w:val="en-AU"/>
              </w:rPr>
              <w:t>Hepatic function abnormal</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Immune system disorders: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sz w:val="21"/>
                <w:szCs w:val="21"/>
                <w:lang w:val="en-AU"/>
              </w:rPr>
              <w:t>Dermatitis allergic</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Injury, Poisoning and Procedural Complications: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Wound secretion</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Investigations: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Increased lipase, increased amylase, blood bilirubin increased, increased LDH, increased alkaline phosphatase, bilirubin conjugated increased (with or without concomitant increase of ALT)</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Musculoskeletal, Connective Tissue and Bone Disorders: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Pain in extremity</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Nervous System Disorders: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Dizziness, headache, syncope (incl. loss of consciousness)</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Renal and Urinary Disorders: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Renal impairment (incl. blood creatinine increased, blood urea increased)</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Skin and Subcutaneous Tissue Disorders:</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pruritus (incl. rare cases of generalised pruritus), rash, urticaria (incl. rare cases of generalised urticaria), contusion</w:t>
            </w:r>
          </w:p>
        </w:tc>
      </w:tr>
      <w:tr w:rsidR="009A4839" w:rsidRPr="002742BE" w:rsidTr="00044B1D">
        <w:tc>
          <w:tcPr>
            <w:tcW w:w="2802" w:type="dxa"/>
            <w:shd w:val="clear" w:color="auto" w:fill="auto"/>
          </w:tcPr>
          <w:p w:rsidR="009A4839" w:rsidRPr="002742BE" w:rsidRDefault="009A4839" w:rsidP="00044B1D">
            <w:pPr>
              <w:tabs>
                <w:tab w:val="left" w:pos="567"/>
              </w:tabs>
              <w:spacing w:before="60" w:after="60" w:line="260" w:lineRule="exact"/>
              <w:ind w:right="45"/>
              <w:rPr>
                <w:rFonts w:ascii="Arial" w:hAnsi="Arial" w:cs="Arial"/>
                <w:b/>
                <w:sz w:val="21"/>
                <w:szCs w:val="21"/>
                <w:lang w:val="en-AU"/>
              </w:rPr>
            </w:pPr>
            <w:r w:rsidRPr="002742BE">
              <w:rPr>
                <w:rFonts w:ascii="Arial" w:hAnsi="Arial" w:cs="Arial"/>
                <w:b/>
                <w:sz w:val="21"/>
                <w:szCs w:val="21"/>
                <w:lang w:val="en-AU"/>
              </w:rPr>
              <w:t>Vascular Disorders</w:t>
            </w:r>
            <w:r w:rsidRPr="002742BE">
              <w:rPr>
                <w:rFonts w:ascii="Arial" w:hAnsi="Arial" w:cs="Arial"/>
                <w:sz w:val="21"/>
                <w:szCs w:val="21"/>
                <w:lang w:val="en-AU"/>
              </w:rPr>
              <w:t>:</w:t>
            </w:r>
          </w:p>
        </w:tc>
        <w:tc>
          <w:tcPr>
            <w:tcW w:w="6095" w:type="dxa"/>
            <w:shd w:val="clear" w:color="auto" w:fill="auto"/>
          </w:tcPr>
          <w:p w:rsidR="009A4839" w:rsidRPr="002742BE" w:rsidRDefault="009A4839" w:rsidP="00044B1D">
            <w:pPr>
              <w:tabs>
                <w:tab w:val="left" w:pos="567"/>
              </w:tabs>
              <w:spacing w:before="60" w:after="60" w:line="260" w:lineRule="exact"/>
              <w:ind w:right="45"/>
              <w:rPr>
                <w:rFonts w:ascii="Arial" w:hAnsi="Arial" w:cs="Arial"/>
                <w:sz w:val="21"/>
                <w:szCs w:val="21"/>
                <w:lang w:val="en-AU"/>
              </w:rPr>
            </w:pPr>
            <w:r w:rsidRPr="002742BE">
              <w:rPr>
                <w:rFonts w:ascii="Arial" w:hAnsi="Arial" w:cs="Arial"/>
                <w:sz w:val="21"/>
                <w:szCs w:val="21"/>
                <w:lang w:val="en-AU"/>
              </w:rPr>
              <w:t>hypotension (incl. blood pressure decrease, procedural hypotension), haematoma (incl. rare cases of muscle haemorrhage), gastrointestinal tract haemorrhage (incl. gingival bleeding, rectal haemorrhage, haematemesis), urogenital tract haemorrhage, nose bleed</w:t>
            </w:r>
          </w:p>
        </w:tc>
      </w:tr>
    </w:tbl>
    <w:p w:rsidR="00F02D64" w:rsidRPr="002742BE" w:rsidRDefault="00F02D64" w:rsidP="00F04C47">
      <w:pPr>
        <w:pStyle w:val="Heading2"/>
        <w:ind w:right="46"/>
        <w:rPr>
          <w:rFonts w:ascii="Arial" w:hAnsi="Arial" w:cs="Arial"/>
          <w:i/>
          <w:sz w:val="22"/>
        </w:rPr>
      </w:pPr>
      <w:r w:rsidRPr="002742BE">
        <w:rPr>
          <w:rFonts w:ascii="Arial" w:hAnsi="Arial" w:cs="Arial"/>
          <w:i/>
          <w:sz w:val="22"/>
        </w:rPr>
        <w:t>Treatment of DVT</w:t>
      </w:r>
      <w:r w:rsidR="001C212A">
        <w:rPr>
          <w:rFonts w:ascii="Arial" w:hAnsi="Arial" w:cs="Arial"/>
          <w:i/>
          <w:sz w:val="22"/>
        </w:rPr>
        <w:t>, PE</w:t>
      </w:r>
      <w:r w:rsidRPr="002742BE">
        <w:rPr>
          <w:rFonts w:ascii="Arial" w:hAnsi="Arial" w:cs="Arial"/>
          <w:i/>
          <w:sz w:val="22"/>
        </w:rPr>
        <w:t xml:space="preserve"> and Prevention of Recurrent VTE </w:t>
      </w:r>
    </w:p>
    <w:p w:rsidR="00F02D64" w:rsidRPr="002742BE" w:rsidRDefault="00F02D64" w:rsidP="00F04C47">
      <w:pPr>
        <w:pStyle w:val="Default"/>
        <w:tabs>
          <w:tab w:val="left" w:pos="9900"/>
        </w:tabs>
        <w:spacing w:before="120" w:after="240"/>
        <w:ind w:right="46"/>
        <w:jc w:val="both"/>
        <w:rPr>
          <w:rFonts w:ascii="Arial" w:hAnsi="Arial" w:cs="Arial"/>
          <w:sz w:val="22"/>
          <w:szCs w:val="22"/>
          <w:lang w:val="en-AU"/>
        </w:rPr>
      </w:pPr>
      <w:r w:rsidRPr="002742BE">
        <w:rPr>
          <w:rFonts w:ascii="Arial" w:hAnsi="Arial" w:cs="Arial"/>
          <w:sz w:val="22"/>
          <w:szCs w:val="22"/>
          <w:lang w:val="en-AU"/>
        </w:rPr>
        <w:t xml:space="preserve">The safety of Xarelto has been evaluated in </w:t>
      </w:r>
      <w:r w:rsidR="001C212A">
        <w:rPr>
          <w:rFonts w:ascii="Arial" w:hAnsi="Arial" w:cs="Arial"/>
          <w:sz w:val="22"/>
          <w:szCs w:val="22"/>
          <w:lang w:val="en-AU"/>
        </w:rPr>
        <w:t>three</w:t>
      </w:r>
      <w:r w:rsidR="001C212A" w:rsidRPr="002742BE">
        <w:rPr>
          <w:rFonts w:ascii="Arial" w:hAnsi="Arial" w:cs="Arial"/>
          <w:sz w:val="22"/>
          <w:szCs w:val="22"/>
          <w:lang w:val="en-AU"/>
        </w:rPr>
        <w:t xml:space="preserve"> Phase </w:t>
      </w:r>
      <w:r w:rsidRPr="002742BE">
        <w:rPr>
          <w:rFonts w:ascii="Arial" w:hAnsi="Arial" w:cs="Arial"/>
          <w:sz w:val="22"/>
          <w:szCs w:val="22"/>
          <w:lang w:val="en-AU"/>
        </w:rPr>
        <w:t xml:space="preserve">III trials with </w:t>
      </w:r>
      <w:r w:rsidR="001C212A">
        <w:rPr>
          <w:rFonts w:ascii="Arial" w:hAnsi="Arial" w:cs="Arial"/>
          <w:sz w:val="22"/>
          <w:szCs w:val="22"/>
          <w:lang w:val="en-AU"/>
        </w:rPr>
        <w:t>4556</w:t>
      </w:r>
      <w:r w:rsidR="001C212A" w:rsidRPr="002742BE">
        <w:rPr>
          <w:rFonts w:ascii="Arial" w:hAnsi="Arial" w:cs="Arial"/>
          <w:sz w:val="22"/>
          <w:szCs w:val="22"/>
          <w:lang w:val="en-AU"/>
        </w:rPr>
        <w:t xml:space="preserve"> </w:t>
      </w:r>
      <w:r w:rsidRPr="002742BE">
        <w:rPr>
          <w:rFonts w:ascii="Arial" w:hAnsi="Arial" w:cs="Arial"/>
          <w:sz w:val="22"/>
          <w:szCs w:val="22"/>
          <w:lang w:val="en-AU"/>
        </w:rPr>
        <w:t xml:space="preserve">patients treated up to 21 months and exposed to either 15 mg </w:t>
      </w:r>
      <w:r w:rsidR="002A19A1" w:rsidRPr="002742BE">
        <w:rPr>
          <w:rFonts w:ascii="Arial" w:hAnsi="Arial" w:cs="Arial"/>
          <w:sz w:val="22"/>
          <w:szCs w:val="22"/>
          <w:lang w:val="en-AU"/>
        </w:rPr>
        <w:t xml:space="preserve">Xarelto </w:t>
      </w:r>
      <w:r w:rsidRPr="002742BE">
        <w:rPr>
          <w:rFonts w:ascii="Arial" w:hAnsi="Arial" w:cs="Arial"/>
          <w:sz w:val="22"/>
          <w:szCs w:val="22"/>
          <w:lang w:val="en-AU"/>
        </w:rPr>
        <w:t>twice daily for 3 weeks followed by 20 mg once daily (EINSTEIN DVT</w:t>
      </w:r>
      <w:r w:rsidR="001C212A">
        <w:rPr>
          <w:rFonts w:ascii="Arial" w:hAnsi="Arial" w:cs="Arial"/>
          <w:sz w:val="22"/>
          <w:szCs w:val="22"/>
          <w:lang w:val="en-AU"/>
        </w:rPr>
        <w:t xml:space="preserve"> and EINSTEIN PE</w:t>
      </w:r>
      <w:r w:rsidRPr="002742BE">
        <w:rPr>
          <w:rFonts w:ascii="Arial" w:hAnsi="Arial" w:cs="Arial"/>
          <w:sz w:val="22"/>
          <w:szCs w:val="22"/>
          <w:lang w:val="en-AU"/>
        </w:rPr>
        <w:t xml:space="preserve">) or 20 mg once daily (EINSTEIN Extension). </w:t>
      </w:r>
    </w:p>
    <w:p w:rsidR="00F02D64" w:rsidRPr="002742BE" w:rsidRDefault="00F02D64" w:rsidP="00F04C47">
      <w:pPr>
        <w:tabs>
          <w:tab w:val="left" w:pos="9900"/>
        </w:tabs>
        <w:autoSpaceDE w:val="0"/>
        <w:autoSpaceDN w:val="0"/>
        <w:adjustRightInd w:val="0"/>
        <w:spacing w:before="120" w:after="240"/>
        <w:ind w:right="46"/>
        <w:jc w:val="both"/>
        <w:rPr>
          <w:rFonts w:ascii="Arial" w:hAnsi="Arial" w:cs="Arial"/>
          <w:sz w:val="22"/>
          <w:szCs w:val="22"/>
          <w:lang w:val="en-AU"/>
        </w:rPr>
      </w:pPr>
      <w:r w:rsidRPr="002742BE">
        <w:rPr>
          <w:rFonts w:ascii="Arial" w:eastAsia="SimSun" w:hAnsi="Arial" w:cs="Arial"/>
          <w:sz w:val="22"/>
          <w:szCs w:val="22"/>
          <w:lang w:val="en-AU" w:eastAsia="zh-CN" w:bidi="he-IL"/>
        </w:rPr>
        <w:t xml:space="preserve">Treatment-emergent drug-related adverse events were reported by </w:t>
      </w:r>
      <w:r w:rsidR="001C212A">
        <w:rPr>
          <w:rFonts w:ascii="Arial" w:eastAsia="SimSun" w:hAnsi="Arial" w:cs="Arial"/>
          <w:sz w:val="22"/>
          <w:szCs w:val="22"/>
          <w:lang w:val="en-AU" w:eastAsia="zh-CN" w:bidi="he-IL"/>
        </w:rPr>
        <w:t>28.5%</w:t>
      </w:r>
      <w:r w:rsidRPr="002742BE">
        <w:rPr>
          <w:rFonts w:ascii="Arial" w:eastAsia="SimSun" w:hAnsi="Arial" w:cs="Arial"/>
          <w:sz w:val="22"/>
          <w:szCs w:val="22"/>
          <w:lang w:val="en-AU" w:eastAsia="zh-CN" w:bidi="he-IL"/>
        </w:rPr>
        <w:t xml:space="preserve"> of rivaroxaban treated subjects and by </w:t>
      </w:r>
      <w:r w:rsidR="001C212A">
        <w:rPr>
          <w:rFonts w:ascii="Arial" w:eastAsia="SimSun" w:hAnsi="Arial" w:cs="Arial"/>
          <w:sz w:val="22"/>
          <w:szCs w:val="22"/>
          <w:lang w:val="en-AU" w:eastAsia="zh-CN" w:bidi="he-IL"/>
        </w:rPr>
        <w:t>28.6%</w:t>
      </w:r>
      <w:r w:rsidRPr="002742BE">
        <w:rPr>
          <w:rFonts w:ascii="Arial" w:eastAsia="SimSun" w:hAnsi="Arial" w:cs="Arial"/>
          <w:sz w:val="22"/>
          <w:szCs w:val="22"/>
          <w:lang w:val="en-AU" w:eastAsia="zh-CN" w:bidi="he-IL"/>
        </w:rPr>
        <w:t xml:space="preserve"> of enoxaparin/VKA treated subjects (</w:t>
      </w:r>
      <w:r w:rsidR="001C212A">
        <w:rPr>
          <w:rFonts w:ascii="Arial" w:eastAsia="SimSun" w:hAnsi="Arial" w:cs="Arial"/>
          <w:sz w:val="22"/>
          <w:szCs w:val="22"/>
          <w:lang w:val="en-AU" w:eastAsia="zh-CN" w:bidi="he-IL"/>
        </w:rPr>
        <w:t xml:space="preserve">pooled </w:t>
      </w:r>
      <w:r w:rsidRPr="002742BE">
        <w:rPr>
          <w:rFonts w:ascii="Arial" w:eastAsia="SimSun" w:hAnsi="Arial" w:cs="Arial"/>
          <w:sz w:val="22"/>
          <w:szCs w:val="22"/>
          <w:lang w:val="en-AU" w:eastAsia="zh-CN" w:bidi="he-IL"/>
        </w:rPr>
        <w:t>stud</w:t>
      </w:r>
      <w:r w:rsidR="001C212A">
        <w:rPr>
          <w:rFonts w:ascii="Arial" w:eastAsia="SimSun" w:hAnsi="Arial" w:cs="Arial"/>
          <w:sz w:val="22"/>
          <w:szCs w:val="22"/>
          <w:lang w:val="en-AU" w:eastAsia="zh-CN" w:bidi="he-IL"/>
        </w:rPr>
        <w:t>ies</w:t>
      </w:r>
      <w:r w:rsidRPr="002742BE">
        <w:rPr>
          <w:rFonts w:ascii="Arial" w:eastAsia="SimSun" w:hAnsi="Arial" w:cs="Arial"/>
          <w:sz w:val="22"/>
          <w:szCs w:val="22"/>
          <w:lang w:val="en-AU" w:eastAsia="zh-CN" w:bidi="he-IL"/>
        </w:rPr>
        <w:t xml:space="preserve"> 11702 DVT</w:t>
      </w:r>
      <w:r w:rsidR="001C212A">
        <w:rPr>
          <w:rFonts w:ascii="Arial" w:eastAsia="SimSun" w:hAnsi="Arial" w:cs="Arial"/>
          <w:sz w:val="22"/>
          <w:szCs w:val="22"/>
          <w:lang w:val="en-AU" w:eastAsia="zh-CN" w:bidi="he-IL"/>
        </w:rPr>
        <w:t xml:space="preserve"> and 11702 PE</w:t>
      </w:r>
      <w:r w:rsidRPr="002742BE">
        <w:rPr>
          <w:rFonts w:ascii="Arial" w:eastAsia="SimSun" w:hAnsi="Arial" w:cs="Arial"/>
          <w:sz w:val="22"/>
          <w:szCs w:val="22"/>
          <w:lang w:val="en-AU" w:eastAsia="zh-CN" w:bidi="he-IL"/>
        </w:rPr>
        <w:t>). The respective incidence rates for the study 11899 were 16% rivaroxaban vs. 11% placebo</w:t>
      </w:r>
      <w:r w:rsidRPr="002742BE">
        <w:rPr>
          <w:rFonts w:ascii="TimesNewRoman" w:eastAsia="SimSun" w:hAnsi="TimesNewRoman" w:cs="TimesNewRoman"/>
          <w:lang w:val="en-AU" w:eastAsia="zh-CN" w:bidi="he-IL"/>
        </w:rPr>
        <w:t xml:space="preserve">. </w:t>
      </w:r>
    </w:p>
    <w:p w:rsidR="00F02D64" w:rsidRPr="002742BE" w:rsidRDefault="00F02D64" w:rsidP="00E50FEE">
      <w:pPr>
        <w:pStyle w:val="Caption"/>
        <w:ind w:right="46"/>
        <w:jc w:val="both"/>
        <w:rPr>
          <w:rFonts w:ascii="Arial" w:hAnsi="Arial" w:cs="Arial"/>
          <w:b w:val="0"/>
          <w:sz w:val="22"/>
          <w:szCs w:val="22"/>
          <w:lang w:val="en-AU"/>
        </w:rPr>
      </w:pPr>
      <w:r w:rsidRPr="002742BE">
        <w:rPr>
          <w:rFonts w:ascii="Arial" w:hAnsi="Arial" w:cs="Arial"/>
          <w:b w:val="0"/>
          <w:sz w:val="22"/>
          <w:szCs w:val="22"/>
          <w:lang w:val="en-AU"/>
        </w:rPr>
        <w:t>The most common treatment-emergent adverse reactions</w:t>
      </w:r>
      <w:r w:rsidRPr="002742BE">
        <w:rPr>
          <w:rFonts w:ascii="Arial" w:hAnsi="Arial" w:cs="Arial"/>
          <w:b w:val="0"/>
          <w:color w:val="FF0000"/>
          <w:sz w:val="22"/>
          <w:szCs w:val="22"/>
          <w:lang w:val="en-AU"/>
        </w:rPr>
        <w:t xml:space="preserve"> </w:t>
      </w:r>
      <w:r w:rsidRPr="002742BE">
        <w:rPr>
          <w:rFonts w:ascii="Arial" w:hAnsi="Arial" w:cs="Arial"/>
          <w:b w:val="0"/>
          <w:sz w:val="22"/>
          <w:szCs w:val="22"/>
          <w:lang w:val="en-AU"/>
        </w:rPr>
        <w:t xml:space="preserve">reported in patients valid for safety analysis in the </w:t>
      </w:r>
      <w:r w:rsidR="001C212A">
        <w:rPr>
          <w:rFonts w:ascii="Arial" w:hAnsi="Arial" w:cs="Arial"/>
          <w:b w:val="0"/>
          <w:sz w:val="22"/>
          <w:szCs w:val="22"/>
          <w:lang w:val="en-AU"/>
        </w:rPr>
        <w:t>three</w:t>
      </w:r>
      <w:r w:rsidR="001C212A" w:rsidRPr="002742BE">
        <w:rPr>
          <w:rFonts w:ascii="Arial" w:hAnsi="Arial" w:cs="Arial"/>
          <w:b w:val="0"/>
          <w:sz w:val="22"/>
          <w:szCs w:val="22"/>
          <w:lang w:val="en-AU"/>
        </w:rPr>
        <w:t xml:space="preserve"> </w:t>
      </w:r>
      <w:r w:rsidRPr="002742BE">
        <w:rPr>
          <w:rFonts w:ascii="Arial" w:hAnsi="Arial" w:cs="Arial"/>
          <w:b w:val="0"/>
          <w:sz w:val="22"/>
          <w:szCs w:val="22"/>
          <w:lang w:val="en-AU"/>
        </w:rPr>
        <w:t>Phase III studies for DVT</w:t>
      </w:r>
      <w:r w:rsidR="001C212A">
        <w:rPr>
          <w:rFonts w:ascii="Arial" w:hAnsi="Arial" w:cs="Arial"/>
          <w:b w:val="0"/>
          <w:sz w:val="22"/>
          <w:szCs w:val="22"/>
          <w:lang w:val="en-AU"/>
        </w:rPr>
        <w:t xml:space="preserve"> or PE</w:t>
      </w:r>
      <w:r w:rsidRPr="002742BE">
        <w:rPr>
          <w:rFonts w:ascii="Arial" w:hAnsi="Arial" w:cs="Arial"/>
          <w:b w:val="0"/>
          <w:sz w:val="22"/>
          <w:szCs w:val="22"/>
          <w:lang w:val="en-AU"/>
        </w:rPr>
        <w:t xml:space="preserve"> treatment and prevention of recurrent VTE are presented in</w:t>
      </w:r>
      <w:r w:rsidR="00986740" w:rsidRPr="002742BE">
        <w:rPr>
          <w:rFonts w:ascii="Arial" w:hAnsi="Arial" w:cs="Arial"/>
          <w:b w:val="0"/>
          <w:sz w:val="22"/>
          <w:szCs w:val="22"/>
          <w:lang w:val="en-AU"/>
        </w:rPr>
        <w:t xml:space="preserve"> </w:t>
      </w:r>
      <w:fldSimple w:instr=" REF _Ref321240135  \* MERGEFORMAT ">
        <w:r w:rsidR="00A24B67" w:rsidRPr="00B15449">
          <w:rPr>
            <w:rFonts w:ascii="Arial" w:hAnsi="Arial" w:cs="Arial"/>
            <w:b w:val="0"/>
            <w:sz w:val="22"/>
            <w:szCs w:val="22"/>
            <w:lang w:val="en-AU"/>
          </w:rPr>
          <w:t xml:space="preserve">Table </w:t>
        </w:r>
        <w:r w:rsidR="00A24B67" w:rsidRPr="00B15449">
          <w:rPr>
            <w:rFonts w:ascii="Arial" w:hAnsi="Arial" w:cs="Arial"/>
            <w:b w:val="0"/>
            <w:noProof/>
            <w:sz w:val="22"/>
            <w:szCs w:val="22"/>
            <w:lang w:val="en-AU"/>
          </w:rPr>
          <w:t>16</w:t>
        </w:r>
      </w:fldSimple>
      <w:r w:rsidRPr="002742BE">
        <w:rPr>
          <w:rFonts w:ascii="Arial" w:hAnsi="Arial" w:cs="Arial"/>
          <w:b w:val="0"/>
          <w:sz w:val="22"/>
          <w:szCs w:val="22"/>
          <w:lang w:val="en-AU"/>
        </w:rPr>
        <w:t>.</w:t>
      </w:r>
    </w:p>
    <w:p w:rsidR="006668B0" w:rsidRPr="002742BE" w:rsidRDefault="006668B0" w:rsidP="006668B0">
      <w:pPr>
        <w:rPr>
          <w:lang w:val="en-AU"/>
        </w:rPr>
      </w:pPr>
    </w:p>
    <w:p w:rsidR="00707238" w:rsidRPr="002742BE" w:rsidRDefault="00F02D64" w:rsidP="00F04C47">
      <w:pPr>
        <w:pStyle w:val="Caption"/>
        <w:ind w:right="46"/>
        <w:rPr>
          <w:rFonts w:ascii="Arial" w:hAnsi="Arial" w:cs="Arial"/>
          <w:lang w:val="en-AU"/>
        </w:rPr>
      </w:pPr>
      <w:bookmarkStart w:id="26" w:name="_Ref286680211"/>
      <w:bookmarkStart w:id="27" w:name="_Ref286680686"/>
      <w:bookmarkStart w:id="28" w:name="_Ref318972091"/>
      <w:bookmarkStart w:id="29" w:name="_Ref321240135"/>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16</w:t>
      </w:r>
      <w:r w:rsidR="00794C79" w:rsidRPr="002742BE">
        <w:rPr>
          <w:rFonts w:ascii="Arial" w:hAnsi="Arial" w:cs="Arial"/>
          <w:lang w:val="en-AU"/>
        </w:rPr>
        <w:fldChar w:fldCharType="end"/>
      </w:r>
      <w:bookmarkEnd w:id="26"/>
      <w:bookmarkEnd w:id="27"/>
      <w:bookmarkEnd w:id="28"/>
      <w:bookmarkEnd w:id="29"/>
      <w:r w:rsidRPr="002742BE">
        <w:rPr>
          <w:rFonts w:ascii="Arial" w:hAnsi="Arial" w:cs="Arial"/>
          <w:lang w:val="en-AU"/>
        </w:rPr>
        <w:t xml:space="preserve">: Treatment-Emergent Adverse Reactions grouped by System Organ Class occurring in &gt; 1% of any treatment group – </w:t>
      </w:r>
      <w:r w:rsidR="00275104">
        <w:rPr>
          <w:rFonts w:ascii="Arial" w:hAnsi="Arial" w:cs="Arial"/>
          <w:lang w:val="en-AU"/>
        </w:rPr>
        <w:t xml:space="preserve">pooled </w:t>
      </w:r>
      <w:r w:rsidRPr="002742BE">
        <w:rPr>
          <w:rFonts w:ascii="Arial" w:hAnsi="Arial" w:cs="Arial"/>
          <w:lang w:val="en-AU"/>
        </w:rPr>
        <w:t xml:space="preserve">EINSTEIN-DVT </w:t>
      </w:r>
      <w:r w:rsidR="00275104">
        <w:rPr>
          <w:rFonts w:ascii="Arial" w:hAnsi="Arial" w:cs="Arial"/>
          <w:lang w:val="en-AU"/>
        </w:rPr>
        <w:t xml:space="preserve">and EINSTEIN-PE studies </w:t>
      </w:r>
      <w:r w:rsidRPr="002742BE">
        <w:rPr>
          <w:rFonts w:ascii="Arial" w:hAnsi="Arial" w:cs="Arial"/>
          <w:lang w:val="en-AU"/>
        </w:rPr>
        <w:t>(11702-DVT</w:t>
      </w:r>
      <w:r w:rsidR="00275104">
        <w:rPr>
          <w:rFonts w:ascii="Arial" w:hAnsi="Arial" w:cs="Arial"/>
          <w:lang w:val="en-AU"/>
        </w:rPr>
        <w:t xml:space="preserve"> and 11702-PE</w:t>
      </w:r>
      <w:r w:rsidRPr="002742BE">
        <w:rPr>
          <w:rFonts w:ascii="Arial" w:hAnsi="Arial" w:cs="Arial"/>
          <w:lang w:val="en-AU"/>
        </w:rPr>
        <w:t>) and EINSTEIN-Extension (11899) (patients valid for safety analysis)</w:t>
      </w:r>
    </w:p>
    <w:p w:rsidR="009D41A6" w:rsidRPr="002742BE" w:rsidRDefault="009D41A6" w:rsidP="00F04C47">
      <w:pPr>
        <w:ind w:right="46"/>
        <w:rPr>
          <w:lang w:val="en-AU"/>
        </w:rPr>
      </w:pPr>
    </w:p>
    <w:tbl>
      <w:tblPr>
        <w:tblW w:w="0" w:type="auto"/>
        <w:tblInd w:w="108" w:type="dxa"/>
        <w:tblLook w:val="01E0"/>
      </w:tblPr>
      <w:tblGrid>
        <w:gridCol w:w="2448"/>
        <w:gridCol w:w="1620"/>
        <w:gridCol w:w="1620"/>
        <w:gridCol w:w="1440"/>
        <w:gridCol w:w="1620"/>
      </w:tblGrid>
      <w:tr w:rsidR="00707238" w:rsidRPr="002742BE" w:rsidTr="00BF338F">
        <w:trPr>
          <w:tblHeader/>
        </w:trPr>
        <w:tc>
          <w:tcPr>
            <w:tcW w:w="2448" w:type="dxa"/>
            <w:tcBorders>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E6E6E6"/>
          </w:tcPr>
          <w:p w:rsidR="00707238" w:rsidRPr="00261231" w:rsidRDefault="008C60B1" w:rsidP="00F04C47">
            <w:pPr>
              <w:spacing w:before="60" w:after="60"/>
              <w:ind w:right="46"/>
              <w:jc w:val="center"/>
              <w:rPr>
                <w:rFonts w:ascii="Arial" w:hAnsi="Arial" w:cs="Arial"/>
                <w:b/>
                <w:sz w:val="18"/>
                <w:szCs w:val="18"/>
                <w:lang w:val="de-DE"/>
              </w:rPr>
            </w:pPr>
            <w:r w:rsidRPr="002A03C2">
              <w:rPr>
                <w:rFonts w:ascii="Arial" w:hAnsi="Arial" w:cs="Arial"/>
                <w:b/>
                <w:sz w:val="18"/>
                <w:szCs w:val="18"/>
                <w:lang w:val="de-DE"/>
              </w:rPr>
              <w:t>Pooled</w:t>
            </w:r>
            <w:r w:rsidRPr="00261231">
              <w:rPr>
                <w:rFonts w:ascii="Arial" w:hAnsi="Arial" w:cs="Arial"/>
                <w:b/>
                <w:sz w:val="18"/>
                <w:szCs w:val="18"/>
                <w:lang w:val="de-DE"/>
              </w:rPr>
              <w:t xml:space="preserve"> </w:t>
            </w:r>
            <w:r w:rsidR="00707238" w:rsidRPr="00261231">
              <w:rPr>
                <w:rFonts w:ascii="Arial" w:hAnsi="Arial" w:cs="Arial"/>
                <w:b/>
                <w:sz w:val="18"/>
                <w:szCs w:val="18"/>
                <w:lang w:val="de-DE"/>
              </w:rPr>
              <w:t>EINSTEIN-DVT</w:t>
            </w:r>
            <w:r w:rsidRPr="00261231">
              <w:rPr>
                <w:rFonts w:ascii="Arial" w:hAnsi="Arial" w:cs="Arial"/>
                <w:b/>
                <w:sz w:val="18"/>
                <w:szCs w:val="18"/>
                <w:lang w:val="de-DE"/>
              </w:rPr>
              <w:t xml:space="preserve"> </w:t>
            </w:r>
            <w:r w:rsidRPr="002A03C2">
              <w:rPr>
                <w:rFonts w:ascii="Arial" w:hAnsi="Arial" w:cs="Arial"/>
                <w:b/>
                <w:sz w:val="18"/>
                <w:szCs w:val="18"/>
                <w:lang w:val="de-DE"/>
              </w:rPr>
              <w:t>and</w:t>
            </w:r>
            <w:r w:rsidRPr="00261231">
              <w:rPr>
                <w:rFonts w:ascii="Arial" w:hAnsi="Arial" w:cs="Arial"/>
                <w:b/>
                <w:sz w:val="18"/>
                <w:szCs w:val="18"/>
                <w:lang w:val="de-DE"/>
              </w:rPr>
              <w:t xml:space="preserve"> EINSTEIN-PE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6E6E6"/>
          </w:tcPr>
          <w:p w:rsidR="00707238" w:rsidRPr="002742BE" w:rsidRDefault="00707238" w:rsidP="00F04C47">
            <w:pPr>
              <w:spacing w:before="60" w:after="60"/>
              <w:ind w:right="46"/>
              <w:jc w:val="center"/>
              <w:rPr>
                <w:rFonts w:ascii="Arial" w:hAnsi="Arial" w:cs="Arial"/>
                <w:b/>
                <w:sz w:val="18"/>
                <w:szCs w:val="18"/>
                <w:lang w:val="en-AU"/>
              </w:rPr>
            </w:pPr>
            <w:r w:rsidRPr="002742BE">
              <w:rPr>
                <w:rFonts w:ascii="Arial" w:hAnsi="Arial" w:cs="Arial"/>
                <w:b/>
                <w:sz w:val="18"/>
                <w:szCs w:val="18"/>
                <w:lang w:val="en-AU"/>
              </w:rPr>
              <w:t>EINSTEIN-Extension</w:t>
            </w:r>
          </w:p>
        </w:tc>
      </w:tr>
      <w:tr w:rsidR="006F23B8" w:rsidRPr="002742BE" w:rsidTr="00BF338F">
        <w:trPr>
          <w:trHeight w:val="417"/>
          <w:tblHeader/>
        </w:trPr>
        <w:tc>
          <w:tcPr>
            <w:tcW w:w="2448" w:type="dxa"/>
            <w:vMerge w:val="restart"/>
            <w:tcBorders>
              <w:top w:val="single" w:sz="4" w:space="0" w:color="auto"/>
              <w:left w:val="single" w:sz="4" w:space="0" w:color="auto"/>
              <w:right w:val="single" w:sz="4" w:space="0" w:color="auto"/>
            </w:tcBorders>
            <w:shd w:val="clear" w:color="auto" w:fill="E6E6E6"/>
          </w:tcPr>
          <w:p w:rsidR="006F23B8" w:rsidRPr="002742BE" w:rsidRDefault="006F23B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bCs/>
                <w:sz w:val="18"/>
                <w:szCs w:val="18"/>
                <w:lang w:val="en-AU"/>
              </w:rPr>
              <w:t>System Organ Class /PT MedDRA</w:t>
            </w:r>
          </w:p>
        </w:tc>
        <w:tc>
          <w:tcPr>
            <w:tcW w:w="1620" w:type="dxa"/>
            <w:tcBorders>
              <w:top w:val="single" w:sz="4" w:space="0" w:color="auto"/>
              <w:left w:val="single" w:sz="4" w:space="0" w:color="auto"/>
              <w:right w:val="single" w:sz="4" w:space="0" w:color="auto"/>
            </w:tcBorders>
            <w:shd w:val="clear" w:color="auto" w:fill="E6E6E6"/>
          </w:tcPr>
          <w:p w:rsidR="006F23B8" w:rsidRPr="002742BE" w:rsidRDefault="006F23B8" w:rsidP="00F04C47">
            <w:pPr>
              <w:spacing w:before="60"/>
              <w:ind w:right="46"/>
              <w:jc w:val="center"/>
              <w:rPr>
                <w:rFonts w:ascii="Arial" w:hAnsi="Arial" w:cs="Arial"/>
                <w:b/>
                <w:sz w:val="18"/>
                <w:szCs w:val="18"/>
                <w:lang w:val="en-AU"/>
              </w:rPr>
            </w:pPr>
            <w:r w:rsidRPr="002742BE">
              <w:rPr>
                <w:rFonts w:ascii="Arial" w:hAnsi="Arial" w:cs="Arial"/>
                <w:b/>
                <w:sz w:val="18"/>
                <w:szCs w:val="18"/>
                <w:lang w:val="en-AU"/>
              </w:rPr>
              <w:t>XARELTO</w:t>
            </w:r>
          </w:p>
          <w:p w:rsidR="006F23B8" w:rsidRPr="002742BE" w:rsidRDefault="006F23B8" w:rsidP="00F04C47">
            <w:pPr>
              <w:autoSpaceDE w:val="0"/>
              <w:autoSpaceDN w:val="0"/>
              <w:adjustRightInd w:val="0"/>
              <w:spacing w:before="60"/>
              <w:ind w:right="46"/>
              <w:jc w:val="center"/>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E6E6E6"/>
          </w:tcPr>
          <w:p w:rsidR="006F23B8" w:rsidRPr="002742BE" w:rsidRDefault="006F23B8" w:rsidP="00F04C47">
            <w:pPr>
              <w:autoSpaceDE w:val="0"/>
              <w:autoSpaceDN w:val="0"/>
              <w:adjustRightInd w:val="0"/>
              <w:spacing w:before="60"/>
              <w:ind w:right="46"/>
              <w:jc w:val="center"/>
              <w:rPr>
                <w:rFonts w:ascii="Arial" w:hAnsi="Arial" w:cs="Arial"/>
                <w:b/>
                <w:bCs/>
                <w:sz w:val="18"/>
                <w:szCs w:val="18"/>
                <w:lang w:val="en-AU"/>
              </w:rPr>
            </w:pPr>
            <w:r w:rsidRPr="002742BE">
              <w:rPr>
                <w:rFonts w:ascii="Arial" w:hAnsi="Arial" w:cs="Arial"/>
                <w:b/>
                <w:sz w:val="18"/>
                <w:szCs w:val="18"/>
                <w:lang w:val="en-AU"/>
              </w:rPr>
              <w:t>ENOXAPARIN /VKA</w:t>
            </w:r>
          </w:p>
        </w:tc>
        <w:tc>
          <w:tcPr>
            <w:tcW w:w="1440" w:type="dxa"/>
            <w:tcBorders>
              <w:top w:val="single" w:sz="4" w:space="0" w:color="auto"/>
              <w:left w:val="single" w:sz="4" w:space="0" w:color="auto"/>
              <w:right w:val="single" w:sz="4" w:space="0" w:color="auto"/>
            </w:tcBorders>
            <w:shd w:val="clear" w:color="auto" w:fill="E6E6E6"/>
          </w:tcPr>
          <w:p w:rsidR="006F23B8" w:rsidRPr="002742BE" w:rsidRDefault="006F23B8" w:rsidP="00F04C47">
            <w:pPr>
              <w:spacing w:before="60"/>
              <w:ind w:right="46"/>
              <w:jc w:val="center"/>
              <w:rPr>
                <w:rFonts w:ascii="Arial" w:hAnsi="Arial" w:cs="Arial"/>
                <w:b/>
                <w:sz w:val="18"/>
                <w:szCs w:val="18"/>
                <w:lang w:val="en-AU"/>
              </w:rPr>
            </w:pPr>
            <w:r w:rsidRPr="002742BE">
              <w:rPr>
                <w:rFonts w:ascii="Arial" w:hAnsi="Arial" w:cs="Arial"/>
                <w:b/>
                <w:sz w:val="18"/>
                <w:szCs w:val="18"/>
                <w:lang w:val="en-AU"/>
              </w:rPr>
              <w:t>XARELTO</w:t>
            </w:r>
          </w:p>
          <w:p w:rsidR="006F23B8" w:rsidRPr="002742BE" w:rsidRDefault="006F23B8" w:rsidP="00F04C47">
            <w:pPr>
              <w:autoSpaceDE w:val="0"/>
              <w:autoSpaceDN w:val="0"/>
              <w:adjustRightInd w:val="0"/>
              <w:spacing w:before="60"/>
              <w:ind w:right="46"/>
              <w:jc w:val="center"/>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E6E6E6"/>
          </w:tcPr>
          <w:p w:rsidR="006F23B8" w:rsidRPr="002742BE" w:rsidRDefault="006F23B8" w:rsidP="00F04C47">
            <w:pPr>
              <w:spacing w:before="60"/>
              <w:ind w:right="46"/>
              <w:jc w:val="center"/>
              <w:rPr>
                <w:rFonts w:ascii="Arial" w:hAnsi="Arial" w:cs="Arial"/>
                <w:b/>
                <w:sz w:val="18"/>
                <w:szCs w:val="18"/>
                <w:lang w:val="en-AU"/>
              </w:rPr>
            </w:pPr>
            <w:r w:rsidRPr="002742BE">
              <w:rPr>
                <w:rFonts w:ascii="Arial" w:hAnsi="Arial" w:cs="Arial"/>
                <w:b/>
                <w:sz w:val="18"/>
                <w:szCs w:val="18"/>
                <w:lang w:val="en-AU"/>
              </w:rPr>
              <w:t>Placebo</w:t>
            </w:r>
          </w:p>
          <w:p w:rsidR="006F23B8" w:rsidRPr="002742BE" w:rsidRDefault="006F23B8" w:rsidP="00F04C47">
            <w:pPr>
              <w:autoSpaceDE w:val="0"/>
              <w:autoSpaceDN w:val="0"/>
              <w:adjustRightInd w:val="0"/>
              <w:spacing w:before="60"/>
              <w:ind w:right="46"/>
              <w:jc w:val="center"/>
              <w:rPr>
                <w:rFonts w:ascii="Arial" w:hAnsi="Arial" w:cs="Arial"/>
                <w:b/>
                <w:bCs/>
                <w:sz w:val="18"/>
                <w:szCs w:val="18"/>
                <w:lang w:val="en-AU"/>
              </w:rPr>
            </w:pPr>
          </w:p>
        </w:tc>
      </w:tr>
      <w:tr w:rsidR="006F23B8" w:rsidRPr="002742BE" w:rsidTr="00BF338F">
        <w:trPr>
          <w:tblHeader/>
        </w:trPr>
        <w:tc>
          <w:tcPr>
            <w:tcW w:w="2448" w:type="dxa"/>
            <w:vMerge/>
            <w:tcBorders>
              <w:left w:val="single" w:sz="4" w:space="0" w:color="auto"/>
              <w:bottom w:val="single" w:sz="4" w:space="0" w:color="auto"/>
              <w:right w:val="single" w:sz="4" w:space="0" w:color="auto"/>
            </w:tcBorders>
            <w:shd w:val="clear" w:color="auto" w:fill="auto"/>
          </w:tcPr>
          <w:p w:rsidR="006F23B8" w:rsidRPr="002742BE" w:rsidRDefault="006F23B8" w:rsidP="00F04C47">
            <w:pPr>
              <w:autoSpaceDE w:val="0"/>
              <w:autoSpaceDN w:val="0"/>
              <w:adjustRightInd w:val="0"/>
              <w:spacing w:before="60" w:after="60"/>
              <w:ind w:right="46"/>
              <w:rPr>
                <w:rFonts w:ascii="Arial" w:hAnsi="Arial" w:cs="Arial"/>
                <w:b/>
                <w:bCs/>
                <w:sz w:val="18"/>
                <w:szCs w:val="18"/>
                <w:lang w:val="en-AU"/>
              </w:rPr>
            </w:pPr>
          </w:p>
        </w:tc>
        <w:tc>
          <w:tcPr>
            <w:tcW w:w="1620" w:type="dxa"/>
            <w:tcBorders>
              <w:left w:val="single" w:sz="4" w:space="0" w:color="auto"/>
              <w:bottom w:val="single" w:sz="4" w:space="0" w:color="auto"/>
              <w:right w:val="single" w:sz="4" w:space="0" w:color="auto"/>
            </w:tcBorders>
            <w:shd w:val="clear" w:color="auto" w:fill="E6E6E6"/>
          </w:tcPr>
          <w:p w:rsidR="006F23B8" w:rsidRPr="002742BE" w:rsidRDefault="006F23B8" w:rsidP="00F04C47">
            <w:pPr>
              <w:autoSpaceDE w:val="0"/>
              <w:autoSpaceDN w:val="0"/>
              <w:adjustRightInd w:val="0"/>
              <w:spacing w:before="60" w:after="60"/>
              <w:ind w:right="46"/>
              <w:jc w:val="center"/>
              <w:rPr>
                <w:rFonts w:ascii="Arial" w:hAnsi="Arial" w:cs="Arial"/>
                <w:b/>
                <w:bCs/>
                <w:sz w:val="18"/>
                <w:szCs w:val="18"/>
                <w:lang w:val="en-AU"/>
              </w:rPr>
            </w:pPr>
            <w:r w:rsidRPr="002742BE">
              <w:rPr>
                <w:rFonts w:ascii="Arial" w:hAnsi="Arial" w:cs="Arial"/>
                <w:b/>
                <w:bCs/>
                <w:sz w:val="18"/>
                <w:szCs w:val="18"/>
                <w:lang w:val="en-AU"/>
              </w:rPr>
              <w:t xml:space="preserve">(N = </w:t>
            </w:r>
            <w:r w:rsidR="00241A54">
              <w:rPr>
                <w:rFonts w:ascii="Arial" w:hAnsi="Arial" w:cs="Arial"/>
                <w:b/>
                <w:bCs/>
                <w:sz w:val="18"/>
                <w:szCs w:val="18"/>
                <w:lang w:val="en-AU"/>
              </w:rPr>
              <w:t>4130</w:t>
            </w:r>
            <w:r w:rsidRPr="002742BE">
              <w:rPr>
                <w:rFonts w:ascii="Arial" w:hAnsi="Arial" w:cs="Arial"/>
                <w:b/>
                <w:bCs/>
                <w:sz w:val="18"/>
                <w:szCs w:val="18"/>
                <w:lang w:val="en-AU"/>
              </w:rPr>
              <w:t>)</w:t>
            </w:r>
          </w:p>
          <w:p w:rsidR="006F23B8" w:rsidRPr="002742BE" w:rsidRDefault="006F23B8" w:rsidP="00F04C47">
            <w:pPr>
              <w:autoSpaceDE w:val="0"/>
              <w:autoSpaceDN w:val="0"/>
              <w:adjustRightInd w:val="0"/>
              <w:spacing w:before="60" w:after="60"/>
              <w:ind w:right="46"/>
              <w:jc w:val="center"/>
              <w:rPr>
                <w:rFonts w:ascii="Arial" w:hAnsi="Arial" w:cs="Arial"/>
                <w:b/>
                <w:bCs/>
                <w:sz w:val="18"/>
                <w:szCs w:val="18"/>
                <w:lang w:val="en-AU"/>
              </w:rPr>
            </w:pPr>
            <w:r w:rsidRPr="002742BE">
              <w:rPr>
                <w:rFonts w:ascii="Arial" w:hAnsi="Arial" w:cs="Arial"/>
                <w:b/>
                <w:bCs/>
                <w:sz w:val="18"/>
                <w:szCs w:val="18"/>
                <w:lang w:val="en-AU"/>
              </w:rPr>
              <w:t>n (%)</w:t>
            </w:r>
          </w:p>
        </w:tc>
        <w:tc>
          <w:tcPr>
            <w:tcW w:w="1620" w:type="dxa"/>
            <w:tcBorders>
              <w:left w:val="single" w:sz="4" w:space="0" w:color="auto"/>
              <w:bottom w:val="single" w:sz="4" w:space="0" w:color="auto"/>
              <w:right w:val="single" w:sz="4" w:space="0" w:color="auto"/>
            </w:tcBorders>
            <w:shd w:val="clear" w:color="auto" w:fill="E6E6E6"/>
          </w:tcPr>
          <w:p w:rsidR="006F23B8" w:rsidRPr="002742BE" w:rsidRDefault="006F23B8" w:rsidP="00F04C47">
            <w:pPr>
              <w:autoSpaceDE w:val="0"/>
              <w:autoSpaceDN w:val="0"/>
              <w:adjustRightInd w:val="0"/>
              <w:spacing w:before="60" w:after="60"/>
              <w:ind w:right="46"/>
              <w:jc w:val="center"/>
              <w:rPr>
                <w:rFonts w:ascii="Arial" w:hAnsi="Arial" w:cs="Arial"/>
                <w:b/>
                <w:bCs/>
                <w:sz w:val="18"/>
                <w:szCs w:val="18"/>
                <w:lang w:val="en-AU"/>
              </w:rPr>
            </w:pPr>
            <w:r w:rsidRPr="002742BE">
              <w:rPr>
                <w:rFonts w:ascii="Arial" w:hAnsi="Arial" w:cs="Arial"/>
                <w:b/>
                <w:bCs/>
                <w:sz w:val="18"/>
                <w:szCs w:val="18"/>
                <w:lang w:val="en-AU"/>
              </w:rPr>
              <w:t xml:space="preserve">(N = </w:t>
            </w:r>
            <w:r w:rsidR="00241A54">
              <w:rPr>
                <w:rFonts w:ascii="Arial" w:hAnsi="Arial" w:cs="Arial"/>
                <w:b/>
                <w:bCs/>
                <w:sz w:val="18"/>
                <w:szCs w:val="18"/>
                <w:lang w:val="en-AU"/>
              </w:rPr>
              <w:t>4116</w:t>
            </w:r>
            <w:r w:rsidRPr="002742BE">
              <w:rPr>
                <w:rFonts w:ascii="Arial" w:hAnsi="Arial" w:cs="Arial"/>
                <w:b/>
                <w:bCs/>
                <w:sz w:val="18"/>
                <w:szCs w:val="18"/>
                <w:lang w:val="en-AU"/>
              </w:rPr>
              <w:t>)</w:t>
            </w:r>
          </w:p>
          <w:p w:rsidR="006F23B8" w:rsidRPr="002742BE" w:rsidRDefault="006F23B8" w:rsidP="00F04C47">
            <w:pPr>
              <w:autoSpaceDE w:val="0"/>
              <w:autoSpaceDN w:val="0"/>
              <w:adjustRightInd w:val="0"/>
              <w:spacing w:before="60" w:after="60"/>
              <w:ind w:right="46"/>
              <w:jc w:val="center"/>
              <w:rPr>
                <w:rFonts w:ascii="Arial" w:hAnsi="Arial" w:cs="Arial"/>
                <w:b/>
                <w:bCs/>
                <w:sz w:val="18"/>
                <w:szCs w:val="18"/>
                <w:lang w:val="en-AU"/>
              </w:rPr>
            </w:pPr>
            <w:r w:rsidRPr="002742BE">
              <w:rPr>
                <w:rFonts w:ascii="Arial" w:hAnsi="Arial" w:cs="Arial"/>
                <w:b/>
                <w:bCs/>
                <w:sz w:val="18"/>
                <w:szCs w:val="18"/>
                <w:lang w:val="en-AU"/>
              </w:rPr>
              <w:t>n (%)</w:t>
            </w:r>
          </w:p>
        </w:tc>
        <w:tc>
          <w:tcPr>
            <w:tcW w:w="1440" w:type="dxa"/>
            <w:tcBorders>
              <w:left w:val="single" w:sz="4" w:space="0" w:color="auto"/>
              <w:bottom w:val="single" w:sz="4" w:space="0" w:color="auto"/>
              <w:right w:val="single" w:sz="4" w:space="0" w:color="auto"/>
            </w:tcBorders>
            <w:shd w:val="clear" w:color="auto" w:fill="E6E6E6"/>
          </w:tcPr>
          <w:p w:rsidR="006F23B8" w:rsidRPr="002742BE" w:rsidRDefault="006F23B8" w:rsidP="00F04C47">
            <w:pPr>
              <w:autoSpaceDE w:val="0"/>
              <w:autoSpaceDN w:val="0"/>
              <w:adjustRightInd w:val="0"/>
              <w:spacing w:before="60" w:after="60"/>
              <w:ind w:right="46"/>
              <w:jc w:val="center"/>
              <w:rPr>
                <w:rFonts w:ascii="Arial" w:hAnsi="Arial" w:cs="Arial"/>
                <w:b/>
                <w:bCs/>
                <w:sz w:val="18"/>
                <w:szCs w:val="18"/>
                <w:lang w:val="en-AU"/>
              </w:rPr>
            </w:pPr>
            <w:r w:rsidRPr="002742BE">
              <w:rPr>
                <w:rFonts w:ascii="Arial" w:hAnsi="Arial" w:cs="Arial"/>
                <w:b/>
                <w:bCs/>
                <w:sz w:val="18"/>
                <w:szCs w:val="18"/>
                <w:lang w:val="en-AU"/>
              </w:rPr>
              <w:t>(N = 598)</w:t>
            </w:r>
          </w:p>
          <w:p w:rsidR="006F23B8" w:rsidRPr="002742BE" w:rsidRDefault="006F23B8" w:rsidP="00F04C47">
            <w:pPr>
              <w:autoSpaceDE w:val="0"/>
              <w:autoSpaceDN w:val="0"/>
              <w:adjustRightInd w:val="0"/>
              <w:spacing w:before="60" w:after="60"/>
              <w:ind w:right="46"/>
              <w:jc w:val="center"/>
              <w:rPr>
                <w:rFonts w:ascii="Arial" w:hAnsi="Arial" w:cs="Arial"/>
                <w:b/>
                <w:bCs/>
                <w:sz w:val="18"/>
                <w:szCs w:val="18"/>
                <w:lang w:val="en-AU"/>
              </w:rPr>
            </w:pPr>
            <w:r w:rsidRPr="002742BE">
              <w:rPr>
                <w:rFonts w:ascii="Arial" w:hAnsi="Arial" w:cs="Arial"/>
                <w:b/>
                <w:bCs/>
                <w:sz w:val="18"/>
                <w:szCs w:val="18"/>
                <w:lang w:val="en-AU"/>
              </w:rPr>
              <w:t>n (%)</w:t>
            </w:r>
          </w:p>
        </w:tc>
        <w:tc>
          <w:tcPr>
            <w:tcW w:w="1620" w:type="dxa"/>
            <w:tcBorders>
              <w:left w:val="single" w:sz="4" w:space="0" w:color="auto"/>
              <w:bottom w:val="single" w:sz="4" w:space="0" w:color="auto"/>
              <w:right w:val="single" w:sz="4" w:space="0" w:color="auto"/>
            </w:tcBorders>
            <w:shd w:val="clear" w:color="auto" w:fill="E6E6E6"/>
          </w:tcPr>
          <w:p w:rsidR="006F23B8" w:rsidRPr="002742BE" w:rsidRDefault="006F23B8" w:rsidP="00F04C47">
            <w:pPr>
              <w:autoSpaceDE w:val="0"/>
              <w:autoSpaceDN w:val="0"/>
              <w:adjustRightInd w:val="0"/>
              <w:spacing w:before="60" w:after="60"/>
              <w:ind w:right="46"/>
              <w:jc w:val="center"/>
              <w:rPr>
                <w:rFonts w:ascii="Arial" w:hAnsi="Arial" w:cs="Arial"/>
                <w:b/>
                <w:bCs/>
                <w:sz w:val="18"/>
                <w:szCs w:val="18"/>
                <w:lang w:val="en-AU"/>
              </w:rPr>
            </w:pPr>
            <w:r w:rsidRPr="002742BE">
              <w:rPr>
                <w:rFonts w:ascii="Arial" w:hAnsi="Arial" w:cs="Arial"/>
                <w:b/>
                <w:bCs/>
                <w:sz w:val="18"/>
                <w:szCs w:val="18"/>
                <w:lang w:val="en-AU"/>
              </w:rPr>
              <w:t>(N = 590)</w:t>
            </w:r>
          </w:p>
          <w:p w:rsidR="006F23B8" w:rsidRPr="002742BE" w:rsidRDefault="006F23B8" w:rsidP="00F04C47">
            <w:pPr>
              <w:autoSpaceDE w:val="0"/>
              <w:autoSpaceDN w:val="0"/>
              <w:adjustRightInd w:val="0"/>
              <w:spacing w:before="60" w:after="60"/>
              <w:ind w:right="46"/>
              <w:jc w:val="center"/>
              <w:rPr>
                <w:rFonts w:ascii="Arial" w:hAnsi="Arial" w:cs="Arial"/>
                <w:b/>
                <w:bCs/>
                <w:sz w:val="18"/>
                <w:szCs w:val="18"/>
                <w:lang w:val="en-AU"/>
              </w:rPr>
            </w:pPr>
            <w:r w:rsidRPr="002742BE">
              <w:rPr>
                <w:rFonts w:ascii="Arial" w:hAnsi="Arial" w:cs="Arial"/>
                <w:b/>
                <w:bCs/>
                <w:sz w:val="18"/>
                <w:szCs w:val="18"/>
                <w:lang w:val="en-AU"/>
              </w:rPr>
              <w:t>n(%)</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bCs/>
                <w:sz w:val="18"/>
                <w:szCs w:val="18"/>
                <w:lang w:val="en-AU"/>
              </w:rPr>
              <w:t>Blood and lymphatic system disorders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r>
      <w:tr w:rsidR="00707238" w:rsidRPr="002742BE" w:rsidTr="00B9544A">
        <w:trPr>
          <w:trHeight w:val="425"/>
        </w:trPr>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sz w:val="18"/>
                <w:szCs w:val="18"/>
                <w:lang w:val="en-AU"/>
              </w:rPr>
              <w:t xml:space="preserve">Anaemia </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61231"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84 (2.03%)</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61231"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62 (1.51%)</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4 (0.67%)</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 (0.34%)</w:t>
            </w:r>
          </w:p>
        </w:tc>
      </w:tr>
      <w:tr w:rsidR="00261231" w:rsidRPr="002742BE" w:rsidTr="00BF338F">
        <w:tc>
          <w:tcPr>
            <w:tcW w:w="2448" w:type="dxa"/>
            <w:tcBorders>
              <w:top w:val="single" w:sz="4" w:space="0" w:color="auto"/>
              <w:left w:val="single" w:sz="4" w:space="0" w:color="auto"/>
              <w:right w:val="single" w:sz="4" w:space="0" w:color="auto"/>
            </w:tcBorders>
            <w:shd w:val="clear" w:color="auto" w:fill="auto"/>
          </w:tcPr>
          <w:p w:rsidR="00261231" w:rsidRDefault="00261231" w:rsidP="00F04C47">
            <w:pPr>
              <w:autoSpaceDE w:val="0"/>
              <w:autoSpaceDN w:val="0"/>
              <w:adjustRightInd w:val="0"/>
              <w:spacing w:before="60" w:after="60"/>
              <w:ind w:right="46"/>
              <w:rPr>
                <w:rFonts w:ascii="Arial" w:hAnsi="Arial" w:cs="Arial"/>
                <w:b/>
                <w:bCs/>
                <w:sz w:val="18"/>
                <w:szCs w:val="18"/>
                <w:lang w:val="en-AU"/>
              </w:rPr>
            </w:pPr>
            <w:r>
              <w:rPr>
                <w:rFonts w:ascii="Arial" w:hAnsi="Arial" w:cs="Arial"/>
                <w:b/>
                <w:bCs/>
                <w:sz w:val="18"/>
                <w:szCs w:val="18"/>
                <w:lang w:val="en-AU"/>
              </w:rPr>
              <w:t>Cardiac disorder</w:t>
            </w:r>
          </w:p>
          <w:p w:rsidR="00261231" w:rsidRPr="00261231" w:rsidRDefault="00261231" w:rsidP="00F04C47">
            <w:pPr>
              <w:autoSpaceDE w:val="0"/>
              <w:autoSpaceDN w:val="0"/>
              <w:adjustRightInd w:val="0"/>
              <w:spacing w:before="60" w:after="60"/>
              <w:ind w:right="46"/>
              <w:rPr>
                <w:rFonts w:ascii="Arial" w:hAnsi="Arial" w:cs="Arial"/>
                <w:bCs/>
                <w:sz w:val="18"/>
                <w:szCs w:val="18"/>
                <w:lang w:val="en-AU"/>
              </w:rPr>
            </w:pPr>
            <w:r w:rsidRPr="00261231">
              <w:rPr>
                <w:rFonts w:ascii="Arial" w:hAnsi="Arial" w:cs="Arial"/>
                <w:bCs/>
                <w:sz w:val="18"/>
                <w:szCs w:val="18"/>
                <w:lang w:val="en-AU"/>
              </w:rPr>
              <w:t>Tachycardia</w:t>
            </w:r>
          </w:p>
        </w:tc>
        <w:tc>
          <w:tcPr>
            <w:tcW w:w="1620" w:type="dxa"/>
            <w:tcBorders>
              <w:top w:val="single" w:sz="4" w:space="0" w:color="auto"/>
              <w:left w:val="single" w:sz="4" w:space="0" w:color="auto"/>
              <w:right w:val="single" w:sz="4" w:space="0" w:color="auto"/>
            </w:tcBorders>
            <w:shd w:val="clear" w:color="auto" w:fill="auto"/>
          </w:tcPr>
          <w:p w:rsidR="00261231" w:rsidRPr="00261231" w:rsidRDefault="00261231" w:rsidP="00261231">
            <w:pPr>
              <w:autoSpaceDE w:val="0"/>
              <w:autoSpaceDN w:val="0"/>
              <w:adjustRightInd w:val="0"/>
              <w:spacing w:before="60" w:after="60"/>
              <w:ind w:right="46"/>
              <w:jc w:val="center"/>
              <w:rPr>
                <w:rFonts w:ascii="Arial" w:hAnsi="Arial" w:cs="Arial"/>
                <w:bCs/>
                <w:sz w:val="18"/>
                <w:szCs w:val="18"/>
                <w:lang w:val="en-AU"/>
              </w:rPr>
            </w:pPr>
          </w:p>
          <w:p w:rsidR="00261231" w:rsidRPr="00261231" w:rsidRDefault="00261231" w:rsidP="00261231">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55 (1.33%)</w:t>
            </w:r>
          </w:p>
        </w:tc>
        <w:tc>
          <w:tcPr>
            <w:tcW w:w="1620" w:type="dxa"/>
            <w:tcBorders>
              <w:top w:val="single" w:sz="4" w:space="0" w:color="auto"/>
              <w:left w:val="single" w:sz="4" w:space="0" w:color="auto"/>
              <w:right w:val="single" w:sz="4" w:space="0" w:color="auto"/>
            </w:tcBorders>
            <w:shd w:val="clear" w:color="auto" w:fill="auto"/>
          </w:tcPr>
          <w:p w:rsidR="00261231" w:rsidRPr="00261231" w:rsidRDefault="00261231" w:rsidP="00261231">
            <w:pPr>
              <w:autoSpaceDE w:val="0"/>
              <w:autoSpaceDN w:val="0"/>
              <w:adjustRightInd w:val="0"/>
              <w:spacing w:before="60" w:after="60"/>
              <w:ind w:right="46"/>
              <w:jc w:val="center"/>
              <w:rPr>
                <w:rFonts w:ascii="Arial" w:hAnsi="Arial" w:cs="Arial"/>
                <w:bCs/>
                <w:sz w:val="18"/>
                <w:szCs w:val="18"/>
                <w:lang w:val="en-AU"/>
              </w:rPr>
            </w:pPr>
          </w:p>
          <w:p w:rsidR="00261231" w:rsidRPr="00261231" w:rsidRDefault="00261231" w:rsidP="00261231">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43 (1.04%)</w:t>
            </w:r>
          </w:p>
        </w:tc>
        <w:tc>
          <w:tcPr>
            <w:tcW w:w="1440" w:type="dxa"/>
            <w:tcBorders>
              <w:top w:val="single" w:sz="4" w:space="0" w:color="auto"/>
              <w:left w:val="single" w:sz="4" w:space="0" w:color="auto"/>
              <w:right w:val="single" w:sz="4" w:space="0" w:color="auto"/>
            </w:tcBorders>
            <w:shd w:val="clear" w:color="auto" w:fill="auto"/>
          </w:tcPr>
          <w:p w:rsidR="00261231" w:rsidRPr="00261231" w:rsidRDefault="00261231" w:rsidP="00261231">
            <w:pPr>
              <w:autoSpaceDE w:val="0"/>
              <w:autoSpaceDN w:val="0"/>
              <w:adjustRightInd w:val="0"/>
              <w:spacing w:before="60" w:after="60"/>
              <w:ind w:right="46"/>
              <w:jc w:val="center"/>
              <w:rPr>
                <w:rFonts w:ascii="Arial" w:hAnsi="Arial" w:cs="Arial"/>
                <w:bCs/>
                <w:sz w:val="18"/>
                <w:szCs w:val="18"/>
                <w:lang w:val="en-AU"/>
              </w:rPr>
            </w:pPr>
          </w:p>
          <w:p w:rsidR="00261231" w:rsidRPr="00261231" w:rsidRDefault="00261231" w:rsidP="00261231">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2 (0.33%)</w:t>
            </w:r>
          </w:p>
        </w:tc>
        <w:tc>
          <w:tcPr>
            <w:tcW w:w="1620" w:type="dxa"/>
            <w:tcBorders>
              <w:top w:val="single" w:sz="4" w:space="0" w:color="auto"/>
              <w:left w:val="single" w:sz="4" w:space="0" w:color="auto"/>
              <w:right w:val="single" w:sz="4" w:space="0" w:color="auto"/>
            </w:tcBorders>
            <w:shd w:val="clear" w:color="auto" w:fill="auto"/>
          </w:tcPr>
          <w:p w:rsidR="00261231" w:rsidRPr="00261231" w:rsidRDefault="00261231" w:rsidP="00261231">
            <w:pPr>
              <w:autoSpaceDE w:val="0"/>
              <w:autoSpaceDN w:val="0"/>
              <w:adjustRightInd w:val="0"/>
              <w:spacing w:before="60" w:after="60"/>
              <w:ind w:right="46"/>
              <w:jc w:val="center"/>
              <w:rPr>
                <w:rFonts w:ascii="Arial" w:hAnsi="Arial" w:cs="Arial"/>
                <w:bCs/>
                <w:sz w:val="18"/>
                <w:szCs w:val="18"/>
                <w:lang w:val="en-AU"/>
              </w:rPr>
            </w:pPr>
          </w:p>
          <w:p w:rsidR="00261231" w:rsidRPr="00261231" w:rsidRDefault="00261231" w:rsidP="00261231">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0</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bCs/>
                <w:sz w:val="18"/>
                <w:szCs w:val="18"/>
                <w:lang w:val="en-AU"/>
              </w:rPr>
              <w:t>Eye disorders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r>
      <w:tr w:rsidR="00707238" w:rsidRPr="002742BE" w:rsidTr="00B9544A">
        <w:trPr>
          <w:trHeight w:val="462"/>
        </w:trPr>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Cs/>
                <w:sz w:val="18"/>
                <w:szCs w:val="18"/>
                <w:lang w:val="en-AU"/>
              </w:rPr>
              <w:t>Conjunctival haemorrhage</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12 (0.70%)</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21 (1.23%)</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6 (1.00%)</w:t>
            </w:r>
          </w:p>
        </w:tc>
        <w:tc>
          <w:tcPr>
            <w:tcW w:w="1620" w:type="dxa"/>
            <w:tcBorders>
              <w:left w:val="single" w:sz="4" w:space="0" w:color="auto"/>
              <w:bottom w:val="single" w:sz="4" w:space="0" w:color="auto"/>
              <w:right w:val="single" w:sz="4" w:space="0" w:color="auto"/>
            </w:tcBorders>
            <w:shd w:val="clear" w:color="auto" w:fill="auto"/>
          </w:tcPr>
          <w:p w:rsidR="00AC202B" w:rsidRPr="002742BE" w:rsidRDefault="00707238" w:rsidP="00995D2E">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 xml:space="preserve">0 </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bCs/>
                <w:sz w:val="18"/>
                <w:szCs w:val="18"/>
                <w:lang w:val="en-AU"/>
              </w:rPr>
              <w:t>Gastrointestinal disorders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sz w:val="18"/>
                <w:szCs w:val="18"/>
                <w:lang w:val="en-AU"/>
              </w:rPr>
              <w:t>Gingival bleeding</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93 (2.25%)</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104 (2.53%)</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11 (1.84%)</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 (0.34%)</w:t>
            </w:r>
          </w:p>
        </w:tc>
      </w:tr>
      <w:tr w:rsidR="00707238" w:rsidRPr="002742BE" w:rsidTr="00A26555">
        <w:tc>
          <w:tcPr>
            <w:tcW w:w="2448"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sz w:val="18"/>
                <w:szCs w:val="18"/>
                <w:lang w:val="en-AU"/>
              </w:rPr>
            </w:pPr>
            <w:r w:rsidRPr="002742BE">
              <w:rPr>
                <w:rFonts w:ascii="Arial" w:hAnsi="Arial" w:cs="Arial"/>
                <w:sz w:val="18"/>
                <w:szCs w:val="18"/>
                <w:lang w:val="en-AU"/>
              </w:rPr>
              <w:t>Rectal h</w:t>
            </w:r>
            <w:r w:rsidR="00735E7F">
              <w:rPr>
                <w:rFonts w:ascii="Arial" w:hAnsi="Arial" w:cs="Arial"/>
                <w:sz w:val="18"/>
                <w:szCs w:val="18"/>
                <w:lang w:val="en-AU"/>
              </w:rPr>
              <w:t>a</w:t>
            </w:r>
            <w:r w:rsidRPr="002742BE">
              <w:rPr>
                <w:rFonts w:ascii="Arial" w:hAnsi="Arial" w:cs="Arial"/>
                <w:sz w:val="18"/>
                <w:szCs w:val="18"/>
                <w:lang w:val="en-AU"/>
              </w:rPr>
              <w:t>emorrhage</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90 (2.18%)</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56 (1.36%)</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4 (0.67%)</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4 (0.68%)</w:t>
            </w:r>
          </w:p>
        </w:tc>
      </w:tr>
      <w:tr w:rsidR="00707238" w:rsidRPr="002742BE" w:rsidTr="00A26555">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sz w:val="18"/>
                <w:szCs w:val="18"/>
                <w:lang w:val="en-AU"/>
              </w:rPr>
              <w:t>Abdominal pain</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69 (1.67%)</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53 (1.29%)</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 (0.33%)</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7 (1.19%)</w:t>
            </w:r>
          </w:p>
        </w:tc>
      </w:tr>
      <w:tr w:rsidR="00707238" w:rsidRPr="002742BE" w:rsidTr="00A26555">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sz w:val="18"/>
                <w:szCs w:val="18"/>
                <w:lang w:val="en-AU"/>
              </w:rPr>
            </w:pPr>
            <w:r w:rsidRPr="002742BE">
              <w:rPr>
                <w:rFonts w:ascii="Arial" w:hAnsi="Arial" w:cs="Arial"/>
                <w:sz w:val="18"/>
                <w:szCs w:val="18"/>
                <w:lang w:val="en-AU"/>
              </w:rPr>
              <w:t xml:space="preserve">Abdominal pain upper </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71 (1.72%)</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50 (1.21%)</w:t>
            </w: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10 (1.67%)</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 (0.17%)</w:t>
            </w: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sz w:val="18"/>
                <w:szCs w:val="18"/>
                <w:lang w:val="en-AU"/>
              </w:rPr>
              <w:t xml:space="preserve">Constipation </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187 (4.53%)</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174 (4.23%)</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6 (1.00%)</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5 (0.85%)</w:t>
            </w: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sz w:val="18"/>
                <w:szCs w:val="18"/>
                <w:lang w:val="en-AU"/>
              </w:rPr>
              <w:t>Diarrh</w:t>
            </w:r>
            <w:r w:rsidR="00735E7F">
              <w:rPr>
                <w:rFonts w:ascii="Arial" w:hAnsi="Arial" w:cs="Arial"/>
                <w:sz w:val="18"/>
                <w:szCs w:val="18"/>
                <w:lang w:val="en-AU"/>
              </w:rPr>
              <w:t>o</w:t>
            </w:r>
            <w:r w:rsidRPr="002742BE">
              <w:rPr>
                <w:rFonts w:ascii="Arial" w:hAnsi="Arial" w:cs="Arial"/>
                <w:sz w:val="18"/>
                <w:szCs w:val="18"/>
                <w:lang w:val="en-AU"/>
              </w:rPr>
              <w:t>ea</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179 (4.33%)</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164 (3.98%)</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7 (1.17%)</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8 (1.36%)</w:t>
            </w: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sz w:val="18"/>
                <w:szCs w:val="18"/>
                <w:lang w:val="en-AU"/>
              </w:rPr>
              <w:t>Dyspepsia</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60 (1.45%)</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54 (1.31%)</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8 (1.34%)</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4 (0.68%)</w:t>
            </w: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sz w:val="18"/>
                <w:szCs w:val="18"/>
                <w:lang w:val="en-AU"/>
              </w:rPr>
              <w:t>Nausea</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153 (3.70%)</w:t>
            </w:r>
          </w:p>
        </w:tc>
        <w:tc>
          <w:tcPr>
            <w:tcW w:w="1620" w:type="dxa"/>
            <w:tcBorders>
              <w:left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160 (3.89%)</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7 (1.17%)</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6 (1.02%)</w:t>
            </w:r>
          </w:p>
        </w:tc>
      </w:tr>
      <w:tr w:rsidR="00707238" w:rsidRPr="002742BE" w:rsidTr="00BF338F">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sz w:val="18"/>
                <w:szCs w:val="18"/>
                <w:lang w:val="en-AU"/>
              </w:rPr>
            </w:pPr>
            <w:r w:rsidRPr="002742BE">
              <w:rPr>
                <w:rFonts w:ascii="Arial" w:hAnsi="Arial" w:cs="Arial"/>
                <w:sz w:val="18"/>
                <w:szCs w:val="18"/>
                <w:lang w:val="en-AU"/>
              </w:rPr>
              <w:t>Vomiting</w:t>
            </w:r>
          </w:p>
          <w:p w:rsidR="00436BFF" w:rsidRPr="002742BE" w:rsidRDefault="00436BFF" w:rsidP="00F04C47">
            <w:pPr>
              <w:autoSpaceDE w:val="0"/>
              <w:autoSpaceDN w:val="0"/>
              <w:adjustRightInd w:val="0"/>
              <w:spacing w:before="60" w:after="60"/>
              <w:ind w:right="46"/>
              <w:rPr>
                <w:rFonts w:ascii="Arial" w:hAnsi="Arial" w:cs="Arial"/>
                <w:b/>
                <w:bCs/>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69 (1.67%)</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630E5F"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96 (2.33%)</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3 (0.50%)</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6 (1.02%)</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sz w:val="18"/>
                <w:szCs w:val="18"/>
                <w:lang w:val="en-AU"/>
              </w:rPr>
              <w:t>General disorders and administration site conditions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sz w:val="18"/>
                <w:szCs w:val="18"/>
                <w:lang w:val="en-AU"/>
              </w:rPr>
            </w:pPr>
            <w:r w:rsidRPr="002742BE">
              <w:rPr>
                <w:rFonts w:ascii="Arial" w:hAnsi="Arial" w:cs="Arial"/>
                <w:sz w:val="18"/>
                <w:szCs w:val="18"/>
                <w:lang w:val="en-AU"/>
              </w:rPr>
              <w:t>Pyrexia</w:t>
            </w:r>
          </w:p>
        </w:tc>
        <w:tc>
          <w:tcPr>
            <w:tcW w:w="1620" w:type="dxa"/>
            <w:tcBorders>
              <w:left w:val="single" w:sz="4" w:space="0" w:color="auto"/>
              <w:right w:val="single" w:sz="4" w:space="0" w:color="auto"/>
            </w:tcBorders>
            <w:shd w:val="clear" w:color="auto" w:fill="auto"/>
          </w:tcPr>
          <w:p w:rsidR="00707238" w:rsidRPr="002742BE" w:rsidRDefault="007F411E"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111 (2.69%)</w:t>
            </w:r>
          </w:p>
        </w:tc>
        <w:tc>
          <w:tcPr>
            <w:tcW w:w="1620" w:type="dxa"/>
            <w:tcBorders>
              <w:left w:val="single" w:sz="4" w:space="0" w:color="auto"/>
              <w:right w:val="single" w:sz="4" w:space="0" w:color="auto"/>
            </w:tcBorders>
            <w:shd w:val="clear" w:color="auto" w:fill="auto"/>
          </w:tcPr>
          <w:p w:rsidR="00707238" w:rsidRPr="002742BE" w:rsidRDefault="007F411E"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108 (2.62%)</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5 (0.84%)</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7 (1.19%)</w:t>
            </w:r>
          </w:p>
        </w:tc>
      </w:tr>
      <w:tr w:rsidR="00707238" w:rsidRPr="002742BE" w:rsidTr="00BF338F">
        <w:tc>
          <w:tcPr>
            <w:tcW w:w="2448" w:type="dxa"/>
            <w:tcBorders>
              <w:left w:val="single" w:sz="4" w:space="0" w:color="auto"/>
              <w:right w:val="single" w:sz="4" w:space="0" w:color="auto"/>
            </w:tcBorders>
            <w:shd w:val="clear" w:color="auto" w:fill="auto"/>
          </w:tcPr>
          <w:p w:rsidR="00707238" w:rsidRDefault="00707238" w:rsidP="00F04C47">
            <w:pPr>
              <w:spacing w:before="60" w:after="60"/>
              <w:ind w:right="46"/>
              <w:rPr>
                <w:rFonts w:ascii="Arial" w:hAnsi="Arial" w:cs="Arial"/>
                <w:sz w:val="18"/>
                <w:szCs w:val="18"/>
                <w:lang w:val="en-AU"/>
              </w:rPr>
            </w:pPr>
            <w:r w:rsidRPr="002742BE">
              <w:rPr>
                <w:rFonts w:ascii="Arial" w:hAnsi="Arial" w:cs="Arial"/>
                <w:sz w:val="18"/>
                <w:szCs w:val="18"/>
                <w:lang w:val="en-AU"/>
              </w:rPr>
              <w:t xml:space="preserve">Oedema peripheral </w:t>
            </w:r>
          </w:p>
          <w:p w:rsidR="007F411E" w:rsidRPr="002742BE" w:rsidRDefault="007F411E" w:rsidP="00F04C47">
            <w:pPr>
              <w:spacing w:before="60" w:after="60"/>
              <w:ind w:right="46"/>
              <w:rPr>
                <w:rFonts w:ascii="Arial" w:hAnsi="Arial" w:cs="Arial"/>
                <w:sz w:val="18"/>
                <w:szCs w:val="18"/>
                <w:lang w:val="en-AU"/>
              </w:rPr>
            </w:pPr>
            <w:r>
              <w:rPr>
                <w:rFonts w:ascii="Arial" w:hAnsi="Arial" w:cs="Arial"/>
                <w:sz w:val="18"/>
                <w:szCs w:val="18"/>
                <w:lang w:val="en-AU"/>
              </w:rPr>
              <w:t>Asthenia</w:t>
            </w:r>
          </w:p>
        </w:tc>
        <w:tc>
          <w:tcPr>
            <w:tcW w:w="1620" w:type="dxa"/>
            <w:tcBorders>
              <w:left w:val="single" w:sz="4" w:space="0" w:color="auto"/>
              <w:right w:val="single" w:sz="4" w:space="0" w:color="auto"/>
            </w:tcBorders>
            <w:shd w:val="clear" w:color="auto" w:fill="auto"/>
          </w:tcPr>
          <w:p w:rsidR="00707238" w:rsidRDefault="007F411E"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128 (3.10%)</w:t>
            </w:r>
          </w:p>
          <w:p w:rsidR="007F411E" w:rsidRPr="002742BE" w:rsidRDefault="007F411E"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61 (1.48%)</w:t>
            </w:r>
          </w:p>
        </w:tc>
        <w:tc>
          <w:tcPr>
            <w:tcW w:w="1620" w:type="dxa"/>
            <w:tcBorders>
              <w:left w:val="single" w:sz="4" w:space="0" w:color="auto"/>
              <w:right w:val="single" w:sz="4" w:space="0" w:color="auto"/>
            </w:tcBorders>
            <w:shd w:val="clear" w:color="auto" w:fill="auto"/>
          </w:tcPr>
          <w:p w:rsidR="00707238" w:rsidRDefault="007F411E"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135 (3.28%)</w:t>
            </w:r>
          </w:p>
          <w:p w:rsidR="007F411E" w:rsidRPr="002742BE" w:rsidRDefault="007F411E"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60 (1.46%)</w:t>
            </w:r>
          </w:p>
        </w:tc>
        <w:tc>
          <w:tcPr>
            <w:tcW w:w="1440" w:type="dxa"/>
            <w:tcBorders>
              <w:left w:val="single" w:sz="4" w:space="0" w:color="auto"/>
              <w:right w:val="single" w:sz="4" w:space="0" w:color="auto"/>
            </w:tcBorders>
            <w:shd w:val="clear" w:color="auto" w:fill="auto"/>
          </w:tcPr>
          <w:p w:rsidR="00707238"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13 (2.17%)</w:t>
            </w:r>
          </w:p>
          <w:p w:rsidR="007F411E" w:rsidRPr="002742BE" w:rsidRDefault="007F411E"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4 (0.67%)</w:t>
            </w:r>
          </w:p>
        </w:tc>
        <w:tc>
          <w:tcPr>
            <w:tcW w:w="1620" w:type="dxa"/>
            <w:tcBorders>
              <w:left w:val="single" w:sz="4" w:space="0" w:color="auto"/>
              <w:right w:val="single" w:sz="4" w:space="0" w:color="auto"/>
            </w:tcBorders>
            <w:shd w:val="clear" w:color="auto" w:fill="auto"/>
          </w:tcPr>
          <w:p w:rsidR="00707238"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17 (2.88%)</w:t>
            </w:r>
          </w:p>
          <w:p w:rsidR="007F411E" w:rsidRPr="002742BE" w:rsidRDefault="007F411E"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6 (1.02%)</w:t>
            </w:r>
          </w:p>
        </w:tc>
      </w:tr>
      <w:tr w:rsidR="00707238" w:rsidRPr="002742BE" w:rsidTr="00BF338F">
        <w:tc>
          <w:tcPr>
            <w:tcW w:w="2448" w:type="dxa"/>
            <w:tcBorders>
              <w:left w:val="single" w:sz="4" w:space="0" w:color="auto"/>
              <w:bottom w:val="single" w:sz="4" w:space="0" w:color="auto"/>
              <w:right w:val="single" w:sz="4" w:space="0" w:color="auto"/>
            </w:tcBorders>
            <w:shd w:val="clear" w:color="auto" w:fill="auto"/>
          </w:tcPr>
          <w:p w:rsidR="00436BFF" w:rsidRPr="002742BE" w:rsidRDefault="00707238" w:rsidP="00F04C47">
            <w:pPr>
              <w:spacing w:before="60" w:after="60"/>
              <w:ind w:right="46"/>
              <w:rPr>
                <w:rFonts w:ascii="Arial" w:hAnsi="Arial" w:cs="Arial"/>
                <w:sz w:val="18"/>
                <w:szCs w:val="18"/>
                <w:lang w:val="en-AU"/>
              </w:rPr>
            </w:pPr>
            <w:r w:rsidRPr="002742BE">
              <w:rPr>
                <w:rFonts w:ascii="Arial" w:hAnsi="Arial" w:cs="Arial"/>
                <w:sz w:val="18"/>
                <w:szCs w:val="18"/>
                <w:lang w:val="en-AU"/>
              </w:rPr>
              <w:t>Fatigue</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127DE5"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90 (2.18%)</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127DE5"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68 (1.65%)</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6 (1.00%)</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3 (0.51%)</w:t>
            </w:r>
          </w:p>
          <w:p w:rsidR="005949A1" w:rsidRPr="002742BE" w:rsidRDefault="005949A1" w:rsidP="00F04C47">
            <w:pPr>
              <w:autoSpaceDE w:val="0"/>
              <w:autoSpaceDN w:val="0"/>
              <w:adjustRightInd w:val="0"/>
              <w:spacing w:before="60" w:after="60"/>
              <w:ind w:right="46"/>
              <w:jc w:val="center"/>
              <w:rPr>
                <w:rFonts w:ascii="Arial" w:hAnsi="Arial" w:cs="Arial"/>
                <w:bCs/>
                <w:sz w:val="18"/>
                <w:szCs w:val="18"/>
                <w:lang w:val="en-AU"/>
              </w:rPr>
            </w:pP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sz w:val="18"/>
                <w:szCs w:val="18"/>
                <w:lang w:val="en-AU"/>
              </w:rPr>
              <w:t>Injury, poisoning and postprocedural complications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217FC2">
            <w:pPr>
              <w:autoSpaceDE w:val="0"/>
              <w:autoSpaceDN w:val="0"/>
              <w:adjustRightInd w:val="0"/>
              <w:spacing w:before="60" w:after="60"/>
              <w:ind w:right="45"/>
              <w:rPr>
                <w:rFonts w:ascii="Arial" w:hAnsi="Arial" w:cs="Arial"/>
                <w:b/>
                <w:bCs/>
                <w:sz w:val="18"/>
                <w:szCs w:val="18"/>
                <w:lang w:val="en-AU"/>
              </w:rPr>
            </w:pPr>
            <w:r w:rsidRPr="002742BE">
              <w:rPr>
                <w:rFonts w:ascii="Arial" w:hAnsi="Arial" w:cs="Arial"/>
                <w:sz w:val="18"/>
                <w:szCs w:val="18"/>
                <w:lang w:val="en-AU"/>
              </w:rPr>
              <w:t>Wound haemorrhage</w:t>
            </w:r>
          </w:p>
        </w:tc>
        <w:tc>
          <w:tcPr>
            <w:tcW w:w="1620" w:type="dxa"/>
            <w:tcBorders>
              <w:left w:val="single" w:sz="4" w:space="0" w:color="auto"/>
              <w:right w:val="single" w:sz="4" w:space="0" w:color="auto"/>
            </w:tcBorders>
            <w:shd w:val="clear" w:color="auto" w:fill="auto"/>
          </w:tcPr>
          <w:p w:rsidR="00707238" w:rsidRPr="002742BE" w:rsidRDefault="00241A54" w:rsidP="00217FC2">
            <w:pPr>
              <w:autoSpaceDE w:val="0"/>
              <w:autoSpaceDN w:val="0"/>
              <w:adjustRightInd w:val="0"/>
              <w:spacing w:before="60" w:after="60"/>
              <w:ind w:right="45"/>
              <w:jc w:val="center"/>
              <w:rPr>
                <w:rFonts w:ascii="Arial" w:hAnsi="Arial" w:cs="Arial"/>
                <w:bCs/>
                <w:sz w:val="18"/>
                <w:szCs w:val="18"/>
                <w:lang w:val="en-AU"/>
              </w:rPr>
            </w:pPr>
            <w:r>
              <w:rPr>
                <w:rFonts w:ascii="Arial" w:hAnsi="Arial" w:cs="Arial"/>
                <w:bCs/>
                <w:sz w:val="18"/>
                <w:szCs w:val="18"/>
                <w:lang w:val="en-AU"/>
              </w:rPr>
              <w:t>59 (1.43%)</w:t>
            </w:r>
          </w:p>
        </w:tc>
        <w:tc>
          <w:tcPr>
            <w:tcW w:w="1620" w:type="dxa"/>
            <w:tcBorders>
              <w:left w:val="single" w:sz="4" w:space="0" w:color="auto"/>
              <w:right w:val="single" w:sz="4" w:space="0" w:color="auto"/>
            </w:tcBorders>
            <w:shd w:val="clear" w:color="auto" w:fill="auto"/>
          </w:tcPr>
          <w:p w:rsidR="00707238" w:rsidRPr="002742BE" w:rsidRDefault="00241A54" w:rsidP="00217FC2">
            <w:pPr>
              <w:autoSpaceDE w:val="0"/>
              <w:autoSpaceDN w:val="0"/>
              <w:adjustRightInd w:val="0"/>
              <w:spacing w:before="60" w:after="60"/>
              <w:ind w:right="45"/>
              <w:jc w:val="center"/>
              <w:rPr>
                <w:rFonts w:ascii="Arial" w:hAnsi="Arial" w:cs="Arial"/>
                <w:bCs/>
                <w:sz w:val="18"/>
                <w:szCs w:val="18"/>
                <w:lang w:val="en-AU"/>
              </w:rPr>
            </w:pPr>
            <w:r>
              <w:rPr>
                <w:rFonts w:ascii="Arial" w:hAnsi="Arial" w:cs="Arial"/>
                <w:bCs/>
                <w:sz w:val="18"/>
                <w:szCs w:val="18"/>
                <w:lang w:val="en-AU"/>
              </w:rPr>
              <w:t>65 (1.58%)</w:t>
            </w:r>
          </w:p>
        </w:tc>
        <w:tc>
          <w:tcPr>
            <w:tcW w:w="1440" w:type="dxa"/>
            <w:tcBorders>
              <w:left w:val="single" w:sz="4" w:space="0" w:color="auto"/>
              <w:right w:val="single" w:sz="4" w:space="0" w:color="auto"/>
            </w:tcBorders>
            <w:shd w:val="clear" w:color="auto" w:fill="auto"/>
          </w:tcPr>
          <w:p w:rsidR="00707238" w:rsidRPr="002742BE" w:rsidRDefault="00707238" w:rsidP="00217FC2">
            <w:pPr>
              <w:autoSpaceDE w:val="0"/>
              <w:autoSpaceDN w:val="0"/>
              <w:adjustRightInd w:val="0"/>
              <w:spacing w:before="60" w:after="60"/>
              <w:ind w:right="45"/>
              <w:jc w:val="center"/>
              <w:rPr>
                <w:rFonts w:ascii="Arial" w:hAnsi="Arial" w:cs="Arial"/>
                <w:bCs/>
                <w:sz w:val="18"/>
                <w:szCs w:val="18"/>
                <w:lang w:val="en-AU"/>
              </w:rPr>
            </w:pPr>
            <w:r w:rsidRPr="002742BE">
              <w:rPr>
                <w:rFonts w:ascii="Arial" w:hAnsi="Arial" w:cs="Arial"/>
                <w:bCs/>
                <w:sz w:val="18"/>
                <w:szCs w:val="18"/>
                <w:lang w:val="en-AU"/>
              </w:rPr>
              <w:t>11 (1.84%)</w:t>
            </w:r>
          </w:p>
        </w:tc>
        <w:tc>
          <w:tcPr>
            <w:tcW w:w="1620" w:type="dxa"/>
            <w:tcBorders>
              <w:left w:val="single" w:sz="4" w:space="0" w:color="auto"/>
              <w:right w:val="single" w:sz="4" w:space="0" w:color="auto"/>
            </w:tcBorders>
            <w:shd w:val="clear" w:color="auto" w:fill="auto"/>
          </w:tcPr>
          <w:p w:rsidR="00707238" w:rsidRPr="002742BE" w:rsidRDefault="00707238" w:rsidP="00217FC2">
            <w:pPr>
              <w:autoSpaceDE w:val="0"/>
              <w:autoSpaceDN w:val="0"/>
              <w:adjustRightInd w:val="0"/>
              <w:spacing w:before="60" w:after="60"/>
              <w:ind w:right="45"/>
              <w:jc w:val="center"/>
              <w:rPr>
                <w:rFonts w:ascii="Arial" w:hAnsi="Arial" w:cs="Arial"/>
                <w:bCs/>
                <w:sz w:val="18"/>
                <w:szCs w:val="18"/>
                <w:lang w:val="en-AU"/>
              </w:rPr>
            </w:pPr>
            <w:r w:rsidRPr="002742BE">
              <w:rPr>
                <w:rFonts w:ascii="Arial" w:hAnsi="Arial" w:cs="Arial"/>
                <w:bCs/>
                <w:sz w:val="18"/>
                <w:szCs w:val="18"/>
                <w:lang w:val="en-AU"/>
              </w:rPr>
              <w:t>7 (1.19 %)</w:t>
            </w:r>
          </w:p>
        </w:tc>
      </w:tr>
      <w:tr w:rsidR="00707238" w:rsidRPr="002742BE" w:rsidTr="00B9544A">
        <w:trPr>
          <w:trHeight w:val="440"/>
        </w:trPr>
        <w:tc>
          <w:tcPr>
            <w:tcW w:w="2448" w:type="dxa"/>
            <w:tcBorders>
              <w:left w:val="single" w:sz="4" w:space="0" w:color="auto"/>
              <w:bottom w:val="single" w:sz="4" w:space="0" w:color="auto"/>
              <w:right w:val="single" w:sz="4" w:space="0" w:color="auto"/>
            </w:tcBorders>
            <w:shd w:val="clear" w:color="auto" w:fill="auto"/>
          </w:tcPr>
          <w:p w:rsidR="00707238" w:rsidRDefault="00707238" w:rsidP="00217FC2">
            <w:pPr>
              <w:autoSpaceDE w:val="0"/>
              <w:autoSpaceDN w:val="0"/>
              <w:adjustRightInd w:val="0"/>
              <w:spacing w:before="60" w:after="60"/>
              <w:ind w:right="45"/>
              <w:rPr>
                <w:rFonts w:ascii="Arial" w:hAnsi="Arial" w:cs="Arial"/>
                <w:sz w:val="18"/>
                <w:szCs w:val="18"/>
                <w:lang w:val="en-AU"/>
              </w:rPr>
            </w:pPr>
            <w:r w:rsidRPr="002742BE">
              <w:rPr>
                <w:rFonts w:ascii="Arial" w:hAnsi="Arial" w:cs="Arial"/>
                <w:sz w:val="18"/>
                <w:szCs w:val="18"/>
                <w:lang w:val="en-AU"/>
              </w:rPr>
              <w:t>Contusion</w:t>
            </w:r>
          </w:p>
          <w:p w:rsidR="00241A54" w:rsidRPr="002742BE" w:rsidRDefault="00241A54" w:rsidP="00217FC2">
            <w:pPr>
              <w:autoSpaceDE w:val="0"/>
              <w:autoSpaceDN w:val="0"/>
              <w:adjustRightInd w:val="0"/>
              <w:spacing w:before="60" w:after="60"/>
              <w:ind w:right="45"/>
              <w:rPr>
                <w:rFonts w:ascii="Arial" w:hAnsi="Arial" w:cs="Arial"/>
                <w:b/>
                <w:bCs/>
                <w:sz w:val="18"/>
                <w:szCs w:val="18"/>
                <w:lang w:val="en-AU"/>
              </w:rPr>
            </w:pPr>
            <w:r>
              <w:rPr>
                <w:rFonts w:ascii="Arial" w:hAnsi="Arial" w:cs="Arial"/>
                <w:sz w:val="18"/>
                <w:szCs w:val="18"/>
                <w:lang w:val="en-AU"/>
              </w:rPr>
              <w:t>Subcutaneous haematoma</w:t>
            </w:r>
          </w:p>
        </w:tc>
        <w:tc>
          <w:tcPr>
            <w:tcW w:w="1620" w:type="dxa"/>
            <w:tcBorders>
              <w:left w:val="single" w:sz="4" w:space="0" w:color="auto"/>
              <w:bottom w:val="single" w:sz="4" w:space="0" w:color="auto"/>
              <w:right w:val="single" w:sz="4" w:space="0" w:color="auto"/>
            </w:tcBorders>
            <w:shd w:val="clear" w:color="auto" w:fill="auto"/>
          </w:tcPr>
          <w:p w:rsidR="00707238" w:rsidRDefault="00241A54" w:rsidP="00217FC2">
            <w:pPr>
              <w:autoSpaceDE w:val="0"/>
              <w:autoSpaceDN w:val="0"/>
              <w:adjustRightInd w:val="0"/>
              <w:spacing w:before="60" w:after="60"/>
              <w:ind w:right="45"/>
              <w:jc w:val="center"/>
              <w:rPr>
                <w:rFonts w:ascii="Arial" w:hAnsi="Arial" w:cs="Arial"/>
                <w:bCs/>
                <w:sz w:val="18"/>
                <w:szCs w:val="18"/>
                <w:lang w:val="en-AU"/>
              </w:rPr>
            </w:pPr>
            <w:r>
              <w:rPr>
                <w:rFonts w:ascii="Arial" w:hAnsi="Arial" w:cs="Arial"/>
                <w:bCs/>
                <w:sz w:val="18"/>
                <w:szCs w:val="18"/>
                <w:lang w:val="en-AU"/>
              </w:rPr>
              <w:t>145 (3.51%)</w:t>
            </w:r>
          </w:p>
          <w:p w:rsidR="00241A54" w:rsidRPr="002742BE" w:rsidRDefault="00241A54" w:rsidP="00217FC2">
            <w:pPr>
              <w:autoSpaceDE w:val="0"/>
              <w:autoSpaceDN w:val="0"/>
              <w:adjustRightInd w:val="0"/>
              <w:spacing w:before="60" w:after="60"/>
              <w:ind w:right="45"/>
              <w:jc w:val="center"/>
              <w:rPr>
                <w:rFonts w:ascii="Arial" w:hAnsi="Arial" w:cs="Arial"/>
                <w:bCs/>
                <w:sz w:val="18"/>
                <w:szCs w:val="18"/>
                <w:lang w:val="en-AU"/>
              </w:rPr>
            </w:pPr>
            <w:r>
              <w:rPr>
                <w:rFonts w:ascii="Arial" w:hAnsi="Arial" w:cs="Arial"/>
                <w:bCs/>
                <w:sz w:val="18"/>
                <w:szCs w:val="18"/>
                <w:lang w:val="en-AU"/>
              </w:rPr>
              <w:t>44 (1.07%)</w:t>
            </w:r>
          </w:p>
        </w:tc>
        <w:tc>
          <w:tcPr>
            <w:tcW w:w="1620" w:type="dxa"/>
            <w:tcBorders>
              <w:left w:val="single" w:sz="4" w:space="0" w:color="auto"/>
              <w:bottom w:val="single" w:sz="4" w:space="0" w:color="auto"/>
              <w:right w:val="single" w:sz="4" w:space="0" w:color="auto"/>
            </w:tcBorders>
            <w:shd w:val="clear" w:color="auto" w:fill="auto"/>
          </w:tcPr>
          <w:p w:rsidR="00707238" w:rsidRDefault="00241A54" w:rsidP="00217FC2">
            <w:pPr>
              <w:autoSpaceDE w:val="0"/>
              <w:autoSpaceDN w:val="0"/>
              <w:adjustRightInd w:val="0"/>
              <w:spacing w:before="60" w:after="60"/>
              <w:ind w:right="45"/>
              <w:jc w:val="center"/>
              <w:rPr>
                <w:rFonts w:ascii="Arial" w:hAnsi="Arial" w:cs="Arial"/>
                <w:bCs/>
                <w:sz w:val="18"/>
                <w:szCs w:val="18"/>
                <w:lang w:val="en-AU"/>
              </w:rPr>
            </w:pPr>
            <w:r>
              <w:rPr>
                <w:rFonts w:ascii="Arial" w:hAnsi="Arial" w:cs="Arial"/>
                <w:bCs/>
                <w:sz w:val="18"/>
                <w:szCs w:val="18"/>
                <w:lang w:val="en-AU"/>
              </w:rPr>
              <w:t>197 (4.79%)</w:t>
            </w:r>
          </w:p>
          <w:p w:rsidR="00241A54" w:rsidRPr="002742BE" w:rsidRDefault="00241A54" w:rsidP="00217FC2">
            <w:pPr>
              <w:autoSpaceDE w:val="0"/>
              <w:autoSpaceDN w:val="0"/>
              <w:adjustRightInd w:val="0"/>
              <w:spacing w:before="60" w:after="60"/>
              <w:ind w:right="45"/>
              <w:jc w:val="center"/>
              <w:rPr>
                <w:rFonts w:ascii="Arial" w:hAnsi="Arial" w:cs="Arial"/>
                <w:bCs/>
                <w:sz w:val="18"/>
                <w:szCs w:val="18"/>
                <w:lang w:val="en-AU"/>
              </w:rPr>
            </w:pPr>
            <w:r>
              <w:rPr>
                <w:rFonts w:ascii="Arial" w:hAnsi="Arial" w:cs="Arial"/>
                <w:bCs/>
                <w:sz w:val="18"/>
                <w:szCs w:val="18"/>
                <w:lang w:val="en-AU"/>
              </w:rPr>
              <w:t>61 (1.48%)</w:t>
            </w:r>
          </w:p>
        </w:tc>
        <w:tc>
          <w:tcPr>
            <w:tcW w:w="1440" w:type="dxa"/>
            <w:tcBorders>
              <w:left w:val="single" w:sz="4" w:space="0" w:color="auto"/>
              <w:bottom w:val="single" w:sz="4" w:space="0" w:color="auto"/>
              <w:right w:val="single" w:sz="4" w:space="0" w:color="auto"/>
            </w:tcBorders>
            <w:shd w:val="clear" w:color="auto" w:fill="auto"/>
          </w:tcPr>
          <w:p w:rsidR="00707238" w:rsidRDefault="00707238" w:rsidP="00217FC2">
            <w:pPr>
              <w:autoSpaceDE w:val="0"/>
              <w:autoSpaceDN w:val="0"/>
              <w:adjustRightInd w:val="0"/>
              <w:spacing w:before="60" w:after="60"/>
              <w:ind w:right="45"/>
              <w:jc w:val="center"/>
              <w:rPr>
                <w:rFonts w:ascii="Arial" w:hAnsi="Arial" w:cs="Arial"/>
                <w:bCs/>
                <w:sz w:val="18"/>
                <w:szCs w:val="18"/>
                <w:lang w:val="en-AU"/>
              </w:rPr>
            </w:pPr>
            <w:r w:rsidRPr="002742BE">
              <w:rPr>
                <w:rFonts w:ascii="Arial" w:hAnsi="Arial" w:cs="Arial"/>
                <w:bCs/>
                <w:sz w:val="18"/>
                <w:szCs w:val="18"/>
                <w:lang w:val="en-AU"/>
              </w:rPr>
              <w:t>19 (3.18%)</w:t>
            </w:r>
          </w:p>
          <w:p w:rsidR="00241A54" w:rsidRPr="002742BE" w:rsidRDefault="00241A54" w:rsidP="00217FC2">
            <w:pPr>
              <w:autoSpaceDE w:val="0"/>
              <w:autoSpaceDN w:val="0"/>
              <w:adjustRightInd w:val="0"/>
              <w:spacing w:before="60" w:after="60"/>
              <w:ind w:right="45"/>
              <w:jc w:val="center"/>
              <w:rPr>
                <w:rFonts w:ascii="Arial" w:hAnsi="Arial" w:cs="Arial"/>
                <w:bCs/>
                <w:sz w:val="18"/>
                <w:szCs w:val="18"/>
                <w:lang w:val="en-AU"/>
              </w:rPr>
            </w:pPr>
            <w:r>
              <w:rPr>
                <w:rFonts w:ascii="Arial" w:hAnsi="Arial" w:cs="Arial"/>
                <w:bCs/>
                <w:sz w:val="18"/>
                <w:szCs w:val="18"/>
                <w:lang w:val="en-AU"/>
              </w:rPr>
              <w:t>0</w:t>
            </w:r>
          </w:p>
        </w:tc>
        <w:tc>
          <w:tcPr>
            <w:tcW w:w="1620" w:type="dxa"/>
            <w:tcBorders>
              <w:left w:val="single" w:sz="4" w:space="0" w:color="auto"/>
              <w:bottom w:val="single" w:sz="4" w:space="0" w:color="auto"/>
              <w:right w:val="single" w:sz="4" w:space="0" w:color="auto"/>
            </w:tcBorders>
            <w:shd w:val="clear" w:color="auto" w:fill="auto"/>
          </w:tcPr>
          <w:p w:rsidR="005949A1" w:rsidRDefault="00707238" w:rsidP="00217FC2">
            <w:pPr>
              <w:autoSpaceDE w:val="0"/>
              <w:autoSpaceDN w:val="0"/>
              <w:adjustRightInd w:val="0"/>
              <w:spacing w:before="60" w:after="60"/>
              <w:ind w:right="45"/>
              <w:jc w:val="center"/>
              <w:rPr>
                <w:rFonts w:ascii="Arial" w:hAnsi="Arial" w:cs="Arial"/>
                <w:bCs/>
                <w:sz w:val="18"/>
                <w:szCs w:val="18"/>
                <w:lang w:val="en-AU"/>
              </w:rPr>
            </w:pPr>
            <w:r w:rsidRPr="002742BE">
              <w:rPr>
                <w:rFonts w:ascii="Arial" w:hAnsi="Arial" w:cs="Arial"/>
                <w:bCs/>
                <w:sz w:val="18"/>
                <w:szCs w:val="18"/>
                <w:lang w:val="en-AU"/>
              </w:rPr>
              <w:t>16 (2.71%)</w:t>
            </w:r>
          </w:p>
          <w:p w:rsidR="00241A54" w:rsidRPr="002742BE" w:rsidRDefault="00241A54" w:rsidP="00217FC2">
            <w:pPr>
              <w:autoSpaceDE w:val="0"/>
              <w:autoSpaceDN w:val="0"/>
              <w:adjustRightInd w:val="0"/>
              <w:spacing w:before="60" w:after="60"/>
              <w:ind w:right="45"/>
              <w:jc w:val="center"/>
              <w:rPr>
                <w:rFonts w:ascii="Arial" w:hAnsi="Arial" w:cs="Arial"/>
                <w:bCs/>
                <w:sz w:val="18"/>
                <w:szCs w:val="18"/>
                <w:lang w:val="en-AU"/>
              </w:rPr>
            </w:pPr>
            <w:r>
              <w:rPr>
                <w:rFonts w:ascii="Arial" w:hAnsi="Arial" w:cs="Arial"/>
                <w:bCs/>
                <w:sz w:val="18"/>
                <w:szCs w:val="18"/>
                <w:lang w:val="en-AU"/>
              </w:rPr>
              <w:t>2 (0.34%)</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bCs/>
                <w:sz w:val="18"/>
                <w:szCs w:val="18"/>
                <w:lang w:val="en-AU"/>
              </w:rPr>
              <w:t>Investigations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r>
      <w:tr w:rsidR="00707238" w:rsidRPr="002742BE" w:rsidTr="00BF338F">
        <w:tc>
          <w:tcPr>
            <w:tcW w:w="2448" w:type="dxa"/>
            <w:tcBorders>
              <w:left w:val="single" w:sz="4" w:space="0" w:color="auto"/>
              <w:bottom w:val="single" w:sz="4" w:space="0" w:color="auto"/>
              <w:right w:val="single" w:sz="4" w:space="0" w:color="auto"/>
            </w:tcBorders>
            <w:shd w:val="clear" w:color="auto" w:fill="auto"/>
          </w:tcPr>
          <w:p w:rsidR="00707238" w:rsidRDefault="00707238" w:rsidP="00F04C47">
            <w:pPr>
              <w:autoSpaceDE w:val="0"/>
              <w:autoSpaceDN w:val="0"/>
              <w:adjustRightInd w:val="0"/>
              <w:spacing w:before="60" w:after="60"/>
              <w:ind w:right="46"/>
              <w:rPr>
                <w:rFonts w:ascii="Arial" w:hAnsi="Arial" w:cs="Arial"/>
                <w:sz w:val="18"/>
                <w:szCs w:val="18"/>
                <w:lang w:val="en-AU"/>
              </w:rPr>
            </w:pPr>
            <w:r w:rsidRPr="002742BE">
              <w:rPr>
                <w:rFonts w:ascii="Arial" w:hAnsi="Arial" w:cs="Arial"/>
                <w:sz w:val="18"/>
                <w:szCs w:val="18"/>
                <w:lang w:val="en-AU"/>
              </w:rPr>
              <w:t>Alanine aminotransferase increased</w:t>
            </w:r>
          </w:p>
          <w:p w:rsidR="00C441F0" w:rsidRPr="002742BE" w:rsidRDefault="00C441F0" w:rsidP="00F04C47">
            <w:pPr>
              <w:autoSpaceDE w:val="0"/>
              <w:autoSpaceDN w:val="0"/>
              <w:adjustRightInd w:val="0"/>
              <w:spacing w:before="60" w:after="60"/>
              <w:ind w:right="46"/>
              <w:rPr>
                <w:rFonts w:ascii="Arial" w:hAnsi="Arial" w:cs="Arial"/>
                <w:sz w:val="18"/>
                <w:szCs w:val="18"/>
                <w:lang w:val="en-AU"/>
              </w:rPr>
            </w:pPr>
            <w:r>
              <w:rPr>
                <w:rFonts w:ascii="Arial" w:hAnsi="Arial" w:cs="Arial"/>
                <w:sz w:val="18"/>
                <w:szCs w:val="18"/>
                <w:lang w:val="en-AU"/>
              </w:rPr>
              <w:t>Aspartate aminotransferase increased</w:t>
            </w:r>
          </w:p>
          <w:p w:rsidR="00AC202B" w:rsidRPr="002742BE" w:rsidRDefault="00AC202B" w:rsidP="00F04C47">
            <w:pPr>
              <w:autoSpaceDE w:val="0"/>
              <w:autoSpaceDN w:val="0"/>
              <w:adjustRightInd w:val="0"/>
              <w:spacing w:before="60" w:after="60"/>
              <w:ind w:right="46"/>
              <w:rPr>
                <w:rFonts w:ascii="Arial" w:hAnsi="Arial" w:cs="Arial"/>
                <w:b/>
                <w:bCs/>
                <w:sz w:val="18"/>
                <w:szCs w:val="18"/>
                <w:lang w:val="en-AU"/>
              </w:rPr>
            </w:pPr>
          </w:p>
        </w:tc>
        <w:tc>
          <w:tcPr>
            <w:tcW w:w="1620" w:type="dxa"/>
            <w:tcBorders>
              <w:left w:val="single" w:sz="4" w:space="0" w:color="auto"/>
              <w:bottom w:val="single" w:sz="4" w:space="0" w:color="auto"/>
              <w:right w:val="single" w:sz="4" w:space="0" w:color="auto"/>
            </w:tcBorders>
            <w:shd w:val="clear" w:color="auto" w:fill="auto"/>
          </w:tcPr>
          <w:p w:rsidR="00707238" w:rsidRDefault="00C441F0"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72 (1.74%)</w:t>
            </w:r>
          </w:p>
          <w:p w:rsidR="00C441F0" w:rsidRDefault="00C441F0" w:rsidP="00F04C47">
            <w:pPr>
              <w:autoSpaceDE w:val="0"/>
              <w:autoSpaceDN w:val="0"/>
              <w:adjustRightInd w:val="0"/>
              <w:spacing w:before="60" w:after="60"/>
              <w:ind w:right="46"/>
              <w:jc w:val="center"/>
              <w:rPr>
                <w:rFonts w:ascii="Arial" w:hAnsi="Arial" w:cs="Arial"/>
                <w:bCs/>
                <w:sz w:val="18"/>
                <w:szCs w:val="18"/>
                <w:lang w:val="en-AU"/>
              </w:rPr>
            </w:pPr>
          </w:p>
          <w:p w:rsidR="00C441F0" w:rsidRPr="002742BE" w:rsidRDefault="00C441F0"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32 (0.77%)</w:t>
            </w:r>
          </w:p>
        </w:tc>
        <w:tc>
          <w:tcPr>
            <w:tcW w:w="1620" w:type="dxa"/>
            <w:tcBorders>
              <w:left w:val="single" w:sz="4" w:space="0" w:color="auto"/>
              <w:bottom w:val="single" w:sz="4" w:space="0" w:color="auto"/>
              <w:right w:val="single" w:sz="4" w:space="0" w:color="auto"/>
            </w:tcBorders>
            <w:shd w:val="clear" w:color="auto" w:fill="auto"/>
          </w:tcPr>
          <w:p w:rsidR="00707238" w:rsidRDefault="00C441F0"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129 (3.13%)</w:t>
            </w:r>
          </w:p>
          <w:p w:rsidR="00C441F0" w:rsidRDefault="00C441F0" w:rsidP="00F04C47">
            <w:pPr>
              <w:autoSpaceDE w:val="0"/>
              <w:autoSpaceDN w:val="0"/>
              <w:adjustRightInd w:val="0"/>
              <w:spacing w:before="60" w:after="60"/>
              <w:ind w:right="46"/>
              <w:jc w:val="center"/>
              <w:rPr>
                <w:rFonts w:ascii="Arial" w:hAnsi="Arial" w:cs="Arial"/>
                <w:bCs/>
                <w:sz w:val="18"/>
                <w:szCs w:val="18"/>
                <w:lang w:val="en-AU"/>
              </w:rPr>
            </w:pPr>
          </w:p>
          <w:p w:rsidR="00C441F0" w:rsidRPr="002742BE" w:rsidRDefault="00C441F0"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44 (1.07%)</w:t>
            </w:r>
          </w:p>
        </w:tc>
        <w:tc>
          <w:tcPr>
            <w:tcW w:w="1440" w:type="dxa"/>
            <w:tcBorders>
              <w:left w:val="single" w:sz="4" w:space="0" w:color="auto"/>
              <w:bottom w:val="single" w:sz="4" w:space="0" w:color="auto"/>
              <w:right w:val="single" w:sz="4" w:space="0" w:color="auto"/>
            </w:tcBorders>
            <w:shd w:val="clear" w:color="auto" w:fill="auto"/>
          </w:tcPr>
          <w:p w:rsidR="00707238"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 (0.33%)</w:t>
            </w:r>
          </w:p>
          <w:p w:rsidR="00C441F0" w:rsidRDefault="00C441F0" w:rsidP="00F04C47">
            <w:pPr>
              <w:autoSpaceDE w:val="0"/>
              <w:autoSpaceDN w:val="0"/>
              <w:adjustRightInd w:val="0"/>
              <w:spacing w:before="60" w:after="60"/>
              <w:ind w:right="46"/>
              <w:jc w:val="center"/>
              <w:rPr>
                <w:rFonts w:ascii="Arial" w:hAnsi="Arial" w:cs="Arial"/>
                <w:bCs/>
                <w:sz w:val="18"/>
                <w:szCs w:val="18"/>
                <w:lang w:val="en-AU"/>
              </w:rPr>
            </w:pPr>
          </w:p>
          <w:p w:rsidR="00C441F0" w:rsidRPr="002742BE" w:rsidRDefault="00C441F0"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4 (0.67%)</w:t>
            </w:r>
          </w:p>
        </w:tc>
        <w:tc>
          <w:tcPr>
            <w:tcW w:w="1620" w:type="dxa"/>
            <w:tcBorders>
              <w:left w:val="single" w:sz="4" w:space="0" w:color="auto"/>
              <w:bottom w:val="single" w:sz="4" w:space="0" w:color="auto"/>
              <w:right w:val="single" w:sz="4" w:space="0" w:color="auto"/>
            </w:tcBorders>
            <w:shd w:val="clear" w:color="auto" w:fill="auto"/>
          </w:tcPr>
          <w:p w:rsidR="00707238"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4 (0.68%)</w:t>
            </w:r>
          </w:p>
          <w:p w:rsidR="00C441F0" w:rsidRDefault="00C441F0" w:rsidP="00F04C47">
            <w:pPr>
              <w:autoSpaceDE w:val="0"/>
              <w:autoSpaceDN w:val="0"/>
              <w:adjustRightInd w:val="0"/>
              <w:spacing w:before="60" w:after="60"/>
              <w:ind w:right="46"/>
              <w:jc w:val="center"/>
              <w:rPr>
                <w:rFonts w:ascii="Arial" w:hAnsi="Arial" w:cs="Arial"/>
                <w:bCs/>
                <w:sz w:val="18"/>
                <w:szCs w:val="18"/>
                <w:lang w:val="en-AU"/>
              </w:rPr>
            </w:pPr>
          </w:p>
          <w:p w:rsidR="00C441F0" w:rsidRPr="002742BE" w:rsidRDefault="00C441F0"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3 (0.51%)</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sz w:val="18"/>
                <w:szCs w:val="18"/>
                <w:lang w:val="en-AU"/>
              </w:rPr>
              <w:lastRenderedPageBreak/>
              <w:t>Musculoskeletal, connective tissue and bone disorders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r>
      <w:tr w:rsidR="00707238" w:rsidRPr="002742BE" w:rsidTr="00BF338F">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sz w:val="18"/>
                <w:szCs w:val="18"/>
                <w:lang w:val="en-AU"/>
              </w:rPr>
              <w:t>Pain in extremity</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442A56"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230 (5.57%)</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442A56"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221 (5.37%)</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29 (4.85%)</w:t>
            </w:r>
          </w:p>
        </w:tc>
        <w:tc>
          <w:tcPr>
            <w:tcW w:w="1620" w:type="dxa"/>
            <w:tcBorders>
              <w:left w:val="single" w:sz="4" w:space="0" w:color="auto"/>
              <w:bottom w:val="single" w:sz="4" w:space="0" w:color="auto"/>
              <w:right w:val="single" w:sz="4" w:space="0" w:color="auto"/>
            </w:tcBorders>
            <w:shd w:val="clear" w:color="auto" w:fill="auto"/>
          </w:tcPr>
          <w:p w:rsidR="005949A1" w:rsidRPr="002742BE" w:rsidRDefault="00707238" w:rsidP="00584403">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35 (5.93%)</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sz w:val="18"/>
                <w:szCs w:val="18"/>
                <w:lang w:val="en-AU"/>
              </w:rPr>
              <w:t>Nervous system disorders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sz w:val="18"/>
                <w:szCs w:val="18"/>
                <w:lang w:val="en-AU"/>
              </w:rPr>
            </w:pPr>
            <w:r w:rsidRPr="002742BE">
              <w:rPr>
                <w:rFonts w:ascii="Arial" w:hAnsi="Arial" w:cs="Arial"/>
                <w:sz w:val="18"/>
                <w:szCs w:val="18"/>
                <w:lang w:val="en-AU"/>
              </w:rPr>
              <w:t>Headache</w:t>
            </w:r>
          </w:p>
        </w:tc>
        <w:tc>
          <w:tcPr>
            <w:tcW w:w="1620" w:type="dxa"/>
            <w:tcBorders>
              <w:left w:val="single" w:sz="4" w:space="0" w:color="auto"/>
              <w:right w:val="single" w:sz="4" w:space="0" w:color="auto"/>
            </w:tcBorders>
            <w:shd w:val="clear" w:color="auto" w:fill="auto"/>
          </w:tcPr>
          <w:p w:rsidR="00707238" w:rsidRPr="002742BE" w:rsidRDefault="00442A56"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284 (6.88%)</w:t>
            </w:r>
          </w:p>
        </w:tc>
        <w:tc>
          <w:tcPr>
            <w:tcW w:w="1620" w:type="dxa"/>
            <w:tcBorders>
              <w:left w:val="single" w:sz="4" w:space="0" w:color="auto"/>
              <w:right w:val="single" w:sz="4" w:space="0" w:color="auto"/>
            </w:tcBorders>
            <w:shd w:val="clear" w:color="auto" w:fill="auto"/>
          </w:tcPr>
          <w:p w:rsidR="00707238" w:rsidRPr="002742BE" w:rsidRDefault="00442A56"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242 (5.88%)</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18 (3.01%)</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15 (2.54%)</w:t>
            </w:r>
          </w:p>
        </w:tc>
      </w:tr>
      <w:tr w:rsidR="00707238" w:rsidRPr="002742BE" w:rsidTr="00BF338F">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sz w:val="18"/>
                <w:szCs w:val="18"/>
                <w:lang w:val="en-AU"/>
              </w:rPr>
            </w:pPr>
            <w:r w:rsidRPr="002742BE">
              <w:rPr>
                <w:rFonts w:ascii="Arial" w:hAnsi="Arial" w:cs="Arial"/>
                <w:sz w:val="18"/>
                <w:szCs w:val="18"/>
                <w:lang w:val="en-AU"/>
              </w:rPr>
              <w:t>Dizziness</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442A56"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102 (2.47%)</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442A56"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108 (2.62%)</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6 (1.00%)</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8 (1.36 %)</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bCs/>
                <w:sz w:val="18"/>
                <w:szCs w:val="18"/>
                <w:lang w:val="en-AU"/>
              </w:rPr>
              <w:t>Renal and urinary disorders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p>
        </w:tc>
      </w:tr>
      <w:tr w:rsidR="00707238" w:rsidRPr="002742BE" w:rsidTr="00BF338F">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Cs/>
                <w:sz w:val="18"/>
                <w:szCs w:val="18"/>
                <w:lang w:val="en-AU"/>
              </w:rPr>
              <w:t>Haematuria</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111 (2.69%)</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113 (2.75%)</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13 (2.17%)</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 (0.34%)</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
                <w:bCs/>
                <w:sz w:val="18"/>
                <w:szCs w:val="18"/>
                <w:lang w:val="en-AU"/>
              </w:rPr>
            </w:pPr>
            <w:r w:rsidRPr="002742BE">
              <w:rPr>
                <w:rFonts w:ascii="Arial" w:hAnsi="Arial" w:cs="Arial"/>
                <w:b/>
                <w:bCs/>
                <w:sz w:val="18"/>
                <w:szCs w:val="18"/>
                <w:lang w:val="en-AU"/>
              </w:rPr>
              <w:t>Reproductive system and breast disorders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rPr>
                <w:rFonts w:ascii="Arial" w:hAnsi="Arial" w:cs="Arial"/>
                <w:bCs/>
                <w:sz w:val="18"/>
                <w:szCs w:val="18"/>
                <w:lang w:val="en-AU"/>
              </w:rPr>
            </w:pPr>
            <w:r w:rsidRPr="002742BE">
              <w:rPr>
                <w:rFonts w:ascii="Arial" w:hAnsi="Arial" w:cs="Arial"/>
                <w:bCs/>
                <w:sz w:val="18"/>
                <w:szCs w:val="18"/>
                <w:lang w:val="en-AU"/>
              </w:rPr>
              <w:t>Menorrhagia</w:t>
            </w:r>
            <w:r w:rsidR="0041185E" w:rsidRPr="002742BE">
              <w:rPr>
                <w:rFonts w:ascii="Arial" w:hAnsi="Arial" w:cs="Arial"/>
                <w:bCs/>
                <w:sz w:val="18"/>
                <w:szCs w:val="18"/>
                <w:vertAlign w:val="superscript"/>
                <w:lang w:val="en-AU"/>
              </w:rPr>
              <w:t>#</w:t>
            </w:r>
          </w:p>
        </w:tc>
        <w:tc>
          <w:tcPr>
            <w:tcW w:w="1620" w:type="dxa"/>
            <w:tcBorders>
              <w:left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122 (2.95%)</w:t>
            </w:r>
          </w:p>
        </w:tc>
        <w:tc>
          <w:tcPr>
            <w:tcW w:w="1620" w:type="dxa"/>
            <w:tcBorders>
              <w:left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64 (1.55%)</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5 (0.84%)</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 (0.34%)</w:t>
            </w:r>
          </w:p>
        </w:tc>
      </w:tr>
      <w:tr w:rsidR="00707238" w:rsidRPr="002742BE" w:rsidTr="00BF338F">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217FC2">
            <w:pPr>
              <w:autoSpaceDE w:val="0"/>
              <w:autoSpaceDN w:val="0"/>
              <w:adjustRightInd w:val="0"/>
              <w:spacing w:before="60" w:after="60"/>
              <w:ind w:right="46"/>
              <w:rPr>
                <w:rFonts w:ascii="Arial" w:hAnsi="Arial" w:cs="Arial"/>
                <w:bCs/>
                <w:sz w:val="18"/>
                <w:szCs w:val="18"/>
                <w:lang w:val="en-AU"/>
              </w:rPr>
            </w:pPr>
            <w:r w:rsidRPr="002742BE">
              <w:rPr>
                <w:rFonts w:ascii="Arial" w:hAnsi="Arial" w:cs="Arial"/>
                <w:bCs/>
                <w:sz w:val="18"/>
                <w:szCs w:val="18"/>
                <w:lang w:val="en-AU"/>
              </w:rPr>
              <w:t>Vaginal haemorrhage</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54 (1.31%)</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23 (0.56%)</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 (0.17%)</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5 (0.85%)</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b/>
                <w:bCs/>
                <w:sz w:val="18"/>
                <w:szCs w:val="18"/>
                <w:lang w:val="en-AU"/>
              </w:rPr>
            </w:pPr>
            <w:r w:rsidRPr="002742BE">
              <w:rPr>
                <w:rFonts w:ascii="Arial" w:hAnsi="Arial" w:cs="Arial"/>
                <w:b/>
                <w:bCs/>
                <w:sz w:val="18"/>
                <w:szCs w:val="18"/>
                <w:lang w:val="en-AU"/>
              </w:rPr>
              <w:t>Respiratory, thoracic and mediastinal disorders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bCs/>
                <w:sz w:val="18"/>
                <w:szCs w:val="18"/>
                <w:lang w:val="en-AU"/>
              </w:rPr>
            </w:pPr>
            <w:r w:rsidRPr="002742BE">
              <w:rPr>
                <w:rFonts w:ascii="Arial" w:hAnsi="Arial" w:cs="Arial"/>
                <w:bCs/>
                <w:sz w:val="18"/>
                <w:szCs w:val="18"/>
                <w:lang w:val="en-AU"/>
              </w:rPr>
              <w:t>Epistaxis</w:t>
            </w:r>
          </w:p>
        </w:tc>
        <w:tc>
          <w:tcPr>
            <w:tcW w:w="1620" w:type="dxa"/>
            <w:tcBorders>
              <w:left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307 (7.43%)</w:t>
            </w:r>
          </w:p>
        </w:tc>
        <w:tc>
          <w:tcPr>
            <w:tcW w:w="1620" w:type="dxa"/>
            <w:tcBorders>
              <w:left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271 (6.58%)</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24 (4.01%)</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11 (1.86%)</w:t>
            </w:r>
          </w:p>
        </w:tc>
      </w:tr>
      <w:tr w:rsidR="00707238" w:rsidRPr="002742BE" w:rsidTr="00BF338F">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bCs/>
                <w:sz w:val="18"/>
                <w:szCs w:val="18"/>
                <w:lang w:val="en-AU"/>
              </w:rPr>
            </w:pPr>
            <w:r w:rsidRPr="002742BE">
              <w:rPr>
                <w:rFonts w:ascii="Arial" w:hAnsi="Arial" w:cs="Arial"/>
                <w:bCs/>
                <w:sz w:val="18"/>
                <w:szCs w:val="18"/>
                <w:lang w:val="en-AU"/>
              </w:rPr>
              <w:t>Haemoptysis</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100 (2.42%)</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98 (2.38%)</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 xml:space="preserve">1 (0.17%) </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1 (0.17%)</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b/>
                <w:bCs/>
                <w:sz w:val="18"/>
                <w:szCs w:val="18"/>
                <w:lang w:val="en-AU"/>
              </w:rPr>
            </w:pPr>
            <w:r w:rsidRPr="002742BE">
              <w:rPr>
                <w:rFonts w:ascii="Arial" w:hAnsi="Arial" w:cs="Arial"/>
                <w:b/>
                <w:bCs/>
                <w:sz w:val="18"/>
                <w:szCs w:val="18"/>
                <w:lang w:val="en-AU"/>
              </w:rPr>
              <w:t>Skin and subcutaneous tissue disorders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r>
      <w:tr w:rsidR="00707238" w:rsidRPr="002742BE" w:rsidTr="00BF338F">
        <w:tc>
          <w:tcPr>
            <w:tcW w:w="2448" w:type="dxa"/>
            <w:tcBorders>
              <w:left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bCs/>
                <w:sz w:val="18"/>
                <w:szCs w:val="18"/>
                <w:lang w:val="en-AU"/>
              </w:rPr>
            </w:pPr>
            <w:r w:rsidRPr="002742BE">
              <w:rPr>
                <w:rFonts w:ascii="Arial" w:hAnsi="Arial" w:cs="Arial"/>
                <w:bCs/>
                <w:sz w:val="18"/>
                <w:szCs w:val="18"/>
                <w:lang w:val="en-AU"/>
              </w:rPr>
              <w:t xml:space="preserve">Pruritus </w:t>
            </w:r>
          </w:p>
        </w:tc>
        <w:tc>
          <w:tcPr>
            <w:tcW w:w="1620" w:type="dxa"/>
            <w:tcBorders>
              <w:left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83 (2.01%)</w:t>
            </w:r>
          </w:p>
        </w:tc>
        <w:tc>
          <w:tcPr>
            <w:tcW w:w="1620" w:type="dxa"/>
            <w:tcBorders>
              <w:left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58 (1.41%)</w:t>
            </w:r>
          </w:p>
        </w:tc>
        <w:tc>
          <w:tcPr>
            <w:tcW w:w="144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 (0.33 %)</w:t>
            </w:r>
          </w:p>
        </w:tc>
        <w:tc>
          <w:tcPr>
            <w:tcW w:w="1620" w:type="dxa"/>
            <w:tcBorders>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2 (0.34%)</w:t>
            </w:r>
          </w:p>
        </w:tc>
      </w:tr>
      <w:tr w:rsidR="00707238" w:rsidRPr="002742BE" w:rsidTr="00BF338F">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bCs/>
                <w:sz w:val="18"/>
                <w:szCs w:val="18"/>
                <w:lang w:val="en-AU"/>
              </w:rPr>
            </w:pPr>
            <w:r w:rsidRPr="002742BE">
              <w:rPr>
                <w:rFonts w:ascii="Arial" w:hAnsi="Arial" w:cs="Arial"/>
                <w:bCs/>
                <w:sz w:val="18"/>
                <w:szCs w:val="18"/>
                <w:lang w:val="en-AU"/>
              </w:rPr>
              <w:t>Rash</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97 (2.35%)</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89 (2.16%)</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5 (0.84%)</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7 (1.19%)</w:t>
            </w:r>
          </w:p>
        </w:tc>
      </w:tr>
      <w:tr w:rsidR="00707238" w:rsidRPr="002742BE" w:rsidTr="00BF338F">
        <w:tc>
          <w:tcPr>
            <w:tcW w:w="2448" w:type="dxa"/>
            <w:tcBorders>
              <w:top w:val="single" w:sz="4" w:space="0" w:color="auto"/>
              <w:left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b/>
                <w:bCs/>
                <w:sz w:val="18"/>
                <w:szCs w:val="18"/>
                <w:lang w:val="en-AU"/>
              </w:rPr>
            </w:pPr>
            <w:r w:rsidRPr="002742BE">
              <w:rPr>
                <w:rFonts w:ascii="Arial" w:hAnsi="Arial" w:cs="Arial"/>
                <w:b/>
                <w:bCs/>
                <w:sz w:val="18"/>
                <w:szCs w:val="18"/>
                <w:lang w:val="en-AU"/>
              </w:rPr>
              <w:t>Vascular disorders</w:t>
            </w: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c>
          <w:tcPr>
            <w:tcW w:w="144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c>
          <w:tcPr>
            <w:tcW w:w="1620" w:type="dxa"/>
            <w:tcBorders>
              <w:top w:val="single" w:sz="4" w:space="0" w:color="auto"/>
              <w:left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
                <w:bCs/>
                <w:sz w:val="18"/>
                <w:szCs w:val="18"/>
                <w:lang w:val="en-AU"/>
              </w:rPr>
            </w:pPr>
          </w:p>
        </w:tc>
      </w:tr>
      <w:tr w:rsidR="00707238" w:rsidRPr="002742BE" w:rsidTr="00BF338F">
        <w:tc>
          <w:tcPr>
            <w:tcW w:w="2448" w:type="dxa"/>
            <w:tcBorders>
              <w:left w:val="single" w:sz="4" w:space="0" w:color="auto"/>
              <w:bottom w:val="single" w:sz="4" w:space="0" w:color="auto"/>
              <w:right w:val="single" w:sz="4" w:space="0" w:color="auto"/>
            </w:tcBorders>
            <w:shd w:val="clear" w:color="auto" w:fill="auto"/>
          </w:tcPr>
          <w:p w:rsidR="00707238" w:rsidRPr="002742BE" w:rsidRDefault="00707238" w:rsidP="00F04C47">
            <w:pPr>
              <w:spacing w:before="60" w:after="60"/>
              <w:ind w:right="46"/>
              <w:rPr>
                <w:rFonts w:ascii="Arial" w:hAnsi="Arial" w:cs="Arial"/>
                <w:sz w:val="18"/>
                <w:szCs w:val="18"/>
                <w:lang w:val="en-AU"/>
              </w:rPr>
            </w:pPr>
            <w:r w:rsidRPr="002742BE">
              <w:rPr>
                <w:rFonts w:ascii="Arial" w:hAnsi="Arial" w:cs="Arial"/>
                <w:sz w:val="18"/>
                <w:szCs w:val="18"/>
                <w:lang w:val="en-AU"/>
              </w:rPr>
              <w:t>Haematoma</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91 (2.20%)</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2C68BA" w:rsidP="00F04C47">
            <w:pPr>
              <w:autoSpaceDE w:val="0"/>
              <w:autoSpaceDN w:val="0"/>
              <w:adjustRightInd w:val="0"/>
              <w:spacing w:before="60" w:after="60"/>
              <w:ind w:right="46"/>
              <w:jc w:val="center"/>
              <w:rPr>
                <w:rFonts w:ascii="Arial" w:hAnsi="Arial" w:cs="Arial"/>
                <w:bCs/>
                <w:sz w:val="18"/>
                <w:szCs w:val="18"/>
                <w:lang w:val="en-AU"/>
              </w:rPr>
            </w:pPr>
            <w:r>
              <w:rPr>
                <w:rFonts w:ascii="Arial" w:hAnsi="Arial" w:cs="Arial"/>
                <w:bCs/>
                <w:sz w:val="18"/>
                <w:szCs w:val="18"/>
                <w:lang w:val="en-AU"/>
              </w:rPr>
              <w:t>150 (3.64%)</w:t>
            </w:r>
          </w:p>
        </w:tc>
        <w:tc>
          <w:tcPr>
            <w:tcW w:w="144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7 (1.17%)</w:t>
            </w:r>
          </w:p>
        </w:tc>
        <w:tc>
          <w:tcPr>
            <w:tcW w:w="1620" w:type="dxa"/>
            <w:tcBorders>
              <w:left w:val="single" w:sz="4" w:space="0" w:color="auto"/>
              <w:bottom w:val="single" w:sz="4" w:space="0" w:color="auto"/>
              <w:right w:val="single" w:sz="4" w:space="0" w:color="auto"/>
            </w:tcBorders>
            <w:shd w:val="clear" w:color="auto" w:fill="auto"/>
          </w:tcPr>
          <w:p w:rsidR="00707238" w:rsidRPr="002742BE" w:rsidRDefault="00707238" w:rsidP="00F04C47">
            <w:pPr>
              <w:autoSpaceDE w:val="0"/>
              <w:autoSpaceDN w:val="0"/>
              <w:adjustRightInd w:val="0"/>
              <w:spacing w:before="60" w:after="60"/>
              <w:ind w:right="46"/>
              <w:jc w:val="center"/>
              <w:rPr>
                <w:rFonts w:ascii="Arial" w:hAnsi="Arial" w:cs="Arial"/>
                <w:bCs/>
                <w:sz w:val="18"/>
                <w:szCs w:val="18"/>
                <w:lang w:val="en-AU"/>
              </w:rPr>
            </w:pPr>
            <w:r w:rsidRPr="002742BE">
              <w:rPr>
                <w:rFonts w:ascii="Arial" w:hAnsi="Arial" w:cs="Arial"/>
                <w:bCs/>
                <w:sz w:val="18"/>
                <w:szCs w:val="18"/>
                <w:lang w:val="en-AU"/>
              </w:rPr>
              <w:t>8 (1.36%)</w:t>
            </w:r>
          </w:p>
        </w:tc>
      </w:tr>
    </w:tbl>
    <w:p w:rsidR="00C97590" w:rsidRPr="002742BE" w:rsidRDefault="00C97590" w:rsidP="00F04C47">
      <w:pPr>
        <w:ind w:right="46"/>
        <w:rPr>
          <w:rFonts w:ascii="Arial" w:hAnsi="Arial" w:cs="Arial"/>
          <w:sz w:val="18"/>
          <w:szCs w:val="18"/>
          <w:lang w:val="en-AU"/>
        </w:rPr>
      </w:pPr>
      <w:r w:rsidRPr="002742BE">
        <w:rPr>
          <w:rFonts w:ascii="Arial" w:hAnsi="Arial" w:cs="Arial"/>
          <w:sz w:val="18"/>
          <w:szCs w:val="18"/>
          <w:vertAlign w:val="superscript"/>
          <w:lang w:val="en-AU"/>
        </w:rPr>
        <w:t>#</w:t>
      </w:r>
      <w:r w:rsidRPr="002742BE">
        <w:rPr>
          <w:rFonts w:ascii="Arial" w:hAnsi="Arial" w:cs="Arial"/>
          <w:sz w:val="18"/>
          <w:szCs w:val="18"/>
          <w:lang w:val="en-AU"/>
        </w:rPr>
        <w:t xml:space="preserve"> observed as very common for rivaroxaban in women &lt;</w:t>
      </w:r>
      <w:r w:rsidR="0035659A">
        <w:rPr>
          <w:rFonts w:ascii="Arial" w:hAnsi="Arial" w:cs="Arial"/>
          <w:sz w:val="18"/>
          <w:szCs w:val="18"/>
          <w:lang w:val="en-AU"/>
        </w:rPr>
        <w:t xml:space="preserve"> </w:t>
      </w:r>
      <w:r w:rsidRPr="002742BE">
        <w:rPr>
          <w:rFonts w:ascii="Arial" w:hAnsi="Arial" w:cs="Arial"/>
          <w:sz w:val="18"/>
          <w:szCs w:val="18"/>
          <w:lang w:val="en-AU"/>
        </w:rPr>
        <w:t>55 years in Study 11702</w:t>
      </w:r>
    </w:p>
    <w:p w:rsidR="00400D5C" w:rsidRPr="002742BE" w:rsidRDefault="00400D5C" w:rsidP="00F04C47">
      <w:pPr>
        <w:ind w:right="46"/>
        <w:rPr>
          <w:lang w:val="en-AU"/>
        </w:rPr>
      </w:pPr>
    </w:p>
    <w:p w:rsidR="0088236D" w:rsidRPr="002742BE" w:rsidRDefault="0088236D" w:rsidP="00F04C47">
      <w:pPr>
        <w:ind w:right="46"/>
        <w:rPr>
          <w:rFonts w:ascii="Arial" w:hAnsi="Arial" w:cs="Arial"/>
          <w:b/>
          <w:sz w:val="22"/>
          <w:szCs w:val="21"/>
          <w:lang w:val="en-AU"/>
        </w:rPr>
      </w:pPr>
      <w:r w:rsidRPr="002742BE">
        <w:rPr>
          <w:rFonts w:ascii="Arial" w:hAnsi="Arial" w:cs="Arial"/>
          <w:b/>
          <w:sz w:val="22"/>
          <w:szCs w:val="21"/>
          <w:lang w:val="en-AU"/>
        </w:rPr>
        <w:t>Less frequent ADRs ≥</w:t>
      </w:r>
      <w:r w:rsidR="007E5799" w:rsidRPr="002742BE">
        <w:rPr>
          <w:rFonts w:ascii="Arial" w:hAnsi="Arial" w:cs="Arial"/>
          <w:b/>
          <w:sz w:val="22"/>
          <w:szCs w:val="21"/>
          <w:lang w:val="en-AU"/>
        </w:rPr>
        <w:t xml:space="preserve"> </w:t>
      </w:r>
      <w:r w:rsidRPr="002742BE">
        <w:rPr>
          <w:rFonts w:ascii="Arial" w:hAnsi="Arial" w:cs="Arial"/>
          <w:b/>
          <w:sz w:val="22"/>
          <w:szCs w:val="21"/>
          <w:lang w:val="en-AU"/>
        </w:rPr>
        <w:t>0.1% to &lt;1% unless otherwise specified (pooled EINSTEIN-DVT</w:t>
      </w:r>
      <w:r w:rsidR="00AA7549">
        <w:rPr>
          <w:rFonts w:ascii="Arial" w:hAnsi="Arial" w:cs="Arial"/>
          <w:b/>
          <w:sz w:val="22"/>
          <w:szCs w:val="21"/>
          <w:lang w:val="en-AU"/>
        </w:rPr>
        <w:t>, EINSTEIN-PE</w:t>
      </w:r>
      <w:r w:rsidRPr="002742BE">
        <w:rPr>
          <w:rFonts w:ascii="Arial" w:hAnsi="Arial" w:cs="Arial"/>
          <w:b/>
          <w:sz w:val="22"/>
          <w:szCs w:val="21"/>
          <w:lang w:val="en-AU"/>
        </w:rPr>
        <w:t xml:space="preserve"> and EINSTEIN-Extension) </w:t>
      </w:r>
    </w:p>
    <w:p w:rsidR="00604ED5" w:rsidRPr="002742BE" w:rsidRDefault="00604ED5" w:rsidP="00F04C47">
      <w:pPr>
        <w:ind w:right="46"/>
        <w:rPr>
          <w:rFonts w:ascii="Arial" w:hAnsi="Arial" w:cs="Arial"/>
          <w:b/>
          <w:sz w:val="22"/>
          <w:szCs w:val="21"/>
          <w:lang w:val="en-AU"/>
        </w:rPr>
      </w:pPr>
    </w:p>
    <w:tbl>
      <w:tblPr>
        <w:tblW w:w="0" w:type="auto"/>
        <w:tblLook w:val="04A0"/>
      </w:tblPr>
      <w:tblGrid>
        <w:gridCol w:w="2943"/>
        <w:gridCol w:w="5954"/>
      </w:tblGrid>
      <w:tr w:rsidR="007704C1" w:rsidRPr="002742BE" w:rsidTr="00044B1D">
        <w:tc>
          <w:tcPr>
            <w:tcW w:w="2943" w:type="dxa"/>
            <w:shd w:val="clear" w:color="auto" w:fill="auto"/>
          </w:tcPr>
          <w:p w:rsidR="007704C1" w:rsidRPr="002742BE" w:rsidRDefault="00AA7549" w:rsidP="00044B1D">
            <w:pPr>
              <w:tabs>
                <w:tab w:val="left" w:pos="567"/>
              </w:tabs>
              <w:spacing w:before="60" w:after="60"/>
              <w:ind w:right="45"/>
              <w:rPr>
                <w:rFonts w:ascii="Arial" w:hAnsi="Arial" w:cs="Arial"/>
                <w:b/>
                <w:sz w:val="21"/>
                <w:szCs w:val="21"/>
                <w:lang w:val="en-AU"/>
              </w:rPr>
            </w:pPr>
            <w:r>
              <w:rPr>
                <w:rFonts w:ascii="Arial" w:hAnsi="Arial" w:cs="Arial"/>
                <w:b/>
                <w:sz w:val="21"/>
                <w:szCs w:val="21"/>
                <w:lang w:val="en-AU"/>
              </w:rPr>
              <w:t>Eye disorders</w:t>
            </w:r>
          </w:p>
        </w:tc>
        <w:tc>
          <w:tcPr>
            <w:tcW w:w="5954" w:type="dxa"/>
            <w:shd w:val="clear" w:color="auto" w:fill="auto"/>
          </w:tcPr>
          <w:p w:rsidR="007704C1" w:rsidRPr="002742BE" w:rsidRDefault="00AA7549" w:rsidP="00044B1D">
            <w:pPr>
              <w:tabs>
                <w:tab w:val="left" w:pos="567"/>
              </w:tabs>
              <w:spacing w:before="60" w:after="60"/>
              <w:ind w:right="45"/>
              <w:rPr>
                <w:rFonts w:ascii="Arial" w:hAnsi="Arial" w:cs="Arial"/>
                <w:sz w:val="21"/>
                <w:szCs w:val="21"/>
                <w:lang w:val="en-AU"/>
              </w:rPr>
            </w:pPr>
            <w:r>
              <w:rPr>
                <w:rFonts w:ascii="Arial" w:hAnsi="Arial" w:cs="Arial"/>
                <w:sz w:val="21"/>
                <w:szCs w:val="21"/>
                <w:lang w:val="en-AU"/>
              </w:rPr>
              <w:t>eye haemorrhage</w:t>
            </w:r>
          </w:p>
        </w:tc>
      </w:tr>
      <w:tr w:rsidR="007704C1" w:rsidRPr="002742BE" w:rsidTr="00044B1D">
        <w:tc>
          <w:tcPr>
            <w:tcW w:w="2943" w:type="dxa"/>
            <w:shd w:val="clear" w:color="auto" w:fill="auto"/>
          </w:tcPr>
          <w:p w:rsidR="007704C1" w:rsidRPr="002742BE" w:rsidRDefault="007704C1"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Gastrointestinal Disorders</w:t>
            </w:r>
            <w:r w:rsidRPr="002742BE">
              <w:rPr>
                <w:rFonts w:ascii="Arial" w:hAnsi="Arial" w:cs="Arial"/>
                <w:sz w:val="21"/>
                <w:szCs w:val="21"/>
                <w:lang w:val="en-AU"/>
              </w:rPr>
              <w:t>:</w:t>
            </w:r>
          </w:p>
        </w:tc>
        <w:tc>
          <w:tcPr>
            <w:tcW w:w="5954" w:type="dxa"/>
            <w:shd w:val="clear" w:color="auto" w:fill="auto"/>
          </w:tcPr>
          <w:p w:rsidR="007704C1" w:rsidRPr="002742BE" w:rsidRDefault="00AA7549" w:rsidP="00044B1D">
            <w:pPr>
              <w:tabs>
                <w:tab w:val="left" w:pos="567"/>
              </w:tabs>
              <w:spacing w:before="60" w:after="60"/>
              <w:ind w:right="45"/>
              <w:rPr>
                <w:rFonts w:ascii="Arial" w:hAnsi="Arial" w:cs="Arial"/>
                <w:sz w:val="21"/>
                <w:szCs w:val="21"/>
                <w:lang w:val="en-AU"/>
              </w:rPr>
            </w:pPr>
            <w:r>
              <w:rPr>
                <w:rFonts w:ascii="Arial" w:hAnsi="Arial" w:cs="Arial"/>
                <w:sz w:val="21"/>
                <w:szCs w:val="21"/>
                <w:lang w:val="en-AU"/>
              </w:rPr>
              <w:t xml:space="preserve">anal haemorrhage, </w:t>
            </w:r>
            <w:r w:rsidR="007704C1" w:rsidRPr="002742BE">
              <w:rPr>
                <w:rFonts w:ascii="Arial" w:hAnsi="Arial" w:cs="Arial"/>
                <w:sz w:val="21"/>
                <w:szCs w:val="21"/>
                <w:lang w:val="en-AU"/>
              </w:rPr>
              <w:t xml:space="preserve">gastrointestinal haemorrhage, </w:t>
            </w:r>
            <w:r>
              <w:rPr>
                <w:rFonts w:ascii="Arial" w:hAnsi="Arial" w:cs="Arial"/>
                <w:sz w:val="21"/>
                <w:szCs w:val="21"/>
                <w:lang w:val="en-AU"/>
              </w:rPr>
              <w:t xml:space="preserve">haematemesis, </w:t>
            </w:r>
            <w:r w:rsidR="007704C1" w:rsidRPr="002742BE">
              <w:rPr>
                <w:rFonts w:ascii="Arial" w:hAnsi="Arial" w:cs="Arial"/>
                <w:sz w:val="21"/>
                <w:szCs w:val="21"/>
                <w:lang w:val="en-AU"/>
              </w:rPr>
              <w:t xml:space="preserve">haematochezia, haemorrhoidal haemorrhage, </w:t>
            </w:r>
            <w:r>
              <w:rPr>
                <w:rFonts w:ascii="Arial" w:hAnsi="Arial" w:cs="Arial"/>
                <w:sz w:val="21"/>
                <w:szCs w:val="21"/>
                <w:lang w:val="en-AU"/>
              </w:rPr>
              <w:t xml:space="preserve">lower gastrointestinal haemorrhage, </w:t>
            </w:r>
            <w:r w:rsidR="007704C1" w:rsidRPr="002742BE">
              <w:rPr>
                <w:rFonts w:ascii="Arial" w:hAnsi="Arial" w:cs="Arial"/>
                <w:sz w:val="21"/>
                <w:szCs w:val="21"/>
                <w:lang w:val="en-AU"/>
              </w:rPr>
              <w:t xml:space="preserve">melaena, </w:t>
            </w:r>
            <w:r>
              <w:rPr>
                <w:rFonts w:ascii="Arial" w:hAnsi="Arial" w:cs="Arial"/>
                <w:sz w:val="21"/>
                <w:szCs w:val="21"/>
                <w:lang w:val="en-AU"/>
              </w:rPr>
              <w:t xml:space="preserve">lip haemorrhage, </w:t>
            </w:r>
            <w:r w:rsidR="007704C1" w:rsidRPr="002742BE">
              <w:rPr>
                <w:rFonts w:ascii="Arial" w:hAnsi="Arial" w:cs="Arial"/>
                <w:sz w:val="21"/>
                <w:szCs w:val="21"/>
                <w:lang w:val="en-AU"/>
              </w:rPr>
              <w:t xml:space="preserve">mouth haemorrage, </w:t>
            </w:r>
            <w:r>
              <w:rPr>
                <w:rFonts w:ascii="Arial" w:hAnsi="Arial" w:cs="Arial"/>
                <w:sz w:val="21"/>
                <w:szCs w:val="21"/>
                <w:lang w:val="en-AU"/>
              </w:rPr>
              <w:t xml:space="preserve">tongue haemorrhage, </w:t>
            </w:r>
            <w:r w:rsidR="007704C1" w:rsidRPr="002742BE">
              <w:rPr>
                <w:rFonts w:ascii="Arial" w:hAnsi="Arial" w:cs="Arial"/>
                <w:sz w:val="21"/>
                <w:szCs w:val="21"/>
                <w:lang w:val="en-AU"/>
              </w:rPr>
              <w:t xml:space="preserve">abdominal discomfort, abdominal pain lower, dry mouth </w:t>
            </w:r>
          </w:p>
        </w:tc>
      </w:tr>
      <w:tr w:rsidR="007704C1" w:rsidRPr="002742BE" w:rsidTr="00044B1D">
        <w:trPr>
          <w:trHeight w:val="957"/>
        </w:trPr>
        <w:tc>
          <w:tcPr>
            <w:tcW w:w="2943" w:type="dxa"/>
            <w:shd w:val="clear" w:color="auto" w:fill="auto"/>
          </w:tcPr>
          <w:p w:rsidR="007704C1" w:rsidRPr="002742BE" w:rsidRDefault="007704C1"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General Disorders and Administration Site Conditions</w:t>
            </w:r>
            <w:r w:rsidRPr="002742BE">
              <w:rPr>
                <w:rFonts w:ascii="Arial" w:hAnsi="Arial" w:cs="Arial"/>
                <w:sz w:val="21"/>
                <w:szCs w:val="21"/>
                <w:lang w:val="en-AU"/>
              </w:rPr>
              <w:t>:</w:t>
            </w:r>
          </w:p>
        </w:tc>
        <w:tc>
          <w:tcPr>
            <w:tcW w:w="5954" w:type="dxa"/>
            <w:shd w:val="clear" w:color="auto" w:fill="auto"/>
          </w:tcPr>
          <w:p w:rsidR="007704C1" w:rsidRPr="002742BE" w:rsidRDefault="007704C1"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feeling abnormal</w:t>
            </w:r>
            <w:r w:rsidR="00AA7549">
              <w:rPr>
                <w:rFonts w:ascii="Arial" w:hAnsi="Arial" w:cs="Arial"/>
                <w:sz w:val="21"/>
                <w:szCs w:val="21"/>
                <w:lang w:val="en-AU"/>
              </w:rPr>
              <w:t xml:space="preserve"> (≥ 0.01% to &lt; 0.1%)</w:t>
            </w:r>
            <w:r w:rsidRPr="002742BE">
              <w:rPr>
                <w:rFonts w:ascii="Arial" w:hAnsi="Arial" w:cs="Arial"/>
                <w:sz w:val="21"/>
                <w:szCs w:val="21"/>
                <w:lang w:val="en-AU"/>
              </w:rPr>
              <w:t xml:space="preserve">, malaise </w:t>
            </w:r>
          </w:p>
        </w:tc>
      </w:tr>
      <w:tr w:rsidR="007704C1" w:rsidRPr="002742BE" w:rsidTr="00044B1D">
        <w:tc>
          <w:tcPr>
            <w:tcW w:w="2943" w:type="dxa"/>
            <w:shd w:val="clear" w:color="auto" w:fill="auto"/>
          </w:tcPr>
          <w:p w:rsidR="007704C1" w:rsidRPr="002742BE" w:rsidRDefault="007704C1"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Hepatobiliary Disorders</w:t>
            </w:r>
            <w:r w:rsidRPr="002742BE">
              <w:rPr>
                <w:rFonts w:ascii="Arial" w:hAnsi="Arial" w:cs="Arial"/>
                <w:sz w:val="21"/>
                <w:szCs w:val="21"/>
                <w:lang w:val="en-AU"/>
              </w:rPr>
              <w:t>:</w:t>
            </w:r>
          </w:p>
        </w:tc>
        <w:tc>
          <w:tcPr>
            <w:tcW w:w="5954" w:type="dxa"/>
            <w:shd w:val="clear" w:color="auto" w:fill="auto"/>
          </w:tcPr>
          <w:p w:rsidR="007704C1" w:rsidRPr="002742BE" w:rsidRDefault="007704C1"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hepatic function abnormal</w:t>
            </w:r>
            <w:r w:rsidR="00437025">
              <w:rPr>
                <w:rFonts w:ascii="Arial" w:hAnsi="Arial" w:cs="Arial"/>
                <w:sz w:val="21"/>
                <w:szCs w:val="21"/>
                <w:lang w:val="en-AU"/>
              </w:rPr>
              <w:t>, jaundice (≥ 0.01% to &lt; 0.1%)</w:t>
            </w:r>
            <w:r w:rsidRPr="002742BE">
              <w:rPr>
                <w:rFonts w:ascii="Arial" w:hAnsi="Arial" w:cs="Arial"/>
                <w:sz w:val="21"/>
                <w:szCs w:val="21"/>
                <w:lang w:val="en-AU"/>
              </w:rPr>
              <w:t xml:space="preserve"> </w:t>
            </w:r>
          </w:p>
        </w:tc>
      </w:tr>
      <w:tr w:rsidR="007704C1" w:rsidRPr="002742BE" w:rsidTr="00044B1D">
        <w:tc>
          <w:tcPr>
            <w:tcW w:w="2943" w:type="dxa"/>
            <w:shd w:val="clear" w:color="auto" w:fill="auto"/>
          </w:tcPr>
          <w:p w:rsidR="007704C1" w:rsidRPr="002742BE" w:rsidRDefault="007704C1"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lastRenderedPageBreak/>
              <w:t>Immune System Disorders</w:t>
            </w:r>
            <w:r w:rsidRPr="002742BE">
              <w:rPr>
                <w:rFonts w:ascii="Arial" w:hAnsi="Arial" w:cs="Arial"/>
                <w:sz w:val="21"/>
                <w:szCs w:val="21"/>
                <w:lang w:val="en-AU"/>
              </w:rPr>
              <w:t>:</w:t>
            </w:r>
          </w:p>
        </w:tc>
        <w:tc>
          <w:tcPr>
            <w:tcW w:w="5954" w:type="dxa"/>
            <w:shd w:val="clear" w:color="auto" w:fill="auto"/>
          </w:tcPr>
          <w:p w:rsidR="007704C1" w:rsidRPr="002742BE" w:rsidRDefault="007704C1"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 xml:space="preserve">hypersensitivity </w:t>
            </w:r>
          </w:p>
        </w:tc>
      </w:tr>
      <w:tr w:rsidR="007704C1" w:rsidRPr="002742BE" w:rsidTr="00044B1D">
        <w:tc>
          <w:tcPr>
            <w:tcW w:w="2943" w:type="dxa"/>
            <w:shd w:val="clear" w:color="auto" w:fill="auto"/>
          </w:tcPr>
          <w:p w:rsidR="007704C1" w:rsidRPr="002742BE" w:rsidRDefault="007704C1"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Injury, poisoning and postprocedural complications</w:t>
            </w:r>
            <w:r w:rsidRPr="002742BE">
              <w:rPr>
                <w:rFonts w:ascii="Arial" w:hAnsi="Arial" w:cs="Arial"/>
                <w:sz w:val="21"/>
                <w:szCs w:val="21"/>
                <w:lang w:val="en-AU"/>
              </w:rPr>
              <w:t>:</w:t>
            </w:r>
          </w:p>
        </w:tc>
        <w:tc>
          <w:tcPr>
            <w:tcW w:w="5954" w:type="dxa"/>
            <w:shd w:val="clear" w:color="auto" w:fill="auto"/>
          </w:tcPr>
          <w:p w:rsidR="007704C1" w:rsidRPr="002742BE" w:rsidRDefault="00A364C3" w:rsidP="00217FC2">
            <w:pPr>
              <w:tabs>
                <w:tab w:val="left" w:pos="567"/>
              </w:tabs>
              <w:spacing w:before="60" w:after="60"/>
              <w:ind w:right="45"/>
              <w:rPr>
                <w:rFonts w:ascii="Arial" w:hAnsi="Arial" w:cs="Arial"/>
                <w:sz w:val="21"/>
                <w:szCs w:val="21"/>
                <w:lang w:val="en-AU"/>
              </w:rPr>
            </w:pPr>
            <w:r>
              <w:rPr>
                <w:rFonts w:ascii="Arial" w:hAnsi="Arial" w:cs="Arial"/>
                <w:sz w:val="21"/>
                <w:szCs w:val="21"/>
                <w:lang w:val="en-AU"/>
              </w:rPr>
              <w:t xml:space="preserve">operative haemorrhage, </w:t>
            </w:r>
            <w:r w:rsidR="007704C1" w:rsidRPr="002742BE">
              <w:rPr>
                <w:rFonts w:ascii="Arial" w:hAnsi="Arial" w:cs="Arial"/>
                <w:sz w:val="21"/>
                <w:szCs w:val="21"/>
                <w:lang w:val="en-AU"/>
              </w:rPr>
              <w:t xml:space="preserve">postprocedural haemorrhage, traumatic haematoma, traumatic haemorrhage, </w:t>
            </w:r>
            <w:r>
              <w:rPr>
                <w:rFonts w:ascii="Arial" w:hAnsi="Arial" w:cs="Arial"/>
                <w:sz w:val="21"/>
                <w:szCs w:val="21"/>
                <w:lang w:val="en-AU"/>
              </w:rPr>
              <w:t>subdural haematoma (≥ 0.01% to &lt; 0.1%)</w:t>
            </w:r>
          </w:p>
        </w:tc>
      </w:tr>
      <w:tr w:rsidR="007704C1" w:rsidRPr="002742BE" w:rsidTr="00044B1D">
        <w:tc>
          <w:tcPr>
            <w:tcW w:w="2943" w:type="dxa"/>
            <w:shd w:val="clear" w:color="auto" w:fill="auto"/>
          </w:tcPr>
          <w:p w:rsidR="007704C1" w:rsidRPr="002742BE" w:rsidRDefault="007704C1"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Investigations</w:t>
            </w:r>
            <w:r w:rsidRPr="002742BE">
              <w:rPr>
                <w:rFonts w:ascii="Arial" w:hAnsi="Arial" w:cs="Arial"/>
                <w:sz w:val="21"/>
                <w:szCs w:val="21"/>
                <w:lang w:val="en-AU"/>
              </w:rPr>
              <w:t>:</w:t>
            </w:r>
          </w:p>
        </w:tc>
        <w:tc>
          <w:tcPr>
            <w:tcW w:w="5954" w:type="dxa"/>
            <w:shd w:val="clear" w:color="auto" w:fill="auto"/>
          </w:tcPr>
          <w:p w:rsidR="007704C1" w:rsidRPr="002742BE" w:rsidRDefault="007704C1" w:rsidP="00217FC2">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haemoglobin decreased, liver function test abnormal, hepatic enzyme increased, transaminases increased, blood bilirubin increased, bilirubin conjugated increased (with or without concomitant increase of ALT), gamma-glutamyltransferase increased, blood alkaline phosphatase increased</w:t>
            </w:r>
            <w:r w:rsidR="00FC7AB7">
              <w:rPr>
                <w:rFonts w:ascii="Arial" w:hAnsi="Arial" w:cs="Arial"/>
                <w:sz w:val="21"/>
                <w:szCs w:val="21"/>
                <w:lang w:val="en-AU"/>
              </w:rPr>
              <w:t>, blood amylase increased, occult blood positive</w:t>
            </w:r>
            <w:r w:rsidRPr="002742BE">
              <w:rPr>
                <w:rFonts w:ascii="Arial" w:hAnsi="Arial" w:cs="Arial"/>
                <w:sz w:val="21"/>
                <w:szCs w:val="21"/>
                <w:lang w:val="en-AU"/>
              </w:rPr>
              <w:t xml:space="preserve"> </w:t>
            </w:r>
          </w:p>
        </w:tc>
      </w:tr>
      <w:tr w:rsidR="007704C1" w:rsidRPr="002742BE" w:rsidTr="00044B1D">
        <w:tc>
          <w:tcPr>
            <w:tcW w:w="2943" w:type="dxa"/>
            <w:shd w:val="clear" w:color="auto" w:fill="auto"/>
          </w:tcPr>
          <w:p w:rsidR="007704C1" w:rsidRPr="002742BE" w:rsidRDefault="007704C1"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Nervous System Disorders</w:t>
            </w:r>
            <w:r w:rsidRPr="002742BE">
              <w:rPr>
                <w:rFonts w:ascii="Arial" w:hAnsi="Arial" w:cs="Arial"/>
                <w:sz w:val="21"/>
                <w:szCs w:val="21"/>
                <w:lang w:val="en-AU"/>
              </w:rPr>
              <w:t>:</w:t>
            </w:r>
          </w:p>
        </w:tc>
        <w:tc>
          <w:tcPr>
            <w:tcW w:w="5954" w:type="dxa"/>
            <w:shd w:val="clear" w:color="auto" w:fill="auto"/>
          </w:tcPr>
          <w:p w:rsidR="007704C1" w:rsidRPr="002742BE" w:rsidRDefault="007704C1" w:rsidP="00217FC2">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 xml:space="preserve">syncope, </w:t>
            </w:r>
            <w:r w:rsidR="00FC7AB7">
              <w:rPr>
                <w:rFonts w:ascii="Arial" w:hAnsi="Arial" w:cs="Arial"/>
                <w:sz w:val="21"/>
                <w:szCs w:val="21"/>
                <w:lang w:val="en-AU"/>
              </w:rPr>
              <w:t>cerebellar haemorrhage (≥ 0.01% to &lt; 0.1%), cerebral haemorrhage (≥ 0.01% to &lt; 0.1%), haemorrhage intracranial (≥ 0.01% to &lt; 0.1%), haemorrhagic transformation stroke (≥ 0.01% to &lt; 0.1%)</w:t>
            </w:r>
            <w:r w:rsidRPr="002742BE">
              <w:rPr>
                <w:rFonts w:ascii="Arial" w:hAnsi="Arial" w:cs="Arial"/>
                <w:sz w:val="21"/>
                <w:szCs w:val="21"/>
                <w:lang w:val="en-AU"/>
              </w:rPr>
              <w:t xml:space="preserve"> </w:t>
            </w:r>
          </w:p>
        </w:tc>
      </w:tr>
      <w:tr w:rsidR="007704C1" w:rsidRPr="002742BE" w:rsidTr="00044B1D">
        <w:tc>
          <w:tcPr>
            <w:tcW w:w="2943" w:type="dxa"/>
            <w:shd w:val="clear" w:color="auto" w:fill="auto"/>
          </w:tcPr>
          <w:p w:rsidR="007704C1" w:rsidRPr="002742BE" w:rsidRDefault="007704C1"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Reproductive system and breast disorders</w:t>
            </w:r>
            <w:r w:rsidRPr="002742BE">
              <w:rPr>
                <w:rFonts w:ascii="Arial" w:hAnsi="Arial" w:cs="Arial"/>
                <w:sz w:val="21"/>
                <w:szCs w:val="21"/>
                <w:lang w:val="en-AU"/>
              </w:rPr>
              <w:t>:</w:t>
            </w:r>
          </w:p>
        </w:tc>
        <w:tc>
          <w:tcPr>
            <w:tcW w:w="5954" w:type="dxa"/>
            <w:shd w:val="clear" w:color="auto" w:fill="auto"/>
          </w:tcPr>
          <w:p w:rsidR="007704C1" w:rsidRPr="002742BE" w:rsidRDefault="007704C1"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menometrorrhagia</w:t>
            </w:r>
            <w:r w:rsidR="00876213">
              <w:rPr>
                <w:rFonts w:ascii="Arial" w:hAnsi="Arial" w:cs="Arial"/>
                <w:sz w:val="21"/>
                <w:szCs w:val="21"/>
                <w:lang w:val="en-AU"/>
              </w:rPr>
              <w:t xml:space="preserve"> (≥ 0.01% to &lt; 0.1%)</w:t>
            </w:r>
            <w:r w:rsidRPr="002742BE">
              <w:rPr>
                <w:rFonts w:ascii="Arial" w:hAnsi="Arial" w:cs="Arial"/>
                <w:sz w:val="21"/>
                <w:szCs w:val="21"/>
                <w:lang w:val="en-AU"/>
              </w:rPr>
              <w:t xml:space="preserve">, metrorrhagia </w:t>
            </w:r>
          </w:p>
        </w:tc>
      </w:tr>
      <w:tr w:rsidR="007704C1" w:rsidRPr="002742BE" w:rsidTr="00044B1D">
        <w:tc>
          <w:tcPr>
            <w:tcW w:w="2943" w:type="dxa"/>
            <w:shd w:val="clear" w:color="auto" w:fill="auto"/>
          </w:tcPr>
          <w:p w:rsidR="007704C1" w:rsidRPr="002742BE" w:rsidRDefault="007704C1"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Skin and Subcutaneous Tissue Disorders</w:t>
            </w:r>
            <w:r w:rsidRPr="002742BE">
              <w:rPr>
                <w:rFonts w:ascii="Arial" w:hAnsi="Arial" w:cs="Arial"/>
                <w:sz w:val="21"/>
                <w:szCs w:val="21"/>
                <w:lang w:val="en-AU"/>
              </w:rPr>
              <w:t>:</w:t>
            </w:r>
          </w:p>
        </w:tc>
        <w:tc>
          <w:tcPr>
            <w:tcW w:w="5954" w:type="dxa"/>
            <w:shd w:val="clear" w:color="auto" w:fill="auto"/>
          </w:tcPr>
          <w:p w:rsidR="007704C1" w:rsidRPr="002742BE" w:rsidRDefault="007704C1" w:rsidP="00217FC2">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 xml:space="preserve">urticaria, ecchymosis, skin haemorrhage, </w:t>
            </w:r>
            <w:r w:rsidR="000131F4">
              <w:rPr>
                <w:rFonts w:ascii="Arial" w:hAnsi="Arial" w:cs="Arial"/>
                <w:sz w:val="21"/>
                <w:szCs w:val="21"/>
                <w:lang w:val="en-AU"/>
              </w:rPr>
              <w:t xml:space="preserve">drug eruption, </w:t>
            </w:r>
            <w:r w:rsidRPr="002742BE">
              <w:rPr>
                <w:rFonts w:ascii="Arial" w:hAnsi="Arial" w:cs="Arial"/>
                <w:sz w:val="21"/>
                <w:szCs w:val="21"/>
                <w:lang w:val="en-AU"/>
              </w:rPr>
              <w:t>dermatitis allergic</w:t>
            </w:r>
            <w:r w:rsidR="000131F4">
              <w:rPr>
                <w:rFonts w:ascii="Arial" w:hAnsi="Arial" w:cs="Arial"/>
                <w:sz w:val="21"/>
                <w:szCs w:val="21"/>
                <w:lang w:val="en-AU"/>
              </w:rPr>
              <w:t>, pruritus generalised</w:t>
            </w:r>
          </w:p>
        </w:tc>
      </w:tr>
      <w:tr w:rsidR="007704C1" w:rsidRPr="002742BE" w:rsidTr="00044B1D">
        <w:tc>
          <w:tcPr>
            <w:tcW w:w="2943" w:type="dxa"/>
            <w:shd w:val="clear" w:color="auto" w:fill="auto"/>
          </w:tcPr>
          <w:p w:rsidR="007704C1" w:rsidRPr="002742BE" w:rsidRDefault="007704C1"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Vascular Disorders</w:t>
            </w:r>
            <w:r w:rsidRPr="002742BE">
              <w:rPr>
                <w:rFonts w:ascii="Arial" w:hAnsi="Arial" w:cs="Arial"/>
                <w:sz w:val="21"/>
                <w:szCs w:val="21"/>
                <w:lang w:val="en-AU"/>
              </w:rPr>
              <w:t>:</w:t>
            </w:r>
          </w:p>
        </w:tc>
        <w:tc>
          <w:tcPr>
            <w:tcW w:w="5954" w:type="dxa"/>
            <w:shd w:val="clear" w:color="auto" w:fill="auto"/>
          </w:tcPr>
          <w:p w:rsidR="007704C1" w:rsidRPr="002742BE" w:rsidRDefault="007704C1"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hypotension</w:t>
            </w:r>
          </w:p>
        </w:tc>
      </w:tr>
    </w:tbl>
    <w:p w:rsidR="00A82721" w:rsidRPr="002742BE" w:rsidRDefault="00E95328" w:rsidP="00F04C47">
      <w:pPr>
        <w:pStyle w:val="Heading2"/>
        <w:ind w:right="46"/>
        <w:rPr>
          <w:rFonts w:ascii="Arial" w:hAnsi="Arial" w:cs="Arial"/>
          <w:i/>
          <w:sz w:val="22"/>
        </w:rPr>
      </w:pPr>
      <w:r w:rsidRPr="002742BE">
        <w:rPr>
          <w:rFonts w:ascii="Arial" w:hAnsi="Arial" w:cs="Arial"/>
          <w:i/>
          <w:sz w:val="22"/>
        </w:rPr>
        <w:t>Prevention of stroke and systemic embolism in patients with atrial fibrillation</w:t>
      </w:r>
    </w:p>
    <w:p w:rsidR="00A82721" w:rsidRPr="002742BE" w:rsidRDefault="00A82721" w:rsidP="00F04C47">
      <w:pPr>
        <w:ind w:right="46"/>
        <w:jc w:val="both"/>
        <w:rPr>
          <w:rFonts w:ascii="Arial" w:hAnsi="Arial" w:cs="Arial"/>
          <w:sz w:val="22"/>
          <w:szCs w:val="22"/>
          <w:lang w:val="en-AU"/>
        </w:rPr>
      </w:pPr>
      <w:r w:rsidRPr="002742BE">
        <w:rPr>
          <w:rFonts w:ascii="Arial" w:hAnsi="Arial" w:cs="Arial"/>
          <w:sz w:val="22"/>
          <w:szCs w:val="22"/>
          <w:lang w:val="en-AU"/>
        </w:rPr>
        <w:t xml:space="preserve">In the pivotal double-blind ROCKET AF study, a total of 14,264 unique subjects with non-valvular atrial fibrillation who were at risk for stroke and non-CNS systemic embolism were randomly assigned to treatment with either rivaroxaban (7,131 subjects) or warfarin (7,133 subjects) in 45 countries. Patients received </w:t>
      </w:r>
      <w:r w:rsidR="00D353C7" w:rsidRPr="002742BE">
        <w:rPr>
          <w:rFonts w:ascii="Arial" w:hAnsi="Arial" w:cs="Arial"/>
          <w:sz w:val="22"/>
          <w:szCs w:val="22"/>
          <w:lang w:val="en-AU"/>
        </w:rPr>
        <w:t xml:space="preserve">Xarelto </w:t>
      </w:r>
      <w:r w:rsidRPr="002742BE">
        <w:rPr>
          <w:rFonts w:ascii="Arial" w:hAnsi="Arial" w:cs="Arial"/>
          <w:sz w:val="22"/>
          <w:szCs w:val="22"/>
          <w:lang w:val="en-AU"/>
        </w:rPr>
        <w:t>20 mg orally once daily (15 mg orally once daily in patients with moderate (CrCl: 30</w:t>
      </w:r>
      <w:r w:rsidR="00CF2AB8" w:rsidRPr="002742BE">
        <w:rPr>
          <w:rFonts w:ascii="Arial" w:hAnsi="Arial" w:cs="Arial"/>
          <w:sz w:val="22"/>
          <w:szCs w:val="22"/>
          <w:lang w:val="en-AU"/>
        </w:rPr>
        <w:t>-49</w:t>
      </w:r>
      <w:r w:rsidRPr="002742BE">
        <w:rPr>
          <w:rFonts w:ascii="Arial" w:hAnsi="Arial" w:cs="Arial"/>
          <w:sz w:val="22"/>
          <w:szCs w:val="22"/>
          <w:lang w:val="en-AU"/>
        </w:rPr>
        <w:t xml:space="preserve"> mL/min) renal impairment) or warfarin titrated to a target INR of 2.5 (therapeutic range 2.0 to 3.0). The safety population included subjects who were uniquely randomised and took at least 1 dose of study medication. </w:t>
      </w:r>
    </w:p>
    <w:p w:rsidR="00A82721" w:rsidRPr="002742BE" w:rsidRDefault="00A82721" w:rsidP="00F04C47">
      <w:pPr>
        <w:ind w:right="46"/>
        <w:jc w:val="both"/>
        <w:rPr>
          <w:rFonts w:ascii="Arial" w:hAnsi="Arial" w:cs="Arial"/>
          <w:sz w:val="22"/>
          <w:szCs w:val="22"/>
          <w:lang w:val="en-AU"/>
        </w:rPr>
      </w:pPr>
    </w:p>
    <w:p w:rsidR="00A82721" w:rsidRPr="002742BE" w:rsidRDefault="00A82721" w:rsidP="00F04C47">
      <w:pPr>
        <w:ind w:right="46"/>
        <w:jc w:val="both"/>
        <w:rPr>
          <w:rFonts w:ascii="Arial" w:hAnsi="Arial" w:cs="Arial"/>
          <w:sz w:val="22"/>
          <w:szCs w:val="22"/>
          <w:lang w:val="en-AU"/>
        </w:rPr>
      </w:pPr>
      <w:r w:rsidRPr="002742BE">
        <w:rPr>
          <w:rFonts w:ascii="Arial" w:hAnsi="Arial" w:cs="Arial"/>
          <w:sz w:val="22"/>
          <w:szCs w:val="22"/>
          <w:lang w:val="en-AU"/>
        </w:rPr>
        <w:t xml:space="preserve">In total, 14,236 subjects were included in the safety population (used for the safety analyses), with 7,111 and 7,125 subjects in rivaroxaban and warfarin groups, respectively. The median time on treatment was 19 months and overall treatment duration was up to 41 months. The mean duration of </w:t>
      </w:r>
      <w:r w:rsidR="00D353C7" w:rsidRPr="002742BE">
        <w:rPr>
          <w:rFonts w:ascii="Arial" w:hAnsi="Arial" w:cs="Arial"/>
          <w:sz w:val="22"/>
          <w:szCs w:val="22"/>
          <w:lang w:val="en-AU"/>
        </w:rPr>
        <w:t xml:space="preserve">Xarelto </w:t>
      </w:r>
      <w:r w:rsidRPr="002742BE">
        <w:rPr>
          <w:rFonts w:ascii="Arial" w:hAnsi="Arial" w:cs="Arial"/>
          <w:sz w:val="22"/>
          <w:szCs w:val="22"/>
          <w:lang w:val="en-AU"/>
        </w:rPr>
        <w:t>treatment exposure was 572 days.</w:t>
      </w:r>
    </w:p>
    <w:p w:rsidR="009D5B7B" w:rsidRPr="007514E5" w:rsidRDefault="009D5B7B" w:rsidP="00886DF4">
      <w:pPr>
        <w:rPr>
          <w:rFonts w:ascii="Arial" w:hAnsi="Arial" w:cs="Arial"/>
          <w:noProof/>
          <w:sz w:val="22"/>
          <w:szCs w:val="22"/>
          <w:lang w:val="en-AU"/>
        </w:rPr>
      </w:pPr>
      <w:r w:rsidRPr="007B4087">
        <w:rPr>
          <w:rFonts w:ascii="Arial" w:hAnsi="Arial" w:cs="Arial"/>
          <w:sz w:val="22"/>
          <w:szCs w:val="22"/>
          <w:lang w:val="en-AU"/>
        </w:rPr>
        <w:t>The treatment-emergent adverse reactions reported in patients valid for safety analysis in ROCKET AF are presented in</w:t>
      </w:r>
      <w:r w:rsidR="00697614" w:rsidRPr="007B4087">
        <w:rPr>
          <w:rFonts w:ascii="Arial" w:hAnsi="Arial" w:cs="Arial"/>
          <w:sz w:val="22"/>
          <w:szCs w:val="22"/>
          <w:lang w:val="en-AU"/>
        </w:rPr>
        <w:t xml:space="preserve"> </w:t>
      </w:r>
      <w:fldSimple w:instr=" REF _Ref325548904  \* MERGEFORMAT ">
        <w:r w:rsidR="00A24B67" w:rsidRPr="00B15449">
          <w:rPr>
            <w:rFonts w:ascii="Arial" w:hAnsi="Arial" w:cs="Arial"/>
            <w:noProof/>
            <w:sz w:val="22"/>
            <w:szCs w:val="22"/>
            <w:lang w:val="en-AU"/>
          </w:rPr>
          <w:t>Table 17</w:t>
        </w:r>
      </w:fldSimple>
      <w:r w:rsidRPr="007B4087">
        <w:rPr>
          <w:rFonts w:ascii="Arial" w:hAnsi="Arial" w:cs="Arial"/>
          <w:sz w:val="22"/>
          <w:szCs w:val="22"/>
          <w:lang w:val="en-AU"/>
        </w:rPr>
        <w:t>.</w:t>
      </w:r>
    </w:p>
    <w:p w:rsidR="00AA0CDB" w:rsidRDefault="00AA0CDB" w:rsidP="00F04C47">
      <w:pPr>
        <w:ind w:right="46"/>
        <w:jc w:val="both"/>
        <w:rPr>
          <w:rFonts w:ascii="Arial" w:hAnsi="Arial" w:cs="Arial"/>
          <w:sz w:val="22"/>
          <w:szCs w:val="22"/>
          <w:lang w:val="en-AU"/>
        </w:rPr>
      </w:pPr>
    </w:p>
    <w:p w:rsidR="00EE690D" w:rsidRDefault="00EE690D" w:rsidP="00F04C47">
      <w:pPr>
        <w:ind w:right="46"/>
        <w:jc w:val="both"/>
        <w:rPr>
          <w:rFonts w:ascii="Arial" w:hAnsi="Arial" w:cs="Arial"/>
          <w:sz w:val="22"/>
          <w:szCs w:val="22"/>
          <w:lang w:val="en-AU"/>
        </w:rPr>
      </w:pPr>
    </w:p>
    <w:p w:rsidR="00EE690D" w:rsidRDefault="00EE690D" w:rsidP="00F04C47">
      <w:pPr>
        <w:ind w:right="46"/>
        <w:jc w:val="both"/>
        <w:rPr>
          <w:rFonts w:ascii="Arial" w:hAnsi="Arial" w:cs="Arial"/>
          <w:sz w:val="22"/>
          <w:szCs w:val="22"/>
          <w:lang w:val="en-AU"/>
        </w:rPr>
      </w:pPr>
    </w:p>
    <w:p w:rsidR="00EE690D" w:rsidRDefault="00EE690D" w:rsidP="00F04C47">
      <w:pPr>
        <w:ind w:right="46"/>
        <w:jc w:val="both"/>
        <w:rPr>
          <w:rFonts w:ascii="Arial" w:hAnsi="Arial" w:cs="Arial"/>
          <w:sz w:val="22"/>
          <w:szCs w:val="22"/>
          <w:lang w:val="en-AU"/>
        </w:rPr>
      </w:pPr>
    </w:p>
    <w:p w:rsidR="00EE690D" w:rsidRPr="002742BE" w:rsidRDefault="00EE690D" w:rsidP="00F04C47">
      <w:pPr>
        <w:ind w:right="46"/>
        <w:jc w:val="both"/>
        <w:rPr>
          <w:rFonts w:ascii="Arial" w:hAnsi="Arial" w:cs="Arial"/>
          <w:sz w:val="22"/>
          <w:szCs w:val="22"/>
          <w:lang w:val="en-AU"/>
        </w:rPr>
      </w:pPr>
    </w:p>
    <w:p w:rsidR="00604ED5" w:rsidRPr="002742BE" w:rsidRDefault="00580B8A" w:rsidP="005702DF">
      <w:pPr>
        <w:pStyle w:val="Caption"/>
        <w:keepNext/>
        <w:ind w:right="46"/>
        <w:jc w:val="both"/>
        <w:rPr>
          <w:rFonts w:ascii="Arial" w:hAnsi="Arial" w:cs="Arial"/>
          <w:lang w:val="en-AU"/>
        </w:rPr>
      </w:pPr>
      <w:bookmarkStart w:id="30" w:name="_Ref318989838"/>
      <w:bookmarkStart w:id="31" w:name="_Ref325548904"/>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17</w:t>
      </w:r>
      <w:r w:rsidR="00794C79" w:rsidRPr="002742BE">
        <w:rPr>
          <w:rFonts w:ascii="Arial" w:hAnsi="Arial" w:cs="Arial"/>
          <w:lang w:val="en-AU"/>
        </w:rPr>
        <w:fldChar w:fldCharType="end"/>
      </w:r>
      <w:bookmarkEnd w:id="30"/>
      <w:bookmarkEnd w:id="31"/>
      <w:r w:rsidRPr="002742BE">
        <w:rPr>
          <w:rFonts w:ascii="Arial" w:hAnsi="Arial" w:cs="Arial"/>
          <w:lang w:val="en-AU"/>
        </w:rPr>
        <w:t>: Incidence of treatment-emergent adverse reactions grouped by System Organ Class occurring &gt;</w:t>
      </w:r>
      <w:r w:rsidR="00DB5B81">
        <w:rPr>
          <w:rFonts w:ascii="Arial" w:hAnsi="Arial" w:cs="Arial"/>
          <w:lang w:val="en-AU"/>
        </w:rPr>
        <w:t xml:space="preserve"> </w:t>
      </w:r>
      <w:r w:rsidRPr="002742BE">
        <w:rPr>
          <w:rFonts w:ascii="Arial" w:hAnsi="Arial" w:cs="Arial"/>
          <w:lang w:val="en-AU"/>
        </w:rPr>
        <w:t>1% of any treatment group – Subjects Valid for Safety Analysis – ROCKET AF SN11630</w:t>
      </w:r>
    </w:p>
    <w:p w:rsidR="004B69F2" w:rsidRPr="002742BE" w:rsidRDefault="004B69F2" w:rsidP="00F04C47">
      <w:pPr>
        <w:pStyle w:val="Caption"/>
        <w:keepNext/>
        <w:ind w:right="46"/>
        <w:rPr>
          <w:lang w:val="en-AU"/>
        </w:rPr>
      </w:pPr>
      <w:r w:rsidRPr="002742BE">
        <w:rPr>
          <w:lang w:val="en-AU"/>
        </w:rPr>
        <w:t xml:space="preserve"> </w:t>
      </w:r>
    </w:p>
    <w:tbl>
      <w:tblPr>
        <w:tblW w:w="0" w:type="auto"/>
        <w:tblInd w:w="108" w:type="dxa"/>
        <w:tblLook w:val="01E0"/>
      </w:tblPr>
      <w:tblGrid>
        <w:gridCol w:w="2988"/>
        <w:gridCol w:w="2880"/>
        <w:gridCol w:w="3060"/>
      </w:tblGrid>
      <w:tr w:rsidR="00770A87" w:rsidRPr="002742BE" w:rsidTr="00BF338F">
        <w:trPr>
          <w:tblHeader/>
        </w:trPr>
        <w:tc>
          <w:tcPr>
            <w:tcW w:w="2988" w:type="dxa"/>
            <w:tcBorders>
              <w:top w:val="single" w:sz="4" w:space="0" w:color="auto"/>
              <w:left w:val="single" w:sz="4" w:space="0" w:color="auto"/>
              <w:bottom w:val="single" w:sz="4" w:space="0" w:color="auto"/>
              <w:right w:val="single" w:sz="4" w:space="0" w:color="auto"/>
            </w:tcBorders>
            <w:shd w:val="clear" w:color="auto" w:fill="E6E6E6"/>
          </w:tcPr>
          <w:p w:rsidR="004B69F2" w:rsidRPr="002742BE" w:rsidRDefault="00E66246"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MedDRA System organ Class</w:t>
            </w:r>
          </w:p>
          <w:p w:rsidR="00E66246" w:rsidRPr="002742BE" w:rsidRDefault="00E66246"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Preferred Term</w:t>
            </w:r>
          </w:p>
        </w:tc>
        <w:tc>
          <w:tcPr>
            <w:tcW w:w="2880" w:type="dxa"/>
            <w:tcBorders>
              <w:top w:val="single" w:sz="4" w:space="0" w:color="auto"/>
              <w:left w:val="single" w:sz="4" w:space="0" w:color="auto"/>
              <w:bottom w:val="single" w:sz="4" w:space="0" w:color="auto"/>
              <w:right w:val="single" w:sz="4" w:space="0" w:color="auto"/>
            </w:tcBorders>
            <w:shd w:val="clear" w:color="auto" w:fill="E6E6E6"/>
          </w:tcPr>
          <w:p w:rsidR="004B69F2" w:rsidRPr="002742BE" w:rsidRDefault="00E66246"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Rivaroxaban</w:t>
            </w:r>
          </w:p>
          <w:p w:rsidR="00E66246" w:rsidRPr="002742BE" w:rsidRDefault="00E66246"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N = 7111 (</w:t>
            </w:r>
            <w:r w:rsidR="001A32B8" w:rsidRPr="002742BE">
              <w:rPr>
                <w:rFonts w:ascii="Arial" w:hAnsi="Arial" w:cs="Arial"/>
                <w:sz w:val="20"/>
                <w:szCs w:val="20"/>
                <w:lang w:val="en-AU"/>
              </w:rPr>
              <w:t>1</w:t>
            </w:r>
            <w:r w:rsidRPr="002742BE">
              <w:rPr>
                <w:rFonts w:ascii="Arial" w:hAnsi="Arial" w:cs="Arial"/>
                <w:sz w:val="20"/>
                <w:szCs w:val="20"/>
                <w:lang w:val="en-AU"/>
              </w:rPr>
              <w:t>00%)</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rsidR="004B69F2" w:rsidRPr="002742BE" w:rsidRDefault="00EC7853"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Warfarin</w:t>
            </w:r>
          </w:p>
          <w:p w:rsidR="00E66246" w:rsidRPr="002742BE" w:rsidRDefault="00E66246"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N = 7125 (100%)</w:t>
            </w:r>
          </w:p>
        </w:tc>
      </w:tr>
      <w:tr w:rsidR="004B69F2" w:rsidRPr="002742BE" w:rsidTr="00BF338F">
        <w:tc>
          <w:tcPr>
            <w:tcW w:w="2988" w:type="dxa"/>
            <w:tcBorders>
              <w:top w:val="single" w:sz="4" w:space="0" w:color="auto"/>
              <w:left w:val="single" w:sz="4" w:space="0" w:color="auto"/>
              <w:right w:val="single" w:sz="4" w:space="0" w:color="auto"/>
            </w:tcBorders>
            <w:shd w:val="clear" w:color="auto" w:fill="auto"/>
          </w:tcPr>
          <w:p w:rsidR="004B69F2" w:rsidRPr="002742BE" w:rsidRDefault="00EF1D3C" w:rsidP="00F04C47">
            <w:pPr>
              <w:tabs>
                <w:tab w:val="left" w:pos="567"/>
              </w:tabs>
              <w:spacing w:before="60" w:after="60"/>
              <w:ind w:right="46"/>
              <w:rPr>
                <w:rFonts w:ascii="Arial" w:hAnsi="Arial" w:cs="Arial"/>
                <w:b/>
                <w:sz w:val="20"/>
                <w:szCs w:val="20"/>
                <w:lang w:val="en-AU"/>
              </w:rPr>
            </w:pPr>
            <w:r w:rsidRPr="002742BE">
              <w:rPr>
                <w:rFonts w:ascii="Arial" w:hAnsi="Arial" w:cs="Arial"/>
                <w:b/>
                <w:sz w:val="20"/>
                <w:szCs w:val="20"/>
                <w:lang w:val="en-AU"/>
              </w:rPr>
              <w:t>Blood and lymphatic system disorders</w:t>
            </w:r>
          </w:p>
        </w:tc>
        <w:tc>
          <w:tcPr>
            <w:tcW w:w="2880" w:type="dxa"/>
            <w:tcBorders>
              <w:top w:val="single" w:sz="4" w:space="0" w:color="auto"/>
              <w:left w:val="single" w:sz="4" w:space="0" w:color="auto"/>
              <w:right w:val="single" w:sz="4" w:space="0" w:color="auto"/>
            </w:tcBorders>
            <w:shd w:val="clear" w:color="auto" w:fill="auto"/>
          </w:tcPr>
          <w:p w:rsidR="004B69F2" w:rsidRPr="002742BE" w:rsidRDefault="004B69F2" w:rsidP="00F04C47">
            <w:pPr>
              <w:tabs>
                <w:tab w:val="left" w:pos="567"/>
              </w:tabs>
              <w:spacing w:before="60" w:after="60"/>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4B69F2" w:rsidRPr="002742BE" w:rsidRDefault="004B69F2" w:rsidP="00F04C47">
            <w:pPr>
              <w:tabs>
                <w:tab w:val="left" w:pos="567"/>
              </w:tabs>
              <w:spacing w:before="60" w:after="60"/>
              <w:ind w:right="46"/>
              <w:jc w:val="center"/>
              <w:rPr>
                <w:rFonts w:ascii="Arial" w:hAnsi="Arial" w:cs="Arial"/>
                <w:b/>
                <w:sz w:val="20"/>
                <w:szCs w:val="20"/>
                <w:lang w:val="en-AU"/>
              </w:rPr>
            </w:pPr>
          </w:p>
        </w:tc>
      </w:tr>
      <w:tr w:rsidR="004B69F2" w:rsidRPr="002742BE" w:rsidTr="00036AEB">
        <w:trPr>
          <w:trHeight w:val="297"/>
        </w:trPr>
        <w:tc>
          <w:tcPr>
            <w:tcW w:w="2988" w:type="dxa"/>
            <w:tcBorders>
              <w:left w:val="single" w:sz="4" w:space="0" w:color="auto"/>
              <w:bottom w:val="single" w:sz="4" w:space="0" w:color="auto"/>
              <w:right w:val="single" w:sz="4" w:space="0" w:color="auto"/>
            </w:tcBorders>
            <w:shd w:val="clear" w:color="auto" w:fill="auto"/>
          </w:tcPr>
          <w:p w:rsidR="004B69F2" w:rsidRPr="002742BE" w:rsidRDefault="00EF1D3C"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lastRenderedPageBreak/>
              <w:t>Anaemia</w:t>
            </w:r>
          </w:p>
        </w:tc>
        <w:tc>
          <w:tcPr>
            <w:tcW w:w="2880" w:type="dxa"/>
            <w:tcBorders>
              <w:left w:val="single" w:sz="4" w:space="0" w:color="auto"/>
              <w:bottom w:val="single" w:sz="4" w:space="0" w:color="auto"/>
              <w:right w:val="single" w:sz="4" w:space="0" w:color="auto"/>
            </w:tcBorders>
            <w:shd w:val="clear" w:color="auto" w:fill="auto"/>
          </w:tcPr>
          <w:p w:rsidR="00604ED5" w:rsidRPr="002742BE" w:rsidRDefault="003D3376" w:rsidP="005702DF">
            <w:pPr>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219 (3.08%)</w:t>
            </w:r>
          </w:p>
        </w:tc>
        <w:tc>
          <w:tcPr>
            <w:tcW w:w="3060" w:type="dxa"/>
            <w:tcBorders>
              <w:left w:val="single" w:sz="4" w:space="0" w:color="auto"/>
              <w:bottom w:val="single" w:sz="4" w:space="0" w:color="auto"/>
              <w:right w:val="single" w:sz="4" w:space="0" w:color="auto"/>
            </w:tcBorders>
            <w:shd w:val="clear" w:color="auto" w:fill="auto"/>
          </w:tcPr>
          <w:p w:rsidR="005949A1" w:rsidRPr="002742BE" w:rsidRDefault="003D3376" w:rsidP="00995D2E">
            <w:pPr>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143 (2.01%)</w:t>
            </w:r>
          </w:p>
        </w:tc>
      </w:tr>
      <w:tr w:rsidR="004B69F2" w:rsidRPr="002742BE" w:rsidTr="00BF338F">
        <w:tc>
          <w:tcPr>
            <w:tcW w:w="2988" w:type="dxa"/>
            <w:tcBorders>
              <w:top w:val="single" w:sz="4" w:space="0" w:color="auto"/>
              <w:left w:val="single" w:sz="4" w:space="0" w:color="auto"/>
              <w:right w:val="single" w:sz="4" w:space="0" w:color="auto"/>
            </w:tcBorders>
            <w:shd w:val="clear" w:color="auto" w:fill="auto"/>
          </w:tcPr>
          <w:p w:rsidR="004B69F2" w:rsidRPr="002742BE" w:rsidRDefault="00EF1D3C" w:rsidP="00F04C47">
            <w:pPr>
              <w:tabs>
                <w:tab w:val="left" w:pos="567"/>
              </w:tabs>
              <w:spacing w:before="60" w:after="60"/>
              <w:ind w:right="46"/>
              <w:rPr>
                <w:rFonts w:ascii="Arial" w:hAnsi="Arial" w:cs="Arial"/>
                <w:b/>
                <w:sz w:val="20"/>
                <w:szCs w:val="20"/>
                <w:lang w:val="en-AU"/>
              </w:rPr>
            </w:pPr>
            <w:r w:rsidRPr="002742BE">
              <w:rPr>
                <w:rFonts w:ascii="Arial" w:hAnsi="Arial" w:cs="Arial"/>
                <w:b/>
                <w:sz w:val="20"/>
                <w:szCs w:val="20"/>
                <w:lang w:val="en-AU"/>
              </w:rPr>
              <w:t>Eye disorders</w:t>
            </w:r>
          </w:p>
        </w:tc>
        <w:tc>
          <w:tcPr>
            <w:tcW w:w="2880" w:type="dxa"/>
            <w:tcBorders>
              <w:top w:val="single" w:sz="4" w:space="0" w:color="auto"/>
              <w:left w:val="single" w:sz="4" w:space="0" w:color="auto"/>
              <w:right w:val="single" w:sz="4" w:space="0" w:color="auto"/>
            </w:tcBorders>
            <w:shd w:val="clear" w:color="auto" w:fill="auto"/>
          </w:tcPr>
          <w:p w:rsidR="004B69F2" w:rsidRPr="002742BE" w:rsidRDefault="004B69F2" w:rsidP="00F04C47">
            <w:pPr>
              <w:tabs>
                <w:tab w:val="left" w:pos="567"/>
              </w:tabs>
              <w:spacing w:before="60" w:after="60"/>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4B69F2" w:rsidRPr="002742BE" w:rsidRDefault="004B69F2" w:rsidP="00F04C47">
            <w:pPr>
              <w:tabs>
                <w:tab w:val="left" w:pos="567"/>
              </w:tabs>
              <w:spacing w:before="60" w:after="60"/>
              <w:ind w:right="46"/>
              <w:jc w:val="center"/>
              <w:rPr>
                <w:rFonts w:ascii="Arial" w:hAnsi="Arial" w:cs="Arial"/>
                <w:b/>
                <w:sz w:val="20"/>
                <w:szCs w:val="20"/>
                <w:lang w:val="en-AU"/>
              </w:rPr>
            </w:pPr>
          </w:p>
        </w:tc>
      </w:tr>
      <w:tr w:rsidR="004B69F2" w:rsidRPr="002742BE" w:rsidTr="005702DF">
        <w:trPr>
          <w:trHeight w:val="558"/>
        </w:trPr>
        <w:tc>
          <w:tcPr>
            <w:tcW w:w="2988" w:type="dxa"/>
            <w:tcBorders>
              <w:left w:val="single" w:sz="4" w:space="0" w:color="auto"/>
              <w:bottom w:val="single" w:sz="4" w:space="0" w:color="auto"/>
              <w:right w:val="single" w:sz="4" w:space="0" w:color="auto"/>
            </w:tcBorders>
            <w:shd w:val="clear" w:color="auto" w:fill="auto"/>
          </w:tcPr>
          <w:p w:rsidR="004B69F2" w:rsidRPr="002742BE" w:rsidRDefault="00EF1D3C"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Conjunctival haemorrhage</w:t>
            </w:r>
          </w:p>
        </w:tc>
        <w:tc>
          <w:tcPr>
            <w:tcW w:w="2880" w:type="dxa"/>
            <w:tcBorders>
              <w:left w:val="single" w:sz="4" w:space="0" w:color="auto"/>
              <w:bottom w:val="single" w:sz="4" w:space="0" w:color="auto"/>
              <w:right w:val="single" w:sz="4" w:space="0" w:color="auto"/>
            </w:tcBorders>
            <w:shd w:val="clear" w:color="auto" w:fill="auto"/>
          </w:tcPr>
          <w:p w:rsidR="00604ED5" w:rsidRPr="002742BE" w:rsidRDefault="003D3376" w:rsidP="005702DF">
            <w:pPr>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104 (1.46)</w:t>
            </w:r>
          </w:p>
        </w:tc>
        <w:tc>
          <w:tcPr>
            <w:tcW w:w="3060" w:type="dxa"/>
            <w:tcBorders>
              <w:left w:val="single" w:sz="4" w:space="0" w:color="auto"/>
              <w:bottom w:val="single" w:sz="4" w:space="0" w:color="auto"/>
              <w:right w:val="single" w:sz="4" w:space="0" w:color="auto"/>
            </w:tcBorders>
            <w:shd w:val="clear" w:color="auto" w:fill="auto"/>
          </w:tcPr>
          <w:p w:rsidR="005949A1" w:rsidRPr="002742BE" w:rsidRDefault="003D3376" w:rsidP="00995D2E">
            <w:pPr>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151 (2.12)</w:t>
            </w:r>
          </w:p>
        </w:tc>
      </w:tr>
      <w:tr w:rsidR="004B69F2" w:rsidRPr="002742BE" w:rsidTr="00BF338F">
        <w:tc>
          <w:tcPr>
            <w:tcW w:w="2988" w:type="dxa"/>
            <w:tcBorders>
              <w:top w:val="single" w:sz="4" w:space="0" w:color="auto"/>
              <w:left w:val="single" w:sz="4" w:space="0" w:color="auto"/>
              <w:right w:val="single" w:sz="4" w:space="0" w:color="auto"/>
            </w:tcBorders>
            <w:shd w:val="clear" w:color="auto" w:fill="auto"/>
          </w:tcPr>
          <w:p w:rsidR="004B69F2" w:rsidRPr="002742BE" w:rsidRDefault="00EF1D3C" w:rsidP="00F04C47">
            <w:pPr>
              <w:tabs>
                <w:tab w:val="left" w:pos="567"/>
              </w:tabs>
              <w:spacing w:before="60" w:after="60"/>
              <w:ind w:right="46"/>
              <w:rPr>
                <w:rFonts w:ascii="Arial" w:hAnsi="Arial" w:cs="Arial"/>
                <w:b/>
                <w:sz w:val="20"/>
                <w:szCs w:val="20"/>
                <w:lang w:val="en-AU"/>
              </w:rPr>
            </w:pPr>
            <w:r w:rsidRPr="002742BE">
              <w:rPr>
                <w:rFonts w:ascii="Arial" w:hAnsi="Arial" w:cs="Arial"/>
                <w:b/>
                <w:sz w:val="20"/>
                <w:szCs w:val="20"/>
                <w:lang w:val="en-AU"/>
              </w:rPr>
              <w:t>Gastrointestinal disorders</w:t>
            </w:r>
          </w:p>
        </w:tc>
        <w:tc>
          <w:tcPr>
            <w:tcW w:w="2880" w:type="dxa"/>
            <w:tcBorders>
              <w:top w:val="single" w:sz="4" w:space="0" w:color="auto"/>
              <w:left w:val="single" w:sz="4" w:space="0" w:color="auto"/>
              <w:right w:val="single" w:sz="4" w:space="0" w:color="auto"/>
            </w:tcBorders>
            <w:shd w:val="clear" w:color="auto" w:fill="auto"/>
          </w:tcPr>
          <w:p w:rsidR="004B69F2" w:rsidRPr="002742BE" w:rsidRDefault="004B69F2" w:rsidP="00F04C47">
            <w:pPr>
              <w:tabs>
                <w:tab w:val="left" w:pos="567"/>
              </w:tabs>
              <w:spacing w:before="60" w:after="60"/>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4B69F2" w:rsidRPr="002742BE" w:rsidRDefault="004B69F2" w:rsidP="00F04C47">
            <w:pPr>
              <w:tabs>
                <w:tab w:val="left" w:pos="567"/>
              </w:tabs>
              <w:spacing w:before="60" w:after="60"/>
              <w:ind w:right="46"/>
              <w:jc w:val="center"/>
              <w:rPr>
                <w:rFonts w:ascii="Arial" w:hAnsi="Arial" w:cs="Arial"/>
                <w:b/>
                <w:sz w:val="20"/>
                <w:szCs w:val="20"/>
                <w:lang w:val="en-AU"/>
              </w:rPr>
            </w:pPr>
          </w:p>
        </w:tc>
      </w:tr>
      <w:tr w:rsidR="00E75920" w:rsidRPr="002742BE" w:rsidTr="00BF338F">
        <w:tc>
          <w:tcPr>
            <w:tcW w:w="2988"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Diarrhoea</w:t>
            </w:r>
          </w:p>
        </w:tc>
        <w:tc>
          <w:tcPr>
            <w:tcW w:w="2880"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379 (5.33%)</w:t>
            </w:r>
          </w:p>
        </w:tc>
        <w:tc>
          <w:tcPr>
            <w:tcW w:w="3060"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397 (5.57%)</w:t>
            </w:r>
          </w:p>
        </w:tc>
      </w:tr>
      <w:tr w:rsidR="00E75920" w:rsidRPr="002742BE" w:rsidTr="00BF338F">
        <w:tc>
          <w:tcPr>
            <w:tcW w:w="2988"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Gingival bleeding</w:t>
            </w:r>
          </w:p>
        </w:tc>
        <w:tc>
          <w:tcPr>
            <w:tcW w:w="2880"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263 (3.70%)</w:t>
            </w:r>
          </w:p>
        </w:tc>
        <w:tc>
          <w:tcPr>
            <w:tcW w:w="3060"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155 (2.18%)</w:t>
            </w:r>
          </w:p>
        </w:tc>
      </w:tr>
      <w:tr w:rsidR="00E75920" w:rsidRPr="002742BE" w:rsidTr="005702DF">
        <w:tc>
          <w:tcPr>
            <w:tcW w:w="2988" w:type="dxa"/>
            <w:tcBorders>
              <w:left w:val="single" w:sz="4" w:space="0" w:color="auto"/>
              <w:bottom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Nausea</w:t>
            </w:r>
          </w:p>
        </w:tc>
        <w:tc>
          <w:tcPr>
            <w:tcW w:w="2880" w:type="dxa"/>
            <w:tcBorders>
              <w:left w:val="single" w:sz="4" w:space="0" w:color="auto"/>
              <w:bottom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194 (2.73%)</w:t>
            </w:r>
          </w:p>
        </w:tc>
        <w:tc>
          <w:tcPr>
            <w:tcW w:w="3060" w:type="dxa"/>
            <w:tcBorders>
              <w:left w:val="single" w:sz="4" w:space="0" w:color="auto"/>
              <w:bottom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153 (2.15%)</w:t>
            </w:r>
          </w:p>
        </w:tc>
      </w:tr>
      <w:tr w:rsidR="00E75920" w:rsidRPr="002742BE" w:rsidTr="005702DF">
        <w:tc>
          <w:tcPr>
            <w:tcW w:w="2988" w:type="dxa"/>
            <w:tcBorders>
              <w:top w:val="single" w:sz="4" w:space="0" w:color="auto"/>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Constipation</w:t>
            </w:r>
          </w:p>
        </w:tc>
        <w:tc>
          <w:tcPr>
            <w:tcW w:w="2880" w:type="dxa"/>
            <w:tcBorders>
              <w:top w:val="single" w:sz="4" w:space="0" w:color="auto"/>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163 (2.29%)</w:t>
            </w:r>
          </w:p>
        </w:tc>
        <w:tc>
          <w:tcPr>
            <w:tcW w:w="3060" w:type="dxa"/>
            <w:tcBorders>
              <w:top w:val="single" w:sz="4" w:space="0" w:color="auto"/>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153 (2.15%)</w:t>
            </w:r>
          </w:p>
        </w:tc>
      </w:tr>
      <w:tr w:rsidR="00E75920" w:rsidRPr="002742BE" w:rsidTr="00B9544A">
        <w:tc>
          <w:tcPr>
            <w:tcW w:w="2988"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Rectal haemorrhage</w:t>
            </w:r>
          </w:p>
        </w:tc>
        <w:tc>
          <w:tcPr>
            <w:tcW w:w="2880"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149 (2.10%)</w:t>
            </w:r>
          </w:p>
        </w:tc>
        <w:tc>
          <w:tcPr>
            <w:tcW w:w="3060"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102 (1.43%)</w:t>
            </w:r>
          </w:p>
        </w:tc>
      </w:tr>
      <w:tr w:rsidR="00E75920" w:rsidRPr="002742BE" w:rsidTr="00E12E26">
        <w:tc>
          <w:tcPr>
            <w:tcW w:w="2988"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Abdominal pain upper</w:t>
            </w:r>
          </w:p>
        </w:tc>
        <w:tc>
          <w:tcPr>
            <w:tcW w:w="2880"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127 (1.79%)</w:t>
            </w:r>
          </w:p>
        </w:tc>
        <w:tc>
          <w:tcPr>
            <w:tcW w:w="3060" w:type="dxa"/>
            <w:tcBorders>
              <w:left w:val="single" w:sz="4" w:space="0" w:color="auto"/>
              <w:right w:val="single" w:sz="4" w:space="0" w:color="auto"/>
            </w:tcBorders>
            <w:shd w:val="clear" w:color="auto" w:fill="auto"/>
          </w:tcPr>
          <w:p w:rsidR="005949A1" w:rsidRPr="002742BE" w:rsidRDefault="00E75920" w:rsidP="00995D2E">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120 (1.68%)</w:t>
            </w:r>
          </w:p>
        </w:tc>
      </w:tr>
      <w:tr w:rsidR="00E75920" w:rsidRPr="002742BE" w:rsidTr="00A26555">
        <w:trPr>
          <w:trHeight w:val="442"/>
        </w:trPr>
        <w:tc>
          <w:tcPr>
            <w:tcW w:w="2988" w:type="dxa"/>
            <w:tcBorders>
              <w:left w:val="single" w:sz="4" w:space="0" w:color="auto"/>
              <w:bottom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 xml:space="preserve">Vomiting </w:t>
            </w:r>
          </w:p>
        </w:tc>
        <w:tc>
          <w:tcPr>
            <w:tcW w:w="2880" w:type="dxa"/>
            <w:tcBorders>
              <w:left w:val="single" w:sz="4" w:space="0" w:color="auto"/>
              <w:bottom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114 (1.60%)</w:t>
            </w:r>
          </w:p>
        </w:tc>
        <w:tc>
          <w:tcPr>
            <w:tcW w:w="3060" w:type="dxa"/>
            <w:tcBorders>
              <w:left w:val="single" w:sz="4" w:space="0" w:color="auto"/>
              <w:bottom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111 (1.56%)</w:t>
            </w:r>
          </w:p>
        </w:tc>
      </w:tr>
      <w:tr w:rsidR="00E75920" w:rsidRPr="002742BE" w:rsidTr="00E12E26">
        <w:tc>
          <w:tcPr>
            <w:tcW w:w="2988" w:type="dxa"/>
            <w:tcBorders>
              <w:top w:val="single" w:sz="4" w:space="0" w:color="auto"/>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Dyspepsia</w:t>
            </w:r>
          </w:p>
        </w:tc>
        <w:tc>
          <w:tcPr>
            <w:tcW w:w="2880" w:type="dxa"/>
            <w:tcBorders>
              <w:top w:val="single" w:sz="4" w:space="0" w:color="auto"/>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111 (1.56%)</w:t>
            </w:r>
          </w:p>
        </w:tc>
        <w:tc>
          <w:tcPr>
            <w:tcW w:w="3060" w:type="dxa"/>
            <w:tcBorders>
              <w:top w:val="single" w:sz="4" w:space="0" w:color="auto"/>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91 (1.28%)</w:t>
            </w:r>
          </w:p>
        </w:tc>
      </w:tr>
      <w:tr w:rsidR="00E75920" w:rsidRPr="002742BE" w:rsidTr="00BF338F">
        <w:tc>
          <w:tcPr>
            <w:tcW w:w="2988"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Abdominal pain</w:t>
            </w:r>
          </w:p>
        </w:tc>
        <w:tc>
          <w:tcPr>
            <w:tcW w:w="2880"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107 (1.50%)</w:t>
            </w:r>
          </w:p>
        </w:tc>
        <w:tc>
          <w:tcPr>
            <w:tcW w:w="3060" w:type="dxa"/>
            <w:tcBorders>
              <w:left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118 (1.66%)</w:t>
            </w:r>
          </w:p>
        </w:tc>
      </w:tr>
      <w:tr w:rsidR="00E75920" w:rsidRPr="002742BE" w:rsidTr="00036AEB">
        <w:trPr>
          <w:trHeight w:val="320"/>
        </w:trPr>
        <w:tc>
          <w:tcPr>
            <w:tcW w:w="2988" w:type="dxa"/>
            <w:tcBorders>
              <w:left w:val="single" w:sz="4" w:space="0" w:color="auto"/>
              <w:bottom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Gastrointestinal haemorrhage</w:t>
            </w:r>
          </w:p>
        </w:tc>
        <w:tc>
          <w:tcPr>
            <w:tcW w:w="2880" w:type="dxa"/>
            <w:tcBorders>
              <w:left w:val="single" w:sz="4" w:space="0" w:color="auto"/>
              <w:bottom w:val="single" w:sz="4" w:space="0" w:color="auto"/>
              <w:right w:val="single" w:sz="4" w:space="0" w:color="auto"/>
            </w:tcBorders>
            <w:shd w:val="clear" w:color="auto" w:fill="auto"/>
          </w:tcPr>
          <w:p w:rsidR="00E75920" w:rsidRPr="002742BE" w:rsidRDefault="00E75920"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100 (1.41%)</w:t>
            </w:r>
          </w:p>
        </w:tc>
        <w:tc>
          <w:tcPr>
            <w:tcW w:w="3060" w:type="dxa"/>
            <w:tcBorders>
              <w:left w:val="single" w:sz="4" w:space="0" w:color="auto"/>
              <w:bottom w:val="single" w:sz="4" w:space="0" w:color="auto"/>
              <w:right w:val="single" w:sz="4" w:space="0" w:color="auto"/>
            </w:tcBorders>
            <w:shd w:val="clear" w:color="auto" w:fill="auto"/>
          </w:tcPr>
          <w:p w:rsidR="005949A1" w:rsidRPr="002742BE" w:rsidRDefault="00E75920" w:rsidP="00EB1F69">
            <w:pPr>
              <w:tabs>
                <w:tab w:val="left" w:pos="567"/>
              </w:tabs>
              <w:spacing w:before="60" w:after="60"/>
              <w:ind w:right="46"/>
              <w:jc w:val="center"/>
              <w:rPr>
                <w:rFonts w:ascii="Arial" w:hAnsi="Arial" w:cs="Arial"/>
                <w:sz w:val="18"/>
                <w:szCs w:val="18"/>
                <w:lang w:val="en-AU"/>
              </w:rPr>
            </w:pPr>
            <w:r w:rsidRPr="002742BE">
              <w:rPr>
                <w:rFonts w:ascii="Arial" w:hAnsi="Arial" w:cs="Arial"/>
                <w:sz w:val="18"/>
                <w:szCs w:val="18"/>
                <w:lang w:val="en-AU"/>
              </w:rPr>
              <w:t>70 (0.98%)</w:t>
            </w:r>
          </w:p>
        </w:tc>
      </w:tr>
      <w:tr w:rsidR="004B69F2" w:rsidRPr="002742BE" w:rsidTr="00BF338F">
        <w:tc>
          <w:tcPr>
            <w:tcW w:w="2988" w:type="dxa"/>
            <w:tcBorders>
              <w:top w:val="single" w:sz="4" w:space="0" w:color="auto"/>
              <w:left w:val="single" w:sz="4" w:space="0" w:color="auto"/>
              <w:right w:val="single" w:sz="4" w:space="0" w:color="auto"/>
            </w:tcBorders>
            <w:shd w:val="clear" w:color="auto" w:fill="auto"/>
          </w:tcPr>
          <w:p w:rsidR="004B69F2" w:rsidRPr="002742BE" w:rsidRDefault="00770A87" w:rsidP="00F04C47">
            <w:pPr>
              <w:tabs>
                <w:tab w:val="left" w:pos="567"/>
              </w:tabs>
              <w:spacing w:before="60" w:after="60"/>
              <w:ind w:right="46"/>
              <w:rPr>
                <w:rFonts w:ascii="Arial" w:hAnsi="Arial" w:cs="Arial"/>
                <w:b/>
                <w:sz w:val="20"/>
                <w:szCs w:val="20"/>
                <w:lang w:val="en-AU"/>
              </w:rPr>
            </w:pPr>
            <w:r w:rsidRPr="002742BE">
              <w:rPr>
                <w:rFonts w:ascii="Arial" w:hAnsi="Arial" w:cs="Arial"/>
                <w:b/>
                <w:sz w:val="20"/>
                <w:szCs w:val="20"/>
                <w:lang w:val="en-AU"/>
              </w:rPr>
              <w:t>General disorders and administration site conditions</w:t>
            </w:r>
          </w:p>
        </w:tc>
        <w:tc>
          <w:tcPr>
            <w:tcW w:w="2880" w:type="dxa"/>
            <w:tcBorders>
              <w:top w:val="single" w:sz="4" w:space="0" w:color="auto"/>
              <w:left w:val="single" w:sz="4" w:space="0" w:color="auto"/>
              <w:right w:val="single" w:sz="4" w:space="0" w:color="auto"/>
            </w:tcBorders>
            <w:shd w:val="clear" w:color="auto" w:fill="auto"/>
          </w:tcPr>
          <w:p w:rsidR="004B69F2" w:rsidRPr="002742BE" w:rsidRDefault="004B69F2" w:rsidP="00F04C47">
            <w:pPr>
              <w:tabs>
                <w:tab w:val="left" w:pos="567"/>
              </w:tabs>
              <w:spacing w:before="60" w:after="60"/>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4B69F2" w:rsidRPr="002742BE" w:rsidRDefault="004B69F2" w:rsidP="00F04C47">
            <w:pPr>
              <w:tabs>
                <w:tab w:val="left" w:pos="567"/>
              </w:tabs>
              <w:spacing w:before="60" w:after="60"/>
              <w:ind w:right="46"/>
              <w:jc w:val="center"/>
              <w:rPr>
                <w:rFonts w:ascii="Arial" w:hAnsi="Arial" w:cs="Arial"/>
                <w:b/>
                <w:sz w:val="20"/>
                <w:szCs w:val="20"/>
                <w:lang w:val="en-AU"/>
              </w:rPr>
            </w:pPr>
          </w:p>
        </w:tc>
      </w:tr>
      <w:tr w:rsidR="00D759F5" w:rsidRPr="002742BE" w:rsidTr="00BF338F">
        <w:tc>
          <w:tcPr>
            <w:tcW w:w="2988"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Oedema peripheral</w:t>
            </w:r>
          </w:p>
        </w:tc>
        <w:tc>
          <w:tcPr>
            <w:tcW w:w="2880"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 xml:space="preserve">  435 (6.12%)</w:t>
            </w:r>
          </w:p>
        </w:tc>
        <w:tc>
          <w:tcPr>
            <w:tcW w:w="3060"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444 (6.23%)</w:t>
            </w:r>
          </w:p>
        </w:tc>
      </w:tr>
      <w:tr w:rsidR="00D759F5" w:rsidRPr="002742BE" w:rsidTr="00BF338F">
        <w:tc>
          <w:tcPr>
            <w:tcW w:w="2988"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Fatigue</w:t>
            </w:r>
          </w:p>
        </w:tc>
        <w:tc>
          <w:tcPr>
            <w:tcW w:w="2880"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223 ( 3.14)</w:t>
            </w:r>
          </w:p>
        </w:tc>
        <w:tc>
          <w:tcPr>
            <w:tcW w:w="3060"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221 ( 3.10)</w:t>
            </w:r>
          </w:p>
        </w:tc>
      </w:tr>
      <w:tr w:rsidR="00D759F5" w:rsidRPr="002742BE" w:rsidTr="00BF338F">
        <w:tc>
          <w:tcPr>
            <w:tcW w:w="2988"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Asthenia</w:t>
            </w:r>
          </w:p>
        </w:tc>
        <w:tc>
          <w:tcPr>
            <w:tcW w:w="2880"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125 ( 1.76)</w:t>
            </w:r>
          </w:p>
        </w:tc>
        <w:tc>
          <w:tcPr>
            <w:tcW w:w="3060"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106 ( 1.49)</w:t>
            </w:r>
          </w:p>
        </w:tc>
      </w:tr>
      <w:tr w:rsidR="00D759F5" w:rsidRPr="002742BE" w:rsidTr="005949A1">
        <w:trPr>
          <w:trHeight w:val="602"/>
        </w:trPr>
        <w:tc>
          <w:tcPr>
            <w:tcW w:w="2988" w:type="dxa"/>
            <w:tcBorders>
              <w:left w:val="single" w:sz="4" w:space="0" w:color="auto"/>
              <w:bottom w:val="single" w:sz="4" w:space="0" w:color="auto"/>
              <w:right w:val="single" w:sz="4" w:space="0" w:color="auto"/>
            </w:tcBorders>
            <w:shd w:val="clear" w:color="auto" w:fill="auto"/>
          </w:tcPr>
          <w:p w:rsidR="006C7D43" w:rsidRPr="002742BE" w:rsidRDefault="00D759F5" w:rsidP="00F04C47">
            <w:pPr>
              <w:tabs>
                <w:tab w:val="left" w:pos="567"/>
              </w:tabs>
              <w:spacing w:before="60" w:after="60"/>
              <w:ind w:right="46"/>
              <w:rPr>
                <w:rFonts w:ascii="Arial" w:hAnsi="Arial" w:cs="Arial"/>
                <w:sz w:val="20"/>
                <w:szCs w:val="20"/>
                <w:lang w:val="en-AU"/>
              </w:rPr>
            </w:pPr>
            <w:r w:rsidRPr="002742BE">
              <w:rPr>
                <w:rFonts w:ascii="Arial" w:hAnsi="Arial" w:cs="Arial"/>
                <w:sz w:val="20"/>
                <w:szCs w:val="20"/>
                <w:lang w:val="en-AU"/>
              </w:rPr>
              <w:t>Pyrexia</w:t>
            </w:r>
          </w:p>
        </w:tc>
        <w:tc>
          <w:tcPr>
            <w:tcW w:w="2880"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72 (1.01%)</w:t>
            </w:r>
          </w:p>
        </w:tc>
        <w:tc>
          <w:tcPr>
            <w:tcW w:w="3060"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18"/>
                <w:szCs w:val="18"/>
                <w:lang w:val="en-AU"/>
              </w:rPr>
              <w:t>87 (1.22%)</w:t>
            </w:r>
          </w:p>
        </w:tc>
      </w:tr>
      <w:tr w:rsidR="009F01ED" w:rsidRPr="002742BE" w:rsidTr="00BF338F">
        <w:tc>
          <w:tcPr>
            <w:tcW w:w="2988"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rPr>
                <w:rFonts w:ascii="Arial" w:hAnsi="Arial" w:cs="Arial"/>
                <w:b/>
                <w:sz w:val="20"/>
                <w:szCs w:val="20"/>
                <w:lang w:val="en-AU"/>
              </w:rPr>
            </w:pPr>
            <w:r w:rsidRPr="002742BE">
              <w:rPr>
                <w:rFonts w:ascii="Arial" w:hAnsi="Arial" w:cs="Arial"/>
                <w:b/>
                <w:sz w:val="20"/>
                <w:szCs w:val="20"/>
                <w:lang w:val="en-AU"/>
              </w:rPr>
              <w:t>Injury, poisoning and postprocedural complications</w:t>
            </w:r>
          </w:p>
        </w:tc>
        <w:tc>
          <w:tcPr>
            <w:tcW w:w="288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b/>
                <w:sz w:val="20"/>
                <w:szCs w:val="20"/>
                <w:lang w:val="en-AU"/>
              </w:rPr>
            </w:pPr>
          </w:p>
        </w:tc>
      </w:tr>
      <w:tr w:rsidR="00D759F5" w:rsidRPr="002742BE" w:rsidTr="00BF338F">
        <w:tc>
          <w:tcPr>
            <w:tcW w:w="2988"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Contusion</w:t>
            </w:r>
          </w:p>
        </w:tc>
        <w:tc>
          <w:tcPr>
            <w:tcW w:w="2880"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18"/>
                <w:szCs w:val="18"/>
                <w:lang w:val="en-AU"/>
              </w:rPr>
            </w:pPr>
            <w:r w:rsidRPr="002742BE">
              <w:rPr>
                <w:rFonts w:ascii="Arial" w:hAnsi="Arial" w:cs="Arial"/>
                <w:sz w:val="18"/>
                <w:szCs w:val="18"/>
                <w:lang w:val="en-AU"/>
              </w:rPr>
              <w:t>196 (2.76)</w:t>
            </w:r>
          </w:p>
          <w:p w:rsidR="00604ED5" w:rsidRPr="002742BE" w:rsidRDefault="00604ED5" w:rsidP="00F04C47">
            <w:pPr>
              <w:tabs>
                <w:tab w:val="left" w:pos="567"/>
              </w:tabs>
              <w:spacing w:before="60" w:after="60" w:line="260" w:lineRule="exact"/>
              <w:ind w:right="46"/>
              <w:jc w:val="center"/>
              <w:rPr>
                <w:rFonts w:ascii="Arial" w:hAnsi="Arial" w:cs="Arial"/>
                <w:sz w:val="20"/>
                <w:szCs w:val="20"/>
                <w:lang w:val="en-AU"/>
              </w:rPr>
            </w:pPr>
          </w:p>
        </w:tc>
        <w:tc>
          <w:tcPr>
            <w:tcW w:w="3060"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291 (4.08)</w:t>
            </w:r>
          </w:p>
        </w:tc>
      </w:tr>
      <w:tr w:rsidR="009F01ED" w:rsidRPr="002742BE" w:rsidTr="00BF338F">
        <w:tc>
          <w:tcPr>
            <w:tcW w:w="2988"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rPr>
                <w:rFonts w:ascii="Arial" w:hAnsi="Arial" w:cs="Arial"/>
                <w:b/>
                <w:sz w:val="20"/>
                <w:szCs w:val="20"/>
                <w:lang w:val="en-AU"/>
              </w:rPr>
            </w:pPr>
            <w:r w:rsidRPr="002742BE">
              <w:rPr>
                <w:rFonts w:ascii="Arial" w:hAnsi="Arial" w:cs="Arial"/>
                <w:b/>
                <w:sz w:val="20"/>
                <w:szCs w:val="20"/>
                <w:lang w:val="en-AU"/>
              </w:rPr>
              <w:t>Investigations</w:t>
            </w:r>
          </w:p>
        </w:tc>
        <w:tc>
          <w:tcPr>
            <w:tcW w:w="288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b/>
                <w:sz w:val="20"/>
                <w:szCs w:val="20"/>
                <w:lang w:val="en-AU"/>
              </w:rPr>
            </w:pPr>
          </w:p>
        </w:tc>
      </w:tr>
      <w:tr w:rsidR="00D759F5" w:rsidRPr="002742BE" w:rsidTr="00BF338F">
        <w:tc>
          <w:tcPr>
            <w:tcW w:w="2988"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Alanine amino transferase increased</w:t>
            </w:r>
          </w:p>
        </w:tc>
        <w:tc>
          <w:tcPr>
            <w:tcW w:w="2880"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144 (2.03)</w:t>
            </w:r>
          </w:p>
        </w:tc>
        <w:tc>
          <w:tcPr>
            <w:tcW w:w="3060"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112 (1.57)</w:t>
            </w:r>
          </w:p>
        </w:tc>
      </w:tr>
      <w:tr w:rsidR="009F01ED" w:rsidRPr="002742BE" w:rsidTr="00BF338F">
        <w:tc>
          <w:tcPr>
            <w:tcW w:w="2988"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rPr>
                <w:rFonts w:ascii="Arial" w:hAnsi="Arial" w:cs="Arial"/>
                <w:b/>
                <w:sz w:val="20"/>
                <w:szCs w:val="20"/>
                <w:lang w:val="en-AU"/>
              </w:rPr>
            </w:pPr>
            <w:r w:rsidRPr="002742BE">
              <w:rPr>
                <w:rFonts w:ascii="Arial" w:hAnsi="Arial" w:cs="Arial"/>
                <w:b/>
                <w:sz w:val="20"/>
                <w:szCs w:val="20"/>
                <w:lang w:val="en-AU"/>
              </w:rPr>
              <w:t>Musculoskeletal, connective tissue and bone disorders</w:t>
            </w:r>
          </w:p>
        </w:tc>
        <w:tc>
          <w:tcPr>
            <w:tcW w:w="288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sz w:val="20"/>
                <w:szCs w:val="20"/>
                <w:lang w:val="en-AU"/>
              </w:rPr>
            </w:pPr>
          </w:p>
        </w:tc>
      </w:tr>
      <w:tr w:rsidR="00D759F5" w:rsidRPr="002742BE" w:rsidTr="00BF338F">
        <w:tc>
          <w:tcPr>
            <w:tcW w:w="2988"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Pain in extremity</w:t>
            </w:r>
          </w:p>
        </w:tc>
        <w:tc>
          <w:tcPr>
            <w:tcW w:w="2880"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18"/>
                <w:szCs w:val="18"/>
                <w:lang w:val="en-AU"/>
              </w:rPr>
            </w:pPr>
            <w:r w:rsidRPr="002742BE">
              <w:rPr>
                <w:rFonts w:ascii="Arial" w:hAnsi="Arial" w:cs="Arial"/>
                <w:sz w:val="18"/>
                <w:szCs w:val="18"/>
                <w:lang w:val="en-AU"/>
              </w:rPr>
              <w:t>191 (2.69)</w:t>
            </w:r>
          </w:p>
          <w:p w:rsidR="00604ED5" w:rsidRPr="002742BE" w:rsidRDefault="00604ED5" w:rsidP="00F04C47">
            <w:pPr>
              <w:tabs>
                <w:tab w:val="left" w:pos="567"/>
              </w:tabs>
              <w:spacing w:before="60" w:after="60" w:line="260" w:lineRule="exact"/>
              <w:ind w:right="46"/>
              <w:jc w:val="center"/>
              <w:rPr>
                <w:rFonts w:ascii="Arial" w:hAnsi="Arial" w:cs="Arial"/>
                <w:sz w:val="20"/>
                <w:szCs w:val="20"/>
                <w:lang w:val="en-AU"/>
              </w:rPr>
            </w:pPr>
          </w:p>
        </w:tc>
        <w:tc>
          <w:tcPr>
            <w:tcW w:w="3060"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208 (2.92)</w:t>
            </w:r>
          </w:p>
        </w:tc>
      </w:tr>
      <w:tr w:rsidR="009F01ED" w:rsidRPr="002742BE" w:rsidTr="00BF338F">
        <w:tc>
          <w:tcPr>
            <w:tcW w:w="2988"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rPr>
                <w:rFonts w:ascii="Arial" w:hAnsi="Arial" w:cs="Arial"/>
                <w:b/>
                <w:sz w:val="20"/>
                <w:szCs w:val="20"/>
                <w:lang w:val="en-AU"/>
              </w:rPr>
            </w:pPr>
            <w:r w:rsidRPr="002742BE">
              <w:rPr>
                <w:rFonts w:ascii="Arial" w:hAnsi="Arial" w:cs="Arial"/>
                <w:b/>
                <w:sz w:val="20"/>
                <w:szCs w:val="20"/>
                <w:lang w:val="en-AU"/>
              </w:rPr>
              <w:t>Nervous system disorders</w:t>
            </w:r>
          </w:p>
        </w:tc>
        <w:tc>
          <w:tcPr>
            <w:tcW w:w="288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b/>
                <w:sz w:val="20"/>
                <w:szCs w:val="20"/>
                <w:lang w:val="en-AU"/>
              </w:rPr>
            </w:pPr>
          </w:p>
        </w:tc>
      </w:tr>
      <w:tr w:rsidR="00D759F5" w:rsidRPr="002742BE" w:rsidTr="00BF338F">
        <w:tc>
          <w:tcPr>
            <w:tcW w:w="2988"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Dizziness</w:t>
            </w:r>
          </w:p>
        </w:tc>
        <w:tc>
          <w:tcPr>
            <w:tcW w:w="2880"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433 (6.09)</w:t>
            </w:r>
          </w:p>
        </w:tc>
        <w:tc>
          <w:tcPr>
            <w:tcW w:w="3060"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449 (6.30)</w:t>
            </w:r>
          </w:p>
        </w:tc>
      </w:tr>
      <w:tr w:rsidR="00D759F5" w:rsidRPr="002742BE" w:rsidTr="00BF338F">
        <w:tc>
          <w:tcPr>
            <w:tcW w:w="2988"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Headache</w:t>
            </w:r>
          </w:p>
        </w:tc>
        <w:tc>
          <w:tcPr>
            <w:tcW w:w="2880"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324 (4.56)</w:t>
            </w:r>
          </w:p>
        </w:tc>
        <w:tc>
          <w:tcPr>
            <w:tcW w:w="3060" w:type="dxa"/>
            <w:tcBorders>
              <w:left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363 (5.09)</w:t>
            </w:r>
          </w:p>
        </w:tc>
      </w:tr>
      <w:tr w:rsidR="00D759F5" w:rsidRPr="002742BE" w:rsidTr="00BF338F">
        <w:tc>
          <w:tcPr>
            <w:tcW w:w="2988"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lastRenderedPageBreak/>
              <w:t>Syncope</w:t>
            </w:r>
          </w:p>
        </w:tc>
        <w:tc>
          <w:tcPr>
            <w:tcW w:w="2880" w:type="dxa"/>
            <w:tcBorders>
              <w:left w:val="single" w:sz="4" w:space="0" w:color="auto"/>
              <w:bottom w:val="single" w:sz="4" w:space="0" w:color="auto"/>
              <w:right w:val="single" w:sz="4" w:space="0" w:color="auto"/>
            </w:tcBorders>
            <w:shd w:val="clear" w:color="auto" w:fill="auto"/>
          </w:tcPr>
          <w:p w:rsidR="00604ED5" w:rsidRPr="002742BE" w:rsidRDefault="00D759F5" w:rsidP="00E8796E">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130 (1.83)</w:t>
            </w:r>
          </w:p>
        </w:tc>
        <w:tc>
          <w:tcPr>
            <w:tcW w:w="3060" w:type="dxa"/>
            <w:tcBorders>
              <w:left w:val="single" w:sz="4" w:space="0" w:color="auto"/>
              <w:bottom w:val="single" w:sz="4" w:space="0" w:color="auto"/>
              <w:right w:val="single" w:sz="4" w:space="0" w:color="auto"/>
            </w:tcBorders>
            <w:shd w:val="clear" w:color="auto" w:fill="auto"/>
          </w:tcPr>
          <w:p w:rsidR="00D759F5" w:rsidRPr="002742BE" w:rsidRDefault="00D759F5"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108 (1.52)</w:t>
            </w:r>
          </w:p>
        </w:tc>
      </w:tr>
      <w:tr w:rsidR="009F01ED" w:rsidRPr="002742BE" w:rsidTr="00BF338F">
        <w:tc>
          <w:tcPr>
            <w:tcW w:w="2988" w:type="dxa"/>
            <w:tcBorders>
              <w:top w:val="single" w:sz="4" w:space="0" w:color="auto"/>
              <w:left w:val="single" w:sz="4" w:space="0" w:color="auto"/>
              <w:right w:val="single" w:sz="4" w:space="0" w:color="auto"/>
            </w:tcBorders>
            <w:shd w:val="clear" w:color="auto" w:fill="auto"/>
          </w:tcPr>
          <w:p w:rsidR="009F01ED" w:rsidRPr="002742BE" w:rsidRDefault="002C5EDD" w:rsidP="00F04C47">
            <w:pPr>
              <w:tabs>
                <w:tab w:val="left" w:pos="567"/>
              </w:tabs>
              <w:spacing w:before="60" w:after="60" w:line="260" w:lineRule="exact"/>
              <w:ind w:right="46"/>
              <w:rPr>
                <w:rFonts w:ascii="Arial" w:hAnsi="Arial" w:cs="Arial"/>
                <w:b/>
                <w:sz w:val="20"/>
                <w:szCs w:val="20"/>
                <w:lang w:val="en-AU"/>
              </w:rPr>
            </w:pPr>
            <w:r w:rsidRPr="002742BE">
              <w:rPr>
                <w:rFonts w:ascii="Arial" w:hAnsi="Arial" w:cs="Arial"/>
                <w:b/>
                <w:sz w:val="20"/>
                <w:szCs w:val="20"/>
                <w:lang w:val="en-AU"/>
              </w:rPr>
              <w:t>Renal and urinary disorders</w:t>
            </w:r>
          </w:p>
        </w:tc>
        <w:tc>
          <w:tcPr>
            <w:tcW w:w="288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b/>
                <w:sz w:val="20"/>
                <w:szCs w:val="20"/>
                <w:lang w:val="en-AU"/>
              </w:rPr>
            </w:pPr>
          </w:p>
        </w:tc>
      </w:tr>
      <w:tr w:rsidR="002B299D" w:rsidRPr="002742BE" w:rsidTr="00BF338F">
        <w:tc>
          <w:tcPr>
            <w:tcW w:w="2988" w:type="dxa"/>
            <w:tcBorders>
              <w:left w:val="single" w:sz="4" w:space="0" w:color="auto"/>
              <w:bottom w:val="single" w:sz="4" w:space="0" w:color="auto"/>
              <w:right w:val="single" w:sz="4" w:space="0" w:color="auto"/>
            </w:tcBorders>
            <w:shd w:val="clear" w:color="auto" w:fill="auto"/>
          </w:tcPr>
          <w:p w:rsidR="002B299D" w:rsidRPr="002742BE" w:rsidRDefault="002B299D"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Haematuria</w:t>
            </w:r>
          </w:p>
        </w:tc>
        <w:tc>
          <w:tcPr>
            <w:tcW w:w="2880" w:type="dxa"/>
            <w:tcBorders>
              <w:left w:val="single" w:sz="4" w:space="0" w:color="auto"/>
              <w:bottom w:val="single" w:sz="4" w:space="0" w:color="auto"/>
              <w:right w:val="single" w:sz="4" w:space="0" w:color="auto"/>
            </w:tcBorders>
            <w:shd w:val="clear" w:color="auto" w:fill="auto"/>
          </w:tcPr>
          <w:p w:rsidR="00604ED5" w:rsidRPr="002742BE" w:rsidRDefault="002B299D" w:rsidP="00E8796E">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296 (4.16)</w:t>
            </w:r>
          </w:p>
        </w:tc>
        <w:tc>
          <w:tcPr>
            <w:tcW w:w="3060" w:type="dxa"/>
            <w:tcBorders>
              <w:left w:val="single" w:sz="4" w:space="0" w:color="auto"/>
              <w:bottom w:val="single" w:sz="4" w:space="0" w:color="auto"/>
              <w:right w:val="single" w:sz="4" w:space="0" w:color="auto"/>
            </w:tcBorders>
            <w:shd w:val="clear" w:color="auto" w:fill="auto"/>
          </w:tcPr>
          <w:p w:rsidR="002B299D" w:rsidRPr="002742BE" w:rsidRDefault="002B299D"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242 (3.40)</w:t>
            </w:r>
          </w:p>
        </w:tc>
      </w:tr>
      <w:tr w:rsidR="009F01ED" w:rsidRPr="002742BE" w:rsidTr="00BF338F">
        <w:tc>
          <w:tcPr>
            <w:tcW w:w="2988" w:type="dxa"/>
            <w:tcBorders>
              <w:top w:val="single" w:sz="4" w:space="0" w:color="auto"/>
              <w:left w:val="single" w:sz="4" w:space="0" w:color="auto"/>
              <w:right w:val="single" w:sz="4" w:space="0" w:color="auto"/>
            </w:tcBorders>
            <w:shd w:val="clear" w:color="auto" w:fill="auto"/>
          </w:tcPr>
          <w:p w:rsidR="009F01ED" w:rsidRPr="002742BE" w:rsidRDefault="002C5EDD" w:rsidP="00F04C47">
            <w:pPr>
              <w:tabs>
                <w:tab w:val="left" w:pos="567"/>
              </w:tabs>
              <w:spacing w:before="60" w:after="60" w:line="260" w:lineRule="exact"/>
              <w:ind w:right="46"/>
              <w:rPr>
                <w:rFonts w:ascii="Arial" w:hAnsi="Arial" w:cs="Arial"/>
                <w:b/>
                <w:sz w:val="20"/>
                <w:szCs w:val="20"/>
                <w:lang w:val="en-AU"/>
              </w:rPr>
            </w:pPr>
            <w:r w:rsidRPr="002742BE">
              <w:rPr>
                <w:rFonts w:ascii="Arial" w:hAnsi="Arial" w:cs="Arial"/>
                <w:b/>
                <w:sz w:val="20"/>
                <w:szCs w:val="20"/>
                <w:lang w:val="en-AU"/>
              </w:rPr>
              <w:t>Respiratory tract disorders</w:t>
            </w:r>
          </w:p>
        </w:tc>
        <w:tc>
          <w:tcPr>
            <w:tcW w:w="288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9F01ED" w:rsidRPr="002742BE" w:rsidRDefault="009F01ED" w:rsidP="00F04C47">
            <w:pPr>
              <w:tabs>
                <w:tab w:val="left" w:pos="567"/>
              </w:tabs>
              <w:spacing w:before="60" w:after="60" w:line="260" w:lineRule="exact"/>
              <w:ind w:right="46"/>
              <w:jc w:val="center"/>
              <w:rPr>
                <w:rFonts w:ascii="Arial" w:hAnsi="Arial" w:cs="Arial"/>
                <w:b/>
                <w:sz w:val="20"/>
                <w:szCs w:val="20"/>
                <w:lang w:val="en-AU"/>
              </w:rPr>
            </w:pPr>
          </w:p>
        </w:tc>
      </w:tr>
      <w:tr w:rsidR="002B299D" w:rsidRPr="002742BE" w:rsidTr="00BF338F">
        <w:tc>
          <w:tcPr>
            <w:tcW w:w="2988" w:type="dxa"/>
            <w:tcBorders>
              <w:left w:val="single" w:sz="4" w:space="0" w:color="auto"/>
              <w:right w:val="single" w:sz="4" w:space="0" w:color="auto"/>
            </w:tcBorders>
            <w:shd w:val="clear" w:color="auto" w:fill="auto"/>
          </w:tcPr>
          <w:p w:rsidR="002B299D" w:rsidRPr="002742BE" w:rsidRDefault="002B299D"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Epistaxis</w:t>
            </w:r>
          </w:p>
        </w:tc>
        <w:tc>
          <w:tcPr>
            <w:tcW w:w="2880" w:type="dxa"/>
            <w:tcBorders>
              <w:left w:val="single" w:sz="4" w:space="0" w:color="auto"/>
              <w:right w:val="single" w:sz="4" w:space="0" w:color="auto"/>
            </w:tcBorders>
            <w:shd w:val="clear" w:color="auto" w:fill="auto"/>
          </w:tcPr>
          <w:p w:rsidR="002B299D" w:rsidRPr="002742BE" w:rsidRDefault="002B299D"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721 (10.14)</w:t>
            </w:r>
          </w:p>
        </w:tc>
        <w:tc>
          <w:tcPr>
            <w:tcW w:w="3060" w:type="dxa"/>
            <w:tcBorders>
              <w:left w:val="single" w:sz="4" w:space="0" w:color="auto"/>
              <w:right w:val="single" w:sz="4" w:space="0" w:color="auto"/>
            </w:tcBorders>
            <w:shd w:val="clear" w:color="auto" w:fill="auto"/>
          </w:tcPr>
          <w:p w:rsidR="002B299D" w:rsidRPr="002742BE" w:rsidRDefault="002B299D"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609 (8.55)</w:t>
            </w:r>
          </w:p>
        </w:tc>
      </w:tr>
      <w:tr w:rsidR="002B299D" w:rsidRPr="002742BE" w:rsidTr="00BF338F">
        <w:tc>
          <w:tcPr>
            <w:tcW w:w="2988" w:type="dxa"/>
            <w:tcBorders>
              <w:left w:val="single" w:sz="4" w:space="0" w:color="auto"/>
              <w:bottom w:val="single" w:sz="4" w:space="0" w:color="auto"/>
              <w:right w:val="single" w:sz="4" w:space="0" w:color="auto"/>
            </w:tcBorders>
            <w:shd w:val="clear" w:color="auto" w:fill="auto"/>
          </w:tcPr>
          <w:p w:rsidR="002B299D" w:rsidRPr="002742BE" w:rsidRDefault="002B299D"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Haemoptysis</w:t>
            </w:r>
          </w:p>
        </w:tc>
        <w:tc>
          <w:tcPr>
            <w:tcW w:w="2880" w:type="dxa"/>
            <w:tcBorders>
              <w:left w:val="single" w:sz="4" w:space="0" w:color="auto"/>
              <w:bottom w:val="single" w:sz="4" w:space="0" w:color="auto"/>
              <w:right w:val="single" w:sz="4" w:space="0" w:color="auto"/>
            </w:tcBorders>
            <w:shd w:val="clear" w:color="auto" w:fill="auto"/>
          </w:tcPr>
          <w:p w:rsidR="002B299D" w:rsidRPr="002742BE" w:rsidRDefault="002B299D"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99 (1.39)</w:t>
            </w:r>
          </w:p>
        </w:tc>
        <w:tc>
          <w:tcPr>
            <w:tcW w:w="3060" w:type="dxa"/>
            <w:tcBorders>
              <w:left w:val="single" w:sz="4" w:space="0" w:color="auto"/>
              <w:bottom w:val="single" w:sz="4" w:space="0" w:color="auto"/>
              <w:right w:val="single" w:sz="4" w:space="0" w:color="auto"/>
            </w:tcBorders>
            <w:shd w:val="clear" w:color="auto" w:fill="auto"/>
          </w:tcPr>
          <w:p w:rsidR="002B299D" w:rsidRPr="002742BE" w:rsidRDefault="002B299D"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100 (1.40)</w:t>
            </w:r>
          </w:p>
        </w:tc>
      </w:tr>
      <w:tr w:rsidR="002C5EDD" w:rsidRPr="002742BE" w:rsidTr="00BF338F">
        <w:tc>
          <w:tcPr>
            <w:tcW w:w="2988" w:type="dxa"/>
            <w:tcBorders>
              <w:top w:val="single" w:sz="4" w:space="0" w:color="auto"/>
              <w:left w:val="single" w:sz="4" w:space="0" w:color="auto"/>
              <w:right w:val="single" w:sz="4" w:space="0" w:color="auto"/>
            </w:tcBorders>
            <w:shd w:val="clear" w:color="auto" w:fill="auto"/>
          </w:tcPr>
          <w:p w:rsidR="002C5EDD" w:rsidRPr="002742BE" w:rsidRDefault="00181158" w:rsidP="00F04C47">
            <w:pPr>
              <w:tabs>
                <w:tab w:val="left" w:pos="567"/>
              </w:tabs>
              <w:spacing w:before="60" w:after="60" w:line="260" w:lineRule="exact"/>
              <w:ind w:right="46"/>
              <w:rPr>
                <w:rFonts w:ascii="Arial" w:hAnsi="Arial" w:cs="Arial"/>
                <w:b/>
                <w:sz w:val="20"/>
                <w:szCs w:val="20"/>
                <w:lang w:val="en-AU"/>
              </w:rPr>
            </w:pPr>
            <w:r w:rsidRPr="002742BE">
              <w:rPr>
                <w:rFonts w:ascii="Arial" w:hAnsi="Arial" w:cs="Arial"/>
                <w:b/>
                <w:sz w:val="20"/>
                <w:szCs w:val="20"/>
                <w:lang w:val="en-AU"/>
              </w:rPr>
              <w:t>Skin and subcutaneous tissue disorders</w:t>
            </w:r>
          </w:p>
        </w:tc>
        <w:tc>
          <w:tcPr>
            <w:tcW w:w="2880" w:type="dxa"/>
            <w:tcBorders>
              <w:top w:val="single" w:sz="4" w:space="0" w:color="auto"/>
              <w:left w:val="single" w:sz="4" w:space="0" w:color="auto"/>
              <w:right w:val="single" w:sz="4" w:space="0" w:color="auto"/>
            </w:tcBorders>
            <w:shd w:val="clear" w:color="auto" w:fill="auto"/>
          </w:tcPr>
          <w:p w:rsidR="002C5EDD" w:rsidRPr="002742BE" w:rsidRDefault="002C5EDD" w:rsidP="00F04C47">
            <w:pPr>
              <w:tabs>
                <w:tab w:val="left" w:pos="567"/>
              </w:tabs>
              <w:spacing w:before="60" w:after="60" w:line="260" w:lineRule="exact"/>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2C5EDD" w:rsidRPr="002742BE" w:rsidRDefault="002C5EDD" w:rsidP="00F04C47">
            <w:pPr>
              <w:tabs>
                <w:tab w:val="left" w:pos="567"/>
              </w:tabs>
              <w:spacing w:before="60" w:after="60" w:line="260" w:lineRule="exact"/>
              <w:ind w:right="46"/>
              <w:jc w:val="center"/>
              <w:rPr>
                <w:rFonts w:ascii="Arial" w:hAnsi="Arial" w:cs="Arial"/>
                <w:b/>
                <w:sz w:val="20"/>
                <w:szCs w:val="20"/>
                <w:lang w:val="en-AU"/>
              </w:rPr>
            </w:pPr>
          </w:p>
        </w:tc>
      </w:tr>
      <w:tr w:rsidR="000640C3" w:rsidRPr="002742BE" w:rsidTr="00BF338F">
        <w:tc>
          <w:tcPr>
            <w:tcW w:w="2988" w:type="dxa"/>
            <w:tcBorders>
              <w:left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Ecchymosis</w:t>
            </w:r>
          </w:p>
        </w:tc>
        <w:tc>
          <w:tcPr>
            <w:tcW w:w="2880" w:type="dxa"/>
            <w:tcBorders>
              <w:left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159 (2.24)</w:t>
            </w:r>
          </w:p>
        </w:tc>
        <w:tc>
          <w:tcPr>
            <w:tcW w:w="3060" w:type="dxa"/>
            <w:tcBorders>
              <w:left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234 (3.28)</w:t>
            </w:r>
          </w:p>
        </w:tc>
      </w:tr>
      <w:tr w:rsidR="000640C3" w:rsidRPr="002742BE" w:rsidTr="00BF338F">
        <w:tc>
          <w:tcPr>
            <w:tcW w:w="2988" w:type="dxa"/>
            <w:tcBorders>
              <w:left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Pruritus</w:t>
            </w:r>
          </w:p>
        </w:tc>
        <w:tc>
          <w:tcPr>
            <w:tcW w:w="2880" w:type="dxa"/>
            <w:tcBorders>
              <w:left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120 (1.69)</w:t>
            </w:r>
          </w:p>
        </w:tc>
        <w:tc>
          <w:tcPr>
            <w:tcW w:w="3060" w:type="dxa"/>
            <w:tcBorders>
              <w:left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118 (1.66)</w:t>
            </w:r>
          </w:p>
        </w:tc>
      </w:tr>
      <w:tr w:rsidR="000640C3" w:rsidRPr="002742BE" w:rsidTr="00BF338F">
        <w:tc>
          <w:tcPr>
            <w:tcW w:w="2988" w:type="dxa"/>
            <w:tcBorders>
              <w:left w:val="single" w:sz="4" w:space="0" w:color="auto"/>
              <w:bottom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Rash</w:t>
            </w:r>
          </w:p>
        </w:tc>
        <w:tc>
          <w:tcPr>
            <w:tcW w:w="2880" w:type="dxa"/>
            <w:tcBorders>
              <w:left w:val="single" w:sz="4" w:space="0" w:color="auto"/>
              <w:bottom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112 (1.58)</w:t>
            </w:r>
          </w:p>
        </w:tc>
        <w:tc>
          <w:tcPr>
            <w:tcW w:w="3060" w:type="dxa"/>
            <w:tcBorders>
              <w:left w:val="single" w:sz="4" w:space="0" w:color="auto"/>
              <w:bottom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129 (1.81)</w:t>
            </w:r>
          </w:p>
        </w:tc>
      </w:tr>
      <w:tr w:rsidR="002C5EDD" w:rsidRPr="002742BE" w:rsidTr="00BF338F">
        <w:tc>
          <w:tcPr>
            <w:tcW w:w="2988" w:type="dxa"/>
            <w:tcBorders>
              <w:top w:val="single" w:sz="4" w:space="0" w:color="auto"/>
              <w:left w:val="single" w:sz="4" w:space="0" w:color="auto"/>
              <w:right w:val="single" w:sz="4" w:space="0" w:color="auto"/>
            </w:tcBorders>
            <w:shd w:val="clear" w:color="auto" w:fill="auto"/>
          </w:tcPr>
          <w:p w:rsidR="002C5EDD" w:rsidRPr="002742BE" w:rsidRDefault="00181158" w:rsidP="00F04C47">
            <w:pPr>
              <w:tabs>
                <w:tab w:val="left" w:pos="567"/>
              </w:tabs>
              <w:spacing w:before="60" w:after="60" w:line="260" w:lineRule="exact"/>
              <w:ind w:right="46"/>
              <w:rPr>
                <w:rFonts w:ascii="Arial" w:hAnsi="Arial" w:cs="Arial"/>
                <w:b/>
                <w:sz w:val="20"/>
                <w:szCs w:val="20"/>
                <w:lang w:val="en-AU"/>
              </w:rPr>
            </w:pPr>
            <w:r w:rsidRPr="002742BE">
              <w:rPr>
                <w:rFonts w:ascii="Arial" w:hAnsi="Arial" w:cs="Arial"/>
                <w:b/>
                <w:sz w:val="20"/>
                <w:szCs w:val="20"/>
                <w:lang w:val="en-AU"/>
              </w:rPr>
              <w:t>Vascular disorders</w:t>
            </w:r>
          </w:p>
        </w:tc>
        <w:tc>
          <w:tcPr>
            <w:tcW w:w="2880" w:type="dxa"/>
            <w:tcBorders>
              <w:top w:val="single" w:sz="4" w:space="0" w:color="auto"/>
              <w:left w:val="single" w:sz="4" w:space="0" w:color="auto"/>
              <w:right w:val="single" w:sz="4" w:space="0" w:color="auto"/>
            </w:tcBorders>
            <w:shd w:val="clear" w:color="auto" w:fill="auto"/>
          </w:tcPr>
          <w:p w:rsidR="002C5EDD" w:rsidRPr="002742BE" w:rsidRDefault="002C5EDD" w:rsidP="00F04C47">
            <w:pPr>
              <w:tabs>
                <w:tab w:val="left" w:pos="567"/>
              </w:tabs>
              <w:spacing w:before="60" w:after="60" w:line="260" w:lineRule="exact"/>
              <w:ind w:right="46"/>
              <w:jc w:val="center"/>
              <w:rPr>
                <w:rFonts w:ascii="Arial" w:hAnsi="Arial" w:cs="Arial"/>
                <w:b/>
                <w:sz w:val="20"/>
                <w:szCs w:val="20"/>
                <w:lang w:val="en-AU"/>
              </w:rPr>
            </w:pPr>
          </w:p>
        </w:tc>
        <w:tc>
          <w:tcPr>
            <w:tcW w:w="3060" w:type="dxa"/>
            <w:tcBorders>
              <w:top w:val="single" w:sz="4" w:space="0" w:color="auto"/>
              <w:left w:val="single" w:sz="4" w:space="0" w:color="auto"/>
              <w:right w:val="single" w:sz="4" w:space="0" w:color="auto"/>
            </w:tcBorders>
            <w:shd w:val="clear" w:color="auto" w:fill="auto"/>
          </w:tcPr>
          <w:p w:rsidR="002C5EDD" w:rsidRPr="002742BE" w:rsidRDefault="002C5EDD" w:rsidP="00F04C47">
            <w:pPr>
              <w:tabs>
                <w:tab w:val="left" w:pos="567"/>
              </w:tabs>
              <w:spacing w:before="60" w:after="60" w:line="260" w:lineRule="exact"/>
              <w:ind w:right="46"/>
              <w:jc w:val="center"/>
              <w:rPr>
                <w:rFonts w:ascii="Arial" w:hAnsi="Arial" w:cs="Arial"/>
                <w:b/>
                <w:sz w:val="20"/>
                <w:szCs w:val="20"/>
                <w:lang w:val="en-AU"/>
              </w:rPr>
            </w:pPr>
          </w:p>
        </w:tc>
      </w:tr>
      <w:tr w:rsidR="000640C3" w:rsidRPr="002742BE" w:rsidTr="00BF338F">
        <w:tc>
          <w:tcPr>
            <w:tcW w:w="2988" w:type="dxa"/>
            <w:tcBorders>
              <w:left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Haematoma</w:t>
            </w:r>
          </w:p>
        </w:tc>
        <w:tc>
          <w:tcPr>
            <w:tcW w:w="2880" w:type="dxa"/>
            <w:tcBorders>
              <w:left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216 (3.04)</w:t>
            </w:r>
          </w:p>
        </w:tc>
        <w:tc>
          <w:tcPr>
            <w:tcW w:w="3060" w:type="dxa"/>
            <w:tcBorders>
              <w:left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330 (4.63)</w:t>
            </w:r>
          </w:p>
        </w:tc>
      </w:tr>
      <w:tr w:rsidR="000640C3" w:rsidRPr="002742BE" w:rsidTr="00BF338F">
        <w:tc>
          <w:tcPr>
            <w:tcW w:w="2988" w:type="dxa"/>
            <w:tcBorders>
              <w:left w:val="single" w:sz="4" w:space="0" w:color="auto"/>
              <w:bottom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rPr>
                <w:rFonts w:ascii="Arial" w:hAnsi="Arial" w:cs="Arial"/>
                <w:sz w:val="20"/>
                <w:szCs w:val="20"/>
                <w:lang w:val="en-AU"/>
              </w:rPr>
            </w:pPr>
            <w:r w:rsidRPr="002742BE">
              <w:rPr>
                <w:rFonts w:ascii="Arial" w:hAnsi="Arial" w:cs="Arial"/>
                <w:sz w:val="20"/>
                <w:szCs w:val="20"/>
                <w:lang w:val="en-AU"/>
              </w:rPr>
              <w:t>Hypotension</w:t>
            </w:r>
          </w:p>
        </w:tc>
        <w:tc>
          <w:tcPr>
            <w:tcW w:w="2880" w:type="dxa"/>
            <w:tcBorders>
              <w:left w:val="single" w:sz="4" w:space="0" w:color="auto"/>
              <w:bottom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141 (1.98)</w:t>
            </w:r>
          </w:p>
        </w:tc>
        <w:tc>
          <w:tcPr>
            <w:tcW w:w="3060" w:type="dxa"/>
            <w:tcBorders>
              <w:left w:val="single" w:sz="4" w:space="0" w:color="auto"/>
              <w:bottom w:val="single" w:sz="4" w:space="0" w:color="auto"/>
              <w:right w:val="single" w:sz="4" w:space="0" w:color="auto"/>
            </w:tcBorders>
            <w:shd w:val="clear" w:color="auto" w:fill="auto"/>
          </w:tcPr>
          <w:p w:rsidR="000640C3" w:rsidRPr="002742BE" w:rsidRDefault="000640C3" w:rsidP="00F04C47">
            <w:pPr>
              <w:tabs>
                <w:tab w:val="left" w:pos="567"/>
              </w:tabs>
              <w:spacing w:before="60" w:after="60" w:line="260" w:lineRule="exact"/>
              <w:ind w:right="46"/>
              <w:jc w:val="center"/>
              <w:rPr>
                <w:rFonts w:ascii="Arial" w:hAnsi="Arial" w:cs="Arial"/>
                <w:sz w:val="20"/>
                <w:szCs w:val="20"/>
                <w:lang w:val="en-AU"/>
              </w:rPr>
            </w:pPr>
            <w:r w:rsidRPr="002742BE">
              <w:rPr>
                <w:rFonts w:ascii="Arial" w:hAnsi="Arial" w:cs="Arial"/>
                <w:sz w:val="18"/>
                <w:szCs w:val="18"/>
                <w:lang w:val="en-AU"/>
              </w:rPr>
              <w:t>130 (1.82)</w:t>
            </w:r>
          </w:p>
        </w:tc>
      </w:tr>
    </w:tbl>
    <w:p w:rsidR="00DA36C6" w:rsidRPr="002742BE" w:rsidRDefault="00DA36C6" w:rsidP="00E12E26">
      <w:pPr>
        <w:spacing w:before="120" w:after="120"/>
        <w:ind w:right="45"/>
        <w:rPr>
          <w:rFonts w:ascii="Arial" w:hAnsi="Arial" w:cs="Arial"/>
          <w:b/>
          <w:sz w:val="21"/>
          <w:szCs w:val="21"/>
          <w:lang w:val="en-AU"/>
        </w:rPr>
      </w:pPr>
      <w:r w:rsidRPr="002742BE">
        <w:rPr>
          <w:rFonts w:ascii="Arial" w:hAnsi="Arial" w:cs="Arial"/>
          <w:b/>
          <w:sz w:val="21"/>
          <w:szCs w:val="21"/>
          <w:lang w:val="en-AU"/>
        </w:rPr>
        <w:t>Less frequent ADRs ≥</w:t>
      </w:r>
      <w:r w:rsidR="00DB5B81">
        <w:rPr>
          <w:rFonts w:ascii="Arial" w:hAnsi="Arial" w:cs="Arial"/>
          <w:b/>
          <w:sz w:val="21"/>
          <w:szCs w:val="21"/>
          <w:lang w:val="en-AU"/>
        </w:rPr>
        <w:t xml:space="preserve"> </w:t>
      </w:r>
      <w:r w:rsidRPr="002742BE">
        <w:rPr>
          <w:rFonts w:ascii="Arial" w:hAnsi="Arial" w:cs="Arial"/>
          <w:b/>
          <w:sz w:val="21"/>
          <w:szCs w:val="21"/>
          <w:lang w:val="en-AU"/>
        </w:rPr>
        <w:t>0.1% to &lt;</w:t>
      </w:r>
      <w:r w:rsidR="00DB5B81">
        <w:rPr>
          <w:rFonts w:ascii="Arial" w:hAnsi="Arial" w:cs="Arial"/>
          <w:b/>
          <w:sz w:val="21"/>
          <w:szCs w:val="21"/>
          <w:lang w:val="en-AU"/>
        </w:rPr>
        <w:t xml:space="preserve"> </w:t>
      </w:r>
      <w:r w:rsidRPr="002742BE">
        <w:rPr>
          <w:rFonts w:ascii="Arial" w:hAnsi="Arial" w:cs="Arial"/>
          <w:b/>
          <w:sz w:val="21"/>
          <w:szCs w:val="21"/>
          <w:lang w:val="en-AU"/>
        </w:rPr>
        <w:t>1% unless otherwise specified – ROCKET AF</w:t>
      </w:r>
    </w:p>
    <w:tbl>
      <w:tblPr>
        <w:tblW w:w="0" w:type="auto"/>
        <w:tblInd w:w="-34" w:type="dxa"/>
        <w:tblLook w:val="04A0"/>
      </w:tblPr>
      <w:tblGrid>
        <w:gridCol w:w="2269"/>
        <w:gridCol w:w="6804"/>
      </w:tblGrid>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Cardiac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Tachycardia</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Eye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Eye haemorrhage, vitreous haemorrhage</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Gastrointestinal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Melaena, upper gastrointestinal haemorrhage, haemorrhoidal haemorrhage, haematochezia, Mouth haemorrhage, lower gastrointestinal haemorrhage, anal haemorrhage, gastric ulcer haemorrhage, gastritis haemorrhagic, Gastric haemorrhage, haematemesis, abdominal discomfort, abdominal pain lower, dry mouth</w:t>
            </w:r>
          </w:p>
        </w:tc>
      </w:tr>
      <w:tr w:rsidR="009C294B" w:rsidRPr="002742BE" w:rsidTr="00044B1D">
        <w:trPr>
          <w:trHeight w:val="753"/>
        </w:trPr>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General Disorders and Administration Site Conditions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Malaise</w:t>
            </w:r>
          </w:p>
          <w:p w:rsidR="009C294B" w:rsidRPr="002742BE" w:rsidRDefault="009C294B" w:rsidP="00044B1D">
            <w:pPr>
              <w:tabs>
                <w:tab w:val="left" w:pos="567"/>
              </w:tabs>
              <w:spacing w:before="60" w:after="60"/>
              <w:ind w:right="45"/>
              <w:rPr>
                <w:rFonts w:ascii="Arial" w:hAnsi="Arial" w:cs="Arial"/>
                <w:b/>
                <w:sz w:val="21"/>
                <w:szCs w:val="21"/>
                <w:lang w:val="en-AU"/>
              </w:rPr>
            </w:pP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Hepatobiliary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Hepatic function abnormal, hyperbilirubinaemia, jaundice (≥ 0.01% to &lt;0.1%)</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Immune System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Hypersensitivity</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Injury, Poisoning, and Procedural Complications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Post procedural haemorrhage, wound haemorrhage, traumatic haematoma, incision site haemorrhage, subdural haematoma, subcutaneous haematoma, periorbital haematoma</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Investigations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Haemoglobin decreased, haematocrit decreased, blood bilirubin increased, liver function test abnormal, aspartat aminotransferase increased, hepatic enzyme increased, blood urine present, creatinine renal clearance decreased, blood creatinine increased, blood urea increased, blood alkaline phosphatase increased, lipase increased, bilirubin conjugated increased (with or without concomitant increase of ALT) (≥ 0.01% to &lt;0.1%)</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lastRenderedPageBreak/>
              <w:t>Renal and urinary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Renal impairment</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Reproductive system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Vaginal haemorrhage, metrorrhagia</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Musculoskeletal, Connective Tissue, and Bone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Haemarthrosis, muscle haemorrhage (≥0.01% to &lt;0.1%)</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Nervous system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Loss of consciousness, haemorrhagic stroke, haemorrhage intracranial</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Skin and Subcutaneous Tissue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Dermatitis allergic, rash pruritic, rash erythemateous, rash generalized, pruritus generalized, urticaria, skin haemorrhage</w:t>
            </w:r>
          </w:p>
        </w:tc>
      </w:tr>
      <w:tr w:rsidR="009C294B" w:rsidRPr="002742BE" w:rsidTr="00044B1D">
        <w:tc>
          <w:tcPr>
            <w:tcW w:w="2269" w:type="dxa"/>
            <w:shd w:val="clear" w:color="auto" w:fill="auto"/>
          </w:tcPr>
          <w:p w:rsidR="009C294B" w:rsidRPr="002742BE" w:rsidRDefault="009C294B" w:rsidP="00044B1D">
            <w:pPr>
              <w:tabs>
                <w:tab w:val="left" w:pos="567"/>
              </w:tabs>
              <w:spacing w:before="60" w:after="60"/>
              <w:ind w:right="45"/>
              <w:rPr>
                <w:rFonts w:ascii="Arial" w:hAnsi="Arial" w:cs="Arial"/>
                <w:b/>
                <w:sz w:val="21"/>
                <w:szCs w:val="21"/>
                <w:lang w:val="en-AU"/>
              </w:rPr>
            </w:pPr>
            <w:r w:rsidRPr="002742BE">
              <w:rPr>
                <w:rFonts w:ascii="Arial" w:hAnsi="Arial" w:cs="Arial"/>
                <w:b/>
                <w:sz w:val="21"/>
                <w:szCs w:val="21"/>
                <w:lang w:val="en-AU"/>
              </w:rPr>
              <w:t>Vascular disorders</w:t>
            </w:r>
            <w:r w:rsidRPr="002742BE">
              <w:rPr>
                <w:rFonts w:ascii="Arial" w:hAnsi="Arial" w:cs="Arial"/>
                <w:sz w:val="21"/>
                <w:szCs w:val="21"/>
                <w:lang w:val="en-AU"/>
              </w:rPr>
              <w:t>:</w:t>
            </w:r>
          </w:p>
        </w:tc>
        <w:tc>
          <w:tcPr>
            <w:tcW w:w="6804" w:type="dxa"/>
            <w:shd w:val="clear" w:color="auto" w:fill="auto"/>
          </w:tcPr>
          <w:p w:rsidR="009C294B" w:rsidRPr="002742BE" w:rsidRDefault="009C294B" w:rsidP="00044B1D">
            <w:pPr>
              <w:tabs>
                <w:tab w:val="left" w:pos="567"/>
              </w:tabs>
              <w:spacing w:before="60" w:after="60"/>
              <w:ind w:right="45"/>
              <w:rPr>
                <w:rFonts w:ascii="Arial" w:hAnsi="Arial" w:cs="Arial"/>
                <w:sz w:val="21"/>
                <w:szCs w:val="21"/>
                <w:lang w:val="en-AU"/>
              </w:rPr>
            </w:pPr>
            <w:r w:rsidRPr="002742BE">
              <w:rPr>
                <w:rFonts w:ascii="Arial" w:hAnsi="Arial" w:cs="Arial"/>
                <w:sz w:val="21"/>
                <w:szCs w:val="21"/>
                <w:lang w:val="en-AU"/>
              </w:rPr>
              <w:t>Haemorrhage, bleeding varicose vein</w:t>
            </w:r>
          </w:p>
        </w:tc>
      </w:tr>
    </w:tbl>
    <w:p w:rsidR="00461C1D" w:rsidRDefault="00461C1D" w:rsidP="00E12E26">
      <w:pPr>
        <w:tabs>
          <w:tab w:val="left" w:pos="8640"/>
        </w:tabs>
        <w:autoSpaceDE w:val="0"/>
        <w:autoSpaceDN w:val="0"/>
        <w:adjustRightInd w:val="0"/>
        <w:spacing w:before="120" w:after="120"/>
        <w:ind w:right="45"/>
        <w:jc w:val="both"/>
        <w:rPr>
          <w:rFonts w:ascii="Arial" w:hAnsi="Arial" w:cs="Arial"/>
          <w:sz w:val="22"/>
          <w:szCs w:val="21"/>
          <w:lang w:val="en-AU"/>
        </w:rPr>
      </w:pPr>
      <w:r w:rsidRPr="002742BE">
        <w:rPr>
          <w:rFonts w:ascii="Arial" w:hAnsi="Arial" w:cs="Arial"/>
          <w:sz w:val="22"/>
          <w:szCs w:val="21"/>
          <w:lang w:val="en-AU"/>
        </w:rPr>
        <w:t>In other clinical studies, vascular pseudoaneurysm formation following percutaneous intervention has been reported.</w:t>
      </w:r>
    </w:p>
    <w:p w:rsidR="00A74601" w:rsidRDefault="00A74601" w:rsidP="00A74601">
      <w:pPr>
        <w:pStyle w:val="Heading2"/>
        <w:rPr>
          <w:rFonts w:ascii="Arial" w:hAnsi="Arial" w:cs="Arial"/>
          <w:i/>
          <w:sz w:val="22"/>
        </w:rPr>
      </w:pPr>
      <w:r w:rsidRPr="00A74601">
        <w:rPr>
          <w:rFonts w:ascii="Arial" w:hAnsi="Arial" w:cs="Arial"/>
          <w:i/>
          <w:sz w:val="22"/>
        </w:rPr>
        <w:t>Post-marketing Observations</w:t>
      </w:r>
    </w:p>
    <w:p w:rsidR="00A74601" w:rsidRPr="00A74601" w:rsidRDefault="00A74601" w:rsidP="00E50FEE">
      <w:pPr>
        <w:jc w:val="both"/>
        <w:rPr>
          <w:rFonts w:ascii="Arial" w:hAnsi="Arial" w:cs="Arial"/>
          <w:sz w:val="22"/>
          <w:lang w:val="en-AU"/>
        </w:rPr>
      </w:pPr>
      <w:r w:rsidRPr="00A74601">
        <w:rPr>
          <w:rFonts w:ascii="Arial" w:hAnsi="Arial" w:cs="Arial"/>
          <w:sz w:val="22"/>
          <w:lang w:val="en-AU"/>
        </w:rPr>
        <w:t>Angioe</w:t>
      </w:r>
      <w:r>
        <w:rPr>
          <w:rFonts w:ascii="Arial" w:hAnsi="Arial" w:cs="Arial"/>
          <w:sz w:val="22"/>
          <w:lang w:val="en-AU"/>
        </w:rPr>
        <w:t xml:space="preserve">dema and allergic oedema have been reported post-marketing in temporal association with the use of Xarelto. The frequency of these adverse reactions reported from post-marketing experience cannot be estimated. </w:t>
      </w:r>
    </w:p>
    <w:p w:rsidR="001D1004" w:rsidRPr="002742BE" w:rsidRDefault="001D1004" w:rsidP="00027373">
      <w:pPr>
        <w:pStyle w:val="Heading1"/>
        <w:ind w:right="45"/>
        <w:rPr>
          <w:rFonts w:ascii="Arial" w:hAnsi="Arial" w:cs="Arial"/>
          <w:sz w:val="24"/>
          <w:szCs w:val="24"/>
        </w:rPr>
      </w:pPr>
      <w:r w:rsidRPr="002742BE">
        <w:rPr>
          <w:rFonts w:ascii="Arial" w:hAnsi="Arial" w:cs="Arial"/>
          <w:sz w:val="22"/>
          <w:szCs w:val="22"/>
        </w:rPr>
        <w:t>DOSAGE AND</w:t>
      </w:r>
      <w:r w:rsidRPr="002742BE">
        <w:rPr>
          <w:rFonts w:ascii="Arial" w:hAnsi="Arial" w:cs="Arial"/>
          <w:sz w:val="24"/>
          <w:szCs w:val="24"/>
        </w:rPr>
        <w:t xml:space="preserve"> ADMINISTRATION</w:t>
      </w:r>
    </w:p>
    <w:p w:rsidR="00E677F6" w:rsidRPr="002742BE" w:rsidRDefault="00E677F6" w:rsidP="00A26555">
      <w:pPr>
        <w:pStyle w:val="Heading2"/>
        <w:spacing w:before="120" w:after="240"/>
        <w:ind w:right="45"/>
        <w:rPr>
          <w:rFonts w:ascii="Arial" w:hAnsi="Arial" w:cs="Arial"/>
          <w:i/>
          <w:sz w:val="22"/>
        </w:rPr>
      </w:pPr>
      <w:r w:rsidRPr="002742BE">
        <w:rPr>
          <w:rFonts w:ascii="Arial" w:hAnsi="Arial" w:cs="Arial"/>
          <w:i/>
          <w:sz w:val="22"/>
        </w:rPr>
        <w:t>VTE Prevention in total hip and knee replacement</w:t>
      </w:r>
    </w:p>
    <w:p w:rsidR="001D1004" w:rsidRPr="002742BE" w:rsidRDefault="001D1004" w:rsidP="00A26555">
      <w:pPr>
        <w:tabs>
          <w:tab w:val="left" w:pos="8640"/>
        </w:tabs>
        <w:autoSpaceDE w:val="0"/>
        <w:autoSpaceDN w:val="0"/>
        <w:adjustRightInd w:val="0"/>
        <w:spacing w:before="120" w:after="120"/>
        <w:ind w:right="45"/>
        <w:jc w:val="both"/>
        <w:rPr>
          <w:rFonts w:ascii="Arial" w:hAnsi="Arial" w:cs="Arial"/>
          <w:noProof/>
          <w:sz w:val="22"/>
          <w:szCs w:val="22"/>
          <w:lang w:val="en-AU"/>
        </w:rPr>
      </w:pPr>
      <w:r w:rsidRPr="002742BE">
        <w:rPr>
          <w:rFonts w:ascii="Arial" w:hAnsi="Arial" w:cs="Arial"/>
          <w:sz w:val="22"/>
          <w:szCs w:val="22"/>
          <w:lang w:val="en-AU"/>
        </w:rPr>
        <w:t xml:space="preserve">The recommended dose of </w:t>
      </w:r>
      <w:r w:rsidR="00E8487E" w:rsidRPr="002742BE">
        <w:rPr>
          <w:rFonts w:ascii="Arial" w:hAnsi="Arial" w:cs="Arial"/>
          <w:sz w:val="22"/>
          <w:szCs w:val="22"/>
          <w:lang w:val="en-AU"/>
        </w:rPr>
        <w:t xml:space="preserve">Xarelto </w:t>
      </w:r>
      <w:r w:rsidRPr="002742BE">
        <w:rPr>
          <w:rFonts w:ascii="Arial" w:hAnsi="Arial" w:cs="Arial"/>
          <w:sz w:val="22"/>
          <w:szCs w:val="22"/>
          <w:lang w:val="en-AU"/>
        </w:rPr>
        <w:t>for VTE prevention in major orthopaedic surgery of the lower limbs</w:t>
      </w:r>
      <w:r w:rsidR="00942D67" w:rsidRPr="002742BE">
        <w:rPr>
          <w:rFonts w:ascii="Arial" w:hAnsi="Arial" w:cs="Arial"/>
          <w:sz w:val="22"/>
          <w:szCs w:val="22"/>
          <w:lang w:val="en-AU"/>
        </w:rPr>
        <w:t xml:space="preserve"> (elective total hip or knee replacement)</w:t>
      </w:r>
      <w:r w:rsidR="008010C4" w:rsidRPr="002742BE">
        <w:rPr>
          <w:rFonts w:ascii="Arial" w:hAnsi="Arial" w:cs="Arial"/>
          <w:sz w:val="22"/>
          <w:szCs w:val="22"/>
          <w:lang w:val="en-AU"/>
        </w:rPr>
        <w:t xml:space="preserve"> </w:t>
      </w:r>
      <w:r w:rsidRPr="002742BE">
        <w:rPr>
          <w:rFonts w:ascii="Arial" w:hAnsi="Arial" w:cs="Arial"/>
          <w:sz w:val="22"/>
          <w:szCs w:val="22"/>
          <w:lang w:val="en-AU"/>
        </w:rPr>
        <w:t xml:space="preserve">is </w:t>
      </w:r>
      <w:r w:rsidR="00942D67" w:rsidRPr="002742BE">
        <w:rPr>
          <w:rFonts w:ascii="Arial" w:hAnsi="Arial" w:cs="Arial"/>
          <w:sz w:val="22"/>
          <w:szCs w:val="22"/>
          <w:lang w:val="en-AU"/>
        </w:rPr>
        <w:t xml:space="preserve">a </w:t>
      </w:r>
      <w:r w:rsidRPr="002742BE">
        <w:rPr>
          <w:rFonts w:ascii="Arial" w:hAnsi="Arial" w:cs="Arial"/>
          <w:sz w:val="22"/>
          <w:szCs w:val="22"/>
          <w:lang w:val="en-AU"/>
        </w:rPr>
        <w:t>10 mg tablet taken once daily</w:t>
      </w:r>
      <w:r w:rsidRPr="002742BE">
        <w:rPr>
          <w:rFonts w:ascii="Arial" w:hAnsi="Arial" w:cs="Arial"/>
          <w:noProof/>
          <w:sz w:val="22"/>
          <w:szCs w:val="22"/>
          <w:lang w:val="en-AU"/>
        </w:rPr>
        <w:t xml:space="preserve">. </w:t>
      </w:r>
    </w:p>
    <w:p w:rsidR="001D1004" w:rsidRPr="002742BE" w:rsidRDefault="001D1004" w:rsidP="00A26555">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The initial dose should be taken 6 - 10 hours after surgery provided that haemostasis has been established. </w:t>
      </w:r>
      <w:r w:rsidR="00E8487E" w:rsidRPr="002742BE">
        <w:rPr>
          <w:rFonts w:ascii="Arial" w:hAnsi="Arial" w:cs="Arial"/>
          <w:noProof/>
          <w:sz w:val="22"/>
          <w:szCs w:val="22"/>
          <w:lang w:val="en-AU"/>
        </w:rPr>
        <w:t xml:space="preserve">Xarelto </w:t>
      </w:r>
      <w:r w:rsidRPr="002742BE">
        <w:rPr>
          <w:rFonts w:ascii="Arial" w:hAnsi="Arial" w:cs="Arial"/>
          <w:noProof/>
          <w:sz w:val="22"/>
          <w:szCs w:val="22"/>
          <w:lang w:val="en-AU"/>
        </w:rPr>
        <w:t xml:space="preserve">may be taken with or without food. </w:t>
      </w:r>
    </w:p>
    <w:p w:rsidR="001D1004" w:rsidRPr="002742BE" w:rsidRDefault="001D1004" w:rsidP="00A26555">
      <w:pPr>
        <w:keepNext/>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The duration of treatment depends on the type of major orthopaedic surgery. </w:t>
      </w:r>
    </w:p>
    <w:p w:rsidR="001D1004" w:rsidRPr="002742BE" w:rsidRDefault="001D1004" w:rsidP="004F5D5A">
      <w:pPr>
        <w:pStyle w:val="BulletIndent1"/>
        <w:tabs>
          <w:tab w:val="clear" w:pos="567"/>
          <w:tab w:val="num" w:pos="426"/>
        </w:tabs>
        <w:spacing w:before="120" w:after="120" w:line="240" w:lineRule="auto"/>
        <w:ind w:left="426" w:right="46" w:hanging="426"/>
        <w:jc w:val="both"/>
        <w:rPr>
          <w:rFonts w:ascii="Arial" w:hAnsi="Arial" w:cs="Arial"/>
          <w:noProof/>
          <w:szCs w:val="22"/>
          <w:lang w:val="en-AU"/>
        </w:rPr>
      </w:pPr>
      <w:r w:rsidRPr="002742BE">
        <w:rPr>
          <w:rFonts w:ascii="Arial" w:hAnsi="Arial" w:cs="Arial"/>
          <w:noProof/>
          <w:szCs w:val="22"/>
          <w:lang w:val="en-AU"/>
        </w:rPr>
        <w:t xml:space="preserve">For patients undergoing hip </w:t>
      </w:r>
      <w:r w:rsidR="00942D67" w:rsidRPr="002742BE">
        <w:rPr>
          <w:rFonts w:ascii="Arial" w:hAnsi="Arial" w:cs="Arial"/>
          <w:noProof/>
          <w:szCs w:val="22"/>
          <w:lang w:val="en-AU"/>
        </w:rPr>
        <w:t xml:space="preserve">replacement </w:t>
      </w:r>
      <w:r w:rsidRPr="002742BE">
        <w:rPr>
          <w:rFonts w:ascii="Arial" w:hAnsi="Arial" w:cs="Arial"/>
          <w:noProof/>
          <w:szCs w:val="22"/>
          <w:lang w:val="en-AU"/>
        </w:rPr>
        <w:t>surgery</w:t>
      </w:r>
      <w:r w:rsidR="00627448" w:rsidRPr="002742BE">
        <w:rPr>
          <w:rFonts w:ascii="Arial" w:hAnsi="Arial" w:cs="Arial"/>
          <w:noProof/>
          <w:szCs w:val="22"/>
          <w:lang w:val="en-AU"/>
        </w:rPr>
        <w:t>,</w:t>
      </w:r>
      <w:r w:rsidRPr="002742BE">
        <w:rPr>
          <w:rFonts w:ascii="Arial" w:hAnsi="Arial" w:cs="Arial"/>
          <w:noProof/>
          <w:szCs w:val="22"/>
          <w:lang w:val="en-AU"/>
        </w:rPr>
        <w:t xml:space="preserve"> a treatment duration of 5 weeks is recommended.</w:t>
      </w:r>
    </w:p>
    <w:p w:rsidR="001D1004" w:rsidRPr="002742BE" w:rsidRDefault="001D1004" w:rsidP="004F5D5A">
      <w:pPr>
        <w:pStyle w:val="BulletIndent1"/>
        <w:tabs>
          <w:tab w:val="clear" w:pos="567"/>
          <w:tab w:val="num" w:pos="426"/>
        </w:tabs>
        <w:spacing w:before="120" w:after="120" w:line="240" w:lineRule="auto"/>
        <w:ind w:left="426" w:right="46" w:hanging="426"/>
        <w:jc w:val="both"/>
        <w:rPr>
          <w:rFonts w:ascii="Arial" w:hAnsi="Arial" w:cs="Arial"/>
          <w:noProof/>
          <w:szCs w:val="22"/>
          <w:lang w:val="en-AU"/>
        </w:rPr>
      </w:pPr>
      <w:r w:rsidRPr="002742BE">
        <w:rPr>
          <w:rFonts w:ascii="Arial" w:hAnsi="Arial" w:cs="Arial"/>
          <w:noProof/>
          <w:szCs w:val="22"/>
          <w:lang w:val="en-AU"/>
        </w:rPr>
        <w:t>For patients undergoing knee</w:t>
      </w:r>
      <w:r w:rsidR="00942D67" w:rsidRPr="002742BE">
        <w:rPr>
          <w:rFonts w:ascii="Arial" w:hAnsi="Arial" w:cs="Arial"/>
          <w:noProof/>
          <w:szCs w:val="22"/>
          <w:lang w:val="en-AU"/>
        </w:rPr>
        <w:t xml:space="preserve"> replacement</w:t>
      </w:r>
      <w:r w:rsidRPr="002742BE">
        <w:rPr>
          <w:rFonts w:ascii="Arial" w:hAnsi="Arial" w:cs="Arial"/>
          <w:noProof/>
          <w:szCs w:val="22"/>
          <w:lang w:val="en-AU"/>
        </w:rPr>
        <w:t xml:space="preserve"> surgery</w:t>
      </w:r>
      <w:r w:rsidR="00627448" w:rsidRPr="002742BE">
        <w:rPr>
          <w:rFonts w:ascii="Arial" w:hAnsi="Arial" w:cs="Arial"/>
          <w:noProof/>
          <w:szCs w:val="22"/>
          <w:lang w:val="en-AU"/>
        </w:rPr>
        <w:t>,</w:t>
      </w:r>
      <w:r w:rsidRPr="002742BE">
        <w:rPr>
          <w:rFonts w:ascii="Arial" w:hAnsi="Arial" w:cs="Arial"/>
          <w:noProof/>
          <w:szCs w:val="22"/>
          <w:lang w:val="en-AU"/>
        </w:rPr>
        <w:t xml:space="preserve"> a treatment duration of 2 weeks is recommended.</w:t>
      </w:r>
    </w:p>
    <w:p w:rsidR="00650B4F" w:rsidRPr="002742BE" w:rsidRDefault="00650B4F" w:rsidP="00A26555">
      <w:pPr>
        <w:pStyle w:val="BulletIndent1"/>
        <w:numPr>
          <w:ilvl w:val="0"/>
          <w:numId w:val="0"/>
        </w:numPr>
        <w:spacing w:before="120" w:after="240" w:line="240" w:lineRule="auto"/>
        <w:ind w:right="46"/>
        <w:jc w:val="both"/>
        <w:rPr>
          <w:rFonts w:ascii="Arial" w:hAnsi="Arial" w:cs="Arial"/>
          <w:noProof/>
          <w:szCs w:val="22"/>
          <w:lang w:val="en-AU"/>
        </w:rPr>
      </w:pPr>
      <w:r w:rsidRPr="002742BE">
        <w:rPr>
          <w:rFonts w:ascii="Arial" w:hAnsi="Arial" w:cs="Arial"/>
          <w:noProof/>
          <w:szCs w:val="22"/>
          <w:lang w:val="en-AU"/>
        </w:rPr>
        <w:t xml:space="preserve">Dose of 10 mg </w:t>
      </w:r>
      <w:r w:rsidR="00431F4D" w:rsidRPr="002742BE">
        <w:rPr>
          <w:rFonts w:ascii="Arial" w:hAnsi="Arial" w:cs="Arial"/>
          <w:noProof/>
          <w:szCs w:val="22"/>
          <w:lang w:val="en-AU"/>
        </w:rPr>
        <w:t xml:space="preserve">once daily </w:t>
      </w:r>
      <w:r w:rsidRPr="002742BE">
        <w:rPr>
          <w:rFonts w:ascii="Arial" w:hAnsi="Arial" w:cs="Arial"/>
          <w:noProof/>
          <w:szCs w:val="22"/>
          <w:lang w:val="en-AU"/>
        </w:rPr>
        <w:t>and duration specified for each type of surgery is not to be</w:t>
      </w:r>
      <w:r w:rsidR="004F5D5A" w:rsidRPr="002742BE">
        <w:rPr>
          <w:rFonts w:ascii="Arial" w:hAnsi="Arial" w:cs="Arial"/>
          <w:noProof/>
          <w:szCs w:val="22"/>
          <w:lang w:val="en-AU"/>
        </w:rPr>
        <w:t xml:space="preserve"> </w:t>
      </w:r>
      <w:r w:rsidRPr="002742BE">
        <w:rPr>
          <w:rFonts w:ascii="Arial" w:hAnsi="Arial" w:cs="Arial"/>
          <w:noProof/>
          <w:szCs w:val="22"/>
          <w:lang w:val="en-AU"/>
        </w:rPr>
        <w:t>exceeded.</w:t>
      </w:r>
    </w:p>
    <w:p w:rsidR="00E677F6" w:rsidRPr="002742BE" w:rsidRDefault="00E677F6" w:rsidP="00A26555">
      <w:pPr>
        <w:pStyle w:val="Heading2"/>
        <w:spacing w:before="120" w:after="240"/>
        <w:ind w:right="45"/>
        <w:rPr>
          <w:rFonts w:ascii="Arial" w:hAnsi="Arial" w:cs="Arial"/>
          <w:i/>
          <w:sz w:val="22"/>
        </w:rPr>
      </w:pPr>
      <w:r w:rsidRPr="002742BE">
        <w:rPr>
          <w:rFonts w:ascii="Arial" w:hAnsi="Arial" w:cs="Arial"/>
          <w:i/>
          <w:sz w:val="22"/>
        </w:rPr>
        <w:t>Stroke Prevention in Atrial Fibrillation</w:t>
      </w:r>
    </w:p>
    <w:p w:rsidR="00E677F6" w:rsidRPr="002742BE" w:rsidRDefault="00E677F6" w:rsidP="00A26555">
      <w:pPr>
        <w:pStyle w:val="BayerBodyTextFull"/>
        <w:ind w:right="45"/>
        <w:jc w:val="both"/>
        <w:rPr>
          <w:rFonts w:ascii="Arial" w:hAnsi="Arial" w:cs="Arial"/>
          <w:sz w:val="22"/>
          <w:szCs w:val="22"/>
          <w:lang w:val="en-AU"/>
        </w:rPr>
      </w:pPr>
      <w:r w:rsidRPr="002742BE">
        <w:rPr>
          <w:rFonts w:ascii="Arial" w:hAnsi="Arial" w:cs="Arial"/>
          <w:sz w:val="22"/>
          <w:szCs w:val="22"/>
          <w:lang w:val="en-AU"/>
        </w:rPr>
        <w:t>The recommended dose is 20 mg once daily.</w:t>
      </w:r>
    </w:p>
    <w:p w:rsidR="00E677F6" w:rsidRPr="002742BE" w:rsidRDefault="00E677F6" w:rsidP="00A26555">
      <w:pPr>
        <w:pStyle w:val="BayerBodyTextFull"/>
        <w:ind w:right="45"/>
        <w:jc w:val="both"/>
        <w:rPr>
          <w:rFonts w:ascii="Arial" w:hAnsi="Arial" w:cs="Arial"/>
          <w:sz w:val="22"/>
          <w:szCs w:val="22"/>
          <w:lang w:val="en-AU"/>
        </w:rPr>
      </w:pPr>
      <w:r w:rsidRPr="002742BE">
        <w:rPr>
          <w:rFonts w:ascii="Arial" w:hAnsi="Arial" w:cs="Arial"/>
          <w:sz w:val="22"/>
          <w:szCs w:val="22"/>
          <w:lang w:val="en-AU"/>
        </w:rPr>
        <w:t>For patients with moderate renal impairment (Creatinine clearance: 30 – 49 mL/min), one 15 mg tablet of Xarelto should be taken once daily.</w:t>
      </w:r>
    </w:p>
    <w:p w:rsidR="00E677F6" w:rsidRPr="002742BE" w:rsidRDefault="00E677F6" w:rsidP="00A26555">
      <w:pPr>
        <w:pStyle w:val="BayerBodyTextFull"/>
        <w:ind w:right="45"/>
        <w:jc w:val="both"/>
        <w:rPr>
          <w:rFonts w:ascii="Arial" w:hAnsi="Arial" w:cs="Arial"/>
          <w:sz w:val="22"/>
          <w:szCs w:val="22"/>
          <w:lang w:val="en-AU"/>
        </w:rPr>
      </w:pPr>
      <w:r w:rsidRPr="002742BE">
        <w:rPr>
          <w:rFonts w:ascii="Arial" w:hAnsi="Arial" w:cs="Arial"/>
          <w:sz w:val="22"/>
          <w:szCs w:val="22"/>
          <w:lang w:val="en-AU"/>
        </w:rPr>
        <w:t>Xarelto 20 mg tablets and Xarelto 15 mg tablets should be taken with food</w:t>
      </w:r>
      <w:r w:rsidR="002A03C2">
        <w:rPr>
          <w:rFonts w:ascii="Arial" w:hAnsi="Arial" w:cs="Arial"/>
          <w:sz w:val="22"/>
          <w:szCs w:val="22"/>
          <w:lang w:val="en-AU"/>
        </w:rPr>
        <w:t xml:space="preserve"> (see Pharmacokinetic Properties)</w:t>
      </w:r>
      <w:r w:rsidRPr="002742BE">
        <w:rPr>
          <w:rFonts w:ascii="Arial" w:hAnsi="Arial" w:cs="Arial"/>
          <w:sz w:val="22"/>
          <w:szCs w:val="22"/>
          <w:lang w:val="en-AU"/>
        </w:rPr>
        <w:t>.</w:t>
      </w:r>
    </w:p>
    <w:p w:rsidR="00E677F6" w:rsidRPr="002742BE" w:rsidRDefault="00E677F6" w:rsidP="00A26555">
      <w:pPr>
        <w:pStyle w:val="Heading2"/>
        <w:spacing w:before="120" w:after="240"/>
        <w:ind w:right="45"/>
        <w:rPr>
          <w:rFonts w:ascii="Arial" w:hAnsi="Arial" w:cs="Arial"/>
          <w:i/>
          <w:sz w:val="22"/>
        </w:rPr>
      </w:pPr>
      <w:r w:rsidRPr="002742BE">
        <w:rPr>
          <w:rFonts w:ascii="Arial" w:hAnsi="Arial" w:cs="Arial"/>
          <w:i/>
          <w:sz w:val="22"/>
        </w:rPr>
        <w:lastRenderedPageBreak/>
        <w:t xml:space="preserve">Treatment </w:t>
      </w:r>
      <w:r w:rsidR="003968C2" w:rsidRPr="002742BE">
        <w:rPr>
          <w:rFonts w:ascii="Arial" w:hAnsi="Arial" w:cs="Arial"/>
          <w:i/>
          <w:sz w:val="22"/>
        </w:rPr>
        <w:t xml:space="preserve">of DVT and PE </w:t>
      </w:r>
      <w:r w:rsidRPr="002742BE">
        <w:rPr>
          <w:rFonts w:ascii="Arial" w:hAnsi="Arial" w:cs="Arial"/>
          <w:i/>
          <w:sz w:val="22"/>
        </w:rPr>
        <w:t>and prevention of recurrent DVT and PE</w:t>
      </w:r>
    </w:p>
    <w:p w:rsidR="00E677F6" w:rsidRPr="002742BE" w:rsidRDefault="00E677F6" w:rsidP="00A26555">
      <w:pPr>
        <w:pStyle w:val="BayerBodyTextFull"/>
        <w:ind w:right="45"/>
        <w:jc w:val="both"/>
        <w:rPr>
          <w:rFonts w:ascii="Arial" w:hAnsi="Arial" w:cs="Arial"/>
          <w:sz w:val="22"/>
          <w:szCs w:val="22"/>
          <w:lang w:val="en-AU"/>
        </w:rPr>
      </w:pPr>
      <w:r w:rsidRPr="002742BE">
        <w:rPr>
          <w:rFonts w:ascii="Arial" w:hAnsi="Arial" w:cs="Arial"/>
          <w:sz w:val="22"/>
          <w:szCs w:val="22"/>
          <w:lang w:val="en-AU"/>
        </w:rPr>
        <w:t xml:space="preserve">The recommended dose for the initial treatment of acute DVT </w:t>
      </w:r>
      <w:r w:rsidR="003968C2" w:rsidRPr="002742BE">
        <w:rPr>
          <w:rFonts w:ascii="Arial" w:hAnsi="Arial" w:cs="Arial"/>
          <w:sz w:val="22"/>
          <w:szCs w:val="22"/>
          <w:lang w:val="en-AU"/>
        </w:rPr>
        <w:t xml:space="preserve">and PE </w:t>
      </w:r>
      <w:r w:rsidRPr="002742BE">
        <w:rPr>
          <w:rFonts w:ascii="Arial" w:hAnsi="Arial" w:cs="Arial"/>
          <w:sz w:val="22"/>
          <w:szCs w:val="22"/>
          <w:lang w:val="en-AU"/>
        </w:rPr>
        <w:t xml:space="preserve">is 15 mg Xarelto </w:t>
      </w:r>
      <w:r w:rsidRPr="002742BE">
        <w:rPr>
          <w:rFonts w:ascii="Arial" w:hAnsi="Arial" w:cs="Arial"/>
          <w:b/>
          <w:sz w:val="22"/>
          <w:szCs w:val="22"/>
          <w:lang w:val="en-AU"/>
        </w:rPr>
        <w:t>twice daily</w:t>
      </w:r>
      <w:r w:rsidRPr="002742BE">
        <w:rPr>
          <w:rFonts w:ascii="Arial" w:hAnsi="Arial" w:cs="Arial"/>
          <w:sz w:val="22"/>
          <w:szCs w:val="22"/>
          <w:lang w:val="en-AU"/>
        </w:rPr>
        <w:t xml:space="preserve"> for the first three weeks followed by 20 mg Xarelto </w:t>
      </w:r>
      <w:r w:rsidRPr="002742BE">
        <w:rPr>
          <w:rFonts w:ascii="Arial" w:hAnsi="Arial" w:cs="Arial"/>
          <w:b/>
          <w:sz w:val="22"/>
          <w:szCs w:val="22"/>
          <w:lang w:val="en-AU"/>
        </w:rPr>
        <w:t>once daily</w:t>
      </w:r>
      <w:r w:rsidRPr="002742BE">
        <w:rPr>
          <w:rFonts w:ascii="Arial" w:hAnsi="Arial" w:cs="Arial"/>
          <w:sz w:val="22"/>
          <w:szCs w:val="22"/>
          <w:lang w:val="en-AU"/>
        </w:rPr>
        <w:t xml:space="preserve"> for the continued treatment and the prevention of recurrent DVT and PE.</w:t>
      </w:r>
    </w:p>
    <w:p w:rsidR="00E677F6" w:rsidRPr="002742BE" w:rsidRDefault="00E677F6" w:rsidP="00A26555">
      <w:pPr>
        <w:pStyle w:val="BayerBodyTextFull"/>
        <w:ind w:right="45"/>
        <w:jc w:val="both"/>
        <w:rPr>
          <w:rFonts w:ascii="Arial" w:hAnsi="Arial" w:cs="Arial"/>
          <w:sz w:val="22"/>
          <w:szCs w:val="22"/>
          <w:lang w:val="en-AU"/>
        </w:rPr>
      </w:pPr>
      <w:r w:rsidRPr="002742BE">
        <w:rPr>
          <w:rFonts w:ascii="Arial" w:hAnsi="Arial" w:cs="Arial"/>
          <w:sz w:val="22"/>
          <w:szCs w:val="22"/>
          <w:lang w:val="en-AU"/>
        </w:rPr>
        <w:t>During the initial 3 weeks of acute treatment 15 mg of Xarelto should be taken twice daily.</w:t>
      </w:r>
    </w:p>
    <w:p w:rsidR="00E677F6" w:rsidRPr="002742BE" w:rsidRDefault="00E677F6" w:rsidP="00A26555">
      <w:pPr>
        <w:pStyle w:val="BayerBodyTextFull"/>
        <w:ind w:right="45"/>
        <w:jc w:val="both"/>
        <w:rPr>
          <w:rFonts w:ascii="Arial" w:hAnsi="Arial" w:cs="Arial"/>
          <w:sz w:val="22"/>
          <w:szCs w:val="22"/>
          <w:lang w:val="en-AU"/>
        </w:rPr>
      </w:pPr>
      <w:r w:rsidRPr="002742BE">
        <w:rPr>
          <w:rFonts w:ascii="Arial" w:hAnsi="Arial" w:cs="Arial"/>
          <w:sz w:val="22"/>
          <w:szCs w:val="22"/>
          <w:lang w:val="en-AU"/>
        </w:rPr>
        <w:t>After the initial 3 weeks treatment Xarelto should be continued at 20 mg once daily. Therapy should be continued as long as the VTE risk persists.</w:t>
      </w:r>
      <w:r w:rsidR="00971A4A" w:rsidRPr="002742BE">
        <w:rPr>
          <w:rFonts w:ascii="Arial" w:hAnsi="Arial" w:cs="Arial"/>
          <w:sz w:val="22"/>
          <w:szCs w:val="22"/>
          <w:lang w:val="en-AU"/>
        </w:rPr>
        <w:t xml:space="preserve"> The duration of therapy should be individualised after careful assessment of the treatment benefit against the risk for bleeding. Experience with Xarelto in this indication for more than 12 months is limited.</w:t>
      </w:r>
    </w:p>
    <w:p w:rsidR="00E677F6" w:rsidRPr="002742BE" w:rsidRDefault="00E677F6" w:rsidP="00A26555">
      <w:pPr>
        <w:pStyle w:val="BayerBodyTextFull"/>
        <w:ind w:right="45"/>
        <w:jc w:val="both"/>
        <w:rPr>
          <w:rFonts w:ascii="Arial" w:hAnsi="Arial" w:cs="Arial"/>
          <w:sz w:val="22"/>
          <w:szCs w:val="22"/>
          <w:lang w:val="en-AU"/>
        </w:rPr>
      </w:pPr>
      <w:r w:rsidRPr="002742BE">
        <w:rPr>
          <w:rFonts w:ascii="Arial" w:hAnsi="Arial" w:cs="Arial"/>
          <w:sz w:val="22"/>
          <w:szCs w:val="22"/>
          <w:lang w:val="en-AU"/>
        </w:rPr>
        <w:t>Xarelto 15 mg tablets and Xarelto 20 mg tablets should be taken with food.</w:t>
      </w:r>
    </w:p>
    <w:p w:rsidR="00E677F6" w:rsidRPr="002742BE" w:rsidRDefault="00E677F6" w:rsidP="00A26555">
      <w:pPr>
        <w:pStyle w:val="Heading2"/>
        <w:spacing w:before="120" w:after="240"/>
        <w:ind w:right="45"/>
        <w:rPr>
          <w:rFonts w:ascii="Arial" w:hAnsi="Arial" w:cs="Arial"/>
          <w:i/>
          <w:sz w:val="22"/>
        </w:rPr>
      </w:pPr>
      <w:r w:rsidRPr="002742BE">
        <w:rPr>
          <w:rFonts w:ascii="Arial" w:hAnsi="Arial" w:cs="Arial"/>
          <w:i/>
          <w:sz w:val="22"/>
        </w:rPr>
        <w:t>Special Populations</w:t>
      </w:r>
    </w:p>
    <w:p w:rsidR="00E677F6" w:rsidRPr="002742BE" w:rsidRDefault="00E677F6" w:rsidP="00A26555">
      <w:pPr>
        <w:keepNext/>
        <w:spacing w:before="120" w:after="240"/>
        <w:ind w:right="45"/>
        <w:jc w:val="both"/>
        <w:rPr>
          <w:rFonts w:ascii="Arial" w:hAnsi="Arial" w:cs="Arial"/>
          <w:i/>
          <w:sz w:val="22"/>
          <w:szCs w:val="22"/>
          <w:lang w:val="en-AU"/>
        </w:rPr>
      </w:pPr>
      <w:r w:rsidRPr="002742BE">
        <w:rPr>
          <w:rFonts w:ascii="Arial" w:hAnsi="Arial" w:cs="Arial"/>
          <w:i/>
          <w:sz w:val="22"/>
          <w:szCs w:val="22"/>
          <w:lang w:val="en-AU"/>
        </w:rPr>
        <w:t>Hepatic impairment</w:t>
      </w:r>
    </w:p>
    <w:p w:rsidR="00E677F6" w:rsidRPr="002742BE" w:rsidRDefault="00E677F6" w:rsidP="00A26555">
      <w:pPr>
        <w:spacing w:before="120" w:after="120"/>
        <w:ind w:right="45"/>
        <w:jc w:val="both"/>
        <w:rPr>
          <w:rFonts w:ascii="Arial" w:hAnsi="Arial" w:cs="Arial"/>
          <w:sz w:val="22"/>
          <w:szCs w:val="22"/>
          <w:lang w:val="en-AU"/>
        </w:rPr>
      </w:pPr>
      <w:r w:rsidRPr="002742BE">
        <w:rPr>
          <w:rFonts w:ascii="Arial" w:hAnsi="Arial" w:cs="Arial"/>
          <w:sz w:val="22"/>
          <w:szCs w:val="22"/>
          <w:lang w:val="en-AU"/>
        </w:rPr>
        <w:t xml:space="preserve">Xarelto is contraindicated in patients with </w:t>
      </w:r>
      <w:r w:rsidR="000E5CCD" w:rsidRPr="002742BE">
        <w:rPr>
          <w:rFonts w:ascii="Arial" w:hAnsi="Arial" w:cs="Arial"/>
          <w:sz w:val="22"/>
          <w:szCs w:val="22"/>
          <w:lang w:val="en-AU"/>
        </w:rPr>
        <w:t xml:space="preserve">significant </w:t>
      </w:r>
      <w:r w:rsidRPr="002742BE">
        <w:rPr>
          <w:rFonts w:ascii="Arial" w:hAnsi="Arial" w:cs="Arial"/>
          <w:sz w:val="22"/>
          <w:szCs w:val="22"/>
          <w:lang w:val="en-AU"/>
        </w:rPr>
        <w:t xml:space="preserve">hepatic disease (including moderate to severe hepatic impairment, i.e. Child-Pugh B and C) which is associated with coagulopathy leading to a clinically relevant bleeding risk (see CONTRAINDICATIONS). No dose adjustment is necessary in patients with other hepatic diseases (see Pharmacokinetic </w:t>
      </w:r>
      <w:r w:rsidR="002A03C2">
        <w:rPr>
          <w:rFonts w:ascii="Arial" w:hAnsi="Arial" w:cs="Arial"/>
          <w:sz w:val="22"/>
          <w:szCs w:val="22"/>
          <w:lang w:val="en-AU"/>
        </w:rPr>
        <w:t>P</w:t>
      </w:r>
      <w:r w:rsidRPr="002742BE">
        <w:rPr>
          <w:rFonts w:ascii="Arial" w:hAnsi="Arial" w:cs="Arial"/>
          <w:sz w:val="22"/>
          <w:szCs w:val="22"/>
          <w:lang w:val="en-AU"/>
        </w:rPr>
        <w:t>roperties).</w:t>
      </w:r>
    </w:p>
    <w:p w:rsidR="00E677F6" w:rsidRPr="002742BE" w:rsidRDefault="00E677F6" w:rsidP="00A26555">
      <w:pPr>
        <w:spacing w:before="120" w:after="120"/>
        <w:ind w:right="45"/>
        <w:jc w:val="both"/>
        <w:rPr>
          <w:rFonts w:ascii="Arial" w:hAnsi="Arial" w:cs="Arial"/>
          <w:sz w:val="22"/>
          <w:szCs w:val="22"/>
          <w:lang w:val="en-AU"/>
        </w:rPr>
      </w:pPr>
      <w:r w:rsidRPr="002742BE">
        <w:rPr>
          <w:rFonts w:ascii="Arial" w:hAnsi="Arial" w:cs="Arial"/>
          <w:sz w:val="22"/>
          <w:szCs w:val="22"/>
          <w:lang w:val="en-AU"/>
        </w:rPr>
        <w:t xml:space="preserve">Limited clinical data in patients with moderate hepatic impairment (Child Pugh B) indicate a significant increase in the pharmacological activity. No clinical data are available for patients with severe hepatic impairment (Child Pugh C) (see CONTRAINDICATIONS and Pharmacokinetic </w:t>
      </w:r>
      <w:r w:rsidR="002A03C2">
        <w:rPr>
          <w:rFonts w:ascii="Arial" w:hAnsi="Arial" w:cs="Arial"/>
          <w:sz w:val="22"/>
          <w:szCs w:val="22"/>
          <w:lang w:val="en-AU"/>
        </w:rPr>
        <w:t>P</w:t>
      </w:r>
      <w:r w:rsidRPr="002742BE">
        <w:rPr>
          <w:rFonts w:ascii="Arial" w:hAnsi="Arial" w:cs="Arial"/>
          <w:sz w:val="22"/>
          <w:szCs w:val="22"/>
          <w:lang w:val="en-AU"/>
        </w:rPr>
        <w:t>roperties).</w:t>
      </w:r>
    </w:p>
    <w:p w:rsidR="001D1004" w:rsidRPr="002742BE" w:rsidRDefault="001D1004" w:rsidP="00A26555">
      <w:pPr>
        <w:keepNext/>
        <w:spacing w:before="120" w:after="240"/>
        <w:ind w:right="45"/>
        <w:jc w:val="both"/>
        <w:rPr>
          <w:rFonts w:ascii="Arial" w:hAnsi="Arial" w:cs="Arial"/>
          <w:i/>
          <w:noProof/>
          <w:sz w:val="22"/>
          <w:szCs w:val="22"/>
          <w:lang w:val="en-AU"/>
        </w:rPr>
      </w:pPr>
      <w:r w:rsidRPr="002742BE">
        <w:rPr>
          <w:rFonts w:ascii="Arial" w:hAnsi="Arial" w:cs="Arial"/>
          <w:i/>
          <w:noProof/>
          <w:sz w:val="22"/>
          <w:szCs w:val="22"/>
          <w:lang w:val="en-AU"/>
        </w:rPr>
        <w:t>Renal impairment</w:t>
      </w:r>
    </w:p>
    <w:p w:rsidR="00DE1B91" w:rsidRPr="002742BE" w:rsidRDefault="00DE1B91" w:rsidP="00A26555">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Prior to commencing treatment with Xarelto, an accurate assessment of renal function should be undertaken, especially if there is any suspicion that the person may have a degree of renal impairment. (See Pharmacokinetic</w:t>
      </w:r>
      <w:r w:rsidR="002A03C2">
        <w:rPr>
          <w:rFonts w:ascii="Arial" w:hAnsi="Arial" w:cs="Arial"/>
          <w:noProof/>
          <w:sz w:val="22"/>
          <w:szCs w:val="22"/>
          <w:lang w:val="en-AU"/>
        </w:rPr>
        <w:t xml:space="preserve"> Properties</w:t>
      </w:r>
      <w:r w:rsidRPr="002742BE">
        <w:rPr>
          <w:rFonts w:ascii="Arial" w:hAnsi="Arial" w:cs="Arial"/>
          <w:noProof/>
          <w:sz w:val="22"/>
          <w:szCs w:val="22"/>
          <w:lang w:val="en-AU"/>
        </w:rPr>
        <w:t>)</w:t>
      </w:r>
    </w:p>
    <w:p w:rsidR="00F65298" w:rsidRPr="002742BE" w:rsidRDefault="0074697A" w:rsidP="00A26555">
      <w:pPr>
        <w:spacing w:before="120" w:after="120"/>
        <w:ind w:right="45"/>
        <w:jc w:val="both"/>
        <w:rPr>
          <w:rFonts w:ascii="Arial" w:hAnsi="Arial" w:cs="Arial"/>
          <w:noProof/>
          <w:sz w:val="22"/>
          <w:szCs w:val="22"/>
          <w:lang w:val="en-AU"/>
        </w:rPr>
      </w:pPr>
      <w:r w:rsidRPr="002742BE">
        <w:rPr>
          <w:rFonts w:ascii="Arial" w:hAnsi="Arial" w:cs="Arial"/>
          <w:sz w:val="22"/>
          <w:szCs w:val="22"/>
          <w:lang w:val="en-AU"/>
        </w:rPr>
        <w:t>No clinical data are available for patients with (CrCl &lt;</w:t>
      </w:r>
      <w:r w:rsidR="008010C4" w:rsidRPr="002742BE">
        <w:rPr>
          <w:rFonts w:ascii="Arial" w:hAnsi="Arial" w:cs="Arial"/>
          <w:sz w:val="22"/>
          <w:szCs w:val="22"/>
          <w:lang w:val="en-AU"/>
        </w:rPr>
        <w:t> </w:t>
      </w:r>
      <w:r w:rsidRPr="002742BE">
        <w:rPr>
          <w:rFonts w:ascii="Arial" w:hAnsi="Arial" w:cs="Arial"/>
          <w:sz w:val="22"/>
          <w:szCs w:val="22"/>
          <w:lang w:val="en-AU"/>
        </w:rPr>
        <w:t>15</w:t>
      </w:r>
      <w:r w:rsidR="008010C4" w:rsidRPr="002742BE">
        <w:rPr>
          <w:rFonts w:ascii="Arial" w:hAnsi="Arial" w:cs="Arial"/>
          <w:sz w:val="22"/>
          <w:szCs w:val="22"/>
          <w:lang w:val="en-AU"/>
        </w:rPr>
        <w:t> </w:t>
      </w:r>
      <w:r w:rsidRPr="002742BE">
        <w:rPr>
          <w:rFonts w:ascii="Arial" w:hAnsi="Arial" w:cs="Arial"/>
          <w:sz w:val="22"/>
          <w:szCs w:val="22"/>
          <w:lang w:val="en-AU"/>
        </w:rPr>
        <w:t>mL/min)</w:t>
      </w:r>
      <w:r w:rsidR="00EF6BE7">
        <w:rPr>
          <w:rFonts w:ascii="Arial" w:hAnsi="Arial" w:cs="Arial"/>
          <w:sz w:val="22"/>
          <w:szCs w:val="22"/>
          <w:lang w:val="en-AU"/>
        </w:rPr>
        <w:t xml:space="preserve"> or patients on dialysis</w:t>
      </w:r>
      <w:r w:rsidRPr="002742BE">
        <w:rPr>
          <w:lang w:val="en-AU"/>
        </w:rPr>
        <w:t xml:space="preserve">. </w:t>
      </w:r>
      <w:r w:rsidR="00953A49" w:rsidRPr="002742BE">
        <w:rPr>
          <w:rFonts w:ascii="Arial" w:hAnsi="Arial" w:cs="Arial"/>
          <w:sz w:val="22"/>
          <w:szCs w:val="22"/>
          <w:lang w:val="en-AU"/>
        </w:rPr>
        <w:t>Therefore</w:t>
      </w:r>
      <w:r w:rsidR="00953A49" w:rsidRPr="002742BE">
        <w:rPr>
          <w:lang w:val="en-AU"/>
        </w:rPr>
        <w:t>,</w:t>
      </w:r>
      <w:r w:rsidR="00A60D4F" w:rsidRPr="002742BE">
        <w:rPr>
          <w:lang w:val="en-AU"/>
        </w:rPr>
        <w:t xml:space="preserve"> </w:t>
      </w:r>
      <w:r w:rsidR="00953A49" w:rsidRPr="002742BE">
        <w:rPr>
          <w:rFonts w:ascii="Arial" w:hAnsi="Arial" w:cs="Arial"/>
          <w:noProof/>
          <w:sz w:val="22"/>
          <w:szCs w:val="22"/>
          <w:lang w:val="en-AU"/>
        </w:rPr>
        <w:t>u</w:t>
      </w:r>
      <w:r w:rsidR="00A6789A" w:rsidRPr="002742BE">
        <w:rPr>
          <w:rFonts w:ascii="Arial" w:hAnsi="Arial" w:cs="Arial"/>
          <w:noProof/>
          <w:sz w:val="22"/>
          <w:szCs w:val="22"/>
          <w:lang w:val="en-AU"/>
        </w:rPr>
        <w:t xml:space="preserve">se of </w:t>
      </w:r>
      <w:r w:rsidR="00E8487E" w:rsidRPr="002742BE">
        <w:rPr>
          <w:rFonts w:ascii="Arial" w:hAnsi="Arial" w:cs="Arial"/>
          <w:noProof/>
          <w:sz w:val="22"/>
          <w:szCs w:val="22"/>
          <w:lang w:val="en-AU"/>
        </w:rPr>
        <w:t xml:space="preserve">Xarelto </w:t>
      </w:r>
      <w:r w:rsidR="00A6789A" w:rsidRPr="002742BE">
        <w:rPr>
          <w:rFonts w:ascii="Arial" w:hAnsi="Arial" w:cs="Arial"/>
          <w:noProof/>
          <w:sz w:val="22"/>
          <w:szCs w:val="22"/>
          <w:lang w:val="en-AU"/>
        </w:rPr>
        <w:t xml:space="preserve">is </w:t>
      </w:r>
      <w:r w:rsidR="00953A49" w:rsidRPr="002742BE">
        <w:rPr>
          <w:rFonts w:ascii="Arial" w:hAnsi="Arial" w:cs="Arial"/>
          <w:noProof/>
          <w:sz w:val="22"/>
          <w:szCs w:val="22"/>
          <w:lang w:val="en-AU"/>
        </w:rPr>
        <w:t>contraindicated</w:t>
      </w:r>
      <w:r w:rsidR="00A6789A" w:rsidRPr="002742BE">
        <w:rPr>
          <w:rFonts w:ascii="Arial" w:hAnsi="Arial" w:cs="Arial"/>
          <w:noProof/>
          <w:sz w:val="22"/>
          <w:szCs w:val="22"/>
          <w:lang w:val="en-AU"/>
        </w:rPr>
        <w:t xml:space="preserve"> in </w:t>
      </w:r>
      <w:r w:rsidR="00EF6BE7">
        <w:rPr>
          <w:rFonts w:ascii="Arial" w:hAnsi="Arial" w:cs="Arial"/>
          <w:noProof/>
          <w:sz w:val="22"/>
          <w:szCs w:val="22"/>
          <w:lang w:val="en-AU"/>
        </w:rPr>
        <w:t xml:space="preserve">this </w:t>
      </w:r>
      <w:r w:rsidR="00A6789A" w:rsidRPr="002742BE">
        <w:rPr>
          <w:rFonts w:ascii="Arial" w:hAnsi="Arial" w:cs="Arial"/>
          <w:noProof/>
          <w:sz w:val="22"/>
          <w:szCs w:val="22"/>
          <w:lang w:val="en-AU"/>
        </w:rPr>
        <w:t>patient</w:t>
      </w:r>
      <w:r w:rsidR="00EF6BE7">
        <w:rPr>
          <w:rFonts w:ascii="Arial" w:hAnsi="Arial" w:cs="Arial"/>
          <w:noProof/>
          <w:sz w:val="22"/>
          <w:szCs w:val="22"/>
          <w:lang w:val="en-AU"/>
        </w:rPr>
        <w:t xml:space="preserve"> population</w:t>
      </w:r>
      <w:r w:rsidR="00A6789A" w:rsidRPr="002742BE">
        <w:rPr>
          <w:rFonts w:ascii="Arial" w:hAnsi="Arial" w:cs="Arial"/>
          <w:noProof/>
          <w:sz w:val="22"/>
          <w:szCs w:val="22"/>
          <w:lang w:val="en-AU"/>
        </w:rPr>
        <w:t xml:space="preserve"> (see </w:t>
      </w:r>
      <w:r w:rsidR="00A81BB7" w:rsidRPr="002742BE">
        <w:rPr>
          <w:rFonts w:ascii="Arial" w:hAnsi="Arial" w:cs="Arial"/>
          <w:noProof/>
          <w:sz w:val="22"/>
          <w:szCs w:val="22"/>
          <w:lang w:val="en-AU"/>
        </w:rPr>
        <w:t>CONTRAINDICATIONS</w:t>
      </w:r>
      <w:r w:rsidR="00A6789A" w:rsidRPr="002742BE">
        <w:rPr>
          <w:rFonts w:ascii="Arial" w:hAnsi="Arial" w:cs="Arial"/>
          <w:noProof/>
          <w:sz w:val="22"/>
          <w:szCs w:val="22"/>
          <w:lang w:val="en-AU"/>
        </w:rPr>
        <w:t>).</w:t>
      </w:r>
    </w:p>
    <w:p w:rsidR="00DE1B91" w:rsidRPr="002742BE" w:rsidRDefault="00DE1B91" w:rsidP="00A26555">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Please refer to </w:t>
      </w:r>
      <w:fldSimple w:instr=" REF _Ref318989890  \* MERGEFORMAT ">
        <w:r w:rsidR="00A24B67" w:rsidRPr="0073125C">
          <w:rPr>
            <w:rFonts w:ascii="Arial" w:hAnsi="Arial" w:cs="Arial"/>
            <w:sz w:val="22"/>
            <w:szCs w:val="22"/>
            <w:lang w:val="en-AU"/>
          </w:rPr>
          <w:t xml:space="preserve">Table </w:t>
        </w:r>
        <w:r w:rsidR="00A24B67" w:rsidRPr="0073125C">
          <w:rPr>
            <w:rFonts w:ascii="Arial" w:hAnsi="Arial" w:cs="Arial"/>
            <w:noProof/>
            <w:sz w:val="22"/>
            <w:szCs w:val="22"/>
            <w:lang w:val="en-AU"/>
          </w:rPr>
          <w:t>18</w:t>
        </w:r>
      </w:fldSimple>
      <w:r w:rsidR="000E5CCD" w:rsidRPr="002742BE">
        <w:rPr>
          <w:rFonts w:ascii="Arial" w:hAnsi="Arial" w:cs="Arial"/>
          <w:noProof/>
          <w:sz w:val="22"/>
          <w:szCs w:val="22"/>
          <w:lang w:val="en-AU"/>
        </w:rPr>
        <w:t xml:space="preserve"> </w:t>
      </w:r>
      <w:r w:rsidRPr="002742BE">
        <w:rPr>
          <w:rFonts w:ascii="Arial" w:hAnsi="Arial" w:cs="Arial"/>
          <w:noProof/>
          <w:sz w:val="22"/>
          <w:szCs w:val="22"/>
          <w:lang w:val="en-AU"/>
        </w:rPr>
        <w:t xml:space="preserve">below </w:t>
      </w:r>
      <w:r w:rsidR="00930FAF" w:rsidRPr="002742BE">
        <w:rPr>
          <w:rFonts w:ascii="Arial" w:hAnsi="Arial" w:cs="Arial"/>
          <w:noProof/>
          <w:sz w:val="22"/>
          <w:szCs w:val="22"/>
          <w:lang w:val="en-AU"/>
        </w:rPr>
        <w:t>for dosing instructions for patients with renal impairment by indications.</w:t>
      </w:r>
    </w:p>
    <w:p w:rsidR="00E677F6" w:rsidRPr="002742BE" w:rsidRDefault="00E677F6" w:rsidP="00F04C47">
      <w:pPr>
        <w:pStyle w:val="Caption"/>
        <w:keepNext/>
        <w:ind w:right="46"/>
        <w:rPr>
          <w:rFonts w:ascii="Arial" w:hAnsi="Arial" w:cs="Arial"/>
          <w:lang w:val="en-AU"/>
        </w:rPr>
      </w:pPr>
      <w:bookmarkStart w:id="32" w:name="_Ref318989890"/>
      <w:r w:rsidRPr="002742BE">
        <w:rPr>
          <w:rFonts w:ascii="Arial" w:hAnsi="Arial" w:cs="Arial"/>
          <w:lang w:val="en-AU"/>
        </w:rPr>
        <w:t xml:space="preserve">Table </w:t>
      </w:r>
      <w:r w:rsidR="00794C79" w:rsidRPr="002742BE">
        <w:rPr>
          <w:rFonts w:ascii="Arial" w:hAnsi="Arial" w:cs="Arial"/>
          <w:lang w:val="en-AU"/>
        </w:rPr>
        <w:fldChar w:fldCharType="begin"/>
      </w:r>
      <w:r w:rsidRPr="002742BE">
        <w:rPr>
          <w:rFonts w:ascii="Arial" w:hAnsi="Arial" w:cs="Arial"/>
          <w:lang w:val="en-AU"/>
        </w:rPr>
        <w:instrText xml:space="preserve"> SEQ Table \* ARABIC </w:instrText>
      </w:r>
      <w:r w:rsidR="00794C79" w:rsidRPr="002742BE">
        <w:rPr>
          <w:rFonts w:ascii="Arial" w:hAnsi="Arial" w:cs="Arial"/>
          <w:lang w:val="en-AU"/>
        </w:rPr>
        <w:fldChar w:fldCharType="separate"/>
      </w:r>
      <w:r w:rsidR="00A24B67">
        <w:rPr>
          <w:rFonts w:ascii="Arial" w:hAnsi="Arial" w:cs="Arial"/>
          <w:noProof/>
          <w:lang w:val="en-AU"/>
        </w:rPr>
        <w:t>18</w:t>
      </w:r>
      <w:r w:rsidR="00794C79" w:rsidRPr="002742BE">
        <w:rPr>
          <w:rFonts w:ascii="Arial" w:hAnsi="Arial" w:cs="Arial"/>
          <w:lang w:val="en-AU"/>
        </w:rPr>
        <w:fldChar w:fldCharType="end"/>
      </w:r>
      <w:bookmarkEnd w:id="32"/>
      <w:r w:rsidRPr="002742BE">
        <w:rPr>
          <w:rFonts w:ascii="Arial" w:hAnsi="Arial" w:cs="Arial"/>
          <w:lang w:val="en-AU"/>
        </w:rPr>
        <w:t>: Dosage and administration advice for patients with reduced renal function</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1980"/>
        <w:gridCol w:w="2160"/>
      </w:tblGrid>
      <w:tr w:rsidR="00E677F6" w:rsidRPr="002742BE" w:rsidTr="00BF338F">
        <w:trPr>
          <w:trHeight w:val="1030"/>
          <w:tblHeader/>
        </w:trPr>
        <w:tc>
          <w:tcPr>
            <w:tcW w:w="2520" w:type="dxa"/>
            <w:tcBorders>
              <w:tl2br w:val="single" w:sz="4" w:space="0" w:color="auto"/>
            </w:tcBorders>
            <w:shd w:val="clear" w:color="auto" w:fill="E0E0E0"/>
            <w:vAlign w:val="center"/>
          </w:tcPr>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 xml:space="preserve">             </w:t>
            </w:r>
          </w:p>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 xml:space="preserve">                       Indication</w:t>
            </w:r>
          </w:p>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 xml:space="preserve">Creatinine </w:t>
            </w:r>
          </w:p>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Clearance (CrCl)</w:t>
            </w:r>
          </w:p>
        </w:tc>
        <w:tc>
          <w:tcPr>
            <w:tcW w:w="1980" w:type="dxa"/>
            <w:shd w:val="clear" w:color="auto" w:fill="E0E0E0"/>
            <w:vAlign w:val="center"/>
          </w:tcPr>
          <w:p w:rsidR="00E677F6" w:rsidRPr="002742BE" w:rsidRDefault="00E677F6" w:rsidP="00F04C47">
            <w:pPr>
              <w:spacing w:before="60" w:after="60"/>
              <w:ind w:right="46"/>
              <w:rPr>
                <w:rFonts w:ascii="Arial" w:hAnsi="Arial" w:cs="Arial"/>
                <w:sz w:val="20"/>
                <w:szCs w:val="20"/>
                <w:lang w:val="en-AU"/>
              </w:rPr>
            </w:pPr>
            <w:r w:rsidRPr="002742BE">
              <w:rPr>
                <w:rFonts w:ascii="Arial" w:hAnsi="Arial" w:cs="Arial"/>
                <w:b/>
                <w:i/>
                <w:sz w:val="20"/>
                <w:szCs w:val="20"/>
                <w:lang w:val="en-AU"/>
              </w:rPr>
              <w:t>VTE Prevention in total hip and knee replacement</w:t>
            </w:r>
          </w:p>
        </w:tc>
        <w:tc>
          <w:tcPr>
            <w:tcW w:w="1980" w:type="dxa"/>
            <w:shd w:val="clear" w:color="auto" w:fill="E0E0E0"/>
            <w:vAlign w:val="center"/>
          </w:tcPr>
          <w:p w:rsidR="00E677F6" w:rsidRPr="002742BE" w:rsidRDefault="00E677F6" w:rsidP="00F04C47">
            <w:pPr>
              <w:spacing w:before="60" w:after="60"/>
              <w:ind w:right="46"/>
              <w:rPr>
                <w:rFonts w:ascii="Arial" w:hAnsi="Arial" w:cs="Arial"/>
                <w:sz w:val="20"/>
                <w:szCs w:val="20"/>
                <w:lang w:val="en-AU"/>
              </w:rPr>
            </w:pPr>
            <w:r w:rsidRPr="002742BE">
              <w:rPr>
                <w:rFonts w:ascii="Arial" w:hAnsi="Arial" w:cs="Arial"/>
                <w:b/>
                <w:i/>
                <w:sz w:val="20"/>
                <w:szCs w:val="20"/>
                <w:lang w:val="en-AU"/>
              </w:rPr>
              <w:t>Stroke Prevention in Atrial Fibrillation</w:t>
            </w:r>
          </w:p>
        </w:tc>
        <w:tc>
          <w:tcPr>
            <w:tcW w:w="2160" w:type="dxa"/>
            <w:shd w:val="clear" w:color="auto" w:fill="E0E0E0"/>
            <w:vAlign w:val="center"/>
          </w:tcPr>
          <w:p w:rsidR="00E677F6" w:rsidRPr="002742BE" w:rsidRDefault="00E677F6" w:rsidP="00F04C47">
            <w:pPr>
              <w:spacing w:before="60" w:after="60"/>
              <w:ind w:right="46"/>
              <w:rPr>
                <w:rFonts w:ascii="Arial" w:hAnsi="Arial" w:cs="Arial"/>
                <w:sz w:val="20"/>
                <w:szCs w:val="20"/>
                <w:lang w:val="en-AU"/>
              </w:rPr>
            </w:pPr>
            <w:r w:rsidRPr="002742BE">
              <w:rPr>
                <w:rFonts w:ascii="Arial" w:hAnsi="Arial" w:cs="Arial"/>
                <w:b/>
                <w:i/>
                <w:sz w:val="20"/>
                <w:szCs w:val="20"/>
                <w:lang w:val="en-AU"/>
              </w:rPr>
              <w:t>Treatment</w:t>
            </w:r>
            <w:r w:rsidR="00CD717C">
              <w:rPr>
                <w:rFonts w:ascii="Arial" w:hAnsi="Arial" w:cs="Arial"/>
                <w:b/>
                <w:i/>
                <w:sz w:val="20"/>
                <w:szCs w:val="20"/>
                <w:lang w:val="en-AU"/>
              </w:rPr>
              <w:t xml:space="preserve"> of DVT and PE</w:t>
            </w:r>
            <w:r w:rsidRPr="002742BE">
              <w:rPr>
                <w:rFonts w:ascii="Arial" w:hAnsi="Arial" w:cs="Arial"/>
                <w:b/>
                <w:i/>
                <w:sz w:val="20"/>
                <w:szCs w:val="20"/>
                <w:lang w:val="en-AU"/>
              </w:rPr>
              <w:t xml:space="preserve"> and prevention of recurrent DVT and PE</w:t>
            </w:r>
          </w:p>
        </w:tc>
      </w:tr>
      <w:tr w:rsidR="00E677F6" w:rsidRPr="002742BE" w:rsidTr="00BF338F">
        <w:trPr>
          <w:trHeight w:val="671"/>
        </w:trPr>
        <w:tc>
          <w:tcPr>
            <w:tcW w:w="2520" w:type="dxa"/>
            <w:shd w:val="clear" w:color="auto" w:fill="auto"/>
            <w:vAlign w:val="center"/>
          </w:tcPr>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Normal</w:t>
            </w:r>
          </w:p>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&gt; 80 mL/min</w:t>
            </w:r>
          </w:p>
        </w:tc>
        <w:tc>
          <w:tcPr>
            <w:tcW w:w="1980" w:type="dxa"/>
            <w:vMerge w:val="restart"/>
            <w:shd w:val="clear" w:color="auto" w:fill="auto"/>
            <w:vAlign w:val="center"/>
          </w:tcPr>
          <w:p w:rsidR="00E677F6" w:rsidRPr="002742BE" w:rsidRDefault="00E677F6" w:rsidP="00F04C47">
            <w:pPr>
              <w:spacing w:before="60" w:after="60"/>
              <w:ind w:right="46"/>
              <w:rPr>
                <w:rFonts w:ascii="Arial" w:hAnsi="Arial" w:cs="Arial"/>
                <w:sz w:val="20"/>
                <w:szCs w:val="20"/>
                <w:lang w:val="en-AU"/>
              </w:rPr>
            </w:pPr>
            <w:r w:rsidRPr="002742BE">
              <w:rPr>
                <w:rFonts w:ascii="Arial" w:hAnsi="Arial" w:cs="Arial"/>
                <w:sz w:val="20"/>
                <w:szCs w:val="20"/>
                <w:lang w:val="en-AU"/>
              </w:rPr>
              <w:t>10 mg once daily</w:t>
            </w:r>
          </w:p>
        </w:tc>
        <w:tc>
          <w:tcPr>
            <w:tcW w:w="1980" w:type="dxa"/>
            <w:vMerge w:val="restart"/>
            <w:shd w:val="clear" w:color="auto" w:fill="auto"/>
            <w:vAlign w:val="center"/>
          </w:tcPr>
          <w:p w:rsidR="00E677F6" w:rsidRPr="002742BE" w:rsidRDefault="00E677F6" w:rsidP="00F04C47">
            <w:pPr>
              <w:spacing w:before="60" w:after="60"/>
              <w:ind w:right="46"/>
              <w:rPr>
                <w:rFonts w:ascii="Arial" w:hAnsi="Arial" w:cs="Arial"/>
                <w:sz w:val="20"/>
                <w:szCs w:val="20"/>
                <w:lang w:val="en-AU"/>
              </w:rPr>
            </w:pPr>
            <w:r w:rsidRPr="002742BE">
              <w:rPr>
                <w:rFonts w:ascii="Arial" w:hAnsi="Arial" w:cs="Arial"/>
                <w:sz w:val="20"/>
                <w:szCs w:val="20"/>
                <w:lang w:val="en-AU"/>
              </w:rPr>
              <w:t>20 mg once daily</w:t>
            </w:r>
          </w:p>
        </w:tc>
        <w:tc>
          <w:tcPr>
            <w:tcW w:w="2160" w:type="dxa"/>
            <w:vMerge w:val="restart"/>
            <w:shd w:val="clear" w:color="auto" w:fill="auto"/>
            <w:vAlign w:val="center"/>
          </w:tcPr>
          <w:p w:rsidR="00E677F6" w:rsidRPr="002742BE" w:rsidRDefault="00E677F6" w:rsidP="00F04C47">
            <w:pPr>
              <w:spacing w:before="60" w:after="60"/>
              <w:ind w:right="46"/>
              <w:rPr>
                <w:rFonts w:ascii="Arial" w:hAnsi="Arial" w:cs="Arial"/>
                <w:sz w:val="20"/>
                <w:szCs w:val="20"/>
                <w:lang w:val="en-AU"/>
              </w:rPr>
            </w:pPr>
            <w:r w:rsidRPr="002742BE">
              <w:rPr>
                <w:rFonts w:ascii="Arial" w:hAnsi="Arial" w:cs="Arial"/>
                <w:sz w:val="20"/>
                <w:szCs w:val="20"/>
                <w:lang w:val="en-AU"/>
              </w:rPr>
              <w:t>15 mg twice daily for 3 weeks, followed by 20 mg once daily</w:t>
            </w:r>
          </w:p>
        </w:tc>
      </w:tr>
      <w:tr w:rsidR="00E677F6" w:rsidRPr="002742BE" w:rsidTr="00BF338F">
        <w:trPr>
          <w:trHeight w:val="733"/>
        </w:trPr>
        <w:tc>
          <w:tcPr>
            <w:tcW w:w="2520" w:type="dxa"/>
            <w:shd w:val="clear" w:color="auto" w:fill="auto"/>
            <w:vAlign w:val="center"/>
          </w:tcPr>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 xml:space="preserve">Mild </w:t>
            </w:r>
          </w:p>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50 – 80 mL/min</w:t>
            </w:r>
          </w:p>
        </w:tc>
        <w:tc>
          <w:tcPr>
            <w:tcW w:w="1980" w:type="dxa"/>
            <w:vMerge/>
            <w:shd w:val="clear" w:color="auto" w:fill="auto"/>
          </w:tcPr>
          <w:p w:rsidR="00E677F6" w:rsidRPr="002742BE" w:rsidRDefault="00E677F6" w:rsidP="00F04C47">
            <w:pPr>
              <w:spacing w:before="60" w:after="60"/>
              <w:ind w:right="46"/>
              <w:jc w:val="both"/>
              <w:rPr>
                <w:rFonts w:ascii="Arial" w:hAnsi="Arial" w:cs="Arial"/>
                <w:sz w:val="20"/>
                <w:szCs w:val="20"/>
                <w:lang w:val="en-AU"/>
              </w:rPr>
            </w:pPr>
          </w:p>
        </w:tc>
        <w:tc>
          <w:tcPr>
            <w:tcW w:w="1980" w:type="dxa"/>
            <w:vMerge/>
            <w:shd w:val="clear" w:color="auto" w:fill="auto"/>
          </w:tcPr>
          <w:p w:rsidR="00E677F6" w:rsidRPr="002742BE" w:rsidRDefault="00E677F6" w:rsidP="00F04C47">
            <w:pPr>
              <w:spacing w:before="60" w:after="60"/>
              <w:ind w:right="46"/>
              <w:jc w:val="both"/>
              <w:rPr>
                <w:rFonts w:ascii="Arial" w:hAnsi="Arial" w:cs="Arial"/>
                <w:sz w:val="20"/>
                <w:szCs w:val="20"/>
                <w:lang w:val="en-AU"/>
              </w:rPr>
            </w:pPr>
          </w:p>
        </w:tc>
        <w:tc>
          <w:tcPr>
            <w:tcW w:w="2160" w:type="dxa"/>
            <w:vMerge/>
            <w:shd w:val="clear" w:color="auto" w:fill="auto"/>
          </w:tcPr>
          <w:p w:rsidR="00E677F6" w:rsidRPr="002742BE" w:rsidRDefault="00E677F6" w:rsidP="00F04C47">
            <w:pPr>
              <w:spacing w:before="60" w:after="60"/>
              <w:ind w:right="46"/>
              <w:jc w:val="both"/>
              <w:rPr>
                <w:rFonts w:ascii="Arial" w:hAnsi="Arial" w:cs="Arial"/>
                <w:sz w:val="20"/>
                <w:szCs w:val="20"/>
                <w:lang w:val="en-AU"/>
              </w:rPr>
            </w:pPr>
          </w:p>
        </w:tc>
      </w:tr>
      <w:tr w:rsidR="00E677F6" w:rsidRPr="002742BE" w:rsidTr="00BF338F">
        <w:tc>
          <w:tcPr>
            <w:tcW w:w="2520" w:type="dxa"/>
            <w:shd w:val="clear" w:color="auto" w:fill="auto"/>
            <w:vAlign w:val="center"/>
          </w:tcPr>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 xml:space="preserve">Moderate </w:t>
            </w:r>
          </w:p>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30 – 49 mL/m</w:t>
            </w:r>
            <w:r w:rsidR="00D353C7" w:rsidRPr="002742BE">
              <w:rPr>
                <w:rFonts w:ascii="Arial" w:hAnsi="Arial" w:cs="Arial"/>
                <w:b/>
                <w:sz w:val="20"/>
                <w:szCs w:val="20"/>
                <w:lang w:val="en-AU"/>
              </w:rPr>
              <w:t>i</w:t>
            </w:r>
            <w:r w:rsidRPr="002742BE">
              <w:rPr>
                <w:rFonts w:ascii="Arial" w:hAnsi="Arial" w:cs="Arial"/>
                <w:b/>
                <w:sz w:val="20"/>
                <w:szCs w:val="20"/>
                <w:lang w:val="en-AU"/>
              </w:rPr>
              <w:t>n</w:t>
            </w:r>
          </w:p>
        </w:tc>
        <w:tc>
          <w:tcPr>
            <w:tcW w:w="1980" w:type="dxa"/>
            <w:shd w:val="clear" w:color="auto" w:fill="auto"/>
            <w:vAlign w:val="center"/>
          </w:tcPr>
          <w:p w:rsidR="00E677F6" w:rsidRPr="002742BE" w:rsidRDefault="00E677F6" w:rsidP="00F04C47">
            <w:pPr>
              <w:spacing w:before="60" w:after="60"/>
              <w:ind w:right="46"/>
              <w:rPr>
                <w:rFonts w:ascii="Arial" w:hAnsi="Arial" w:cs="Arial"/>
                <w:sz w:val="20"/>
                <w:szCs w:val="20"/>
                <w:lang w:val="en-AU"/>
              </w:rPr>
            </w:pPr>
            <w:r w:rsidRPr="002742BE">
              <w:rPr>
                <w:rFonts w:ascii="Arial" w:hAnsi="Arial" w:cs="Arial"/>
                <w:sz w:val="20"/>
                <w:szCs w:val="20"/>
                <w:lang w:val="en-AU"/>
              </w:rPr>
              <w:t xml:space="preserve">10 mg once daily </w:t>
            </w:r>
          </w:p>
        </w:tc>
        <w:tc>
          <w:tcPr>
            <w:tcW w:w="1980" w:type="dxa"/>
            <w:shd w:val="clear" w:color="auto" w:fill="auto"/>
            <w:vAlign w:val="center"/>
          </w:tcPr>
          <w:p w:rsidR="00E677F6" w:rsidRPr="002742BE" w:rsidRDefault="00E677F6" w:rsidP="00F04C47">
            <w:pPr>
              <w:spacing w:before="60" w:after="60"/>
              <w:ind w:right="46"/>
              <w:rPr>
                <w:rFonts w:ascii="Arial" w:hAnsi="Arial" w:cs="Arial"/>
                <w:sz w:val="20"/>
                <w:szCs w:val="20"/>
                <w:lang w:val="en-AU"/>
              </w:rPr>
            </w:pPr>
            <w:r w:rsidRPr="002742BE">
              <w:rPr>
                <w:rFonts w:ascii="Arial" w:hAnsi="Arial" w:cs="Arial"/>
                <w:sz w:val="20"/>
                <w:szCs w:val="20"/>
                <w:lang w:val="en-AU"/>
              </w:rPr>
              <w:t>15 mg once daily</w:t>
            </w:r>
          </w:p>
        </w:tc>
        <w:tc>
          <w:tcPr>
            <w:tcW w:w="2160" w:type="dxa"/>
            <w:shd w:val="clear" w:color="auto" w:fill="auto"/>
            <w:vAlign w:val="center"/>
          </w:tcPr>
          <w:p w:rsidR="00E677F6" w:rsidRPr="002742BE" w:rsidRDefault="00E677F6" w:rsidP="00F04C47">
            <w:pPr>
              <w:spacing w:before="60" w:after="60"/>
              <w:ind w:right="46"/>
              <w:rPr>
                <w:rFonts w:ascii="Arial" w:hAnsi="Arial" w:cs="Arial"/>
                <w:sz w:val="20"/>
                <w:szCs w:val="20"/>
                <w:lang w:val="en-AU"/>
              </w:rPr>
            </w:pPr>
            <w:r w:rsidRPr="002742BE">
              <w:rPr>
                <w:rFonts w:ascii="Arial" w:hAnsi="Arial" w:cs="Arial"/>
                <w:sz w:val="20"/>
                <w:szCs w:val="20"/>
                <w:lang w:val="en-AU"/>
              </w:rPr>
              <w:t>15 mg twice daily for 3 weeks, followed by 20 mg once daily</w:t>
            </w:r>
          </w:p>
        </w:tc>
      </w:tr>
      <w:tr w:rsidR="00CE5E6F" w:rsidRPr="002742BE" w:rsidTr="00CE5E6F">
        <w:tc>
          <w:tcPr>
            <w:tcW w:w="2520" w:type="dxa"/>
            <w:shd w:val="clear" w:color="auto" w:fill="auto"/>
            <w:vAlign w:val="center"/>
          </w:tcPr>
          <w:p w:rsidR="00CE5E6F" w:rsidRPr="002742BE" w:rsidRDefault="00CE5E6F" w:rsidP="00F04C47">
            <w:pPr>
              <w:spacing w:before="60" w:after="60"/>
              <w:ind w:right="46"/>
              <w:rPr>
                <w:rFonts w:ascii="Arial" w:hAnsi="Arial" w:cs="Arial"/>
                <w:b/>
                <w:sz w:val="20"/>
                <w:szCs w:val="20"/>
                <w:lang w:val="en-AU"/>
              </w:rPr>
            </w:pPr>
            <w:r w:rsidRPr="002742BE">
              <w:rPr>
                <w:rFonts w:ascii="Arial" w:hAnsi="Arial" w:cs="Arial"/>
                <w:b/>
                <w:sz w:val="20"/>
                <w:szCs w:val="20"/>
                <w:lang w:val="en-AU"/>
              </w:rPr>
              <w:lastRenderedPageBreak/>
              <w:t>Severe</w:t>
            </w:r>
          </w:p>
          <w:p w:rsidR="00CE5E6F" w:rsidRPr="002742BE" w:rsidRDefault="00CE5E6F" w:rsidP="00F04C47">
            <w:pPr>
              <w:spacing w:before="60" w:after="60"/>
              <w:ind w:right="46"/>
              <w:rPr>
                <w:rFonts w:ascii="Arial" w:hAnsi="Arial" w:cs="Arial"/>
                <w:b/>
                <w:sz w:val="20"/>
                <w:szCs w:val="20"/>
                <w:lang w:val="en-AU"/>
              </w:rPr>
            </w:pPr>
            <w:r w:rsidRPr="002742BE">
              <w:rPr>
                <w:rFonts w:ascii="Arial" w:hAnsi="Arial" w:cs="Arial"/>
                <w:b/>
                <w:sz w:val="20"/>
                <w:szCs w:val="20"/>
                <w:lang w:val="en-AU"/>
              </w:rPr>
              <w:t>15 – 29 mL/min</w:t>
            </w:r>
          </w:p>
        </w:tc>
        <w:tc>
          <w:tcPr>
            <w:tcW w:w="1980" w:type="dxa"/>
            <w:shd w:val="clear" w:color="auto" w:fill="auto"/>
            <w:vAlign w:val="center"/>
          </w:tcPr>
          <w:p w:rsidR="00CE5E6F" w:rsidRPr="002742BE" w:rsidRDefault="00CE5E6F" w:rsidP="00F04C47">
            <w:pPr>
              <w:spacing w:before="60" w:after="60"/>
              <w:ind w:right="46"/>
              <w:rPr>
                <w:rFonts w:ascii="Arial" w:hAnsi="Arial" w:cs="Arial"/>
                <w:sz w:val="20"/>
                <w:szCs w:val="20"/>
                <w:lang w:val="en-AU"/>
              </w:rPr>
            </w:pPr>
            <w:r w:rsidRPr="002742BE">
              <w:rPr>
                <w:rFonts w:ascii="Arial" w:hAnsi="Arial" w:cs="Arial"/>
                <w:sz w:val="20"/>
                <w:szCs w:val="20"/>
                <w:lang w:val="en-AU"/>
              </w:rPr>
              <w:t>10 mg once daily (Use with caution)</w:t>
            </w:r>
          </w:p>
        </w:tc>
        <w:tc>
          <w:tcPr>
            <w:tcW w:w="4140" w:type="dxa"/>
            <w:gridSpan w:val="2"/>
            <w:shd w:val="clear" w:color="auto" w:fill="auto"/>
            <w:vAlign w:val="center"/>
          </w:tcPr>
          <w:p w:rsidR="00CE5E6F" w:rsidRPr="002742BE" w:rsidRDefault="00CE5E6F" w:rsidP="00CE5E6F">
            <w:pPr>
              <w:spacing w:before="60" w:after="60"/>
              <w:ind w:right="46"/>
              <w:jc w:val="center"/>
              <w:rPr>
                <w:rFonts w:ascii="Arial" w:hAnsi="Arial" w:cs="Arial"/>
                <w:sz w:val="20"/>
                <w:szCs w:val="20"/>
                <w:lang w:val="en-AU"/>
              </w:rPr>
            </w:pPr>
            <w:r w:rsidRPr="002742BE">
              <w:rPr>
                <w:rFonts w:ascii="Arial" w:hAnsi="Arial" w:cs="Arial"/>
                <w:sz w:val="20"/>
                <w:szCs w:val="20"/>
                <w:lang w:val="en-AU"/>
              </w:rPr>
              <w:t>Xarelto is contraindicated</w:t>
            </w:r>
          </w:p>
        </w:tc>
      </w:tr>
      <w:tr w:rsidR="00E677F6" w:rsidRPr="002742BE" w:rsidTr="00BF338F">
        <w:tc>
          <w:tcPr>
            <w:tcW w:w="2520" w:type="dxa"/>
            <w:shd w:val="clear" w:color="auto" w:fill="auto"/>
            <w:vAlign w:val="center"/>
          </w:tcPr>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 xml:space="preserve">Severe </w:t>
            </w:r>
          </w:p>
          <w:p w:rsidR="00E677F6" w:rsidRPr="002742BE" w:rsidRDefault="00E677F6" w:rsidP="00F04C47">
            <w:pPr>
              <w:spacing w:before="60" w:after="60"/>
              <w:ind w:right="46"/>
              <w:rPr>
                <w:rFonts w:ascii="Arial" w:hAnsi="Arial" w:cs="Arial"/>
                <w:b/>
                <w:sz w:val="20"/>
                <w:szCs w:val="20"/>
                <w:lang w:val="en-AU"/>
              </w:rPr>
            </w:pPr>
            <w:r w:rsidRPr="002742BE">
              <w:rPr>
                <w:rFonts w:ascii="Arial" w:hAnsi="Arial" w:cs="Arial"/>
                <w:b/>
                <w:sz w:val="20"/>
                <w:szCs w:val="20"/>
                <w:lang w:val="en-AU"/>
              </w:rPr>
              <w:t>&lt; 15 mL/min</w:t>
            </w:r>
          </w:p>
        </w:tc>
        <w:tc>
          <w:tcPr>
            <w:tcW w:w="6120" w:type="dxa"/>
            <w:gridSpan w:val="3"/>
            <w:shd w:val="clear" w:color="auto" w:fill="auto"/>
            <w:vAlign w:val="center"/>
          </w:tcPr>
          <w:p w:rsidR="00E677F6" w:rsidRPr="002742BE" w:rsidRDefault="00E677F6" w:rsidP="00F04C47">
            <w:pPr>
              <w:tabs>
                <w:tab w:val="left" w:pos="567"/>
              </w:tabs>
              <w:spacing w:before="60" w:after="60"/>
              <w:ind w:right="46"/>
              <w:jc w:val="center"/>
              <w:rPr>
                <w:rFonts w:ascii="Arial" w:hAnsi="Arial" w:cs="Arial"/>
                <w:sz w:val="20"/>
                <w:szCs w:val="20"/>
                <w:lang w:val="en-AU"/>
              </w:rPr>
            </w:pPr>
            <w:r w:rsidRPr="002742BE">
              <w:rPr>
                <w:rFonts w:ascii="Arial" w:hAnsi="Arial" w:cs="Arial"/>
                <w:sz w:val="20"/>
                <w:szCs w:val="20"/>
                <w:lang w:val="en-AU"/>
              </w:rPr>
              <w:t>Xarelto is contraindicated</w:t>
            </w:r>
          </w:p>
        </w:tc>
      </w:tr>
    </w:tbl>
    <w:p w:rsidR="001D1004" w:rsidRPr="002742BE" w:rsidRDefault="001D1004" w:rsidP="00A26555">
      <w:pPr>
        <w:keepNext/>
        <w:spacing w:before="120" w:after="240"/>
        <w:ind w:right="45"/>
        <w:jc w:val="both"/>
        <w:rPr>
          <w:rFonts w:ascii="Arial" w:hAnsi="Arial" w:cs="Arial"/>
          <w:i/>
          <w:noProof/>
          <w:sz w:val="22"/>
          <w:szCs w:val="22"/>
          <w:lang w:val="en-AU"/>
        </w:rPr>
      </w:pPr>
      <w:r w:rsidRPr="002742BE">
        <w:rPr>
          <w:rFonts w:ascii="Arial" w:hAnsi="Arial" w:cs="Arial"/>
          <w:i/>
          <w:noProof/>
          <w:sz w:val="22"/>
          <w:szCs w:val="22"/>
          <w:lang w:val="en-AU"/>
        </w:rPr>
        <w:t>Patients above 65 years</w:t>
      </w:r>
    </w:p>
    <w:p w:rsidR="00616C33" w:rsidRPr="002742BE" w:rsidRDefault="00CE5E6F" w:rsidP="00A26555">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Based on clinical data, no </w:t>
      </w:r>
      <w:r w:rsidR="001D1004" w:rsidRPr="002742BE">
        <w:rPr>
          <w:rFonts w:ascii="Arial" w:hAnsi="Arial" w:cs="Arial"/>
          <w:noProof/>
          <w:sz w:val="22"/>
          <w:szCs w:val="22"/>
          <w:lang w:val="en-AU"/>
        </w:rPr>
        <w:t>dose adjustment is required for these patient populations (see Pharmacokinetic properties).</w:t>
      </w:r>
      <w:r w:rsidRPr="002742BE">
        <w:rPr>
          <w:rFonts w:ascii="Arial" w:hAnsi="Arial" w:cs="Arial"/>
          <w:noProof/>
          <w:sz w:val="22"/>
          <w:szCs w:val="22"/>
          <w:lang w:val="en-AU"/>
        </w:rPr>
        <w:t xml:space="preserve"> </w:t>
      </w:r>
    </w:p>
    <w:p w:rsidR="001D1004" w:rsidRPr="002742BE" w:rsidRDefault="00CE5E6F" w:rsidP="00A26555">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Increasing age </w:t>
      </w:r>
      <w:r w:rsidR="0093513E" w:rsidRPr="002742BE">
        <w:rPr>
          <w:rFonts w:ascii="Arial" w:hAnsi="Arial" w:cs="Arial"/>
          <w:noProof/>
          <w:sz w:val="22"/>
          <w:szCs w:val="22"/>
          <w:lang w:val="en-AU"/>
        </w:rPr>
        <w:t xml:space="preserve">is </w:t>
      </w:r>
      <w:r w:rsidRPr="002742BE">
        <w:rPr>
          <w:rFonts w:ascii="Arial" w:hAnsi="Arial" w:cs="Arial"/>
          <w:noProof/>
          <w:sz w:val="22"/>
          <w:szCs w:val="22"/>
          <w:lang w:val="en-AU"/>
        </w:rPr>
        <w:t xml:space="preserve"> associated with declining renal function</w:t>
      </w:r>
      <w:r w:rsidR="00616C33" w:rsidRPr="002742BE">
        <w:rPr>
          <w:rFonts w:ascii="Arial" w:hAnsi="Arial" w:cs="Arial"/>
          <w:noProof/>
          <w:sz w:val="22"/>
          <w:szCs w:val="22"/>
          <w:lang w:val="en-AU"/>
        </w:rPr>
        <w:t xml:space="preserve">. </w:t>
      </w:r>
    </w:p>
    <w:p w:rsidR="001D1004" w:rsidRPr="002742BE" w:rsidRDefault="001D1004" w:rsidP="00A26555">
      <w:pPr>
        <w:keepNext/>
        <w:spacing w:before="120" w:after="240"/>
        <w:ind w:right="45"/>
        <w:jc w:val="both"/>
        <w:rPr>
          <w:rFonts w:ascii="Arial" w:hAnsi="Arial" w:cs="Arial"/>
          <w:i/>
          <w:noProof/>
          <w:sz w:val="22"/>
          <w:szCs w:val="22"/>
          <w:lang w:val="en-AU"/>
        </w:rPr>
      </w:pPr>
      <w:r w:rsidRPr="002742BE">
        <w:rPr>
          <w:rFonts w:ascii="Arial" w:hAnsi="Arial" w:cs="Arial"/>
          <w:i/>
          <w:noProof/>
          <w:sz w:val="22"/>
          <w:szCs w:val="22"/>
          <w:lang w:val="en-AU"/>
        </w:rPr>
        <w:t>Body weight</w:t>
      </w:r>
    </w:p>
    <w:p w:rsidR="001D1004" w:rsidRPr="002742BE" w:rsidRDefault="001D1004" w:rsidP="00A26555">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No dose adjustment is required for these patient populations (see Pharmacokinetic properties).</w:t>
      </w:r>
    </w:p>
    <w:p w:rsidR="001D1004" w:rsidRPr="002742BE" w:rsidRDefault="001D1004" w:rsidP="00A26555">
      <w:pPr>
        <w:keepNext/>
        <w:spacing w:before="120" w:after="240"/>
        <w:ind w:right="45"/>
        <w:jc w:val="both"/>
        <w:rPr>
          <w:rFonts w:ascii="Arial" w:hAnsi="Arial" w:cs="Arial"/>
          <w:i/>
          <w:noProof/>
          <w:sz w:val="22"/>
          <w:szCs w:val="22"/>
          <w:lang w:val="en-AU"/>
        </w:rPr>
      </w:pPr>
      <w:r w:rsidRPr="002742BE">
        <w:rPr>
          <w:rFonts w:ascii="Arial" w:hAnsi="Arial" w:cs="Arial"/>
          <w:i/>
          <w:noProof/>
          <w:sz w:val="22"/>
          <w:szCs w:val="22"/>
          <w:lang w:val="en-AU"/>
        </w:rPr>
        <w:t>Gender</w:t>
      </w:r>
    </w:p>
    <w:p w:rsidR="001D1004" w:rsidRPr="002742BE" w:rsidRDefault="001D1004" w:rsidP="00A26555">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No dose adjustment is required for these patient populations (see Pharmacokinetic properties).</w:t>
      </w:r>
    </w:p>
    <w:p w:rsidR="001D1004" w:rsidRPr="002742BE" w:rsidRDefault="001D1004" w:rsidP="00A26555">
      <w:pPr>
        <w:keepNext/>
        <w:spacing w:before="120" w:after="240"/>
        <w:ind w:right="45"/>
        <w:jc w:val="both"/>
        <w:rPr>
          <w:rFonts w:ascii="Arial" w:hAnsi="Arial" w:cs="Arial"/>
          <w:i/>
          <w:noProof/>
          <w:sz w:val="22"/>
          <w:szCs w:val="22"/>
          <w:lang w:val="en-AU"/>
        </w:rPr>
      </w:pPr>
      <w:r w:rsidRPr="002742BE">
        <w:rPr>
          <w:rFonts w:ascii="Arial" w:hAnsi="Arial" w:cs="Arial"/>
          <w:i/>
          <w:noProof/>
          <w:sz w:val="22"/>
          <w:szCs w:val="22"/>
          <w:lang w:val="en-AU"/>
        </w:rPr>
        <w:t>Children and adolescents</w:t>
      </w:r>
    </w:p>
    <w:p w:rsidR="001D1004" w:rsidRPr="002742BE" w:rsidRDefault="00E8487E" w:rsidP="00A26555">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Xarelto </w:t>
      </w:r>
      <w:r w:rsidR="001D1004" w:rsidRPr="002742BE">
        <w:rPr>
          <w:rFonts w:ascii="Arial" w:hAnsi="Arial" w:cs="Arial"/>
          <w:noProof/>
          <w:sz w:val="22"/>
          <w:szCs w:val="22"/>
          <w:lang w:val="en-AU"/>
        </w:rPr>
        <w:t>is not recommended for use in children or adolescents below 18 years of age due to a lack of data on safety and efficacy.</w:t>
      </w:r>
    </w:p>
    <w:p w:rsidR="001D1004" w:rsidRPr="002742BE" w:rsidRDefault="001D1004" w:rsidP="00A26555">
      <w:pPr>
        <w:spacing w:before="120" w:after="240"/>
        <w:ind w:right="45"/>
        <w:rPr>
          <w:rFonts w:ascii="Arial" w:hAnsi="Arial" w:cs="Arial"/>
          <w:i/>
          <w:sz w:val="22"/>
          <w:lang w:val="en-AU"/>
        </w:rPr>
      </w:pPr>
      <w:r w:rsidRPr="002742BE">
        <w:rPr>
          <w:rFonts w:ascii="Arial" w:hAnsi="Arial" w:cs="Arial"/>
          <w:i/>
          <w:sz w:val="22"/>
          <w:lang w:val="en-AU"/>
        </w:rPr>
        <w:t>Ethnic differences</w:t>
      </w:r>
    </w:p>
    <w:p w:rsidR="001D1004" w:rsidRPr="002742BE" w:rsidRDefault="001D1004" w:rsidP="00E50FEE">
      <w:pPr>
        <w:autoSpaceDE w:val="0"/>
        <w:autoSpaceDN w:val="0"/>
        <w:spacing w:before="120" w:after="240"/>
        <w:ind w:right="45"/>
        <w:rPr>
          <w:rFonts w:ascii="Arial" w:hAnsi="Arial" w:cs="Arial"/>
          <w:sz w:val="22"/>
          <w:szCs w:val="22"/>
          <w:lang w:val="en-AU"/>
        </w:rPr>
      </w:pPr>
      <w:r w:rsidRPr="002742BE">
        <w:rPr>
          <w:rFonts w:ascii="Arial" w:hAnsi="Arial" w:cs="Arial"/>
          <w:sz w:val="22"/>
          <w:szCs w:val="22"/>
          <w:lang w:val="en-AU"/>
        </w:rPr>
        <w:t>No dose adjustment is required based on ethnic differences (see Pharmacokinetic proper</w:t>
      </w:r>
      <w:r w:rsidRPr="002742BE">
        <w:rPr>
          <w:rFonts w:ascii="Arial" w:hAnsi="Arial" w:cs="Arial"/>
          <w:sz w:val="22"/>
          <w:szCs w:val="22"/>
          <w:lang w:val="en-AU"/>
        </w:rPr>
        <w:softHyphen/>
        <w:t xml:space="preserve">ties). </w:t>
      </w:r>
    </w:p>
    <w:p w:rsidR="00D243FF" w:rsidRDefault="004C07DB" w:rsidP="00D243FF">
      <w:pPr>
        <w:autoSpaceDE w:val="0"/>
        <w:autoSpaceDN w:val="0"/>
        <w:spacing w:before="120" w:after="240"/>
        <w:ind w:right="45"/>
        <w:jc w:val="both"/>
        <w:rPr>
          <w:rFonts w:ascii="Arial" w:hAnsi="Arial" w:cs="Arial"/>
          <w:b/>
          <w:sz w:val="22"/>
          <w:szCs w:val="22"/>
          <w:lang w:val="en-AU"/>
        </w:rPr>
      </w:pPr>
      <w:r w:rsidRPr="002742BE">
        <w:rPr>
          <w:rFonts w:ascii="Arial" w:hAnsi="Arial" w:cs="Arial"/>
          <w:b/>
          <w:sz w:val="22"/>
          <w:szCs w:val="22"/>
          <w:lang w:val="en-AU"/>
        </w:rPr>
        <w:t>Transition Xarelto</w:t>
      </w:r>
      <w:r>
        <w:rPr>
          <w:rFonts w:ascii="Arial" w:hAnsi="Arial" w:cs="Arial"/>
          <w:b/>
          <w:sz w:val="22"/>
          <w:szCs w:val="22"/>
          <w:lang w:val="en-AU"/>
        </w:rPr>
        <w:t xml:space="preserve"> from and </w:t>
      </w:r>
      <w:r w:rsidRPr="002742BE">
        <w:rPr>
          <w:rFonts w:ascii="Arial" w:hAnsi="Arial" w:cs="Arial"/>
          <w:b/>
          <w:sz w:val="22"/>
          <w:szCs w:val="22"/>
          <w:lang w:val="en-AU"/>
        </w:rPr>
        <w:t xml:space="preserve">to </w:t>
      </w:r>
      <w:r w:rsidR="00B55F5D">
        <w:rPr>
          <w:rFonts w:ascii="Arial" w:hAnsi="Arial" w:cs="Arial"/>
          <w:b/>
          <w:sz w:val="22"/>
          <w:szCs w:val="22"/>
          <w:lang w:val="en-AU"/>
        </w:rPr>
        <w:t xml:space="preserve">Vitamin K Antagonists (VKA) or Parenteral Anticoagulants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810"/>
        <w:gridCol w:w="3811"/>
      </w:tblGrid>
      <w:tr w:rsidR="00D243FF" w:rsidRPr="00B7026E" w:rsidTr="00B7026E">
        <w:trPr>
          <w:trHeight w:val="415"/>
        </w:trPr>
        <w:tc>
          <w:tcPr>
            <w:tcW w:w="1668" w:type="dxa"/>
            <w:tcBorders>
              <w:tl2br w:val="nil"/>
            </w:tcBorders>
            <w:shd w:val="clear" w:color="auto" w:fill="D9D9D9"/>
            <w:vAlign w:val="center"/>
          </w:tcPr>
          <w:p w:rsidR="00D243FF" w:rsidRPr="00B7026E" w:rsidRDefault="00D243FF" w:rsidP="00B7026E">
            <w:pPr>
              <w:autoSpaceDE w:val="0"/>
              <w:autoSpaceDN w:val="0"/>
              <w:spacing w:before="60" w:after="60"/>
              <w:ind w:right="-108"/>
              <w:jc w:val="center"/>
              <w:rPr>
                <w:rFonts w:ascii="Arial" w:hAnsi="Arial" w:cs="Arial"/>
                <w:b/>
                <w:sz w:val="20"/>
                <w:szCs w:val="20"/>
                <w:lang w:val="en-AU"/>
              </w:rPr>
            </w:pPr>
            <w:r w:rsidRPr="00B7026E">
              <w:rPr>
                <w:rFonts w:ascii="Arial" w:hAnsi="Arial" w:cs="Arial"/>
                <w:b/>
                <w:sz w:val="20"/>
                <w:szCs w:val="20"/>
                <w:lang w:val="en-AU"/>
              </w:rPr>
              <w:t>Anticoagulant</w:t>
            </w:r>
          </w:p>
        </w:tc>
        <w:tc>
          <w:tcPr>
            <w:tcW w:w="3810" w:type="dxa"/>
            <w:shd w:val="clear" w:color="auto" w:fill="D9D9D9"/>
            <w:vAlign w:val="center"/>
          </w:tcPr>
          <w:p w:rsidR="00D243FF" w:rsidRPr="00B7026E" w:rsidRDefault="00D243FF" w:rsidP="00B7026E">
            <w:pPr>
              <w:autoSpaceDE w:val="0"/>
              <w:autoSpaceDN w:val="0"/>
              <w:spacing w:before="60" w:after="60"/>
              <w:ind w:right="45"/>
              <w:jc w:val="center"/>
              <w:rPr>
                <w:rFonts w:ascii="Arial" w:hAnsi="Arial" w:cs="Arial"/>
                <w:b/>
                <w:sz w:val="20"/>
                <w:szCs w:val="20"/>
                <w:lang w:val="en-AU"/>
              </w:rPr>
            </w:pPr>
            <w:r w:rsidRPr="00B7026E">
              <w:rPr>
                <w:rFonts w:ascii="Arial" w:hAnsi="Arial" w:cs="Arial"/>
                <w:b/>
                <w:sz w:val="20"/>
                <w:szCs w:val="20"/>
                <w:lang w:val="en-AU"/>
              </w:rPr>
              <w:t>Transition From Xarelto</w:t>
            </w:r>
          </w:p>
        </w:tc>
        <w:tc>
          <w:tcPr>
            <w:tcW w:w="3811" w:type="dxa"/>
            <w:shd w:val="clear" w:color="auto" w:fill="D9D9D9"/>
            <w:vAlign w:val="center"/>
          </w:tcPr>
          <w:p w:rsidR="00D243FF" w:rsidRPr="00B7026E" w:rsidRDefault="00D243FF" w:rsidP="00B7026E">
            <w:pPr>
              <w:autoSpaceDE w:val="0"/>
              <w:autoSpaceDN w:val="0"/>
              <w:spacing w:before="60" w:after="60"/>
              <w:ind w:right="45"/>
              <w:jc w:val="center"/>
              <w:rPr>
                <w:rFonts w:ascii="Arial" w:hAnsi="Arial" w:cs="Arial"/>
                <w:b/>
                <w:sz w:val="20"/>
                <w:szCs w:val="20"/>
                <w:lang w:val="en-AU"/>
              </w:rPr>
            </w:pPr>
            <w:r w:rsidRPr="00B7026E">
              <w:rPr>
                <w:rFonts w:ascii="Arial" w:hAnsi="Arial" w:cs="Arial"/>
                <w:b/>
                <w:sz w:val="20"/>
                <w:szCs w:val="20"/>
                <w:lang w:val="en-AU"/>
              </w:rPr>
              <w:t>Transition To Xarelto</w:t>
            </w:r>
          </w:p>
        </w:tc>
      </w:tr>
      <w:tr w:rsidR="00D243FF" w:rsidRPr="00B7026E" w:rsidTr="00B7026E">
        <w:tc>
          <w:tcPr>
            <w:tcW w:w="1668" w:type="dxa"/>
            <w:shd w:val="clear" w:color="auto" w:fill="auto"/>
          </w:tcPr>
          <w:p w:rsidR="00D243FF" w:rsidRPr="00B7026E" w:rsidRDefault="00D243FF" w:rsidP="00B7026E">
            <w:pPr>
              <w:autoSpaceDE w:val="0"/>
              <w:autoSpaceDN w:val="0"/>
              <w:spacing w:before="120" w:after="240" w:line="260" w:lineRule="exact"/>
              <w:ind w:right="45"/>
              <w:rPr>
                <w:rFonts w:ascii="Arial" w:hAnsi="Arial" w:cs="Arial"/>
                <w:b/>
                <w:sz w:val="20"/>
                <w:szCs w:val="20"/>
                <w:lang w:val="en-AU"/>
              </w:rPr>
            </w:pPr>
            <w:r w:rsidRPr="00B7026E">
              <w:rPr>
                <w:rFonts w:ascii="Arial" w:hAnsi="Arial" w:cs="Arial"/>
                <w:b/>
                <w:sz w:val="20"/>
                <w:szCs w:val="20"/>
                <w:lang w:val="en-AU"/>
              </w:rPr>
              <w:t>Vitamin K Antagonists (VKA)</w:t>
            </w:r>
          </w:p>
        </w:tc>
        <w:tc>
          <w:tcPr>
            <w:tcW w:w="3810" w:type="dxa"/>
            <w:shd w:val="clear" w:color="auto" w:fill="auto"/>
          </w:tcPr>
          <w:p w:rsidR="00D243FF" w:rsidRPr="00B7026E" w:rsidRDefault="00D243FF" w:rsidP="00B7026E">
            <w:pPr>
              <w:autoSpaceDE w:val="0"/>
              <w:autoSpaceDN w:val="0"/>
              <w:spacing w:before="120" w:after="240" w:line="260" w:lineRule="exact"/>
              <w:ind w:right="45"/>
              <w:rPr>
                <w:rFonts w:ascii="Arial" w:hAnsi="Arial" w:cs="Arial"/>
                <w:b/>
                <w:bCs/>
                <w:sz w:val="20"/>
                <w:szCs w:val="20"/>
                <w:lang w:eastAsia="en-AU"/>
              </w:rPr>
            </w:pPr>
            <w:r w:rsidRPr="00B7026E">
              <w:rPr>
                <w:rFonts w:ascii="Arial" w:hAnsi="Arial" w:cs="Arial"/>
                <w:b/>
                <w:bCs/>
                <w:sz w:val="20"/>
                <w:szCs w:val="20"/>
              </w:rPr>
              <w:t>Transition from Xarelto to VKAs</w:t>
            </w:r>
          </w:p>
          <w:p w:rsidR="00D243FF" w:rsidRPr="00B7026E" w:rsidRDefault="00D243FF" w:rsidP="00B7026E">
            <w:pPr>
              <w:autoSpaceDE w:val="0"/>
              <w:autoSpaceDN w:val="0"/>
              <w:spacing w:before="120" w:after="120" w:line="260" w:lineRule="exact"/>
              <w:ind w:right="45"/>
              <w:rPr>
                <w:rFonts w:ascii="Arial" w:hAnsi="Arial" w:cs="Arial"/>
                <w:sz w:val="20"/>
                <w:szCs w:val="20"/>
              </w:rPr>
            </w:pPr>
            <w:r w:rsidRPr="00B7026E">
              <w:rPr>
                <w:rFonts w:ascii="Arial" w:hAnsi="Arial" w:cs="Arial"/>
                <w:sz w:val="20"/>
                <w:szCs w:val="20"/>
              </w:rPr>
              <w:t>There is a potential for inadequate anticoagulation during the transition from Xarelto to VKA. Limited clinical trial data is available to guide the process whereby patients are converted from Xarelto to VKAs.</w:t>
            </w:r>
          </w:p>
          <w:p w:rsidR="00D243FF" w:rsidRPr="00B7026E" w:rsidRDefault="00D243FF" w:rsidP="00B7026E">
            <w:pPr>
              <w:autoSpaceDE w:val="0"/>
              <w:autoSpaceDN w:val="0"/>
              <w:spacing w:before="120" w:after="120" w:line="260" w:lineRule="exact"/>
              <w:ind w:right="45"/>
              <w:rPr>
                <w:rFonts w:ascii="Arial" w:hAnsi="Arial" w:cs="Arial"/>
                <w:color w:val="1F497D"/>
                <w:sz w:val="20"/>
                <w:szCs w:val="20"/>
              </w:rPr>
            </w:pPr>
            <w:r w:rsidRPr="00B7026E">
              <w:rPr>
                <w:rFonts w:ascii="Arial" w:hAnsi="Arial" w:cs="Arial"/>
                <w:sz w:val="20"/>
                <w:szCs w:val="20"/>
              </w:rPr>
              <w:t xml:space="preserve">Continuous adequate anticoagulation should be ensured during transition to an alternate anticoagulant. </w:t>
            </w:r>
          </w:p>
          <w:p w:rsidR="00D243FF" w:rsidRPr="00B7026E" w:rsidRDefault="00D243FF" w:rsidP="00B7026E">
            <w:pPr>
              <w:autoSpaceDE w:val="0"/>
              <w:autoSpaceDN w:val="0"/>
              <w:spacing w:before="120" w:after="120" w:line="260" w:lineRule="exact"/>
              <w:ind w:right="45"/>
              <w:rPr>
                <w:rFonts w:ascii="Arial" w:hAnsi="Arial" w:cs="Arial"/>
                <w:sz w:val="20"/>
                <w:szCs w:val="20"/>
              </w:rPr>
            </w:pPr>
            <w:r w:rsidRPr="00B7026E">
              <w:rPr>
                <w:rFonts w:ascii="Arial" w:hAnsi="Arial" w:cs="Arial"/>
                <w:sz w:val="20"/>
                <w:szCs w:val="20"/>
              </w:rPr>
              <w:t xml:space="preserve">In patients converting from Xarelto to VKA, VKA should be given concurrently </w:t>
            </w:r>
            <w:r w:rsidRPr="00B7026E">
              <w:rPr>
                <w:rFonts w:ascii="Arial" w:hAnsi="Arial" w:cs="Arial"/>
                <w:sz w:val="20"/>
                <w:szCs w:val="20"/>
              </w:rPr>
              <w:lastRenderedPageBreak/>
              <w:t>until the INR is ≥ 2.0. It should be noted that Xarelto can contribute to an elevated INR</w:t>
            </w:r>
            <w:r w:rsidR="00B15449">
              <w:rPr>
                <w:rFonts w:ascii="Arial" w:hAnsi="Arial" w:cs="Arial"/>
                <w:color w:val="1F497D"/>
                <w:sz w:val="20"/>
                <w:szCs w:val="20"/>
              </w:rPr>
              <w:t xml:space="preserve"> </w:t>
            </w:r>
            <w:r w:rsidR="00B15449" w:rsidRPr="00370922">
              <w:rPr>
                <w:rFonts w:ascii="Arial" w:hAnsi="Arial" w:cs="Arial"/>
                <w:sz w:val="20"/>
                <w:szCs w:val="20"/>
              </w:rPr>
              <w:t>and so INR measurements made during co-administration with warfarin may not be useful for determining the appropriate dose of VKA. Therefore, INR measurements should be made in accordance with the following guidance during the transition from Xarelto to VKA:</w:t>
            </w:r>
            <w:r w:rsidRPr="00370922">
              <w:rPr>
                <w:rFonts w:ascii="Arial" w:hAnsi="Arial" w:cs="Arial"/>
                <w:sz w:val="20"/>
                <w:szCs w:val="20"/>
              </w:rPr>
              <w:t xml:space="preserve"> </w:t>
            </w:r>
          </w:p>
          <w:p w:rsidR="00D243FF" w:rsidRPr="00B7026E" w:rsidRDefault="00D243FF" w:rsidP="00B7026E">
            <w:pPr>
              <w:autoSpaceDE w:val="0"/>
              <w:autoSpaceDN w:val="0"/>
              <w:spacing w:before="120" w:after="120" w:line="260" w:lineRule="exact"/>
              <w:ind w:right="45"/>
              <w:rPr>
                <w:rFonts w:ascii="Arial" w:hAnsi="Arial" w:cs="Arial"/>
                <w:b/>
                <w:sz w:val="20"/>
                <w:szCs w:val="20"/>
                <w:lang w:val="en-AU"/>
              </w:rPr>
            </w:pPr>
            <w:r w:rsidRPr="00B7026E">
              <w:rPr>
                <w:rFonts w:ascii="Arial" w:hAnsi="Arial" w:cs="Arial"/>
                <w:sz w:val="20"/>
                <w:szCs w:val="20"/>
              </w:rPr>
              <w:t>For the first two days of the conversion period, standard initial dosing of VKA should be used and, after the first two days, VKA dosing should be guided by INR testing. While patients are on both Xarelto and VKA, INR should be tested just prior to the next dose of Xarelto (not earlier than 24 hours after the previous dose). Once Xarelto is discontinued INR testing may be done reliably at least 24 hours after the last dose.</w:t>
            </w:r>
          </w:p>
        </w:tc>
        <w:tc>
          <w:tcPr>
            <w:tcW w:w="3811" w:type="dxa"/>
            <w:shd w:val="clear" w:color="auto" w:fill="auto"/>
          </w:tcPr>
          <w:p w:rsidR="00D243FF" w:rsidRPr="00B7026E" w:rsidRDefault="00D243FF" w:rsidP="00B7026E">
            <w:pPr>
              <w:autoSpaceDE w:val="0"/>
              <w:autoSpaceDN w:val="0"/>
              <w:spacing w:before="120" w:after="240" w:line="260" w:lineRule="exact"/>
              <w:ind w:right="45"/>
              <w:rPr>
                <w:rFonts w:ascii="Arial" w:hAnsi="Arial" w:cs="Arial"/>
                <w:b/>
                <w:bCs/>
                <w:sz w:val="20"/>
                <w:szCs w:val="20"/>
                <w:lang w:eastAsia="en-AU"/>
              </w:rPr>
            </w:pPr>
            <w:r w:rsidRPr="00B7026E">
              <w:rPr>
                <w:rFonts w:ascii="Arial" w:hAnsi="Arial" w:cs="Arial"/>
                <w:b/>
                <w:bCs/>
                <w:sz w:val="20"/>
                <w:szCs w:val="20"/>
              </w:rPr>
              <w:lastRenderedPageBreak/>
              <w:t>Transition from VKA to Xarelto:</w:t>
            </w:r>
          </w:p>
          <w:p w:rsidR="00D243FF" w:rsidRPr="00B7026E" w:rsidRDefault="00D243FF" w:rsidP="00B7026E">
            <w:pPr>
              <w:autoSpaceDE w:val="0"/>
              <w:autoSpaceDN w:val="0"/>
              <w:spacing w:before="120" w:after="240" w:line="260" w:lineRule="exact"/>
              <w:ind w:right="46"/>
              <w:rPr>
                <w:rFonts w:ascii="Arial" w:hAnsi="Arial" w:cs="Arial"/>
                <w:sz w:val="20"/>
                <w:szCs w:val="20"/>
                <w:lang w:eastAsia="zh-CN"/>
              </w:rPr>
            </w:pPr>
            <w:r w:rsidRPr="00B7026E">
              <w:rPr>
                <w:rFonts w:ascii="Arial" w:hAnsi="Arial" w:cs="Arial"/>
                <w:sz w:val="20"/>
                <w:szCs w:val="20"/>
              </w:rPr>
              <w:t>For patients treated for prevention of stroke and systemic embolism, VKA treatment should be stopped and Xarelto therapy should be initiated once the INR is ≤ 3.0.</w:t>
            </w:r>
          </w:p>
          <w:p w:rsidR="00D243FF" w:rsidRPr="00B7026E" w:rsidRDefault="00D243FF" w:rsidP="00B7026E">
            <w:pPr>
              <w:autoSpaceDE w:val="0"/>
              <w:autoSpaceDN w:val="0"/>
              <w:spacing w:before="120" w:after="240" w:line="260" w:lineRule="exact"/>
              <w:ind w:right="46"/>
              <w:rPr>
                <w:rFonts w:ascii="Arial" w:hAnsi="Arial" w:cs="Arial"/>
                <w:color w:val="1F497D"/>
                <w:sz w:val="20"/>
                <w:szCs w:val="20"/>
              </w:rPr>
            </w:pPr>
            <w:r w:rsidRPr="00B7026E">
              <w:rPr>
                <w:rFonts w:ascii="Arial" w:hAnsi="Arial" w:cs="Arial"/>
                <w:sz w:val="20"/>
                <w:szCs w:val="20"/>
              </w:rPr>
              <w:t>For patients treated for DVT and prevention of recurrent DVT and PE, VKA treatment should be stopped and Xarelto therapy should be initiated once the INR is ≤ 2.5.</w:t>
            </w:r>
          </w:p>
          <w:p w:rsidR="00D243FF" w:rsidRPr="00B7026E" w:rsidRDefault="00D243FF" w:rsidP="00B7026E">
            <w:pPr>
              <w:autoSpaceDE w:val="0"/>
              <w:autoSpaceDN w:val="0"/>
              <w:spacing w:before="120" w:after="240" w:line="260" w:lineRule="exact"/>
              <w:ind w:right="46"/>
              <w:rPr>
                <w:rFonts w:ascii="Arial" w:hAnsi="Arial" w:cs="Arial"/>
                <w:sz w:val="20"/>
                <w:szCs w:val="20"/>
              </w:rPr>
            </w:pPr>
            <w:r w:rsidRPr="00B7026E">
              <w:rPr>
                <w:rFonts w:ascii="Arial" w:hAnsi="Arial" w:cs="Arial"/>
                <w:sz w:val="20"/>
                <w:szCs w:val="20"/>
              </w:rPr>
              <w:lastRenderedPageBreak/>
              <w:t>The INR is not a valid measure for the anticoagulant activity of Xarelto, and therefore should not be used. The INR is only calibrated and validated for VKAs and cannot be used for any other anticoagulant. When switching patients from VKAs to Xarelto, INR values will be elevated after the intake of Xarelto but this is not indicative of the anticoagulant effect of Xarelto (see Interactions with Other Medicines).</w:t>
            </w:r>
          </w:p>
          <w:p w:rsidR="00D243FF" w:rsidRPr="00B7026E" w:rsidRDefault="00D243FF" w:rsidP="00B7026E">
            <w:pPr>
              <w:autoSpaceDE w:val="0"/>
              <w:autoSpaceDN w:val="0"/>
              <w:spacing w:before="120" w:after="240" w:line="260" w:lineRule="exact"/>
              <w:ind w:right="45"/>
              <w:rPr>
                <w:rFonts w:ascii="Arial" w:hAnsi="Arial" w:cs="Arial"/>
                <w:b/>
                <w:sz w:val="20"/>
                <w:szCs w:val="20"/>
                <w:lang w:val="en-AU"/>
              </w:rPr>
            </w:pPr>
          </w:p>
        </w:tc>
      </w:tr>
      <w:tr w:rsidR="00D243FF" w:rsidRPr="00B7026E" w:rsidTr="00B7026E">
        <w:tc>
          <w:tcPr>
            <w:tcW w:w="1668" w:type="dxa"/>
            <w:shd w:val="clear" w:color="auto" w:fill="auto"/>
          </w:tcPr>
          <w:p w:rsidR="00D243FF" w:rsidRPr="00B7026E" w:rsidRDefault="00D243FF" w:rsidP="00B7026E">
            <w:pPr>
              <w:autoSpaceDE w:val="0"/>
              <w:autoSpaceDN w:val="0"/>
              <w:spacing w:before="120" w:after="240" w:line="260" w:lineRule="exact"/>
              <w:ind w:right="-108"/>
              <w:rPr>
                <w:rFonts w:ascii="Arial" w:hAnsi="Arial" w:cs="Arial"/>
                <w:b/>
                <w:sz w:val="20"/>
                <w:szCs w:val="20"/>
                <w:lang w:val="en-AU"/>
              </w:rPr>
            </w:pPr>
            <w:r w:rsidRPr="00B7026E">
              <w:rPr>
                <w:rFonts w:ascii="Arial" w:hAnsi="Arial" w:cs="Arial"/>
                <w:b/>
                <w:sz w:val="20"/>
                <w:szCs w:val="20"/>
                <w:lang w:val="en-AU"/>
              </w:rPr>
              <w:lastRenderedPageBreak/>
              <w:t>Parent</w:t>
            </w:r>
            <w:r w:rsidR="00437896">
              <w:rPr>
                <w:rFonts w:ascii="Arial" w:hAnsi="Arial" w:cs="Arial"/>
                <w:b/>
                <w:sz w:val="20"/>
                <w:szCs w:val="20"/>
                <w:lang w:val="en-AU"/>
              </w:rPr>
              <w:t>er</w:t>
            </w:r>
            <w:r w:rsidRPr="00B7026E">
              <w:rPr>
                <w:rFonts w:ascii="Arial" w:hAnsi="Arial" w:cs="Arial"/>
                <w:b/>
                <w:sz w:val="20"/>
                <w:szCs w:val="20"/>
                <w:lang w:val="en-AU"/>
              </w:rPr>
              <w:t>al Anticoagulants</w:t>
            </w:r>
          </w:p>
        </w:tc>
        <w:tc>
          <w:tcPr>
            <w:tcW w:w="3810" w:type="dxa"/>
            <w:shd w:val="clear" w:color="auto" w:fill="auto"/>
          </w:tcPr>
          <w:p w:rsidR="00D243FF" w:rsidRPr="00B7026E" w:rsidRDefault="00D243FF" w:rsidP="00B7026E">
            <w:pPr>
              <w:autoSpaceDE w:val="0"/>
              <w:autoSpaceDN w:val="0"/>
              <w:spacing w:before="120" w:after="240" w:line="260" w:lineRule="exact"/>
              <w:ind w:right="45"/>
              <w:rPr>
                <w:rFonts w:ascii="Arial" w:hAnsi="Arial" w:cs="Arial"/>
                <w:b/>
                <w:sz w:val="20"/>
                <w:szCs w:val="20"/>
              </w:rPr>
            </w:pPr>
            <w:r w:rsidRPr="00B7026E">
              <w:rPr>
                <w:rFonts w:ascii="Arial" w:hAnsi="Arial" w:cs="Arial"/>
                <w:b/>
                <w:sz w:val="20"/>
                <w:szCs w:val="20"/>
              </w:rPr>
              <w:t>Transition from Xarelto to Parenteral Anticoagulants:</w:t>
            </w:r>
          </w:p>
          <w:p w:rsidR="00D243FF" w:rsidRPr="00B7026E" w:rsidRDefault="00D243FF" w:rsidP="00B7026E">
            <w:pPr>
              <w:autoSpaceDE w:val="0"/>
              <w:autoSpaceDN w:val="0"/>
              <w:spacing w:before="120" w:after="240" w:line="260" w:lineRule="exact"/>
              <w:ind w:right="45"/>
              <w:rPr>
                <w:rFonts w:ascii="Arial" w:hAnsi="Arial" w:cs="Arial"/>
                <w:b/>
                <w:sz w:val="20"/>
                <w:szCs w:val="20"/>
                <w:lang w:val="en-AU"/>
              </w:rPr>
            </w:pPr>
            <w:r w:rsidRPr="00B7026E">
              <w:rPr>
                <w:rFonts w:ascii="Arial" w:hAnsi="Arial" w:cs="Arial"/>
                <w:sz w:val="20"/>
                <w:szCs w:val="20"/>
              </w:rPr>
              <w:t>Discontinue Xarelto and give the first dose of parenteral anticoagulant at the time that the next Xarelto dose would be taken</w:t>
            </w:r>
          </w:p>
        </w:tc>
        <w:tc>
          <w:tcPr>
            <w:tcW w:w="3811" w:type="dxa"/>
            <w:shd w:val="clear" w:color="auto" w:fill="auto"/>
          </w:tcPr>
          <w:p w:rsidR="00D243FF" w:rsidRPr="00B7026E" w:rsidRDefault="00D243FF" w:rsidP="00B7026E">
            <w:pPr>
              <w:autoSpaceDE w:val="0"/>
              <w:autoSpaceDN w:val="0"/>
              <w:spacing w:before="120" w:after="240" w:line="260" w:lineRule="exact"/>
              <w:ind w:right="45"/>
              <w:rPr>
                <w:rFonts w:ascii="Arial" w:hAnsi="Arial" w:cs="Arial"/>
                <w:b/>
                <w:bCs/>
                <w:sz w:val="20"/>
                <w:szCs w:val="20"/>
                <w:lang w:eastAsia="en-AU"/>
              </w:rPr>
            </w:pPr>
            <w:r w:rsidRPr="00B7026E">
              <w:rPr>
                <w:rFonts w:ascii="Arial" w:hAnsi="Arial" w:cs="Arial"/>
                <w:b/>
                <w:bCs/>
                <w:sz w:val="20"/>
                <w:szCs w:val="20"/>
              </w:rPr>
              <w:t>Transition from Parenteral Anticoagulants to Xarelto:</w:t>
            </w:r>
          </w:p>
          <w:p w:rsidR="00D243FF" w:rsidRPr="00B7026E" w:rsidRDefault="00D243FF" w:rsidP="00B7026E">
            <w:pPr>
              <w:autoSpaceDE w:val="0"/>
              <w:autoSpaceDN w:val="0"/>
              <w:spacing w:before="120" w:after="240" w:line="260" w:lineRule="exact"/>
              <w:ind w:right="45"/>
              <w:rPr>
                <w:rFonts w:ascii="Arial" w:hAnsi="Arial" w:cs="Arial"/>
                <w:b/>
                <w:sz w:val="20"/>
                <w:szCs w:val="20"/>
                <w:lang w:val="en-AU"/>
              </w:rPr>
            </w:pPr>
            <w:r w:rsidRPr="00B7026E">
              <w:rPr>
                <w:rFonts w:ascii="Arial" w:hAnsi="Arial" w:cs="Arial"/>
                <w:sz w:val="20"/>
                <w:szCs w:val="20"/>
              </w:rPr>
              <w:t>For patients currently receiving a parenteral anticoagulant, start Xarelto 0 to 2 hours before the time of the next scheduled administration of the parenteral drug (e.g., LMWH) or at the time of discontinuation of a continuously administered parenteral drug (e.g., intravenous unfractionated heparin).</w:t>
            </w:r>
          </w:p>
        </w:tc>
      </w:tr>
    </w:tbl>
    <w:p w:rsidR="00D243FF" w:rsidRPr="002742BE" w:rsidRDefault="00D243FF" w:rsidP="00D243FF">
      <w:pPr>
        <w:autoSpaceDE w:val="0"/>
        <w:autoSpaceDN w:val="0"/>
        <w:spacing w:before="120" w:after="240"/>
        <w:ind w:right="45"/>
        <w:jc w:val="both"/>
        <w:rPr>
          <w:rFonts w:ascii="Arial" w:hAnsi="Arial" w:cs="Arial"/>
          <w:b/>
          <w:sz w:val="22"/>
          <w:szCs w:val="22"/>
          <w:lang w:val="en-AU"/>
        </w:rPr>
      </w:pPr>
    </w:p>
    <w:p w:rsidR="00D449C1" w:rsidRPr="002742BE" w:rsidRDefault="00D449C1" w:rsidP="00FB4390">
      <w:pPr>
        <w:pStyle w:val="Heading2"/>
        <w:spacing w:before="120" w:after="240"/>
        <w:ind w:right="45"/>
        <w:rPr>
          <w:rFonts w:ascii="Arial" w:hAnsi="Arial" w:cs="Arial"/>
          <w:i/>
          <w:sz w:val="22"/>
        </w:rPr>
      </w:pPr>
      <w:r w:rsidRPr="002742BE">
        <w:rPr>
          <w:rFonts w:ascii="Arial" w:hAnsi="Arial" w:cs="Arial"/>
          <w:i/>
          <w:sz w:val="22"/>
        </w:rPr>
        <w:t>Missed Dose</w:t>
      </w:r>
    </w:p>
    <w:p w:rsidR="00D449C1" w:rsidRPr="002742BE" w:rsidRDefault="00D449C1" w:rsidP="00FB4390">
      <w:pPr>
        <w:autoSpaceDE w:val="0"/>
        <w:autoSpaceDN w:val="0"/>
        <w:spacing w:before="120" w:after="120"/>
        <w:ind w:right="45"/>
        <w:jc w:val="both"/>
        <w:rPr>
          <w:rFonts w:ascii="Arial" w:hAnsi="Arial" w:cs="Arial"/>
          <w:sz w:val="22"/>
          <w:szCs w:val="22"/>
          <w:lang w:val="en-AU"/>
        </w:rPr>
      </w:pPr>
      <w:r w:rsidRPr="002742BE">
        <w:rPr>
          <w:rFonts w:ascii="Arial" w:hAnsi="Arial" w:cs="Arial"/>
          <w:sz w:val="22"/>
          <w:szCs w:val="22"/>
          <w:lang w:val="en-AU"/>
        </w:rPr>
        <w:t>It is essential to adhere to the dosage schedule provided.</w:t>
      </w:r>
    </w:p>
    <w:p w:rsidR="00D449C1" w:rsidRPr="002742BE" w:rsidRDefault="00D449C1" w:rsidP="00FB4390">
      <w:pPr>
        <w:numPr>
          <w:ilvl w:val="0"/>
          <w:numId w:val="9"/>
        </w:numPr>
        <w:autoSpaceDE w:val="0"/>
        <w:autoSpaceDN w:val="0"/>
        <w:spacing w:before="120" w:after="120"/>
        <w:ind w:left="0" w:right="45" w:firstLine="0"/>
        <w:jc w:val="both"/>
        <w:rPr>
          <w:rFonts w:ascii="Arial" w:hAnsi="Arial" w:cs="Arial"/>
          <w:sz w:val="22"/>
          <w:szCs w:val="22"/>
          <w:lang w:val="en-AU"/>
        </w:rPr>
      </w:pPr>
      <w:r w:rsidRPr="002742BE">
        <w:rPr>
          <w:rFonts w:ascii="Arial" w:hAnsi="Arial" w:cs="Arial"/>
          <w:sz w:val="22"/>
          <w:szCs w:val="22"/>
          <w:lang w:val="en-AU"/>
        </w:rPr>
        <w:t xml:space="preserve">Xarelto 10 mg, 15 mg, or 20 mg tablets taken </w:t>
      </w:r>
      <w:r w:rsidRPr="002742BE">
        <w:rPr>
          <w:rFonts w:ascii="Arial" w:hAnsi="Arial" w:cs="Arial"/>
          <w:b/>
          <w:bCs/>
          <w:sz w:val="22"/>
          <w:szCs w:val="22"/>
          <w:lang w:val="en-AU"/>
        </w:rPr>
        <w:t xml:space="preserve">once </w:t>
      </w:r>
      <w:r w:rsidRPr="002742BE">
        <w:rPr>
          <w:rFonts w:ascii="Arial" w:hAnsi="Arial" w:cs="Arial"/>
          <w:sz w:val="22"/>
          <w:szCs w:val="22"/>
          <w:lang w:val="en-AU"/>
        </w:rPr>
        <w:t>a day:</w:t>
      </w:r>
    </w:p>
    <w:p w:rsidR="00D449C1" w:rsidRPr="002742BE" w:rsidRDefault="00D449C1" w:rsidP="00FB4390">
      <w:pPr>
        <w:autoSpaceDE w:val="0"/>
        <w:autoSpaceDN w:val="0"/>
        <w:spacing w:before="120" w:after="120"/>
        <w:ind w:right="45"/>
        <w:jc w:val="both"/>
        <w:rPr>
          <w:rFonts w:ascii="Arial" w:hAnsi="Arial" w:cs="Arial"/>
          <w:sz w:val="22"/>
          <w:szCs w:val="22"/>
          <w:lang w:val="en-AU"/>
        </w:rPr>
      </w:pPr>
      <w:r w:rsidRPr="002742BE">
        <w:rPr>
          <w:rFonts w:ascii="Arial" w:hAnsi="Arial" w:cs="Arial"/>
          <w:sz w:val="22"/>
          <w:szCs w:val="22"/>
          <w:lang w:val="en-AU"/>
        </w:rPr>
        <w:t xml:space="preserve">If a dose is missed, the patient should take Xarelto immediately on the same day and continue on the following day with the once daily intake as before. A double dose should not be taken to make up for a missed tablet. </w:t>
      </w:r>
    </w:p>
    <w:p w:rsidR="00D449C1" w:rsidRPr="002742BE" w:rsidRDefault="00D449C1" w:rsidP="00FB4390">
      <w:pPr>
        <w:numPr>
          <w:ilvl w:val="0"/>
          <w:numId w:val="9"/>
        </w:numPr>
        <w:autoSpaceDE w:val="0"/>
        <w:autoSpaceDN w:val="0"/>
        <w:spacing w:before="120" w:after="120"/>
        <w:ind w:left="0" w:right="45" w:firstLine="0"/>
        <w:jc w:val="both"/>
        <w:rPr>
          <w:rFonts w:ascii="Arial" w:hAnsi="Arial" w:cs="Arial"/>
          <w:sz w:val="22"/>
          <w:szCs w:val="22"/>
          <w:lang w:val="en-AU"/>
        </w:rPr>
      </w:pPr>
      <w:r w:rsidRPr="002742BE">
        <w:rPr>
          <w:rFonts w:ascii="Arial" w:hAnsi="Arial" w:cs="Arial"/>
          <w:sz w:val="22"/>
          <w:szCs w:val="22"/>
          <w:lang w:val="en-AU"/>
        </w:rPr>
        <w:t xml:space="preserve">Xarelto 15 mg tablets taken </w:t>
      </w:r>
      <w:r w:rsidRPr="002742BE">
        <w:rPr>
          <w:rFonts w:ascii="Arial" w:hAnsi="Arial" w:cs="Arial"/>
          <w:b/>
          <w:bCs/>
          <w:sz w:val="22"/>
          <w:szCs w:val="22"/>
          <w:lang w:val="en-AU"/>
        </w:rPr>
        <w:t xml:space="preserve">twice </w:t>
      </w:r>
      <w:r w:rsidRPr="002742BE">
        <w:rPr>
          <w:rFonts w:ascii="Arial" w:hAnsi="Arial" w:cs="Arial"/>
          <w:sz w:val="22"/>
          <w:szCs w:val="22"/>
          <w:lang w:val="en-AU"/>
        </w:rPr>
        <w:t>a day:</w:t>
      </w:r>
    </w:p>
    <w:p w:rsidR="00D46320" w:rsidRPr="002742BE" w:rsidRDefault="00D449C1" w:rsidP="00FB4390">
      <w:pPr>
        <w:autoSpaceDE w:val="0"/>
        <w:autoSpaceDN w:val="0"/>
        <w:spacing w:before="120" w:after="120"/>
        <w:ind w:right="45"/>
        <w:jc w:val="both"/>
        <w:rPr>
          <w:rFonts w:ascii="Arial" w:hAnsi="Arial" w:cs="Arial"/>
          <w:sz w:val="22"/>
          <w:szCs w:val="22"/>
          <w:lang w:val="en-AU"/>
        </w:rPr>
      </w:pPr>
      <w:r w:rsidRPr="002742BE">
        <w:rPr>
          <w:rFonts w:ascii="Arial" w:hAnsi="Arial" w:cs="Arial"/>
          <w:sz w:val="22"/>
          <w:szCs w:val="22"/>
          <w:lang w:val="en-AU"/>
        </w:rPr>
        <w:t xml:space="preserve">If a dose is missed during the 15 mg twice daily treatment phase the patient should take the next dose immediately to ensure the intake of 30 mg total dose per day. In this case two 15 </w:t>
      </w:r>
      <w:r w:rsidRPr="002742BE">
        <w:rPr>
          <w:rFonts w:ascii="Arial" w:hAnsi="Arial" w:cs="Arial"/>
          <w:sz w:val="22"/>
          <w:szCs w:val="22"/>
          <w:lang w:val="en-AU"/>
        </w:rPr>
        <w:lastRenderedPageBreak/>
        <w:t>mg tablets may be taken at once. The following day the patient should continue with the regular 15 mg twice daily intake schedule as recommended.</w:t>
      </w:r>
    </w:p>
    <w:p w:rsidR="001D1004" w:rsidRPr="002742BE" w:rsidRDefault="001D1004" w:rsidP="00FB4390">
      <w:pPr>
        <w:pStyle w:val="Heading1"/>
        <w:spacing w:before="120"/>
        <w:ind w:right="45"/>
        <w:rPr>
          <w:rFonts w:ascii="Arial" w:hAnsi="Arial" w:cs="Arial"/>
          <w:sz w:val="24"/>
        </w:rPr>
      </w:pPr>
      <w:r w:rsidRPr="002742BE">
        <w:rPr>
          <w:rFonts w:ascii="Arial" w:hAnsi="Arial" w:cs="Arial"/>
          <w:sz w:val="24"/>
        </w:rPr>
        <w:t>OVERDOSAGE</w:t>
      </w:r>
    </w:p>
    <w:p w:rsidR="001D1004" w:rsidRPr="002742BE" w:rsidRDefault="001D1004" w:rsidP="00FB4390">
      <w:pPr>
        <w:autoSpaceDE w:val="0"/>
        <w:autoSpaceDN w:val="0"/>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Overdose following administration of </w:t>
      </w:r>
      <w:r w:rsidR="00E8487E" w:rsidRPr="002742BE">
        <w:rPr>
          <w:rFonts w:ascii="Arial" w:hAnsi="Arial" w:cs="Arial"/>
          <w:noProof/>
          <w:sz w:val="22"/>
          <w:szCs w:val="22"/>
          <w:lang w:val="en-AU"/>
        </w:rPr>
        <w:t xml:space="preserve">Xarelto </w:t>
      </w:r>
      <w:r w:rsidRPr="002742BE">
        <w:rPr>
          <w:rFonts w:ascii="Arial" w:hAnsi="Arial" w:cs="Arial"/>
          <w:noProof/>
          <w:sz w:val="22"/>
          <w:szCs w:val="22"/>
          <w:lang w:val="en-AU"/>
        </w:rPr>
        <w:t xml:space="preserve">may lead to haemorrhagic complications due to its pharmacodynamic properties. </w:t>
      </w:r>
    </w:p>
    <w:p w:rsidR="00D449C1" w:rsidRPr="002742BE" w:rsidRDefault="00D449C1" w:rsidP="00FB4390">
      <w:pPr>
        <w:autoSpaceDE w:val="0"/>
        <w:autoSpaceDN w:val="0"/>
        <w:spacing w:before="120" w:after="120"/>
        <w:ind w:right="45"/>
        <w:jc w:val="both"/>
        <w:rPr>
          <w:rFonts w:ascii="Arial" w:hAnsi="Arial" w:cs="Arial"/>
          <w:sz w:val="22"/>
          <w:szCs w:val="22"/>
          <w:lang w:val="en-AU"/>
        </w:rPr>
      </w:pPr>
      <w:r w:rsidRPr="002742BE">
        <w:rPr>
          <w:rFonts w:ascii="Arial" w:hAnsi="Arial" w:cs="Arial"/>
          <w:sz w:val="22"/>
          <w:szCs w:val="22"/>
          <w:lang w:val="en-AU"/>
        </w:rPr>
        <w:t>Rare cases of overdose up to 600 mg have been reported without bleeding complications or other adverse reactions. Due to limited absorption a ceiling effect with no further increase in average plasma exposure is expected at supratherapeutic doses of 50 mg or above.</w:t>
      </w:r>
    </w:p>
    <w:p w:rsidR="00E5317E" w:rsidRPr="002742BE" w:rsidRDefault="00E5317E" w:rsidP="00FB4390">
      <w:pPr>
        <w:autoSpaceDE w:val="0"/>
        <w:autoSpaceDN w:val="0"/>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A s</w:t>
      </w:r>
      <w:r w:rsidR="001B257F" w:rsidRPr="002742BE">
        <w:rPr>
          <w:rFonts w:ascii="Arial" w:hAnsi="Arial" w:cs="Arial"/>
          <w:noProof/>
          <w:sz w:val="22"/>
          <w:szCs w:val="22"/>
          <w:lang w:val="en-AU"/>
        </w:rPr>
        <w:t>p</w:t>
      </w:r>
      <w:r w:rsidRPr="002742BE">
        <w:rPr>
          <w:rFonts w:ascii="Arial" w:hAnsi="Arial" w:cs="Arial"/>
          <w:noProof/>
          <w:sz w:val="22"/>
          <w:szCs w:val="22"/>
          <w:lang w:val="en-AU"/>
        </w:rPr>
        <w:t>e</w:t>
      </w:r>
      <w:r w:rsidR="001B257F" w:rsidRPr="002742BE">
        <w:rPr>
          <w:rFonts w:ascii="Arial" w:hAnsi="Arial" w:cs="Arial"/>
          <w:noProof/>
          <w:sz w:val="22"/>
          <w:szCs w:val="22"/>
          <w:lang w:val="en-AU"/>
        </w:rPr>
        <w:t>c</w:t>
      </w:r>
      <w:r w:rsidR="008A1AA2" w:rsidRPr="002742BE">
        <w:rPr>
          <w:rFonts w:ascii="Arial" w:hAnsi="Arial" w:cs="Arial"/>
          <w:noProof/>
          <w:sz w:val="22"/>
          <w:szCs w:val="22"/>
          <w:lang w:val="en-AU"/>
        </w:rPr>
        <w:t>ific antidote antago</w:t>
      </w:r>
      <w:r w:rsidRPr="002742BE">
        <w:rPr>
          <w:rFonts w:ascii="Arial" w:hAnsi="Arial" w:cs="Arial"/>
          <w:noProof/>
          <w:sz w:val="22"/>
          <w:szCs w:val="22"/>
          <w:lang w:val="en-AU"/>
        </w:rPr>
        <w:t xml:space="preserve">nising the </w:t>
      </w:r>
      <w:r w:rsidR="00571784" w:rsidRPr="002742BE">
        <w:rPr>
          <w:rFonts w:ascii="Arial" w:hAnsi="Arial" w:cs="Arial"/>
          <w:noProof/>
          <w:sz w:val="22"/>
          <w:szCs w:val="22"/>
          <w:lang w:val="en-AU"/>
        </w:rPr>
        <w:t xml:space="preserve">pharmacological </w:t>
      </w:r>
      <w:r w:rsidRPr="002742BE">
        <w:rPr>
          <w:rFonts w:ascii="Arial" w:hAnsi="Arial" w:cs="Arial"/>
          <w:noProof/>
          <w:sz w:val="22"/>
          <w:szCs w:val="22"/>
          <w:lang w:val="en-AU"/>
        </w:rPr>
        <w:t>effect of rivaroxaban is not available.</w:t>
      </w:r>
    </w:p>
    <w:p w:rsidR="001D1004" w:rsidRPr="002742BE" w:rsidRDefault="001D1004" w:rsidP="00FB4390">
      <w:pPr>
        <w:autoSpaceDE w:val="0"/>
        <w:autoSpaceDN w:val="0"/>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Activated charcoal may reduce absorption of the drug if given within up to 8 hours after ingestion. In patients who are not fully conscious or have impaired gag reflex, consideration should be given to administering activated charcoal via a nasogastric tube, once the airway is protected. </w:t>
      </w:r>
    </w:p>
    <w:p w:rsidR="001D1004" w:rsidRPr="002742BE" w:rsidRDefault="001D1004" w:rsidP="00FB4390">
      <w:pPr>
        <w:spacing w:before="120" w:after="120"/>
        <w:ind w:right="45"/>
        <w:jc w:val="both"/>
        <w:rPr>
          <w:rFonts w:ascii="Arial" w:hAnsi="Arial" w:cs="Arial"/>
          <w:noProof/>
          <w:sz w:val="22"/>
          <w:szCs w:val="22"/>
          <w:lang w:val="en-AU"/>
        </w:rPr>
      </w:pPr>
      <w:r w:rsidRPr="002742BE">
        <w:rPr>
          <w:rFonts w:ascii="Arial" w:hAnsi="Arial" w:cs="Arial"/>
          <w:noProof/>
          <w:sz w:val="22"/>
          <w:szCs w:val="22"/>
          <w:lang w:val="en-AU"/>
        </w:rPr>
        <w:t xml:space="preserve">Protamine sulphate and Vitamin K are not expected to affect the anticoagulant activity of rivaroxaban. </w:t>
      </w:r>
      <w:r w:rsidRPr="002742BE">
        <w:rPr>
          <w:rFonts w:ascii="Arial" w:hAnsi="Arial" w:cs="Arial"/>
          <w:sz w:val="22"/>
          <w:szCs w:val="22"/>
          <w:lang w:val="en-AU"/>
        </w:rPr>
        <w:t>Due to the high plasma protein binding rivaroxaban is not expected to be dialysable.</w:t>
      </w:r>
    </w:p>
    <w:p w:rsidR="001D1004" w:rsidRPr="002742BE" w:rsidRDefault="001D1004" w:rsidP="00FB4390">
      <w:pPr>
        <w:spacing w:before="120" w:after="120"/>
        <w:ind w:right="45"/>
        <w:jc w:val="both"/>
        <w:rPr>
          <w:rFonts w:ascii="Arial" w:hAnsi="Arial" w:cs="Arial"/>
          <w:sz w:val="22"/>
          <w:szCs w:val="22"/>
          <w:lang w:val="en-AU"/>
        </w:rPr>
      </w:pPr>
      <w:r w:rsidRPr="002742BE">
        <w:rPr>
          <w:rFonts w:ascii="Arial" w:hAnsi="Arial" w:cs="Arial"/>
          <w:sz w:val="22"/>
          <w:szCs w:val="22"/>
          <w:lang w:val="en-AU"/>
        </w:rPr>
        <w:t>Contact Poisons Information Centre 131126 for advice on management.</w:t>
      </w:r>
    </w:p>
    <w:p w:rsidR="001D1004" w:rsidRPr="002742BE" w:rsidRDefault="001D1004" w:rsidP="00F04C47">
      <w:pPr>
        <w:pStyle w:val="Heading1"/>
        <w:spacing w:before="120" w:line="240" w:lineRule="auto"/>
        <w:ind w:right="46"/>
        <w:rPr>
          <w:rFonts w:ascii="Arial" w:hAnsi="Arial" w:cs="Arial"/>
          <w:sz w:val="24"/>
          <w:szCs w:val="24"/>
        </w:rPr>
      </w:pPr>
      <w:r w:rsidRPr="002742BE">
        <w:rPr>
          <w:rFonts w:ascii="Arial" w:hAnsi="Arial" w:cs="Arial"/>
          <w:sz w:val="24"/>
          <w:szCs w:val="24"/>
        </w:rPr>
        <w:t>PRESENTATION AND STORAGE CONDITIONS</w:t>
      </w:r>
    </w:p>
    <w:p w:rsidR="001D1004" w:rsidRPr="002742BE" w:rsidRDefault="00823894" w:rsidP="00F04C47">
      <w:pPr>
        <w:spacing w:before="120" w:after="240"/>
        <w:ind w:right="46"/>
        <w:jc w:val="both"/>
        <w:rPr>
          <w:rFonts w:ascii="Arial" w:hAnsi="Arial" w:cs="Arial"/>
          <w:noProof/>
          <w:sz w:val="22"/>
          <w:szCs w:val="22"/>
          <w:lang w:val="en-AU"/>
        </w:rPr>
      </w:pPr>
      <w:r w:rsidRPr="002742BE">
        <w:rPr>
          <w:rFonts w:ascii="Arial" w:hAnsi="Arial" w:cs="Arial"/>
          <w:sz w:val="22"/>
          <w:szCs w:val="22"/>
          <w:lang w:val="en-AU"/>
        </w:rPr>
        <w:t xml:space="preserve">Xarelto 10 mg - </w:t>
      </w:r>
      <w:r w:rsidR="001D1004" w:rsidRPr="002742BE">
        <w:rPr>
          <w:rFonts w:ascii="Arial" w:hAnsi="Arial" w:cs="Arial"/>
          <w:sz w:val="22"/>
          <w:szCs w:val="22"/>
          <w:lang w:val="en-AU"/>
        </w:rPr>
        <w:t xml:space="preserve">One tablet contains 10 mg rivaroxaban. The tablets are film-coated round, biconvex, light red immediate release tablets of 6 mm diameter marked with a Bayer cross on one side and “10” and a triangle on the other side. The tablets are supplied in packs of </w:t>
      </w:r>
      <w:r w:rsidR="00ED54C7" w:rsidRPr="002742BE">
        <w:rPr>
          <w:rFonts w:ascii="Arial" w:hAnsi="Arial" w:cs="Arial"/>
          <w:sz w:val="22"/>
          <w:szCs w:val="22"/>
          <w:lang w:val="en-AU"/>
        </w:rPr>
        <w:t xml:space="preserve">3, </w:t>
      </w:r>
      <w:r w:rsidR="001D1004" w:rsidRPr="002742BE">
        <w:rPr>
          <w:rFonts w:ascii="Arial" w:hAnsi="Arial" w:cs="Arial"/>
          <w:sz w:val="22"/>
          <w:szCs w:val="22"/>
          <w:lang w:val="en-AU"/>
        </w:rPr>
        <w:t xml:space="preserve">5, 10, 15, 30, 100 tablets. </w:t>
      </w:r>
    </w:p>
    <w:p w:rsidR="00823894" w:rsidRPr="002742BE" w:rsidRDefault="0082389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Xarelto 15 mg - One tablet contains 15 mg rivaroxaban. The tablets are film-coated round, biconvex, red immediate release tablets of 6 mm diameter marked with a Bayer cross on one side and “15” and a triangle on the other side. The tablets are supplied in packs of 7, 14, 28, 42, 84, 98, 100 tablets.</w:t>
      </w:r>
    </w:p>
    <w:p w:rsidR="00823894" w:rsidRPr="002742BE" w:rsidRDefault="0082389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Xarelto 20 mg - One tablet contains 20 mg rivaroxaban. The tablets are film-coated round, biconvex, brown red immediate release tablets of 6 mm diameter marked with a Bayer cross on one side and “20” and a triangle on the other side. The tablets are supplied in packs of 7, 28, 84, 98, 100 tablets.</w:t>
      </w:r>
    </w:p>
    <w:p w:rsidR="00532729" w:rsidRPr="002742BE" w:rsidRDefault="00532729" w:rsidP="00F04C47">
      <w:pPr>
        <w:spacing w:before="120" w:after="240"/>
        <w:ind w:right="46"/>
        <w:jc w:val="both"/>
        <w:rPr>
          <w:rFonts w:ascii="Arial" w:hAnsi="Arial" w:cs="Arial"/>
          <w:noProof/>
          <w:sz w:val="22"/>
          <w:szCs w:val="22"/>
          <w:lang w:val="en-AU"/>
        </w:rPr>
      </w:pPr>
      <w:r w:rsidRPr="002742BE">
        <w:rPr>
          <w:rFonts w:ascii="Arial" w:hAnsi="Arial" w:cs="Arial"/>
          <w:noProof/>
          <w:sz w:val="22"/>
          <w:szCs w:val="22"/>
          <w:lang w:val="en-AU"/>
        </w:rPr>
        <w:t>Not all pack sizes may be market</w:t>
      </w:r>
      <w:r w:rsidR="0047062D" w:rsidRPr="002742BE">
        <w:rPr>
          <w:rFonts w:ascii="Arial" w:hAnsi="Arial" w:cs="Arial"/>
          <w:noProof/>
          <w:sz w:val="22"/>
          <w:szCs w:val="22"/>
          <w:lang w:val="en-AU"/>
        </w:rPr>
        <w:t>e</w:t>
      </w:r>
      <w:r w:rsidRPr="002742BE">
        <w:rPr>
          <w:rFonts w:ascii="Arial" w:hAnsi="Arial" w:cs="Arial"/>
          <w:noProof/>
          <w:sz w:val="22"/>
          <w:szCs w:val="22"/>
          <w:lang w:val="en-AU"/>
        </w:rPr>
        <w:t>d.</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noProof/>
          <w:sz w:val="22"/>
          <w:szCs w:val="22"/>
          <w:lang w:val="en-AU"/>
        </w:rPr>
        <w:t>The tablets are packed in thermoformed PP/Aluminium foil blisters or PVC/PVDC/Aluminium foil blisters.</w:t>
      </w:r>
      <w:r w:rsidR="00027373" w:rsidRPr="002742BE">
        <w:rPr>
          <w:rFonts w:ascii="Arial" w:hAnsi="Arial" w:cs="Arial"/>
          <w:noProof/>
          <w:sz w:val="22"/>
          <w:szCs w:val="22"/>
          <w:lang w:val="en-AU"/>
        </w:rPr>
        <w:t xml:space="preserve"> </w:t>
      </w:r>
      <w:r w:rsidR="00823894" w:rsidRPr="002742BE">
        <w:rPr>
          <w:rFonts w:ascii="Arial" w:hAnsi="Arial" w:cs="Arial"/>
          <w:sz w:val="22"/>
          <w:szCs w:val="22"/>
          <w:lang w:val="en-AU"/>
        </w:rPr>
        <w:t xml:space="preserve">Store </w:t>
      </w:r>
      <w:r w:rsidRPr="002742BE">
        <w:rPr>
          <w:rFonts w:ascii="Arial" w:hAnsi="Arial" w:cs="Arial"/>
          <w:sz w:val="22"/>
          <w:szCs w:val="22"/>
          <w:lang w:val="en-AU"/>
        </w:rPr>
        <w:t>below 30</w:t>
      </w:r>
      <w:r w:rsidR="00B74AA6">
        <w:rPr>
          <w:rFonts w:ascii="Arial" w:hAnsi="Arial" w:cs="Arial"/>
          <w:sz w:val="22"/>
          <w:szCs w:val="22"/>
          <w:lang w:val="en-AU"/>
        </w:rPr>
        <w:t xml:space="preserve"> </w:t>
      </w:r>
      <w:r w:rsidRPr="002742BE">
        <w:rPr>
          <w:rFonts w:ascii="Arial" w:hAnsi="Arial" w:cs="Arial"/>
          <w:sz w:val="22"/>
          <w:szCs w:val="22"/>
          <w:lang w:val="en-AU"/>
        </w:rPr>
        <w:t>°C.</w:t>
      </w:r>
    </w:p>
    <w:p w:rsidR="001D1004" w:rsidRPr="002742BE" w:rsidRDefault="001D1004" w:rsidP="00F04C47">
      <w:pPr>
        <w:pStyle w:val="Heading1"/>
        <w:spacing w:before="120" w:line="240" w:lineRule="auto"/>
        <w:ind w:right="46"/>
        <w:rPr>
          <w:rFonts w:ascii="Arial" w:hAnsi="Arial" w:cs="Arial"/>
          <w:sz w:val="24"/>
          <w:szCs w:val="24"/>
        </w:rPr>
      </w:pPr>
      <w:r w:rsidRPr="002742BE">
        <w:rPr>
          <w:rFonts w:ascii="Arial" w:hAnsi="Arial" w:cs="Arial"/>
          <w:sz w:val="24"/>
          <w:szCs w:val="24"/>
        </w:rPr>
        <w:t>NAME AND ADDRESS OF THE SPONSOR</w:t>
      </w:r>
    </w:p>
    <w:p w:rsidR="001D1004" w:rsidRPr="002742BE" w:rsidRDefault="001D1004" w:rsidP="00FB4390">
      <w:pPr>
        <w:spacing w:before="120" w:after="120"/>
        <w:ind w:right="45"/>
        <w:jc w:val="both"/>
        <w:rPr>
          <w:rFonts w:ascii="Arial" w:hAnsi="Arial" w:cs="Arial"/>
          <w:sz w:val="22"/>
          <w:szCs w:val="22"/>
          <w:lang w:val="en-AU"/>
        </w:rPr>
      </w:pPr>
      <w:r w:rsidRPr="002742BE">
        <w:rPr>
          <w:rFonts w:ascii="Arial" w:hAnsi="Arial" w:cs="Arial"/>
          <w:sz w:val="22"/>
          <w:szCs w:val="22"/>
          <w:lang w:val="en-AU"/>
        </w:rPr>
        <w:t>BAYER AUSTRALIA LTD</w:t>
      </w:r>
    </w:p>
    <w:p w:rsidR="001D1004" w:rsidRPr="002742BE" w:rsidRDefault="001D1004" w:rsidP="00FB4390">
      <w:pPr>
        <w:spacing w:before="120" w:after="120"/>
        <w:ind w:right="45"/>
        <w:jc w:val="both"/>
        <w:rPr>
          <w:rFonts w:ascii="Arial" w:hAnsi="Arial" w:cs="Arial"/>
          <w:sz w:val="22"/>
          <w:szCs w:val="22"/>
          <w:lang w:val="en-AU"/>
        </w:rPr>
      </w:pPr>
      <w:r w:rsidRPr="002742BE">
        <w:rPr>
          <w:rFonts w:ascii="Arial" w:hAnsi="Arial" w:cs="Arial"/>
          <w:sz w:val="22"/>
          <w:szCs w:val="22"/>
          <w:lang w:val="en-AU"/>
        </w:rPr>
        <w:t>ABN 22 000 138 714</w:t>
      </w:r>
    </w:p>
    <w:p w:rsidR="001D1004" w:rsidRPr="002742BE" w:rsidRDefault="001D1004" w:rsidP="00FB4390">
      <w:pPr>
        <w:spacing w:before="120" w:after="120"/>
        <w:ind w:right="45"/>
        <w:jc w:val="both"/>
        <w:rPr>
          <w:rFonts w:ascii="Arial" w:hAnsi="Arial" w:cs="Arial"/>
          <w:sz w:val="22"/>
          <w:szCs w:val="22"/>
          <w:lang w:val="en-AU"/>
        </w:rPr>
      </w:pPr>
      <w:r w:rsidRPr="002742BE">
        <w:rPr>
          <w:rFonts w:ascii="Arial" w:hAnsi="Arial" w:cs="Arial"/>
          <w:sz w:val="22"/>
          <w:szCs w:val="22"/>
          <w:lang w:val="en-AU"/>
        </w:rPr>
        <w:t>875 Pacific Highway</w:t>
      </w:r>
    </w:p>
    <w:p w:rsidR="001D1004" w:rsidRPr="002742BE" w:rsidRDefault="001D1004" w:rsidP="00FB4390">
      <w:pPr>
        <w:spacing w:before="120" w:after="120"/>
        <w:ind w:right="45"/>
        <w:jc w:val="both"/>
        <w:rPr>
          <w:rFonts w:ascii="Arial" w:hAnsi="Arial" w:cs="Arial"/>
          <w:sz w:val="22"/>
          <w:szCs w:val="22"/>
          <w:lang w:val="en-AU"/>
        </w:rPr>
      </w:pPr>
      <w:r w:rsidRPr="002742BE">
        <w:rPr>
          <w:rFonts w:ascii="Arial" w:hAnsi="Arial" w:cs="Arial"/>
          <w:sz w:val="22"/>
          <w:szCs w:val="22"/>
          <w:lang w:val="en-AU"/>
        </w:rPr>
        <w:t>PYMBLE, NSW 2073</w:t>
      </w:r>
    </w:p>
    <w:p w:rsidR="001D1004" w:rsidRPr="002742BE" w:rsidRDefault="001D1004" w:rsidP="00F04C47">
      <w:pPr>
        <w:pStyle w:val="Heading1"/>
        <w:spacing w:before="120" w:line="240" w:lineRule="auto"/>
        <w:ind w:right="46"/>
        <w:rPr>
          <w:rFonts w:ascii="Arial" w:hAnsi="Arial" w:cs="Arial"/>
          <w:sz w:val="24"/>
          <w:szCs w:val="24"/>
        </w:rPr>
      </w:pPr>
      <w:r w:rsidRPr="002742BE">
        <w:rPr>
          <w:rFonts w:ascii="Arial" w:hAnsi="Arial" w:cs="Arial"/>
          <w:sz w:val="24"/>
          <w:szCs w:val="24"/>
        </w:rPr>
        <w:lastRenderedPageBreak/>
        <w:t>POISON SCHEDULE</w:t>
      </w:r>
      <w:r w:rsidR="00B077AD" w:rsidRPr="002742BE">
        <w:rPr>
          <w:rFonts w:ascii="Arial" w:hAnsi="Arial" w:cs="Arial"/>
          <w:sz w:val="24"/>
          <w:szCs w:val="24"/>
        </w:rPr>
        <w:t xml:space="preserve"> of the medicine</w:t>
      </w:r>
    </w:p>
    <w:p w:rsidR="001D1004" w:rsidRPr="002742BE" w:rsidRDefault="001D1004" w:rsidP="00F04C47">
      <w:pPr>
        <w:spacing w:before="120" w:after="240"/>
        <w:ind w:right="46"/>
        <w:jc w:val="both"/>
        <w:rPr>
          <w:rFonts w:ascii="Arial" w:hAnsi="Arial" w:cs="Arial"/>
          <w:sz w:val="22"/>
          <w:szCs w:val="22"/>
          <w:lang w:val="en-AU"/>
        </w:rPr>
      </w:pPr>
      <w:r w:rsidRPr="002742BE">
        <w:rPr>
          <w:rFonts w:ascii="Arial" w:hAnsi="Arial" w:cs="Arial"/>
          <w:sz w:val="22"/>
          <w:szCs w:val="22"/>
          <w:lang w:val="en-AU"/>
        </w:rPr>
        <w:t>PRESCRIPTION ONLY MEDICINE</w:t>
      </w:r>
    </w:p>
    <w:p w:rsidR="00627448" w:rsidRPr="002742BE" w:rsidRDefault="001D1004" w:rsidP="00F04C47">
      <w:pPr>
        <w:pStyle w:val="Default"/>
        <w:spacing w:before="120" w:after="240"/>
        <w:ind w:right="46"/>
        <w:jc w:val="both"/>
        <w:rPr>
          <w:rFonts w:ascii="Arial" w:eastAsia="Times New Roman" w:hAnsi="Arial" w:cs="Arial"/>
          <w:b/>
          <w:caps/>
          <w:color w:val="auto"/>
          <w:kern w:val="28"/>
          <w:lang w:val="en-AU" w:eastAsia="en-US"/>
        </w:rPr>
      </w:pPr>
      <w:r w:rsidRPr="002742BE">
        <w:rPr>
          <w:rFonts w:ascii="Arial" w:eastAsia="Times New Roman" w:hAnsi="Arial" w:cs="Arial"/>
          <w:b/>
          <w:caps/>
          <w:color w:val="auto"/>
          <w:kern w:val="28"/>
          <w:lang w:val="en-AU" w:eastAsia="en-US"/>
        </w:rPr>
        <w:t xml:space="preserve">DATE OF </w:t>
      </w:r>
      <w:r w:rsidR="00B077AD" w:rsidRPr="002742BE">
        <w:rPr>
          <w:rFonts w:ascii="Arial" w:eastAsia="Times New Roman" w:hAnsi="Arial" w:cs="Arial"/>
          <w:b/>
          <w:caps/>
          <w:color w:val="auto"/>
          <w:kern w:val="28"/>
          <w:lang w:val="en-AU" w:eastAsia="en-US"/>
        </w:rPr>
        <w:t>first inclusion in the artg:</w:t>
      </w:r>
      <w:r w:rsidR="001C696B" w:rsidRPr="002742BE">
        <w:rPr>
          <w:rFonts w:ascii="Arial" w:eastAsia="Times New Roman" w:hAnsi="Arial" w:cs="Arial"/>
          <w:b/>
          <w:caps/>
          <w:color w:val="auto"/>
          <w:kern w:val="28"/>
          <w:lang w:val="en-AU" w:eastAsia="en-US"/>
        </w:rPr>
        <w:t xml:space="preserve"> </w:t>
      </w:r>
      <w:r w:rsidR="001C696B" w:rsidRPr="002742BE">
        <w:rPr>
          <w:rFonts w:ascii="Arial" w:eastAsia="Times New Roman" w:hAnsi="Arial" w:cs="Arial"/>
          <w:caps/>
          <w:color w:val="auto"/>
          <w:kern w:val="28"/>
          <w:sz w:val="22"/>
          <w:lang w:val="en-AU" w:eastAsia="en-US"/>
        </w:rPr>
        <w:t xml:space="preserve">24 </w:t>
      </w:r>
      <w:r w:rsidR="001C696B" w:rsidRPr="002742BE">
        <w:rPr>
          <w:rFonts w:ascii="Arial" w:eastAsia="Times New Roman" w:hAnsi="Arial" w:cs="Arial"/>
          <w:color w:val="auto"/>
          <w:kern w:val="28"/>
          <w:sz w:val="22"/>
          <w:lang w:val="en-AU" w:eastAsia="en-US"/>
        </w:rPr>
        <w:t xml:space="preserve">November </w:t>
      </w:r>
      <w:r w:rsidR="001C696B" w:rsidRPr="002742BE">
        <w:rPr>
          <w:rFonts w:ascii="Arial" w:eastAsia="Times New Roman" w:hAnsi="Arial" w:cs="Arial"/>
          <w:caps/>
          <w:color w:val="auto"/>
          <w:kern w:val="28"/>
          <w:sz w:val="22"/>
          <w:lang w:val="en-AU" w:eastAsia="en-US"/>
        </w:rPr>
        <w:t>2008</w:t>
      </w:r>
    </w:p>
    <w:p w:rsidR="00B077AD" w:rsidRPr="002742BE" w:rsidRDefault="00B077AD" w:rsidP="00F04C47">
      <w:pPr>
        <w:pStyle w:val="Default"/>
        <w:spacing w:before="120" w:after="240"/>
        <w:ind w:right="46"/>
        <w:jc w:val="both"/>
        <w:rPr>
          <w:rFonts w:ascii="Arial" w:hAnsi="Arial" w:cs="Arial"/>
          <w:lang w:val="en-AU"/>
        </w:rPr>
      </w:pPr>
      <w:r w:rsidRPr="002742BE">
        <w:rPr>
          <w:rFonts w:ascii="Arial" w:eastAsia="Times New Roman" w:hAnsi="Arial" w:cs="Arial"/>
          <w:b/>
          <w:caps/>
          <w:color w:val="auto"/>
          <w:kern w:val="28"/>
          <w:lang w:val="en-AU" w:eastAsia="en-US"/>
        </w:rPr>
        <w:t>date of most recent amendment:</w:t>
      </w:r>
      <w:r w:rsidR="00027373" w:rsidRPr="002742BE">
        <w:rPr>
          <w:rFonts w:ascii="Arial" w:eastAsia="Times New Roman" w:hAnsi="Arial" w:cs="Arial"/>
          <w:b/>
          <w:caps/>
          <w:color w:val="auto"/>
          <w:kern w:val="28"/>
          <w:lang w:val="en-AU" w:eastAsia="en-US"/>
        </w:rPr>
        <w:t xml:space="preserve"> </w:t>
      </w:r>
      <w:r w:rsidR="00D63F7D">
        <w:rPr>
          <w:rFonts w:ascii="Arial" w:eastAsia="Times New Roman" w:hAnsi="Arial" w:cs="Arial"/>
          <w:caps/>
          <w:color w:val="auto"/>
          <w:kern w:val="28"/>
          <w:sz w:val="22"/>
          <w:lang w:val="en-AU" w:eastAsia="en-US"/>
        </w:rPr>
        <w:t xml:space="preserve">27 </w:t>
      </w:r>
      <w:r w:rsidR="00D63F7D" w:rsidRPr="00D63F7D">
        <w:rPr>
          <w:rFonts w:ascii="Arial" w:eastAsia="Times New Roman" w:hAnsi="Arial" w:cs="Arial"/>
          <w:color w:val="auto"/>
          <w:kern w:val="28"/>
          <w:sz w:val="22"/>
          <w:lang w:val="en-AU" w:eastAsia="en-US"/>
        </w:rPr>
        <w:t>June</w:t>
      </w:r>
      <w:r w:rsidR="00370922" w:rsidRPr="00370922">
        <w:rPr>
          <w:rFonts w:ascii="Arial" w:eastAsia="Times New Roman" w:hAnsi="Arial" w:cs="Arial"/>
          <w:caps/>
          <w:color w:val="auto"/>
          <w:kern w:val="28"/>
          <w:sz w:val="22"/>
          <w:lang w:val="en-AU" w:eastAsia="en-US"/>
        </w:rPr>
        <w:t xml:space="preserve"> 2013</w:t>
      </w:r>
    </w:p>
    <w:p w:rsidR="00A51DAB" w:rsidRPr="002742BE" w:rsidRDefault="00A51DAB" w:rsidP="00F04C47">
      <w:pPr>
        <w:ind w:right="46"/>
        <w:rPr>
          <w:rFonts w:ascii="Arial" w:hAnsi="Arial" w:cs="Arial"/>
          <w:sz w:val="22"/>
          <w:szCs w:val="22"/>
          <w:vertAlign w:val="superscript"/>
          <w:lang w:val="en-AU"/>
        </w:rPr>
      </w:pPr>
    </w:p>
    <w:p w:rsidR="00A51DAB" w:rsidRPr="002742BE" w:rsidRDefault="00A51DAB" w:rsidP="00F04C47">
      <w:pPr>
        <w:ind w:right="46"/>
        <w:rPr>
          <w:rFonts w:ascii="Arial" w:hAnsi="Arial" w:cs="Arial"/>
          <w:sz w:val="22"/>
          <w:szCs w:val="22"/>
          <w:vertAlign w:val="superscript"/>
          <w:lang w:val="en-AU"/>
        </w:rPr>
      </w:pPr>
    </w:p>
    <w:p w:rsidR="001D1004" w:rsidRPr="002742BE" w:rsidRDefault="001D1004" w:rsidP="00F04C47">
      <w:pPr>
        <w:ind w:right="46"/>
        <w:rPr>
          <w:lang w:val="en-AU"/>
        </w:rPr>
      </w:pPr>
      <w:r w:rsidRPr="002742BE">
        <w:rPr>
          <w:rFonts w:ascii="Arial" w:hAnsi="Arial" w:cs="Arial"/>
          <w:sz w:val="22"/>
          <w:szCs w:val="22"/>
          <w:vertAlign w:val="superscript"/>
          <w:lang w:val="en-AU"/>
        </w:rPr>
        <w:t>®</w:t>
      </w:r>
      <w:r w:rsidRPr="002742BE">
        <w:rPr>
          <w:rFonts w:ascii="Arial" w:hAnsi="Arial" w:cs="Arial"/>
          <w:sz w:val="22"/>
          <w:szCs w:val="22"/>
          <w:lang w:val="en-AU"/>
        </w:rPr>
        <w:t xml:space="preserve"> Registered Trademark of Bayer AG</w:t>
      </w:r>
      <w:bookmarkStart w:id="33" w:name="_PictureBullets"/>
      <w:bookmarkEnd w:id="33"/>
    </w:p>
    <w:sectPr w:rsidR="001D1004" w:rsidRPr="002742BE" w:rsidSect="00FE0295">
      <w:pgSz w:w="11906" w:h="16838" w:code="9"/>
      <w:pgMar w:top="1440" w:right="1274" w:bottom="1418"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374" w:rsidRDefault="00485374">
      <w:r>
        <w:separator/>
      </w:r>
    </w:p>
  </w:endnote>
  <w:endnote w:type="continuationSeparator" w:id="0">
    <w:p w:rsidR="00485374" w:rsidRDefault="004853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00"/>
    <w:family w:val="auto"/>
    <w:notTrueType/>
    <w:pitch w:val="default"/>
    <w:sig w:usb0="00000083" w:usb1="08070000" w:usb2="00000010" w:usb3="00000000" w:csb0="00020009"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9B" w:rsidRPr="00CB29CA" w:rsidRDefault="00B15449" w:rsidP="00CB29CA">
    <w:pPr>
      <w:pStyle w:val="Footer"/>
      <w:tabs>
        <w:tab w:val="clear" w:pos="8306"/>
        <w:tab w:val="right" w:pos="9214"/>
      </w:tabs>
      <w:ind w:right="360"/>
      <w:rPr>
        <w:rFonts w:ascii="Arial" w:hAnsi="Arial" w:cs="Arial"/>
        <w:sz w:val="18"/>
        <w:szCs w:val="18"/>
      </w:rPr>
    </w:pPr>
    <w:r>
      <w:rPr>
        <w:rFonts w:ascii="Arial" w:hAnsi="Arial" w:cs="Arial"/>
        <w:sz w:val="18"/>
        <w:szCs w:val="18"/>
      </w:rPr>
      <w:t>1</w:t>
    </w:r>
    <w:r w:rsidR="00370922">
      <w:rPr>
        <w:rFonts w:ascii="Arial" w:hAnsi="Arial" w:cs="Arial"/>
        <w:sz w:val="18"/>
        <w:szCs w:val="18"/>
      </w:rPr>
      <w:t>30627</w:t>
    </w:r>
    <w:r>
      <w:rPr>
        <w:rFonts w:ascii="Arial" w:hAnsi="Arial" w:cs="Arial"/>
        <w:sz w:val="18"/>
        <w:szCs w:val="18"/>
      </w:rPr>
      <w:t xml:space="preserve"> </w:t>
    </w:r>
    <w:proofErr w:type="spellStart"/>
    <w:r w:rsidR="0050329B">
      <w:rPr>
        <w:rFonts w:ascii="Arial" w:hAnsi="Arial" w:cs="Arial"/>
        <w:sz w:val="18"/>
        <w:szCs w:val="18"/>
      </w:rPr>
      <w:t>Xarelto</w:t>
    </w:r>
    <w:proofErr w:type="spellEnd"/>
    <w:r w:rsidR="0050329B">
      <w:rPr>
        <w:rFonts w:ascii="Arial" w:hAnsi="Arial" w:cs="Arial"/>
        <w:sz w:val="18"/>
        <w:szCs w:val="18"/>
      </w:rPr>
      <w:t xml:space="preserve"> PI</w:t>
    </w:r>
    <w:r w:rsidR="0050329B">
      <w:rPr>
        <w:rFonts w:ascii="Arial" w:hAnsi="Arial" w:cs="Arial"/>
        <w:sz w:val="18"/>
        <w:szCs w:val="18"/>
      </w:rPr>
      <w:tab/>
    </w:r>
    <w:r w:rsidR="0050329B">
      <w:rPr>
        <w:rFonts w:ascii="Arial" w:hAnsi="Arial" w:cs="Arial"/>
        <w:sz w:val="18"/>
        <w:szCs w:val="18"/>
      </w:rPr>
      <w:tab/>
    </w:r>
    <w:r w:rsidR="0050329B" w:rsidRPr="00CB29CA">
      <w:rPr>
        <w:rFonts w:ascii="Arial" w:hAnsi="Arial" w:cs="Arial"/>
        <w:sz w:val="18"/>
        <w:szCs w:val="18"/>
      </w:rPr>
      <w:t xml:space="preserve">Page </w:t>
    </w:r>
    <w:r w:rsidR="00794C79" w:rsidRPr="00CB29CA">
      <w:rPr>
        <w:rFonts w:ascii="Arial" w:hAnsi="Arial" w:cs="Arial"/>
        <w:bCs/>
        <w:sz w:val="18"/>
        <w:szCs w:val="18"/>
      </w:rPr>
      <w:fldChar w:fldCharType="begin"/>
    </w:r>
    <w:r w:rsidR="0050329B" w:rsidRPr="00CB29CA">
      <w:rPr>
        <w:rFonts w:ascii="Arial" w:hAnsi="Arial" w:cs="Arial"/>
        <w:bCs/>
        <w:sz w:val="18"/>
        <w:szCs w:val="18"/>
      </w:rPr>
      <w:instrText xml:space="preserve"> PAGE </w:instrText>
    </w:r>
    <w:r w:rsidR="00794C79" w:rsidRPr="00CB29CA">
      <w:rPr>
        <w:rFonts w:ascii="Arial" w:hAnsi="Arial" w:cs="Arial"/>
        <w:bCs/>
        <w:sz w:val="18"/>
        <w:szCs w:val="18"/>
      </w:rPr>
      <w:fldChar w:fldCharType="separate"/>
    </w:r>
    <w:r w:rsidR="00CC18A2">
      <w:rPr>
        <w:rFonts w:ascii="Arial" w:hAnsi="Arial" w:cs="Arial"/>
        <w:bCs/>
        <w:noProof/>
        <w:sz w:val="18"/>
        <w:szCs w:val="18"/>
      </w:rPr>
      <w:t>2</w:t>
    </w:r>
    <w:r w:rsidR="00794C79" w:rsidRPr="00CB29CA">
      <w:rPr>
        <w:rFonts w:ascii="Arial" w:hAnsi="Arial" w:cs="Arial"/>
        <w:bCs/>
        <w:sz w:val="18"/>
        <w:szCs w:val="18"/>
      </w:rPr>
      <w:fldChar w:fldCharType="end"/>
    </w:r>
    <w:r w:rsidR="0050329B" w:rsidRPr="00CB29CA">
      <w:rPr>
        <w:rFonts w:ascii="Arial" w:hAnsi="Arial" w:cs="Arial"/>
        <w:sz w:val="18"/>
        <w:szCs w:val="18"/>
      </w:rPr>
      <w:t xml:space="preserve"> of </w:t>
    </w:r>
    <w:r w:rsidR="00794C79" w:rsidRPr="00CB29CA">
      <w:rPr>
        <w:rFonts w:ascii="Arial" w:hAnsi="Arial" w:cs="Arial"/>
        <w:bCs/>
        <w:sz w:val="18"/>
        <w:szCs w:val="18"/>
      </w:rPr>
      <w:fldChar w:fldCharType="begin"/>
    </w:r>
    <w:r w:rsidR="0050329B" w:rsidRPr="00CB29CA">
      <w:rPr>
        <w:rFonts w:ascii="Arial" w:hAnsi="Arial" w:cs="Arial"/>
        <w:bCs/>
        <w:sz w:val="18"/>
        <w:szCs w:val="18"/>
      </w:rPr>
      <w:instrText xml:space="preserve"> NUMPAGES  </w:instrText>
    </w:r>
    <w:r w:rsidR="00794C79" w:rsidRPr="00CB29CA">
      <w:rPr>
        <w:rFonts w:ascii="Arial" w:hAnsi="Arial" w:cs="Arial"/>
        <w:bCs/>
        <w:sz w:val="18"/>
        <w:szCs w:val="18"/>
      </w:rPr>
      <w:fldChar w:fldCharType="separate"/>
    </w:r>
    <w:r w:rsidR="00CC18A2">
      <w:rPr>
        <w:rFonts w:ascii="Arial" w:hAnsi="Arial" w:cs="Arial"/>
        <w:bCs/>
        <w:noProof/>
        <w:sz w:val="18"/>
        <w:szCs w:val="18"/>
      </w:rPr>
      <w:t>40</w:t>
    </w:r>
    <w:r w:rsidR="00794C79" w:rsidRPr="00CB29CA">
      <w:rPr>
        <w:rFonts w:ascii="Arial" w:hAnsi="Arial" w:cs="Arial"/>
        <w:bCs/>
        <w:sz w:val="18"/>
        <w:szCs w:val="18"/>
      </w:rPr>
      <w:fldChar w:fldCharType="end"/>
    </w:r>
  </w:p>
  <w:p w:rsidR="0050329B" w:rsidRPr="006D4932" w:rsidRDefault="0050329B" w:rsidP="009A3AEE">
    <w:pPr>
      <w:tabs>
        <w:tab w:val="center" w:pos="4607"/>
        <w:tab w:val="right" w:pos="9214"/>
      </w:tabs>
      <w:rPr>
        <w:rFonts w:ascii="Arial" w:hAnsi="Arial" w:cs="Arial"/>
        <w:color w:val="000000"/>
        <w:sz w:val="16"/>
        <w:lang w:val="en-A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374" w:rsidRDefault="00485374">
      <w:r>
        <w:separator/>
      </w:r>
    </w:p>
  </w:footnote>
  <w:footnote w:type="continuationSeparator" w:id="0">
    <w:p w:rsidR="00485374" w:rsidRDefault="004853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8A2" w:rsidRPr="00CC18A2" w:rsidRDefault="00CC18A2" w:rsidP="00CC18A2">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szCs w:val="20"/>
      </w:rPr>
    </w:pPr>
    <w:r w:rsidRPr="00CC18A2">
      <w:rPr>
        <w:rFonts w:ascii="Cambria" w:hAnsi="Cambria"/>
        <w:b/>
        <w:sz w:val="20"/>
        <w:szCs w:val="20"/>
      </w:rPr>
      <w:t xml:space="preserve">Attachment 1: Product information for </w:t>
    </w:r>
    <w:proofErr w:type="spellStart"/>
    <w:r w:rsidRPr="00CC18A2">
      <w:rPr>
        <w:rFonts w:ascii="Cambria" w:hAnsi="Cambria"/>
        <w:b/>
        <w:sz w:val="20"/>
        <w:szCs w:val="20"/>
      </w:rPr>
      <w:t>AusPAR</w:t>
    </w:r>
    <w:proofErr w:type="spellEnd"/>
    <w:r w:rsidRPr="00CC18A2">
      <w:rPr>
        <w:rFonts w:ascii="Cambria" w:hAnsi="Cambria"/>
        <w:b/>
        <w:sz w:val="20"/>
        <w:szCs w:val="20"/>
      </w:rPr>
      <w:t xml:space="preserve"> </w:t>
    </w:r>
    <w:proofErr w:type="spellStart"/>
    <w:r w:rsidRPr="00CC18A2">
      <w:rPr>
        <w:rFonts w:ascii="Cambria" w:hAnsi="Cambria"/>
        <w:b/>
        <w:sz w:val="20"/>
        <w:szCs w:val="20"/>
      </w:rPr>
      <w:t>Xarelto</w:t>
    </w:r>
    <w:proofErr w:type="spellEnd"/>
    <w:r w:rsidRPr="00CC18A2">
      <w:rPr>
        <w:rFonts w:ascii="Cambria" w:hAnsi="Cambria"/>
        <w:b/>
        <w:sz w:val="20"/>
        <w:szCs w:val="20"/>
      </w:rPr>
      <w:t xml:space="preserve">; </w:t>
    </w:r>
    <w:proofErr w:type="spellStart"/>
    <w:r w:rsidRPr="00CC18A2">
      <w:rPr>
        <w:rFonts w:ascii="Cambria" w:hAnsi="Cambria"/>
        <w:b/>
        <w:sz w:val="20"/>
        <w:szCs w:val="20"/>
      </w:rPr>
      <w:t>Rivaroxaban</w:t>
    </w:r>
    <w:proofErr w:type="spellEnd"/>
    <w:r w:rsidRPr="00CC18A2">
      <w:rPr>
        <w:rFonts w:ascii="Cambria" w:hAnsi="Cambria"/>
        <w:b/>
        <w:sz w:val="20"/>
        <w:szCs w:val="20"/>
      </w:rPr>
      <w:t>; Bayer Australia Ltd PM-2012-01179-3-3 Date of Finalisation 2 October 2013</w:t>
    </w:r>
    <w:r w:rsidRPr="00CC18A2">
      <w:rPr>
        <w:rFonts w:ascii="Cambria" w:hAnsi="Cambria"/>
        <w:b/>
        <w:sz w:val="20"/>
        <w:szCs w:val="20"/>
      </w:rPr>
      <w:t xml:space="preserve">. This Product Information was approved at the time this </w:t>
    </w:r>
    <w:proofErr w:type="spellStart"/>
    <w:r w:rsidRPr="00CC18A2">
      <w:rPr>
        <w:rFonts w:ascii="Cambria" w:hAnsi="Cambria"/>
        <w:b/>
        <w:sz w:val="20"/>
        <w:szCs w:val="20"/>
      </w:rPr>
      <w:t>AusPAR</w:t>
    </w:r>
    <w:proofErr w:type="spellEnd"/>
    <w:r w:rsidRPr="00CC18A2">
      <w:rPr>
        <w:rFonts w:ascii="Cambria" w:hAnsi="Cambria"/>
        <w:b/>
        <w:sz w:val="20"/>
        <w:szCs w:val="20"/>
      </w:rPr>
      <w:t xml:space="preserve"> was published.</w:t>
    </w:r>
  </w:p>
  <w:p w:rsidR="00CC18A2" w:rsidRDefault="00CC18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77ADCCE"/>
    <w:lvl w:ilvl="0">
      <w:numFmt w:val="bullet"/>
      <w:lvlText w:val="*"/>
      <w:lvlJc w:val="left"/>
    </w:lvl>
  </w:abstractNum>
  <w:abstractNum w:abstractNumId="1">
    <w:nsid w:val="00E86FE0"/>
    <w:multiLevelType w:val="hybridMultilevel"/>
    <w:tmpl w:val="72FA3FFE"/>
    <w:lvl w:ilvl="0" w:tplc="FB9087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8E4DEF"/>
    <w:multiLevelType w:val="hybridMultilevel"/>
    <w:tmpl w:val="3ABA6E50"/>
    <w:lvl w:ilvl="0" w:tplc="63A8AB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F61FB8"/>
    <w:multiLevelType w:val="multilevel"/>
    <w:tmpl w:val="7D1657F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D71CFA"/>
    <w:multiLevelType w:val="hybridMultilevel"/>
    <w:tmpl w:val="AE9E5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BE6FA1"/>
    <w:multiLevelType w:val="hybridMultilevel"/>
    <w:tmpl w:val="1FE4B30A"/>
    <w:lvl w:ilvl="0" w:tplc="5BD8C7B2">
      <w:start w:val="1"/>
      <w:numFmt w:val="bullet"/>
      <w:pStyle w:val="BulletIndent4"/>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F13DEF"/>
    <w:multiLevelType w:val="hybridMultilevel"/>
    <w:tmpl w:val="81586BD0"/>
    <w:lvl w:ilvl="0" w:tplc="FB9087F4">
      <w:start w:val="1"/>
      <w:numFmt w:val="bullet"/>
      <w:lvlText w:val=""/>
      <w:lvlJc w:val="left"/>
      <w:pPr>
        <w:tabs>
          <w:tab w:val="num" w:pos="360"/>
        </w:tabs>
        <w:ind w:left="36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1A0526"/>
    <w:multiLevelType w:val="hybridMultilevel"/>
    <w:tmpl w:val="4304512E"/>
    <w:lvl w:ilvl="0" w:tplc="BF4C6310">
      <w:start w:val="1"/>
      <w:numFmt w:val="bullet"/>
      <w:lvlText w:val="–"/>
      <w:lvlJc w:val="left"/>
      <w:pPr>
        <w:tabs>
          <w:tab w:val="num" w:pos="720"/>
        </w:tabs>
        <w:ind w:left="720" w:hanging="360"/>
      </w:pPr>
      <w:rPr>
        <w:rFonts w:ascii="Times New Roman" w:hAnsi="Times New Roman" w:hint="default"/>
      </w:rPr>
    </w:lvl>
    <w:lvl w:ilvl="1" w:tplc="D93A3082" w:tentative="1">
      <w:start w:val="1"/>
      <w:numFmt w:val="bullet"/>
      <w:lvlText w:val="–"/>
      <w:lvlJc w:val="left"/>
      <w:pPr>
        <w:tabs>
          <w:tab w:val="num" w:pos="1440"/>
        </w:tabs>
        <w:ind w:left="1440" w:hanging="360"/>
      </w:pPr>
      <w:rPr>
        <w:rFonts w:ascii="Times New Roman" w:hAnsi="Times New Roman" w:hint="default"/>
      </w:rPr>
    </w:lvl>
    <w:lvl w:ilvl="2" w:tplc="41024E2E">
      <w:start w:val="1"/>
      <w:numFmt w:val="bullet"/>
      <w:lvlText w:val="–"/>
      <w:lvlJc w:val="left"/>
      <w:pPr>
        <w:tabs>
          <w:tab w:val="num" w:pos="2160"/>
        </w:tabs>
        <w:ind w:left="2160" w:hanging="360"/>
      </w:pPr>
      <w:rPr>
        <w:rFonts w:ascii="Times New Roman" w:hAnsi="Times New Roman" w:hint="default"/>
      </w:rPr>
    </w:lvl>
    <w:lvl w:ilvl="3" w:tplc="A3600B10" w:tentative="1">
      <w:start w:val="1"/>
      <w:numFmt w:val="bullet"/>
      <w:lvlText w:val="–"/>
      <w:lvlJc w:val="left"/>
      <w:pPr>
        <w:tabs>
          <w:tab w:val="num" w:pos="2880"/>
        </w:tabs>
        <w:ind w:left="2880" w:hanging="360"/>
      </w:pPr>
      <w:rPr>
        <w:rFonts w:ascii="Times New Roman" w:hAnsi="Times New Roman" w:hint="default"/>
      </w:rPr>
    </w:lvl>
    <w:lvl w:ilvl="4" w:tplc="B8FA005A" w:tentative="1">
      <w:start w:val="1"/>
      <w:numFmt w:val="bullet"/>
      <w:lvlText w:val="–"/>
      <w:lvlJc w:val="left"/>
      <w:pPr>
        <w:tabs>
          <w:tab w:val="num" w:pos="3600"/>
        </w:tabs>
        <w:ind w:left="3600" w:hanging="360"/>
      </w:pPr>
      <w:rPr>
        <w:rFonts w:ascii="Times New Roman" w:hAnsi="Times New Roman" w:hint="default"/>
      </w:rPr>
    </w:lvl>
    <w:lvl w:ilvl="5" w:tplc="E8F81CBE" w:tentative="1">
      <w:start w:val="1"/>
      <w:numFmt w:val="bullet"/>
      <w:lvlText w:val="–"/>
      <w:lvlJc w:val="left"/>
      <w:pPr>
        <w:tabs>
          <w:tab w:val="num" w:pos="4320"/>
        </w:tabs>
        <w:ind w:left="4320" w:hanging="360"/>
      </w:pPr>
      <w:rPr>
        <w:rFonts w:ascii="Times New Roman" w:hAnsi="Times New Roman" w:hint="default"/>
      </w:rPr>
    </w:lvl>
    <w:lvl w:ilvl="6" w:tplc="E9A893AC" w:tentative="1">
      <w:start w:val="1"/>
      <w:numFmt w:val="bullet"/>
      <w:lvlText w:val="–"/>
      <w:lvlJc w:val="left"/>
      <w:pPr>
        <w:tabs>
          <w:tab w:val="num" w:pos="5040"/>
        </w:tabs>
        <w:ind w:left="5040" w:hanging="360"/>
      </w:pPr>
      <w:rPr>
        <w:rFonts w:ascii="Times New Roman" w:hAnsi="Times New Roman" w:hint="default"/>
      </w:rPr>
    </w:lvl>
    <w:lvl w:ilvl="7" w:tplc="B9B27B6A" w:tentative="1">
      <w:start w:val="1"/>
      <w:numFmt w:val="bullet"/>
      <w:lvlText w:val="–"/>
      <w:lvlJc w:val="left"/>
      <w:pPr>
        <w:tabs>
          <w:tab w:val="num" w:pos="5760"/>
        </w:tabs>
        <w:ind w:left="5760" w:hanging="360"/>
      </w:pPr>
      <w:rPr>
        <w:rFonts w:ascii="Times New Roman" w:hAnsi="Times New Roman" w:hint="default"/>
      </w:rPr>
    </w:lvl>
    <w:lvl w:ilvl="8" w:tplc="108C4FBA" w:tentative="1">
      <w:start w:val="1"/>
      <w:numFmt w:val="bullet"/>
      <w:lvlText w:val="–"/>
      <w:lvlJc w:val="left"/>
      <w:pPr>
        <w:tabs>
          <w:tab w:val="num" w:pos="6480"/>
        </w:tabs>
        <w:ind w:left="6480" w:hanging="360"/>
      </w:pPr>
      <w:rPr>
        <w:rFonts w:ascii="Times New Roman" w:hAnsi="Times New Roman" w:hint="default"/>
      </w:rPr>
    </w:lvl>
  </w:abstractNum>
  <w:abstractNum w:abstractNumId="8">
    <w:nsid w:val="26CF0AF2"/>
    <w:multiLevelType w:val="hybridMultilevel"/>
    <w:tmpl w:val="312A75C4"/>
    <w:lvl w:ilvl="0" w:tplc="F3602EF8">
      <w:start w:val="1"/>
      <w:numFmt w:val="bullet"/>
      <w:lvlText w:val="o"/>
      <w:lvlJc w:val="left"/>
      <w:pPr>
        <w:tabs>
          <w:tab w:val="num" w:pos="360"/>
        </w:tabs>
        <w:ind w:left="360" w:hanging="360"/>
      </w:pPr>
      <w:rPr>
        <w:rFonts w:ascii="Courier New" w:hAnsi="Courier New"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A1E113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D25CBF"/>
    <w:multiLevelType w:val="hybridMultilevel"/>
    <w:tmpl w:val="9E0E0B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45E36691"/>
    <w:multiLevelType w:val="hybridMultilevel"/>
    <w:tmpl w:val="E124D8A8"/>
    <w:lvl w:ilvl="0" w:tplc="1870D722">
      <w:start w:val="3414"/>
      <w:numFmt w:val="bullet"/>
      <w:lvlText w:val=""/>
      <w:lvlJc w:val="left"/>
      <w:pPr>
        <w:ind w:left="720" w:hanging="360"/>
      </w:pPr>
      <w:rPr>
        <w:rFonts w:ascii="Wingdings" w:eastAsia="PMingLiU"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C96DB3"/>
    <w:multiLevelType w:val="multilevel"/>
    <w:tmpl w:val="0ED0B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B210306"/>
    <w:multiLevelType w:val="hybridMultilevel"/>
    <w:tmpl w:val="307EBC28"/>
    <w:lvl w:ilvl="0" w:tplc="7E527D58">
      <w:numFmt w:val="bullet"/>
      <w:lvlText w:val="-"/>
      <w:lvlJc w:val="left"/>
      <w:pPr>
        <w:ind w:left="720" w:hanging="360"/>
      </w:pPr>
      <w:rPr>
        <w:rFonts w:ascii="Arial" w:eastAsia="TimesNew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0755F49"/>
    <w:multiLevelType w:val="multilevel"/>
    <w:tmpl w:val="0ED0B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57DD0F30"/>
    <w:multiLevelType w:val="hybridMultilevel"/>
    <w:tmpl w:val="70502650"/>
    <w:lvl w:ilvl="0" w:tplc="FB9087F4">
      <w:start w:val="1"/>
      <w:numFmt w:val="bullet"/>
      <w:lvlText w:val=""/>
      <w:lvlJc w:val="left"/>
      <w:pPr>
        <w:tabs>
          <w:tab w:val="num" w:pos="720"/>
        </w:tabs>
        <w:ind w:left="720" w:hanging="360"/>
      </w:pPr>
      <w:rPr>
        <w:rFonts w:ascii="Symbol" w:hAnsi="Symbol" w:hint="default"/>
        <w:color w:val="auto"/>
      </w:rPr>
    </w:lvl>
    <w:lvl w:ilvl="1" w:tplc="3D64879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4C258F"/>
    <w:multiLevelType w:val="hybridMultilevel"/>
    <w:tmpl w:val="C6BA5D56"/>
    <w:lvl w:ilvl="0" w:tplc="A7387AC8">
      <w:numFmt w:val="bullet"/>
      <w:lvlText w:val="•"/>
      <w:lvlJc w:val="left"/>
      <w:pPr>
        <w:ind w:left="1290" w:hanging="93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9D07AD7"/>
    <w:multiLevelType w:val="hybridMultilevel"/>
    <w:tmpl w:val="202C7E60"/>
    <w:lvl w:ilvl="0" w:tplc="2F32005E">
      <w:start w:val="1"/>
      <w:numFmt w:val="bullet"/>
      <w:lvlText w:val=""/>
      <w:lvlJc w:val="left"/>
      <w:pPr>
        <w:tabs>
          <w:tab w:val="num" w:pos="1440"/>
        </w:tabs>
        <w:ind w:left="144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E9313D3"/>
    <w:multiLevelType w:val="hybridMultilevel"/>
    <w:tmpl w:val="7D1657F8"/>
    <w:lvl w:ilvl="0" w:tplc="3D6487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7"/>
  </w:num>
  <w:num w:numId="4">
    <w:abstractNumId w:val="0"/>
    <w:lvlOverride w:ilvl="0">
      <w:lvl w:ilvl="0">
        <w:numFmt w:val="bullet"/>
        <w:lvlText w:val="•"/>
        <w:legacy w:legacy="1" w:legacySpace="0" w:legacyIndent="0"/>
        <w:lvlJc w:val="left"/>
        <w:rPr>
          <w:rFonts w:ascii="Helv" w:hAnsi="Helv" w:hint="default"/>
        </w:rPr>
      </w:lvl>
    </w:lvlOverride>
  </w:num>
  <w:num w:numId="5">
    <w:abstractNumId w:val="17"/>
  </w:num>
  <w:num w:numId="6">
    <w:abstractNumId w:val="18"/>
  </w:num>
  <w:num w:numId="7">
    <w:abstractNumId w:val="3"/>
  </w:num>
  <w:num w:numId="8">
    <w:abstractNumId w:val="1"/>
  </w:num>
  <w:num w:numId="9">
    <w:abstractNumId w:val="15"/>
  </w:num>
  <w:num w:numId="10">
    <w:abstractNumId w:val="4"/>
  </w:num>
  <w:num w:numId="11">
    <w:abstractNumId w:val="16"/>
  </w:num>
  <w:num w:numId="12">
    <w:abstractNumId w:val="5"/>
  </w:num>
  <w:num w:numId="13">
    <w:abstractNumId w:val="8"/>
  </w:num>
  <w:num w:numId="14">
    <w:abstractNumId w:val="6"/>
  </w:num>
  <w:num w:numId="15">
    <w:abstractNumId w:val="13"/>
  </w:num>
  <w:num w:numId="16">
    <w:abstractNumId w:val="14"/>
  </w:num>
  <w:num w:numId="17">
    <w:abstractNumId w:val="12"/>
  </w:num>
  <w:num w:numId="18">
    <w:abstractNumId w:val="9"/>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0"/>
  <w:defaultTabStop w:val="720"/>
  <w:characterSpacingControl w:val="doNotCompress"/>
  <w:hdrShapeDefaults>
    <o:shapedefaults v:ext="edit" spidmax="5121"/>
  </w:hdrShapeDefaults>
  <w:footnotePr>
    <w:footnote w:id="-1"/>
    <w:footnote w:id="0"/>
  </w:footnotePr>
  <w:endnotePr>
    <w:endnote w:id="-1"/>
    <w:endnote w:id="0"/>
  </w:endnotePr>
  <w:compat/>
  <w:rsids>
    <w:rsidRoot w:val="001D1004"/>
    <w:rsid w:val="00000110"/>
    <w:rsid w:val="00001E7E"/>
    <w:rsid w:val="000040B6"/>
    <w:rsid w:val="00004AA6"/>
    <w:rsid w:val="00005F71"/>
    <w:rsid w:val="00007826"/>
    <w:rsid w:val="0001010C"/>
    <w:rsid w:val="00010356"/>
    <w:rsid w:val="000114B6"/>
    <w:rsid w:val="00012360"/>
    <w:rsid w:val="000131F4"/>
    <w:rsid w:val="000155B2"/>
    <w:rsid w:val="000168C5"/>
    <w:rsid w:val="00016A45"/>
    <w:rsid w:val="00022E21"/>
    <w:rsid w:val="00025B3F"/>
    <w:rsid w:val="00025BDA"/>
    <w:rsid w:val="00027373"/>
    <w:rsid w:val="000278D2"/>
    <w:rsid w:val="00030DAB"/>
    <w:rsid w:val="000326F2"/>
    <w:rsid w:val="000335B7"/>
    <w:rsid w:val="000337A6"/>
    <w:rsid w:val="0003473B"/>
    <w:rsid w:val="00034E70"/>
    <w:rsid w:val="000358BE"/>
    <w:rsid w:val="00036AEB"/>
    <w:rsid w:val="00037ED6"/>
    <w:rsid w:val="00040A68"/>
    <w:rsid w:val="00040BA0"/>
    <w:rsid w:val="00042564"/>
    <w:rsid w:val="00044B1D"/>
    <w:rsid w:val="00056464"/>
    <w:rsid w:val="00061E83"/>
    <w:rsid w:val="00062F65"/>
    <w:rsid w:val="00063416"/>
    <w:rsid w:val="0006389F"/>
    <w:rsid w:val="000640C3"/>
    <w:rsid w:val="0006653B"/>
    <w:rsid w:val="000667F9"/>
    <w:rsid w:val="00072B26"/>
    <w:rsid w:val="00075FF0"/>
    <w:rsid w:val="00080600"/>
    <w:rsid w:val="00081AE5"/>
    <w:rsid w:val="00081C34"/>
    <w:rsid w:val="00081E00"/>
    <w:rsid w:val="000825A9"/>
    <w:rsid w:val="00087716"/>
    <w:rsid w:val="00087A77"/>
    <w:rsid w:val="00090007"/>
    <w:rsid w:val="000A2C71"/>
    <w:rsid w:val="000A67BF"/>
    <w:rsid w:val="000B0E6E"/>
    <w:rsid w:val="000B1843"/>
    <w:rsid w:val="000C11AA"/>
    <w:rsid w:val="000C228B"/>
    <w:rsid w:val="000C2863"/>
    <w:rsid w:val="000C32E9"/>
    <w:rsid w:val="000D4DD1"/>
    <w:rsid w:val="000E058A"/>
    <w:rsid w:val="000E2D3B"/>
    <w:rsid w:val="000E3535"/>
    <w:rsid w:val="000E3BDA"/>
    <w:rsid w:val="000E5CCD"/>
    <w:rsid w:val="000F46C5"/>
    <w:rsid w:val="000F6182"/>
    <w:rsid w:val="00101466"/>
    <w:rsid w:val="00103BB6"/>
    <w:rsid w:val="00105CE3"/>
    <w:rsid w:val="00105E7A"/>
    <w:rsid w:val="00111455"/>
    <w:rsid w:val="00111D29"/>
    <w:rsid w:val="00112125"/>
    <w:rsid w:val="00112F79"/>
    <w:rsid w:val="0012039C"/>
    <w:rsid w:val="00121EBA"/>
    <w:rsid w:val="00123FC3"/>
    <w:rsid w:val="001249DE"/>
    <w:rsid w:val="00124D32"/>
    <w:rsid w:val="00126623"/>
    <w:rsid w:val="00127DE5"/>
    <w:rsid w:val="001327AC"/>
    <w:rsid w:val="00132E4F"/>
    <w:rsid w:val="0014282A"/>
    <w:rsid w:val="00145474"/>
    <w:rsid w:val="0014547B"/>
    <w:rsid w:val="001504FD"/>
    <w:rsid w:val="001537C5"/>
    <w:rsid w:val="0015411E"/>
    <w:rsid w:val="00156B0A"/>
    <w:rsid w:val="0016446F"/>
    <w:rsid w:val="001652FC"/>
    <w:rsid w:val="0016633B"/>
    <w:rsid w:val="00167C8D"/>
    <w:rsid w:val="0017194B"/>
    <w:rsid w:val="00181158"/>
    <w:rsid w:val="001814FC"/>
    <w:rsid w:val="00182739"/>
    <w:rsid w:val="00182832"/>
    <w:rsid w:val="00184ACB"/>
    <w:rsid w:val="0018597F"/>
    <w:rsid w:val="00190FAF"/>
    <w:rsid w:val="0019439C"/>
    <w:rsid w:val="001953FF"/>
    <w:rsid w:val="00196D01"/>
    <w:rsid w:val="00197C70"/>
    <w:rsid w:val="001A1123"/>
    <w:rsid w:val="001A3118"/>
    <w:rsid w:val="001A32B8"/>
    <w:rsid w:val="001A3433"/>
    <w:rsid w:val="001A38F8"/>
    <w:rsid w:val="001A4EE3"/>
    <w:rsid w:val="001A4F26"/>
    <w:rsid w:val="001A77F5"/>
    <w:rsid w:val="001B1D95"/>
    <w:rsid w:val="001B257F"/>
    <w:rsid w:val="001B2F50"/>
    <w:rsid w:val="001B4B7E"/>
    <w:rsid w:val="001B6C3F"/>
    <w:rsid w:val="001C026D"/>
    <w:rsid w:val="001C0F90"/>
    <w:rsid w:val="001C19A7"/>
    <w:rsid w:val="001C1D8D"/>
    <w:rsid w:val="001C212A"/>
    <w:rsid w:val="001C2437"/>
    <w:rsid w:val="001C3AE5"/>
    <w:rsid w:val="001C5848"/>
    <w:rsid w:val="001C592E"/>
    <w:rsid w:val="001C62F0"/>
    <w:rsid w:val="001C696B"/>
    <w:rsid w:val="001D04E1"/>
    <w:rsid w:val="001D0964"/>
    <w:rsid w:val="001D0FE3"/>
    <w:rsid w:val="001D1004"/>
    <w:rsid w:val="001D1F4A"/>
    <w:rsid w:val="001D2FFD"/>
    <w:rsid w:val="001D39DB"/>
    <w:rsid w:val="001D4ACF"/>
    <w:rsid w:val="001D6F80"/>
    <w:rsid w:val="001D7A36"/>
    <w:rsid w:val="001E1524"/>
    <w:rsid w:val="001E3576"/>
    <w:rsid w:val="001E6D4E"/>
    <w:rsid w:val="001F24CD"/>
    <w:rsid w:val="001F3445"/>
    <w:rsid w:val="001F5A79"/>
    <w:rsid w:val="001F5FE5"/>
    <w:rsid w:val="001F622E"/>
    <w:rsid w:val="001F6AFF"/>
    <w:rsid w:val="001F6FF9"/>
    <w:rsid w:val="00203591"/>
    <w:rsid w:val="002049CB"/>
    <w:rsid w:val="002104CD"/>
    <w:rsid w:val="00211B5B"/>
    <w:rsid w:val="00212ADE"/>
    <w:rsid w:val="00217FC2"/>
    <w:rsid w:val="002274AA"/>
    <w:rsid w:val="00232542"/>
    <w:rsid w:val="00241A54"/>
    <w:rsid w:val="002454E6"/>
    <w:rsid w:val="00254164"/>
    <w:rsid w:val="00256385"/>
    <w:rsid w:val="0025780C"/>
    <w:rsid w:val="00261231"/>
    <w:rsid w:val="00261C64"/>
    <w:rsid w:val="002623D3"/>
    <w:rsid w:val="002626F2"/>
    <w:rsid w:val="002656AD"/>
    <w:rsid w:val="002728A4"/>
    <w:rsid w:val="002742BE"/>
    <w:rsid w:val="00274FD1"/>
    <w:rsid w:val="00275104"/>
    <w:rsid w:val="00277121"/>
    <w:rsid w:val="00277319"/>
    <w:rsid w:val="00285131"/>
    <w:rsid w:val="00285C55"/>
    <w:rsid w:val="002875F0"/>
    <w:rsid w:val="00290EC1"/>
    <w:rsid w:val="00291832"/>
    <w:rsid w:val="00296851"/>
    <w:rsid w:val="00296A60"/>
    <w:rsid w:val="0029723D"/>
    <w:rsid w:val="0029766B"/>
    <w:rsid w:val="002A03C2"/>
    <w:rsid w:val="002A0AFA"/>
    <w:rsid w:val="002A19A1"/>
    <w:rsid w:val="002A2DF8"/>
    <w:rsid w:val="002A439C"/>
    <w:rsid w:val="002A44B5"/>
    <w:rsid w:val="002B1D85"/>
    <w:rsid w:val="002B299D"/>
    <w:rsid w:val="002B2B16"/>
    <w:rsid w:val="002B58D5"/>
    <w:rsid w:val="002B5D7D"/>
    <w:rsid w:val="002B7912"/>
    <w:rsid w:val="002C1799"/>
    <w:rsid w:val="002C399C"/>
    <w:rsid w:val="002C3D7E"/>
    <w:rsid w:val="002C4056"/>
    <w:rsid w:val="002C4764"/>
    <w:rsid w:val="002C5EDD"/>
    <w:rsid w:val="002C68BA"/>
    <w:rsid w:val="002C6F99"/>
    <w:rsid w:val="002D07E4"/>
    <w:rsid w:val="002D210A"/>
    <w:rsid w:val="002D2820"/>
    <w:rsid w:val="002D3CDF"/>
    <w:rsid w:val="002D69CF"/>
    <w:rsid w:val="002D7BAA"/>
    <w:rsid w:val="002E150C"/>
    <w:rsid w:val="002E56E5"/>
    <w:rsid w:val="002E7059"/>
    <w:rsid w:val="002E74B6"/>
    <w:rsid w:val="002E7D63"/>
    <w:rsid w:val="002F1BE8"/>
    <w:rsid w:val="002F3AAC"/>
    <w:rsid w:val="002F7B32"/>
    <w:rsid w:val="00300B04"/>
    <w:rsid w:val="00301BBE"/>
    <w:rsid w:val="00303539"/>
    <w:rsid w:val="003047D4"/>
    <w:rsid w:val="00304926"/>
    <w:rsid w:val="00306BA9"/>
    <w:rsid w:val="00307B9D"/>
    <w:rsid w:val="00312BEA"/>
    <w:rsid w:val="00316779"/>
    <w:rsid w:val="0032066B"/>
    <w:rsid w:val="0032199B"/>
    <w:rsid w:val="003231AF"/>
    <w:rsid w:val="003260E8"/>
    <w:rsid w:val="0033353A"/>
    <w:rsid w:val="00342AB4"/>
    <w:rsid w:val="003432F8"/>
    <w:rsid w:val="003436EA"/>
    <w:rsid w:val="00345714"/>
    <w:rsid w:val="003523BA"/>
    <w:rsid w:val="003537E9"/>
    <w:rsid w:val="00355F44"/>
    <w:rsid w:val="0035659A"/>
    <w:rsid w:val="00356E34"/>
    <w:rsid w:val="003579DD"/>
    <w:rsid w:val="00360185"/>
    <w:rsid w:val="00360886"/>
    <w:rsid w:val="00361B0A"/>
    <w:rsid w:val="00363922"/>
    <w:rsid w:val="00364346"/>
    <w:rsid w:val="003652FC"/>
    <w:rsid w:val="00370922"/>
    <w:rsid w:val="0037349A"/>
    <w:rsid w:val="00373EE7"/>
    <w:rsid w:val="003762CC"/>
    <w:rsid w:val="00377B90"/>
    <w:rsid w:val="00377E82"/>
    <w:rsid w:val="0038067C"/>
    <w:rsid w:val="00380BA7"/>
    <w:rsid w:val="003812C2"/>
    <w:rsid w:val="003815A4"/>
    <w:rsid w:val="00385B0B"/>
    <w:rsid w:val="003877D2"/>
    <w:rsid w:val="00387E2B"/>
    <w:rsid w:val="003912A5"/>
    <w:rsid w:val="003968C2"/>
    <w:rsid w:val="003979BD"/>
    <w:rsid w:val="003A3364"/>
    <w:rsid w:val="003A5842"/>
    <w:rsid w:val="003A6288"/>
    <w:rsid w:val="003A74BE"/>
    <w:rsid w:val="003A783F"/>
    <w:rsid w:val="003B076A"/>
    <w:rsid w:val="003B157D"/>
    <w:rsid w:val="003B19A9"/>
    <w:rsid w:val="003B38BD"/>
    <w:rsid w:val="003C1640"/>
    <w:rsid w:val="003C1FBD"/>
    <w:rsid w:val="003C3FE9"/>
    <w:rsid w:val="003C46BE"/>
    <w:rsid w:val="003C5D6D"/>
    <w:rsid w:val="003C64D2"/>
    <w:rsid w:val="003D16C3"/>
    <w:rsid w:val="003D3376"/>
    <w:rsid w:val="003D74A4"/>
    <w:rsid w:val="003E3921"/>
    <w:rsid w:val="003E5CEB"/>
    <w:rsid w:val="003F1BE3"/>
    <w:rsid w:val="003F1C9A"/>
    <w:rsid w:val="003F3251"/>
    <w:rsid w:val="003F49D9"/>
    <w:rsid w:val="003F4B76"/>
    <w:rsid w:val="003F786F"/>
    <w:rsid w:val="00400D5C"/>
    <w:rsid w:val="00401A69"/>
    <w:rsid w:val="00401BDD"/>
    <w:rsid w:val="00407538"/>
    <w:rsid w:val="0040790E"/>
    <w:rsid w:val="00407D10"/>
    <w:rsid w:val="004100D9"/>
    <w:rsid w:val="0041185E"/>
    <w:rsid w:val="00413A01"/>
    <w:rsid w:val="00414280"/>
    <w:rsid w:val="00415527"/>
    <w:rsid w:val="004265A9"/>
    <w:rsid w:val="00427094"/>
    <w:rsid w:val="0043011D"/>
    <w:rsid w:val="00430F66"/>
    <w:rsid w:val="00431F4D"/>
    <w:rsid w:val="00435DB1"/>
    <w:rsid w:val="00436BFF"/>
    <w:rsid w:val="00437025"/>
    <w:rsid w:val="0043776A"/>
    <w:rsid w:val="00437896"/>
    <w:rsid w:val="00442A56"/>
    <w:rsid w:val="004445B3"/>
    <w:rsid w:val="00446A9B"/>
    <w:rsid w:val="00446AAA"/>
    <w:rsid w:val="00446CDA"/>
    <w:rsid w:val="0044740C"/>
    <w:rsid w:val="004516BF"/>
    <w:rsid w:val="004518F9"/>
    <w:rsid w:val="00451C10"/>
    <w:rsid w:val="00451C5D"/>
    <w:rsid w:val="004528C4"/>
    <w:rsid w:val="004538C6"/>
    <w:rsid w:val="00454F0A"/>
    <w:rsid w:val="0045621B"/>
    <w:rsid w:val="0046126A"/>
    <w:rsid w:val="004615B2"/>
    <w:rsid w:val="00461C1D"/>
    <w:rsid w:val="00462390"/>
    <w:rsid w:val="00467C62"/>
    <w:rsid w:val="0047062D"/>
    <w:rsid w:val="004745DE"/>
    <w:rsid w:val="00475346"/>
    <w:rsid w:val="00475A17"/>
    <w:rsid w:val="00476046"/>
    <w:rsid w:val="00476327"/>
    <w:rsid w:val="0048224C"/>
    <w:rsid w:val="0048284A"/>
    <w:rsid w:val="004849F8"/>
    <w:rsid w:val="00485374"/>
    <w:rsid w:val="0049000C"/>
    <w:rsid w:val="004934EC"/>
    <w:rsid w:val="00496101"/>
    <w:rsid w:val="004962F4"/>
    <w:rsid w:val="00497E0B"/>
    <w:rsid w:val="004A4BDF"/>
    <w:rsid w:val="004A6FCE"/>
    <w:rsid w:val="004B01B8"/>
    <w:rsid w:val="004B182B"/>
    <w:rsid w:val="004B2D4C"/>
    <w:rsid w:val="004B69F2"/>
    <w:rsid w:val="004B7EBB"/>
    <w:rsid w:val="004C07DB"/>
    <w:rsid w:val="004C0F30"/>
    <w:rsid w:val="004C1932"/>
    <w:rsid w:val="004C3BF8"/>
    <w:rsid w:val="004C448C"/>
    <w:rsid w:val="004C6CA6"/>
    <w:rsid w:val="004E0911"/>
    <w:rsid w:val="004E15B6"/>
    <w:rsid w:val="004E2938"/>
    <w:rsid w:val="004E2F55"/>
    <w:rsid w:val="004F5D5A"/>
    <w:rsid w:val="004F657B"/>
    <w:rsid w:val="004F6C49"/>
    <w:rsid w:val="004F6CD6"/>
    <w:rsid w:val="00501513"/>
    <w:rsid w:val="0050329B"/>
    <w:rsid w:val="00506F2B"/>
    <w:rsid w:val="0050738C"/>
    <w:rsid w:val="00510905"/>
    <w:rsid w:val="00511B29"/>
    <w:rsid w:val="00512D26"/>
    <w:rsid w:val="005132B1"/>
    <w:rsid w:val="00514532"/>
    <w:rsid w:val="0051586F"/>
    <w:rsid w:val="005177BD"/>
    <w:rsid w:val="00521E4D"/>
    <w:rsid w:val="0052553D"/>
    <w:rsid w:val="00532729"/>
    <w:rsid w:val="005335EA"/>
    <w:rsid w:val="0053441C"/>
    <w:rsid w:val="00537C02"/>
    <w:rsid w:val="0054169A"/>
    <w:rsid w:val="0054425E"/>
    <w:rsid w:val="005447EA"/>
    <w:rsid w:val="00545B87"/>
    <w:rsid w:val="00546E4F"/>
    <w:rsid w:val="005470BE"/>
    <w:rsid w:val="00550F9C"/>
    <w:rsid w:val="0055169D"/>
    <w:rsid w:val="00552929"/>
    <w:rsid w:val="0055387E"/>
    <w:rsid w:val="00553E1C"/>
    <w:rsid w:val="00554164"/>
    <w:rsid w:val="00555275"/>
    <w:rsid w:val="0055539D"/>
    <w:rsid w:val="005560A9"/>
    <w:rsid w:val="005568D7"/>
    <w:rsid w:val="00560BE6"/>
    <w:rsid w:val="00561394"/>
    <w:rsid w:val="00561969"/>
    <w:rsid w:val="005623F5"/>
    <w:rsid w:val="00563BE2"/>
    <w:rsid w:val="0056504A"/>
    <w:rsid w:val="005651AA"/>
    <w:rsid w:val="005702DF"/>
    <w:rsid w:val="005716D9"/>
    <w:rsid w:val="00571784"/>
    <w:rsid w:val="00572388"/>
    <w:rsid w:val="00572B87"/>
    <w:rsid w:val="005754A2"/>
    <w:rsid w:val="00576485"/>
    <w:rsid w:val="00576A0B"/>
    <w:rsid w:val="00580500"/>
    <w:rsid w:val="00580B8A"/>
    <w:rsid w:val="00581F76"/>
    <w:rsid w:val="00582132"/>
    <w:rsid w:val="00584403"/>
    <w:rsid w:val="0058573D"/>
    <w:rsid w:val="005858BF"/>
    <w:rsid w:val="005877C7"/>
    <w:rsid w:val="00590731"/>
    <w:rsid w:val="00590CF5"/>
    <w:rsid w:val="00590F35"/>
    <w:rsid w:val="00591995"/>
    <w:rsid w:val="005931B7"/>
    <w:rsid w:val="005933A9"/>
    <w:rsid w:val="0059376C"/>
    <w:rsid w:val="005949A1"/>
    <w:rsid w:val="00595DDE"/>
    <w:rsid w:val="00596786"/>
    <w:rsid w:val="00596CD4"/>
    <w:rsid w:val="005A1A3E"/>
    <w:rsid w:val="005A24A2"/>
    <w:rsid w:val="005A2A87"/>
    <w:rsid w:val="005A3C32"/>
    <w:rsid w:val="005A5FB2"/>
    <w:rsid w:val="005B1229"/>
    <w:rsid w:val="005B16A5"/>
    <w:rsid w:val="005B17C4"/>
    <w:rsid w:val="005B1834"/>
    <w:rsid w:val="005B335D"/>
    <w:rsid w:val="005B3DB0"/>
    <w:rsid w:val="005B45B4"/>
    <w:rsid w:val="005B7BB7"/>
    <w:rsid w:val="005B7C2F"/>
    <w:rsid w:val="005C296E"/>
    <w:rsid w:val="005C2C47"/>
    <w:rsid w:val="005C3449"/>
    <w:rsid w:val="005D0E54"/>
    <w:rsid w:val="005D1E0B"/>
    <w:rsid w:val="005D3BB3"/>
    <w:rsid w:val="005D4F46"/>
    <w:rsid w:val="005D65C9"/>
    <w:rsid w:val="005D7698"/>
    <w:rsid w:val="005D7D8F"/>
    <w:rsid w:val="005E0497"/>
    <w:rsid w:val="005E23FB"/>
    <w:rsid w:val="005E3602"/>
    <w:rsid w:val="005E41F0"/>
    <w:rsid w:val="005E7B2A"/>
    <w:rsid w:val="005F0151"/>
    <w:rsid w:val="005F1BD3"/>
    <w:rsid w:val="005F271A"/>
    <w:rsid w:val="005F2822"/>
    <w:rsid w:val="005F3302"/>
    <w:rsid w:val="005F3408"/>
    <w:rsid w:val="005F4395"/>
    <w:rsid w:val="005F4F25"/>
    <w:rsid w:val="005F7FF7"/>
    <w:rsid w:val="006002A2"/>
    <w:rsid w:val="0060350E"/>
    <w:rsid w:val="00604ED5"/>
    <w:rsid w:val="00605A0E"/>
    <w:rsid w:val="00606374"/>
    <w:rsid w:val="00607285"/>
    <w:rsid w:val="0061068F"/>
    <w:rsid w:val="00611519"/>
    <w:rsid w:val="00613E9A"/>
    <w:rsid w:val="00613FC4"/>
    <w:rsid w:val="006151BB"/>
    <w:rsid w:val="006157CF"/>
    <w:rsid w:val="00616721"/>
    <w:rsid w:val="00616C33"/>
    <w:rsid w:val="00617A74"/>
    <w:rsid w:val="00621C71"/>
    <w:rsid w:val="00623698"/>
    <w:rsid w:val="00626BB7"/>
    <w:rsid w:val="00626BED"/>
    <w:rsid w:val="00627448"/>
    <w:rsid w:val="00630E5F"/>
    <w:rsid w:val="00632C62"/>
    <w:rsid w:val="00636A34"/>
    <w:rsid w:val="00637CED"/>
    <w:rsid w:val="006459F4"/>
    <w:rsid w:val="00647627"/>
    <w:rsid w:val="00647F7A"/>
    <w:rsid w:val="0065053A"/>
    <w:rsid w:val="00650B4F"/>
    <w:rsid w:val="00651DF0"/>
    <w:rsid w:val="00653EA8"/>
    <w:rsid w:val="006546A3"/>
    <w:rsid w:val="0065671E"/>
    <w:rsid w:val="006576FF"/>
    <w:rsid w:val="0066030F"/>
    <w:rsid w:val="006634E1"/>
    <w:rsid w:val="00664935"/>
    <w:rsid w:val="006650CA"/>
    <w:rsid w:val="006668B0"/>
    <w:rsid w:val="006721F7"/>
    <w:rsid w:val="0067263D"/>
    <w:rsid w:val="00672EAE"/>
    <w:rsid w:val="00673453"/>
    <w:rsid w:val="006805C0"/>
    <w:rsid w:val="00682D66"/>
    <w:rsid w:val="00682E22"/>
    <w:rsid w:val="00683426"/>
    <w:rsid w:val="00684823"/>
    <w:rsid w:val="0068544D"/>
    <w:rsid w:val="00685461"/>
    <w:rsid w:val="00687808"/>
    <w:rsid w:val="00692328"/>
    <w:rsid w:val="0069345E"/>
    <w:rsid w:val="00693F34"/>
    <w:rsid w:val="0069465A"/>
    <w:rsid w:val="00695760"/>
    <w:rsid w:val="00697614"/>
    <w:rsid w:val="00697DCB"/>
    <w:rsid w:val="006A51CE"/>
    <w:rsid w:val="006A54F6"/>
    <w:rsid w:val="006B2101"/>
    <w:rsid w:val="006B2A67"/>
    <w:rsid w:val="006B568E"/>
    <w:rsid w:val="006C241A"/>
    <w:rsid w:val="006C2D91"/>
    <w:rsid w:val="006C507E"/>
    <w:rsid w:val="006C6558"/>
    <w:rsid w:val="006C6D87"/>
    <w:rsid w:val="006C7D43"/>
    <w:rsid w:val="006C7D82"/>
    <w:rsid w:val="006D2A36"/>
    <w:rsid w:val="006D2DCA"/>
    <w:rsid w:val="006D3F21"/>
    <w:rsid w:val="006D4932"/>
    <w:rsid w:val="006D6887"/>
    <w:rsid w:val="006E09EF"/>
    <w:rsid w:val="006E243F"/>
    <w:rsid w:val="006E3BB7"/>
    <w:rsid w:val="006E4481"/>
    <w:rsid w:val="006E66FB"/>
    <w:rsid w:val="006E7343"/>
    <w:rsid w:val="006F0EB6"/>
    <w:rsid w:val="006F23B8"/>
    <w:rsid w:val="006F5293"/>
    <w:rsid w:val="007045AA"/>
    <w:rsid w:val="00704E79"/>
    <w:rsid w:val="00707238"/>
    <w:rsid w:val="0070764F"/>
    <w:rsid w:val="00712318"/>
    <w:rsid w:val="00712DD4"/>
    <w:rsid w:val="007147C4"/>
    <w:rsid w:val="00716508"/>
    <w:rsid w:val="0072004A"/>
    <w:rsid w:val="00720DDF"/>
    <w:rsid w:val="00723E80"/>
    <w:rsid w:val="0072677F"/>
    <w:rsid w:val="007267A9"/>
    <w:rsid w:val="0073125C"/>
    <w:rsid w:val="007340F3"/>
    <w:rsid w:val="00734B2C"/>
    <w:rsid w:val="00735E7F"/>
    <w:rsid w:val="00742444"/>
    <w:rsid w:val="00743676"/>
    <w:rsid w:val="0074584F"/>
    <w:rsid w:val="0074697A"/>
    <w:rsid w:val="00747F65"/>
    <w:rsid w:val="00750073"/>
    <w:rsid w:val="007514E5"/>
    <w:rsid w:val="00753EE0"/>
    <w:rsid w:val="0075540B"/>
    <w:rsid w:val="00761293"/>
    <w:rsid w:val="007639A1"/>
    <w:rsid w:val="00764873"/>
    <w:rsid w:val="00767722"/>
    <w:rsid w:val="007704C1"/>
    <w:rsid w:val="00770A87"/>
    <w:rsid w:val="0077274A"/>
    <w:rsid w:val="0077599F"/>
    <w:rsid w:val="007812E5"/>
    <w:rsid w:val="00781473"/>
    <w:rsid w:val="00784411"/>
    <w:rsid w:val="00784652"/>
    <w:rsid w:val="00787655"/>
    <w:rsid w:val="00794C79"/>
    <w:rsid w:val="007A0851"/>
    <w:rsid w:val="007A4092"/>
    <w:rsid w:val="007A6455"/>
    <w:rsid w:val="007B146B"/>
    <w:rsid w:val="007B23BC"/>
    <w:rsid w:val="007B2F41"/>
    <w:rsid w:val="007B4087"/>
    <w:rsid w:val="007B6C3B"/>
    <w:rsid w:val="007B6D79"/>
    <w:rsid w:val="007B7893"/>
    <w:rsid w:val="007C0813"/>
    <w:rsid w:val="007C170B"/>
    <w:rsid w:val="007C3D03"/>
    <w:rsid w:val="007C5C9D"/>
    <w:rsid w:val="007D2FFE"/>
    <w:rsid w:val="007D3665"/>
    <w:rsid w:val="007E185D"/>
    <w:rsid w:val="007E1FE9"/>
    <w:rsid w:val="007E409D"/>
    <w:rsid w:val="007E475A"/>
    <w:rsid w:val="007E499E"/>
    <w:rsid w:val="007E5799"/>
    <w:rsid w:val="007E7E9C"/>
    <w:rsid w:val="007F2079"/>
    <w:rsid w:val="007F2BB8"/>
    <w:rsid w:val="007F411E"/>
    <w:rsid w:val="007F6D8A"/>
    <w:rsid w:val="007F74E7"/>
    <w:rsid w:val="007F7E33"/>
    <w:rsid w:val="008001F9"/>
    <w:rsid w:val="008010C4"/>
    <w:rsid w:val="00802B5C"/>
    <w:rsid w:val="00802BFD"/>
    <w:rsid w:val="00802D89"/>
    <w:rsid w:val="008074CE"/>
    <w:rsid w:val="00807AB6"/>
    <w:rsid w:val="00810C89"/>
    <w:rsid w:val="0081185C"/>
    <w:rsid w:val="00814B8C"/>
    <w:rsid w:val="00822788"/>
    <w:rsid w:val="00823894"/>
    <w:rsid w:val="00823ED3"/>
    <w:rsid w:val="00827AA1"/>
    <w:rsid w:val="008331D0"/>
    <w:rsid w:val="008335B8"/>
    <w:rsid w:val="00833794"/>
    <w:rsid w:val="00834736"/>
    <w:rsid w:val="00835DEB"/>
    <w:rsid w:val="008368FC"/>
    <w:rsid w:val="00836C2D"/>
    <w:rsid w:val="008372E0"/>
    <w:rsid w:val="00837950"/>
    <w:rsid w:val="008405A6"/>
    <w:rsid w:val="00843CA8"/>
    <w:rsid w:val="0084731C"/>
    <w:rsid w:val="00850522"/>
    <w:rsid w:val="00850C93"/>
    <w:rsid w:val="00850D46"/>
    <w:rsid w:val="00854EED"/>
    <w:rsid w:val="00856DC2"/>
    <w:rsid w:val="00861C6E"/>
    <w:rsid w:val="008629B6"/>
    <w:rsid w:val="00862AC7"/>
    <w:rsid w:val="00863BD7"/>
    <w:rsid w:val="00864DE7"/>
    <w:rsid w:val="0086572E"/>
    <w:rsid w:val="008668E4"/>
    <w:rsid w:val="00867DE1"/>
    <w:rsid w:val="00871C01"/>
    <w:rsid w:val="00873400"/>
    <w:rsid w:val="00873551"/>
    <w:rsid w:val="00876213"/>
    <w:rsid w:val="00876884"/>
    <w:rsid w:val="008814B4"/>
    <w:rsid w:val="0088236D"/>
    <w:rsid w:val="00884D30"/>
    <w:rsid w:val="00886DF4"/>
    <w:rsid w:val="008924D4"/>
    <w:rsid w:val="008A1AA2"/>
    <w:rsid w:val="008A2669"/>
    <w:rsid w:val="008A3EE8"/>
    <w:rsid w:val="008A735E"/>
    <w:rsid w:val="008B2687"/>
    <w:rsid w:val="008B7C64"/>
    <w:rsid w:val="008C2BDA"/>
    <w:rsid w:val="008C47D9"/>
    <w:rsid w:val="008C5926"/>
    <w:rsid w:val="008C60B1"/>
    <w:rsid w:val="008C6314"/>
    <w:rsid w:val="008D5C56"/>
    <w:rsid w:val="008D650B"/>
    <w:rsid w:val="008D74F3"/>
    <w:rsid w:val="008E6D12"/>
    <w:rsid w:val="008F0C05"/>
    <w:rsid w:val="008F1432"/>
    <w:rsid w:val="008F1BFB"/>
    <w:rsid w:val="008F2268"/>
    <w:rsid w:val="008F6E40"/>
    <w:rsid w:val="008F72FB"/>
    <w:rsid w:val="008F7A0B"/>
    <w:rsid w:val="009027D6"/>
    <w:rsid w:val="00902FF2"/>
    <w:rsid w:val="00904769"/>
    <w:rsid w:val="0090599E"/>
    <w:rsid w:val="0091073E"/>
    <w:rsid w:val="0091087B"/>
    <w:rsid w:val="00910F68"/>
    <w:rsid w:val="00912008"/>
    <w:rsid w:val="00913E16"/>
    <w:rsid w:val="00914E52"/>
    <w:rsid w:val="00914F01"/>
    <w:rsid w:val="00914F70"/>
    <w:rsid w:val="0091634E"/>
    <w:rsid w:val="00917D70"/>
    <w:rsid w:val="00922FA6"/>
    <w:rsid w:val="00923A52"/>
    <w:rsid w:val="009242E9"/>
    <w:rsid w:val="00925940"/>
    <w:rsid w:val="00926399"/>
    <w:rsid w:val="00930FAF"/>
    <w:rsid w:val="00931421"/>
    <w:rsid w:val="00933E88"/>
    <w:rsid w:val="0093513E"/>
    <w:rsid w:val="009369FF"/>
    <w:rsid w:val="00937732"/>
    <w:rsid w:val="00942D67"/>
    <w:rsid w:val="00942E30"/>
    <w:rsid w:val="00943EF7"/>
    <w:rsid w:val="009441CF"/>
    <w:rsid w:val="00946883"/>
    <w:rsid w:val="00952759"/>
    <w:rsid w:val="00953627"/>
    <w:rsid w:val="00953A49"/>
    <w:rsid w:val="00954D55"/>
    <w:rsid w:val="00955644"/>
    <w:rsid w:val="00956662"/>
    <w:rsid w:val="00960BC9"/>
    <w:rsid w:val="00963DBF"/>
    <w:rsid w:val="009647C9"/>
    <w:rsid w:val="00971A4A"/>
    <w:rsid w:val="00971B58"/>
    <w:rsid w:val="00971C77"/>
    <w:rsid w:val="009727AF"/>
    <w:rsid w:val="00981E7B"/>
    <w:rsid w:val="00986740"/>
    <w:rsid w:val="009867FF"/>
    <w:rsid w:val="0099571B"/>
    <w:rsid w:val="00995D2E"/>
    <w:rsid w:val="009962C4"/>
    <w:rsid w:val="00996B07"/>
    <w:rsid w:val="009A02E6"/>
    <w:rsid w:val="009A106E"/>
    <w:rsid w:val="009A20B6"/>
    <w:rsid w:val="009A297F"/>
    <w:rsid w:val="009A3AEE"/>
    <w:rsid w:val="009A4839"/>
    <w:rsid w:val="009B0564"/>
    <w:rsid w:val="009B1CF9"/>
    <w:rsid w:val="009B2B5E"/>
    <w:rsid w:val="009B7259"/>
    <w:rsid w:val="009C25C6"/>
    <w:rsid w:val="009C27D7"/>
    <w:rsid w:val="009C294B"/>
    <w:rsid w:val="009C3936"/>
    <w:rsid w:val="009C7011"/>
    <w:rsid w:val="009D1AC1"/>
    <w:rsid w:val="009D41A6"/>
    <w:rsid w:val="009D5B7B"/>
    <w:rsid w:val="009D6EF0"/>
    <w:rsid w:val="009D7998"/>
    <w:rsid w:val="009E2764"/>
    <w:rsid w:val="009E52C1"/>
    <w:rsid w:val="009F01ED"/>
    <w:rsid w:val="009F0D4D"/>
    <w:rsid w:val="009F2133"/>
    <w:rsid w:val="009F5712"/>
    <w:rsid w:val="009F69B1"/>
    <w:rsid w:val="009F78D1"/>
    <w:rsid w:val="009F7DBF"/>
    <w:rsid w:val="009F7DCF"/>
    <w:rsid w:val="00A047F4"/>
    <w:rsid w:val="00A068E5"/>
    <w:rsid w:val="00A07EA2"/>
    <w:rsid w:val="00A10063"/>
    <w:rsid w:val="00A111A4"/>
    <w:rsid w:val="00A12489"/>
    <w:rsid w:val="00A165BD"/>
    <w:rsid w:val="00A1697D"/>
    <w:rsid w:val="00A238CA"/>
    <w:rsid w:val="00A24B67"/>
    <w:rsid w:val="00A259B3"/>
    <w:rsid w:val="00A26555"/>
    <w:rsid w:val="00A30963"/>
    <w:rsid w:val="00A364C3"/>
    <w:rsid w:val="00A416A4"/>
    <w:rsid w:val="00A4568B"/>
    <w:rsid w:val="00A468FD"/>
    <w:rsid w:val="00A4745D"/>
    <w:rsid w:val="00A51DAB"/>
    <w:rsid w:val="00A53632"/>
    <w:rsid w:val="00A56096"/>
    <w:rsid w:val="00A560D7"/>
    <w:rsid w:val="00A6096D"/>
    <w:rsid w:val="00A60D4F"/>
    <w:rsid w:val="00A62634"/>
    <w:rsid w:val="00A63A9C"/>
    <w:rsid w:val="00A66A67"/>
    <w:rsid w:val="00A6789A"/>
    <w:rsid w:val="00A70927"/>
    <w:rsid w:val="00A71E9F"/>
    <w:rsid w:val="00A74601"/>
    <w:rsid w:val="00A749C5"/>
    <w:rsid w:val="00A776C8"/>
    <w:rsid w:val="00A77942"/>
    <w:rsid w:val="00A810CB"/>
    <w:rsid w:val="00A81BB7"/>
    <w:rsid w:val="00A82721"/>
    <w:rsid w:val="00A8319C"/>
    <w:rsid w:val="00A836D1"/>
    <w:rsid w:val="00A86DD0"/>
    <w:rsid w:val="00A943A4"/>
    <w:rsid w:val="00AA0CDB"/>
    <w:rsid w:val="00AA2183"/>
    <w:rsid w:val="00AA41C1"/>
    <w:rsid w:val="00AA7549"/>
    <w:rsid w:val="00AA75DC"/>
    <w:rsid w:val="00AB1595"/>
    <w:rsid w:val="00AB222D"/>
    <w:rsid w:val="00AB638A"/>
    <w:rsid w:val="00AC0CF2"/>
    <w:rsid w:val="00AC202B"/>
    <w:rsid w:val="00AC29E5"/>
    <w:rsid w:val="00AC41E7"/>
    <w:rsid w:val="00AC58AE"/>
    <w:rsid w:val="00AC7A06"/>
    <w:rsid w:val="00AD1C0A"/>
    <w:rsid w:val="00AD1E13"/>
    <w:rsid w:val="00AD7546"/>
    <w:rsid w:val="00AE40E9"/>
    <w:rsid w:val="00AE4CB5"/>
    <w:rsid w:val="00AE5D62"/>
    <w:rsid w:val="00AE6932"/>
    <w:rsid w:val="00AF197E"/>
    <w:rsid w:val="00AF3870"/>
    <w:rsid w:val="00AF774E"/>
    <w:rsid w:val="00B010F7"/>
    <w:rsid w:val="00B01765"/>
    <w:rsid w:val="00B01B01"/>
    <w:rsid w:val="00B065F7"/>
    <w:rsid w:val="00B0664F"/>
    <w:rsid w:val="00B077AD"/>
    <w:rsid w:val="00B11374"/>
    <w:rsid w:val="00B11F06"/>
    <w:rsid w:val="00B15449"/>
    <w:rsid w:val="00B17D1F"/>
    <w:rsid w:val="00B2030A"/>
    <w:rsid w:val="00B2072B"/>
    <w:rsid w:val="00B21533"/>
    <w:rsid w:val="00B2180A"/>
    <w:rsid w:val="00B21E8D"/>
    <w:rsid w:val="00B263E9"/>
    <w:rsid w:val="00B31362"/>
    <w:rsid w:val="00B36172"/>
    <w:rsid w:val="00B37633"/>
    <w:rsid w:val="00B37DB2"/>
    <w:rsid w:val="00B411D6"/>
    <w:rsid w:val="00B413B2"/>
    <w:rsid w:val="00B469CA"/>
    <w:rsid w:val="00B47055"/>
    <w:rsid w:val="00B51C25"/>
    <w:rsid w:val="00B5245E"/>
    <w:rsid w:val="00B55CE9"/>
    <w:rsid w:val="00B55F5D"/>
    <w:rsid w:val="00B563CA"/>
    <w:rsid w:val="00B56DE4"/>
    <w:rsid w:val="00B618C9"/>
    <w:rsid w:val="00B61E81"/>
    <w:rsid w:val="00B63D9F"/>
    <w:rsid w:val="00B64178"/>
    <w:rsid w:val="00B659DF"/>
    <w:rsid w:val="00B66FBF"/>
    <w:rsid w:val="00B7026E"/>
    <w:rsid w:val="00B70BB6"/>
    <w:rsid w:val="00B74AA6"/>
    <w:rsid w:val="00B75251"/>
    <w:rsid w:val="00B77B3D"/>
    <w:rsid w:val="00B81A1F"/>
    <w:rsid w:val="00B81CA1"/>
    <w:rsid w:val="00B82645"/>
    <w:rsid w:val="00B829F6"/>
    <w:rsid w:val="00B84B24"/>
    <w:rsid w:val="00B8729C"/>
    <w:rsid w:val="00B9035A"/>
    <w:rsid w:val="00B931B3"/>
    <w:rsid w:val="00B9544A"/>
    <w:rsid w:val="00B96DB3"/>
    <w:rsid w:val="00BA648E"/>
    <w:rsid w:val="00BA7D7D"/>
    <w:rsid w:val="00BB0B03"/>
    <w:rsid w:val="00BB1656"/>
    <w:rsid w:val="00BB23BD"/>
    <w:rsid w:val="00BB3117"/>
    <w:rsid w:val="00BB3A00"/>
    <w:rsid w:val="00BB65B8"/>
    <w:rsid w:val="00BC05C5"/>
    <w:rsid w:val="00BC183B"/>
    <w:rsid w:val="00BC1A99"/>
    <w:rsid w:val="00BC256C"/>
    <w:rsid w:val="00BC2C72"/>
    <w:rsid w:val="00BC4DF0"/>
    <w:rsid w:val="00BD2051"/>
    <w:rsid w:val="00BD3BC4"/>
    <w:rsid w:val="00BD4F5F"/>
    <w:rsid w:val="00BD5181"/>
    <w:rsid w:val="00BE03F8"/>
    <w:rsid w:val="00BE2A72"/>
    <w:rsid w:val="00BE48E6"/>
    <w:rsid w:val="00BE508B"/>
    <w:rsid w:val="00BF338F"/>
    <w:rsid w:val="00BF595A"/>
    <w:rsid w:val="00BF661E"/>
    <w:rsid w:val="00BF7560"/>
    <w:rsid w:val="00BF7775"/>
    <w:rsid w:val="00C00B68"/>
    <w:rsid w:val="00C01F59"/>
    <w:rsid w:val="00C03B6E"/>
    <w:rsid w:val="00C04E8F"/>
    <w:rsid w:val="00C06392"/>
    <w:rsid w:val="00C0710D"/>
    <w:rsid w:val="00C071C0"/>
    <w:rsid w:val="00C072D4"/>
    <w:rsid w:val="00C078E8"/>
    <w:rsid w:val="00C13157"/>
    <w:rsid w:val="00C1584B"/>
    <w:rsid w:val="00C16199"/>
    <w:rsid w:val="00C16DE5"/>
    <w:rsid w:val="00C21355"/>
    <w:rsid w:val="00C23506"/>
    <w:rsid w:val="00C2472B"/>
    <w:rsid w:val="00C2474A"/>
    <w:rsid w:val="00C2531B"/>
    <w:rsid w:val="00C26BC4"/>
    <w:rsid w:val="00C2705D"/>
    <w:rsid w:val="00C32154"/>
    <w:rsid w:val="00C33FB9"/>
    <w:rsid w:val="00C346EA"/>
    <w:rsid w:val="00C40A29"/>
    <w:rsid w:val="00C43375"/>
    <w:rsid w:val="00C441F0"/>
    <w:rsid w:val="00C459CB"/>
    <w:rsid w:val="00C47242"/>
    <w:rsid w:val="00C5234F"/>
    <w:rsid w:val="00C53144"/>
    <w:rsid w:val="00C56E4B"/>
    <w:rsid w:val="00C61A3D"/>
    <w:rsid w:val="00C62964"/>
    <w:rsid w:val="00C63B03"/>
    <w:rsid w:val="00C63DF2"/>
    <w:rsid w:val="00C6595F"/>
    <w:rsid w:val="00C66ABD"/>
    <w:rsid w:val="00C66F87"/>
    <w:rsid w:val="00C70275"/>
    <w:rsid w:val="00C7279D"/>
    <w:rsid w:val="00C72F73"/>
    <w:rsid w:val="00C750FE"/>
    <w:rsid w:val="00C77E27"/>
    <w:rsid w:val="00C802FD"/>
    <w:rsid w:val="00C82037"/>
    <w:rsid w:val="00C82C97"/>
    <w:rsid w:val="00C84151"/>
    <w:rsid w:val="00C903BA"/>
    <w:rsid w:val="00C925B4"/>
    <w:rsid w:val="00C935BC"/>
    <w:rsid w:val="00C97590"/>
    <w:rsid w:val="00C97600"/>
    <w:rsid w:val="00C977DE"/>
    <w:rsid w:val="00CA0F5A"/>
    <w:rsid w:val="00CA5D2F"/>
    <w:rsid w:val="00CB0938"/>
    <w:rsid w:val="00CB143F"/>
    <w:rsid w:val="00CB173B"/>
    <w:rsid w:val="00CB29CA"/>
    <w:rsid w:val="00CB375A"/>
    <w:rsid w:val="00CB4612"/>
    <w:rsid w:val="00CB4BC2"/>
    <w:rsid w:val="00CB7FCF"/>
    <w:rsid w:val="00CC04EE"/>
    <w:rsid w:val="00CC18A2"/>
    <w:rsid w:val="00CC1EEA"/>
    <w:rsid w:val="00CC23EE"/>
    <w:rsid w:val="00CC43B2"/>
    <w:rsid w:val="00CC6978"/>
    <w:rsid w:val="00CD03F4"/>
    <w:rsid w:val="00CD27D6"/>
    <w:rsid w:val="00CD3088"/>
    <w:rsid w:val="00CD5641"/>
    <w:rsid w:val="00CD6857"/>
    <w:rsid w:val="00CD717C"/>
    <w:rsid w:val="00CD79ED"/>
    <w:rsid w:val="00CE095A"/>
    <w:rsid w:val="00CE1910"/>
    <w:rsid w:val="00CE3E1E"/>
    <w:rsid w:val="00CE417D"/>
    <w:rsid w:val="00CE5225"/>
    <w:rsid w:val="00CE5E6F"/>
    <w:rsid w:val="00CF08EB"/>
    <w:rsid w:val="00CF2AB8"/>
    <w:rsid w:val="00CF2BD8"/>
    <w:rsid w:val="00CF393A"/>
    <w:rsid w:val="00CF5464"/>
    <w:rsid w:val="00CF65A9"/>
    <w:rsid w:val="00CF7088"/>
    <w:rsid w:val="00CF7220"/>
    <w:rsid w:val="00CF7F7D"/>
    <w:rsid w:val="00D02837"/>
    <w:rsid w:val="00D04B81"/>
    <w:rsid w:val="00D0660C"/>
    <w:rsid w:val="00D068E3"/>
    <w:rsid w:val="00D11DE4"/>
    <w:rsid w:val="00D168E1"/>
    <w:rsid w:val="00D21E8C"/>
    <w:rsid w:val="00D22C5E"/>
    <w:rsid w:val="00D22E15"/>
    <w:rsid w:val="00D2420E"/>
    <w:rsid w:val="00D243FF"/>
    <w:rsid w:val="00D2596B"/>
    <w:rsid w:val="00D261D1"/>
    <w:rsid w:val="00D32E12"/>
    <w:rsid w:val="00D353C7"/>
    <w:rsid w:val="00D36EC8"/>
    <w:rsid w:val="00D41D53"/>
    <w:rsid w:val="00D42174"/>
    <w:rsid w:val="00D423E3"/>
    <w:rsid w:val="00D42C29"/>
    <w:rsid w:val="00D42EB7"/>
    <w:rsid w:val="00D449C1"/>
    <w:rsid w:val="00D44BE2"/>
    <w:rsid w:val="00D46320"/>
    <w:rsid w:val="00D47056"/>
    <w:rsid w:val="00D53152"/>
    <w:rsid w:val="00D54392"/>
    <w:rsid w:val="00D60AFE"/>
    <w:rsid w:val="00D63F7D"/>
    <w:rsid w:val="00D64C7C"/>
    <w:rsid w:val="00D6677A"/>
    <w:rsid w:val="00D70BFD"/>
    <w:rsid w:val="00D7139A"/>
    <w:rsid w:val="00D739FD"/>
    <w:rsid w:val="00D759F5"/>
    <w:rsid w:val="00D770BC"/>
    <w:rsid w:val="00D94130"/>
    <w:rsid w:val="00D96E44"/>
    <w:rsid w:val="00D97581"/>
    <w:rsid w:val="00DA36C6"/>
    <w:rsid w:val="00DA7F88"/>
    <w:rsid w:val="00DB1B2F"/>
    <w:rsid w:val="00DB2512"/>
    <w:rsid w:val="00DB5841"/>
    <w:rsid w:val="00DB5B81"/>
    <w:rsid w:val="00DC55B9"/>
    <w:rsid w:val="00DC5DA9"/>
    <w:rsid w:val="00DD037D"/>
    <w:rsid w:val="00DD0ED2"/>
    <w:rsid w:val="00DD527B"/>
    <w:rsid w:val="00DE1B91"/>
    <w:rsid w:val="00DE1C74"/>
    <w:rsid w:val="00DE2FDC"/>
    <w:rsid w:val="00DE65DC"/>
    <w:rsid w:val="00DE6AB3"/>
    <w:rsid w:val="00DF2096"/>
    <w:rsid w:val="00DF220F"/>
    <w:rsid w:val="00DF2E68"/>
    <w:rsid w:val="00DF3A3B"/>
    <w:rsid w:val="00DF6C7B"/>
    <w:rsid w:val="00E01419"/>
    <w:rsid w:val="00E05734"/>
    <w:rsid w:val="00E12E26"/>
    <w:rsid w:val="00E13914"/>
    <w:rsid w:val="00E13FE4"/>
    <w:rsid w:val="00E14B6C"/>
    <w:rsid w:val="00E17115"/>
    <w:rsid w:val="00E23E7F"/>
    <w:rsid w:val="00E24DD6"/>
    <w:rsid w:val="00E25615"/>
    <w:rsid w:val="00E263F7"/>
    <w:rsid w:val="00E3020E"/>
    <w:rsid w:val="00E31BC3"/>
    <w:rsid w:val="00E33810"/>
    <w:rsid w:val="00E35DE4"/>
    <w:rsid w:val="00E374CE"/>
    <w:rsid w:val="00E40CF7"/>
    <w:rsid w:val="00E41508"/>
    <w:rsid w:val="00E50F0D"/>
    <w:rsid w:val="00E50FEE"/>
    <w:rsid w:val="00E523F6"/>
    <w:rsid w:val="00E52710"/>
    <w:rsid w:val="00E5317E"/>
    <w:rsid w:val="00E55A9C"/>
    <w:rsid w:val="00E60177"/>
    <w:rsid w:val="00E60951"/>
    <w:rsid w:val="00E60D59"/>
    <w:rsid w:val="00E6349F"/>
    <w:rsid w:val="00E66246"/>
    <w:rsid w:val="00E66549"/>
    <w:rsid w:val="00E66832"/>
    <w:rsid w:val="00E66C63"/>
    <w:rsid w:val="00E677F6"/>
    <w:rsid w:val="00E67F4D"/>
    <w:rsid w:val="00E72DAF"/>
    <w:rsid w:val="00E75920"/>
    <w:rsid w:val="00E80237"/>
    <w:rsid w:val="00E80DAF"/>
    <w:rsid w:val="00E81A33"/>
    <w:rsid w:val="00E84084"/>
    <w:rsid w:val="00E8487E"/>
    <w:rsid w:val="00E85D95"/>
    <w:rsid w:val="00E86E46"/>
    <w:rsid w:val="00E87017"/>
    <w:rsid w:val="00E8796E"/>
    <w:rsid w:val="00E93740"/>
    <w:rsid w:val="00E93A85"/>
    <w:rsid w:val="00E95328"/>
    <w:rsid w:val="00E9548B"/>
    <w:rsid w:val="00E954BF"/>
    <w:rsid w:val="00EA06B8"/>
    <w:rsid w:val="00EA0C01"/>
    <w:rsid w:val="00EA1D51"/>
    <w:rsid w:val="00EA22FD"/>
    <w:rsid w:val="00EA26B3"/>
    <w:rsid w:val="00EA6FEA"/>
    <w:rsid w:val="00EB155C"/>
    <w:rsid w:val="00EB1F69"/>
    <w:rsid w:val="00EB2BA3"/>
    <w:rsid w:val="00EB7DB3"/>
    <w:rsid w:val="00EC0A1F"/>
    <w:rsid w:val="00EC4F15"/>
    <w:rsid w:val="00EC6BCC"/>
    <w:rsid w:val="00EC7680"/>
    <w:rsid w:val="00EC7853"/>
    <w:rsid w:val="00ED0554"/>
    <w:rsid w:val="00ED1646"/>
    <w:rsid w:val="00ED28A2"/>
    <w:rsid w:val="00ED54C7"/>
    <w:rsid w:val="00ED69DB"/>
    <w:rsid w:val="00EE0283"/>
    <w:rsid w:val="00EE0573"/>
    <w:rsid w:val="00EE0863"/>
    <w:rsid w:val="00EE223D"/>
    <w:rsid w:val="00EE24CC"/>
    <w:rsid w:val="00EE2583"/>
    <w:rsid w:val="00EE455D"/>
    <w:rsid w:val="00EE5376"/>
    <w:rsid w:val="00EE53D9"/>
    <w:rsid w:val="00EE690D"/>
    <w:rsid w:val="00EE7B8C"/>
    <w:rsid w:val="00EF04A1"/>
    <w:rsid w:val="00EF0C83"/>
    <w:rsid w:val="00EF1D3C"/>
    <w:rsid w:val="00EF33B6"/>
    <w:rsid w:val="00EF5B7C"/>
    <w:rsid w:val="00EF63EC"/>
    <w:rsid w:val="00EF6BE7"/>
    <w:rsid w:val="00F02086"/>
    <w:rsid w:val="00F02D64"/>
    <w:rsid w:val="00F03F26"/>
    <w:rsid w:val="00F04522"/>
    <w:rsid w:val="00F04A45"/>
    <w:rsid w:val="00F04C47"/>
    <w:rsid w:val="00F1594D"/>
    <w:rsid w:val="00F15C4D"/>
    <w:rsid w:val="00F16EBD"/>
    <w:rsid w:val="00F17613"/>
    <w:rsid w:val="00F21B5E"/>
    <w:rsid w:val="00F22380"/>
    <w:rsid w:val="00F223CB"/>
    <w:rsid w:val="00F23FF2"/>
    <w:rsid w:val="00F24DEA"/>
    <w:rsid w:val="00F25E0A"/>
    <w:rsid w:val="00F30A63"/>
    <w:rsid w:val="00F31556"/>
    <w:rsid w:val="00F3176B"/>
    <w:rsid w:val="00F345E3"/>
    <w:rsid w:val="00F36B3D"/>
    <w:rsid w:val="00F44210"/>
    <w:rsid w:val="00F45B0B"/>
    <w:rsid w:val="00F46F76"/>
    <w:rsid w:val="00F518EF"/>
    <w:rsid w:val="00F537E9"/>
    <w:rsid w:val="00F6022A"/>
    <w:rsid w:val="00F60893"/>
    <w:rsid w:val="00F65298"/>
    <w:rsid w:val="00F66B61"/>
    <w:rsid w:val="00F6712B"/>
    <w:rsid w:val="00F701E1"/>
    <w:rsid w:val="00F72F6F"/>
    <w:rsid w:val="00F75683"/>
    <w:rsid w:val="00F7606E"/>
    <w:rsid w:val="00F767C3"/>
    <w:rsid w:val="00F80B80"/>
    <w:rsid w:val="00F8345E"/>
    <w:rsid w:val="00F868A2"/>
    <w:rsid w:val="00F92152"/>
    <w:rsid w:val="00F94FA7"/>
    <w:rsid w:val="00F958EB"/>
    <w:rsid w:val="00F95B66"/>
    <w:rsid w:val="00F961CB"/>
    <w:rsid w:val="00F97A39"/>
    <w:rsid w:val="00FA00CE"/>
    <w:rsid w:val="00FA23D0"/>
    <w:rsid w:val="00FA684F"/>
    <w:rsid w:val="00FA761F"/>
    <w:rsid w:val="00FB06D4"/>
    <w:rsid w:val="00FB2DD4"/>
    <w:rsid w:val="00FB30B1"/>
    <w:rsid w:val="00FB370A"/>
    <w:rsid w:val="00FB38D2"/>
    <w:rsid w:val="00FB4390"/>
    <w:rsid w:val="00FB62DC"/>
    <w:rsid w:val="00FC06F5"/>
    <w:rsid w:val="00FC0CC4"/>
    <w:rsid w:val="00FC4E2E"/>
    <w:rsid w:val="00FC7AB7"/>
    <w:rsid w:val="00FD7539"/>
    <w:rsid w:val="00FE0295"/>
    <w:rsid w:val="00FE51DC"/>
    <w:rsid w:val="00FE5B25"/>
    <w:rsid w:val="00FF11E1"/>
    <w:rsid w:val="00FF279C"/>
    <w:rsid w:val="00FF3365"/>
    <w:rsid w:val="00FF423E"/>
    <w:rsid w:val="00FF4854"/>
    <w:rsid w:val="00FF49E0"/>
    <w:rsid w:val="00FF715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004"/>
    <w:rPr>
      <w:sz w:val="24"/>
      <w:szCs w:val="24"/>
      <w:lang w:val="en-GB" w:eastAsia="en-US"/>
    </w:rPr>
  </w:style>
  <w:style w:type="paragraph" w:styleId="Heading1">
    <w:name w:val="heading 1"/>
    <w:basedOn w:val="Normal"/>
    <w:next w:val="Normal"/>
    <w:qFormat/>
    <w:rsid w:val="001D1004"/>
    <w:pPr>
      <w:keepNext/>
      <w:spacing w:before="360" w:after="240" w:line="280" w:lineRule="exact"/>
      <w:jc w:val="both"/>
      <w:outlineLvl w:val="0"/>
    </w:pPr>
    <w:rPr>
      <w:b/>
      <w:caps/>
      <w:kern w:val="28"/>
      <w:sz w:val="28"/>
      <w:szCs w:val="20"/>
      <w:lang w:val="en-AU"/>
    </w:rPr>
  </w:style>
  <w:style w:type="paragraph" w:styleId="Heading2">
    <w:name w:val="heading 2"/>
    <w:basedOn w:val="Normal"/>
    <w:next w:val="Normal"/>
    <w:link w:val="Heading2Char"/>
    <w:qFormat/>
    <w:rsid w:val="001D1004"/>
    <w:pPr>
      <w:keepNext/>
      <w:spacing w:before="240" w:after="120" w:line="280" w:lineRule="exact"/>
      <w:jc w:val="both"/>
      <w:outlineLvl w:val="1"/>
    </w:pPr>
    <w:rPr>
      <w:b/>
      <w:szCs w:val="20"/>
      <w:lang w:val="en-AU"/>
    </w:rPr>
  </w:style>
  <w:style w:type="paragraph" w:styleId="Heading3">
    <w:name w:val="heading 3"/>
    <w:basedOn w:val="Normal"/>
    <w:next w:val="Normal"/>
    <w:qFormat/>
    <w:rsid w:val="001D1004"/>
    <w:pPr>
      <w:keepNext/>
      <w:jc w:val="both"/>
      <w:outlineLvl w:val="2"/>
    </w:pPr>
    <w:rPr>
      <w:b/>
      <w:bCs/>
      <w:i/>
      <w:iCs/>
    </w:rPr>
  </w:style>
  <w:style w:type="paragraph" w:styleId="Heading4">
    <w:name w:val="heading 4"/>
    <w:basedOn w:val="Normal"/>
    <w:next w:val="Normal"/>
    <w:qFormat/>
    <w:rsid w:val="001D100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1004"/>
    <w:pPr>
      <w:tabs>
        <w:tab w:val="center" w:pos="4153"/>
        <w:tab w:val="right" w:pos="8306"/>
      </w:tabs>
    </w:pPr>
  </w:style>
  <w:style w:type="character" w:styleId="PageNumber">
    <w:name w:val="page number"/>
    <w:basedOn w:val="DefaultParagraphFont"/>
    <w:rsid w:val="001D1004"/>
  </w:style>
  <w:style w:type="paragraph" w:styleId="BodyText2">
    <w:name w:val="Body Text 2"/>
    <w:basedOn w:val="Normal"/>
    <w:rsid w:val="001D1004"/>
    <w:pPr>
      <w:spacing w:after="240"/>
      <w:jc w:val="both"/>
    </w:pPr>
    <w:rPr>
      <w:b/>
      <w:bCs/>
      <w:szCs w:val="20"/>
      <w:lang w:val="en-AU"/>
    </w:rPr>
  </w:style>
  <w:style w:type="character" w:customStyle="1" w:styleId="Heading2Char">
    <w:name w:val="Heading 2 Char"/>
    <w:link w:val="Heading2"/>
    <w:rsid w:val="001D1004"/>
    <w:rPr>
      <w:b/>
      <w:sz w:val="24"/>
      <w:lang w:val="en-AU" w:eastAsia="en-US" w:bidi="ar-SA"/>
    </w:rPr>
  </w:style>
  <w:style w:type="paragraph" w:customStyle="1" w:styleId="BulletIndent1">
    <w:name w:val="Bullet Indent 1"/>
    <w:basedOn w:val="Normal"/>
    <w:rsid w:val="001D1004"/>
    <w:pPr>
      <w:numPr>
        <w:numId w:val="1"/>
      </w:numPr>
      <w:spacing w:line="260" w:lineRule="exact"/>
    </w:pPr>
    <w:rPr>
      <w:sz w:val="22"/>
      <w:szCs w:val="20"/>
    </w:rPr>
  </w:style>
  <w:style w:type="paragraph" w:customStyle="1" w:styleId="Default">
    <w:name w:val="Default"/>
    <w:uiPriority w:val="99"/>
    <w:rsid w:val="001D1004"/>
    <w:pPr>
      <w:widowControl w:val="0"/>
      <w:autoSpaceDE w:val="0"/>
      <w:autoSpaceDN w:val="0"/>
      <w:adjustRightInd w:val="0"/>
    </w:pPr>
    <w:rPr>
      <w:rFonts w:eastAsia="PMingLiU"/>
      <w:color w:val="000000"/>
      <w:sz w:val="24"/>
      <w:szCs w:val="24"/>
      <w:lang w:val="en-US" w:eastAsia="zh-TW"/>
    </w:rPr>
  </w:style>
  <w:style w:type="table" w:styleId="TableGrid">
    <w:name w:val="Table Grid"/>
    <w:basedOn w:val="TableNormal"/>
    <w:uiPriority w:val="59"/>
    <w:rsid w:val="001D1004"/>
    <w:pPr>
      <w:tabs>
        <w:tab w:val="left" w:pos="567"/>
      </w:tabs>
      <w:spacing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nrm1">
    <w:name w:val="txtnrm1"/>
    <w:rsid w:val="001D1004"/>
    <w:rPr>
      <w:rFonts w:ascii="Arial" w:hAnsi="Arial" w:cs="Arial" w:hint="default"/>
      <w:sz w:val="18"/>
      <w:szCs w:val="18"/>
    </w:rPr>
  </w:style>
  <w:style w:type="paragraph" w:customStyle="1" w:styleId="BayerSubscript">
    <w:name w:val="Bayer Subscript"/>
    <w:basedOn w:val="Normal"/>
    <w:link w:val="BayerSubscriptChar"/>
    <w:rsid w:val="001D1004"/>
    <w:rPr>
      <w:rFonts w:eastAsia="PMingLiU"/>
      <w:vertAlign w:val="subscript"/>
      <w:lang w:val="en-US"/>
    </w:rPr>
  </w:style>
  <w:style w:type="character" w:customStyle="1" w:styleId="BayerSubscriptChar">
    <w:name w:val="Bayer Subscript Char"/>
    <w:link w:val="BayerSubscript"/>
    <w:rsid w:val="001D1004"/>
    <w:rPr>
      <w:rFonts w:eastAsia="PMingLiU"/>
      <w:sz w:val="24"/>
      <w:szCs w:val="24"/>
      <w:vertAlign w:val="subscript"/>
      <w:lang w:val="en-US" w:eastAsia="en-US" w:bidi="ar-SA"/>
    </w:rPr>
  </w:style>
  <w:style w:type="character" w:styleId="EndnoteReference">
    <w:name w:val="endnote reference"/>
    <w:semiHidden/>
    <w:rsid w:val="001D1004"/>
    <w:rPr>
      <w:vertAlign w:val="superscript"/>
    </w:rPr>
  </w:style>
  <w:style w:type="paragraph" w:customStyle="1" w:styleId="BayerBodytext">
    <w:name w:val="Bayer Body text"/>
    <w:basedOn w:val="Normal"/>
    <w:rsid w:val="001D1004"/>
    <w:pPr>
      <w:widowControl w:val="0"/>
      <w:adjustRightInd w:val="0"/>
      <w:spacing w:after="240" w:line="360" w:lineRule="auto"/>
      <w:ind w:left="907"/>
      <w:jc w:val="both"/>
      <w:textAlignment w:val="baseline"/>
    </w:pPr>
    <w:rPr>
      <w:szCs w:val="20"/>
      <w:lang w:val="en-US" w:eastAsia="de-DE"/>
    </w:rPr>
  </w:style>
  <w:style w:type="paragraph" w:styleId="Header">
    <w:name w:val="header"/>
    <w:basedOn w:val="Normal"/>
    <w:rsid w:val="001D1004"/>
    <w:pPr>
      <w:tabs>
        <w:tab w:val="center" w:pos="4153"/>
        <w:tab w:val="right" w:pos="8306"/>
      </w:tabs>
    </w:pPr>
  </w:style>
  <w:style w:type="paragraph" w:styleId="BalloonText">
    <w:name w:val="Balloon Text"/>
    <w:basedOn w:val="Normal"/>
    <w:semiHidden/>
    <w:rsid w:val="009027D6"/>
    <w:rPr>
      <w:rFonts w:ascii="Tahoma" w:hAnsi="Tahoma" w:cs="Tahoma"/>
      <w:sz w:val="16"/>
      <w:szCs w:val="16"/>
    </w:rPr>
  </w:style>
  <w:style w:type="character" w:styleId="CommentReference">
    <w:name w:val="annotation reference"/>
    <w:semiHidden/>
    <w:rsid w:val="00D068E3"/>
    <w:rPr>
      <w:sz w:val="16"/>
      <w:szCs w:val="16"/>
    </w:rPr>
  </w:style>
  <w:style w:type="paragraph" w:styleId="CommentText">
    <w:name w:val="annotation text"/>
    <w:basedOn w:val="Normal"/>
    <w:link w:val="CommentTextChar"/>
    <w:semiHidden/>
    <w:rsid w:val="00D068E3"/>
    <w:rPr>
      <w:sz w:val="20"/>
      <w:szCs w:val="20"/>
    </w:rPr>
  </w:style>
  <w:style w:type="paragraph" w:styleId="CommentSubject">
    <w:name w:val="annotation subject"/>
    <w:basedOn w:val="CommentText"/>
    <w:next w:val="CommentText"/>
    <w:semiHidden/>
    <w:rsid w:val="00D068E3"/>
    <w:rPr>
      <w:b/>
      <w:bCs/>
    </w:rPr>
  </w:style>
  <w:style w:type="paragraph" w:styleId="TOC1">
    <w:name w:val="toc 1"/>
    <w:basedOn w:val="Normal"/>
    <w:next w:val="Normal"/>
    <w:semiHidden/>
    <w:rsid w:val="00C23506"/>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G Times" w:hAnsi="CG Times"/>
      <w:szCs w:val="20"/>
      <w:lang w:val="en-US" w:eastAsia="ja-JP"/>
    </w:rPr>
  </w:style>
  <w:style w:type="character" w:styleId="FollowedHyperlink">
    <w:name w:val="FollowedHyperlink"/>
    <w:rsid w:val="005A1A3E"/>
    <w:rPr>
      <w:color w:val="800080"/>
      <w:u w:val="single"/>
    </w:rPr>
  </w:style>
  <w:style w:type="paragraph" w:styleId="Caption">
    <w:name w:val="caption"/>
    <w:aliases w:val="Bayer Caption"/>
    <w:basedOn w:val="Normal"/>
    <w:next w:val="Normal"/>
    <w:qFormat/>
    <w:rsid w:val="005C296E"/>
    <w:rPr>
      <w:b/>
      <w:bCs/>
      <w:sz w:val="20"/>
      <w:szCs w:val="20"/>
    </w:rPr>
  </w:style>
  <w:style w:type="paragraph" w:customStyle="1" w:styleId="BayerBodyTextFull">
    <w:name w:val="Bayer Body Text Full"/>
    <w:basedOn w:val="Normal"/>
    <w:link w:val="BayerBodyTextFullChar"/>
    <w:rsid w:val="00C62964"/>
    <w:pPr>
      <w:spacing w:before="120" w:after="120"/>
    </w:pPr>
    <w:rPr>
      <w:szCs w:val="20"/>
      <w:lang w:val="en-US"/>
    </w:rPr>
  </w:style>
  <w:style w:type="character" w:customStyle="1" w:styleId="BayerBodyTextFullChar">
    <w:name w:val="Bayer Body Text Full Char"/>
    <w:link w:val="BayerBodyTextFull"/>
    <w:rsid w:val="00C62964"/>
    <w:rPr>
      <w:sz w:val="24"/>
      <w:lang w:val="en-US" w:eastAsia="en-US" w:bidi="ar-SA"/>
    </w:rPr>
  </w:style>
  <w:style w:type="paragraph" w:customStyle="1" w:styleId="BayerTableRowHeadings">
    <w:name w:val="Bayer Table Row Headings"/>
    <w:basedOn w:val="Normal"/>
    <w:rsid w:val="00B66FBF"/>
    <w:pPr>
      <w:widowControl w:val="0"/>
      <w:spacing w:after="120"/>
    </w:pPr>
    <w:rPr>
      <w:sz w:val="22"/>
      <w:szCs w:val="20"/>
      <w:lang w:val="en-US"/>
    </w:rPr>
  </w:style>
  <w:style w:type="paragraph" w:customStyle="1" w:styleId="BayerTableColumnHeadings">
    <w:name w:val="Bayer Table Column Headings"/>
    <w:basedOn w:val="Normal"/>
    <w:rsid w:val="00B66FBF"/>
    <w:pPr>
      <w:jc w:val="center"/>
    </w:pPr>
    <w:rPr>
      <w:b/>
      <w:sz w:val="22"/>
      <w:szCs w:val="20"/>
      <w:lang w:val="en-US"/>
    </w:rPr>
  </w:style>
  <w:style w:type="paragraph" w:styleId="NormalWeb">
    <w:name w:val="Normal (Web)"/>
    <w:basedOn w:val="Normal"/>
    <w:uiPriority w:val="99"/>
    <w:rsid w:val="00B66FBF"/>
    <w:pPr>
      <w:jc w:val="both"/>
    </w:pPr>
    <w:rPr>
      <w:lang w:val="de-DE" w:eastAsia="de-DE"/>
    </w:rPr>
  </w:style>
  <w:style w:type="table" w:customStyle="1" w:styleId="TableGrid1">
    <w:name w:val="Table Grid1"/>
    <w:basedOn w:val="TableNormal"/>
    <w:next w:val="TableGrid"/>
    <w:rsid w:val="00707238"/>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BodyTextChar">
    <w:name w:val="Normal Body Text Char"/>
    <w:link w:val="NormalBodyText"/>
    <w:locked/>
    <w:rsid w:val="00FE5B25"/>
  </w:style>
  <w:style w:type="paragraph" w:customStyle="1" w:styleId="NormalBodyText">
    <w:name w:val="Normal Body Text"/>
    <w:basedOn w:val="Normal"/>
    <w:link w:val="NormalBodyTextChar"/>
    <w:rsid w:val="00FE5B25"/>
    <w:pPr>
      <w:spacing w:before="120" w:after="120"/>
    </w:pPr>
    <w:rPr>
      <w:sz w:val="20"/>
      <w:szCs w:val="20"/>
      <w:lang w:val="en-AU" w:eastAsia="zh-CN"/>
    </w:rPr>
  </w:style>
  <w:style w:type="paragraph" w:styleId="Revision">
    <w:name w:val="Revision"/>
    <w:hidden/>
    <w:uiPriority w:val="99"/>
    <w:semiHidden/>
    <w:rsid w:val="00296A60"/>
    <w:rPr>
      <w:sz w:val="24"/>
      <w:szCs w:val="24"/>
      <w:lang w:val="en-GB" w:eastAsia="en-US"/>
    </w:rPr>
  </w:style>
  <w:style w:type="character" w:styleId="Hyperlink">
    <w:name w:val="Hyperlink"/>
    <w:rsid w:val="00664935"/>
    <w:rPr>
      <w:color w:val="0000FF"/>
      <w:u w:val="single"/>
    </w:rPr>
  </w:style>
  <w:style w:type="paragraph" w:customStyle="1" w:styleId="BulletIndent4">
    <w:name w:val="Bullet Indent 4 (•)"/>
    <w:rsid w:val="005F4395"/>
    <w:pPr>
      <w:numPr>
        <w:numId w:val="12"/>
      </w:numPr>
      <w:spacing w:after="120"/>
      <w:jc w:val="both"/>
    </w:pPr>
    <w:rPr>
      <w:sz w:val="24"/>
      <w:lang w:val="en-US" w:eastAsia="en-US"/>
    </w:rPr>
  </w:style>
  <w:style w:type="paragraph" w:styleId="ListParagraph">
    <w:name w:val="List Paragraph"/>
    <w:basedOn w:val="Normal"/>
    <w:uiPriority w:val="34"/>
    <w:qFormat/>
    <w:rsid w:val="004445B3"/>
    <w:pPr>
      <w:ind w:left="720"/>
    </w:pPr>
    <w:rPr>
      <w:rFonts w:ascii="Calibri" w:eastAsia="Calibri" w:hAnsi="Calibri" w:cs="Calibri"/>
      <w:sz w:val="22"/>
      <w:szCs w:val="22"/>
      <w:lang w:val="en-AU"/>
    </w:rPr>
  </w:style>
  <w:style w:type="character" w:customStyle="1" w:styleId="CommentTextChar">
    <w:name w:val="Comment Text Char"/>
    <w:link w:val="CommentText"/>
    <w:semiHidden/>
    <w:rsid w:val="00616C33"/>
    <w:rPr>
      <w:lang w:val="en-GB" w:eastAsia="en-US"/>
    </w:rPr>
  </w:style>
  <w:style w:type="character" w:customStyle="1" w:styleId="FooterChar">
    <w:name w:val="Footer Char"/>
    <w:link w:val="Footer"/>
    <w:uiPriority w:val="99"/>
    <w:rsid w:val="006D6887"/>
    <w:rPr>
      <w:sz w:val="24"/>
      <w:szCs w:val="24"/>
      <w:lang w:val="en-GB" w:eastAsia="en-US"/>
    </w:rPr>
  </w:style>
  <w:style w:type="paragraph" w:styleId="BodyText">
    <w:name w:val="Body Text"/>
    <w:basedOn w:val="Normal"/>
    <w:link w:val="BodyTextChar"/>
    <w:rsid w:val="00D243FF"/>
    <w:pPr>
      <w:spacing w:after="120"/>
    </w:pPr>
  </w:style>
  <w:style w:type="character" w:customStyle="1" w:styleId="BodyTextChar">
    <w:name w:val="Body Text Char"/>
    <w:link w:val="BodyText"/>
    <w:rsid w:val="00D243FF"/>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35349201">
      <w:bodyDiv w:val="1"/>
      <w:marLeft w:val="0"/>
      <w:marRight w:val="0"/>
      <w:marTop w:val="0"/>
      <w:marBottom w:val="0"/>
      <w:divBdr>
        <w:top w:val="none" w:sz="0" w:space="0" w:color="auto"/>
        <w:left w:val="none" w:sz="0" w:space="0" w:color="auto"/>
        <w:bottom w:val="none" w:sz="0" w:space="0" w:color="auto"/>
        <w:right w:val="none" w:sz="0" w:space="0" w:color="auto"/>
      </w:divBdr>
    </w:div>
    <w:div w:id="93668126">
      <w:bodyDiv w:val="1"/>
      <w:marLeft w:val="0"/>
      <w:marRight w:val="0"/>
      <w:marTop w:val="0"/>
      <w:marBottom w:val="0"/>
      <w:divBdr>
        <w:top w:val="none" w:sz="0" w:space="0" w:color="auto"/>
        <w:left w:val="none" w:sz="0" w:space="0" w:color="auto"/>
        <w:bottom w:val="none" w:sz="0" w:space="0" w:color="auto"/>
        <w:right w:val="none" w:sz="0" w:space="0" w:color="auto"/>
      </w:divBdr>
    </w:div>
    <w:div w:id="214049434">
      <w:bodyDiv w:val="1"/>
      <w:marLeft w:val="0"/>
      <w:marRight w:val="0"/>
      <w:marTop w:val="0"/>
      <w:marBottom w:val="0"/>
      <w:divBdr>
        <w:top w:val="none" w:sz="0" w:space="0" w:color="auto"/>
        <w:left w:val="none" w:sz="0" w:space="0" w:color="auto"/>
        <w:bottom w:val="none" w:sz="0" w:space="0" w:color="auto"/>
        <w:right w:val="none" w:sz="0" w:space="0" w:color="auto"/>
      </w:divBdr>
    </w:div>
    <w:div w:id="219172626">
      <w:bodyDiv w:val="1"/>
      <w:marLeft w:val="0"/>
      <w:marRight w:val="0"/>
      <w:marTop w:val="0"/>
      <w:marBottom w:val="0"/>
      <w:divBdr>
        <w:top w:val="none" w:sz="0" w:space="0" w:color="auto"/>
        <w:left w:val="none" w:sz="0" w:space="0" w:color="auto"/>
        <w:bottom w:val="none" w:sz="0" w:space="0" w:color="auto"/>
        <w:right w:val="none" w:sz="0" w:space="0" w:color="auto"/>
      </w:divBdr>
    </w:div>
    <w:div w:id="307171530">
      <w:bodyDiv w:val="1"/>
      <w:marLeft w:val="0"/>
      <w:marRight w:val="0"/>
      <w:marTop w:val="0"/>
      <w:marBottom w:val="0"/>
      <w:divBdr>
        <w:top w:val="none" w:sz="0" w:space="0" w:color="auto"/>
        <w:left w:val="none" w:sz="0" w:space="0" w:color="auto"/>
        <w:bottom w:val="none" w:sz="0" w:space="0" w:color="auto"/>
        <w:right w:val="none" w:sz="0" w:space="0" w:color="auto"/>
      </w:divBdr>
      <w:divsChild>
        <w:div w:id="273681312">
          <w:marLeft w:val="0"/>
          <w:marRight w:val="0"/>
          <w:marTop w:val="0"/>
          <w:marBottom w:val="0"/>
          <w:divBdr>
            <w:top w:val="none" w:sz="0" w:space="0" w:color="auto"/>
            <w:left w:val="none" w:sz="0" w:space="0" w:color="auto"/>
            <w:bottom w:val="none" w:sz="0" w:space="0" w:color="auto"/>
            <w:right w:val="none" w:sz="0" w:space="0" w:color="auto"/>
          </w:divBdr>
        </w:div>
      </w:divsChild>
    </w:div>
    <w:div w:id="331227140">
      <w:bodyDiv w:val="1"/>
      <w:marLeft w:val="0"/>
      <w:marRight w:val="0"/>
      <w:marTop w:val="0"/>
      <w:marBottom w:val="0"/>
      <w:divBdr>
        <w:top w:val="none" w:sz="0" w:space="0" w:color="auto"/>
        <w:left w:val="none" w:sz="0" w:space="0" w:color="auto"/>
        <w:bottom w:val="none" w:sz="0" w:space="0" w:color="auto"/>
        <w:right w:val="none" w:sz="0" w:space="0" w:color="auto"/>
      </w:divBdr>
    </w:div>
    <w:div w:id="344018536">
      <w:bodyDiv w:val="1"/>
      <w:marLeft w:val="0"/>
      <w:marRight w:val="0"/>
      <w:marTop w:val="0"/>
      <w:marBottom w:val="0"/>
      <w:divBdr>
        <w:top w:val="none" w:sz="0" w:space="0" w:color="auto"/>
        <w:left w:val="none" w:sz="0" w:space="0" w:color="auto"/>
        <w:bottom w:val="none" w:sz="0" w:space="0" w:color="auto"/>
        <w:right w:val="none" w:sz="0" w:space="0" w:color="auto"/>
      </w:divBdr>
    </w:div>
    <w:div w:id="434402719">
      <w:bodyDiv w:val="1"/>
      <w:marLeft w:val="0"/>
      <w:marRight w:val="0"/>
      <w:marTop w:val="0"/>
      <w:marBottom w:val="0"/>
      <w:divBdr>
        <w:top w:val="none" w:sz="0" w:space="0" w:color="auto"/>
        <w:left w:val="none" w:sz="0" w:space="0" w:color="auto"/>
        <w:bottom w:val="none" w:sz="0" w:space="0" w:color="auto"/>
        <w:right w:val="none" w:sz="0" w:space="0" w:color="auto"/>
      </w:divBdr>
    </w:div>
    <w:div w:id="480122334">
      <w:bodyDiv w:val="1"/>
      <w:marLeft w:val="0"/>
      <w:marRight w:val="0"/>
      <w:marTop w:val="0"/>
      <w:marBottom w:val="0"/>
      <w:divBdr>
        <w:top w:val="none" w:sz="0" w:space="0" w:color="auto"/>
        <w:left w:val="none" w:sz="0" w:space="0" w:color="auto"/>
        <w:bottom w:val="none" w:sz="0" w:space="0" w:color="auto"/>
        <w:right w:val="none" w:sz="0" w:space="0" w:color="auto"/>
      </w:divBdr>
      <w:divsChild>
        <w:div w:id="555437756">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3918">
      <w:bodyDiv w:val="1"/>
      <w:marLeft w:val="0"/>
      <w:marRight w:val="0"/>
      <w:marTop w:val="0"/>
      <w:marBottom w:val="0"/>
      <w:divBdr>
        <w:top w:val="none" w:sz="0" w:space="0" w:color="auto"/>
        <w:left w:val="none" w:sz="0" w:space="0" w:color="auto"/>
        <w:bottom w:val="none" w:sz="0" w:space="0" w:color="auto"/>
        <w:right w:val="none" w:sz="0" w:space="0" w:color="auto"/>
      </w:divBdr>
    </w:div>
    <w:div w:id="1282764692">
      <w:bodyDiv w:val="1"/>
      <w:marLeft w:val="0"/>
      <w:marRight w:val="0"/>
      <w:marTop w:val="0"/>
      <w:marBottom w:val="0"/>
      <w:divBdr>
        <w:top w:val="none" w:sz="0" w:space="0" w:color="auto"/>
        <w:left w:val="none" w:sz="0" w:space="0" w:color="auto"/>
        <w:bottom w:val="none" w:sz="0" w:space="0" w:color="auto"/>
        <w:right w:val="none" w:sz="0" w:space="0" w:color="auto"/>
      </w:divBdr>
    </w:div>
    <w:div w:id="1474836924">
      <w:bodyDiv w:val="1"/>
      <w:marLeft w:val="0"/>
      <w:marRight w:val="0"/>
      <w:marTop w:val="0"/>
      <w:marBottom w:val="0"/>
      <w:divBdr>
        <w:top w:val="none" w:sz="0" w:space="0" w:color="auto"/>
        <w:left w:val="none" w:sz="0" w:space="0" w:color="auto"/>
        <w:bottom w:val="none" w:sz="0" w:space="0" w:color="auto"/>
        <w:right w:val="none" w:sz="0" w:space="0" w:color="auto"/>
      </w:divBdr>
    </w:div>
    <w:div w:id="1475368451">
      <w:bodyDiv w:val="1"/>
      <w:marLeft w:val="0"/>
      <w:marRight w:val="0"/>
      <w:marTop w:val="0"/>
      <w:marBottom w:val="0"/>
      <w:divBdr>
        <w:top w:val="none" w:sz="0" w:space="0" w:color="auto"/>
        <w:left w:val="none" w:sz="0" w:space="0" w:color="auto"/>
        <w:bottom w:val="none" w:sz="0" w:space="0" w:color="auto"/>
        <w:right w:val="none" w:sz="0" w:space="0" w:color="auto"/>
      </w:divBdr>
      <w:divsChild>
        <w:div w:id="599917354">
          <w:marLeft w:val="0"/>
          <w:marRight w:val="0"/>
          <w:marTop w:val="0"/>
          <w:marBottom w:val="0"/>
          <w:divBdr>
            <w:top w:val="none" w:sz="0" w:space="0" w:color="auto"/>
            <w:left w:val="none" w:sz="0" w:space="0" w:color="auto"/>
            <w:bottom w:val="none" w:sz="0" w:space="0" w:color="auto"/>
            <w:right w:val="none" w:sz="0" w:space="0" w:color="auto"/>
          </w:divBdr>
          <w:divsChild>
            <w:div w:id="1047100846">
              <w:marLeft w:val="0"/>
              <w:marRight w:val="0"/>
              <w:marTop w:val="0"/>
              <w:marBottom w:val="0"/>
              <w:divBdr>
                <w:top w:val="none" w:sz="0" w:space="0" w:color="auto"/>
                <w:left w:val="none" w:sz="0" w:space="0" w:color="auto"/>
                <w:bottom w:val="none" w:sz="0" w:space="0" w:color="auto"/>
                <w:right w:val="none" w:sz="0" w:space="0" w:color="auto"/>
              </w:divBdr>
            </w:div>
          </w:divsChild>
        </w:div>
        <w:div w:id="950478402">
          <w:marLeft w:val="0"/>
          <w:marRight w:val="0"/>
          <w:marTop w:val="0"/>
          <w:marBottom w:val="0"/>
          <w:divBdr>
            <w:top w:val="none" w:sz="0" w:space="0" w:color="auto"/>
            <w:left w:val="none" w:sz="0" w:space="0" w:color="auto"/>
            <w:bottom w:val="none" w:sz="0" w:space="0" w:color="auto"/>
            <w:right w:val="none" w:sz="0" w:space="0" w:color="auto"/>
          </w:divBdr>
          <w:divsChild>
            <w:div w:id="20718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5146">
      <w:bodyDiv w:val="1"/>
      <w:marLeft w:val="0"/>
      <w:marRight w:val="0"/>
      <w:marTop w:val="0"/>
      <w:marBottom w:val="0"/>
      <w:divBdr>
        <w:top w:val="none" w:sz="0" w:space="0" w:color="auto"/>
        <w:left w:val="none" w:sz="0" w:space="0" w:color="auto"/>
        <w:bottom w:val="none" w:sz="0" w:space="0" w:color="auto"/>
        <w:right w:val="none" w:sz="0" w:space="0" w:color="auto"/>
      </w:divBdr>
    </w:div>
    <w:div w:id="1712656181">
      <w:bodyDiv w:val="1"/>
      <w:marLeft w:val="0"/>
      <w:marRight w:val="0"/>
      <w:marTop w:val="0"/>
      <w:marBottom w:val="0"/>
      <w:divBdr>
        <w:top w:val="none" w:sz="0" w:space="0" w:color="auto"/>
        <w:left w:val="none" w:sz="0" w:space="0" w:color="auto"/>
        <w:bottom w:val="none" w:sz="0" w:space="0" w:color="auto"/>
        <w:right w:val="none" w:sz="0" w:space="0" w:color="auto"/>
      </w:divBdr>
      <w:divsChild>
        <w:div w:id="546649351">
          <w:marLeft w:val="0"/>
          <w:marRight w:val="0"/>
          <w:marTop w:val="0"/>
          <w:marBottom w:val="0"/>
          <w:divBdr>
            <w:top w:val="none" w:sz="0" w:space="0" w:color="auto"/>
            <w:left w:val="none" w:sz="0" w:space="0" w:color="auto"/>
            <w:bottom w:val="none" w:sz="0" w:space="0" w:color="auto"/>
            <w:right w:val="none" w:sz="0" w:space="0" w:color="auto"/>
          </w:divBdr>
          <w:divsChild>
            <w:div w:id="11434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8107">
      <w:bodyDiv w:val="1"/>
      <w:marLeft w:val="0"/>
      <w:marRight w:val="0"/>
      <w:marTop w:val="0"/>
      <w:marBottom w:val="0"/>
      <w:divBdr>
        <w:top w:val="none" w:sz="0" w:space="0" w:color="auto"/>
        <w:left w:val="none" w:sz="0" w:space="0" w:color="auto"/>
        <w:bottom w:val="none" w:sz="0" w:space="0" w:color="auto"/>
        <w:right w:val="none" w:sz="0" w:space="0" w:color="auto"/>
      </w:divBdr>
      <w:divsChild>
        <w:div w:id="1440027368">
          <w:marLeft w:val="0"/>
          <w:marRight w:val="0"/>
          <w:marTop w:val="0"/>
          <w:marBottom w:val="0"/>
          <w:divBdr>
            <w:top w:val="none" w:sz="0" w:space="0" w:color="auto"/>
            <w:left w:val="none" w:sz="0" w:space="0" w:color="auto"/>
            <w:bottom w:val="none" w:sz="0" w:space="0" w:color="auto"/>
            <w:right w:val="none" w:sz="0" w:space="0" w:color="auto"/>
          </w:divBdr>
          <w:divsChild>
            <w:div w:id="103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6839">
      <w:bodyDiv w:val="1"/>
      <w:marLeft w:val="0"/>
      <w:marRight w:val="0"/>
      <w:marTop w:val="0"/>
      <w:marBottom w:val="0"/>
      <w:divBdr>
        <w:top w:val="none" w:sz="0" w:space="0" w:color="auto"/>
        <w:left w:val="none" w:sz="0" w:space="0" w:color="auto"/>
        <w:bottom w:val="none" w:sz="0" w:space="0" w:color="auto"/>
        <w:right w:val="none" w:sz="0" w:space="0" w:color="auto"/>
      </w:divBdr>
      <w:divsChild>
        <w:div w:id="180631502">
          <w:marLeft w:val="0"/>
          <w:marRight w:val="0"/>
          <w:marTop w:val="0"/>
          <w:marBottom w:val="0"/>
          <w:divBdr>
            <w:top w:val="none" w:sz="0" w:space="0" w:color="auto"/>
            <w:left w:val="none" w:sz="0" w:space="0" w:color="auto"/>
            <w:bottom w:val="none" w:sz="0" w:space="0" w:color="auto"/>
            <w:right w:val="none" w:sz="0" w:space="0" w:color="auto"/>
          </w:divBdr>
          <w:divsChild>
            <w:div w:id="3072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2594">
      <w:bodyDiv w:val="1"/>
      <w:marLeft w:val="0"/>
      <w:marRight w:val="0"/>
      <w:marTop w:val="0"/>
      <w:marBottom w:val="0"/>
      <w:divBdr>
        <w:top w:val="none" w:sz="0" w:space="0" w:color="auto"/>
        <w:left w:val="none" w:sz="0" w:space="0" w:color="auto"/>
        <w:bottom w:val="none" w:sz="0" w:space="0" w:color="auto"/>
        <w:right w:val="none" w:sz="0" w:space="0" w:color="auto"/>
      </w:divBdr>
    </w:div>
    <w:div w:id="1892571476">
      <w:bodyDiv w:val="1"/>
      <w:marLeft w:val="0"/>
      <w:marRight w:val="0"/>
      <w:marTop w:val="0"/>
      <w:marBottom w:val="0"/>
      <w:divBdr>
        <w:top w:val="none" w:sz="0" w:space="0" w:color="auto"/>
        <w:left w:val="none" w:sz="0" w:space="0" w:color="auto"/>
        <w:bottom w:val="none" w:sz="0" w:space="0" w:color="auto"/>
        <w:right w:val="none" w:sz="0" w:space="0" w:color="auto"/>
      </w:divBdr>
    </w:div>
    <w:div w:id="1978338221">
      <w:bodyDiv w:val="1"/>
      <w:marLeft w:val="0"/>
      <w:marRight w:val="0"/>
      <w:marTop w:val="0"/>
      <w:marBottom w:val="0"/>
      <w:divBdr>
        <w:top w:val="none" w:sz="0" w:space="0" w:color="auto"/>
        <w:left w:val="none" w:sz="0" w:space="0" w:color="auto"/>
        <w:bottom w:val="none" w:sz="0" w:space="0" w:color="auto"/>
        <w:right w:val="none" w:sz="0" w:space="0" w:color="auto"/>
      </w:divBdr>
      <w:divsChild>
        <w:div w:id="803231543">
          <w:marLeft w:val="0"/>
          <w:marRight w:val="0"/>
          <w:marTop w:val="0"/>
          <w:marBottom w:val="0"/>
          <w:divBdr>
            <w:top w:val="none" w:sz="0" w:space="0" w:color="auto"/>
            <w:left w:val="none" w:sz="0" w:space="0" w:color="auto"/>
            <w:bottom w:val="none" w:sz="0" w:space="0" w:color="auto"/>
            <w:right w:val="none" w:sz="0" w:space="0" w:color="auto"/>
          </w:divBdr>
        </w:div>
      </w:divsChild>
    </w:div>
    <w:div w:id="1985348911">
      <w:bodyDiv w:val="1"/>
      <w:marLeft w:val="0"/>
      <w:marRight w:val="0"/>
      <w:marTop w:val="0"/>
      <w:marBottom w:val="0"/>
      <w:divBdr>
        <w:top w:val="none" w:sz="0" w:space="0" w:color="auto"/>
        <w:left w:val="none" w:sz="0" w:space="0" w:color="auto"/>
        <w:bottom w:val="none" w:sz="0" w:space="0" w:color="auto"/>
        <w:right w:val="none" w:sz="0" w:space="0" w:color="auto"/>
      </w:divBdr>
      <w:divsChild>
        <w:div w:id="146477350">
          <w:marLeft w:val="0"/>
          <w:marRight w:val="0"/>
          <w:marTop w:val="0"/>
          <w:marBottom w:val="0"/>
          <w:divBdr>
            <w:top w:val="none" w:sz="0" w:space="0" w:color="auto"/>
            <w:left w:val="none" w:sz="0" w:space="0" w:color="auto"/>
            <w:bottom w:val="none" w:sz="0" w:space="0" w:color="auto"/>
            <w:right w:val="none" w:sz="0" w:space="0" w:color="auto"/>
          </w:divBdr>
        </w:div>
      </w:divsChild>
    </w:div>
    <w:div w:id="2068067216">
      <w:bodyDiv w:val="1"/>
      <w:marLeft w:val="0"/>
      <w:marRight w:val="0"/>
      <w:marTop w:val="0"/>
      <w:marBottom w:val="0"/>
      <w:divBdr>
        <w:top w:val="none" w:sz="0" w:space="0" w:color="auto"/>
        <w:left w:val="none" w:sz="0" w:space="0" w:color="auto"/>
        <w:bottom w:val="none" w:sz="0" w:space="0" w:color="auto"/>
        <w:right w:val="none" w:sz="0" w:space="0" w:color="auto"/>
      </w:divBdr>
    </w:div>
    <w:div w:id="2087995514">
      <w:bodyDiv w:val="1"/>
      <w:marLeft w:val="0"/>
      <w:marRight w:val="0"/>
      <w:marTop w:val="0"/>
      <w:marBottom w:val="0"/>
      <w:divBdr>
        <w:top w:val="none" w:sz="0" w:space="0" w:color="auto"/>
        <w:left w:val="none" w:sz="0" w:space="0" w:color="auto"/>
        <w:bottom w:val="none" w:sz="0" w:space="0" w:color="auto"/>
        <w:right w:val="none" w:sz="0" w:space="0" w:color="auto"/>
      </w:divBdr>
    </w:div>
    <w:div w:id="210240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AF5BE-101D-4DC7-ADA6-6F83A054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14118</Words>
  <Characters>81945</Characters>
  <Application>Microsoft Office Word</Application>
  <DocSecurity>0</DocSecurity>
  <Lines>1463</Lines>
  <Paragraphs>495</Paragraphs>
  <ScaleCrop>false</ScaleCrop>
  <HeadingPairs>
    <vt:vector size="2" baseType="variant">
      <vt:variant>
        <vt:lpstr>Title</vt:lpstr>
      </vt:variant>
      <vt:variant>
        <vt:i4>1</vt:i4>
      </vt:variant>
    </vt:vector>
  </HeadingPairs>
  <TitlesOfParts>
    <vt:vector size="1" baseType="lpstr">
      <vt:lpstr>DRAFT PRODUCT INFORMATION</vt:lpstr>
    </vt:vector>
  </TitlesOfParts>
  <Company>Bayer Australia Limited</Company>
  <LinksUpToDate>false</LinksUpToDate>
  <CharactersWithSpaces>95568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Xarelto (Rivaroxaban)</dc:title>
  <dc:subject>prescription medicines regulation</dc:subject>
  <dc:creator>Bayer Australia Limited</dc:creator>
  <cp:keywords>pi, product information, prescription, medicine, regulation, australia, xarelto, rivaroxaban, bayer</cp:keywords>
  <cp:lastModifiedBy>Sheppard, Fran</cp:lastModifiedBy>
  <cp:revision>4</cp:revision>
  <cp:lastPrinted>2012-05-25T07:13:00Z</cp:lastPrinted>
  <dcterms:created xsi:type="dcterms:W3CDTF">2013-10-28T06:04:00Z</dcterms:created>
  <dcterms:modified xsi:type="dcterms:W3CDTF">2013-10-28T06:08:00Z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-624030071</vt:i4>
  </property>
  <property fmtid="{D5CDD505-2E9C-101B-9397-08002B2CF9AE}" pid="4" name="_EmailSubject">
    <vt:lpwstr>AusPAR Xarelto; Rivaroxaban; PM-2012-01179-3-3. Response due 16 Aug [SEC=UNCLASSIFIED]</vt:lpwstr>
  </property>
  <property fmtid="{D5CDD505-2E9C-101B-9397-08002B2CF9AE}" pid="5" name="_AuthorEmail">
    <vt:lpwstr>ellen.chan@bayer.com</vt:lpwstr>
  </property>
  <property fmtid="{D5CDD505-2E9C-101B-9397-08002B2CF9AE}" pid="6" name="_AuthorEmailDisplayName">
    <vt:lpwstr>Ellen Chan</vt:lpwstr>
  </property>
  <property fmtid="{D5CDD505-2E9C-101B-9397-08002B2CF9AE}" pid="7" name="_ReviewingToolsShownOnce">
    <vt:lpwstr/>
  </property>
</Properties>
</file>