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43EFF" w14:textId="434E61CB" w:rsidR="005F0573" w:rsidRDefault="003B255D" w:rsidP="00443352">
      <w:pPr>
        <w:pStyle w:val="CLDTITLE"/>
        <w:jc w:val="left"/>
      </w:pPr>
      <w:r w:rsidRPr="00D01328">
        <w:t>AUSTRALIAN PRODUCT INFORMATION –</w:t>
      </w:r>
      <w:r w:rsidR="008D5600">
        <w:t>RUXIENCE™</w:t>
      </w:r>
      <w:r w:rsidRPr="00D01328">
        <w:t xml:space="preserve"> (</w:t>
      </w:r>
      <w:r w:rsidR="003672FE">
        <w:t>RITUXIMAB)</w:t>
      </w:r>
      <w:r w:rsidR="002147E1" w:rsidRPr="00D01328">
        <w:t xml:space="preserve"> </w:t>
      </w:r>
    </w:p>
    <w:tbl>
      <w:tblPr>
        <w:tblStyle w:val="TableGrid"/>
        <w:tblW w:w="0" w:type="auto"/>
        <w:tblLook w:val="04A0" w:firstRow="1" w:lastRow="0" w:firstColumn="1" w:lastColumn="0" w:noHBand="0" w:noVBand="1"/>
      </w:tblPr>
      <w:tblGrid>
        <w:gridCol w:w="9080"/>
      </w:tblGrid>
      <w:tr w:rsidR="003672FE" w14:paraId="2316D7A5" w14:textId="77777777" w:rsidTr="003672FE">
        <w:tc>
          <w:tcPr>
            <w:tcW w:w="9080" w:type="dxa"/>
          </w:tcPr>
          <w:tbl>
            <w:tblPr>
              <w:tblW w:w="0" w:type="auto"/>
              <w:tblBorders>
                <w:top w:val="nil"/>
                <w:left w:val="nil"/>
                <w:bottom w:val="nil"/>
                <w:right w:val="nil"/>
              </w:tblBorders>
              <w:tblLook w:val="0000" w:firstRow="0" w:lastRow="0" w:firstColumn="0" w:lastColumn="0" w:noHBand="0" w:noVBand="0"/>
            </w:tblPr>
            <w:tblGrid>
              <w:gridCol w:w="8864"/>
            </w:tblGrid>
            <w:tr w:rsidR="003672FE" w:rsidRPr="003672FE" w14:paraId="1D8CB91F" w14:textId="77777777">
              <w:trPr>
                <w:trHeight w:val="1505"/>
              </w:trPr>
              <w:tc>
                <w:tcPr>
                  <w:tcW w:w="0" w:type="auto"/>
                </w:tcPr>
                <w:p w14:paraId="3C217AC1" w14:textId="77777777" w:rsidR="003672FE" w:rsidRPr="003672FE" w:rsidRDefault="003672FE" w:rsidP="00443352">
                  <w:pPr>
                    <w:pStyle w:val="CLDTITLE"/>
                    <w:jc w:val="left"/>
                    <w:rPr>
                      <w:color w:val="000000" w:themeColor="text1"/>
                      <w:sz w:val="24"/>
                      <w:szCs w:val="24"/>
                      <w:lang w:val="en-AU" w:eastAsia="en-AU"/>
                    </w:rPr>
                  </w:pPr>
                  <w:r w:rsidRPr="003672FE">
                    <w:rPr>
                      <w:bCs/>
                      <w:color w:val="000000" w:themeColor="text1"/>
                      <w:sz w:val="24"/>
                      <w:szCs w:val="24"/>
                      <w:lang w:val="en-AU" w:eastAsia="en-AU"/>
                    </w:rPr>
                    <w:t xml:space="preserve">WARNING </w:t>
                  </w:r>
                </w:p>
                <w:p w14:paraId="6B6F07D7" w14:textId="55E01C71" w:rsidR="003672FE" w:rsidRPr="003672FE" w:rsidRDefault="003672FE" w:rsidP="00443352">
                  <w:pPr>
                    <w:pStyle w:val="CLDTITLE"/>
                    <w:jc w:val="left"/>
                    <w:rPr>
                      <w:color w:val="000000" w:themeColor="text1"/>
                      <w:sz w:val="24"/>
                      <w:szCs w:val="24"/>
                      <w:lang w:val="en-AU" w:eastAsia="en-AU"/>
                    </w:rPr>
                  </w:pPr>
                  <w:r w:rsidRPr="003672FE">
                    <w:rPr>
                      <w:bCs/>
                      <w:color w:val="000000" w:themeColor="text1"/>
                      <w:sz w:val="24"/>
                      <w:szCs w:val="24"/>
                      <w:lang w:val="en-AU" w:eastAsia="en-AU"/>
                    </w:rPr>
                    <w:t xml:space="preserve">Use of </w:t>
                  </w:r>
                  <w:r w:rsidR="001D5FD3">
                    <w:rPr>
                      <w:bCs/>
                      <w:color w:val="000000" w:themeColor="text1"/>
                      <w:sz w:val="24"/>
                      <w:szCs w:val="24"/>
                      <w:lang w:val="en-AU" w:eastAsia="en-AU"/>
                    </w:rPr>
                    <w:t>RUXIENCE</w:t>
                  </w:r>
                  <w:r w:rsidRPr="003672FE">
                    <w:rPr>
                      <w:bCs/>
                      <w:color w:val="000000" w:themeColor="text1"/>
                      <w:sz w:val="24"/>
                      <w:szCs w:val="24"/>
                      <w:lang w:val="en-AU" w:eastAsia="en-AU"/>
                    </w:rPr>
                    <w:t xml:space="preserve"> may be associated with an increased risk of progressive multifocal leukoencephalopathy (PML), an opportunistic viral infection of the brain that usually leads to death or severe disability. Patients must be monitored for any new or worsening neurological symptoms or signs suggestive of PML. If such symptoms occur, further administration of </w:t>
                  </w:r>
                  <w:r w:rsidR="001D5FD3">
                    <w:rPr>
                      <w:bCs/>
                      <w:color w:val="000000" w:themeColor="text1"/>
                      <w:sz w:val="24"/>
                      <w:szCs w:val="24"/>
                      <w:lang w:val="en-AU" w:eastAsia="en-AU"/>
                    </w:rPr>
                    <w:t>RUXIENCE</w:t>
                  </w:r>
                  <w:r w:rsidRPr="003672FE">
                    <w:rPr>
                      <w:bCs/>
                      <w:color w:val="000000" w:themeColor="text1"/>
                      <w:sz w:val="24"/>
                      <w:szCs w:val="24"/>
                      <w:lang w:val="en-AU" w:eastAsia="en-AU"/>
                    </w:rPr>
                    <w:t xml:space="preserve"> should be immediately suspended until a diagnosis of PML has been excluded. To establish or exclude a diagnosis of PML evaluation including MRI scan, CSF testing for JC viral DNA and repeat neurological assessments, should be considered. If a diagnosis of PML is confirmed </w:t>
                  </w:r>
                  <w:r w:rsidR="001D5FD3">
                    <w:rPr>
                      <w:bCs/>
                      <w:color w:val="000000" w:themeColor="text1"/>
                      <w:sz w:val="24"/>
                      <w:szCs w:val="24"/>
                      <w:lang w:val="en-AU" w:eastAsia="en-AU"/>
                    </w:rPr>
                    <w:t>RUXIENCE</w:t>
                  </w:r>
                  <w:r w:rsidRPr="003672FE">
                    <w:rPr>
                      <w:bCs/>
                      <w:color w:val="000000" w:themeColor="text1"/>
                      <w:sz w:val="24"/>
                      <w:szCs w:val="24"/>
                      <w:lang w:val="en-AU" w:eastAsia="en-AU"/>
                    </w:rPr>
                    <w:t xml:space="preserve"> must be permanently discontinued (see section 4.4 Special warnings and precautions for use). </w:t>
                  </w:r>
                </w:p>
              </w:tc>
            </w:tr>
          </w:tbl>
          <w:p w14:paraId="3AA69109" w14:textId="77777777" w:rsidR="003672FE" w:rsidRDefault="003672FE" w:rsidP="00443352">
            <w:pPr>
              <w:pStyle w:val="CLDTITLE"/>
              <w:jc w:val="left"/>
              <w:rPr>
                <w:color w:val="FF0000"/>
              </w:rPr>
            </w:pPr>
          </w:p>
        </w:tc>
      </w:tr>
    </w:tbl>
    <w:p w14:paraId="3E5B9275" w14:textId="77777777" w:rsidR="00EB4D43" w:rsidRPr="00643055" w:rsidRDefault="00E60520" w:rsidP="00443352">
      <w:pPr>
        <w:pStyle w:val="CLDHeading1"/>
        <w:jc w:val="left"/>
      </w:pPr>
      <w:r w:rsidRPr="00643055">
        <w:t>1.</w:t>
      </w:r>
      <w:r w:rsidR="00294A15" w:rsidRPr="00643055">
        <w:tab/>
      </w:r>
      <w:r w:rsidRPr="00643055">
        <w:t>NAME</w:t>
      </w:r>
      <w:r w:rsidR="003B255D" w:rsidRPr="00643055">
        <w:t xml:space="preserve"> OF THE MEDICINE</w:t>
      </w:r>
      <w:r w:rsidR="00315AB0" w:rsidRPr="00643055">
        <w:t xml:space="preserve"> </w:t>
      </w:r>
    </w:p>
    <w:p w14:paraId="5A0E7136" w14:textId="1CEAE5B7" w:rsidR="00636841" w:rsidRDefault="003672FE" w:rsidP="00443352">
      <w:pPr>
        <w:pStyle w:val="CLDNormal"/>
        <w:jc w:val="left"/>
        <w:rPr>
          <w:color w:val="7030A0"/>
        </w:rPr>
      </w:pPr>
      <w:r>
        <w:t>Rituximab</w:t>
      </w:r>
      <w:r w:rsidR="001421CE" w:rsidRPr="001421CE">
        <w:rPr>
          <w:color w:val="7030A0"/>
        </w:rPr>
        <w:t xml:space="preserve"> </w:t>
      </w:r>
    </w:p>
    <w:p w14:paraId="7A7B61F6" w14:textId="67A5EA2A" w:rsidR="00A260E2" w:rsidRPr="00A260E2" w:rsidRDefault="00A260E2" w:rsidP="00443352">
      <w:pPr>
        <w:pStyle w:val="CLDNormal"/>
        <w:jc w:val="left"/>
      </w:pPr>
      <w:r w:rsidRPr="00A260E2">
        <w:t>RUXIENCE™ is a biosimilar medicine to MABTHERA</w:t>
      </w:r>
      <w:r w:rsidRPr="00A260E2">
        <w:rPr>
          <w:vertAlign w:val="superscript"/>
        </w:rPr>
        <w:t>®</w:t>
      </w:r>
      <w:r w:rsidRPr="00A260E2">
        <w:t>. The evidence for comparability supports the use of RUXIENCE for the listed indications.</w:t>
      </w:r>
    </w:p>
    <w:p w14:paraId="771A153B" w14:textId="77777777" w:rsidR="00EB4D43" w:rsidRPr="00924CC2" w:rsidRDefault="00294A15" w:rsidP="00443352">
      <w:pPr>
        <w:pStyle w:val="CLDHeading1"/>
        <w:jc w:val="left"/>
      </w:pPr>
      <w:r>
        <w:t>2.</w:t>
      </w:r>
      <w:r>
        <w:tab/>
      </w:r>
      <w:r w:rsidR="0018348D">
        <w:t>QUALITATIVE AND QUANTITATIVE COMPOSITION</w:t>
      </w:r>
      <w:r w:rsidR="00E60520">
        <w:t xml:space="preserve"> </w:t>
      </w:r>
    </w:p>
    <w:p w14:paraId="3C07A600" w14:textId="6247E523" w:rsidR="008D5600" w:rsidRPr="008D5600" w:rsidRDefault="008D5600" w:rsidP="00443352">
      <w:pPr>
        <w:keepNext/>
        <w:spacing w:after="0"/>
        <w:jc w:val="left"/>
        <w:rPr>
          <w:szCs w:val="24"/>
          <w:u w:val="single"/>
        </w:rPr>
      </w:pPr>
      <w:r>
        <w:rPr>
          <w:szCs w:val="24"/>
          <w:u w:val="single"/>
        </w:rPr>
        <w:t>RUXIENCE</w:t>
      </w:r>
      <w:r w:rsidRPr="008D5600">
        <w:rPr>
          <w:szCs w:val="24"/>
          <w:u w:val="single"/>
        </w:rPr>
        <w:t xml:space="preserve"> 100 mg concentrate for solution for infusion</w:t>
      </w:r>
    </w:p>
    <w:p w14:paraId="0C78237F" w14:textId="77777777" w:rsidR="008D5600" w:rsidRPr="008D5600" w:rsidRDefault="008D5600" w:rsidP="00443352">
      <w:pPr>
        <w:keepNext/>
        <w:spacing w:after="0"/>
        <w:jc w:val="left"/>
        <w:rPr>
          <w:szCs w:val="24"/>
        </w:rPr>
      </w:pPr>
    </w:p>
    <w:p w14:paraId="77F67C46" w14:textId="77777777" w:rsidR="008D5600" w:rsidRPr="008D5600" w:rsidRDefault="008D5600" w:rsidP="00443352">
      <w:pPr>
        <w:spacing w:after="0"/>
        <w:jc w:val="left"/>
        <w:rPr>
          <w:szCs w:val="24"/>
        </w:rPr>
      </w:pPr>
      <w:r w:rsidRPr="008D5600">
        <w:rPr>
          <w:szCs w:val="24"/>
        </w:rPr>
        <w:t xml:space="preserve">Each mL contains 10 mg of rituximab. </w:t>
      </w:r>
    </w:p>
    <w:p w14:paraId="460A9206" w14:textId="4E430694" w:rsidR="008D5600" w:rsidRPr="008D5600" w:rsidRDefault="008D5600" w:rsidP="00443352">
      <w:pPr>
        <w:spacing w:after="0"/>
        <w:jc w:val="left"/>
        <w:rPr>
          <w:szCs w:val="24"/>
        </w:rPr>
      </w:pPr>
      <w:r w:rsidRPr="008D5600">
        <w:rPr>
          <w:szCs w:val="24"/>
        </w:rPr>
        <w:t>Each vial contains 100 mg/10 mL of rituximab.</w:t>
      </w:r>
    </w:p>
    <w:p w14:paraId="1E90CF1E" w14:textId="77777777" w:rsidR="008D5600" w:rsidRPr="008D5600" w:rsidRDefault="008D5600" w:rsidP="00443352">
      <w:pPr>
        <w:spacing w:after="0"/>
        <w:jc w:val="left"/>
        <w:rPr>
          <w:szCs w:val="24"/>
        </w:rPr>
      </w:pPr>
    </w:p>
    <w:p w14:paraId="34666AB2" w14:textId="12A9D1D7" w:rsidR="008D5600" w:rsidRPr="008D5600" w:rsidRDefault="008D5600" w:rsidP="00443352">
      <w:pPr>
        <w:keepNext/>
        <w:spacing w:after="0"/>
        <w:jc w:val="left"/>
        <w:rPr>
          <w:szCs w:val="24"/>
          <w:u w:val="single"/>
        </w:rPr>
      </w:pPr>
      <w:r>
        <w:rPr>
          <w:szCs w:val="24"/>
          <w:u w:val="single"/>
        </w:rPr>
        <w:t xml:space="preserve">RUXIENCE </w:t>
      </w:r>
      <w:r w:rsidRPr="008D5600">
        <w:rPr>
          <w:szCs w:val="24"/>
          <w:u w:val="single"/>
        </w:rPr>
        <w:t>500 mg concentrate for solution for infusion</w:t>
      </w:r>
    </w:p>
    <w:p w14:paraId="5817FC5D" w14:textId="77777777" w:rsidR="008D5600" w:rsidRPr="008D5600" w:rsidRDefault="008D5600" w:rsidP="00443352">
      <w:pPr>
        <w:keepNext/>
        <w:spacing w:after="0"/>
        <w:jc w:val="left"/>
        <w:rPr>
          <w:szCs w:val="24"/>
        </w:rPr>
      </w:pPr>
    </w:p>
    <w:p w14:paraId="2B39637D" w14:textId="77777777" w:rsidR="008D5600" w:rsidRPr="008D5600" w:rsidRDefault="008D5600" w:rsidP="00443352">
      <w:pPr>
        <w:spacing w:after="0"/>
        <w:jc w:val="left"/>
        <w:rPr>
          <w:szCs w:val="24"/>
        </w:rPr>
      </w:pPr>
      <w:r w:rsidRPr="008D5600">
        <w:rPr>
          <w:szCs w:val="24"/>
        </w:rPr>
        <w:t xml:space="preserve">Each mL contains 10 mg of rituximab. </w:t>
      </w:r>
    </w:p>
    <w:p w14:paraId="1DC45D9A" w14:textId="558C1064" w:rsidR="008D5600" w:rsidRDefault="008D5600" w:rsidP="00443352">
      <w:pPr>
        <w:pStyle w:val="CLDNormal"/>
        <w:jc w:val="left"/>
        <w:rPr>
          <w:szCs w:val="24"/>
        </w:rPr>
      </w:pPr>
      <w:r w:rsidRPr="008D5600">
        <w:rPr>
          <w:szCs w:val="24"/>
        </w:rPr>
        <w:t>Each vial contains 500 mg/50 mL of rituximab</w:t>
      </w:r>
    </w:p>
    <w:p w14:paraId="43CE362D" w14:textId="17E3EB3E" w:rsidR="00904589" w:rsidRDefault="00904589" w:rsidP="00443352">
      <w:pPr>
        <w:pStyle w:val="CLDNormal"/>
        <w:jc w:val="left"/>
      </w:pPr>
      <w:r>
        <w:t>For the full list of excipients, see Section 6.1 List of excipients.</w:t>
      </w:r>
    </w:p>
    <w:p w14:paraId="59013549" w14:textId="77777777" w:rsidR="0034484A" w:rsidRPr="002C0516" w:rsidRDefault="00932B9D" w:rsidP="00443352">
      <w:pPr>
        <w:pStyle w:val="CLDHeading1"/>
        <w:jc w:val="left"/>
      </w:pPr>
      <w:r>
        <w:lastRenderedPageBreak/>
        <w:t>3.</w:t>
      </w:r>
      <w:r>
        <w:tab/>
      </w:r>
      <w:r w:rsidR="0018348D">
        <w:t>PHARMACEUTICAL FORM</w:t>
      </w:r>
      <w:r w:rsidR="00315AB0">
        <w:t xml:space="preserve"> </w:t>
      </w:r>
    </w:p>
    <w:p w14:paraId="1E6622AA" w14:textId="77777777" w:rsidR="008861FC" w:rsidRPr="008861FC" w:rsidRDefault="008861FC" w:rsidP="00443352">
      <w:pPr>
        <w:pStyle w:val="CLDHeading1"/>
        <w:jc w:val="left"/>
        <w:rPr>
          <w:b w:val="0"/>
          <w:caps w:val="0"/>
          <w:kern w:val="0"/>
          <w:sz w:val="24"/>
        </w:rPr>
      </w:pPr>
      <w:r w:rsidRPr="008861FC">
        <w:rPr>
          <w:b w:val="0"/>
          <w:caps w:val="0"/>
          <w:kern w:val="0"/>
          <w:sz w:val="24"/>
        </w:rPr>
        <w:t>Concentrate for solution for infusion.</w:t>
      </w:r>
    </w:p>
    <w:p w14:paraId="4F4C91DF" w14:textId="1839ED61" w:rsidR="008861FC" w:rsidRDefault="00262CD9" w:rsidP="00443352">
      <w:pPr>
        <w:pStyle w:val="CLDHeading1"/>
        <w:jc w:val="left"/>
        <w:rPr>
          <w:b w:val="0"/>
          <w:caps w:val="0"/>
          <w:kern w:val="0"/>
          <w:sz w:val="24"/>
        </w:rPr>
      </w:pPr>
      <w:r w:rsidRPr="00262CD9">
        <w:rPr>
          <w:b w:val="0"/>
          <w:caps w:val="0"/>
          <w:kern w:val="0"/>
          <w:sz w:val="24"/>
        </w:rPr>
        <w:t>Clear to slightly opalescent, colourless to pale brownish yellow liquid.</w:t>
      </w:r>
    </w:p>
    <w:p w14:paraId="4785081B" w14:textId="77777777" w:rsidR="00E4558F" w:rsidRDefault="00932B9D" w:rsidP="00443352">
      <w:pPr>
        <w:pStyle w:val="CLDHeading1"/>
        <w:jc w:val="left"/>
      </w:pPr>
      <w:r>
        <w:t>4.</w:t>
      </w:r>
      <w:r>
        <w:tab/>
      </w:r>
      <w:r w:rsidR="0018348D">
        <w:t>CLINICAL PARTICULARS</w:t>
      </w:r>
      <w:r w:rsidR="00315AB0">
        <w:t xml:space="preserve"> </w:t>
      </w:r>
    </w:p>
    <w:p w14:paraId="5594C375" w14:textId="77777777" w:rsidR="00E60520" w:rsidRPr="00C035A6" w:rsidRDefault="00932B9D" w:rsidP="00443352">
      <w:pPr>
        <w:pStyle w:val="CLDHeading2"/>
        <w:jc w:val="left"/>
        <w:rPr>
          <w:bCs/>
          <w:i/>
          <w:iCs/>
          <w:color w:val="FF0000"/>
        </w:rPr>
      </w:pPr>
      <w:r>
        <w:t>4.1</w:t>
      </w:r>
      <w:r>
        <w:tab/>
      </w:r>
      <w:r w:rsidR="004779F5">
        <w:t>Therapeutic i</w:t>
      </w:r>
      <w:r w:rsidR="00E60520" w:rsidRPr="00932B9D">
        <w:t>ndications</w:t>
      </w:r>
      <w:r>
        <w:t xml:space="preserve"> </w:t>
      </w:r>
    </w:p>
    <w:p w14:paraId="471B3C91" w14:textId="77777777" w:rsidR="008861FC" w:rsidRDefault="008861FC" w:rsidP="00443352">
      <w:pPr>
        <w:pStyle w:val="CLDNormal"/>
        <w:jc w:val="left"/>
        <w:rPr>
          <w:rFonts w:ascii="Times New Roman Bold" w:hAnsi="Times New Roman Bold"/>
          <w:b/>
          <w:szCs w:val="28"/>
          <w:lang w:val="en-US"/>
        </w:rPr>
      </w:pPr>
      <w:r w:rsidRPr="008861FC">
        <w:rPr>
          <w:rFonts w:ascii="Times New Roman Bold" w:hAnsi="Times New Roman Bold"/>
          <w:b/>
          <w:szCs w:val="28"/>
          <w:lang w:val="en-US"/>
        </w:rPr>
        <w:t>Non-Hodgkin’s Lymphoma</w:t>
      </w:r>
    </w:p>
    <w:p w14:paraId="7AEF5114" w14:textId="7B2E674C" w:rsidR="008861FC" w:rsidRPr="008861FC" w:rsidRDefault="001D5FD3" w:rsidP="00443352">
      <w:pPr>
        <w:pStyle w:val="CLDHeading3"/>
        <w:jc w:val="left"/>
        <w:rPr>
          <w:rFonts w:ascii="Times New Roman" w:hAnsi="Times New Roman"/>
          <w:b w:val="0"/>
          <w:szCs w:val="20"/>
        </w:rPr>
      </w:pPr>
      <w:r>
        <w:rPr>
          <w:rFonts w:ascii="Times New Roman" w:hAnsi="Times New Roman"/>
          <w:b w:val="0"/>
          <w:szCs w:val="20"/>
        </w:rPr>
        <w:t>RUXIENCE</w:t>
      </w:r>
      <w:r w:rsidR="008861FC" w:rsidRPr="008861FC">
        <w:rPr>
          <w:rFonts w:ascii="Times New Roman" w:hAnsi="Times New Roman"/>
          <w:b w:val="0"/>
          <w:szCs w:val="20"/>
        </w:rPr>
        <w:t xml:space="preserve"> is indicated for treatment of patients with:</w:t>
      </w:r>
    </w:p>
    <w:p w14:paraId="4A065444" w14:textId="77777777" w:rsidR="008861FC" w:rsidRDefault="008861FC" w:rsidP="00443352">
      <w:pPr>
        <w:pStyle w:val="CLDHeading3"/>
        <w:numPr>
          <w:ilvl w:val="0"/>
          <w:numId w:val="23"/>
        </w:numPr>
        <w:spacing w:before="0" w:after="0"/>
        <w:jc w:val="left"/>
        <w:rPr>
          <w:rFonts w:ascii="Times New Roman" w:hAnsi="Times New Roman"/>
          <w:b w:val="0"/>
          <w:szCs w:val="20"/>
        </w:rPr>
      </w:pPr>
      <w:r w:rsidRPr="008861FC">
        <w:rPr>
          <w:rFonts w:ascii="Times New Roman" w:hAnsi="Times New Roman"/>
          <w:b w:val="0"/>
          <w:szCs w:val="20"/>
        </w:rPr>
        <w:t>CD20 positive, previously untreated, Stage III/IV follicular, B-cell non-Hodgkin’s lymphoma,</w:t>
      </w:r>
    </w:p>
    <w:p w14:paraId="6FDB9309" w14:textId="77777777" w:rsidR="008861FC" w:rsidRDefault="008861FC" w:rsidP="00443352">
      <w:pPr>
        <w:pStyle w:val="CLDHeading3"/>
        <w:numPr>
          <w:ilvl w:val="0"/>
          <w:numId w:val="23"/>
        </w:numPr>
        <w:spacing w:before="0" w:after="0"/>
        <w:jc w:val="left"/>
        <w:rPr>
          <w:rFonts w:ascii="Times New Roman" w:hAnsi="Times New Roman"/>
          <w:b w:val="0"/>
          <w:szCs w:val="20"/>
        </w:rPr>
      </w:pPr>
      <w:r w:rsidRPr="008861FC">
        <w:rPr>
          <w:rFonts w:ascii="Times New Roman" w:hAnsi="Times New Roman"/>
          <w:b w:val="0"/>
          <w:szCs w:val="20"/>
        </w:rPr>
        <w:t>CD20 positive, relapsed or refractory low grade or follicular, B-cell non-Hodgkin's lymphoma,</w:t>
      </w:r>
    </w:p>
    <w:p w14:paraId="55A4B468" w14:textId="77777777" w:rsidR="008861FC" w:rsidRPr="008861FC" w:rsidRDefault="008861FC" w:rsidP="00443352">
      <w:pPr>
        <w:pStyle w:val="CLDHeading3"/>
        <w:numPr>
          <w:ilvl w:val="0"/>
          <w:numId w:val="23"/>
        </w:numPr>
        <w:spacing w:before="0"/>
        <w:jc w:val="left"/>
        <w:rPr>
          <w:rFonts w:ascii="Times New Roman" w:hAnsi="Times New Roman"/>
          <w:b w:val="0"/>
          <w:szCs w:val="20"/>
        </w:rPr>
      </w:pPr>
      <w:r w:rsidRPr="008861FC">
        <w:rPr>
          <w:rFonts w:ascii="Times New Roman" w:hAnsi="Times New Roman"/>
          <w:b w:val="0"/>
          <w:szCs w:val="20"/>
        </w:rPr>
        <w:t>CD20 positive, diffuse large B-cell non-Hodgkin’s lymphoma, in combination with chemotherapy.</w:t>
      </w:r>
    </w:p>
    <w:p w14:paraId="2AA9E89A" w14:textId="77777777" w:rsidR="008861FC" w:rsidRDefault="008861FC" w:rsidP="00443352">
      <w:pPr>
        <w:pStyle w:val="CLDNormal"/>
        <w:jc w:val="left"/>
        <w:rPr>
          <w:rFonts w:ascii="Times New Roman Bold" w:hAnsi="Times New Roman Bold"/>
          <w:b/>
          <w:szCs w:val="28"/>
          <w:lang w:val="en-US"/>
        </w:rPr>
      </w:pPr>
      <w:r w:rsidRPr="008861FC">
        <w:rPr>
          <w:rFonts w:ascii="Times New Roman Bold" w:hAnsi="Times New Roman Bold"/>
          <w:b/>
          <w:szCs w:val="28"/>
          <w:lang w:val="en-US"/>
        </w:rPr>
        <w:t xml:space="preserve">Chronic Lymphocytic </w:t>
      </w:r>
      <w:proofErr w:type="spellStart"/>
      <w:r w:rsidRPr="008861FC">
        <w:rPr>
          <w:rFonts w:ascii="Times New Roman Bold" w:hAnsi="Times New Roman Bold"/>
          <w:b/>
          <w:szCs w:val="28"/>
          <w:lang w:val="en-US"/>
        </w:rPr>
        <w:t>Leukaemia</w:t>
      </w:r>
      <w:proofErr w:type="spellEnd"/>
    </w:p>
    <w:p w14:paraId="534D2839" w14:textId="3E3DCAEA" w:rsidR="00112925" w:rsidRPr="00112925" w:rsidRDefault="001D5FD3" w:rsidP="00443352">
      <w:pPr>
        <w:pStyle w:val="CLDNormal"/>
        <w:jc w:val="left"/>
        <w:rPr>
          <w:lang w:val="en-US"/>
        </w:rPr>
      </w:pPr>
      <w:r>
        <w:rPr>
          <w:lang w:val="en-US"/>
        </w:rPr>
        <w:t>RUXIENCE</w:t>
      </w:r>
      <w:r w:rsidR="005E6D29" w:rsidRPr="005E6D29">
        <w:rPr>
          <w:lang w:val="en-US"/>
        </w:rPr>
        <w:t xml:space="preserve"> is indicated for the treatment of patients with CD20 positive chronic lymphocytic </w:t>
      </w:r>
      <w:proofErr w:type="spellStart"/>
      <w:r w:rsidR="005E6D29" w:rsidRPr="005E6D29">
        <w:rPr>
          <w:lang w:val="en-US"/>
        </w:rPr>
        <w:t>leukaemia</w:t>
      </w:r>
      <w:proofErr w:type="spellEnd"/>
      <w:r w:rsidR="005E6D29" w:rsidRPr="005E6D29">
        <w:rPr>
          <w:lang w:val="en-US"/>
        </w:rPr>
        <w:t xml:space="preserve"> (CLL) in combination with chemotherapy.</w:t>
      </w:r>
    </w:p>
    <w:p w14:paraId="520CE919" w14:textId="77777777" w:rsidR="005E6D29" w:rsidRDefault="005E6D29" w:rsidP="00443352">
      <w:pPr>
        <w:pStyle w:val="CLDNormal"/>
        <w:jc w:val="left"/>
        <w:rPr>
          <w:rFonts w:ascii="Times New Roman Bold" w:hAnsi="Times New Roman Bold"/>
          <w:b/>
          <w:szCs w:val="28"/>
          <w:lang w:val="en-US"/>
        </w:rPr>
      </w:pPr>
      <w:r w:rsidRPr="005E6D29">
        <w:rPr>
          <w:rFonts w:ascii="Times New Roman Bold" w:hAnsi="Times New Roman Bold"/>
          <w:b/>
          <w:szCs w:val="28"/>
          <w:lang w:val="en-US"/>
        </w:rPr>
        <w:t>Rheumatoid Arthritis</w:t>
      </w:r>
    </w:p>
    <w:p w14:paraId="54574E7B" w14:textId="4CF0DBBE" w:rsidR="005E6D29" w:rsidRPr="005E6D29" w:rsidRDefault="001D5FD3" w:rsidP="00443352">
      <w:pPr>
        <w:pStyle w:val="CLDNormal"/>
        <w:jc w:val="left"/>
        <w:rPr>
          <w:lang w:val="en-US"/>
        </w:rPr>
      </w:pPr>
      <w:r>
        <w:rPr>
          <w:lang w:val="en-US"/>
        </w:rPr>
        <w:t>RUXIENCE</w:t>
      </w:r>
      <w:r w:rsidR="005E6D29" w:rsidRPr="005E6D29">
        <w:rPr>
          <w:lang w:val="en-US"/>
        </w:rPr>
        <w:t xml:space="preserve"> in combination with methotrexate is indicated for the treatment of adult patients with severe, active rheumatoid arthritis who have had an inadequate response or intolerance to at least one </w:t>
      </w:r>
      <w:proofErr w:type="spellStart"/>
      <w:r w:rsidR="005E6D29" w:rsidRPr="005E6D29">
        <w:rPr>
          <w:lang w:val="en-US"/>
        </w:rPr>
        <w:t>tumour</w:t>
      </w:r>
      <w:proofErr w:type="spellEnd"/>
      <w:r w:rsidR="005E6D29" w:rsidRPr="005E6D29">
        <w:rPr>
          <w:lang w:val="en-US"/>
        </w:rPr>
        <w:t xml:space="preserve"> necrosis factor (TNF) inhibitor therapy.</w:t>
      </w:r>
    </w:p>
    <w:p w14:paraId="346A9BD4" w14:textId="4F2AE502" w:rsidR="00112925" w:rsidRPr="00112925" w:rsidRDefault="001D5FD3" w:rsidP="00443352">
      <w:pPr>
        <w:pStyle w:val="CLDNormal"/>
        <w:jc w:val="left"/>
        <w:rPr>
          <w:lang w:val="en-US"/>
        </w:rPr>
      </w:pPr>
      <w:r>
        <w:rPr>
          <w:lang w:val="en-US"/>
        </w:rPr>
        <w:t>RUXIENCE</w:t>
      </w:r>
      <w:r w:rsidR="005E6D29" w:rsidRPr="005E6D29">
        <w:rPr>
          <w:lang w:val="en-US"/>
        </w:rPr>
        <w:t xml:space="preserve"> has been shown to reduce the rate of progression of joint damage as measured by x-ray when given in combination with methotrexate.</w:t>
      </w:r>
    </w:p>
    <w:p w14:paraId="78E8D101" w14:textId="77777777" w:rsidR="005E6D29" w:rsidRDefault="005E6D29" w:rsidP="00443352">
      <w:pPr>
        <w:pStyle w:val="CLDNormal"/>
        <w:jc w:val="left"/>
        <w:rPr>
          <w:rFonts w:ascii="Times New Roman Bold" w:hAnsi="Times New Roman Bold"/>
          <w:b/>
          <w:szCs w:val="28"/>
          <w:lang w:val="en-US"/>
        </w:rPr>
      </w:pPr>
      <w:r w:rsidRPr="005E6D29">
        <w:rPr>
          <w:rFonts w:ascii="Times New Roman Bold" w:hAnsi="Times New Roman Bold"/>
          <w:b/>
          <w:szCs w:val="28"/>
          <w:lang w:val="en-US"/>
        </w:rPr>
        <w:t xml:space="preserve">Granulomatosis with </w:t>
      </w:r>
      <w:proofErr w:type="spellStart"/>
      <w:r w:rsidRPr="005E6D29">
        <w:rPr>
          <w:rFonts w:ascii="Times New Roman Bold" w:hAnsi="Times New Roman Bold"/>
          <w:b/>
          <w:szCs w:val="28"/>
          <w:lang w:val="en-US"/>
        </w:rPr>
        <w:t>polyangiitis</w:t>
      </w:r>
      <w:proofErr w:type="spellEnd"/>
      <w:r w:rsidRPr="005E6D29">
        <w:rPr>
          <w:rFonts w:ascii="Times New Roman Bold" w:hAnsi="Times New Roman Bold"/>
          <w:b/>
          <w:szCs w:val="28"/>
          <w:lang w:val="en-US"/>
        </w:rPr>
        <w:t xml:space="preserve"> (Wegener’s) (GPA) and Microscopic </w:t>
      </w:r>
      <w:proofErr w:type="spellStart"/>
      <w:r w:rsidRPr="005E6D29">
        <w:rPr>
          <w:rFonts w:ascii="Times New Roman Bold" w:hAnsi="Times New Roman Bold"/>
          <w:b/>
          <w:szCs w:val="28"/>
          <w:lang w:val="en-US"/>
        </w:rPr>
        <w:t>polyangiitis</w:t>
      </w:r>
      <w:proofErr w:type="spellEnd"/>
      <w:r w:rsidRPr="005E6D29">
        <w:rPr>
          <w:rFonts w:ascii="Times New Roman Bold" w:hAnsi="Times New Roman Bold"/>
          <w:b/>
          <w:szCs w:val="28"/>
          <w:lang w:val="en-US"/>
        </w:rPr>
        <w:t xml:space="preserve"> (MPA)</w:t>
      </w:r>
    </w:p>
    <w:p w14:paraId="16A70E06" w14:textId="7224756E" w:rsidR="005E6D29" w:rsidRPr="00112925" w:rsidRDefault="001D5FD3" w:rsidP="00443352">
      <w:pPr>
        <w:pStyle w:val="CLDNormal"/>
        <w:jc w:val="left"/>
        <w:rPr>
          <w:lang w:val="en-US"/>
        </w:rPr>
      </w:pPr>
      <w:r>
        <w:rPr>
          <w:lang w:val="en-US"/>
        </w:rPr>
        <w:t>RUXIENCE</w:t>
      </w:r>
      <w:r w:rsidR="005E6D29" w:rsidRPr="005E6D29">
        <w:rPr>
          <w:lang w:val="en-US"/>
        </w:rPr>
        <w:t xml:space="preserve"> in combination with glucocorticoids is indicated for the induction of remission in patients with severely active Granulomatosis with </w:t>
      </w:r>
      <w:proofErr w:type="spellStart"/>
      <w:r w:rsidR="005E6D29" w:rsidRPr="005E6D29">
        <w:rPr>
          <w:lang w:val="en-US"/>
        </w:rPr>
        <w:t>polyangiitis</w:t>
      </w:r>
      <w:proofErr w:type="spellEnd"/>
      <w:r w:rsidR="005E6D29" w:rsidRPr="005E6D29">
        <w:rPr>
          <w:lang w:val="en-US"/>
        </w:rPr>
        <w:t xml:space="preserve"> (GPA, also known as Wegener’s granulomatosis) and Microscopic </w:t>
      </w:r>
      <w:proofErr w:type="spellStart"/>
      <w:r w:rsidR="005E6D29" w:rsidRPr="005E6D29">
        <w:rPr>
          <w:lang w:val="en-US"/>
        </w:rPr>
        <w:t>polyangiitis</w:t>
      </w:r>
      <w:proofErr w:type="spellEnd"/>
      <w:r w:rsidR="005E6D29" w:rsidRPr="005E6D29">
        <w:rPr>
          <w:lang w:val="en-US"/>
        </w:rPr>
        <w:t xml:space="preserve"> (MPA). The efficacy and safety of retreatment with </w:t>
      </w:r>
      <w:r>
        <w:rPr>
          <w:lang w:val="en-US"/>
        </w:rPr>
        <w:t>RUXIENCE</w:t>
      </w:r>
      <w:r w:rsidR="005E6D29" w:rsidRPr="005E6D29">
        <w:rPr>
          <w:lang w:val="en-US"/>
        </w:rPr>
        <w:t xml:space="preserve"> have not been established.</w:t>
      </w:r>
    </w:p>
    <w:p w14:paraId="21D1BCFF" w14:textId="77777777" w:rsidR="00E60520" w:rsidRPr="00C035A6" w:rsidRDefault="00932B9D" w:rsidP="00443352">
      <w:pPr>
        <w:pStyle w:val="CLDHeading2"/>
        <w:jc w:val="left"/>
        <w:rPr>
          <w:bCs/>
          <w:i/>
          <w:iCs/>
          <w:color w:val="FF0000"/>
        </w:rPr>
      </w:pPr>
      <w:r w:rsidRPr="00755FFF">
        <w:t>4.2</w:t>
      </w:r>
      <w:r w:rsidRPr="00755FFF">
        <w:tab/>
      </w:r>
      <w:r w:rsidR="004779F5" w:rsidRPr="00755FFF">
        <w:t>Dose and method of a</w:t>
      </w:r>
      <w:r w:rsidR="00E60520" w:rsidRPr="00755FFF">
        <w:t>dministration</w:t>
      </w:r>
      <w:r w:rsidR="00E60520">
        <w:t xml:space="preserve"> </w:t>
      </w:r>
    </w:p>
    <w:p w14:paraId="668B8B04" w14:textId="77777777" w:rsidR="008A7EF3" w:rsidRDefault="008A7EF3" w:rsidP="00443352">
      <w:pPr>
        <w:pStyle w:val="CLDNormal"/>
        <w:jc w:val="left"/>
        <w:rPr>
          <w:lang w:val="en-US"/>
        </w:rPr>
      </w:pPr>
      <w:r w:rsidRPr="008A7EF3">
        <w:rPr>
          <w:lang w:val="en-US"/>
        </w:rPr>
        <w:t>In order to improve traceability of biological medicinal products, the trade name and the batch number of the administered product should be clearly recorded in the patient dispensing record.</w:t>
      </w:r>
    </w:p>
    <w:p w14:paraId="064C3AB0" w14:textId="63C20D42" w:rsidR="005E6D29" w:rsidRDefault="001D5FD3" w:rsidP="00443352">
      <w:pPr>
        <w:pStyle w:val="CLDNormal"/>
        <w:jc w:val="left"/>
      </w:pPr>
      <w:r>
        <w:t>RUXIENCE</w:t>
      </w:r>
      <w:r w:rsidR="005E6D29">
        <w:t xml:space="preserve"> intravenous formulation is not intended for subcutaneous (SC) administration. </w:t>
      </w:r>
    </w:p>
    <w:p w14:paraId="35742052" w14:textId="203AB604" w:rsidR="006028E5" w:rsidRDefault="001D5FD3" w:rsidP="00443352">
      <w:pPr>
        <w:pStyle w:val="CLDNormal"/>
        <w:jc w:val="left"/>
      </w:pPr>
      <w:r>
        <w:t>RUXIENCE</w:t>
      </w:r>
      <w:r w:rsidR="005E6D29">
        <w:t xml:space="preserve"> may be administered in an outpatient setting. </w:t>
      </w:r>
      <w:r>
        <w:t>RUXIENCE</w:t>
      </w:r>
      <w:r w:rsidR="005E6D29">
        <w:t xml:space="preserve"> should be administered as an intravenous infusion in an environment where full resuscitation facilities are immediately available, and under the close supervision of an experienced healthcare professional.</w:t>
      </w:r>
    </w:p>
    <w:p w14:paraId="4308ADF9" w14:textId="77777777" w:rsidR="006028E5" w:rsidRPr="00065CD4" w:rsidRDefault="006028E5" w:rsidP="00443352">
      <w:pPr>
        <w:pStyle w:val="CLDHeading3"/>
        <w:jc w:val="left"/>
      </w:pPr>
      <w:r w:rsidRPr="00065CD4">
        <w:t>Dosage</w:t>
      </w:r>
    </w:p>
    <w:p w14:paraId="3F070E89" w14:textId="77777777" w:rsidR="005E6D29" w:rsidRPr="005E6D29" w:rsidRDefault="005E6D29" w:rsidP="00443352">
      <w:pPr>
        <w:pStyle w:val="CLDNormal"/>
        <w:jc w:val="left"/>
        <w:rPr>
          <w:u w:val="single"/>
        </w:rPr>
      </w:pPr>
      <w:r w:rsidRPr="005E6D29">
        <w:rPr>
          <w:u w:val="single"/>
        </w:rPr>
        <w:t>Non-Hodgkin’s Lymphoma</w:t>
      </w:r>
    </w:p>
    <w:p w14:paraId="0CC578E3" w14:textId="5D4A6A03" w:rsidR="005E6D29" w:rsidRDefault="005E6D29" w:rsidP="00443352">
      <w:pPr>
        <w:pStyle w:val="CLDNormal"/>
        <w:jc w:val="left"/>
      </w:pPr>
      <w:r>
        <w:t xml:space="preserve">Premedication, consisting of an analgesic/antipyretic (such as paracetamol) and an antihistamine should always be administered 30 to 60 minutes before each infusion of </w:t>
      </w:r>
      <w:r w:rsidR="001D5FD3">
        <w:t>RUXIENCE</w:t>
      </w:r>
      <w:r>
        <w:t xml:space="preserve">. Premedication with glucocorticoids should also be considered, particularly if </w:t>
      </w:r>
      <w:r w:rsidR="001D5FD3">
        <w:t>RUXIENCE</w:t>
      </w:r>
      <w:r>
        <w:t xml:space="preserve"> is not given in combination with steroid-containing chemotherapy.</w:t>
      </w:r>
    </w:p>
    <w:p w14:paraId="0EBB4B26" w14:textId="201A42C5" w:rsidR="005E6D29" w:rsidRPr="005E6D29" w:rsidRDefault="005E6D29" w:rsidP="00443352">
      <w:pPr>
        <w:pStyle w:val="CLDNormal"/>
        <w:jc w:val="left"/>
        <w:rPr>
          <w:u w:val="single"/>
        </w:rPr>
      </w:pPr>
      <w:r w:rsidRPr="005E6D29">
        <w:rPr>
          <w:u w:val="single"/>
        </w:rPr>
        <w:t>Relapsed or refractory Low Grade or Follicular non-Hodgkin's lymphoma</w:t>
      </w:r>
    </w:p>
    <w:p w14:paraId="423EAA80" w14:textId="0AD1E9AF" w:rsidR="005E6D29" w:rsidRDefault="005E6D29" w:rsidP="00443352">
      <w:pPr>
        <w:pStyle w:val="CLDNormal"/>
        <w:jc w:val="left"/>
      </w:pPr>
      <w:r>
        <w:t xml:space="preserve">The recommended dosage of </w:t>
      </w:r>
      <w:r w:rsidR="001D5FD3">
        <w:t>RUXIENCE</w:t>
      </w:r>
      <w:r>
        <w:t xml:space="preserve"> when used in monotherapy is 375 mg/m</w:t>
      </w:r>
      <w:r w:rsidRPr="005E6D29">
        <w:rPr>
          <w:vertAlign w:val="superscript"/>
        </w:rPr>
        <w:t>2</w:t>
      </w:r>
      <w:r>
        <w:t xml:space="preserve"> administered as an intravenous infusion once weekly for four weeks.</w:t>
      </w:r>
    </w:p>
    <w:p w14:paraId="791FC517" w14:textId="31FE83F7" w:rsidR="005E6D29" w:rsidRDefault="005E6D29" w:rsidP="00443352">
      <w:pPr>
        <w:pStyle w:val="CLDNormal"/>
        <w:jc w:val="left"/>
      </w:pPr>
      <w:r>
        <w:t xml:space="preserve">The recommended dosage of </w:t>
      </w:r>
      <w:r w:rsidR="001D5FD3">
        <w:t>RUXIENCE</w:t>
      </w:r>
      <w:r>
        <w:t xml:space="preserve"> when used in combination with CHOP chemotherapy is 375 mg/m</w:t>
      </w:r>
      <w:r w:rsidRPr="005E6D29">
        <w:rPr>
          <w:vertAlign w:val="superscript"/>
        </w:rPr>
        <w:t>2</w:t>
      </w:r>
      <w:r>
        <w:t xml:space="preserve"> administered on day 1 of each chemotherapy cycle (6 cycles).</w:t>
      </w:r>
    </w:p>
    <w:p w14:paraId="52D90654" w14:textId="77777777" w:rsidR="005E6D29" w:rsidRPr="005E6D29" w:rsidRDefault="005E6D29" w:rsidP="00443352">
      <w:pPr>
        <w:pStyle w:val="CLDNormal"/>
        <w:jc w:val="left"/>
        <w:rPr>
          <w:u w:val="single"/>
        </w:rPr>
      </w:pPr>
      <w:r w:rsidRPr="005E6D29">
        <w:rPr>
          <w:u w:val="single"/>
        </w:rPr>
        <w:t>Previously untreated stage III/IV Follicular non-Hodgkin’s lymphoma</w:t>
      </w:r>
    </w:p>
    <w:p w14:paraId="6AD4B1D5" w14:textId="0C1966B6" w:rsidR="005E6D29" w:rsidRDefault="005E6D29" w:rsidP="00443352">
      <w:pPr>
        <w:pStyle w:val="CLDNormal"/>
        <w:jc w:val="left"/>
      </w:pPr>
      <w:r>
        <w:t xml:space="preserve">The recommended dosage of </w:t>
      </w:r>
      <w:r w:rsidR="001D5FD3">
        <w:t>RUXIENCE</w:t>
      </w:r>
      <w:r>
        <w:t xml:space="preserve"> in combination with chemotherapy is 375 mg/m</w:t>
      </w:r>
      <w:r w:rsidRPr="003E1E92">
        <w:rPr>
          <w:vertAlign w:val="superscript"/>
        </w:rPr>
        <w:t>2</w:t>
      </w:r>
      <w:r>
        <w:t xml:space="preserve"> administered on day 1 of each chemotherapy cycle for up to 8 cycles as induction therapy.</w:t>
      </w:r>
    </w:p>
    <w:p w14:paraId="7CB7391A" w14:textId="45860EA3" w:rsidR="006028E5" w:rsidRDefault="001D5FD3" w:rsidP="00443352">
      <w:pPr>
        <w:pStyle w:val="CLDNormal"/>
        <w:jc w:val="left"/>
      </w:pPr>
      <w:r>
        <w:t>RUXIENCE</w:t>
      </w:r>
      <w:r w:rsidR="005E6D29">
        <w:t xml:space="preserve"> should be administered prior to the administration of chemotherapy. Any infusion related reactions should have settled before chemotherapy is instituted.</w:t>
      </w:r>
    </w:p>
    <w:p w14:paraId="1C169D0C" w14:textId="77777777" w:rsidR="005E6D29" w:rsidRDefault="005E6D29" w:rsidP="00443352">
      <w:pPr>
        <w:pStyle w:val="CLDNormal"/>
        <w:jc w:val="left"/>
        <w:rPr>
          <w:u w:val="single"/>
        </w:rPr>
      </w:pPr>
      <w:r w:rsidRPr="005E6D29">
        <w:rPr>
          <w:u w:val="single"/>
        </w:rPr>
        <w:t>Maintenance treatment in follicular lymphoma</w:t>
      </w:r>
    </w:p>
    <w:p w14:paraId="2A939FEA" w14:textId="42EC57BC" w:rsidR="005E6D29" w:rsidRPr="005E6D29" w:rsidRDefault="005E6D29" w:rsidP="00443352">
      <w:pPr>
        <w:pStyle w:val="CLDNormal"/>
        <w:jc w:val="left"/>
      </w:pPr>
      <w:r w:rsidRPr="005E6D29">
        <w:t xml:space="preserve">Previously untreated patients who have responded to induction treatment may receive maintenance therapy with </w:t>
      </w:r>
      <w:r w:rsidR="001D5FD3">
        <w:t>RUXIENCE</w:t>
      </w:r>
      <w:r w:rsidRPr="005E6D29">
        <w:t xml:space="preserve"> given at 375 mg/m</w:t>
      </w:r>
      <w:r w:rsidRPr="00D7145C">
        <w:rPr>
          <w:vertAlign w:val="superscript"/>
        </w:rPr>
        <w:t>2</w:t>
      </w:r>
      <w:r w:rsidRPr="005E6D29">
        <w:t xml:space="preserve"> body surface area once every 2 months until disease progression or for a maximum period of two years.</w:t>
      </w:r>
    </w:p>
    <w:p w14:paraId="7C6AA394" w14:textId="7FEE9CF0" w:rsidR="005E6D29" w:rsidRPr="005E6D29" w:rsidRDefault="005E6D29" w:rsidP="00443352">
      <w:pPr>
        <w:pStyle w:val="CLDNormal"/>
        <w:jc w:val="left"/>
      </w:pPr>
      <w:r w:rsidRPr="005E6D29">
        <w:t xml:space="preserve">Relapsed/refractory patients who have responded to induction treatment may receive maintenance therapy with </w:t>
      </w:r>
      <w:r w:rsidR="001D5FD3">
        <w:t>RUXIENCE</w:t>
      </w:r>
      <w:r w:rsidRPr="005E6D29">
        <w:t xml:space="preserve"> given at 375 mg/m</w:t>
      </w:r>
      <w:r w:rsidRPr="00D7145C">
        <w:rPr>
          <w:vertAlign w:val="superscript"/>
        </w:rPr>
        <w:t>2</w:t>
      </w:r>
      <w:r w:rsidRPr="005E6D29">
        <w:t xml:space="preserve"> body surface area once every 3 months until disease progression or for a maximum period of two years.</w:t>
      </w:r>
    </w:p>
    <w:p w14:paraId="22126139" w14:textId="77777777" w:rsidR="005E6D29" w:rsidRPr="005E6D29" w:rsidRDefault="005E6D29" w:rsidP="00443352">
      <w:pPr>
        <w:pStyle w:val="CLDNormal"/>
        <w:jc w:val="left"/>
        <w:rPr>
          <w:u w:val="single"/>
        </w:rPr>
      </w:pPr>
      <w:r w:rsidRPr="005E6D29">
        <w:rPr>
          <w:u w:val="single"/>
        </w:rPr>
        <w:t>Diffuse large B-cell non-Hodgkin's lymphoma</w:t>
      </w:r>
    </w:p>
    <w:p w14:paraId="3628964F" w14:textId="000794A2" w:rsidR="005E6D29" w:rsidRPr="005E6D29" w:rsidRDefault="005E6D29" w:rsidP="00443352">
      <w:pPr>
        <w:pStyle w:val="CLDNormal"/>
        <w:jc w:val="left"/>
      </w:pPr>
      <w:r w:rsidRPr="005E6D29">
        <w:t xml:space="preserve">The recommended dosage for </w:t>
      </w:r>
      <w:r w:rsidR="001D5FD3">
        <w:t>RUXIENCE</w:t>
      </w:r>
      <w:r w:rsidRPr="005E6D29">
        <w:t xml:space="preserve"> in combination with CHOP chemotherapy is 375 mg/m</w:t>
      </w:r>
      <w:r w:rsidRPr="00D7145C">
        <w:rPr>
          <w:vertAlign w:val="superscript"/>
        </w:rPr>
        <w:t>2</w:t>
      </w:r>
      <w:r w:rsidRPr="005E6D29">
        <w:t>, administered as an intravenous infusion on day 1 of each chemotherapy cycle, for up to 8 cycles.</w:t>
      </w:r>
    </w:p>
    <w:p w14:paraId="4E1B1CEE" w14:textId="77777777" w:rsidR="005E6D29" w:rsidRPr="005E6D29" w:rsidRDefault="005E6D29" w:rsidP="00443352">
      <w:pPr>
        <w:pStyle w:val="CLDNormal"/>
        <w:pageBreakBefore/>
        <w:jc w:val="left"/>
        <w:rPr>
          <w:u w:val="single"/>
        </w:rPr>
      </w:pPr>
      <w:r w:rsidRPr="005E6D29">
        <w:rPr>
          <w:u w:val="single"/>
        </w:rPr>
        <w:t>Chronic Lymphocytic Leukaemia</w:t>
      </w:r>
    </w:p>
    <w:p w14:paraId="0131B433" w14:textId="7EE6EDAB" w:rsidR="005E6D29" w:rsidRPr="005E6D29" w:rsidRDefault="005E6D29" w:rsidP="00443352">
      <w:pPr>
        <w:pStyle w:val="CLDNormal"/>
        <w:jc w:val="left"/>
      </w:pPr>
      <w:r w:rsidRPr="005E6D29">
        <w:t xml:space="preserve">Premedication, consisting of an analgesic/antipyretic such as paracetamol and an antihistamine should always be administered 30 to 60 minutes before each infusion of </w:t>
      </w:r>
      <w:r w:rsidR="001D5FD3">
        <w:t>RUXIENCE</w:t>
      </w:r>
      <w:r w:rsidRPr="005E6D29">
        <w:t xml:space="preserve">. Premedication with glucocorticoids should also be considered, particularly if </w:t>
      </w:r>
      <w:r w:rsidR="001D5FD3">
        <w:t>RUXIENCE</w:t>
      </w:r>
      <w:r w:rsidRPr="005E6D29">
        <w:t xml:space="preserve"> is not given in combination with steroid-containing chemotherapy.</w:t>
      </w:r>
    </w:p>
    <w:p w14:paraId="6ADAC4EB" w14:textId="26ABFC97" w:rsidR="005E6D29" w:rsidRDefault="005E6D29" w:rsidP="00443352">
      <w:pPr>
        <w:pStyle w:val="CLDNormal"/>
        <w:jc w:val="left"/>
      </w:pPr>
      <w:r w:rsidRPr="005E6D29">
        <w:t xml:space="preserve">The recommended dosage of </w:t>
      </w:r>
      <w:r w:rsidR="001D5FD3">
        <w:t>RUXIENCE</w:t>
      </w:r>
      <w:r w:rsidRPr="005E6D29">
        <w:t xml:space="preserve"> in combination with chemotherapy is 375 mg/m</w:t>
      </w:r>
      <w:r w:rsidRPr="00D7145C">
        <w:rPr>
          <w:vertAlign w:val="superscript"/>
        </w:rPr>
        <w:t>2</w:t>
      </w:r>
      <w:r w:rsidRPr="005E6D29">
        <w:t xml:space="preserve"> administered on day 1 of the first treatment cycle followed by 500 mg/m</w:t>
      </w:r>
      <w:r w:rsidRPr="00D7145C">
        <w:rPr>
          <w:vertAlign w:val="superscript"/>
        </w:rPr>
        <w:t>2</w:t>
      </w:r>
      <w:r w:rsidRPr="005E6D29">
        <w:t xml:space="preserve"> administered on day 1 of each subsequent cycle, for a total of 6 cycles (see</w:t>
      </w:r>
      <w:r w:rsidR="001637B6">
        <w:t xml:space="preserve"> </w:t>
      </w:r>
      <w:r w:rsidRPr="005E6D29">
        <w:t xml:space="preserve">section 5.1 Pharmacodynamic Properties, Clinical Trials). The chemotherapy should be given after the infusion of </w:t>
      </w:r>
      <w:r w:rsidR="001D5FD3">
        <w:t>RUXIENCE</w:t>
      </w:r>
      <w:r w:rsidRPr="005E6D29">
        <w:t>.</w:t>
      </w:r>
    </w:p>
    <w:p w14:paraId="65C154A5" w14:textId="2F0602CD" w:rsidR="005E6D29" w:rsidRDefault="005E6D29" w:rsidP="00443352">
      <w:pPr>
        <w:pStyle w:val="CLDNormal"/>
        <w:jc w:val="left"/>
      </w:pPr>
      <w:r w:rsidRPr="005E6D29">
        <w:t xml:space="preserve">Prophylaxis with adequate hydration and administration of </w:t>
      </w:r>
      <w:proofErr w:type="spellStart"/>
      <w:r w:rsidRPr="005E6D29">
        <w:t>uricostatics</w:t>
      </w:r>
      <w:proofErr w:type="spellEnd"/>
      <w:r w:rsidRPr="005E6D29">
        <w:t xml:space="preserve"> starting 48 hours prior to the start of therapy is recommended for CLL patients to reduce the risk of tumour lysis syndrome. For CLL patients whose lymphocyte counts are &gt;25 x10</w:t>
      </w:r>
      <w:r w:rsidRPr="001637B6">
        <w:rPr>
          <w:vertAlign w:val="superscript"/>
        </w:rPr>
        <w:t>9</w:t>
      </w:r>
      <w:r w:rsidRPr="005E6D29">
        <w:t xml:space="preserve">/L it is recommended to administer methylprednisolone 100 mg IV shortly before infusion with </w:t>
      </w:r>
      <w:r w:rsidR="001D5FD3">
        <w:t>RUXIENCE</w:t>
      </w:r>
      <w:r w:rsidRPr="005E6D29">
        <w:t xml:space="preserve"> to decrease the rate and severity of acute infusion reactions and/or cytokine release syndrome.</w:t>
      </w:r>
    </w:p>
    <w:p w14:paraId="44D92B43" w14:textId="5AA3216E" w:rsidR="005E6D29" w:rsidRPr="005E6D29" w:rsidRDefault="005E6D29" w:rsidP="00443352">
      <w:pPr>
        <w:pStyle w:val="CLDNormal"/>
        <w:jc w:val="left"/>
        <w:rPr>
          <w:i/>
        </w:rPr>
      </w:pPr>
      <w:r w:rsidRPr="005E6D29">
        <w:rPr>
          <w:i/>
        </w:rPr>
        <w:t>Dosage adjustments during treatment</w:t>
      </w:r>
    </w:p>
    <w:p w14:paraId="5A5D83B4" w14:textId="4701B651" w:rsidR="005E6D29" w:rsidRDefault="005E6D29" w:rsidP="00443352">
      <w:pPr>
        <w:pStyle w:val="CLDNormal"/>
        <w:jc w:val="left"/>
      </w:pPr>
      <w:r>
        <w:t xml:space="preserve">No dose reductions of </w:t>
      </w:r>
      <w:r w:rsidR="001D5FD3">
        <w:t>RUXIENCE</w:t>
      </w:r>
      <w:r>
        <w:t xml:space="preserve"> are recommended. When </w:t>
      </w:r>
      <w:r w:rsidR="001D5FD3">
        <w:t>RUXIENCE</w:t>
      </w:r>
      <w:r>
        <w:t xml:space="preserve"> is given in combination with chemotherapy, standard dose reductions for the chemotherapeutic drugs should be applied.</w:t>
      </w:r>
    </w:p>
    <w:p w14:paraId="50926C7A" w14:textId="77777777" w:rsidR="00A41F37" w:rsidRDefault="00A41F37" w:rsidP="00443352">
      <w:pPr>
        <w:pStyle w:val="CLDNormal"/>
        <w:jc w:val="left"/>
      </w:pPr>
      <w:r w:rsidRPr="00A41F37">
        <w:rPr>
          <w:i/>
        </w:rPr>
        <w:t>First Infusion:</w:t>
      </w:r>
      <w:r>
        <w:t xml:space="preserve"> The recommended initial rate of infusion is 50 mg/h. If hypersensitivity or infusion-related events do not occur, escalate the infusion rate in 50 mg/h increments every 30 minutes, to a maximum of 400 mg/h. If hypersensitivity or an infusion-related event develops, the infusion should be temporarily slowed or interrupted (see section 4.4 Special warnings and precautions for use). The infusion can continue at one-half the previous rate upon improvement of patient symptoms.</w:t>
      </w:r>
    </w:p>
    <w:p w14:paraId="1C58673A" w14:textId="27BC2289" w:rsidR="005E6D29" w:rsidRDefault="00A41F37" w:rsidP="00443352">
      <w:pPr>
        <w:pStyle w:val="CLDNormal"/>
        <w:jc w:val="left"/>
      </w:pPr>
      <w:r w:rsidRPr="00A41F37">
        <w:rPr>
          <w:i/>
        </w:rPr>
        <w:t>Subsequent Infusions:</w:t>
      </w:r>
      <w:r>
        <w:t xml:space="preserve"> Subsequent </w:t>
      </w:r>
      <w:r w:rsidR="001D5FD3">
        <w:t>RUXIENCE</w:t>
      </w:r>
      <w:r>
        <w:t xml:space="preserve"> infusions can be administered at an initial rate of 100 mg/h and increased by 100 mg/h increments at 30-minute intervals, to a maximum of 400 mg/h.</w:t>
      </w:r>
    </w:p>
    <w:p w14:paraId="067CECEC" w14:textId="77777777" w:rsidR="00A653E5" w:rsidRPr="00A653E5" w:rsidRDefault="00A653E5" w:rsidP="00443352">
      <w:pPr>
        <w:pStyle w:val="CLDNormal"/>
        <w:jc w:val="left"/>
        <w:rPr>
          <w:u w:val="single"/>
        </w:rPr>
      </w:pPr>
      <w:r w:rsidRPr="00A653E5">
        <w:rPr>
          <w:u w:val="single"/>
        </w:rPr>
        <w:t>Rheumatoid Arthritis</w:t>
      </w:r>
    </w:p>
    <w:p w14:paraId="0199CCD7" w14:textId="5D1148A8" w:rsidR="00A653E5" w:rsidRDefault="00A653E5" w:rsidP="00443352">
      <w:pPr>
        <w:pStyle w:val="CLDNormal"/>
        <w:jc w:val="left"/>
      </w:pPr>
      <w:r>
        <w:t xml:space="preserve">Premedication consisting of an analgesic/antipyretic such as paracetamol and an antihistamine should always be administered 30 to 60 minutes before each infusion of </w:t>
      </w:r>
      <w:r w:rsidR="001D5FD3">
        <w:t>RUXIENCE</w:t>
      </w:r>
      <w:r>
        <w:t xml:space="preserve">. Premedication with glucocorticoids should also be administered in order to reduce the frequency and severity of IRRs. Patients should receive 100 mg IV methylprednisolone to be completed 30 minutes prior to each </w:t>
      </w:r>
      <w:r w:rsidR="001D5FD3">
        <w:t>RUXIENCE</w:t>
      </w:r>
      <w:r>
        <w:t xml:space="preserve"> infusion (see section 4.4 Special warnings and precautions for use).</w:t>
      </w:r>
    </w:p>
    <w:p w14:paraId="045402F1" w14:textId="620B50D0" w:rsidR="00A653E5" w:rsidRDefault="00A653E5" w:rsidP="00443352">
      <w:pPr>
        <w:pStyle w:val="CLDNormal"/>
        <w:jc w:val="left"/>
      </w:pPr>
      <w:r>
        <w:t xml:space="preserve">A course of </w:t>
      </w:r>
      <w:r w:rsidR="001D5FD3">
        <w:t>RUXIENCE</w:t>
      </w:r>
      <w:r>
        <w:t xml:space="preserve"> consists of two 1000 mg IV infusions. The recommended dosage of </w:t>
      </w:r>
      <w:r w:rsidR="001D5FD3">
        <w:t>RUXIENCE</w:t>
      </w:r>
      <w:r>
        <w:t xml:space="preserve"> is 1000 mg by IV infusion followed by a second 1000 mg IV infusion two weeks later. The course of </w:t>
      </w:r>
      <w:r w:rsidR="001D5FD3">
        <w:t>RUXIENCE</w:t>
      </w:r>
      <w:r>
        <w:t xml:space="preserve"> is given concomitantly with the dose of MTX tolerated by the patient. The minimal effective dose is not yet known.</w:t>
      </w:r>
    </w:p>
    <w:p w14:paraId="260178D2" w14:textId="67282103" w:rsidR="00A653E5" w:rsidRDefault="00A653E5" w:rsidP="00443352">
      <w:pPr>
        <w:pStyle w:val="CLDNormal"/>
        <w:jc w:val="left"/>
      </w:pPr>
      <w:r>
        <w:t xml:space="preserve">Background therapy with glucocorticoids, salicylates, nonsteroidal anti-inflammatory drugs, or analgesics can be continued during treatment with </w:t>
      </w:r>
      <w:r w:rsidR="001D5FD3">
        <w:t>RUXIENCE</w:t>
      </w:r>
      <w:r>
        <w:t>.</w:t>
      </w:r>
    </w:p>
    <w:p w14:paraId="2184E824" w14:textId="09876E0C" w:rsidR="00A653E5" w:rsidRDefault="00A653E5" w:rsidP="00443352">
      <w:pPr>
        <w:pStyle w:val="CLDNormal"/>
        <w:jc w:val="left"/>
      </w:pPr>
      <w:r>
        <w:t xml:space="preserve">Disease activity should be regularly monitored. Patients may receive further courses of treatment, based on signs and symptoms of disease. In clinical studies, no patient received a second course of </w:t>
      </w:r>
      <w:r w:rsidR="001D5FD3">
        <w:t>RUXIENCE</w:t>
      </w:r>
      <w:r>
        <w:t xml:space="preserve"> treatment within 16 weeks of the first infusion of the first course. The time interval between courses was variable, with the majority of patients who received additional courses doing so 6 -12 months after the previous course. Some patients required even less frequent retreatment. The efficacy and safety of further courses is comparable to the first course.</w:t>
      </w:r>
    </w:p>
    <w:p w14:paraId="02CA6B16" w14:textId="046C9EFC" w:rsidR="00D14AED" w:rsidRDefault="00D204A9" w:rsidP="00443352">
      <w:pPr>
        <w:pStyle w:val="CLDNormal"/>
        <w:jc w:val="left"/>
      </w:pPr>
      <w:r w:rsidRPr="00D204A9">
        <w:t xml:space="preserve">Human anti chimeric antibodies (HACA) develop in some patients after the first course of </w:t>
      </w:r>
      <w:r w:rsidR="001D5FD3">
        <w:t>RUXIENCE</w:t>
      </w:r>
      <w:r w:rsidRPr="00D204A9">
        <w:t xml:space="preserve">. The presence of HACA may be associated with the worsening of infusion or allergic reactions after the second infusion of subsequent course. Furthermore, in one case with HACA, failure to deplete B-cells after receipt of further treatment courses has been observed. Thus, the benefit/risk balance of therapy with </w:t>
      </w:r>
      <w:r w:rsidR="001D5FD3">
        <w:t>RUXIENCE</w:t>
      </w:r>
      <w:r w:rsidRPr="00D204A9">
        <w:t xml:space="preserve"> should be carefully considered before administering subsequent courses of </w:t>
      </w:r>
      <w:r w:rsidR="001D5FD3">
        <w:t>RUXIENCE</w:t>
      </w:r>
      <w:r w:rsidRPr="00D204A9">
        <w:t>. If a repeat course of treatment is considered it should not be given at an interval less than 16 weeks.</w:t>
      </w:r>
    </w:p>
    <w:p w14:paraId="2A7AD717" w14:textId="0C52C110" w:rsidR="00D204A9" w:rsidRPr="00D204A9" w:rsidRDefault="00D204A9" w:rsidP="00443352">
      <w:pPr>
        <w:pStyle w:val="CLDNormal"/>
        <w:jc w:val="left"/>
        <w:rPr>
          <w:i/>
        </w:rPr>
      </w:pPr>
      <w:r w:rsidRPr="00D204A9">
        <w:rPr>
          <w:i/>
        </w:rPr>
        <w:t>Dosage adjustments during treatment</w:t>
      </w:r>
    </w:p>
    <w:p w14:paraId="459A5002" w14:textId="77777777" w:rsidR="00D204A9" w:rsidRDefault="00D204A9" w:rsidP="00443352">
      <w:pPr>
        <w:pStyle w:val="CLDNormal"/>
        <w:jc w:val="left"/>
      </w:pPr>
      <w:r w:rsidRPr="00D204A9">
        <w:rPr>
          <w:i/>
        </w:rPr>
        <w:t>First infusion of each course:</w:t>
      </w:r>
      <w:r>
        <w:t xml:space="preserve"> The recommended initial rate for infusion is 50 mg/h; after the first 30 minutes, it can be escalated in 50 mg/h increments every 30 minutes, to a maximum of 400 mg/h.</w:t>
      </w:r>
    </w:p>
    <w:p w14:paraId="4BFC29DD" w14:textId="561BEBDB" w:rsidR="00D204A9" w:rsidRDefault="00D204A9" w:rsidP="00443352">
      <w:pPr>
        <w:pStyle w:val="CLDNormal"/>
        <w:jc w:val="left"/>
      </w:pPr>
      <w:r w:rsidRPr="00D204A9">
        <w:rPr>
          <w:i/>
        </w:rPr>
        <w:t>Second infusion of each course:</w:t>
      </w:r>
      <w:r>
        <w:t xml:space="preserve"> Subsequent doses of </w:t>
      </w:r>
      <w:r w:rsidR="001D5FD3">
        <w:t>RUXIENCE</w:t>
      </w:r>
      <w:r>
        <w:t xml:space="preserve"> can be infused at an initial rate of 100 mg/h, and increased by 100 mg/h increments at 30 minute intervals, to a maximum of 400 mg/h.</w:t>
      </w:r>
    </w:p>
    <w:p w14:paraId="23DEF03C" w14:textId="77777777" w:rsidR="00D204A9" w:rsidRPr="00D204A9" w:rsidRDefault="00D204A9" w:rsidP="00443352">
      <w:pPr>
        <w:pStyle w:val="CLDNormal"/>
        <w:jc w:val="left"/>
        <w:rPr>
          <w:i/>
        </w:rPr>
      </w:pPr>
      <w:r w:rsidRPr="00D204A9">
        <w:rPr>
          <w:i/>
        </w:rPr>
        <w:t>Rheumatoid Arthritis Only; Alternative Subsequent, Faster, Infusion Schedule:</w:t>
      </w:r>
    </w:p>
    <w:p w14:paraId="3AB2E552" w14:textId="08342740" w:rsidR="00D204A9" w:rsidRDefault="00D204A9" w:rsidP="00443352">
      <w:pPr>
        <w:pStyle w:val="CLDNormal"/>
        <w:jc w:val="left"/>
      </w:pPr>
      <w:r>
        <w:t xml:space="preserve">In RA, with a dose of 1000 mg </w:t>
      </w:r>
      <w:r w:rsidR="001D5FD3">
        <w:t>RUXIENCE</w:t>
      </w:r>
      <w:r>
        <w:t>, if there are no infusion related reactions or other reasons to slow or cease the infusion, the standard infusion schedules shown above result in an estimated duration of infusion of 4h</w:t>
      </w:r>
      <w:r w:rsidR="003C6E79">
        <w:t>ours</w:t>
      </w:r>
      <w:r>
        <w:t xml:space="preserve"> 15 minutes for the first infusion and 3h</w:t>
      </w:r>
      <w:r w:rsidR="003C6E79">
        <w:t>ours</w:t>
      </w:r>
      <w:r>
        <w:t xml:space="preserve"> 15 minutes for the second infusion in each course.</w:t>
      </w:r>
    </w:p>
    <w:p w14:paraId="7C14451D" w14:textId="77777777" w:rsidR="00D204A9" w:rsidRDefault="00D204A9" w:rsidP="00443352">
      <w:pPr>
        <w:pStyle w:val="CLDNormal"/>
        <w:jc w:val="left"/>
      </w:pPr>
      <w:r w:rsidRPr="00D204A9">
        <w:t>If patients do not experience a serious infusion related reaction with their first or subsequent infusions administered over the standard infusion schedule, a more rapid infusion can be administered for second and subsequent infusions using a concentration of 4 mg/mL in a 250 mL volume. Initiate at a rate of 250mg/h for the first 30 minutes and then 600 mg/h for the next 90 minutes. With this infusion schedule, the 1000mg/ 250mL infusion will generally be completed in 2 h</w:t>
      </w:r>
      <w:r w:rsidR="003C6E79">
        <w:t>ours</w:t>
      </w:r>
      <w:r w:rsidRPr="00D204A9">
        <w:t>.</w:t>
      </w:r>
    </w:p>
    <w:p w14:paraId="30AC70EF" w14:textId="53D26AEF" w:rsidR="00D204A9" w:rsidRDefault="00D204A9" w:rsidP="00443352">
      <w:pPr>
        <w:pStyle w:val="CLDNormal"/>
        <w:jc w:val="left"/>
      </w:pPr>
      <w:r>
        <w:t>Patients who have clinically significant cardiovascular disease, including arrhythmias, or previous serious infusion reactions to any prior biologic therapy or to rituximab, should not be administered the more rapid, 2 h</w:t>
      </w:r>
      <w:r w:rsidR="003C6E79">
        <w:t>our</w:t>
      </w:r>
      <w:r>
        <w:t xml:space="preserve"> infusion.</w:t>
      </w:r>
    </w:p>
    <w:p w14:paraId="62753CFD" w14:textId="77777777" w:rsidR="00D204A9" w:rsidRPr="00D204A9" w:rsidRDefault="00D204A9" w:rsidP="00443352">
      <w:pPr>
        <w:pStyle w:val="CLDNormal"/>
        <w:pageBreakBefore/>
        <w:jc w:val="left"/>
        <w:rPr>
          <w:u w:val="single"/>
        </w:rPr>
      </w:pPr>
      <w:r w:rsidRPr="00D204A9">
        <w:rPr>
          <w:u w:val="single"/>
        </w:rPr>
        <w:t xml:space="preserve">Granulomatosis with </w:t>
      </w:r>
      <w:proofErr w:type="spellStart"/>
      <w:r w:rsidRPr="00D204A9">
        <w:rPr>
          <w:u w:val="single"/>
        </w:rPr>
        <w:t>polyangiitis</w:t>
      </w:r>
      <w:proofErr w:type="spellEnd"/>
      <w:r w:rsidRPr="00D204A9">
        <w:rPr>
          <w:u w:val="single"/>
        </w:rPr>
        <w:t xml:space="preserve"> (Wegener’s) (GPA) and Microscopic </w:t>
      </w:r>
      <w:proofErr w:type="spellStart"/>
      <w:r w:rsidRPr="00D204A9">
        <w:rPr>
          <w:u w:val="single"/>
        </w:rPr>
        <w:t>polyangiitis</w:t>
      </w:r>
      <w:proofErr w:type="spellEnd"/>
      <w:r w:rsidRPr="00D204A9">
        <w:rPr>
          <w:u w:val="single"/>
        </w:rPr>
        <w:t xml:space="preserve"> (MPA)</w:t>
      </w:r>
    </w:p>
    <w:p w14:paraId="46B1B0A5" w14:textId="4A5D44DD" w:rsidR="00D204A9" w:rsidRDefault="00D204A9" w:rsidP="00443352">
      <w:pPr>
        <w:pStyle w:val="CLDNormal"/>
        <w:jc w:val="left"/>
      </w:pPr>
      <w:r>
        <w:t xml:space="preserve">Premedication consisting of an analgesic/antipyretic such as paracetamol and an antihistamine should always be administered 30 to 60 minutes before each infusion of </w:t>
      </w:r>
      <w:r w:rsidR="001D5FD3">
        <w:t>RUXIENCE</w:t>
      </w:r>
      <w:r>
        <w:t>.</w:t>
      </w:r>
    </w:p>
    <w:p w14:paraId="29D271A6" w14:textId="7727BDA8" w:rsidR="00D204A9" w:rsidRDefault="00D204A9" w:rsidP="00443352">
      <w:pPr>
        <w:pStyle w:val="CLDNormal"/>
        <w:jc w:val="left"/>
      </w:pPr>
      <w:r>
        <w:t xml:space="preserve">The recommended dosage of </w:t>
      </w:r>
      <w:r w:rsidR="001D5FD3">
        <w:t>RUXIENCE</w:t>
      </w:r>
      <w:r>
        <w:t xml:space="preserve"> for treatment of GPA and MPA is 375 mg/m</w:t>
      </w:r>
      <w:r w:rsidRPr="003C6E79">
        <w:rPr>
          <w:vertAlign w:val="superscript"/>
        </w:rPr>
        <w:t>2</w:t>
      </w:r>
      <w:r>
        <w:t xml:space="preserve"> body surface area, administered as an IV infusion once weekly for 4 weeks.</w:t>
      </w:r>
    </w:p>
    <w:p w14:paraId="095EC0A1" w14:textId="064B1C6B" w:rsidR="00D204A9" w:rsidRDefault="00D204A9" w:rsidP="00443352">
      <w:pPr>
        <w:pStyle w:val="CLDNormal"/>
        <w:jc w:val="left"/>
      </w:pPr>
      <w:r>
        <w:t xml:space="preserve">Methylprednisolone 1000 mg IV per day for 1 to 3 days is recommended in combination with </w:t>
      </w:r>
      <w:r w:rsidR="001D5FD3">
        <w:t>RUXIENCE</w:t>
      </w:r>
      <w:r>
        <w:t xml:space="preserve"> to treat severe vasculitis symptoms, followed by oral prednisone 1 mg/kg/day (not to exceed 80mg/day, and tapered as rapidly as possible per clinical need) during and after </w:t>
      </w:r>
      <w:r w:rsidR="001D5FD3">
        <w:t>RUXIENCE</w:t>
      </w:r>
      <w:r>
        <w:t xml:space="preserve"> treatment.</w:t>
      </w:r>
    </w:p>
    <w:p w14:paraId="1310935E" w14:textId="0A8DE7AD" w:rsidR="00D204A9" w:rsidRDefault="00D204A9" w:rsidP="00443352">
      <w:pPr>
        <w:pStyle w:val="CLDNormal"/>
        <w:jc w:val="left"/>
      </w:pPr>
      <w:r w:rsidRPr="00D204A9">
        <w:rPr>
          <w:i/>
        </w:rPr>
        <w:t>First infusion:</w:t>
      </w:r>
      <w:r>
        <w:t xml:space="preserve"> The recommended initial infusion rate for </w:t>
      </w:r>
      <w:r w:rsidR="001D5FD3">
        <w:t>RUXIENCE</w:t>
      </w:r>
      <w:r>
        <w:t xml:space="preserve"> is 50 mg/h; subsequently the rate can be escalated in 50 mg/h increments every 30 minutes to a maximum of 400 mg/h.</w:t>
      </w:r>
    </w:p>
    <w:p w14:paraId="7DF23D6F" w14:textId="00FD912C" w:rsidR="00D204A9" w:rsidRDefault="00D204A9" w:rsidP="00443352">
      <w:pPr>
        <w:pStyle w:val="CLDNormal"/>
        <w:jc w:val="left"/>
      </w:pPr>
      <w:r w:rsidRPr="00D204A9">
        <w:rPr>
          <w:i/>
        </w:rPr>
        <w:t>Subsequent infusions:</w:t>
      </w:r>
      <w:r>
        <w:t xml:space="preserve"> Subsequent infusions of </w:t>
      </w:r>
      <w:r w:rsidR="001D5FD3">
        <w:t>RUXIENCE</w:t>
      </w:r>
      <w:r>
        <w:t xml:space="preserve"> can be administered at a rate of 100 mg/h and increased by 100 mg/h increments every 30 minutes to a maximum of 400 mg/h.</w:t>
      </w:r>
    </w:p>
    <w:p w14:paraId="512BC5AE" w14:textId="1AB6F6BD" w:rsidR="00D204A9" w:rsidRDefault="00D204A9" w:rsidP="00443352">
      <w:pPr>
        <w:pStyle w:val="CLDNormal"/>
        <w:jc w:val="left"/>
      </w:pPr>
      <w:r>
        <w:t xml:space="preserve">Pneumocystis </w:t>
      </w:r>
      <w:proofErr w:type="spellStart"/>
      <w:r>
        <w:t>jiroveci</w:t>
      </w:r>
      <w:proofErr w:type="spellEnd"/>
      <w:r>
        <w:t xml:space="preserve"> pneumonia (PJP) prophylaxis is recommended for patients with GPA and MPA during and following </w:t>
      </w:r>
      <w:r w:rsidR="001D5FD3">
        <w:t>RUXIENCE</w:t>
      </w:r>
      <w:r>
        <w:t xml:space="preserve"> treatment, as appropriate.</w:t>
      </w:r>
    </w:p>
    <w:p w14:paraId="174B95E1" w14:textId="206464FC" w:rsidR="00D204A9" w:rsidRPr="00D204A9" w:rsidRDefault="00D204A9" w:rsidP="00443352">
      <w:pPr>
        <w:pStyle w:val="CLDNormal"/>
        <w:jc w:val="left"/>
        <w:rPr>
          <w:b/>
        </w:rPr>
      </w:pPr>
      <w:r w:rsidRPr="00D204A9">
        <w:rPr>
          <w:b/>
        </w:rPr>
        <w:t>Special Populations</w:t>
      </w:r>
    </w:p>
    <w:p w14:paraId="49C1A145" w14:textId="4B212D46" w:rsidR="00D204A9" w:rsidRPr="00D204A9" w:rsidRDefault="00D204A9" w:rsidP="00443352">
      <w:pPr>
        <w:pStyle w:val="CLDNormal"/>
        <w:jc w:val="left"/>
        <w:rPr>
          <w:u w:val="single"/>
        </w:rPr>
      </w:pPr>
      <w:r w:rsidRPr="00D204A9">
        <w:rPr>
          <w:u w:val="single"/>
        </w:rPr>
        <w:t>Elderly</w:t>
      </w:r>
    </w:p>
    <w:p w14:paraId="2454A750" w14:textId="10A87BE7" w:rsidR="00D204A9" w:rsidRDefault="00D204A9" w:rsidP="00443352">
      <w:pPr>
        <w:pStyle w:val="CLDNormal"/>
        <w:jc w:val="left"/>
      </w:pPr>
      <w:r>
        <w:t>No dose adjustment is required in elderly patients (aged &gt; 65 years).</w:t>
      </w:r>
    </w:p>
    <w:p w14:paraId="5EA37A55" w14:textId="77777777" w:rsidR="00D204A9" w:rsidRPr="00D204A9" w:rsidRDefault="00D204A9" w:rsidP="00443352">
      <w:pPr>
        <w:pStyle w:val="CLDNormal"/>
        <w:jc w:val="left"/>
        <w:rPr>
          <w:b/>
        </w:rPr>
      </w:pPr>
      <w:r w:rsidRPr="00D204A9">
        <w:rPr>
          <w:b/>
        </w:rPr>
        <w:t>Method of Administration</w:t>
      </w:r>
    </w:p>
    <w:p w14:paraId="4098F9A7" w14:textId="77777777" w:rsidR="00D204A9" w:rsidRDefault="00D204A9" w:rsidP="00443352">
      <w:pPr>
        <w:pStyle w:val="CLDNormal"/>
        <w:jc w:val="left"/>
        <w:rPr>
          <w:u w:val="single"/>
        </w:rPr>
      </w:pPr>
      <w:r w:rsidRPr="00D204A9">
        <w:rPr>
          <w:u w:val="single"/>
        </w:rPr>
        <w:t>Preparation</w:t>
      </w:r>
    </w:p>
    <w:p w14:paraId="052498A3" w14:textId="6E3335B2" w:rsidR="00D204A9" w:rsidRPr="00D204A9" w:rsidRDefault="001D5FD3" w:rsidP="00443352">
      <w:pPr>
        <w:pStyle w:val="CLDNormal"/>
        <w:jc w:val="left"/>
      </w:pPr>
      <w:r>
        <w:t>RUXIENCE</w:t>
      </w:r>
      <w:r w:rsidR="00D204A9" w:rsidRPr="00D204A9">
        <w:t xml:space="preserve"> vials do not contain an antimicrobial agent or preservative; therefore, care must be taken to ensure the sterility of the vials and prepared solution. </w:t>
      </w:r>
      <w:r w:rsidR="00456034" w:rsidRPr="00456034">
        <w:t xml:space="preserve">Product is for single use in one patient only. Discard any </w:t>
      </w:r>
      <w:proofErr w:type="spellStart"/>
      <w:r w:rsidR="00456034" w:rsidRPr="00456034">
        <w:t>residue.</w:t>
      </w:r>
      <w:r w:rsidR="00D204A9" w:rsidRPr="00D204A9">
        <w:t>Aseptically</w:t>
      </w:r>
      <w:proofErr w:type="spellEnd"/>
      <w:r w:rsidR="00D204A9" w:rsidRPr="00D204A9">
        <w:t xml:space="preserve"> withdraw the necessary amount of </w:t>
      </w:r>
      <w:r>
        <w:t>RUXIENCE</w:t>
      </w:r>
      <w:r w:rsidR="00D204A9" w:rsidRPr="00D204A9">
        <w:t xml:space="preserve"> and dilute to a calculated concentration between 1 mg/mL to 4 mg/mL of rituximab into an infusion bag containing either 0.9% sodium chloride or 5% dextrose in water. To mix the solution, gently invert the bag to avoid foaming. Parenteral drug products should be inspected visually for particulate matter and discolouration prior to administration.</w:t>
      </w:r>
    </w:p>
    <w:p w14:paraId="68005504" w14:textId="3D9FEB78" w:rsidR="00D204A9" w:rsidRDefault="00D204A9" w:rsidP="00443352">
      <w:pPr>
        <w:pStyle w:val="CLDNormal"/>
        <w:jc w:val="left"/>
      </w:pPr>
      <w:r w:rsidRPr="00D204A9">
        <w:t xml:space="preserve">To reduce microbiological hazard, prepared infusion solutions of </w:t>
      </w:r>
      <w:r w:rsidR="001D5FD3">
        <w:t>RUXIENCE</w:t>
      </w:r>
      <w:r w:rsidRPr="00D204A9">
        <w:t xml:space="preserve"> should be used as soon as practicable after dilution. If necessary, the prepared solutions may be stored in the refrigerator (2</w:t>
      </w:r>
      <w:r>
        <w:t>℃</w:t>
      </w:r>
      <w:r w:rsidRPr="00D204A9">
        <w:t xml:space="preserve"> to 8</w:t>
      </w:r>
      <w:r>
        <w:t>℃</w:t>
      </w:r>
      <w:r w:rsidRPr="00D204A9">
        <w:t>) for up to 24 hours. This timeframe allows for the temporary interruption of the infusion and subsequent recommencement if the patient has an infusion reaction (see Administration below).</w:t>
      </w:r>
    </w:p>
    <w:p w14:paraId="6FCA764F" w14:textId="77777777" w:rsidR="00D204A9" w:rsidRPr="00760B13" w:rsidRDefault="00D204A9" w:rsidP="00443352">
      <w:pPr>
        <w:pStyle w:val="CLDNormal"/>
        <w:pageBreakBefore/>
        <w:jc w:val="left"/>
        <w:rPr>
          <w:u w:val="single"/>
        </w:rPr>
      </w:pPr>
      <w:r w:rsidRPr="00760B13">
        <w:rPr>
          <w:u w:val="single"/>
        </w:rPr>
        <w:t>Administration</w:t>
      </w:r>
    </w:p>
    <w:p w14:paraId="45299834" w14:textId="3B193389" w:rsidR="00D204A9" w:rsidRDefault="00D204A9" w:rsidP="00443352">
      <w:pPr>
        <w:pStyle w:val="CLDNormal"/>
        <w:jc w:val="left"/>
      </w:pPr>
      <w:r>
        <w:t xml:space="preserve">The </w:t>
      </w:r>
      <w:r w:rsidR="001D5FD3">
        <w:t>RUXIENCE</w:t>
      </w:r>
      <w:r>
        <w:t xml:space="preserve"> solution for infusion should be administered intravenously through a dedicated line.</w:t>
      </w:r>
    </w:p>
    <w:p w14:paraId="67C0E51F" w14:textId="76D8B456" w:rsidR="00D204A9" w:rsidRPr="00D204A9" w:rsidRDefault="00D204A9" w:rsidP="00443352">
      <w:pPr>
        <w:pStyle w:val="CLDNormal"/>
        <w:jc w:val="left"/>
      </w:pPr>
      <w:r w:rsidRPr="00D204A9">
        <w:t xml:space="preserve">As with all parenteral products, appropriate aseptic technique should be used during the administration of </w:t>
      </w:r>
      <w:r w:rsidR="001D5FD3">
        <w:t>RUXIENCE</w:t>
      </w:r>
      <w:r w:rsidRPr="00D204A9">
        <w:t xml:space="preserve">. Do not administer as an intravenous push or bolus. Hypersensitivity reactions may occur whenever protein solutions such as </w:t>
      </w:r>
      <w:r w:rsidR="00760B13">
        <w:t>rituximab</w:t>
      </w:r>
      <w:r w:rsidRPr="00D204A9">
        <w:t xml:space="preserve"> are administered (see section 4.4 Special warnings and precautions for use).</w:t>
      </w:r>
    </w:p>
    <w:p w14:paraId="6E22B51E" w14:textId="77777777" w:rsidR="0062454C" w:rsidRPr="00362C5A" w:rsidRDefault="00787D1C" w:rsidP="00443352">
      <w:pPr>
        <w:pStyle w:val="CLDHeading2"/>
        <w:jc w:val="left"/>
      </w:pPr>
      <w:r>
        <w:t>4.3</w:t>
      </w:r>
      <w:r>
        <w:tab/>
      </w:r>
      <w:r w:rsidR="00520868" w:rsidRPr="00520868">
        <w:t>Contraindications</w:t>
      </w:r>
      <w:r w:rsidR="00315AB0">
        <w:t xml:space="preserve"> </w:t>
      </w:r>
    </w:p>
    <w:p w14:paraId="448B3E74" w14:textId="728B3755" w:rsidR="00BC7FD1" w:rsidRDefault="001D5FD3" w:rsidP="00443352">
      <w:pPr>
        <w:pStyle w:val="CLDNormal"/>
        <w:jc w:val="left"/>
      </w:pPr>
      <w:r>
        <w:t>RUXIENCE</w:t>
      </w:r>
      <w:r w:rsidR="00D204A9" w:rsidRPr="00D204A9">
        <w:t xml:space="preserve"> is contraindicated in patients with known hypersensitivity to rituximab, to any of its excipients or to murine proteins</w:t>
      </w:r>
    </w:p>
    <w:p w14:paraId="77FDCE1C" w14:textId="77777777" w:rsidR="00ED614A" w:rsidRDefault="00787D1C" w:rsidP="00443352">
      <w:pPr>
        <w:pStyle w:val="CLDHeading2"/>
        <w:jc w:val="left"/>
      </w:pPr>
      <w:r>
        <w:t>4.4</w:t>
      </w:r>
      <w:r>
        <w:tab/>
      </w:r>
      <w:r w:rsidR="00CD7E76">
        <w:t>Special w</w:t>
      </w:r>
      <w:r w:rsidR="0062454C" w:rsidRPr="0037240B">
        <w:t xml:space="preserve">arnings and </w:t>
      </w:r>
      <w:r w:rsidR="00CD7E76">
        <w:t>p</w:t>
      </w:r>
      <w:r w:rsidR="0062454C" w:rsidRPr="0037240B">
        <w:t>recautions</w:t>
      </w:r>
      <w:r w:rsidR="00315AB0">
        <w:t xml:space="preserve"> </w:t>
      </w:r>
      <w:r w:rsidR="00CD7E76">
        <w:t>for u</w:t>
      </w:r>
      <w:r w:rsidR="00683128">
        <w:t xml:space="preserve">se </w:t>
      </w:r>
    </w:p>
    <w:p w14:paraId="50D8D990" w14:textId="6CB507EC" w:rsidR="00D204A9" w:rsidRPr="00ED614A" w:rsidRDefault="00D204A9" w:rsidP="00443352">
      <w:pPr>
        <w:pStyle w:val="CLDNormal"/>
        <w:jc w:val="left"/>
        <w:rPr>
          <w:rFonts w:eastAsiaTheme="minorEastAsia"/>
          <w:b/>
          <w:lang w:val="en-US"/>
        </w:rPr>
      </w:pPr>
      <w:r w:rsidRPr="00ED614A">
        <w:rPr>
          <w:rFonts w:eastAsiaTheme="minorEastAsia"/>
          <w:b/>
          <w:lang w:val="en-US"/>
        </w:rPr>
        <w:t>Progressive multifocal leukoencephalopathy (PML)</w:t>
      </w:r>
    </w:p>
    <w:p w14:paraId="2A1F518A" w14:textId="61D6ADE4" w:rsidR="00642072" w:rsidRPr="00642072" w:rsidRDefault="00642072" w:rsidP="00443352">
      <w:pPr>
        <w:pStyle w:val="CLDNormal"/>
        <w:jc w:val="left"/>
        <w:rPr>
          <w:rFonts w:eastAsiaTheme="minorEastAsia"/>
          <w:lang w:val="en-US"/>
        </w:rPr>
      </w:pPr>
      <w:r w:rsidRPr="00642072">
        <w:rPr>
          <w:rFonts w:eastAsiaTheme="minorEastAsia"/>
          <w:lang w:val="en-US"/>
        </w:rPr>
        <w:t xml:space="preserve">Use of </w:t>
      </w:r>
      <w:r w:rsidR="00494787">
        <w:rPr>
          <w:rFonts w:eastAsiaTheme="minorEastAsia"/>
          <w:lang w:val="en-US"/>
        </w:rPr>
        <w:t>rituximab</w:t>
      </w:r>
      <w:r w:rsidRPr="00642072">
        <w:rPr>
          <w:rFonts w:eastAsiaTheme="minorEastAsia"/>
          <w:lang w:val="en-US"/>
        </w:rPr>
        <w:t xml:space="preserve"> may be associated with an increased risk of progressive multifocal leukoencephalopathy (PML). Patients must be monitored for any new or worsening neurological symptoms or signs suggestive of PML. Physicians treating patients should consider PML in the differential diagnosis of patients reporting neurological symptoms and consultation with a neurologist should be considered as clinically indicated.</w:t>
      </w:r>
    </w:p>
    <w:p w14:paraId="0E87E803" w14:textId="623A0A53" w:rsidR="00642072" w:rsidRPr="00642072" w:rsidRDefault="00642072" w:rsidP="00443352">
      <w:pPr>
        <w:pStyle w:val="CLDNormal"/>
        <w:jc w:val="left"/>
        <w:rPr>
          <w:rFonts w:eastAsiaTheme="minorEastAsia"/>
          <w:lang w:val="en-US"/>
        </w:rPr>
      </w:pPr>
      <w:r w:rsidRPr="00642072">
        <w:rPr>
          <w:rFonts w:eastAsiaTheme="minorEastAsia"/>
          <w:lang w:val="en-US"/>
        </w:rPr>
        <w:t xml:space="preserve">Physicians should be particularly alert to symptoms suggestive of PML that the patient may not notice (e.g. cognitive, neurological or psychiatric symptoms). If such symptoms occur, further administration of </w:t>
      </w:r>
      <w:r w:rsidR="00494787">
        <w:rPr>
          <w:rFonts w:eastAsiaTheme="minorEastAsia"/>
          <w:lang w:val="en-US"/>
        </w:rPr>
        <w:t>rituximab</w:t>
      </w:r>
      <w:r w:rsidRPr="00642072">
        <w:rPr>
          <w:rFonts w:eastAsiaTheme="minorEastAsia"/>
          <w:lang w:val="en-US"/>
        </w:rPr>
        <w:t xml:space="preserve"> should be immediately suspended until a diagnosis of PML has been excluded. To establish or exclude a diagnosis of PML evaluation including MRI scan, CSF testing for JC viral DNA and repeat neurological assessments, should be considered. Once PML has been excluded, the administration of </w:t>
      </w:r>
      <w:proofErr w:type="spellStart"/>
      <w:r w:rsidR="00494787">
        <w:rPr>
          <w:rFonts w:eastAsiaTheme="minorEastAsia"/>
          <w:lang w:val="en-US"/>
        </w:rPr>
        <w:t>rituximab</w:t>
      </w:r>
      <w:r w:rsidRPr="00642072">
        <w:rPr>
          <w:rFonts w:eastAsiaTheme="minorEastAsia"/>
          <w:lang w:val="en-US"/>
        </w:rPr>
        <w:t>may</w:t>
      </w:r>
      <w:proofErr w:type="spellEnd"/>
      <w:r w:rsidRPr="00642072">
        <w:rPr>
          <w:rFonts w:eastAsiaTheme="minorEastAsia"/>
          <w:lang w:val="en-US"/>
        </w:rPr>
        <w:t xml:space="preserve"> resume.</w:t>
      </w:r>
    </w:p>
    <w:p w14:paraId="0EDC7C81" w14:textId="67AAF0DC" w:rsidR="00092CA6" w:rsidRDefault="00642072" w:rsidP="00443352">
      <w:pPr>
        <w:pStyle w:val="CLDNormal"/>
        <w:jc w:val="left"/>
        <w:rPr>
          <w:rFonts w:eastAsiaTheme="minorEastAsia"/>
          <w:lang w:val="en-US"/>
        </w:rPr>
      </w:pPr>
      <w:r w:rsidRPr="00642072">
        <w:rPr>
          <w:rFonts w:eastAsiaTheme="minorEastAsia"/>
          <w:lang w:val="en-US"/>
        </w:rPr>
        <w:t xml:space="preserve">If a diagnosis of PML is confirmed </w:t>
      </w:r>
      <w:r w:rsidR="00494787">
        <w:rPr>
          <w:rFonts w:eastAsiaTheme="minorEastAsia"/>
          <w:lang w:val="en-US"/>
        </w:rPr>
        <w:t>rituximab</w:t>
      </w:r>
      <w:r w:rsidRPr="00642072">
        <w:rPr>
          <w:rFonts w:eastAsiaTheme="minorEastAsia"/>
          <w:lang w:val="en-US"/>
        </w:rPr>
        <w:t xml:space="preserve"> must be permanently discontinued. Patients should also be advised to inform their partner or caregivers about their treatment, since they may notice symptoms that the patient is not aware of.</w:t>
      </w:r>
    </w:p>
    <w:p w14:paraId="3BA12A4B" w14:textId="77777777" w:rsidR="00642072" w:rsidRPr="00642072" w:rsidRDefault="00642072" w:rsidP="00443352">
      <w:pPr>
        <w:pStyle w:val="CLDNormal"/>
        <w:jc w:val="left"/>
        <w:rPr>
          <w:rFonts w:eastAsiaTheme="minorEastAsia"/>
          <w:b/>
          <w:lang w:val="en-US"/>
        </w:rPr>
      </w:pPr>
      <w:r w:rsidRPr="00642072">
        <w:rPr>
          <w:rFonts w:eastAsiaTheme="minorEastAsia"/>
          <w:b/>
          <w:lang w:val="en-US"/>
        </w:rPr>
        <w:t xml:space="preserve">Non-Hodgkin’s Lymphoma and Chronic Lymphocytic </w:t>
      </w:r>
      <w:proofErr w:type="spellStart"/>
      <w:r w:rsidRPr="00642072">
        <w:rPr>
          <w:rFonts w:eastAsiaTheme="minorEastAsia"/>
          <w:b/>
          <w:lang w:val="en-US"/>
        </w:rPr>
        <w:t>Leukaemia</w:t>
      </w:r>
      <w:proofErr w:type="spellEnd"/>
    </w:p>
    <w:p w14:paraId="30E05963" w14:textId="77777777" w:rsidR="00642072" w:rsidRPr="00642072" w:rsidRDefault="00642072" w:rsidP="00443352">
      <w:pPr>
        <w:pStyle w:val="CLDNormal"/>
        <w:jc w:val="left"/>
        <w:rPr>
          <w:rFonts w:eastAsiaTheme="minorEastAsia"/>
          <w:u w:val="single"/>
          <w:lang w:val="en-US"/>
        </w:rPr>
      </w:pPr>
      <w:r w:rsidRPr="00642072">
        <w:rPr>
          <w:rFonts w:eastAsiaTheme="minorEastAsia"/>
          <w:u w:val="single"/>
          <w:lang w:val="en-US"/>
        </w:rPr>
        <w:t>Infusion-related reactions</w:t>
      </w:r>
    </w:p>
    <w:p w14:paraId="29D1F226" w14:textId="23E7188B" w:rsidR="00642072" w:rsidRPr="00642072" w:rsidRDefault="00F94C85" w:rsidP="00443352">
      <w:pPr>
        <w:pStyle w:val="CLDNormal"/>
        <w:jc w:val="left"/>
        <w:rPr>
          <w:rFonts w:eastAsiaTheme="minorEastAsia"/>
          <w:lang w:val="en-US"/>
        </w:rPr>
      </w:pPr>
      <w:r>
        <w:rPr>
          <w:rFonts w:eastAsiaTheme="minorEastAsia"/>
          <w:lang w:val="en-US"/>
        </w:rPr>
        <w:t>R</w:t>
      </w:r>
      <w:r w:rsidR="00494787">
        <w:rPr>
          <w:rFonts w:eastAsiaTheme="minorEastAsia"/>
          <w:lang w:val="en-US"/>
        </w:rPr>
        <w:t>ituximab</w:t>
      </w:r>
      <w:r w:rsidR="00642072" w:rsidRPr="00642072">
        <w:rPr>
          <w:rFonts w:eastAsiaTheme="minorEastAsia"/>
          <w:lang w:val="en-US"/>
        </w:rPr>
        <w:t xml:space="preserve"> is associated with infusion-related reactions, which may be related to release of cytokines and/or other chemical mediators. Cytokine release syndrome may be indistinguishable from acute hypersensitivity reactions.</w:t>
      </w:r>
    </w:p>
    <w:p w14:paraId="127B69D8" w14:textId="59102372" w:rsidR="00642072" w:rsidRDefault="00642072" w:rsidP="00443352">
      <w:pPr>
        <w:pStyle w:val="CLDNormal"/>
        <w:jc w:val="left"/>
        <w:rPr>
          <w:rFonts w:eastAsiaTheme="minorEastAsia"/>
          <w:lang w:val="en-US"/>
        </w:rPr>
      </w:pPr>
      <w:r w:rsidRPr="00642072">
        <w:rPr>
          <w:rFonts w:eastAsiaTheme="minorEastAsia"/>
          <w:lang w:val="en-US"/>
        </w:rPr>
        <w:t xml:space="preserve">Severe infusion-related reactions with fatal outcome have been reported during post-marketing use. Severe reactions usually manifested within 30 minutes to 2 hours after starting the first </w:t>
      </w:r>
      <w:r w:rsidR="00494787">
        <w:rPr>
          <w:rFonts w:eastAsiaTheme="minorEastAsia"/>
          <w:lang w:val="en-US"/>
        </w:rPr>
        <w:t>rituximab</w:t>
      </w:r>
      <w:r w:rsidRPr="00642072">
        <w:rPr>
          <w:rFonts w:eastAsiaTheme="minorEastAsia"/>
          <w:lang w:val="en-US"/>
        </w:rPr>
        <w:t xml:space="preserve"> infusion, were </w:t>
      </w:r>
      <w:proofErr w:type="spellStart"/>
      <w:r w:rsidRPr="00642072">
        <w:rPr>
          <w:rFonts w:eastAsiaTheme="minorEastAsia"/>
          <w:lang w:val="en-US"/>
        </w:rPr>
        <w:t>characterised</w:t>
      </w:r>
      <w:proofErr w:type="spellEnd"/>
      <w:r w:rsidRPr="00642072">
        <w:rPr>
          <w:rFonts w:eastAsiaTheme="minorEastAsia"/>
          <w:lang w:val="en-US"/>
        </w:rPr>
        <w:t xml:space="preserve"> by pulmonary events and included, in some cases, rapid </w:t>
      </w:r>
      <w:proofErr w:type="spellStart"/>
      <w:r w:rsidRPr="00642072">
        <w:rPr>
          <w:rFonts w:eastAsiaTheme="minorEastAsia"/>
          <w:lang w:val="en-US"/>
        </w:rPr>
        <w:t>tumour</w:t>
      </w:r>
      <w:proofErr w:type="spellEnd"/>
      <w:r w:rsidRPr="00642072">
        <w:rPr>
          <w:rFonts w:eastAsiaTheme="minorEastAsia"/>
          <w:lang w:val="en-US"/>
        </w:rPr>
        <w:t xml:space="preserve"> lysis and features of </w:t>
      </w:r>
      <w:proofErr w:type="spellStart"/>
      <w:r w:rsidRPr="00642072">
        <w:rPr>
          <w:rFonts w:eastAsiaTheme="minorEastAsia"/>
          <w:lang w:val="en-US"/>
        </w:rPr>
        <w:t>tumour</w:t>
      </w:r>
      <w:proofErr w:type="spellEnd"/>
      <w:r w:rsidRPr="00642072">
        <w:rPr>
          <w:rFonts w:eastAsiaTheme="minorEastAsia"/>
          <w:lang w:val="en-US"/>
        </w:rPr>
        <w:t xml:space="preserve"> lysis syndrome in addition to fever, chills, rigors, hypotension, </w:t>
      </w:r>
      <w:proofErr w:type="spellStart"/>
      <w:r w:rsidRPr="00642072">
        <w:rPr>
          <w:rFonts w:eastAsiaTheme="minorEastAsia"/>
          <w:lang w:val="en-US"/>
        </w:rPr>
        <w:t>urticaria</w:t>
      </w:r>
      <w:proofErr w:type="spellEnd"/>
      <w:r w:rsidRPr="00642072">
        <w:rPr>
          <w:rFonts w:eastAsiaTheme="minorEastAsia"/>
          <w:lang w:val="en-US"/>
        </w:rPr>
        <w:t xml:space="preserve">, </w:t>
      </w:r>
      <w:proofErr w:type="spellStart"/>
      <w:r w:rsidRPr="00642072">
        <w:rPr>
          <w:rFonts w:eastAsiaTheme="minorEastAsia"/>
          <w:lang w:val="en-US"/>
        </w:rPr>
        <w:t>angio-oedema</w:t>
      </w:r>
      <w:proofErr w:type="spellEnd"/>
      <w:r w:rsidRPr="00642072">
        <w:rPr>
          <w:rFonts w:eastAsiaTheme="minorEastAsia"/>
          <w:lang w:val="en-US"/>
        </w:rPr>
        <w:t xml:space="preserve"> and other symptoms. Patients with a high </w:t>
      </w:r>
      <w:proofErr w:type="spellStart"/>
      <w:r w:rsidRPr="00642072">
        <w:rPr>
          <w:rFonts w:eastAsiaTheme="minorEastAsia"/>
          <w:lang w:val="en-US"/>
        </w:rPr>
        <w:t>tumour</w:t>
      </w:r>
      <w:proofErr w:type="spellEnd"/>
      <w:r w:rsidRPr="00642072">
        <w:rPr>
          <w:rFonts w:eastAsiaTheme="minorEastAsia"/>
          <w:lang w:val="en-US"/>
        </w:rPr>
        <w:t xml:space="preserve"> burden or with a high number (&gt;25 x 10</w:t>
      </w:r>
      <w:r w:rsidRPr="00494787">
        <w:rPr>
          <w:rFonts w:eastAsiaTheme="minorEastAsia"/>
          <w:vertAlign w:val="superscript"/>
          <w:lang w:val="en-US"/>
        </w:rPr>
        <w:t>9</w:t>
      </w:r>
      <w:r w:rsidRPr="00642072">
        <w:rPr>
          <w:rFonts w:eastAsiaTheme="minorEastAsia"/>
          <w:lang w:val="en-US"/>
        </w:rPr>
        <w:t xml:space="preserve">/L) of circulating malignant cells such as patients with chronic lymphocytic </w:t>
      </w:r>
      <w:proofErr w:type="spellStart"/>
      <w:r w:rsidRPr="00642072">
        <w:rPr>
          <w:rFonts w:eastAsiaTheme="minorEastAsia"/>
          <w:lang w:val="en-US"/>
        </w:rPr>
        <w:t>leukaemia</w:t>
      </w:r>
      <w:proofErr w:type="spellEnd"/>
      <w:r w:rsidRPr="00642072">
        <w:rPr>
          <w:rFonts w:eastAsiaTheme="minorEastAsia"/>
          <w:lang w:val="en-US"/>
        </w:rPr>
        <w:t xml:space="preserve"> (CLL) and mantle cell lymphoma may be at higher risk of developing severe infusion-related reactions. Infusion reaction symptoms are usually reversible with interruption of the infusion. Treatment of infusion-related symptoms with an antihistamine and an analgesic/antipyretic (such as paracetamol) is recommended. Additional treatment with bronchodilators or IV saline may be indicated. In most cases, the infusion can be resumed at a 50% reduction in rate (e.g. from 100 mg/h to 50 mg/h) when symptoms have completely resolved. Most patients who have experienced non-life threatening infusion-related reactions have been able to complete the full course of </w:t>
      </w:r>
      <w:r w:rsidR="00494787">
        <w:rPr>
          <w:rFonts w:eastAsiaTheme="minorEastAsia"/>
          <w:lang w:val="en-US"/>
        </w:rPr>
        <w:t>rituximab</w:t>
      </w:r>
      <w:r w:rsidRPr="00642072">
        <w:rPr>
          <w:rFonts w:eastAsiaTheme="minorEastAsia"/>
          <w:lang w:val="en-US"/>
        </w:rPr>
        <w:t xml:space="preserve"> therapy. Further treatment of patients after complete resolution of signs and symptoms has rarely resulted in repeated severe infusion-related reactions.</w:t>
      </w:r>
      <w:r>
        <w:rPr>
          <w:rFonts w:eastAsiaTheme="minorEastAsia"/>
          <w:lang w:val="en-US"/>
        </w:rPr>
        <w:t xml:space="preserve"> </w:t>
      </w:r>
    </w:p>
    <w:p w14:paraId="23984123" w14:textId="77777777" w:rsidR="00642072" w:rsidRPr="00642072" w:rsidRDefault="00642072" w:rsidP="00443352">
      <w:pPr>
        <w:pStyle w:val="CLDNormal"/>
        <w:jc w:val="left"/>
        <w:rPr>
          <w:rFonts w:eastAsiaTheme="minorEastAsia"/>
          <w:lang w:val="en-US"/>
        </w:rPr>
      </w:pPr>
      <w:r w:rsidRPr="00642072">
        <w:rPr>
          <w:rFonts w:eastAsiaTheme="minorEastAsia"/>
          <w:lang w:val="en-US"/>
        </w:rPr>
        <w:t>Patients with a high number (&gt;25 x 10</w:t>
      </w:r>
      <w:r w:rsidRPr="00494787">
        <w:rPr>
          <w:rFonts w:eastAsiaTheme="minorEastAsia"/>
          <w:vertAlign w:val="superscript"/>
          <w:lang w:val="en-US"/>
        </w:rPr>
        <w:t>9</w:t>
      </w:r>
      <w:r w:rsidRPr="00642072">
        <w:rPr>
          <w:rFonts w:eastAsiaTheme="minorEastAsia"/>
          <w:lang w:val="en-US"/>
        </w:rPr>
        <w:t xml:space="preserve">/L) of circulating malignant cells or high </w:t>
      </w:r>
      <w:proofErr w:type="spellStart"/>
      <w:r w:rsidRPr="00642072">
        <w:rPr>
          <w:rFonts w:eastAsiaTheme="minorEastAsia"/>
          <w:lang w:val="en-US"/>
        </w:rPr>
        <w:t>tumour</w:t>
      </w:r>
      <w:proofErr w:type="spellEnd"/>
      <w:r w:rsidRPr="00642072">
        <w:rPr>
          <w:rFonts w:eastAsiaTheme="minorEastAsia"/>
          <w:lang w:val="en-US"/>
        </w:rPr>
        <w:t xml:space="preserve"> burden such as patients with CLL and mantle cell lymphoma, who may be at higher risk of especially severe infusion-related reactions, should only be treated with extreme caution and when other therapeutic alternatives have been exhausted. These patients should be very closely monitored throughout the first infusion. Consideration should be given to the use of a reduced infusion rate for the first infusion in these patients, or a split dosing over two days during the first cycle and any subsequent cycles if the lymphocyte count is still &gt;25 x 10</w:t>
      </w:r>
      <w:r w:rsidRPr="00494787">
        <w:rPr>
          <w:rFonts w:eastAsiaTheme="minorEastAsia"/>
          <w:vertAlign w:val="superscript"/>
          <w:lang w:val="en-US"/>
        </w:rPr>
        <w:t>9</w:t>
      </w:r>
      <w:r w:rsidRPr="00642072">
        <w:rPr>
          <w:rFonts w:eastAsiaTheme="minorEastAsia"/>
          <w:lang w:val="en-US"/>
        </w:rPr>
        <w:t>/L.</w:t>
      </w:r>
    </w:p>
    <w:p w14:paraId="2307A200" w14:textId="77777777" w:rsidR="00642072" w:rsidRPr="00642072" w:rsidRDefault="00642072" w:rsidP="00443352">
      <w:pPr>
        <w:pStyle w:val="CLDNormal"/>
        <w:jc w:val="left"/>
        <w:rPr>
          <w:rFonts w:eastAsiaTheme="minorEastAsia"/>
          <w:u w:val="single"/>
          <w:lang w:val="en-US"/>
        </w:rPr>
      </w:pPr>
      <w:r w:rsidRPr="00642072">
        <w:rPr>
          <w:rFonts w:eastAsiaTheme="minorEastAsia"/>
          <w:u w:val="single"/>
          <w:lang w:val="en-US"/>
        </w:rPr>
        <w:t>Hypersensitivity Reactions/Anaphylaxis</w:t>
      </w:r>
    </w:p>
    <w:p w14:paraId="76DE9C02" w14:textId="5B2CAF65" w:rsidR="00642072" w:rsidRDefault="00642072" w:rsidP="00443352">
      <w:pPr>
        <w:pStyle w:val="CLDNormal"/>
        <w:jc w:val="left"/>
        <w:rPr>
          <w:rFonts w:eastAsiaTheme="minorEastAsia"/>
          <w:lang w:val="en-US"/>
        </w:rPr>
      </w:pPr>
      <w:r w:rsidRPr="00642072">
        <w:rPr>
          <w:rFonts w:eastAsiaTheme="minorEastAsia"/>
          <w:lang w:val="en-US"/>
        </w:rPr>
        <w:t xml:space="preserve">Anaphylactic and other hypersensitivity reactions have been reported following the intravenous administration of proteins to patients. Adrenaline, antihistamines and corticosteroids should be available for immediate use in the event of a hypersensitivity reaction to </w:t>
      </w:r>
      <w:r w:rsidR="00AC690B">
        <w:rPr>
          <w:rFonts w:eastAsiaTheme="minorEastAsia"/>
          <w:lang w:val="en-US"/>
        </w:rPr>
        <w:t>rituximab</w:t>
      </w:r>
      <w:r w:rsidRPr="00642072">
        <w:rPr>
          <w:rFonts w:eastAsiaTheme="minorEastAsia"/>
          <w:lang w:val="en-US"/>
        </w:rPr>
        <w:t>.</w:t>
      </w:r>
    </w:p>
    <w:p w14:paraId="5513F9E7" w14:textId="77777777" w:rsidR="00642072" w:rsidRPr="00642072" w:rsidRDefault="00642072" w:rsidP="00443352">
      <w:pPr>
        <w:pStyle w:val="CLDNormal"/>
        <w:jc w:val="left"/>
        <w:rPr>
          <w:rFonts w:eastAsiaTheme="minorEastAsia"/>
          <w:u w:val="single"/>
          <w:lang w:val="en-US"/>
        </w:rPr>
      </w:pPr>
      <w:r w:rsidRPr="00642072">
        <w:rPr>
          <w:rFonts w:eastAsiaTheme="minorEastAsia"/>
          <w:u w:val="single"/>
          <w:lang w:val="en-US"/>
        </w:rPr>
        <w:t>Pulmonary events</w:t>
      </w:r>
    </w:p>
    <w:p w14:paraId="7A66F273" w14:textId="77777777" w:rsidR="00642072" w:rsidRDefault="00642072" w:rsidP="00443352">
      <w:pPr>
        <w:pStyle w:val="CLDNormal"/>
        <w:jc w:val="left"/>
        <w:rPr>
          <w:rFonts w:eastAsiaTheme="minorEastAsia"/>
          <w:lang w:val="en-US"/>
        </w:rPr>
      </w:pPr>
      <w:r w:rsidRPr="00642072">
        <w:rPr>
          <w:rFonts w:eastAsiaTheme="minorEastAsia"/>
          <w:lang w:val="en-US"/>
        </w:rPr>
        <w:t xml:space="preserve">Pulmonary events have included hypoxia, lung infiltration, and acute respiratory failure. Some of these events have been preceded by severe bronchospasm and </w:t>
      </w:r>
      <w:proofErr w:type="spellStart"/>
      <w:r w:rsidRPr="00642072">
        <w:rPr>
          <w:rFonts w:eastAsiaTheme="minorEastAsia"/>
          <w:lang w:val="en-US"/>
        </w:rPr>
        <w:t>dyspnoea</w:t>
      </w:r>
      <w:proofErr w:type="spellEnd"/>
      <w:r w:rsidRPr="00642072">
        <w:rPr>
          <w:rFonts w:eastAsiaTheme="minorEastAsia"/>
          <w:lang w:val="en-US"/>
        </w:rPr>
        <w:t xml:space="preserve">. In some cases, symptoms worsened over time, while in others initial improvement was followed by clinical deterioration. Therefore, patients experiencing pulmonary events or other severe infusion-related symptoms should be closely monitored until complete resolution of their symptoms occurs. Patients with a history of pulmonary insufficiency or those with pulmonary </w:t>
      </w:r>
      <w:proofErr w:type="spellStart"/>
      <w:r w:rsidRPr="00642072">
        <w:rPr>
          <w:rFonts w:eastAsiaTheme="minorEastAsia"/>
          <w:lang w:val="en-US"/>
        </w:rPr>
        <w:t>tumour</w:t>
      </w:r>
      <w:proofErr w:type="spellEnd"/>
      <w:r w:rsidRPr="00642072">
        <w:rPr>
          <w:rFonts w:eastAsiaTheme="minorEastAsia"/>
          <w:lang w:val="en-US"/>
        </w:rPr>
        <w:t xml:space="preserve"> infiltration may be at greater risk of poor outcome and should be treated with increased caution. Acute respiratory failure may be accompanied by events such as pulmonary interstitial infiltration or </w:t>
      </w:r>
      <w:proofErr w:type="spellStart"/>
      <w:r w:rsidRPr="00642072">
        <w:rPr>
          <w:rFonts w:eastAsiaTheme="minorEastAsia"/>
          <w:lang w:val="en-US"/>
        </w:rPr>
        <w:t>oedema</w:t>
      </w:r>
      <w:proofErr w:type="spellEnd"/>
      <w:r w:rsidRPr="00642072">
        <w:rPr>
          <w:rFonts w:eastAsiaTheme="minorEastAsia"/>
          <w:lang w:val="en-US"/>
        </w:rPr>
        <w:t>, visible on a chest x-ray. The syndrome usually manifests itself within one or two hours of initiating the first IV infusion. Patients who experience severe pulmonary events should have their infusion interrupted immediately and should receive aggressive symptomatic treatment. Since initial improvement of clinical symptoms may be followed by deterioration, these patients should be closely monitored until the pulmonary event has resolved.</w:t>
      </w:r>
    </w:p>
    <w:p w14:paraId="5A701652" w14:textId="77777777" w:rsidR="00642072" w:rsidRPr="00642072" w:rsidRDefault="00642072" w:rsidP="00443352">
      <w:pPr>
        <w:pStyle w:val="CLDNormal"/>
        <w:jc w:val="left"/>
        <w:rPr>
          <w:rFonts w:eastAsiaTheme="minorEastAsia"/>
          <w:u w:val="single"/>
          <w:lang w:val="en-US"/>
        </w:rPr>
      </w:pPr>
      <w:r w:rsidRPr="00642072">
        <w:rPr>
          <w:rFonts w:eastAsiaTheme="minorEastAsia"/>
          <w:u w:val="single"/>
          <w:lang w:val="en-US"/>
        </w:rPr>
        <w:t xml:space="preserve">Rapid </w:t>
      </w:r>
      <w:proofErr w:type="spellStart"/>
      <w:r w:rsidRPr="00642072">
        <w:rPr>
          <w:rFonts w:eastAsiaTheme="minorEastAsia"/>
          <w:u w:val="single"/>
          <w:lang w:val="en-US"/>
        </w:rPr>
        <w:t>tumour</w:t>
      </w:r>
      <w:proofErr w:type="spellEnd"/>
      <w:r w:rsidRPr="00642072">
        <w:rPr>
          <w:rFonts w:eastAsiaTheme="minorEastAsia"/>
          <w:u w:val="single"/>
          <w:lang w:val="en-US"/>
        </w:rPr>
        <w:t xml:space="preserve"> lysis</w:t>
      </w:r>
    </w:p>
    <w:p w14:paraId="19151B09" w14:textId="2FF2D3C8" w:rsidR="00642072" w:rsidRPr="00642072" w:rsidRDefault="00494787" w:rsidP="00443352">
      <w:pPr>
        <w:pStyle w:val="CLDNormal"/>
        <w:jc w:val="left"/>
        <w:rPr>
          <w:rFonts w:eastAsiaTheme="minorEastAsia"/>
          <w:lang w:val="en-US"/>
        </w:rPr>
      </w:pPr>
      <w:r>
        <w:rPr>
          <w:rFonts w:eastAsiaTheme="minorEastAsia"/>
          <w:lang w:val="en-US"/>
        </w:rPr>
        <w:t>Rituximab</w:t>
      </w:r>
      <w:r w:rsidR="00642072" w:rsidRPr="00642072">
        <w:rPr>
          <w:rFonts w:eastAsiaTheme="minorEastAsia"/>
          <w:lang w:val="en-US"/>
        </w:rPr>
        <w:t xml:space="preserve"> mediates the rapid lysis of benign and malignant CD20-positive cells. Signs and symptoms (e.g. </w:t>
      </w:r>
      <w:proofErr w:type="spellStart"/>
      <w:r w:rsidR="00642072" w:rsidRPr="00642072">
        <w:rPr>
          <w:rFonts w:eastAsiaTheme="minorEastAsia"/>
          <w:lang w:val="en-US"/>
        </w:rPr>
        <w:t>hyperuricaemia</w:t>
      </w:r>
      <w:proofErr w:type="spellEnd"/>
      <w:r w:rsidR="00642072" w:rsidRPr="00642072">
        <w:rPr>
          <w:rFonts w:eastAsiaTheme="minorEastAsia"/>
          <w:lang w:val="en-US"/>
        </w:rPr>
        <w:t xml:space="preserve">, </w:t>
      </w:r>
      <w:proofErr w:type="spellStart"/>
      <w:r w:rsidR="00642072" w:rsidRPr="00642072">
        <w:rPr>
          <w:rFonts w:eastAsiaTheme="minorEastAsia"/>
          <w:lang w:val="en-US"/>
        </w:rPr>
        <w:t>hyperkalaemia</w:t>
      </w:r>
      <w:proofErr w:type="spellEnd"/>
      <w:r w:rsidR="00642072" w:rsidRPr="00642072">
        <w:rPr>
          <w:rFonts w:eastAsiaTheme="minorEastAsia"/>
          <w:lang w:val="en-US"/>
        </w:rPr>
        <w:t xml:space="preserve">, hypocalcaemia, acute renal failure, elevated LDH) consistent with </w:t>
      </w:r>
      <w:proofErr w:type="spellStart"/>
      <w:r w:rsidR="00642072" w:rsidRPr="00642072">
        <w:rPr>
          <w:rFonts w:eastAsiaTheme="minorEastAsia"/>
          <w:lang w:val="en-US"/>
        </w:rPr>
        <w:t>tumour</w:t>
      </w:r>
      <w:proofErr w:type="spellEnd"/>
      <w:r w:rsidR="00642072" w:rsidRPr="00642072">
        <w:rPr>
          <w:rFonts w:eastAsiaTheme="minorEastAsia"/>
          <w:lang w:val="en-US"/>
        </w:rPr>
        <w:t xml:space="preserve"> lysis syndrome (TLS) have been reported to occur after the first </w:t>
      </w:r>
      <w:proofErr w:type="spellStart"/>
      <w:r>
        <w:rPr>
          <w:rFonts w:eastAsiaTheme="minorEastAsia"/>
          <w:lang w:val="en-US"/>
        </w:rPr>
        <w:t>rituximab</w:t>
      </w:r>
      <w:r w:rsidR="00642072" w:rsidRPr="00642072">
        <w:rPr>
          <w:rFonts w:eastAsiaTheme="minorEastAsia"/>
          <w:lang w:val="en-US"/>
        </w:rPr>
        <w:t>infusion</w:t>
      </w:r>
      <w:proofErr w:type="spellEnd"/>
      <w:r w:rsidR="00642072" w:rsidRPr="00642072">
        <w:rPr>
          <w:rFonts w:eastAsiaTheme="minorEastAsia"/>
          <w:lang w:val="en-US"/>
        </w:rPr>
        <w:t xml:space="preserve"> in patients with high numbers of circulating malignant lymphocytes. Prophylaxis for TLS should be considered for patients at risk of developing rapid </w:t>
      </w:r>
      <w:proofErr w:type="spellStart"/>
      <w:r w:rsidR="00642072" w:rsidRPr="00642072">
        <w:rPr>
          <w:rFonts w:eastAsiaTheme="minorEastAsia"/>
          <w:lang w:val="en-US"/>
        </w:rPr>
        <w:t>tumour</w:t>
      </w:r>
      <w:proofErr w:type="spellEnd"/>
      <w:r w:rsidR="00642072" w:rsidRPr="00642072">
        <w:rPr>
          <w:rFonts w:eastAsiaTheme="minorEastAsia"/>
          <w:lang w:val="en-US"/>
        </w:rPr>
        <w:t xml:space="preserve"> lysis (e.g. patients with a high </w:t>
      </w:r>
      <w:proofErr w:type="spellStart"/>
      <w:r w:rsidR="00642072" w:rsidRPr="00642072">
        <w:rPr>
          <w:rFonts w:eastAsiaTheme="minorEastAsia"/>
          <w:lang w:val="en-US"/>
        </w:rPr>
        <w:t>tumour</w:t>
      </w:r>
      <w:proofErr w:type="spellEnd"/>
      <w:r w:rsidR="00642072" w:rsidRPr="00642072">
        <w:rPr>
          <w:rFonts w:eastAsiaTheme="minorEastAsia"/>
          <w:lang w:val="en-US"/>
        </w:rPr>
        <w:t xml:space="preserve"> burden or with a high number (&gt;25 x 10</w:t>
      </w:r>
      <w:r w:rsidR="00642072" w:rsidRPr="00E05972">
        <w:rPr>
          <w:rFonts w:eastAsiaTheme="minorEastAsia"/>
          <w:vertAlign w:val="superscript"/>
          <w:lang w:val="en-US"/>
        </w:rPr>
        <w:t>9</w:t>
      </w:r>
      <w:r w:rsidR="00642072" w:rsidRPr="00642072">
        <w:rPr>
          <w:rFonts w:eastAsiaTheme="minorEastAsia"/>
          <w:lang w:val="en-US"/>
        </w:rPr>
        <w:t xml:space="preserve">/L) of circulating malignant cells such as patients with CLL and mantle cell lymphoma). These patients should be followed closely and appropriate laboratory monitoring performed. Appropriate medical therapy should be provided for patients who develop signs and symptoms consistent with rapid </w:t>
      </w:r>
      <w:proofErr w:type="spellStart"/>
      <w:r w:rsidR="00642072" w:rsidRPr="00642072">
        <w:rPr>
          <w:rFonts w:eastAsiaTheme="minorEastAsia"/>
          <w:lang w:val="en-US"/>
        </w:rPr>
        <w:t>tumour</w:t>
      </w:r>
      <w:proofErr w:type="spellEnd"/>
      <w:r w:rsidR="00642072" w:rsidRPr="00642072">
        <w:rPr>
          <w:rFonts w:eastAsiaTheme="minorEastAsia"/>
          <w:lang w:val="en-US"/>
        </w:rPr>
        <w:t xml:space="preserve"> lysis. Following treatment for and complete resolution of signs and symptoms, subsequent </w:t>
      </w:r>
      <w:r w:rsidR="00E05972">
        <w:rPr>
          <w:rFonts w:eastAsiaTheme="minorEastAsia"/>
          <w:lang w:val="en-US"/>
        </w:rPr>
        <w:t>rituximab</w:t>
      </w:r>
      <w:r w:rsidR="00642072" w:rsidRPr="00642072">
        <w:rPr>
          <w:rFonts w:eastAsiaTheme="minorEastAsia"/>
          <w:lang w:val="en-US"/>
        </w:rPr>
        <w:t xml:space="preserve"> therapy has been administered in conjunction with prophylactic therapy for TLS in a limited number of cases.</w:t>
      </w:r>
    </w:p>
    <w:p w14:paraId="59BAFA8A" w14:textId="77777777" w:rsidR="00642072" w:rsidRPr="00642072" w:rsidRDefault="00642072" w:rsidP="00443352">
      <w:pPr>
        <w:pStyle w:val="CLDNormal"/>
        <w:jc w:val="left"/>
        <w:rPr>
          <w:rFonts w:eastAsiaTheme="minorEastAsia"/>
          <w:u w:val="single"/>
          <w:lang w:val="en-US"/>
        </w:rPr>
      </w:pPr>
      <w:r w:rsidRPr="00642072">
        <w:rPr>
          <w:rFonts w:eastAsiaTheme="minorEastAsia"/>
          <w:u w:val="single"/>
          <w:lang w:val="en-US"/>
        </w:rPr>
        <w:t>Cardiovascular</w:t>
      </w:r>
    </w:p>
    <w:p w14:paraId="752A6AE7" w14:textId="6AE0485B" w:rsidR="00642072" w:rsidRDefault="00642072" w:rsidP="00443352">
      <w:pPr>
        <w:pStyle w:val="CLDNormal"/>
        <w:jc w:val="left"/>
        <w:rPr>
          <w:rFonts w:eastAsiaTheme="minorEastAsia"/>
          <w:lang w:val="en-US"/>
        </w:rPr>
      </w:pPr>
      <w:r w:rsidRPr="00642072">
        <w:rPr>
          <w:rFonts w:eastAsiaTheme="minorEastAsia"/>
          <w:lang w:val="en-US"/>
        </w:rPr>
        <w:t xml:space="preserve">Since hypotension may occur during </w:t>
      </w:r>
      <w:r w:rsidR="00E05972">
        <w:rPr>
          <w:rFonts w:eastAsiaTheme="minorEastAsia"/>
          <w:lang w:val="en-US"/>
        </w:rPr>
        <w:t>rituximab</w:t>
      </w:r>
      <w:r w:rsidRPr="00642072">
        <w:rPr>
          <w:rFonts w:eastAsiaTheme="minorEastAsia"/>
          <w:lang w:val="en-US"/>
        </w:rPr>
        <w:t xml:space="preserve"> infusion, consideration should be given to withholding antihypertensive medications 12 hours prior to and throughout </w:t>
      </w:r>
      <w:r w:rsidR="00AC690B">
        <w:rPr>
          <w:rFonts w:eastAsiaTheme="minorEastAsia"/>
          <w:lang w:val="en-US"/>
        </w:rPr>
        <w:t>rituximab</w:t>
      </w:r>
      <w:r w:rsidRPr="00642072">
        <w:rPr>
          <w:rFonts w:eastAsiaTheme="minorEastAsia"/>
          <w:lang w:val="en-US"/>
        </w:rPr>
        <w:t xml:space="preserve"> infusion. Angina pectoris or cardiac arrhythmia, such as atrial flutter and fibrillation, heart failure or myocardial infarction have occurred in patients treated with </w:t>
      </w:r>
      <w:r w:rsidR="00AB2C88">
        <w:rPr>
          <w:rFonts w:eastAsiaTheme="minorEastAsia"/>
          <w:lang w:val="en-US"/>
        </w:rPr>
        <w:t>rituximab</w:t>
      </w:r>
      <w:r w:rsidRPr="00642072">
        <w:rPr>
          <w:rFonts w:eastAsiaTheme="minorEastAsia"/>
          <w:lang w:val="en-US"/>
        </w:rPr>
        <w:t>. Therefore patients with a history of cardiac disease should be monitored closely. Infusions should be discontinued in the event of serious or life-threatening cardiac arrhythmias.</w:t>
      </w:r>
      <w:r>
        <w:rPr>
          <w:rFonts w:eastAsiaTheme="minorEastAsia"/>
          <w:lang w:val="en-US"/>
        </w:rPr>
        <w:t xml:space="preserve"> </w:t>
      </w:r>
    </w:p>
    <w:p w14:paraId="775419E6" w14:textId="77777777" w:rsidR="00642072" w:rsidRPr="00AB2C88" w:rsidRDefault="00642072" w:rsidP="00443352">
      <w:pPr>
        <w:pStyle w:val="CLDNormal"/>
        <w:jc w:val="left"/>
        <w:rPr>
          <w:rFonts w:eastAsiaTheme="minorEastAsia"/>
          <w:u w:val="single"/>
          <w:lang w:val="en-US"/>
        </w:rPr>
      </w:pPr>
      <w:r w:rsidRPr="00AB2C88">
        <w:rPr>
          <w:rFonts w:eastAsiaTheme="minorEastAsia"/>
          <w:u w:val="single"/>
          <w:lang w:val="en-US"/>
        </w:rPr>
        <w:t>Monitoring of Blood Counts</w:t>
      </w:r>
    </w:p>
    <w:p w14:paraId="707281AA" w14:textId="7FD6791D" w:rsidR="00642072" w:rsidRPr="00642072" w:rsidRDefault="00642072" w:rsidP="00443352">
      <w:pPr>
        <w:pStyle w:val="CLDNormal"/>
        <w:jc w:val="left"/>
        <w:rPr>
          <w:rFonts w:eastAsiaTheme="minorEastAsia"/>
          <w:lang w:val="en-US"/>
        </w:rPr>
      </w:pPr>
      <w:r w:rsidRPr="00642072">
        <w:rPr>
          <w:rFonts w:eastAsiaTheme="minorEastAsia"/>
          <w:lang w:val="en-US"/>
        </w:rPr>
        <w:t xml:space="preserve">Although </w:t>
      </w:r>
      <w:r w:rsidR="00AB2C88">
        <w:rPr>
          <w:rFonts w:eastAsiaTheme="minorEastAsia"/>
          <w:lang w:val="en-US"/>
        </w:rPr>
        <w:t>rituximab</w:t>
      </w:r>
      <w:r w:rsidRPr="00642072">
        <w:rPr>
          <w:rFonts w:eastAsiaTheme="minorEastAsia"/>
          <w:lang w:val="en-US"/>
        </w:rPr>
        <w:t xml:space="preserve"> is not </w:t>
      </w:r>
      <w:proofErr w:type="spellStart"/>
      <w:r w:rsidRPr="00642072">
        <w:rPr>
          <w:rFonts w:eastAsiaTheme="minorEastAsia"/>
          <w:lang w:val="en-US"/>
        </w:rPr>
        <w:t>myelosuppressive</w:t>
      </w:r>
      <w:proofErr w:type="spellEnd"/>
      <w:r w:rsidRPr="00642072">
        <w:rPr>
          <w:rFonts w:eastAsiaTheme="minorEastAsia"/>
          <w:lang w:val="en-US"/>
        </w:rPr>
        <w:t xml:space="preserve"> in monotherapy, caution should be exercised when considering treatment of patients with neutrophil counts of &lt;1.5 x 10</w:t>
      </w:r>
      <w:r w:rsidRPr="00D326BC">
        <w:rPr>
          <w:rFonts w:eastAsiaTheme="minorEastAsia"/>
          <w:vertAlign w:val="superscript"/>
          <w:lang w:val="en-US"/>
        </w:rPr>
        <w:t>9</w:t>
      </w:r>
      <w:r w:rsidRPr="00642072">
        <w:rPr>
          <w:rFonts w:eastAsiaTheme="minorEastAsia"/>
          <w:lang w:val="en-US"/>
        </w:rPr>
        <w:t>/L and/or platelet counts of &lt;75 x 10</w:t>
      </w:r>
      <w:r w:rsidRPr="00D326BC">
        <w:rPr>
          <w:rFonts w:eastAsiaTheme="minorEastAsia"/>
          <w:vertAlign w:val="superscript"/>
          <w:lang w:val="en-US"/>
        </w:rPr>
        <w:t>9</w:t>
      </w:r>
      <w:r w:rsidRPr="00642072">
        <w:rPr>
          <w:rFonts w:eastAsiaTheme="minorEastAsia"/>
          <w:lang w:val="en-US"/>
        </w:rPr>
        <w:t xml:space="preserve">/L, as clinical experience with such patients is limited. </w:t>
      </w:r>
      <w:r w:rsidR="00F94C85">
        <w:rPr>
          <w:rFonts w:eastAsiaTheme="minorEastAsia"/>
          <w:lang w:val="en-US"/>
        </w:rPr>
        <w:t>R</w:t>
      </w:r>
      <w:r w:rsidR="00D326BC">
        <w:rPr>
          <w:rFonts w:eastAsiaTheme="minorEastAsia"/>
          <w:lang w:val="en-US"/>
        </w:rPr>
        <w:t xml:space="preserve">ituximab </w:t>
      </w:r>
      <w:r w:rsidRPr="00642072">
        <w:rPr>
          <w:rFonts w:eastAsiaTheme="minorEastAsia"/>
          <w:lang w:val="en-US"/>
        </w:rPr>
        <w:t xml:space="preserve">has been used in patients who underwent autologous bone marrow transplantation and in other risk groups with a presumable reduced bone marrow function without inducing </w:t>
      </w:r>
      <w:proofErr w:type="spellStart"/>
      <w:r w:rsidRPr="00642072">
        <w:rPr>
          <w:rFonts w:eastAsiaTheme="minorEastAsia"/>
          <w:lang w:val="en-US"/>
        </w:rPr>
        <w:t>myelotoxicity</w:t>
      </w:r>
      <w:proofErr w:type="spellEnd"/>
      <w:r w:rsidRPr="00642072">
        <w:rPr>
          <w:rFonts w:eastAsiaTheme="minorEastAsia"/>
          <w:lang w:val="en-US"/>
        </w:rPr>
        <w:t>.</w:t>
      </w:r>
    </w:p>
    <w:p w14:paraId="73E5535C" w14:textId="007126B9" w:rsidR="00642072" w:rsidRDefault="00642072" w:rsidP="00443352">
      <w:pPr>
        <w:pStyle w:val="CLDNormal"/>
        <w:jc w:val="left"/>
        <w:rPr>
          <w:rFonts w:eastAsiaTheme="minorEastAsia"/>
          <w:lang w:val="en-US"/>
        </w:rPr>
      </w:pPr>
      <w:r w:rsidRPr="00642072">
        <w:rPr>
          <w:rFonts w:eastAsiaTheme="minorEastAsia"/>
          <w:lang w:val="en-US"/>
        </w:rPr>
        <w:t xml:space="preserve">Consideration should be given to the need for regular full blood counts, including platelet counts, during monotherapy with </w:t>
      </w:r>
      <w:r w:rsidR="00AC690B">
        <w:rPr>
          <w:rFonts w:eastAsiaTheme="minorEastAsia"/>
          <w:lang w:val="en-US"/>
        </w:rPr>
        <w:t>rituximab</w:t>
      </w:r>
      <w:r w:rsidRPr="00642072">
        <w:rPr>
          <w:rFonts w:eastAsiaTheme="minorEastAsia"/>
          <w:lang w:val="en-US"/>
        </w:rPr>
        <w:t xml:space="preserve">. When </w:t>
      </w:r>
      <w:bookmarkStart w:id="0" w:name="_Hlk23931129"/>
      <w:r w:rsidR="00AC690B">
        <w:rPr>
          <w:rFonts w:eastAsiaTheme="minorEastAsia"/>
          <w:lang w:val="en-US"/>
        </w:rPr>
        <w:t>rituximab</w:t>
      </w:r>
      <w:bookmarkEnd w:id="0"/>
      <w:r w:rsidRPr="00642072">
        <w:rPr>
          <w:rFonts w:eastAsiaTheme="minorEastAsia"/>
          <w:lang w:val="en-US"/>
        </w:rPr>
        <w:t xml:space="preserve"> is given in combination with CHOP or CVP chemotherapy, regular full blood counts should be performed according to usual medical practice.</w:t>
      </w:r>
    </w:p>
    <w:p w14:paraId="3FBBF352" w14:textId="77777777" w:rsidR="00642072" w:rsidRPr="00642072" w:rsidRDefault="00642072" w:rsidP="00443352">
      <w:pPr>
        <w:pStyle w:val="CLDNormal"/>
        <w:jc w:val="left"/>
        <w:rPr>
          <w:rFonts w:eastAsiaTheme="minorEastAsia"/>
          <w:u w:val="single"/>
          <w:lang w:val="en-US"/>
        </w:rPr>
      </w:pPr>
      <w:r w:rsidRPr="00642072">
        <w:rPr>
          <w:rFonts w:eastAsiaTheme="minorEastAsia"/>
          <w:u w:val="single"/>
          <w:lang w:val="en-US"/>
        </w:rPr>
        <w:t>Infections</w:t>
      </w:r>
    </w:p>
    <w:p w14:paraId="28727738" w14:textId="162715B1" w:rsidR="00642072" w:rsidRPr="00642072" w:rsidRDefault="00F94C85" w:rsidP="00443352">
      <w:pPr>
        <w:pStyle w:val="CLDNormal"/>
        <w:jc w:val="left"/>
        <w:rPr>
          <w:rFonts w:eastAsiaTheme="minorEastAsia"/>
          <w:lang w:val="en-US"/>
        </w:rPr>
      </w:pPr>
      <w:r>
        <w:rPr>
          <w:rFonts w:eastAsiaTheme="minorEastAsia"/>
          <w:lang w:val="en-US"/>
        </w:rPr>
        <w:t>R</w:t>
      </w:r>
      <w:r w:rsidR="00D326BC">
        <w:rPr>
          <w:rFonts w:eastAsiaTheme="minorEastAsia"/>
          <w:lang w:val="en-US"/>
        </w:rPr>
        <w:t>ituximab</w:t>
      </w:r>
      <w:r w:rsidR="00642072" w:rsidRPr="00642072">
        <w:rPr>
          <w:rFonts w:eastAsiaTheme="minorEastAsia"/>
          <w:lang w:val="en-US"/>
        </w:rPr>
        <w:t xml:space="preserve"> treatment should not be initiated in patients with severe active infections.</w:t>
      </w:r>
    </w:p>
    <w:p w14:paraId="4A545E6F" w14:textId="234FEC9C" w:rsidR="00642072" w:rsidRPr="00642072" w:rsidRDefault="00642072" w:rsidP="00443352">
      <w:pPr>
        <w:pStyle w:val="CLDNormal"/>
        <w:jc w:val="left"/>
        <w:rPr>
          <w:rFonts w:eastAsiaTheme="minorEastAsia"/>
          <w:lang w:val="en-US"/>
        </w:rPr>
      </w:pPr>
      <w:r w:rsidRPr="00642072">
        <w:rPr>
          <w:rFonts w:eastAsiaTheme="minorEastAsia"/>
          <w:lang w:val="en-US"/>
        </w:rPr>
        <w:t xml:space="preserve">Cases of Hepatitis B virus (HBV) reactivation, occasionally with fulminant hepatitis, hepatic failure, and death have been reported in some patients with </w:t>
      </w:r>
      <w:proofErr w:type="spellStart"/>
      <w:r w:rsidRPr="00642072">
        <w:rPr>
          <w:rFonts w:eastAsiaTheme="minorEastAsia"/>
          <w:lang w:val="en-US"/>
        </w:rPr>
        <w:t>haematologic</w:t>
      </w:r>
      <w:proofErr w:type="spellEnd"/>
      <w:r w:rsidRPr="00642072">
        <w:rPr>
          <w:rFonts w:eastAsiaTheme="minorEastAsia"/>
          <w:lang w:val="en-US"/>
        </w:rPr>
        <w:t xml:space="preserve"> malignancies treated with </w:t>
      </w:r>
      <w:r w:rsidR="00C628D4">
        <w:rPr>
          <w:rFonts w:eastAsiaTheme="minorEastAsia"/>
          <w:lang w:val="en-US"/>
        </w:rPr>
        <w:t>rituximab</w:t>
      </w:r>
      <w:r w:rsidRPr="00642072">
        <w:rPr>
          <w:rFonts w:eastAsiaTheme="minorEastAsia"/>
          <w:lang w:val="en-US"/>
        </w:rPr>
        <w:t xml:space="preserve">. The majority of patients received </w:t>
      </w:r>
      <w:r w:rsidR="00C628D4">
        <w:rPr>
          <w:rFonts w:eastAsiaTheme="minorEastAsia"/>
          <w:lang w:val="en-US"/>
        </w:rPr>
        <w:t>rituximab</w:t>
      </w:r>
      <w:r w:rsidRPr="00642072">
        <w:rPr>
          <w:rFonts w:eastAsiaTheme="minorEastAsia"/>
          <w:lang w:val="en-US"/>
        </w:rPr>
        <w:t xml:space="preserve"> in combination with chemotherapy. Isolated cases have been reported in patients who either had evidence of antibodies against Hepatitis B surface antigen before treatment or did not have any such antibodies. The median time to diagnosis of hepatitis was approximately 4 months after the initiation of </w:t>
      </w:r>
      <w:r w:rsidR="00C628D4">
        <w:rPr>
          <w:rFonts w:eastAsiaTheme="minorEastAsia"/>
          <w:lang w:val="en-US"/>
        </w:rPr>
        <w:t xml:space="preserve">rituximab </w:t>
      </w:r>
      <w:r w:rsidRPr="00642072">
        <w:rPr>
          <w:rFonts w:eastAsiaTheme="minorEastAsia"/>
          <w:lang w:val="en-US"/>
        </w:rPr>
        <w:t xml:space="preserve">and approximately one month after the last dose. Analysis of events revealed </w:t>
      </w:r>
      <w:r w:rsidR="00C628D4">
        <w:rPr>
          <w:rFonts w:eastAsiaTheme="minorEastAsia"/>
          <w:lang w:val="en-US"/>
        </w:rPr>
        <w:t>rituximab</w:t>
      </w:r>
      <w:r w:rsidRPr="00642072">
        <w:rPr>
          <w:rFonts w:eastAsiaTheme="minorEastAsia"/>
          <w:lang w:val="en-US"/>
        </w:rPr>
        <w:t xml:space="preserve"> use has been associated with hepatitis B (HB) reactivation in patients with positive HB surface antigen (</w:t>
      </w:r>
      <w:proofErr w:type="spellStart"/>
      <w:r w:rsidRPr="00642072">
        <w:rPr>
          <w:rFonts w:eastAsiaTheme="minorEastAsia"/>
          <w:lang w:val="en-US"/>
        </w:rPr>
        <w:t>HBsAg+ve</w:t>
      </w:r>
      <w:proofErr w:type="spellEnd"/>
      <w:r w:rsidRPr="00642072">
        <w:rPr>
          <w:rFonts w:eastAsiaTheme="minorEastAsia"/>
          <w:lang w:val="en-US"/>
        </w:rPr>
        <w:t>) as well as negative HB surface antigen and positive anti-HB core antibody (</w:t>
      </w:r>
      <w:proofErr w:type="spellStart"/>
      <w:r w:rsidRPr="00642072">
        <w:rPr>
          <w:rFonts w:eastAsiaTheme="minorEastAsia"/>
          <w:lang w:val="en-US"/>
        </w:rPr>
        <w:t>HBsAg-ve</w:t>
      </w:r>
      <w:proofErr w:type="spellEnd"/>
      <w:r w:rsidRPr="00642072">
        <w:rPr>
          <w:rFonts w:eastAsiaTheme="minorEastAsia"/>
          <w:lang w:val="en-US"/>
        </w:rPr>
        <w:t>/</w:t>
      </w:r>
      <w:proofErr w:type="spellStart"/>
      <w:r w:rsidRPr="00642072">
        <w:rPr>
          <w:rFonts w:eastAsiaTheme="minorEastAsia"/>
          <w:lang w:val="en-US"/>
        </w:rPr>
        <w:t>HBcAb+ve</w:t>
      </w:r>
      <w:proofErr w:type="spellEnd"/>
      <w:r w:rsidRPr="00642072">
        <w:rPr>
          <w:rFonts w:eastAsiaTheme="minorEastAsia"/>
          <w:lang w:val="en-US"/>
        </w:rPr>
        <w:t>), particularly when administered in combination with steroids or chemotherapy.</w:t>
      </w:r>
    </w:p>
    <w:p w14:paraId="21B79FEB" w14:textId="26310938" w:rsidR="00642072" w:rsidRDefault="00642072" w:rsidP="00443352">
      <w:pPr>
        <w:pStyle w:val="CLDNormal"/>
        <w:jc w:val="left"/>
        <w:rPr>
          <w:rFonts w:eastAsiaTheme="minorEastAsia"/>
          <w:lang w:val="en-US"/>
        </w:rPr>
      </w:pPr>
      <w:r w:rsidRPr="00642072">
        <w:rPr>
          <w:rFonts w:eastAsiaTheme="minorEastAsia"/>
          <w:lang w:val="en-US"/>
        </w:rPr>
        <w:t xml:space="preserve">HBV screening should be performed in all patients before initiation of treatment with </w:t>
      </w:r>
      <w:r w:rsidR="00AC690B" w:rsidRPr="00AC690B">
        <w:rPr>
          <w:rFonts w:eastAsiaTheme="minorEastAsia"/>
          <w:lang w:val="en-US"/>
        </w:rPr>
        <w:t>rituximab</w:t>
      </w:r>
      <w:r w:rsidRPr="00642072">
        <w:rPr>
          <w:rFonts w:eastAsiaTheme="minorEastAsia"/>
          <w:lang w:val="en-US"/>
        </w:rPr>
        <w:t xml:space="preserve">. At a minimum this should include </w:t>
      </w:r>
      <w:proofErr w:type="spellStart"/>
      <w:r w:rsidRPr="00642072">
        <w:rPr>
          <w:rFonts w:eastAsiaTheme="minorEastAsia"/>
          <w:lang w:val="en-US"/>
        </w:rPr>
        <w:t>HBsAg</w:t>
      </w:r>
      <w:proofErr w:type="spellEnd"/>
      <w:r w:rsidRPr="00642072">
        <w:rPr>
          <w:rFonts w:eastAsiaTheme="minorEastAsia"/>
          <w:lang w:val="en-US"/>
        </w:rPr>
        <w:t xml:space="preserve">-status and </w:t>
      </w:r>
      <w:proofErr w:type="spellStart"/>
      <w:r w:rsidRPr="00642072">
        <w:rPr>
          <w:rFonts w:eastAsiaTheme="minorEastAsia"/>
          <w:lang w:val="en-US"/>
        </w:rPr>
        <w:t>HBcAb</w:t>
      </w:r>
      <w:proofErr w:type="spellEnd"/>
      <w:r w:rsidRPr="00642072">
        <w:rPr>
          <w:rFonts w:eastAsiaTheme="minorEastAsia"/>
          <w:lang w:val="en-US"/>
        </w:rPr>
        <w:t xml:space="preserve">-status. These can be complemented with other appropriate markers as per local guidelines. Patients with active HB disease should not be treated with </w:t>
      </w:r>
      <w:r w:rsidR="00AC690B" w:rsidRPr="00AC690B">
        <w:rPr>
          <w:rFonts w:eastAsiaTheme="minorEastAsia"/>
          <w:lang w:val="en-US"/>
        </w:rPr>
        <w:t>rituximab</w:t>
      </w:r>
      <w:r w:rsidRPr="00642072">
        <w:rPr>
          <w:rFonts w:eastAsiaTheme="minorEastAsia"/>
          <w:lang w:val="en-US"/>
        </w:rPr>
        <w:t>. Reactivation of HBV infection is a well-known complication in patients with chronic hepatitis B, especially in those receiving cytotoxic or immunosuppressive therapy. In addition, non-Hodgkin’s lymphoma of itself may be an independent risk factor for HBV reactivation. Patients with positive HB serology should consult a liver disease specialist before the start of treatment and should be monitored and managed according to guidelines to prevent HB reactivation.</w:t>
      </w:r>
      <w:r w:rsidR="00BD41CD">
        <w:rPr>
          <w:rFonts w:eastAsiaTheme="minorEastAsia"/>
          <w:lang w:val="en-US"/>
        </w:rPr>
        <w:t xml:space="preserve"> </w:t>
      </w:r>
    </w:p>
    <w:p w14:paraId="1C7EBAD0" w14:textId="7AF18F9F" w:rsidR="00BD41CD" w:rsidRPr="00BD41CD" w:rsidRDefault="00BD41CD" w:rsidP="00443352">
      <w:pPr>
        <w:pStyle w:val="CLDNormal"/>
        <w:jc w:val="left"/>
        <w:rPr>
          <w:rFonts w:eastAsiaTheme="minorEastAsia"/>
          <w:lang w:val="en-US"/>
        </w:rPr>
      </w:pPr>
      <w:r w:rsidRPr="00BD41CD">
        <w:rPr>
          <w:rFonts w:eastAsiaTheme="minorEastAsia"/>
          <w:lang w:val="en-US"/>
        </w:rPr>
        <w:t xml:space="preserve">In patients who develop reactivation of viral hepatitis B, </w:t>
      </w:r>
      <w:r w:rsidR="00C628D4">
        <w:rPr>
          <w:rFonts w:eastAsiaTheme="minorEastAsia"/>
          <w:lang w:val="en-US"/>
        </w:rPr>
        <w:t>rituximab</w:t>
      </w:r>
      <w:r w:rsidRPr="00BD41CD">
        <w:rPr>
          <w:rFonts w:eastAsiaTheme="minorEastAsia"/>
          <w:lang w:val="en-US"/>
        </w:rPr>
        <w:t xml:space="preserve"> and any concomitant chemotherapy should be discontinued and appropriate treatment including antiviral therapy initiated. There are insufficient data regarding the safety of resuming therapy with </w:t>
      </w:r>
      <w:r w:rsidR="00C628D4">
        <w:rPr>
          <w:rFonts w:eastAsiaTheme="minorEastAsia"/>
          <w:lang w:val="en-US"/>
        </w:rPr>
        <w:t>rituximab</w:t>
      </w:r>
      <w:r w:rsidRPr="00BD41CD">
        <w:rPr>
          <w:rFonts w:eastAsiaTheme="minorEastAsia"/>
          <w:lang w:val="en-US"/>
        </w:rPr>
        <w:t xml:space="preserve"> in patients who develop hepatitis subsequent to HBV reactivation.</w:t>
      </w:r>
    </w:p>
    <w:p w14:paraId="44D17921" w14:textId="201FBC67" w:rsidR="00BD41CD" w:rsidRDefault="00BD41CD" w:rsidP="00443352">
      <w:pPr>
        <w:pStyle w:val="CLDNormal"/>
        <w:jc w:val="left"/>
        <w:rPr>
          <w:rFonts w:eastAsiaTheme="minorEastAsia"/>
          <w:lang w:val="en-US"/>
        </w:rPr>
      </w:pPr>
      <w:r w:rsidRPr="00BD41CD">
        <w:rPr>
          <w:rFonts w:eastAsiaTheme="minorEastAsia"/>
          <w:lang w:val="en-US"/>
        </w:rPr>
        <w:t xml:space="preserve">The following additional serious viral infections, either new, reactivated or exacerbated, have been identified in clinical studies or post-marketing reports. The majority of patients were profoundly immune-suppressed. These viral infections included JC virus [progressive multifocal leukoencephalopathy (PML)], cytomegalovirus, herpes simplex virus, parvovirus B19, varicella zoster virus, West Nile virus and hepatitis C. In some cases, the viral infections occurred up to one year following discontinuation of </w:t>
      </w:r>
      <w:r w:rsidR="00C628D4">
        <w:rPr>
          <w:rFonts w:eastAsiaTheme="minorEastAsia"/>
          <w:lang w:val="en-US"/>
        </w:rPr>
        <w:t>rituxima</w:t>
      </w:r>
      <w:r w:rsidR="005C0065">
        <w:rPr>
          <w:rFonts w:eastAsiaTheme="minorEastAsia"/>
          <w:lang w:val="en-US"/>
        </w:rPr>
        <w:t>b</w:t>
      </w:r>
      <w:r w:rsidRPr="00BD41CD">
        <w:rPr>
          <w:rFonts w:eastAsiaTheme="minorEastAsia"/>
          <w:lang w:val="en-US"/>
        </w:rPr>
        <w:t xml:space="preserve"> and have resulted in death.</w:t>
      </w:r>
    </w:p>
    <w:p w14:paraId="3320D057" w14:textId="77777777" w:rsidR="00BD41CD" w:rsidRPr="00BD41CD" w:rsidRDefault="00BD41CD" w:rsidP="00443352">
      <w:pPr>
        <w:pStyle w:val="CLDNormal"/>
        <w:jc w:val="left"/>
        <w:rPr>
          <w:rFonts w:eastAsiaTheme="minorEastAsia"/>
          <w:u w:val="single"/>
          <w:lang w:val="en-US"/>
        </w:rPr>
      </w:pPr>
      <w:r w:rsidRPr="00BD41CD">
        <w:rPr>
          <w:rFonts w:eastAsiaTheme="minorEastAsia"/>
          <w:u w:val="single"/>
          <w:lang w:val="en-US"/>
        </w:rPr>
        <w:t>Skin Reactions</w:t>
      </w:r>
    </w:p>
    <w:p w14:paraId="0CE55BEC" w14:textId="7C8B75C9" w:rsidR="00BD41CD" w:rsidRPr="00BD41CD" w:rsidRDefault="00BD41CD" w:rsidP="00443352">
      <w:pPr>
        <w:pStyle w:val="CLDNormal"/>
        <w:jc w:val="left"/>
        <w:rPr>
          <w:rFonts w:eastAsiaTheme="minorEastAsia"/>
          <w:lang w:val="en-US"/>
        </w:rPr>
      </w:pPr>
      <w:r w:rsidRPr="00BD41CD">
        <w:rPr>
          <w:rFonts w:eastAsiaTheme="minorEastAsia"/>
          <w:lang w:val="en-US"/>
        </w:rPr>
        <w:t xml:space="preserve">Severe skin reactions such as toxic epidermal necrolysis and Stevens-Johnson syndrome, some with fatal outcome, have been reported (see section 4.8 Adverse effects (Undesirable effects)). In case of such an event, with a suspected relationship to </w:t>
      </w:r>
      <w:r w:rsidR="00AC690B" w:rsidRPr="00AC690B">
        <w:rPr>
          <w:rFonts w:eastAsiaTheme="minorEastAsia"/>
          <w:lang w:val="en-US"/>
        </w:rPr>
        <w:t>rituximab</w:t>
      </w:r>
      <w:r w:rsidRPr="00BD41CD">
        <w:rPr>
          <w:rFonts w:eastAsiaTheme="minorEastAsia"/>
          <w:lang w:val="en-US"/>
        </w:rPr>
        <w:t>, treatment should be permanently discontinued.</w:t>
      </w:r>
    </w:p>
    <w:p w14:paraId="560416B1" w14:textId="77777777" w:rsidR="00BD41CD" w:rsidRPr="00BD41CD" w:rsidRDefault="00BD41CD" w:rsidP="00443352">
      <w:pPr>
        <w:pStyle w:val="CLDNormal"/>
        <w:jc w:val="left"/>
        <w:rPr>
          <w:rFonts w:eastAsiaTheme="minorEastAsia"/>
          <w:u w:val="single"/>
          <w:lang w:val="en-US"/>
        </w:rPr>
      </w:pPr>
      <w:proofErr w:type="spellStart"/>
      <w:r w:rsidRPr="00BD41CD">
        <w:rPr>
          <w:rFonts w:eastAsiaTheme="minorEastAsia"/>
          <w:u w:val="single"/>
          <w:lang w:val="en-US"/>
        </w:rPr>
        <w:t>Immunisation</w:t>
      </w:r>
      <w:proofErr w:type="spellEnd"/>
    </w:p>
    <w:p w14:paraId="75E779B6" w14:textId="0D328CF8" w:rsidR="00BD41CD" w:rsidRPr="00BD41CD" w:rsidRDefault="00BD41CD" w:rsidP="00443352">
      <w:pPr>
        <w:pStyle w:val="CLDNormal"/>
        <w:jc w:val="left"/>
        <w:rPr>
          <w:rFonts w:eastAsiaTheme="minorEastAsia"/>
          <w:lang w:val="en-US"/>
        </w:rPr>
      </w:pPr>
      <w:r w:rsidRPr="00BD41CD">
        <w:rPr>
          <w:rFonts w:eastAsiaTheme="minorEastAsia"/>
          <w:lang w:val="en-US"/>
        </w:rPr>
        <w:t xml:space="preserve">The safety of </w:t>
      </w:r>
      <w:proofErr w:type="spellStart"/>
      <w:r w:rsidRPr="00BD41CD">
        <w:rPr>
          <w:rFonts w:eastAsiaTheme="minorEastAsia"/>
          <w:lang w:val="en-US"/>
        </w:rPr>
        <w:t>immunisation</w:t>
      </w:r>
      <w:proofErr w:type="spellEnd"/>
      <w:r w:rsidRPr="00BD41CD">
        <w:rPr>
          <w:rFonts w:eastAsiaTheme="minorEastAsia"/>
          <w:lang w:val="en-US"/>
        </w:rPr>
        <w:t xml:space="preserve"> with live viral vaccines, following </w:t>
      </w:r>
      <w:r w:rsidR="005C0065">
        <w:rPr>
          <w:rFonts w:eastAsiaTheme="minorEastAsia"/>
          <w:lang w:val="en-US"/>
        </w:rPr>
        <w:t>rituximab</w:t>
      </w:r>
      <w:r w:rsidRPr="00BD41CD">
        <w:rPr>
          <w:rFonts w:eastAsiaTheme="minorEastAsia"/>
          <w:lang w:val="en-US"/>
        </w:rPr>
        <w:t xml:space="preserve"> therapy has not been studied and vaccination with live virus vaccines is not recommended.</w:t>
      </w:r>
    </w:p>
    <w:p w14:paraId="4C352D28" w14:textId="05BAE079" w:rsidR="00BD41CD" w:rsidRPr="00BD41CD" w:rsidRDefault="00BD41CD" w:rsidP="00443352">
      <w:pPr>
        <w:pStyle w:val="CLDNormal"/>
        <w:jc w:val="left"/>
        <w:rPr>
          <w:rFonts w:eastAsiaTheme="minorEastAsia"/>
          <w:lang w:val="en-US"/>
        </w:rPr>
      </w:pPr>
      <w:r w:rsidRPr="00BD41CD">
        <w:rPr>
          <w:rFonts w:eastAsiaTheme="minorEastAsia"/>
          <w:lang w:val="en-US"/>
        </w:rPr>
        <w:t xml:space="preserve">Patients treated with </w:t>
      </w:r>
      <w:r w:rsidR="005C0065">
        <w:rPr>
          <w:rFonts w:eastAsiaTheme="minorEastAsia"/>
          <w:lang w:val="en-US"/>
        </w:rPr>
        <w:t>rituximab</w:t>
      </w:r>
      <w:r w:rsidRPr="00BD41CD">
        <w:rPr>
          <w:rFonts w:eastAsiaTheme="minorEastAsia"/>
          <w:lang w:val="en-US"/>
        </w:rPr>
        <w:t xml:space="preserve"> may receive non-live vaccinations. However, with non-live vaccines response rates may be reduced. In a non-</w:t>
      </w:r>
      <w:proofErr w:type="spellStart"/>
      <w:r w:rsidRPr="00BD41CD">
        <w:rPr>
          <w:rFonts w:eastAsiaTheme="minorEastAsia"/>
          <w:lang w:val="en-US"/>
        </w:rPr>
        <w:t>randomised</w:t>
      </w:r>
      <w:proofErr w:type="spellEnd"/>
      <w:r w:rsidRPr="00BD41CD">
        <w:rPr>
          <w:rFonts w:eastAsiaTheme="minorEastAsia"/>
          <w:lang w:val="en-US"/>
        </w:rPr>
        <w:t xml:space="preserve"> study, patients with relapsed low-grade NHL who received </w:t>
      </w:r>
      <w:r w:rsidR="005C0065">
        <w:rPr>
          <w:rFonts w:eastAsiaTheme="minorEastAsia"/>
          <w:lang w:val="en-US"/>
        </w:rPr>
        <w:t>rituximab</w:t>
      </w:r>
      <w:r w:rsidRPr="00BD41CD">
        <w:rPr>
          <w:rFonts w:eastAsiaTheme="minorEastAsia"/>
          <w:lang w:val="en-US"/>
        </w:rPr>
        <w:t xml:space="preserve"> monotherapy when compared to healthy untreated controls had a lower rate of response to vaccination with tetanus recall antigen (16% vs. 81%) and Keyhole Limpet </w:t>
      </w:r>
      <w:proofErr w:type="spellStart"/>
      <w:r w:rsidRPr="00BD41CD">
        <w:rPr>
          <w:rFonts w:eastAsiaTheme="minorEastAsia"/>
          <w:lang w:val="en-US"/>
        </w:rPr>
        <w:t>Haemocyanin</w:t>
      </w:r>
      <w:proofErr w:type="spellEnd"/>
      <w:r w:rsidRPr="00BD41CD">
        <w:rPr>
          <w:rFonts w:eastAsiaTheme="minorEastAsia"/>
          <w:lang w:val="en-US"/>
        </w:rPr>
        <w:t xml:space="preserve"> (KLH) </w:t>
      </w:r>
      <w:proofErr w:type="spellStart"/>
      <w:r w:rsidRPr="00BD41CD">
        <w:rPr>
          <w:rFonts w:eastAsiaTheme="minorEastAsia"/>
          <w:lang w:val="en-US"/>
        </w:rPr>
        <w:t>neoantigen</w:t>
      </w:r>
      <w:proofErr w:type="spellEnd"/>
      <w:r w:rsidRPr="00BD41CD">
        <w:rPr>
          <w:rFonts w:eastAsiaTheme="minorEastAsia"/>
          <w:lang w:val="en-US"/>
        </w:rPr>
        <w:t xml:space="preserve"> (4% vs. 76% when assessed for &gt; 2-fold increase in antibody titer).</w:t>
      </w:r>
    </w:p>
    <w:p w14:paraId="2F12430E" w14:textId="6D423462" w:rsidR="00BD41CD" w:rsidRDefault="00BD41CD" w:rsidP="00443352">
      <w:pPr>
        <w:pStyle w:val="CLDNormal"/>
        <w:jc w:val="left"/>
        <w:rPr>
          <w:rFonts w:eastAsiaTheme="minorEastAsia"/>
          <w:lang w:val="en-US"/>
        </w:rPr>
      </w:pPr>
      <w:r w:rsidRPr="00BD41CD">
        <w:rPr>
          <w:rFonts w:eastAsiaTheme="minorEastAsia"/>
          <w:lang w:val="en-US"/>
        </w:rPr>
        <w:t xml:space="preserve">Mean pre-therapeutic antibody titers against a panel of antigens (Streptococcus </w:t>
      </w:r>
      <w:proofErr w:type="spellStart"/>
      <w:r w:rsidRPr="00BD41CD">
        <w:rPr>
          <w:rFonts w:eastAsiaTheme="minorEastAsia"/>
          <w:lang w:val="en-US"/>
        </w:rPr>
        <w:t>pneumoniae</w:t>
      </w:r>
      <w:proofErr w:type="spellEnd"/>
      <w:r w:rsidRPr="00BD41CD">
        <w:rPr>
          <w:rFonts w:eastAsiaTheme="minorEastAsia"/>
          <w:lang w:val="en-US"/>
        </w:rPr>
        <w:t xml:space="preserve">, influenza A, mumps, rubella, varicella) were maintained for at least 6 months after treatment with </w:t>
      </w:r>
      <w:r w:rsidR="005C0065">
        <w:rPr>
          <w:rFonts w:eastAsiaTheme="minorEastAsia"/>
          <w:lang w:val="en-US"/>
        </w:rPr>
        <w:t>rituximab</w:t>
      </w:r>
      <w:r w:rsidRPr="00BD41CD">
        <w:rPr>
          <w:rFonts w:eastAsiaTheme="minorEastAsia"/>
          <w:lang w:val="en-US"/>
        </w:rPr>
        <w:t>.</w:t>
      </w:r>
    </w:p>
    <w:p w14:paraId="6AA33CA9" w14:textId="77777777" w:rsidR="00BD41CD" w:rsidRPr="00BD41CD" w:rsidRDefault="00BD41CD" w:rsidP="00443352">
      <w:pPr>
        <w:pStyle w:val="CLDNormal"/>
        <w:jc w:val="left"/>
        <w:rPr>
          <w:rFonts w:eastAsiaTheme="minorEastAsia"/>
          <w:u w:val="single"/>
          <w:lang w:val="en-US"/>
        </w:rPr>
      </w:pPr>
      <w:r w:rsidRPr="00BD41CD">
        <w:rPr>
          <w:rFonts w:eastAsiaTheme="minorEastAsia"/>
          <w:u w:val="single"/>
          <w:lang w:val="en-US"/>
        </w:rPr>
        <w:t>Progressive multifocal leukoencephalopathy (PML)</w:t>
      </w:r>
    </w:p>
    <w:p w14:paraId="135B11AA" w14:textId="013AA990" w:rsidR="00BD41CD" w:rsidRDefault="00BD41CD" w:rsidP="00443352">
      <w:pPr>
        <w:pStyle w:val="CLDNormal"/>
        <w:jc w:val="left"/>
        <w:rPr>
          <w:rFonts w:eastAsiaTheme="minorEastAsia"/>
          <w:lang w:val="en-US"/>
        </w:rPr>
      </w:pPr>
      <w:r w:rsidRPr="00BD41CD">
        <w:rPr>
          <w:rFonts w:eastAsiaTheme="minorEastAsia"/>
          <w:lang w:val="en-US"/>
        </w:rPr>
        <w:t xml:space="preserve">Cases of progressive multifocal leukoencephalopathy (PML) have been reported during use of </w:t>
      </w:r>
      <w:r w:rsidR="005C0065">
        <w:rPr>
          <w:rFonts w:eastAsiaTheme="minorEastAsia"/>
          <w:lang w:val="en-US"/>
        </w:rPr>
        <w:t>rituximab</w:t>
      </w:r>
      <w:r w:rsidRPr="00BD41CD">
        <w:rPr>
          <w:rFonts w:eastAsiaTheme="minorEastAsia"/>
          <w:lang w:val="en-US"/>
        </w:rPr>
        <w:t xml:space="preserve"> in NHL and CLL. The majority of patients had received </w:t>
      </w:r>
      <w:r w:rsidR="005C0065">
        <w:rPr>
          <w:rFonts w:eastAsiaTheme="minorEastAsia"/>
          <w:lang w:val="en-US"/>
        </w:rPr>
        <w:t>rituximab</w:t>
      </w:r>
      <w:r w:rsidRPr="00BD41CD">
        <w:rPr>
          <w:rFonts w:eastAsiaTheme="minorEastAsia"/>
          <w:lang w:val="en-US"/>
        </w:rPr>
        <w:t xml:space="preserve"> in combination with chemotherapy or as part of a </w:t>
      </w:r>
      <w:proofErr w:type="spellStart"/>
      <w:r w:rsidRPr="00BD41CD">
        <w:rPr>
          <w:rFonts w:eastAsiaTheme="minorEastAsia"/>
          <w:lang w:val="en-US"/>
        </w:rPr>
        <w:t>haematopoietic</w:t>
      </w:r>
      <w:proofErr w:type="spellEnd"/>
      <w:r w:rsidRPr="00BD41CD">
        <w:rPr>
          <w:rFonts w:eastAsiaTheme="minorEastAsia"/>
          <w:lang w:val="en-US"/>
        </w:rPr>
        <w:t xml:space="preserve"> stem cell transplant. (see Boxed Warning and section 4.8 Adverse effects (Undesirable effects))</w:t>
      </w:r>
      <w:r>
        <w:rPr>
          <w:rFonts w:eastAsiaTheme="minorEastAsia"/>
          <w:lang w:val="en-US"/>
        </w:rPr>
        <w:t>.</w:t>
      </w:r>
    </w:p>
    <w:p w14:paraId="27C15A4F" w14:textId="77777777" w:rsidR="00BD41CD" w:rsidRPr="00BD41CD" w:rsidRDefault="00BD41CD" w:rsidP="00443352">
      <w:pPr>
        <w:pStyle w:val="CLDNormal"/>
        <w:jc w:val="left"/>
        <w:rPr>
          <w:rFonts w:eastAsiaTheme="minorEastAsia"/>
          <w:b/>
          <w:lang w:val="en-US"/>
        </w:rPr>
      </w:pPr>
      <w:r w:rsidRPr="00BD41CD">
        <w:rPr>
          <w:rFonts w:eastAsiaTheme="minorEastAsia"/>
          <w:b/>
          <w:lang w:val="en-US"/>
        </w:rPr>
        <w:t xml:space="preserve">Rheumatoid Arthritis (RA), Granulomatosis with </w:t>
      </w:r>
      <w:proofErr w:type="spellStart"/>
      <w:r w:rsidRPr="00BD41CD">
        <w:rPr>
          <w:rFonts w:eastAsiaTheme="minorEastAsia"/>
          <w:b/>
          <w:lang w:val="en-US"/>
        </w:rPr>
        <w:t>polyangiitis</w:t>
      </w:r>
      <w:proofErr w:type="spellEnd"/>
      <w:r w:rsidRPr="00BD41CD">
        <w:rPr>
          <w:rFonts w:eastAsiaTheme="minorEastAsia"/>
          <w:b/>
          <w:lang w:val="en-US"/>
        </w:rPr>
        <w:t xml:space="preserve"> (Wegener’s) (GPA) and Microscopic </w:t>
      </w:r>
      <w:proofErr w:type="spellStart"/>
      <w:r w:rsidRPr="00BD41CD">
        <w:rPr>
          <w:rFonts w:eastAsiaTheme="minorEastAsia"/>
          <w:b/>
          <w:lang w:val="en-US"/>
        </w:rPr>
        <w:t>polyangiitis</w:t>
      </w:r>
      <w:proofErr w:type="spellEnd"/>
      <w:r w:rsidRPr="00BD41CD">
        <w:rPr>
          <w:rFonts w:eastAsiaTheme="minorEastAsia"/>
          <w:b/>
          <w:lang w:val="en-US"/>
        </w:rPr>
        <w:t xml:space="preserve"> (MPA)</w:t>
      </w:r>
    </w:p>
    <w:p w14:paraId="3FB26157" w14:textId="42879BEE" w:rsidR="00BD41CD" w:rsidRPr="00BD41CD" w:rsidRDefault="00BD41CD" w:rsidP="00443352">
      <w:pPr>
        <w:pStyle w:val="CLDNormal"/>
        <w:jc w:val="left"/>
        <w:rPr>
          <w:rFonts w:eastAsiaTheme="minorEastAsia"/>
          <w:lang w:val="en-US"/>
        </w:rPr>
      </w:pPr>
      <w:r w:rsidRPr="00BD41CD">
        <w:rPr>
          <w:rFonts w:eastAsiaTheme="minorEastAsia"/>
          <w:lang w:val="en-US"/>
        </w:rPr>
        <w:t xml:space="preserve">The efficacy and safety of </w:t>
      </w:r>
      <w:r w:rsidR="005C0065">
        <w:rPr>
          <w:rFonts w:eastAsiaTheme="minorEastAsia"/>
          <w:lang w:val="en-US"/>
        </w:rPr>
        <w:t>rituximab</w:t>
      </w:r>
      <w:r w:rsidRPr="00BD41CD">
        <w:rPr>
          <w:rFonts w:eastAsiaTheme="minorEastAsia"/>
          <w:lang w:val="en-US"/>
        </w:rPr>
        <w:t xml:space="preserve"> for the treatment of autoimmune diseases other than RA, GPA and MPA have not been established.</w:t>
      </w:r>
    </w:p>
    <w:p w14:paraId="394D1BE0" w14:textId="1FF4BA23" w:rsidR="00BD41CD" w:rsidRPr="00BD41CD" w:rsidRDefault="00BE0CCB" w:rsidP="00443352">
      <w:pPr>
        <w:pStyle w:val="CLDNormal"/>
        <w:jc w:val="left"/>
        <w:rPr>
          <w:rFonts w:eastAsiaTheme="minorEastAsia"/>
          <w:lang w:val="en-US"/>
        </w:rPr>
      </w:pPr>
      <w:r>
        <w:rPr>
          <w:rFonts w:eastAsiaTheme="minorEastAsia"/>
          <w:lang w:val="en-US"/>
        </w:rPr>
        <w:t>R</w:t>
      </w:r>
      <w:r w:rsidR="00AC690B" w:rsidRPr="00AC690B">
        <w:rPr>
          <w:rFonts w:eastAsiaTheme="minorEastAsia"/>
          <w:lang w:val="en-US"/>
        </w:rPr>
        <w:t>ituximab</w:t>
      </w:r>
      <w:r w:rsidR="00BD41CD" w:rsidRPr="00BD41CD">
        <w:rPr>
          <w:rFonts w:eastAsiaTheme="minorEastAsia"/>
          <w:lang w:val="en-US"/>
        </w:rPr>
        <w:t xml:space="preserve"> in combination with glucocorticoids is indicated for the induction of remission in patients with severely active GPA and MPA. Limited data are available on the efficacy and safety of subsequent courses of </w:t>
      </w:r>
      <w:r w:rsidR="005C0065">
        <w:rPr>
          <w:rFonts w:eastAsiaTheme="minorEastAsia"/>
          <w:lang w:val="en-US"/>
        </w:rPr>
        <w:t>rituximab</w:t>
      </w:r>
      <w:r w:rsidR="00BD41CD" w:rsidRPr="00BD41CD">
        <w:rPr>
          <w:rFonts w:eastAsiaTheme="minorEastAsia"/>
          <w:lang w:val="en-US"/>
        </w:rPr>
        <w:t xml:space="preserve"> in patients with GPA and MPA, hence the efficacy and safety of retreatment with </w:t>
      </w:r>
      <w:r w:rsidR="005C0065">
        <w:rPr>
          <w:rFonts w:eastAsiaTheme="minorEastAsia"/>
          <w:lang w:val="en-US"/>
        </w:rPr>
        <w:t>rituximab</w:t>
      </w:r>
      <w:r w:rsidR="00BD41CD" w:rsidRPr="00BD41CD">
        <w:rPr>
          <w:rFonts w:eastAsiaTheme="minorEastAsia"/>
          <w:lang w:val="en-US"/>
        </w:rPr>
        <w:t xml:space="preserve"> for these diseases have not been established.</w:t>
      </w:r>
    </w:p>
    <w:p w14:paraId="5E332EF9" w14:textId="29E26517" w:rsidR="00BD41CD" w:rsidRDefault="00BD41CD" w:rsidP="00443352">
      <w:pPr>
        <w:pStyle w:val="CLDNormal"/>
        <w:jc w:val="left"/>
        <w:rPr>
          <w:rFonts w:eastAsiaTheme="minorEastAsia"/>
          <w:lang w:val="en-US"/>
        </w:rPr>
      </w:pPr>
      <w:r w:rsidRPr="00BD41CD">
        <w:rPr>
          <w:rFonts w:eastAsiaTheme="minorEastAsia"/>
          <w:lang w:val="en-US"/>
        </w:rPr>
        <w:t xml:space="preserve">Limited data from retrospective experience may suggest that vasculitis versus granulomatous disease manifestations of GPA have a differential treatment response to </w:t>
      </w:r>
      <w:r w:rsidR="005C0065">
        <w:rPr>
          <w:rFonts w:eastAsiaTheme="minorEastAsia"/>
          <w:lang w:val="en-US"/>
        </w:rPr>
        <w:t>rituximab</w:t>
      </w:r>
      <w:r w:rsidRPr="00BD41CD">
        <w:rPr>
          <w:rFonts w:eastAsiaTheme="minorEastAsia"/>
          <w:lang w:val="en-US"/>
        </w:rPr>
        <w:t xml:space="preserve">. These reports lack confirmatory data. Most available reports, including controlled studies, clearly show that both </w:t>
      </w:r>
      <w:proofErr w:type="spellStart"/>
      <w:r w:rsidRPr="00BD41CD">
        <w:rPr>
          <w:rFonts w:eastAsiaTheme="minorEastAsia"/>
          <w:lang w:val="en-US"/>
        </w:rPr>
        <w:t>vasculitic</w:t>
      </w:r>
      <w:proofErr w:type="spellEnd"/>
      <w:r w:rsidRPr="00BD41CD">
        <w:rPr>
          <w:rFonts w:eastAsiaTheme="minorEastAsia"/>
          <w:lang w:val="en-US"/>
        </w:rPr>
        <w:t xml:space="preserve"> and granulomatous disease manifestations of GPA respond well to </w:t>
      </w:r>
      <w:r w:rsidR="005C0065">
        <w:rPr>
          <w:rFonts w:eastAsiaTheme="minorEastAsia"/>
          <w:lang w:val="en-US"/>
        </w:rPr>
        <w:t>rituximab</w:t>
      </w:r>
      <w:r w:rsidRPr="00BD41CD">
        <w:rPr>
          <w:rFonts w:eastAsiaTheme="minorEastAsia"/>
          <w:lang w:val="en-US"/>
        </w:rPr>
        <w:t>.</w:t>
      </w:r>
    </w:p>
    <w:p w14:paraId="6C9DF50C" w14:textId="77777777" w:rsidR="009F7FC0" w:rsidRPr="009F7FC0" w:rsidRDefault="009F7FC0" w:rsidP="00443352">
      <w:pPr>
        <w:pStyle w:val="CLDNormal"/>
        <w:jc w:val="left"/>
        <w:rPr>
          <w:rFonts w:eastAsiaTheme="minorEastAsia"/>
          <w:u w:val="single"/>
          <w:lang w:val="en-US"/>
        </w:rPr>
      </w:pPr>
      <w:r w:rsidRPr="009F7FC0">
        <w:rPr>
          <w:rFonts w:eastAsiaTheme="minorEastAsia"/>
          <w:u w:val="single"/>
          <w:lang w:val="en-US"/>
        </w:rPr>
        <w:t>Infusion-related Reactions</w:t>
      </w:r>
    </w:p>
    <w:p w14:paraId="02CED176" w14:textId="0F534594" w:rsidR="009F7FC0" w:rsidRDefault="00F94C85" w:rsidP="00443352">
      <w:pPr>
        <w:pStyle w:val="CLDNormal"/>
        <w:jc w:val="left"/>
        <w:rPr>
          <w:rFonts w:eastAsiaTheme="minorEastAsia"/>
          <w:lang w:val="en-US"/>
        </w:rPr>
      </w:pPr>
      <w:r>
        <w:rPr>
          <w:rFonts w:eastAsiaTheme="minorEastAsia"/>
          <w:lang w:val="en-US"/>
        </w:rPr>
        <w:t>R</w:t>
      </w:r>
      <w:r w:rsidR="005C0065">
        <w:rPr>
          <w:rFonts w:eastAsiaTheme="minorEastAsia"/>
          <w:lang w:val="en-US"/>
        </w:rPr>
        <w:t xml:space="preserve">ituximab </w:t>
      </w:r>
      <w:r w:rsidR="009F7FC0" w:rsidRPr="009F7FC0">
        <w:rPr>
          <w:rFonts w:eastAsiaTheme="minorEastAsia"/>
          <w:lang w:val="en-US"/>
        </w:rPr>
        <w:t xml:space="preserve">is associated with infusion-related reactions (IRRs), which may be related to release of cytokines and/or other chemical mediators. Premedication consisting of an analgesic/antipyretic drug and an antihistamine drug should always be administered before each infusion of </w:t>
      </w:r>
      <w:r w:rsidR="00AC690B" w:rsidRPr="00AC690B">
        <w:rPr>
          <w:rFonts w:eastAsiaTheme="minorEastAsia"/>
          <w:lang w:val="en-US"/>
        </w:rPr>
        <w:t>rituximab</w:t>
      </w:r>
      <w:r w:rsidR="009F7FC0" w:rsidRPr="009F7FC0">
        <w:rPr>
          <w:rFonts w:eastAsiaTheme="minorEastAsia"/>
          <w:lang w:val="en-US"/>
        </w:rPr>
        <w:t xml:space="preserve">. For RA patients premedication with glucocorticoids should also be administered before each infusion of </w:t>
      </w:r>
      <w:r w:rsidR="00AC690B" w:rsidRPr="00AC690B">
        <w:rPr>
          <w:rFonts w:eastAsiaTheme="minorEastAsia"/>
          <w:lang w:val="en-US"/>
        </w:rPr>
        <w:t>rituximab</w:t>
      </w:r>
      <w:r w:rsidR="009F7FC0" w:rsidRPr="009F7FC0">
        <w:rPr>
          <w:rFonts w:eastAsiaTheme="minorEastAsia"/>
          <w:lang w:val="en-US"/>
        </w:rPr>
        <w:t xml:space="preserve"> in order to reduce the frequency and severity of IRRs (see sections 4.8 Adverse effects (Undesirable effects) and 4.2 Dose and method of administration).</w:t>
      </w:r>
      <w:r w:rsidR="009F7FC0">
        <w:rPr>
          <w:rFonts w:eastAsiaTheme="minorEastAsia"/>
          <w:lang w:val="en-US"/>
        </w:rPr>
        <w:t xml:space="preserve"> </w:t>
      </w:r>
    </w:p>
    <w:p w14:paraId="53465855" w14:textId="7C6972DF" w:rsidR="009F7FC0" w:rsidRPr="009F7FC0" w:rsidRDefault="009F7FC0" w:rsidP="00443352">
      <w:pPr>
        <w:pStyle w:val="CLDNormal"/>
        <w:jc w:val="left"/>
        <w:rPr>
          <w:rFonts w:eastAsiaTheme="minorEastAsia"/>
          <w:lang w:val="en-US"/>
        </w:rPr>
      </w:pPr>
      <w:r w:rsidRPr="009F7FC0">
        <w:rPr>
          <w:rFonts w:eastAsiaTheme="minorEastAsia"/>
          <w:u w:val="single"/>
          <w:lang w:val="en-US"/>
        </w:rPr>
        <w:t>For RA patients</w:t>
      </w:r>
      <w:r w:rsidRPr="009F7FC0">
        <w:rPr>
          <w:rFonts w:eastAsiaTheme="minorEastAsia"/>
          <w:lang w:val="en-US"/>
        </w:rPr>
        <w:t xml:space="preserve">, most IRRs reported in clinical trials were mild to moderate in severity. Severe IRRs with fatal outcome have been reported in the post-marketing setting (see section 4.8 Adverse effects (Undesirable effects)). Closely monitor patients with pre-existing cardiac conditions and those who experienced prior cardiopulmonary adverse reactions. The most common symptoms were headache, pruritus, throat irritation, flushing, rash, </w:t>
      </w:r>
      <w:proofErr w:type="spellStart"/>
      <w:r w:rsidRPr="009F7FC0">
        <w:rPr>
          <w:rFonts w:eastAsiaTheme="minorEastAsia"/>
          <w:lang w:val="en-US"/>
        </w:rPr>
        <w:t>urticaria</w:t>
      </w:r>
      <w:proofErr w:type="spellEnd"/>
      <w:r w:rsidRPr="009F7FC0">
        <w:rPr>
          <w:rFonts w:eastAsiaTheme="minorEastAsia"/>
          <w:lang w:val="en-US"/>
        </w:rPr>
        <w:t xml:space="preserve">, hypertension, and pyrexia. In general, the proportion of patients experiencing any infusion reaction was higher following the first infusion of any treatment course than following the second infusion. Subsequent </w:t>
      </w:r>
      <w:r w:rsidR="005C0065">
        <w:rPr>
          <w:rFonts w:eastAsiaTheme="minorEastAsia"/>
          <w:lang w:val="en-US"/>
        </w:rPr>
        <w:t>rituximab</w:t>
      </w:r>
      <w:r w:rsidRPr="009F7FC0">
        <w:rPr>
          <w:rFonts w:eastAsiaTheme="minorEastAsia"/>
          <w:lang w:val="en-US"/>
        </w:rPr>
        <w:t xml:space="preserve"> infusions were better tolerated by patients than the initial infusion. Fewer than 1% of patients experienced serious IRRs, with most of these reported during the first infusion of the first course (see section 4.8 Adverse effects (Undesirable effects)).The reactions reported were usually reversible with a reduction in rate, or interruption, of </w:t>
      </w:r>
      <w:r w:rsidR="005C0065">
        <w:rPr>
          <w:rFonts w:eastAsiaTheme="minorEastAsia"/>
          <w:lang w:val="en-US"/>
        </w:rPr>
        <w:t>rituximab</w:t>
      </w:r>
      <w:r w:rsidRPr="009F7FC0">
        <w:rPr>
          <w:rFonts w:eastAsiaTheme="minorEastAsia"/>
          <w:lang w:val="en-US"/>
        </w:rPr>
        <w:t xml:space="preserve"> infusion and administration of an anti-pyretic, an antihistamine, and, occasionally, oxygen, IV saline or bronchodilators, and glucocorticoids if required. Depending on the severity of the IRR and the required interventions, temporarily or permanently discontinue </w:t>
      </w:r>
      <w:r w:rsidR="00AC690B" w:rsidRPr="00AC690B">
        <w:rPr>
          <w:rFonts w:eastAsiaTheme="minorEastAsia"/>
          <w:lang w:val="en-US"/>
        </w:rPr>
        <w:t>rituximab</w:t>
      </w:r>
      <w:r w:rsidRPr="009F7FC0">
        <w:rPr>
          <w:rFonts w:eastAsiaTheme="minorEastAsia"/>
          <w:lang w:val="en-US"/>
        </w:rPr>
        <w:t>. In most cases, the infusion can be resumed at a 50% reduction in rate (e.g. from 100 mg/h to 50 mg/h) when symptoms have completely resolved.</w:t>
      </w:r>
    </w:p>
    <w:p w14:paraId="4CB7A520" w14:textId="7468D849" w:rsidR="009F7FC0" w:rsidRDefault="009F7FC0" w:rsidP="00443352">
      <w:pPr>
        <w:pStyle w:val="CLDNormal"/>
        <w:jc w:val="left"/>
        <w:rPr>
          <w:rFonts w:eastAsiaTheme="minorEastAsia"/>
          <w:lang w:val="en-US"/>
        </w:rPr>
      </w:pPr>
      <w:r w:rsidRPr="009F7FC0">
        <w:rPr>
          <w:rFonts w:eastAsiaTheme="minorEastAsia"/>
          <w:u w:val="single"/>
          <w:lang w:val="en-US"/>
        </w:rPr>
        <w:t>For GPA and MPA patients,</w:t>
      </w:r>
      <w:r w:rsidRPr="009F7FC0">
        <w:rPr>
          <w:rFonts w:eastAsiaTheme="minorEastAsia"/>
          <w:lang w:val="en-US"/>
        </w:rPr>
        <w:t xml:space="preserve"> IRRs were similar to those seen for RA patients in clinical trials (see section 4.8 Adverse effects (Undesirable effects)). For GPA and MPA patients, </w:t>
      </w:r>
      <w:r w:rsidR="005C0065">
        <w:rPr>
          <w:rFonts w:eastAsiaTheme="minorEastAsia"/>
          <w:lang w:val="en-US"/>
        </w:rPr>
        <w:t>rituximab</w:t>
      </w:r>
      <w:r w:rsidRPr="009F7FC0">
        <w:rPr>
          <w:rFonts w:eastAsiaTheme="minorEastAsia"/>
          <w:lang w:val="en-US"/>
        </w:rPr>
        <w:t xml:space="preserve"> was given in combination with high doses of glucocorticoids (see section 4.2 Dose and method of administration), which may reduce the incidence and severity of these events (see information for RA indication above).</w:t>
      </w:r>
    </w:p>
    <w:p w14:paraId="3C468ADA" w14:textId="77777777" w:rsidR="009F7FC0" w:rsidRPr="009F7FC0" w:rsidRDefault="009F7FC0" w:rsidP="00443352">
      <w:pPr>
        <w:pStyle w:val="CLDNormal"/>
        <w:jc w:val="left"/>
        <w:rPr>
          <w:rFonts w:eastAsiaTheme="minorEastAsia"/>
          <w:u w:val="single"/>
          <w:lang w:val="en-US"/>
        </w:rPr>
      </w:pPr>
      <w:r w:rsidRPr="009F7FC0">
        <w:rPr>
          <w:rFonts w:eastAsiaTheme="minorEastAsia"/>
          <w:u w:val="single"/>
          <w:lang w:val="en-US"/>
        </w:rPr>
        <w:t>Hypersensitivity Reactions/Anaphylaxis</w:t>
      </w:r>
    </w:p>
    <w:p w14:paraId="794998F2" w14:textId="753E4B59" w:rsidR="009F7FC0" w:rsidRPr="009F7FC0" w:rsidRDefault="009F7FC0" w:rsidP="00443352">
      <w:pPr>
        <w:pStyle w:val="CLDNormal"/>
        <w:jc w:val="left"/>
        <w:rPr>
          <w:rFonts w:eastAsiaTheme="minorEastAsia"/>
          <w:lang w:val="en-US"/>
        </w:rPr>
      </w:pPr>
      <w:r w:rsidRPr="009F7FC0">
        <w:rPr>
          <w:rFonts w:eastAsiaTheme="minorEastAsia"/>
          <w:lang w:val="en-US"/>
        </w:rPr>
        <w:t xml:space="preserve">Anaphylactic and other hypersensitivity reactions have been reported following the intravenous administration of proteins to patients. Medicinal products for the treatment of hypersensitivity reactions, e.g., adrenaline, antihistamines and glucocorticoids, should be available for immediate use in the event of an allergic reaction during administration of </w:t>
      </w:r>
      <w:r w:rsidR="00AC690B" w:rsidRPr="00AC690B">
        <w:rPr>
          <w:rFonts w:eastAsiaTheme="minorEastAsia"/>
          <w:lang w:val="en-US"/>
        </w:rPr>
        <w:t>rituximab</w:t>
      </w:r>
      <w:r w:rsidRPr="009F7FC0">
        <w:rPr>
          <w:rFonts w:eastAsiaTheme="minorEastAsia"/>
          <w:lang w:val="en-US"/>
        </w:rPr>
        <w:t>. The presence of HACA may be associated with worsening infusion or allergic reactions after the second infusion of subsequent courses.</w:t>
      </w:r>
    </w:p>
    <w:p w14:paraId="177D6E42" w14:textId="77777777" w:rsidR="009F7FC0" w:rsidRPr="005C0065" w:rsidRDefault="009F7FC0" w:rsidP="00443352">
      <w:pPr>
        <w:pStyle w:val="CLDNormal"/>
        <w:jc w:val="left"/>
        <w:rPr>
          <w:rFonts w:eastAsiaTheme="minorEastAsia"/>
          <w:u w:val="single"/>
          <w:lang w:val="en-US"/>
        </w:rPr>
      </w:pPr>
      <w:r w:rsidRPr="005C0065">
        <w:rPr>
          <w:rFonts w:eastAsiaTheme="minorEastAsia"/>
          <w:u w:val="single"/>
          <w:lang w:val="en-US"/>
        </w:rPr>
        <w:t>Infections</w:t>
      </w:r>
    </w:p>
    <w:p w14:paraId="41FB94A5" w14:textId="7F65E269" w:rsidR="009F7FC0" w:rsidRPr="009F7FC0" w:rsidRDefault="009F7FC0" w:rsidP="00443352">
      <w:pPr>
        <w:pStyle w:val="CLDNormal"/>
        <w:jc w:val="left"/>
        <w:rPr>
          <w:rFonts w:eastAsiaTheme="minorEastAsia"/>
          <w:lang w:val="en-US"/>
        </w:rPr>
      </w:pPr>
      <w:r w:rsidRPr="009F7FC0">
        <w:rPr>
          <w:rFonts w:eastAsiaTheme="minorEastAsia"/>
          <w:lang w:val="en-US"/>
        </w:rPr>
        <w:t xml:space="preserve">Serious infections, including fatalities, can occur during therapy with </w:t>
      </w:r>
      <w:r w:rsidR="005C0065">
        <w:rPr>
          <w:rFonts w:eastAsiaTheme="minorEastAsia"/>
          <w:lang w:val="en-US"/>
        </w:rPr>
        <w:t>rituximab</w:t>
      </w:r>
      <w:r w:rsidRPr="009F7FC0">
        <w:rPr>
          <w:rFonts w:eastAsiaTheme="minorEastAsia"/>
          <w:lang w:val="en-US"/>
        </w:rPr>
        <w:t xml:space="preserve">. Based on the mechanism of action of </w:t>
      </w:r>
      <w:r w:rsidR="007F03D2">
        <w:rPr>
          <w:rFonts w:eastAsiaTheme="minorEastAsia"/>
          <w:lang w:val="en-US"/>
        </w:rPr>
        <w:t>rituximab</w:t>
      </w:r>
      <w:r w:rsidRPr="009F7FC0">
        <w:rPr>
          <w:rFonts w:eastAsiaTheme="minorEastAsia"/>
          <w:lang w:val="en-US"/>
        </w:rPr>
        <w:t xml:space="preserve"> and the knowledge that B cells play an important role in maintaining normal immune response, patients may have an increased risk of infection following </w:t>
      </w:r>
      <w:r w:rsidR="007F03D2">
        <w:rPr>
          <w:rFonts w:eastAsiaTheme="minorEastAsia"/>
          <w:lang w:val="en-US"/>
        </w:rPr>
        <w:t>rituximab</w:t>
      </w:r>
      <w:r w:rsidRPr="009F7FC0">
        <w:rPr>
          <w:rFonts w:eastAsiaTheme="minorEastAsia"/>
          <w:lang w:val="en-US"/>
        </w:rPr>
        <w:t xml:space="preserve"> therapy (see section 5.1 Pharmacodynamic properties). A small proportion of patients (approximately 8%) had prolonged peripheral B-cell depletion (&lt; 80 cells/</w:t>
      </w:r>
      <w:proofErr w:type="spellStart"/>
      <w:r w:rsidRPr="009F7FC0">
        <w:rPr>
          <w:rFonts w:eastAsiaTheme="minorEastAsia"/>
          <w:lang w:val="en-US"/>
        </w:rPr>
        <w:t>μl</w:t>
      </w:r>
      <w:proofErr w:type="spellEnd"/>
      <w:r w:rsidRPr="009F7FC0">
        <w:rPr>
          <w:rFonts w:eastAsiaTheme="minorEastAsia"/>
          <w:lang w:val="en-US"/>
        </w:rPr>
        <w:t xml:space="preserve">) lasting 2 years or more after their last dose of </w:t>
      </w:r>
      <w:r w:rsidR="007F03D2">
        <w:rPr>
          <w:rFonts w:eastAsiaTheme="minorEastAsia"/>
          <w:lang w:val="en-US"/>
        </w:rPr>
        <w:t>rituximab</w:t>
      </w:r>
      <w:r w:rsidRPr="009F7FC0">
        <w:rPr>
          <w:rFonts w:eastAsiaTheme="minorEastAsia"/>
          <w:lang w:val="en-US"/>
        </w:rPr>
        <w:t>. Approximately a third of these patients had low B-cell counts (&lt;80 cells/</w:t>
      </w:r>
      <w:proofErr w:type="spellStart"/>
      <w:r w:rsidRPr="009F7FC0">
        <w:rPr>
          <w:rFonts w:eastAsiaTheme="minorEastAsia"/>
          <w:lang w:val="en-US"/>
        </w:rPr>
        <w:t>μL</w:t>
      </w:r>
      <w:proofErr w:type="spellEnd"/>
      <w:r w:rsidRPr="009F7FC0">
        <w:rPr>
          <w:rFonts w:eastAsiaTheme="minorEastAsia"/>
          <w:lang w:val="en-US"/>
        </w:rPr>
        <w:t xml:space="preserve">) prior to starting </w:t>
      </w:r>
      <w:r w:rsidR="007F03D2">
        <w:rPr>
          <w:rFonts w:eastAsiaTheme="minorEastAsia"/>
          <w:lang w:val="en-US"/>
        </w:rPr>
        <w:t>rituximab</w:t>
      </w:r>
      <w:r w:rsidRPr="009F7FC0">
        <w:rPr>
          <w:rFonts w:eastAsiaTheme="minorEastAsia"/>
          <w:lang w:val="en-US"/>
        </w:rPr>
        <w:t xml:space="preserve"> treatment.</w:t>
      </w:r>
    </w:p>
    <w:p w14:paraId="6B826065" w14:textId="62428802" w:rsidR="009F7FC0" w:rsidRDefault="00AC690B" w:rsidP="00443352">
      <w:pPr>
        <w:pStyle w:val="CLDNormal"/>
        <w:jc w:val="left"/>
        <w:rPr>
          <w:rFonts w:eastAsiaTheme="minorEastAsia"/>
          <w:lang w:val="en-US"/>
        </w:rPr>
      </w:pPr>
      <w:r>
        <w:rPr>
          <w:rFonts w:eastAsiaTheme="minorEastAsia"/>
          <w:lang w:val="en-US"/>
        </w:rPr>
        <w:t>R</w:t>
      </w:r>
      <w:r w:rsidRPr="00AC690B">
        <w:rPr>
          <w:rFonts w:eastAsiaTheme="minorEastAsia"/>
          <w:lang w:val="en-US"/>
        </w:rPr>
        <w:t>ituximab</w:t>
      </w:r>
      <w:r w:rsidR="009F7FC0" w:rsidRPr="009F7FC0">
        <w:rPr>
          <w:rFonts w:eastAsiaTheme="minorEastAsia"/>
          <w:lang w:val="en-US"/>
        </w:rPr>
        <w:t xml:space="preserve"> should not be administered to patients with an active infection or severely immunocompromised patients (e.g. where levels of CD4 or CD8 are very low). Physicians should exercise caution when considering the use of </w:t>
      </w:r>
      <w:r w:rsidRPr="00AC690B">
        <w:rPr>
          <w:rFonts w:eastAsiaTheme="minorEastAsia"/>
          <w:lang w:val="en-US"/>
        </w:rPr>
        <w:t>rituximab</w:t>
      </w:r>
      <w:r w:rsidR="009F7FC0" w:rsidRPr="009F7FC0">
        <w:rPr>
          <w:rFonts w:eastAsiaTheme="minorEastAsia"/>
          <w:lang w:val="en-US"/>
        </w:rPr>
        <w:t xml:space="preserve"> in patients with a history of recurring or chronic infections or with underlying conditions which may further predispose patients to serious infection. Patients who develop infection following </w:t>
      </w:r>
      <w:r w:rsidRPr="00AC690B">
        <w:rPr>
          <w:rFonts w:eastAsiaTheme="minorEastAsia"/>
          <w:lang w:val="en-US"/>
        </w:rPr>
        <w:t>rituximab</w:t>
      </w:r>
      <w:r w:rsidR="009F7FC0" w:rsidRPr="009F7FC0">
        <w:rPr>
          <w:rFonts w:eastAsiaTheme="minorEastAsia"/>
          <w:lang w:val="en-US"/>
        </w:rPr>
        <w:t xml:space="preserve"> therapy should be promptly evaluated and treated appropriately.</w:t>
      </w:r>
      <w:r w:rsidR="009F7FC0">
        <w:rPr>
          <w:rFonts w:eastAsiaTheme="minorEastAsia"/>
          <w:lang w:val="en-US"/>
        </w:rPr>
        <w:t xml:space="preserve"> </w:t>
      </w:r>
    </w:p>
    <w:p w14:paraId="03B8F676" w14:textId="219666CE" w:rsidR="009F7FC0" w:rsidRPr="009F7FC0" w:rsidRDefault="009F7FC0" w:rsidP="00443352">
      <w:pPr>
        <w:pStyle w:val="CLDNormal"/>
        <w:jc w:val="left"/>
        <w:rPr>
          <w:rFonts w:eastAsiaTheme="minorEastAsia"/>
          <w:lang w:val="en-US"/>
        </w:rPr>
      </w:pPr>
      <w:r w:rsidRPr="009F7FC0">
        <w:rPr>
          <w:rFonts w:eastAsiaTheme="minorEastAsia"/>
          <w:lang w:val="en-US"/>
        </w:rPr>
        <w:t xml:space="preserve">Cases of reactivation of hepatitis B infection, including those with a fatal outcome, have been reported in RA, GPA and MPA patients receiving </w:t>
      </w:r>
      <w:r w:rsidR="007F03D2">
        <w:rPr>
          <w:rFonts w:eastAsiaTheme="minorEastAsia"/>
          <w:lang w:val="en-US"/>
        </w:rPr>
        <w:t>rituximab</w:t>
      </w:r>
      <w:r w:rsidRPr="009F7FC0">
        <w:rPr>
          <w:rFonts w:eastAsiaTheme="minorEastAsia"/>
          <w:lang w:val="en-US"/>
        </w:rPr>
        <w:t xml:space="preserve">. Analysis of events revealed </w:t>
      </w:r>
      <w:r w:rsidR="007F03D2">
        <w:rPr>
          <w:rFonts w:eastAsiaTheme="minorEastAsia"/>
          <w:lang w:val="en-US"/>
        </w:rPr>
        <w:t>rituximab</w:t>
      </w:r>
      <w:r w:rsidRPr="009F7FC0">
        <w:rPr>
          <w:rFonts w:eastAsiaTheme="minorEastAsia"/>
          <w:lang w:val="en-US"/>
        </w:rPr>
        <w:t xml:space="preserve"> use has been associated with hepatitis B (HB) reactivation in patients with positive HB surface antigen (</w:t>
      </w:r>
      <w:proofErr w:type="spellStart"/>
      <w:r w:rsidRPr="009F7FC0">
        <w:rPr>
          <w:rFonts w:eastAsiaTheme="minorEastAsia"/>
          <w:lang w:val="en-US"/>
        </w:rPr>
        <w:t>HBsAg+ve</w:t>
      </w:r>
      <w:proofErr w:type="spellEnd"/>
      <w:r w:rsidRPr="009F7FC0">
        <w:rPr>
          <w:rFonts w:eastAsiaTheme="minorEastAsia"/>
          <w:lang w:val="en-US"/>
        </w:rPr>
        <w:t>) as well as negative HB surface antigen and positive anti-HB</w:t>
      </w:r>
      <w:r>
        <w:rPr>
          <w:rFonts w:eastAsiaTheme="minorEastAsia"/>
          <w:lang w:val="en-US"/>
        </w:rPr>
        <w:t xml:space="preserve"> </w:t>
      </w:r>
      <w:r w:rsidRPr="009F7FC0">
        <w:rPr>
          <w:rFonts w:eastAsiaTheme="minorEastAsia"/>
          <w:lang w:val="en-US"/>
        </w:rPr>
        <w:t>core antibody (</w:t>
      </w:r>
      <w:proofErr w:type="spellStart"/>
      <w:r w:rsidRPr="009F7FC0">
        <w:rPr>
          <w:rFonts w:eastAsiaTheme="minorEastAsia"/>
          <w:lang w:val="en-US"/>
        </w:rPr>
        <w:t>HBsAg-ve</w:t>
      </w:r>
      <w:proofErr w:type="spellEnd"/>
      <w:r w:rsidRPr="009F7FC0">
        <w:rPr>
          <w:rFonts w:eastAsiaTheme="minorEastAsia"/>
          <w:lang w:val="en-US"/>
        </w:rPr>
        <w:t>/</w:t>
      </w:r>
      <w:proofErr w:type="spellStart"/>
      <w:r w:rsidRPr="009F7FC0">
        <w:rPr>
          <w:rFonts w:eastAsiaTheme="minorEastAsia"/>
          <w:lang w:val="en-US"/>
        </w:rPr>
        <w:t>HBcAb+ve</w:t>
      </w:r>
      <w:proofErr w:type="spellEnd"/>
      <w:r w:rsidRPr="009F7FC0">
        <w:rPr>
          <w:rFonts w:eastAsiaTheme="minorEastAsia"/>
          <w:lang w:val="en-US"/>
        </w:rPr>
        <w:t>), particularly when administered in combination with steroids.</w:t>
      </w:r>
    </w:p>
    <w:p w14:paraId="69D3B267" w14:textId="749B079E" w:rsidR="009F7FC0" w:rsidRPr="009F7FC0" w:rsidRDefault="009F7FC0" w:rsidP="00443352">
      <w:pPr>
        <w:pStyle w:val="CLDNormal"/>
        <w:jc w:val="left"/>
        <w:rPr>
          <w:rFonts w:eastAsiaTheme="minorEastAsia"/>
          <w:lang w:val="en-US"/>
        </w:rPr>
      </w:pPr>
      <w:r w:rsidRPr="009F7FC0">
        <w:rPr>
          <w:rFonts w:eastAsiaTheme="minorEastAsia"/>
          <w:lang w:val="en-US"/>
        </w:rPr>
        <w:t xml:space="preserve">Hepatitis B virus (HBV) screening should be performed in all patients before initiation of treatment with </w:t>
      </w:r>
      <w:r w:rsidR="00AC690B" w:rsidRPr="00AC690B">
        <w:rPr>
          <w:rFonts w:eastAsiaTheme="minorEastAsia"/>
          <w:lang w:val="en-US"/>
        </w:rPr>
        <w:t>rituximab</w:t>
      </w:r>
      <w:r w:rsidRPr="009F7FC0">
        <w:rPr>
          <w:rFonts w:eastAsiaTheme="minorEastAsia"/>
          <w:lang w:val="en-US"/>
        </w:rPr>
        <w:t xml:space="preserve">. At a minimum this should include </w:t>
      </w:r>
      <w:proofErr w:type="spellStart"/>
      <w:r w:rsidRPr="009F7FC0">
        <w:rPr>
          <w:rFonts w:eastAsiaTheme="minorEastAsia"/>
          <w:lang w:val="en-US"/>
        </w:rPr>
        <w:t>HBsAg</w:t>
      </w:r>
      <w:proofErr w:type="spellEnd"/>
      <w:r w:rsidRPr="009F7FC0">
        <w:rPr>
          <w:rFonts w:eastAsiaTheme="minorEastAsia"/>
          <w:lang w:val="en-US"/>
        </w:rPr>
        <w:t xml:space="preserve">-status and </w:t>
      </w:r>
      <w:proofErr w:type="spellStart"/>
      <w:r w:rsidRPr="009F7FC0">
        <w:rPr>
          <w:rFonts w:eastAsiaTheme="minorEastAsia"/>
          <w:lang w:val="en-US"/>
        </w:rPr>
        <w:t>HBcAb</w:t>
      </w:r>
      <w:proofErr w:type="spellEnd"/>
      <w:r w:rsidRPr="009F7FC0">
        <w:rPr>
          <w:rFonts w:eastAsiaTheme="minorEastAsia"/>
          <w:lang w:val="en-US"/>
        </w:rPr>
        <w:t xml:space="preserve">-status. These can be complemented with other appropriate markers as per local guidelines. Patients with active HB disease should not be treated with </w:t>
      </w:r>
      <w:r w:rsidR="00AC690B" w:rsidRPr="00AC690B">
        <w:rPr>
          <w:rFonts w:eastAsiaTheme="minorEastAsia"/>
          <w:lang w:val="en-US"/>
        </w:rPr>
        <w:t>rituximab</w:t>
      </w:r>
      <w:r w:rsidRPr="009F7FC0">
        <w:rPr>
          <w:rFonts w:eastAsiaTheme="minorEastAsia"/>
          <w:lang w:val="en-US"/>
        </w:rPr>
        <w:t>. Patients with positive HB serology should consult a liver disease specialist before the start of treatment and should be monitored and managed according to guidelines to prevent HB reactivation.</w:t>
      </w:r>
    </w:p>
    <w:p w14:paraId="797019B1" w14:textId="0393A94D" w:rsidR="009F7FC0" w:rsidRPr="009F7FC0" w:rsidRDefault="009F7FC0" w:rsidP="00443352">
      <w:pPr>
        <w:pStyle w:val="CLDNormal"/>
        <w:jc w:val="left"/>
        <w:rPr>
          <w:rFonts w:eastAsiaTheme="minorEastAsia"/>
          <w:u w:val="single"/>
          <w:lang w:val="en-US"/>
        </w:rPr>
      </w:pPr>
      <w:r w:rsidRPr="009F7FC0">
        <w:rPr>
          <w:rFonts w:eastAsiaTheme="minorEastAsia"/>
          <w:u w:val="single"/>
          <w:lang w:val="en-US"/>
        </w:rPr>
        <w:t>Skin Reactions</w:t>
      </w:r>
    </w:p>
    <w:p w14:paraId="5C969A4E" w14:textId="7A803BAB" w:rsidR="009F7FC0" w:rsidRDefault="009F7FC0" w:rsidP="00443352">
      <w:pPr>
        <w:pStyle w:val="CLDNormal"/>
        <w:jc w:val="left"/>
        <w:rPr>
          <w:rFonts w:eastAsiaTheme="minorEastAsia"/>
          <w:lang w:val="en-US"/>
        </w:rPr>
      </w:pPr>
      <w:r w:rsidRPr="009F7FC0">
        <w:rPr>
          <w:rFonts w:eastAsiaTheme="minorEastAsia"/>
          <w:lang w:val="en-US"/>
        </w:rPr>
        <w:t xml:space="preserve">Severe skin reactions such as toxic epidermal necrolysis and Stevens-Johnson syndrome, some with fatal outcome, have been reported (see section 4.8 Adverse effects (Undesirable effects)). In case of such an event, with a suspected relationship to </w:t>
      </w:r>
      <w:r w:rsidR="00C77BDF">
        <w:rPr>
          <w:rFonts w:eastAsiaTheme="minorEastAsia"/>
          <w:lang w:val="en-US"/>
        </w:rPr>
        <w:t>rituximab</w:t>
      </w:r>
      <w:r w:rsidRPr="009F7FC0">
        <w:rPr>
          <w:rFonts w:eastAsiaTheme="minorEastAsia"/>
          <w:lang w:val="en-US"/>
        </w:rPr>
        <w:t xml:space="preserve"> treatment should be permanently discontinued. Re-administration must be carefully assessed based on the individual patient’s benefit-risk profile.</w:t>
      </w:r>
    </w:p>
    <w:p w14:paraId="18AA77AF" w14:textId="77777777" w:rsidR="00970613" w:rsidRPr="003272FC" w:rsidRDefault="00970613" w:rsidP="00443352">
      <w:pPr>
        <w:pStyle w:val="CLDNormal"/>
        <w:pageBreakBefore/>
        <w:jc w:val="left"/>
        <w:rPr>
          <w:rFonts w:eastAsiaTheme="minorEastAsia"/>
          <w:u w:val="single"/>
          <w:lang w:val="en-US"/>
        </w:rPr>
      </w:pPr>
      <w:r w:rsidRPr="003272FC">
        <w:rPr>
          <w:rFonts w:eastAsiaTheme="minorEastAsia"/>
          <w:u w:val="single"/>
          <w:lang w:val="en-US"/>
        </w:rPr>
        <w:t>Progressive multifocal leukoencephalopathy (PML)</w:t>
      </w:r>
    </w:p>
    <w:p w14:paraId="5EBE23C7" w14:textId="1477A562" w:rsidR="00970613" w:rsidRPr="00970613" w:rsidRDefault="00970613" w:rsidP="00443352">
      <w:pPr>
        <w:pStyle w:val="CLDNormal"/>
        <w:jc w:val="left"/>
        <w:rPr>
          <w:rFonts w:eastAsiaTheme="minorEastAsia"/>
          <w:lang w:val="en-US"/>
        </w:rPr>
      </w:pPr>
      <w:r w:rsidRPr="00970613">
        <w:rPr>
          <w:rFonts w:eastAsiaTheme="minorEastAsia"/>
          <w:lang w:val="en-US"/>
        </w:rPr>
        <w:t xml:space="preserve">Cases of progressive multifocal leukoencephalopathy (PML) have been reported following use of </w:t>
      </w:r>
      <w:r w:rsidR="00C77BDF">
        <w:rPr>
          <w:rFonts w:eastAsiaTheme="minorEastAsia"/>
          <w:lang w:val="en-US"/>
        </w:rPr>
        <w:t>rituximab</w:t>
      </w:r>
      <w:r w:rsidRPr="00970613">
        <w:rPr>
          <w:rFonts w:eastAsiaTheme="minorEastAsia"/>
          <w:lang w:val="en-US"/>
        </w:rPr>
        <w:t xml:space="preserve"> for the treatment of autoimmune diseases including RA and GPA. Several but not all of the reported cases involved patients with </w:t>
      </w:r>
      <w:proofErr w:type="spellStart"/>
      <w:r w:rsidRPr="00970613">
        <w:rPr>
          <w:rFonts w:eastAsiaTheme="minorEastAsia"/>
          <w:lang w:val="en-US"/>
        </w:rPr>
        <w:t>recognised</w:t>
      </w:r>
      <w:proofErr w:type="spellEnd"/>
      <w:r w:rsidRPr="00970613">
        <w:rPr>
          <w:rFonts w:eastAsiaTheme="minorEastAsia"/>
          <w:lang w:val="en-US"/>
        </w:rPr>
        <w:t xml:space="preserve"> risk factors for PML, including the underlying disease and long term immunosuppressive therapy or chemotherapy. (see Boxed Warning and section 4.4 Special warnings and precautions)</w:t>
      </w:r>
      <w:r w:rsidR="00C77BDF">
        <w:rPr>
          <w:rFonts w:eastAsiaTheme="minorEastAsia"/>
          <w:lang w:val="en-US"/>
        </w:rPr>
        <w:t>.</w:t>
      </w:r>
      <w:r w:rsidRPr="00970613">
        <w:rPr>
          <w:rFonts w:eastAsiaTheme="minorEastAsia"/>
          <w:lang w:val="en-US"/>
        </w:rPr>
        <w:t xml:space="preserve"> The efficacy and safety of </w:t>
      </w:r>
      <w:r w:rsidR="00C77BDF">
        <w:rPr>
          <w:rFonts w:eastAsiaTheme="minorEastAsia"/>
          <w:lang w:val="en-US"/>
        </w:rPr>
        <w:t>rituximab</w:t>
      </w:r>
      <w:r w:rsidRPr="00970613">
        <w:rPr>
          <w:rFonts w:eastAsiaTheme="minorEastAsia"/>
          <w:lang w:val="en-US"/>
        </w:rPr>
        <w:t xml:space="preserve"> for the treatment of autoimmune diseases other than RA, GPA and MPA has not been established.</w:t>
      </w:r>
    </w:p>
    <w:p w14:paraId="3F6F73C4" w14:textId="77777777" w:rsidR="00970613" w:rsidRPr="003272FC" w:rsidRDefault="00970613" w:rsidP="00443352">
      <w:pPr>
        <w:pStyle w:val="CLDNormal"/>
        <w:jc w:val="left"/>
        <w:rPr>
          <w:rFonts w:eastAsiaTheme="minorEastAsia"/>
          <w:u w:val="single"/>
          <w:lang w:val="en-US"/>
        </w:rPr>
      </w:pPr>
      <w:proofErr w:type="spellStart"/>
      <w:r w:rsidRPr="003272FC">
        <w:rPr>
          <w:rFonts w:eastAsiaTheme="minorEastAsia"/>
          <w:u w:val="single"/>
          <w:lang w:val="en-US"/>
        </w:rPr>
        <w:t>Immunisation</w:t>
      </w:r>
      <w:proofErr w:type="spellEnd"/>
    </w:p>
    <w:p w14:paraId="31B90450" w14:textId="1DFA7AF2" w:rsidR="00970613" w:rsidRPr="00970613" w:rsidRDefault="00970613" w:rsidP="00443352">
      <w:pPr>
        <w:pStyle w:val="CLDNormal"/>
        <w:jc w:val="left"/>
        <w:rPr>
          <w:rFonts w:eastAsiaTheme="minorEastAsia"/>
          <w:lang w:val="en-US"/>
        </w:rPr>
      </w:pPr>
      <w:r w:rsidRPr="00970613">
        <w:rPr>
          <w:rFonts w:eastAsiaTheme="minorEastAsia"/>
          <w:lang w:val="en-US"/>
        </w:rPr>
        <w:t xml:space="preserve">For patients treated with </w:t>
      </w:r>
      <w:r w:rsidR="00C77BDF">
        <w:rPr>
          <w:rFonts w:eastAsiaTheme="minorEastAsia"/>
          <w:lang w:val="en-US"/>
        </w:rPr>
        <w:t>rituximab</w:t>
      </w:r>
      <w:r w:rsidRPr="00970613">
        <w:rPr>
          <w:rFonts w:eastAsiaTheme="minorEastAsia"/>
          <w:lang w:val="en-US"/>
        </w:rPr>
        <w:t xml:space="preserve">, physicians should review the patient’s vaccination status and patients should, if possible, be brought up-to-date with all </w:t>
      </w:r>
      <w:proofErr w:type="spellStart"/>
      <w:r w:rsidRPr="00970613">
        <w:rPr>
          <w:rFonts w:eastAsiaTheme="minorEastAsia"/>
          <w:lang w:val="en-US"/>
        </w:rPr>
        <w:t>immunisations</w:t>
      </w:r>
      <w:proofErr w:type="spellEnd"/>
      <w:r w:rsidRPr="00970613">
        <w:rPr>
          <w:rFonts w:eastAsiaTheme="minorEastAsia"/>
          <w:lang w:val="en-US"/>
        </w:rPr>
        <w:t xml:space="preserve"> in alignment with current </w:t>
      </w:r>
      <w:proofErr w:type="spellStart"/>
      <w:r w:rsidRPr="00970613">
        <w:rPr>
          <w:rFonts w:eastAsiaTheme="minorEastAsia"/>
          <w:lang w:val="en-US"/>
        </w:rPr>
        <w:t>immunisation</w:t>
      </w:r>
      <w:proofErr w:type="spellEnd"/>
      <w:r w:rsidRPr="00970613">
        <w:rPr>
          <w:rFonts w:eastAsiaTheme="minorEastAsia"/>
          <w:lang w:val="en-US"/>
        </w:rPr>
        <w:t xml:space="preserve"> guidelines prior to initiating </w:t>
      </w:r>
      <w:r w:rsidR="00126D8F" w:rsidRPr="00126D8F">
        <w:rPr>
          <w:rFonts w:eastAsiaTheme="minorEastAsia"/>
          <w:lang w:val="en-US"/>
        </w:rPr>
        <w:t>rituximab</w:t>
      </w:r>
      <w:r w:rsidRPr="00970613">
        <w:rPr>
          <w:rFonts w:eastAsiaTheme="minorEastAsia"/>
          <w:lang w:val="en-US"/>
        </w:rPr>
        <w:t xml:space="preserve"> therapy. Vaccinations should be completed at least 4 weeks prior to first administration of </w:t>
      </w:r>
      <w:r w:rsidR="00126D8F" w:rsidRPr="00126D8F">
        <w:rPr>
          <w:rFonts w:eastAsiaTheme="minorEastAsia"/>
          <w:lang w:val="en-US"/>
        </w:rPr>
        <w:t>rituximab</w:t>
      </w:r>
      <w:r w:rsidRPr="00970613">
        <w:rPr>
          <w:rFonts w:eastAsiaTheme="minorEastAsia"/>
          <w:lang w:val="en-US"/>
        </w:rPr>
        <w:t>.</w:t>
      </w:r>
    </w:p>
    <w:p w14:paraId="21E7504C" w14:textId="3CD54CCB" w:rsidR="00970613" w:rsidRDefault="00970613" w:rsidP="00443352">
      <w:pPr>
        <w:pStyle w:val="CLDNormal"/>
        <w:jc w:val="left"/>
        <w:rPr>
          <w:rFonts w:eastAsiaTheme="minorEastAsia"/>
          <w:lang w:val="en-US"/>
        </w:rPr>
      </w:pPr>
      <w:r w:rsidRPr="00970613">
        <w:rPr>
          <w:rFonts w:eastAsiaTheme="minorEastAsia"/>
          <w:lang w:val="en-US"/>
        </w:rPr>
        <w:t xml:space="preserve">The safety of </w:t>
      </w:r>
      <w:proofErr w:type="spellStart"/>
      <w:r w:rsidRPr="00970613">
        <w:rPr>
          <w:rFonts w:eastAsiaTheme="minorEastAsia"/>
          <w:lang w:val="en-US"/>
        </w:rPr>
        <w:t>immunisation</w:t>
      </w:r>
      <w:proofErr w:type="spellEnd"/>
      <w:r w:rsidRPr="00970613">
        <w:rPr>
          <w:rFonts w:eastAsiaTheme="minorEastAsia"/>
          <w:lang w:val="en-US"/>
        </w:rPr>
        <w:t xml:space="preserve"> with live viral vaccines following </w:t>
      </w:r>
      <w:r w:rsidR="00C77BDF">
        <w:rPr>
          <w:rFonts w:eastAsiaTheme="minorEastAsia"/>
          <w:lang w:val="en-US"/>
        </w:rPr>
        <w:t>rituximab</w:t>
      </w:r>
      <w:r w:rsidRPr="00970613">
        <w:rPr>
          <w:rFonts w:eastAsiaTheme="minorEastAsia"/>
          <w:lang w:val="en-US"/>
        </w:rPr>
        <w:t xml:space="preserve"> therapy has not been studied. Therefore vaccination with live virus vaccines is not recommended whilst on </w:t>
      </w:r>
      <w:r w:rsidR="00126D8F" w:rsidRPr="00126D8F">
        <w:rPr>
          <w:rFonts w:eastAsiaTheme="minorEastAsia"/>
          <w:lang w:val="en-US"/>
        </w:rPr>
        <w:t>rituximab</w:t>
      </w:r>
      <w:r w:rsidRPr="00970613">
        <w:rPr>
          <w:rFonts w:eastAsiaTheme="minorEastAsia"/>
          <w:lang w:val="en-US"/>
        </w:rPr>
        <w:t xml:space="preserve"> or whilst peripherally B cell depleted.</w:t>
      </w:r>
    </w:p>
    <w:p w14:paraId="42004847" w14:textId="28A67A6D" w:rsidR="003272FC" w:rsidRPr="003272FC" w:rsidRDefault="003272FC" w:rsidP="00443352">
      <w:pPr>
        <w:pStyle w:val="CLDNormal"/>
        <w:jc w:val="left"/>
        <w:rPr>
          <w:rFonts w:eastAsiaTheme="minorEastAsia"/>
          <w:lang w:val="en-US"/>
        </w:rPr>
      </w:pPr>
      <w:r w:rsidRPr="003272FC">
        <w:rPr>
          <w:rFonts w:eastAsiaTheme="minorEastAsia"/>
          <w:lang w:val="en-US"/>
        </w:rPr>
        <w:t xml:space="preserve">Patients treated with </w:t>
      </w:r>
      <w:r w:rsidR="00126D8F" w:rsidRPr="00126D8F">
        <w:rPr>
          <w:rFonts w:eastAsiaTheme="minorEastAsia"/>
          <w:lang w:val="en-US"/>
        </w:rPr>
        <w:t>rituximab</w:t>
      </w:r>
      <w:r w:rsidRPr="003272FC">
        <w:rPr>
          <w:rFonts w:eastAsiaTheme="minorEastAsia"/>
          <w:lang w:val="en-US"/>
        </w:rPr>
        <w:t xml:space="preserve"> may receive non-live vaccinations. However, response rates to non-live vaccines may be reduced. In a </w:t>
      </w:r>
      <w:proofErr w:type="spellStart"/>
      <w:r w:rsidRPr="003272FC">
        <w:rPr>
          <w:rFonts w:eastAsiaTheme="minorEastAsia"/>
          <w:lang w:val="en-US"/>
        </w:rPr>
        <w:t>randomised</w:t>
      </w:r>
      <w:proofErr w:type="spellEnd"/>
      <w:r w:rsidRPr="003272FC">
        <w:rPr>
          <w:rFonts w:eastAsiaTheme="minorEastAsia"/>
          <w:lang w:val="en-US"/>
        </w:rPr>
        <w:t xml:space="preserve"> study, patients with RA treated with </w:t>
      </w:r>
      <w:r w:rsidR="00C77BDF">
        <w:rPr>
          <w:rFonts w:eastAsiaTheme="minorEastAsia"/>
          <w:lang w:val="en-US"/>
        </w:rPr>
        <w:t>rituximab</w:t>
      </w:r>
      <w:r w:rsidRPr="003272FC">
        <w:rPr>
          <w:rFonts w:eastAsiaTheme="minorEastAsia"/>
          <w:lang w:val="en-US"/>
        </w:rPr>
        <w:t xml:space="preserve"> and MTX had comparable response rates to tetanus recall antigen (39% vs. 42%), reduced rates to pneumococcal polysaccharide vaccine (43% vs. 82% to at least 2 pneumococcal antibody serotypes), and KLH </w:t>
      </w:r>
      <w:proofErr w:type="spellStart"/>
      <w:r w:rsidRPr="003272FC">
        <w:rPr>
          <w:rFonts w:eastAsiaTheme="minorEastAsia"/>
          <w:lang w:val="en-US"/>
        </w:rPr>
        <w:t>neoantigen</w:t>
      </w:r>
      <w:proofErr w:type="spellEnd"/>
      <w:r w:rsidRPr="003272FC">
        <w:rPr>
          <w:rFonts w:eastAsiaTheme="minorEastAsia"/>
          <w:lang w:val="en-US"/>
        </w:rPr>
        <w:t xml:space="preserve"> (34% vs. 80%), when given at least 6 months after </w:t>
      </w:r>
      <w:r w:rsidR="00C77BDF">
        <w:rPr>
          <w:rFonts w:eastAsiaTheme="minorEastAsia"/>
          <w:lang w:val="en-US"/>
        </w:rPr>
        <w:t>rituximab</w:t>
      </w:r>
      <w:r w:rsidRPr="003272FC">
        <w:rPr>
          <w:rFonts w:eastAsiaTheme="minorEastAsia"/>
          <w:lang w:val="en-US"/>
        </w:rPr>
        <w:t xml:space="preserve"> as compared to patients only receiving MTX. Should non-live vaccinations be required whilst receiving </w:t>
      </w:r>
      <w:r w:rsidR="00126D8F" w:rsidRPr="00126D8F">
        <w:rPr>
          <w:rFonts w:eastAsiaTheme="minorEastAsia"/>
          <w:lang w:val="en-US"/>
        </w:rPr>
        <w:t>rituximab</w:t>
      </w:r>
      <w:r w:rsidRPr="003272FC">
        <w:rPr>
          <w:rFonts w:eastAsiaTheme="minorEastAsia"/>
          <w:lang w:val="en-US"/>
        </w:rPr>
        <w:t xml:space="preserve"> therapy, these should be completed at least 4 weeks prior to commencing the next course of </w:t>
      </w:r>
      <w:r w:rsidR="00126D8F" w:rsidRPr="00126D8F">
        <w:rPr>
          <w:rFonts w:eastAsiaTheme="minorEastAsia"/>
          <w:lang w:val="en-US"/>
        </w:rPr>
        <w:t>rituximab</w:t>
      </w:r>
      <w:r w:rsidRPr="003272FC">
        <w:rPr>
          <w:rFonts w:eastAsiaTheme="minorEastAsia"/>
          <w:lang w:val="en-US"/>
        </w:rPr>
        <w:t>.</w:t>
      </w:r>
    </w:p>
    <w:p w14:paraId="1FE1AF60" w14:textId="15B37AFF" w:rsidR="003272FC" w:rsidRDefault="003272FC" w:rsidP="00443352">
      <w:pPr>
        <w:pStyle w:val="CLDNormal"/>
        <w:jc w:val="left"/>
        <w:rPr>
          <w:rFonts w:eastAsiaTheme="minorEastAsia"/>
          <w:lang w:val="en-US"/>
        </w:rPr>
      </w:pPr>
      <w:r w:rsidRPr="003272FC">
        <w:rPr>
          <w:rFonts w:eastAsiaTheme="minorEastAsia"/>
          <w:lang w:val="en-US"/>
        </w:rPr>
        <w:t xml:space="preserve">In the overall experience of </w:t>
      </w:r>
      <w:r w:rsidR="00C77BDF">
        <w:rPr>
          <w:rFonts w:eastAsiaTheme="minorEastAsia"/>
          <w:lang w:val="en-US"/>
        </w:rPr>
        <w:t>rituximab</w:t>
      </w:r>
      <w:r w:rsidRPr="003272FC">
        <w:rPr>
          <w:rFonts w:eastAsiaTheme="minorEastAsia"/>
          <w:lang w:val="en-US"/>
        </w:rPr>
        <w:t xml:space="preserve"> repeat treatment in RA patients over one year, the proportions of patients with positive antibody titers against S. </w:t>
      </w:r>
      <w:proofErr w:type="spellStart"/>
      <w:r w:rsidRPr="003272FC">
        <w:rPr>
          <w:rFonts w:eastAsiaTheme="minorEastAsia"/>
          <w:lang w:val="en-US"/>
        </w:rPr>
        <w:t>pneumoniae</w:t>
      </w:r>
      <w:proofErr w:type="spellEnd"/>
      <w:r w:rsidRPr="003272FC">
        <w:rPr>
          <w:rFonts w:eastAsiaTheme="minorEastAsia"/>
          <w:lang w:val="en-US"/>
        </w:rPr>
        <w:t>, influenza, mumps, rubella, varicella and tetanus toxoid were generally similar to the proportions at baseline.</w:t>
      </w:r>
    </w:p>
    <w:p w14:paraId="3011B8B6" w14:textId="77777777" w:rsidR="003272FC" w:rsidRPr="003272FC" w:rsidRDefault="003272FC" w:rsidP="00443352">
      <w:pPr>
        <w:pStyle w:val="CLDNormal"/>
        <w:jc w:val="left"/>
        <w:rPr>
          <w:rFonts w:eastAsiaTheme="minorEastAsia"/>
          <w:u w:val="single"/>
          <w:lang w:val="en-US"/>
        </w:rPr>
      </w:pPr>
      <w:r w:rsidRPr="003272FC">
        <w:rPr>
          <w:rFonts w:eastAsiaTheme="minorEastAsia"/>
          <w:u w:val="single"/>
          <w:lang w:val="en-US"/>
        </w:rPr>
        <w:t>Cardiovascular Events</w:t>
      </w:r>
    </w:p>
    <w:p w14:paraId="32E7F8DB" w14:textId="5F5E8FBD" w:rsidR="003272FC" w:rsidRPr="003272FC" w:rsidRDefault="003272FC" w:rsidP="00443352">
      <w:pPr>
        <w:pStyle w:val="CLDNormal"/>
        <w:jc w:val="left"/>
        <w:rPr>
          <w:rFonts w:eastAsiaTheme="minorEastAsia"/>
          <w:lang w:val="en-US"/>
        </w:rPr>
      </w:pPr>
      <w:r w:rsidRPr="003272FC">
        <w:rPr>
          <w:rFonts w:eastAsiaTheme="minorEastAsia"/>
          <w:lang w:val="en-US"/>
        </w:rPr>
        <w:t xml:space="preserve">Patients with a history of cardiac disease should be monitored closely during infusions. Infusions should be discontinued in the event of serious or life-threatening cardiac arrhythmias (see section 4.4 Special warnings and precautions). There are no data on the safety of </w:t>
      </w:r>
      <w:r w:rsidR="00C77BDF">
        <w:rPr>
          <w:rFonts w:eastAsiaTheme="minorEastAsia"/>
          <w:lang w:val="en-US"/>
        </w:rPr>
        <w:t>rituximab</w:t>
      </w:r>
      <w:r w:rsidRPr="003272FC">
        <w:rPr>
          <w:rFonts w:eastAsiaTheme="minorEastAsia"/>
          <w:lang w:val="en-US"/>
        </w:rPr>
        <w:t xml:space="preserve"> in patients with moderate or severe heart failure (NYHA class III or IV) or severe, uncontrolled cardiovascular disease. In patients treated with </w:t>
      </w:r>
      <w:r w:rsidR="00C77BDF">
        <w:rPr>
          <w:rFonts w:eastAsiaTheme="minorEastAsia"/>
          <w:lang w:val="en-US"/>
        </w:rPr>
        <w:t>rituximab</w:t>
      </w:r>
      <w:r w:rsidRPr="003272FC">
        <w:rPr>
          <w:rFonts w:eastAsiaTheme="minorEastAsia"/>
          <w:lang w:val="en-US"/>
        </w:rPr>
        <w:t xml:space="preserve">, the occurrence of pre-existing </w:t>
      </w:r>
      <w:proofErr w:type="spellStart"/>
      <w:r w:rsidRPr="003272FC">
        <w:rPr>
          <w:rFonts w:eastAsiaTheme="minorEastAsia"/>
          <w:lang w:val="en-US"/>
        </w:rPr>
        <w:t>ischaemic</w:t>
      </w:r>
      <w:proofErr w:type="spellEnd"/>
      <w:r w:rsidRPr="003272FC">
        <w:rPr>
          <w:rFonts w:eastAsiaTheme="minorEastAsia"/>
          <w:lang w:val="en-US"/>
        </w:rPr>
        <w:t xml:space="preserve"> cardiac conditions becoming symptomatic, such as angina pectoris, has been observed, as well as cardiac arrhythmias such as atrial fibrillation and flutter. Therefore, in patients with a known cardiac history, the risk of cardiovascular complications resulting from infusion reactions should be considered before treatment with </w:t>
      </w:r>
      <w:r w:rsidR="00C77BDF">
        <w:rPr>
          <w:rFonts w:eastAsiaTheme="minorEastAsia"/>
          <w:lang w:val="en-US"/>
        </w:rPr>
        <w:t>rituximab</w:t>
      </w:r>
      <w:r w:rsidRPr="003272FC">
        <w:rPr>
          <w:rFonts w:eastAsiaTheme="minorEastAsia"/>
          <w:lang w:val="en-US"/>
        </w:rPr>
        <w:t xml:space="preserve"> and patients monitored closely (see section 4.4 Special warnings and precautions; Infusion related reactions). Since hypotension may occur during </w:t>
      </w:r>
      <w:r w:rsidR="00C77BDF">
        <w:rPr>
          <w:rFonts w:eastAsiaTheme="minorEastAsia"/>
          <w:lang w:val="en-US"/>
        </w:rPr>
        <w:t>rituximab</w:t>
      </w:r>
      <w:r w:rsidRPr="003272FC">
        <w:rPr>
          <w:rFonts w:eastAsiaTheme="minorEastAsia"/>
          <w:lang w:val="en-US"/>
        </w:rPr>
        <w:t xml:space="preserve"> infusion, consideration should be given to withholding anti-hypertensive medications 12 hours prior to the </w:t>
      </w:r>
      <w:r w:rsidR="00981F51">
        <w:rPr>
          <w:rFonts w:eastAsiaTheme="minorEastAsia"/>
          <w:lang w:val="en-US"/>
        </w:rPr>
        <w:t>rituximab</w:t>
      </w:r>
      <w:r w:rsidRPr="003272FC">
        <w:rPr>
          <w:rFonts w:eastAsiaTheme="minorEastAsia"/>
          <w:lang w:val="en-US"/>
        </w:rPr>
        <w:t xml:space="preserve"> infusion.</w:t>
      </w:r>
    </w:p>
    <w:p w14:paraId="0842C221" w14:textId="77777777" w:rsidR="003272FC" w:rsidRPr="003272FC" w:rsidRDefault="003272FC" w:rsidP="00443352">
      <w:pPr>
        <w:pStyle w:val="CLDNormal"/>
        <w:pageBreakBefore/>
        <w:jc w:val="left"/>
        <w:rPr>
          <w:rFonts w:eastAsiaTheme="minorEastAsia"/>
          <w:u w:val="single"/>
          <w:lang w:val="en-US"/>
        </w:rPr>
      </w:pPr>
      <w:r w:rsidRPr="003272FC">
        <w:rPr>
          <w:rFonts w:eastAsiaTheme="minorEastAsia"/>
          <w:u w:val="single"/>
          <w:lang w:val="en-US"/>
        </w:rPr>
        <w:t>Methotrexate (MTX) naïve populations with RA</w:t>
      </w:r>
    </w:p>
    <w:p w14:paraId="041E13EE" w14:textId="49BD1EE6" w:rsidR="003272FC" w:rsidRPr="003272FC" w:rsidRDefault="003272FC" w:rsidP="00443352">
      <w:pPr>
        <w:pStyle w:val="CLDNormal"/>
        <w:jc w:val="left"/>
        <w:rPr>
          <w:rFonts w:eastAsiaTheme="minorEastAsia"/>
          <w:lang w:val="en-US"/>
        </w:rPr>
      </w:pPr>
      <w:r w:rsidRPr="003272FC">
        <w:rPr>
          <w:rFonts w:eastAsiaTheme="minorEastAsia"/>
          <w:lang w:val="en-US"/>
        </w:rPr>
        <w:t xml:space="preserve">The use of </w:t>
      </w:r>
      <w:r w:rsidR="00981F51">
        <w:rPr>
          <w:rFonts w:eastAsiaTheme="minorEastAsia"/>
          <w:lang w:val="en-US"/>
        </w:rPr>
        <w:t>rituximab</w:t>
      </w:r>
      <w:r w:rsidRPr="003272FC">
        <w:rPr>
          <w:rFonts w:eastAsiaTheme="minorEastAsia"/>
          <w:lang w:val="en-US"/>
        </w:rPr>
        <w:t xml:space="preserve"> is not recommended in MTX-naïve patients since a </w:t>
      </w:r>
      <w:proofErr w:type="spellStart"/>
      <w:r w:rsidRPr="003272FC">
        <w:rPr>
          <w:rFonts w:eastAsiaTheme="minorEastAsia"/>
          <w:lang w:val="en-US"/>
        </w:rPr>
        <w:t>favourable</w:t>
      </w:r>
      <w:proofErr w:type="spellEnd"/>
      <w:r w:rsidRPr="003272FC">
        <w:rPr>
          <w:rFonts w:eastAsiaTheme="minorEastAsia"/>
          <w:lang w:val="en-US"/>
        </w:rPr>
        <w:t xml:space="preserve"> benefit-risk relationship has not been established.</w:t>
      </w:r>
    </w:p>
    <w:p w14:paraId="10EF3DD2" w14:textId="77777777" w:rsidR="003272FC" w:rsidRPr="003272FC" w:rsidRDefault="003272FC" w:rsidP="00443352">
      <w:pPr>
        <w:pStyle w:val="CLDNormal"/>
        <w:jc w:val="left"/>
        <w:rPr>
          <w:rFonts w:eastAsiaTheme="minorEastAsia"/>
          <w:u w:val="single"/>
          <w:lang w:val="en-US"/>
        </w:rPr>
      </w:pPr>
      <w:r w:rsidRPr="003272FC">
        <w:rPr>
          <w:rFonts w:eastAsiaTheme="minorEastAsia"/>
          <w:u w:val="single"/>
          <w:lang w:val="en-US"/>
        </w:rPr>
        <w:t>Use in GPA or MPA patients aged ≥ 65 years</w:t>
      </w:r>
    </w:p>
    <w:p w14:paraId="45236925" w14:textId="77777777" w:rsidR="003272FC" w:rsidRDefault="003272FC" w:rsidP="00443352">
      <w:pPr>
        <w:pStyle w:val="CLDNormal"/>
        <w:jc w:val="left"/>
        <w:rPr>
          <w:rFonts w:eastAsiaTheme="minorEastAsia"/>
          <w:lang w:val="en-US"/>
        </w:rPr>
      </w:pPr>
      <w:r w:rsidRPr="003272FC">
        <w:rPr>
          <w:rFonts w:eastAsiaTheme="minorEastAsia"/>
          <w:lang w:val="en-US"/>
        </w:rPr>
        <w:t xml:space="preserve">In the RAVE study GPA or MPA patients aged ≥ 65 years in both treatment groups demonstrated an increased risk of SAEs, ≥ Grade 3 AEs, death or </w:t>
      </w:r>
      <w:proofErr w:type="spellStart"/>
      <w:r w:rsidRPr="003272FC">
        <w:rPr>
          <w:rFonts w:eastAsiaTheme="minorEastAsia"/>
          <w:lang w:val="en-US"/>
        </w:rPr>
        <w:t>hospitalisation</w:t>
      </w:r>
      <w:proofErr w:type="spellEnd"/>
      <w:r w:rsidRPr="003272FC">
        <w:rPr>
          <w:rFonts w:eastAsiaTheme="minorEastAsia"/>
          <w:lang w:val="en-US"/>
        </w:rPr>
        <w:t>. It is recommended that patients ≥ 65 years receiving treatment for GPA or MPA are monitored closely (see section 4.8 Adverse effects (Undesirable effects)).</w:t>
      </w:r>
    </w:p>
    <w:p w14:paraId="7A8591B2" w14:textId="77777777" w:rsidR="003272FC" w:rsidRPr="003272FC" w:rsidRDefault="003272FC" w:rsidP="00443352">
      <w:pPr>
        <w:pStyle w:val="CLDNormal"/>
        <w:jc w:val="left"/>
        <w:rPr>
          <w:rFonts w:eastAsiaTheme="minorEastAsia"/>
          <w:u w:val="single"/>
          <w:lang w:val="en-US"/>
        </w:rPr>
      </w:pPr>
      <w:r w:rsidRPr="003272FC">
        <w:rPr>
          <w:rFonts w:eastAsiaTheme="minorEastAsia"/>
          <w:u w:val="single"/>
          <w:lang w:val="en-US"/>
        </w:rPr>
        <w:t>Concomitant/Sequential Use of Other DMARDs in RA</w:t>
      </w:r>
    </w:p>
    <w:p w14:paraId="71335106" w14:textId="69E0793F" w:rsidR="003272FC" w:rsidRPr="003272FC" w:rsidRDefault="003272FC" w:rsidP="00443352">
      <w:pPr>
        <w:pStyle w:val="CLDNormal"/>
        <w:jc w:val="left"/>
        <w:rPr>
          <w:rFonts w:eastAsiaTheme="minorEastAsia"/>
          <w:lang w:val="en-US"/>
        </w:rPr>
      </w:pPr>
      <w:r w:rsidRPr="003272FC">
        <w:rPr>
          <w:rFonts w:eastAsiaTheme="minorEastAsia"/>
          <w:lang w:val="en-US"/>
        </w:rPr>
        <w:t xml:space="preserve">The concomitant use of </w:t>
      </w:r>
      <w:r w:rsidR="00E13737">
        <w:rPr>
          <w:rFonts w:eastAsiaTheme="minorEastAsia"/>
          <w:lang w:val="en-US"/>
        </w:rPr>
        <w:t xml:space="preserve">rituximab </w:t>
      </w:r>
      <w:r w:rsidRPr="003272FC">
        <w:rPr>
          <w:rFonts w:eastAsiaTheme="minorEastAsia"/>
          <w:lang w:val="en-US"/>
        </w:rPr>
        <w:t xml:space="preserve">and </w:t>
      </w:r>
      <w:proofErr w:type="spellStart"/>
      <w:r w:rsidRPr="003272FC">
        <w:rPr>
          <w:rFonts w:eastAsiaTheme="minorEastAsia"/>
          <w:lang w:val="en-US"/>
        </w:rPr>
        <w:t>antirheumatic</w:t>
      </w:r>
      <w:proofErr w:type="spellEnd"/>
      <w:r w:rsidRPr="003272FC">
        <w:rPr>
          <w:rFonts w:eastAsiaTheme="minorEastAsia"/>
          <w:lang w:val="en-US"/>
        </w:rPr>
        <w:t xml:space="preserve"> therapies other than those specified under the RA indication and dosing is not recommended.</w:t>
      </w:r>
    </w:p>
    <w:p w14:paraId="58B83AA8" w14:textId="6663AB1D" w:rsidR="003272FC" w:rsidRPr="003272FC" w:rsidRDefault="003272FC" w:rsidP="00443352">
      <w:pPr>
        <w:pStyle w:val="CLDNormal"/>
        <w:jc w:val="left"/>
        <w:rPr>
          <w:rFonts w:eastAsiaTheme="minorEastAsia"/>
          <w:lang w:val="en-US"/>
        </w:rPr>
      </w:pPr>
      <w:r w:rsidRPr="003272FC">
        <w:rPr>
          <w:rFonts w:eastAsiaTheme="minorEastAsia"/>
          <w:lang w:val="en-US"/>
        </w:rPr>
        <w:t xml:space="preserve">Limited data are available on the safety of the use of biologic agents or DMARDs other than MTX in patients exhibiting peripheral B cell depletion following treatment with </w:t>
      </w:r>
      <w:r w:rsidR="00C77BDF">
        <w:rPr>
          <w:rFonts w:eastAsiaTheme="minorEastAsia"/>
          <w:lang w:val="en-US"/>
        </w:rPr>
        <w:t>rituximab</w:t>
      </w:r>
      <w:r w:rsidRPr="003272FC">
        <w:rPr>
          <w:rFonts w:eastAsiaTheme="minorEastAsia"/>
          <w:lang w:val="en-US"/>
        </w:rPr>
        <w:t xml:space="preserve">. If biologic agents and/or DMARDs are used following </w:t>
      </w:r>
      <w:r w:rsidR="00E13737">
        <w:rPr>
          <w:rFonts w:eastAsiaTheme="minorEastAsia"/>
          <w:lang w:val="en-US"/>
        </w:rPr>
        <w:t>rituximab</w:t>
      </w:r>
      <w:r w:rsidRPr="003272FC">
        <w:rPr>
          <w:rFonts w:eastAsiaTheme="minorEastAsia"/>
          <w:lang w:val="en-US"/>
        </w:rPr>
        <w:t xml:space="preserve"> therapy, patients should be observed for signs of infection.</w:t>
      </w:r>
    </w:p>
    <w:p w14:paraId="2EAF1307" w14:textId="77777777" w:rsidR="003272FC" w:rsidRPr="003272FC" w:rsidRDefault="003272FC" w:rsidP="00443352">
      <w:pPr>
        <w:pStyle w:val="CLDNormal"/>
        <w:jc w:val="left"/>
        <w:rPr>
          <w:rFonts w:eastAsiaTheme="minorEastAsia"/>
          <w:u w:val="single"/>
          <w:lang w:val="en-US"/>
        </w:rPr>
      </w:pPr>
      <w:r w:rsidRPr="003272FC">
        <w:rPr>
          <w:rFonts w:eastAsiaTheme="minorEastAsia"/>
          <w:u w:val="single"/>
          <w:lang w:val="en-US"/>
        </w:rPr>
        <w:t>Malignancy</w:t>
      </w:r>
    </w:p>
    <w:p w14:paraId="0D79BEC6" w14:textId="18A87126" w:rsidR="003272FC" w:rsidRPr="003272FC" w:rsidRDefault="003272FC" w:rsidP="00443352">
      <w:pPr>
        <w:pStyle w:val="CLDNormal"/>
        <w:jc w:val="left"/>
        <w:rPr>
          <w:rFonts w:eastAsiaTheme="minorEastAsia"/>
          <w:lang w:val="en-US"/>
        </w:rPr>
      </w:pPr>
      <w:r w:rsidRPr="003272FC">
        <w:rPr>
          <w:rFonts w:eastAsiaTheme="minorEastAsia"/>
          <w:lang w:val="en-US"/>
        </w:rPr>
        <w:t xml:space="preserve">Immunomodulatory drugs may increase the risk of malignancy. On the basis of limited experience with </w:t>
      </w:r>
      <w:r w:rsidR="00C77BDF">
        <w:rPr>
          <w:rFonts w:eastAsiaTheme="minorEastAsia"/>
          <w:lang w:val="en-US"/>
        </w:rPr>
        <w:t>rituximab</w:t>
      </w:r>
      <w:r w:rsidRPr="003272FC">
        <w:rPr>
          <w:rFonts w:eastAsiaTheme="minorEastAsia"/>
          <w:lang w:val="en-US"/>
        </w:rPr>
        <w:t xml:space="preserve"> in RA patients see section 4.8 Adverse effects (Undesirable effects)) a possible risk for the development of solid </w:t>
      </w:r>
      <w:proofErr w:type="spellStart"/>
      <w:r w:rsidRPr="003272FC">
        <w:rPr>
          <w:rFonts w:eastAsiaTheme="minorEastAsia"/>
          <w:lang w:val="en-US"/>
        </w:rPr>
        <w:t>tumours</w:t>
      </w:r>
      <w:proofErr w:type="spellEnd"/>
      <w:r w:rsidRPr="003272FC">
        <w:rPr>
          <w:rFonts w:eastAsiaTheme="minorEastAsia"/>
          <w:lang w:val="en-US"/>
        </w:rPr>
        <w:t xml:space="preserve"> cannot be excluded at this time, although present data do not seem to suggest any increased risk.</w:t>
      </w:r>
    </w:p>
    <w:p w14:paraId="1298737F" w14:textId="77777777" w:rsidR="003272FC" w:rsidRPr="003272FC" w:rsidRDefault="003272FC" w:rsidP="00443352">
      <w:pPr>
        <w:pStyle w:val="CLDNormal"/>
        <w:jc w:val="left"/>
        <w:rPr>
          <w:rFonts w:eastAsiaTheme="minorEastAsia"/>
          <w:b/>
          <w:lang w:val="en-US"/>
        </w:rPr>
      </w:pPr>
      <w:r w:rsidRPr="003272FC">
        <w:rPr>
          <w:rFonts w:eastAsiaTheme="minorEastAsia"/>
          <w:b/>
          <w:lang w:val="en-US"/>
        </w:rPr>
        <w:t>Use in renal or hepatic impairment</w:t>
      </w:r>
    </w:p>
    <w:p w14:paraId="7D938023" w14:textId="314FB2E4" w:rsidR="003272FC" w:rsidRPr="003272FC" w:rsidRDefault="003272FC" w:rsidP="00443352">
      <w:pPr>
        <w:pStyle w:val="CLDNormal"/>
        <w:jc w:val="left"/>
        <w:rPr>
          <w:rFonts w:eastAsiaTheme="minorEastAsia"/>
          <w:lang w:val="en-US"/>
        </w:rPr>
      </w:pPr>
      <w:r w:rsidRPr="003272FC">
        <w:rPr>
          <w:rFonts w:eastAsiaTheme="minorEastAsia"/>
          <w:lang w:val="en-US"/>
        </w:rPr>
        <w:t xml:space="preserve">The safety and effectiveness of </w:t>
      </w:r>
      <w:r w:rsidR="00C77BDF">
        <w:rPr>
          <w:rFonts w:eastAsiaTheme="minorEastAsia"/>
          <w:lang w:val="en-US"/>
        </w:rPr>
        <w:t>rituximab</w:t>
      </w:r>
      <w:r w:rsidRPr="003272FC">
        <w:rPr>
          <w:rFonts w:eastAsiaTheme="minorEastAsia"/>
          <w:lang w:val="en-US"/>
        </w:rPr>
        <w:t xml:space="preserve"> in patients with renal or hepatic impairment has not been established. MTX is contraindicated in such patients and since </w:t>
      </w:r>
      <w:r w:rsidR="00126D8F" w:rsidRPr="00126D8F">
        <w:rPr>
          <w:rFonts w:eastAsiaTheme="minorEastAsia"/>
          <w:lang w:val="en-US"/>
        </w:rPr>
        <w:t>rituximab</w:t>
      </w:r>
      <w:r w:rsidRPr="003272FC">
        <w:rPr>
          <w:rFonts w:eastAsiaTheme="minorEastAsia"/>
          <w:lang w:val="en-US"/>
        </w:rPr>
        <w:t xml:space="preserve"> is given in combination with MTX these patients were not included in the clinical studies for RA.</w:t>
      </w:r>
    </w:p>
    <w:p w14:paraId="1EA7B6FA" w14:textId="598EA872" w:rsidR="003272FC" w:rsidRDefault="003272FC" w:rsidP="00443352">
      <w:pPr>
        <w:pStyle w:val="CLDNormal"/>
        <w:jc w:val="left"/>
        <w:rPr>
          <w:rFonts w:eastAsiaTheme="minorEastAsia"/>
          <w:lang w:val="en-US"/>
        </w:rPr>
      </w:pPr>
      <w:r w:rsidRPr="003272FC">
        <w:rPr>
          <w:rFonts w:eastAsiaTheme="minorEastAsia"/>
          <w:lang w:val="en-US"/>
        </w:rPr>
        <w:t xml:space="preserve">In the RAVE study, significant renal impairment was associated with an increased risk of experiencing any adverse event including SAEs, infections, </w:t>
      </w:r>
      <w:proofErr w:type="spellStart"/>
      <w:r w:rsidRPr="003272FC">
        <w:rPr>
          <w:rFonts w:eastAsiaTheme="minorEastAsia"/>
          <w:lang w:val="en-US"/>
        </w:rPr>
        <w:t>hospitalisation</w:t>
      </w:r>
      <w:proofErr w:type="spellEnd"/>
      <w:r w:rsidRPr="003272FC">
        <w:rPr>
          <w:rFonts w:eastAsiaTheme="minorEastAsia"/>
          <w:lang w:val="en-US"/>
        </w:rPr>
        <w:t xml:space="preserve"> or death. This increased risk was regardless of treatment strategy (</w:t>
      </w:r>
      <w:r w:rsidR="00C77BDF">
        <w:rPr>
          <w:rFonts w:eastAsiaTheme="minorEastAsia"/>
          <w:lang w:val="en-US"/>
        </w:rPr>
        <w:t>rituximab</w:t>
      </w:r>
      <w:r w:rsidRPr="003272FC">
        <w:rPr>
          <w:rFonts w:eastAsiaTheme="minorEastAsia"/>
          <w:lang w:val="en-US"/>
        </w:rPr>
        <w:t xml:space="preserve"> or CYC). It is recommended that patients with significant renal impairment receiving treatment for GPA or MPA are monitored closely (see section 4.8 Adverse effects (Undesirable effects)).</w:t>
      </w:r>
      <w:r>
        <w:rPr>
          <w:rFonts w:eastAsiaTheme="minorEastAsia"/>
          <w:lang w:val="en-US"/>
        </w:rPr>
        <w:t xml:space="preserve"> </w:t>
      </w:r>
    </w:p>
    <w:p w14:paraId="23235CD4" w14:textId="4DB47341" w:rsidR="003272FC" w:rsidRPr="003272FC" w:rsidRDefault="003272FC" w:rsidP="00443352">
      <w:pPr>
        <w:pStyle w:val="CLDNormal"/>
        <w:jc w:val="left"/>
        <w:rPr>
          <w:rFonts w:eastAsiaTheme="minorEastAsia"/>
          <w:b/>
          <w:lang w:val="en-US"/>
        </w:rPr>
      </w:pPr>
      <w:r w:rsidRPr="003272FC">
        <w:rPr>
          <w:rFonts w:eastAsiaTheme="minorEastAsia"/>
          <w:b/>
          <w:lang w:val="en-US"/>
        </w:rPr>
        <w:t>Use in the Elderly</w:t>
      </w:r>
    </w:p>
    <w:p w14:paraId="1EACF9D9" w14:textId="5F2497E1" w:rsidR="003272FC" w:rsidRPr="003272FC" w:rsidRDefault="003272FC" w:rsidP="00443352">
      <w:pPr>
        <w:pStyle w:val="CLDNormal"/>
        <w:jc w:val="left"/>
        <w:rPr>
          <w:rFonts w:eastAsiaTheme="minorEastAsia"/>
          <w:lang w:val="en-US"/>
        </w:rPr>
      </w:pPr>
      <w:r w:rsidRPr="003272FC">
        <w:rPr>
          <w:rFonts w:eastAsiaTheme="minorEastAsia"/>
          <w:lang w:val="en-US"/>
        </w:rPr>
        <w:t>No data available.</w:t>
      </w:r>
    </w:p>
    <w:p w14:paraId="6CF9C296" w14:textId="77777777" w:rsidR="003272FC" w:rsidRPr="003272FC" w:rsidRDefault="003272FC" w:rsidP="00443352">
      <w:pPr>
        <w:pStyle w:val="CLDNormal"/>
        <w:jc w:val="left"/>
        <w:rPr>
          <w:rFonts w:eastAsiaTheme="minorEastAsia"/>
          <w:b/>
          <w:lang w:val="en-US"/>
        </w:rPr>
      </w:pPr>
      <w:proofErr w:type="spellStart"/>
      <w:r w:rsidRPr="003272FC">
        <w:rPr>
          <w:rFonts w:eastAsiaTheme="minorEastAsia"/>
          <w:b/>
          <w:lang w:val="en-US"/>
        </w:rPr>
        <w:t>Paediatric</w:t>
      </w:r>
      <w:proofErr w:type="spellEnd"/>
      <w:r w:rsidRPr="003272FC">
        <w:rPr>
          <w:rFonts w:eastAsiaTheme="minorEastAsia"/>
          <w:b/>
          <w:lang w:val="en-US"/>
        </w:rPr>
        <w:t xml:space="preserve"> use</w:t>
      </w:r>
    </w:p>
    <w:p w14:paraId="44AADCA4" w14:textId="65909B35" w:rsidR="003272FC" w:rsidRPr="003272FC" w:rsidRDefault="003272FC" w:rsidP="00443352">
      <w:pPr>
        <w:pStyle w:val="CLDNormal"/>
        <w:jc w:val="left"/>
        <w:rPr>
          <w:rFonts w:eastAsiaTheme="minorEastAsia"/>
          <w:lang w:val="en-US"/>
        </w:rPr>
      </w:pPr>
      <w:r w:rsidRPr="003272FC">
        <w:rPr>
          <w:rFonts w:eastAsiaTheme="minorEastAsia"/>
          <w:lang w:val="en-US"/>
        </w:rPr>
        <w:t xml:space="preserve">The safety and effectiveness of </w:t>
      </w:r>
      <w:r w:rsidR="00A037B1">
        <w:rPr>
          <w:rFonts w:eastAsiaTheme="minorEastAsia"/>
          <w:lang w:val="en-US"/>
        </w:rPr>
        <w:t>rituximab</w:t>
      </w:r>
      <w:r w:rsidRPr="003272FC">
        <w:rPr>
          <w:rFonts w:eastAsiaTheme="minorEastAsia"/>
          <w:lang w:val="en-US"/>
        </w:rPr>
        <w:t xml:space="preserve"> in </w:t>
      </w:r>
      <w:proofErr w:type="spellStart"/>
      <w:r w:rsidRPr="003272FC">
        <w:rPr>
          <w:rFonts w:eastAsiaTheme="minorEastAsia"/>
          <w:lang w:val="en-US"/>
        </w:rPr>
        <w:t>paediatric</w:t>
      </w:r>
      <w:proofErr w:type="spellEnd"/>
      <w:r w:rsidRPr="003272FC">
        <w:rPr>
          <w:rFonts w:eastAsiaTheme="minorEastAsia"/>
          <w:lang w:val="en-US"/>
        </w:rPr>
        <w:t xml:space="preserve"> patients have not been established.</w:t>
      </w:r>
    </w:p>
    <w:p w14:paraId="69DF6BFF" w14:textId="779F3C1B" w:rsidR="003272FC" w:rsidRPr="003272FC" w:rsidRDefault="003272FC" w:rsidP="00443352">
      <w:pPr>
        <w:pStyle w:val="CLDNormal"/>
        <w:jc w:val="left"/>
        <w:rPr>
          <w:rFonts w:eastAsiaTheme="minorEastAsia"/>
          <w:lang w:val="en-US"/>
        </w:rPr>
      </w:pPr>
      <w:proofErr w:type="spellStart"/>
      <w:r w:rsidRPr="003272FC">
        <w:rPr>
          <w:rFonts w:eastAsiaTheme="minorEastAsia"/>
          <w:lang w:val="en-US"/>
        </w:rPr>
        <w:t>Hypogammaglobulinaemia</w:t>
      </w:r>
      <w:proofErr w:type="spellEnd"/>
      <w:r w:rsidRPr="003272FC">
        <w:rPr>
          <w:rFonts w:eastAsiaTheme="minorEastAsia"/>
          <w:lang w:val="en-US"/>
        </w:rPr>
        <w:t xml:space="preserve"> has been observed in </w:t>
      </w:r>
      <w:proofErr w:type="spellStart"/>
      <w:r w:rsidRPr="003272FC">
        <w:rPr>
          <w:rFonts w:eastAsiaTheme="minorEastAsia"/>
          <w:lang w:val="en-US"/>
        </w:rPr>
        <w:t>paediatric</w:t>
      </w:r>
      <w:proofErr w:type="spellEnd"/>
      <w:r w:rsidRPr="003272FC">
        <w:rPr>
          <w:rFonts w:eastAsiaTheme="minorEastAsia"/>
          <w:lang w:val="en-US"/>
        </w:rPr>
        <w:t xml:space="preserve"> patients treated with </w:t>
      </w:r>
      <w:r w:rsidR="00A037B1">
        <w:rPr>
          <w:rFonts w:eastAsiaTheme="minorEastAsia"/>
          <w:lang w:val="en-US"/>
        </w:rPr>
        <w:t>rituximab</w:t>
      </w:r>
      <w:r w:rsidRPr="003272FC">
        <w:rPr>
          <w:rFonts w:eastAsiaTheme="minorEastAsia"/>
          <w:lang w:val="en-US"/>
        </w:rPr>
        <w:t xml:space="preserve">, in some cases severe and requiring long-term immunoglobulin substitution therapy. The consequences of long term B cell depletion in </w:t>
      </w:r>
      <w:proofErr w:type="spellStart"/>
      <w:r w:rsidRPr="003272FC">
        <w:rPr>
          <w:rFonts w:eastAsiaTheme="minorEastAsia"/>
          <w:lang w:val="en-US"/>
        </w:rPr>
        <w:t>paediatric</w:t>
      </w:r>
      <w:proofErr w:type="spellEnd"/>
      <w:r w:rsidRPr="003272FC">
        <w:rPr>
          <w:rFonts w:eastAsiaTheme="minorEastAsia"/>
          <w:lang w:val="en-US"/>
        </w:rPr>
        <w:t xml:space="preserve"> patients are unknown.</w:t>
      </w:r>
    </w:p>
    <w:p w14:paraId="3B3F0F79" w14:textId="77777777" w:rsidR="003272FC" w:rsidRPr="003272FC" w:rsidRDefault="003272FC" w:rsidP="00443352">
      <w:pPr>
        <w:pStyle w:val="CLDNormal"/>
        <w:jc w:val="left"/>
        <w:rPr>
          <w:rFonts w:eastAsiaTheme="minorEastAsia"/>
          <w:b/>
          <w:lang w:val="en-US"/>
        </w:rPr>
      </w:pPr>
      <w:r w:rsidRPr="003272FC">
        <w:rPr>
          <w:rFonts w:eastAsiaTheme="minorEastAsia"/>
          <w:b/>
          <w:lang w:val="en-US"/>
        </w:rPr>
        <w:t>Effects on laboratory tests</w:t>
      </w:r>
    </w:p>
    <w:p w14:paraId="7D4155C4" w14:textId="77777777" w:rsidR="003272FC" w:rsidRDefault="003272FC" w:rsidP="00443352">
      <w:pPr>
        <w:pStyle w:val="CLDNormal"/>
        <w:jc w:val="left"/>
        <w:rPr>
          <w:rFonts w:eastAsiaTheme="minorEastAsia"/>
          <w:lang w:val="en-US"/>
        </w:rPr>
      </w:pPr>
      <w:r w:rsidRPr="003272FC">
        <w:rPr>
          <w:rFonts w:eastAsiaTheme="minorEastAsia"/>
          <w:lang w:val="en-US"/>
        </w:rPr>
        <w:t>No data available.</w:t>
      </w:r>
    </w:p>
    <w:p w14:paraId="4E8444FA" w14:textId="77777777" w:rsidR="00EC2C85" w:rsidRPr="00112E5B" w:rsidRDefault="00787D1C" w:rsidP="00443352">
      <w:pPr>
        <w:pStyle w:val="CLDHeading2"/>
        <w:jc w:val="left"/>
      </w:pPr>
      <w:r>
        <w:t>4.5</w:t>
      </w:r>
      <w:r>
        <w:tab/>
      </w:r>
      <w:r w:rsidR="00112E5B">
        <w:t>Interaction</w:t>
      </w:r>
      <w:r w:rsidR="00CD7E76">
        <w:t>s with other m</w:t>
      </w:r>
      <w:r w:rsidR="00112E5B">
        <w:t>ed</w:t>
      </w:r>
      <w:r w:rsidR="00591258">
        <w:t>i</w:t>
      </w:r>
      <w:r w:rsidR="00112E5B">
        <w:t>cines</w:t>
      </w:r>
      <w:r w:rsidR="00CD7E76">
        <w:t xml:space="preserve"> and other forms of i</w:t>
      </w:r>
      <w:r w:rsidR="004A5EA8">
        <w:t>nteraction</w:t>
      </w:r>
      <w:r w:rsidR="00C40E91">
        <w:t>s</w:t>
      </w:r>
      <w:r w:rsidR="00112E5B">
        <w:t xml:space="preserve"> </w:t>
      </w:r>
    </w:p>
    <w:p w14:paraId="4356FF90" w14:textId="32D1E1AE" w:rsidR="003272FC" w:rsidRPr="003272FC" w:rsidRDefault="003272FC" w:rsidP="00443352">
      <w:pPr>
        <w:pStyle w:val="CLDNormal"/>
        <w:jc w:val="left"/>
        <w:rPr>
          <w:rFonts w:eastAsiaTheme="minorEastAsia"/>
          <w:lang w:val="en-US"/>
        </w:rPr>
      </w:pPr>
      <w:r w:rsidRPr="003272FC">
        <w:rPr>
          <w:rFonts w:eastAsiaTheme="minorEastAsia"/>
          <w:lang w:val="en-US"/>
        </w:rPr>
        <w:t xml:space="preserve">Currently, there are limited data on possible drug interactions with </w:t>
      </w:r>
      <w:r w:rsidR="00A037B1">
        <w:rPr>
          <w:rFonts w:eastAsiaTheme="minorEastAsia"/>
          <w:lang w:val="en-US"/>
        </w:rPr>
        <w:t>rituximab</w:t>
      </w:r>
      <w:r w:rsidRPr="003272FC">
        <w:rPr>
          <w:rFonts w:eastAsiaTheme="minorEastAsia"/>
          <w:lang w:val="en-US"/>
        </w:rPr>
        <w:t>.</w:t>
      </w:r>
    </w:p>
    <w:p w14:paraId="7B9721DB" w14:textId="73C9BA1F" w:rsidR="003272FC" w:rsidRPr="003272FC" w:rsidRDefault="003272FC" w:rsidP="00443352">
      <w:pPr>
        <w:pStyle w:val="CLDNormal"/>
        <w:jc w:val="left"/>
        <w:rPr>
          <w:rFonts w:eastAsiaTheme="minorEastAsia"/>
          <w:lang w:val="en-US"/>
        </w:rPr>
      </w:pPr>
      <w:r w:rsidRPr="003272FC">
        <w:rPr>
          <w:rFonts w:eastAsiaTheme="minorEastAsia"/>
          <w:lang w:val="en-US"/>
        </w:rPr>
        <w:t xml:space="preserve">In CLL patients, co-administration with intravenous </w:t>
      </w:r>
      <w:r w:rsidR="00A037B1">
        <w:rPr>
          <w:rFonts w:eastAsiaTheme="minorEastAsia"/>
          <w:lang w:val="en-US"/>
        </w:rPr>
        <w:t>rituximab</w:t>
      </w:r>
      <w:r w:rsidRPr="003272FC">
        <w:rPr>
          <w:rFonts w:eastAsiaTheme="minorEastAsia"/>
          <w:lang w:val="en-US"/>
        </w:rPr>
        <w:t xml:space="preserve"> did not appear to have an effect on the pharmacokinetics of </w:t>
      </w:r>
      <w:proofErr w:type="spellStart"/>
      <w:r w:rsidRPr="003272FC">
        <w:rPr>
          <w:rFonts w:eastAsiaTheme="minorEastAsia"/>
          <w:lang w:val="en-US"/>
        </w:rPr>
        <w:t>fludarabine</w:t>
      </w:r>
      <w:proofErr w:type="spellEnd"/>
      <w:r w:rsidRPr="003272FC">
        <w:rPr>
          <w:rFonts w:eastAsiaTheme="minorEastAsia"/>
          <w:lang w:val="en-US"/>
        </w:rPr>
        <w:t xml:space="preserve"> or cyclophosphamide. In addition, there was no apparent effect of </w:t>
      </w:r>
      <w:proofErr w:type="spellStart"/>
      <w:r w:rsidRPr="003272FC">
        <w:rPr>
          <w:rFonts w:eastAsiaTheme="minorEastAsia"/>
          <w:lang w:val="en-US"/>
        </w:rPr>
        <w:t>fludarabine</w:t>
      </w:r>
      <w:proofErr w:type="spellEnd"/>
      <w:r w:rsidRPr="003272FC">
        <w:rPr>
          <w:rFonts w:eastAsiaTheme="minorEastAsia"/>
          <w:lang w:val="en-US"/>
        </w:rPr>
        <w:t xml:space="preserve"> and cyclophosphamide on the pharmacokinetics of </w:t>
      </w:r>
      <w:r w:rsidR="00A037B1">
        <w:rPr>
          <w:rFonts w:eastAsiaTheme="minorEastAsia"/>
          <w:lang w:val="en-US"/>
        </w:rPr>
        <w:t>rituximab</w:t>
      </w:r>
      <w:r w:rsidRPr="003272FC">
        <w:rPr>
          <w:rFonts w:eastAsiaTheme="minorEastAsia"/>
          <w:lang w:val="en-US"/>
        </w:rPr>
        <w:t>.</w:t>
      </w:r>
    </w:p>
    <w:p w14:paraId="6FFAD9FF" w14:textId="1CF635D1" w:rsidR="003272FC" w:rsidRPr="003272FC" w:rsidRDefault="003272FC" w:rsidP="00443352">
      <w:pPr>
        <w:pStyle w:val="CLDNormal"/>
        <w:jc w:val="left"/>
        <w:rPr>
          <w:rFonts w:eastAsiaTheme="minorEastAsia"/>
          <w:lang w:val="en-US"/>
        </w:rPr>
      </w:pPr>
      <w:r w:rsidRPr="003272FC">
        <w:rPr>
          <w:rFonts w:eastAsiaTheme="minorEastAsia"/>
          <w:lang w:val="en-US"/>
        </w:rPr>
        <w:t xml:space="preserve">Co-administration with MTX had no effect on the pharmacokinetics of intravenous </w:t>
      </w:r>
      <w:r w:rsidR="00A037B1">
        <w:rPr>
          <w:rFonts w:eastAsiaTheme="minorEastAsia"/>
          <w:lang w:val="en-US"/>
        </w:rPr>
        <w:t>rituximab</w:t>
      </w:r>
      <w:r w:rsidRPr="003272FC">
        <w:rPr>
          <w:rFonts w:eastAsiaTheme="minorEastAsia"/>
          <w:lang w:val="en-US"/>
        </w:rPr>
        <w:t xml:space="preserve"> in RA patients.</w:t>
      </w:r>
    </w:p>
    <w:p w14:paraId="058A0D31" w14:textId="77777777" w:rsidR="003272FC" w:rsidRPr="003272FC" w:rsidRDefault="003272FC" w:rsidP="00443352">
      <w:pPr>
        <w:pStyle w:val="CLDNormal"/>
        <w:jc w:val="left"/>
        <w:rPr>
          <w:rFonts w:eastAsiaTheme="minorEastAsia"/>
          <w:lang w:val="en-US"/>
        </w:rPr>
      </w:pPr>
      <w:r w:rsidRPr="003272FC">
        <w:rPr>
          <w:rFonts w:eastAsiaTheme="minorEastAsia"/>
          <w:lang w:val="en-US"/>
        </w:rPr>
        <w:t xml:space="preserve">Patients with human anti-mouse antibody or human anti-chimeric antibody (HAMA/HACA) </w:t>
      </w:r>
      <w:proofErr w:type="spellStart"/>
      <w:r w:rsidRPr="003272FC">
        <w:rPr>
          <w:rFonts w:eastAsiaTheme="minorEastAsia"/>
          <w:lang w:val="en-US"/>
        </w:rPr>
        <w:t>titres</w:t>
      </w:r>
      <w:proofErr w:type="spellEnd"/>
      <w:r w:rsidRPr="003272FC">
        <w:rPr>
          <w:rFonts w:eastAsiaTheme="minorEastAsia"/>
          <w:lang w:val="en-US"/>
        </w:rPr>
        <w:t xml:space="preserve"> may have allergic or hypersensitivity reactions when treated with other diagnostic or therapeutic monoclonal antibodies.</w:t>
      </w:r>
    </w:p>
    <w:p w14:paraId="1C28C687" w14:textId="2C7B64D3" w:rsidR="003272FC" w:rsidRPr="003272FC" w:rsidRDefault="003272FC" w:rsidP="00443352">
      <w:pPr>
        <w:pStyle w:val="CLDNormal"/>
        <w:jc w:val="left"/>
        <w:rPr>
          <w:rFonts w:eastAsiaTheme="minorEastAsia"/>
          <w:lang w:val="en-US"/>
        </w:rPr>
      </w:pPr>
      <w:r w:rsidRPr="003272FC">
        <w:rPr>
          <w:rFonts w:eastAsiaTheme="minorEastAsia"/>
          <w:lang w:val="en-US"/>
        </w:rPr>
        <w:t xml:space="preserve">The tolerability of simultaneously or sequential combination of </w:t>
      </w:r>
      <w:r w:rsidR="00E13737">
        <w:rPr>
          <w:rFonts w:eastAsiaTheme="minorEastAsia"/>
          <w:lang w:val="en-US"/>
        </w:rPr>
        <w:t>rituximab</w:t>
      </w:r>
      <w:r w:rsidRPr="003272FC">
        <w:rPr>
          <w:rFonts w:eastAsiaTheme="minorEastAsia"/>
          <w:lang w:val="en-US"/>
        </w:rPr>
        <w:t xml:space="preserve"> with chemotherapy other than CHOP or CVP, or agents which are liable to cause depletion of normal B cells is not well defined.</w:t>
      </w:r>
    </w:p>
    <w:p w14:paraId="6354E595" w14:textId="14D7BA96" w:rsidR="00C07C5C" w:rsidRPr="00C07C5C" w:rsidRDefault="003272FC" w:rsidP="00443352">
      <w:pPr>
        <w:pStyle w:val="CLDNormal"/>
        <w:jc w:val="left"/>
        <w:rPr>
          <w:rFonts w:eastAsiaTheme="minorEastAsia"/>
          <w:lang w:val="en-US"/>
        </w:rPr>
      </w:pPr>
      <w:r w:rsidRPr="003272FC">
        <w:rPr>
          <w:rFonts w:eastAsiaTheme="minorEastAsia"/>
          <w:lang w:val="en-US"/>
        </w:rPr>
        <w:t xml:space="preserve">In a small cohort of patients with RA, 110 patients received subsequent therapy with other DMARDs (including biologicals). Patients received subsequent DMARDs 4-6 months following therapy with </w:t>
      </w:r>
      <w:r w:rsidR="00A037B1">
        <w:rPr>
          <w:rFonts w:eastAsiaTheme="minorEastAsia"/>
          <w:lang w:val="en-US"/>
        </w:rPr>
        <w:t>rituximab</w:t>
      </w:r>
      <w:r w:rsidRPr="003272FC">
        <w:rPr>
          <w:rFonts w:eastAsiaTheme="minorEastAsia"/>
          <w:lang w:val="en-US"/>
        </w:rPr>
        <w:t xml:space="preserve"> and generally while peripherally B cell depleted. The rate of clinically relevant infections was 7.8 per 100 patient years</w:t>
      </w:r>
      <w:r w:rsidR="00C07C5C" w:rsidRPr="00C07C5C">
        <w:rPr>
          <w:rFonts w:eastAsiaTheme="minorEastAsia"/>
          <w:lang w:val="en-US"/>
        </w:rPr>
        <w:t>.</w:t>
      </w:r>
    </w:p>
    <w:p w14:paraId="4AF87C57" w14:textId="77777777" w:rsidR="00112E5B" w:rsidRDefault="00787D1C" w:rsidP="00443352">
      <w:pPr>
        <w:pStyle w:val="CLDHeading2"/>
        <w:jc w:val="left"/>
      </w:pPr>
      <w:r>
        <w:t>4.6</w:t>
      </w:r>
      <w:r>
        <w:tab/>
      </w:r>
      <w:r w:rsidR="00CD7E76">
        <w:t>Fertility, pregnancy and l</w:t>
      </w:r>
      <w:r w:rsidR="00112E5B">
        <w:t xml:space="preserve">actation </w:t>
      </w:r>
    </w:p>
    <w:p w14:paraId="39C6EF12" w14:textId="77777777" w:rsidR="003272FC" w:rsidRPr="003272FC" w:rsidRDefault="003272FC" w:rsidP="00443352">
      <w:pPr>
        <w:pStyle w:val="CLDNormal"/>
        <w:jc w:val="left"/>
        <w:rPr>
          <w:b/>
          <w:lang w:val="en-US"/>
        </w:rPr>
      </w:pPr>
      <w:r w:rsidRPr="003272FC">
        <w:rPr>
          <w:b/>
          <w:lang w:val="en-US"/>
        </w:rPr>
        <w:t>Effects on Fertility</w:t>
      </w:r>
    </w:p>
    <w:p w14:paraId="1FCE5ABC" w14:textId="77777777" w:rsidR="003272FC" w:rsidRPr="003272FC" w:rsidRDefault="003272FC" w:rsidP="00443352">
      <w:pPr>
        <w:pStyle w:val="CLDNormal"/>
        <w:jc w:val="left"/>
        <w:rPr>
          <w:lang w:val="en-US"/>
        </w:rPr>
      </w:pPr>
      <w:r w:rsidRPr="003272FC">
        <w:rPr>
          <w:lang w:val="en-US"/>
        </w:rPr>
        <w:t>No animal studies have been performed to determine the effects of rituximab on fertility in males or females.</w:t>
      </w:r>
    </w:p>
    <w:p w14:paraId="4A7BA5EE" w14:textId="77777777" w:rsidR="003272FC" w:rsidRPr="003272FC" w:rsidRDefault="003272FC" w:rsidP="00443352">
      <w:pPr>
        <w:pStyle w:val="CLDNormal"/>
        <w:jc w:val="left"/>
        <w:rPr>
          <w:b/>
          <w:lang w:val="en-US"/>
        </w:rPr>
      </w:pPr>
      <w:r w:rsidRPr="003272FC">
        <w:rPr>
          <w:b/>
          <w:lang w:val="en-US"/>
        </w:rPr>
        <w:t>Use in Pregnancy (Category C)</w:t>
      </w:r>
    </w:p>
    <w:p w14:paraId="049967D1" w14:textId="35C1C99A" w:rsidR="00EE0648" w:rsidRDefault="003272FC" w:rsidP="00443352">
      <w:pPr>
        <w:pStyle w:val="CLDNormal"/>
        <w:jc w:val="left"/>
        <w:rPr>
          <w:lang w:val="en-US"/>
        </w:rPr>
      </w:pPr>
      <w:r w:rsidRPr="003272FC">
        <w:rPr>
          <w:lang w:val="en-US"/>
        </w:rPr>
        <w:t xml:space="preserve">It is not known whether </w:t>
      </w:r>
      <w:r w:rsidR="00A037B1">
        <w:rPr>
          <w:lang w:val="en-US"/>
        </w:rPr>
        <w:t>rituximab</w:t>
      </w:r>
      <w:r w:rsidRPr="003272FC">
        <w:rPr>
          <w:lang w:val="en-US"/>
        </w:rPr>
        <w:t xml:space="preserve"> can cause </w:t>
      </w:r>
      <w:proofErr w:type="spellStart"/>
      <w:r w:rsidRPr="003272FC">
        <w:rPr>
          <w:lang w:val="en-US"/>
        </w:rPr>
        <w:t>foetal</w:t>
      </w:r>
      <w:proofErr w:type="spellEnd"/>
      <w:r w:rsidRPr="003272FC">
        <w:rPr>
          <w:lang w:val="en-US"/>
        </w:rPr>
        <w:t xml:space="preserve"> harm when administered to a pregnant woman. There are no adequate and well-controlled data from studies in pregnant women, however transient B-cell depletion and </w:t>
      </w:r>
      <w:proofErr w:type="spellStart"/>
      <w:r w:rsidRPr="003272FC">
        <w:rPr>
          <w:lang w:val="en-US"/>
        </w:rPr>
        <w:t>lymphocytopenia</w:t>
      </w:r>
      <w:proofErr w:type="spellEnd"/>
      <w:r w:rsidRPr="003272FC">
        <w:rPr>
          <w:lang w:val="en-US"/>
        </w:rPr>
        <w:t xml:space="preserve"> have been reported in some infants born to mothers exposed to rituximab. In clinical studies in patients with RA, three pregnancies occurred following exposure to </w:t>
      </w:r>
      <w:r w:rsidR="00A037B1">
        <w:rPr>
          <w:lang w:val="en-US"/>
        </w:rPr>
        <w:t>rituximab</w:t>
      </w:r>
      <w:r w:rsidRPr="003272FC">
        <w:rPr>
          <w:lang w:val="en-US"/>
        </w:rPr>
        <w:t xml:space="preserve"> + MTX with two resulting in spontaneous abortions and the third ongoing at the time. Rituximab has been shown to cause B-cell depletion in the monkey </w:t>
      </w:r>
      <w:proofErr w:type="spellStart"/>
      <w:r w:rsidRPr="003272FC">
        <w:rPr>
          <w:lang w:val="en-US"/>
        </w:rPr>
        <w:t>foetus</w:t>
      </w:r>
      <w:proofErr w:type="spellEnd"/>
      <w:r w:rsidRPr="003272FC">
        <w:rPr>
          <w:lang w:val="en-US"/>
        </w:rPr>
        <w:t xml:space="preserve">. </w:t>
      </w:r>
      <w:r w:rsidR="003A539F" w:rsidRPr="003A539F">
        <w:rPr>
          <w:lang w:val="en-US"/>
        </w:rPr>
        <w:t>rituximab</w:t>
      </w:r>
      <w:r w:rsidRPr="003272FC">
        <w:rPr>
          <w:lang w:val="en-US"/>
        </w:rPr>
        <w:t xml:space="preserve"> should not be given to a pregnant woman, unless the potential benefit outweighs the potential risk.</w:t>
      </w:r>
    </w:p>
    <w:p w14:paraId="0C3073ED" w14:textId="665FE25F" w:rsidR="003272FC" w:rsidRPr="003272FC" w:rsidRDefault="003272FC" w:rsidP="00443352">
      <w:pPr>
        <w:pStyle w:val="CLDNormal"/>
        <w:jc w:val="left"/>
        <w:rPr>
          <w:lang w:val="en-US"/>
        </w:rPr>
      </w:pPr>
      <w:r w:rsidRPr="003272FC">
        <w:rPr>
          <w:lang w:val="en-US"/>
        </w:rPr>
        <w:t xml:space="preserve">Women of child-bearing potential must use effective contraceptive methods during treatment and for 12 months following </w:t>
      </w:r>
      <w:r w:rsidR="003A539F" w:rsidRPr="003A539F">
        <w:rPr>
          <w:lang w:val="en-US"/>
        </w:rPr>
        <w:t>rituximab</w:t>
      </w:r>
      <w:r w:rsidRPr="003272FC">
        <w:rPr>
          <w:lang w:val="en-US"/>
        </w:rPr>
        <w:t xml:space="preserve"> therapy.</w:t>
      </w:r>
    </w:p>
    <w:p w14:paraId="39DC0B03" w14:textId="4822FBA3" w:rsidR="003272FC" w:rsidRDefault="003272FC" w:rsidP="00443352">
      <w:pPr>
        <w:pStyle w:val="CLDNormal"/>
        <w:jc w:val="left"/>
        <w:rPr>
          <w:lang w:val="en-US"/>
        </w:rPr>
      </w:pPr>
      <w:r w:rsidRPr="003272FC">
        <w:rPr>
          <w:lang w:val="en-US"/>
        </w:rPr>
        <w:t xml:space="preserve">Developmental toxicity studies performed in </w:t>
      </w:r>
      <w:proofErr w:type="spellStart"/>
      <w:r w:rsidRPr="003272FC">
        <w:rPr>
          <w:lang w:val="en-US"/>
        </w:rPr>
        <w:t>cynomolgus</w:t>
      </w:r>
      <w:proofErr w:type="spellEnd"/>
      <w:r w:rsidRPr="003272FC">
        <w:rPr>
          <w:lang w:val="en-US"/>
        </w:rPr>
        <w:t xml:space="preserve"> monkeys revealed no evidence of </w:t>
      </w:r>
      <w:proofErr w:type="spellStart"/>
      <w:r w:rsidRPr="003272FC">
        <w:rPr>
          <w:lang w:val="en-US"/>
        </w:rPr>
        <w:t>embryotoxicity</w:t>
      </w:r>
      <w:proofErr w:type="spellEnd"/>
      <w:r w:rsidRPr="003272FC">
        <w:rPr>
          <w:lang w:val="en-US"/>
        </w:rPr>
        <w:t xml:space="preserve"> in utero at relative exposure levels (AUC) similar to that anticipated clinically. New born offspring of maternal animals exposed to </w:t>
      </w:r>
      <w:r w:rsidR="00A037B1">
        <w:rPr>
          <w:lang w:val="en-US"/>
        </w:rPr>
        <w:t>rituximab</w:t>
      </w:r>
      <w:r w:rsidRPr="003272FC">
        <w:rPr>
          <w:lang w:val="en-US"/>
        </w:rPr>
        <w:t xml:space="preserve"> during lactation and/or gestation showed no untoward toxicity except for depleted B cell populations during the post-natal phase at the same relative exposure. B cell levels in human neonates following maternal exposure to </w:t>
      </w:r>
      <w:r w:rsidR="00A037B1">
        <w:rPr>
          <w:lang w:val="en-US"/>
        </w:rPr>
        <w:t>rituximab</w:t>
      </w:r>
      <w:r w:rsidRPr="003272FC">
        <w:rPr>
          <w:lang w:val="en-US"/>
        </w:rPr>
        <w:t xml:space="preserve"> have not been stud</w:t>
      </w:r>
      <w:r>
        <w:rPr>
          <w:lang w:val="en-US"/>
        </w:rPr>
        <w:t>ied.</w:t>
      </w:r>
    </w:p>
    <w:p w14:paraId="499F499B" w14:textId="77777777" w:rsidR="003272FC" w:rsidRPr="003272FC" w:rsidRDefault="003272FC" w:rsidP="00443352">
      <w:pPr>
        <w:pStyle w:val="CLDNormal"/>
        <w:jc w:val="left"/>
        <w:rPr>
          <w:b/>
          <w:lang w:val="en-US"/>
        </w:rPr>
      </w:pPr>
      <w:r w:rsidRPr="003272FC">
        <w:rPr>
          <w:b/>
          <w:lang w:val="en-US"/>
        </w:rPr>
        <w:t>Use in Lactation</w:t>
      </w:r>
    </w:p>
    <w:p w14:paraId="7ED79F23" w14:textId="011C6520" w:rsidR="003272FC" w:rsidRDefault="003272FC" w:rsidP="00443352">
      <w:pPr>
        <w:pStyle w:val="CLDNormal"/>
        <w:jc w:val="left"/>
        <w:rPr>
          <w:lang w:val="en-US"/>
        </w:rPr>
      </w:pPr>
      <w:r w:rsidRPr="003272FC">
        <w:rPr>
          <w:lang w:val="en-US"/>
        </w:rPr>
        <w:t xml:space="preserve">It is not known whether rituximab is excreted in human milk. In monkey studies, rituximab was excreted in the milk and was detected in the serum of breast-fed infants. Reversible B-cell depletion was observed in all monkey infants exposed to rituximab via maternal transfer during lactation and/or gestation. It is recommended that a nursing woman discontinue breastfeeding whilst undergoing treatment with </w:t>
      </w:r>
      <w:r w:rsidR="003A539F" w:rsidRPr="003A539F">
        <w:rPr>
          <w:lang w:val="en-US"/>
        </w:rPr>
        <w:t>rituximab</w:t>
      </w:r>
      <w:r w:rsidRPr="003272FC">
        <w:rPr>
          <w:lang w:val="en-US"/>
        </w:rPr>
        <w:t>.</w:t>
      </w:r>
    </w:p>
    <w:p w14:paraId="31010E22" w14:textId="77777777" w:rsidR="00EC2C85" w:rsidRPr="00C035A6" w:rsidRDefault="002F6F96" w:rsidP="00443352">
      <w:pPr>
        <w:pStyle w:val="CLDHeading2"/>
        <w:jc w:val="left"/>
        <w:rPr>
          <w:bCs/>
          <w:i/>
          <w:iCs/>
          <w:color w:val="FF0000"/>
        </w:rPr>
      </w:pPr>
      <w:r>
        <w:t>4.7</w:t>
      </w:r>
      <w:r>
        <w:tab/>
      </w:r>
      <w:r w:rsidR="00A52C16">
        <w:t xml:space="preserve">Effects on </w:t>
      </w:r>
      <w:r w:rsidR="00003485">
        <w:t>ability to d</w:t>
      </w:r>
      <w:r w:rsidR="009021BA">
        <w:t xml:space="preserve">rive </w:t>
      </w:r>
      <w:r w:rsidR="00003485">
        <w:t>and u</w:t>
      </w:r>
      <w:r w:rsidR="00A52C16">
        <w:t>se</w:t>
      </w:r>
      <w:r w:rsidR="00003485">
        <w:t xml:space="preserve"> m</w:t>
      </w:r>
      <w:r w:rsidR="00C40E91">
        <w:t>achines</w:t>
      </w:r>
      <w:r w:rsidR="00EC2C85">
        <w:t xml:space="preserve"> </w:t>
      </w:r>
    </w:p>
    <w:p w14:paraId="1087F11E" w14:textId="396025FC" w:rsidR="00EE0648" w:rsidRDefault="003272FC" w:rsidP="00443352">
      <w:pPr>
        <w:pStyle w:val="CLDNormal"/>
        <w:jc w:val="left"/>
      </w:pPr>
      <w:r w:rsidRPr="003272FC">
        <w:t xml:space="preserve">It is not known whether </w:t>
      </w:r>
      <w:r w:rsidR="00AF7ED7">
        <w:t>rituximab</w:t>
      </w:r>
      <w:r w:rsidRPr="003272FC">
        <w:t xml:space="preserve"> has an effect on the ability to drive and operate machines, though the pharmacologic activity and adverse events reported to date do not indicate that such an effect is to be expected.</w:t>
      </w:r>
    </w:p>
    <w:p w14:paraId="4A39B94E" w14:textId="77777777" w:rsidR="0062454C" w:rsidRDefault="002F6F96" w:rsidP="00443352">
      <w:pPr>
        <w:pStyle w:val="CLDHeading2"/>
        <w:jc w:val="left"/>
        <w:rPr>
          <w:bCs/>
          <w:i/>
          <w:iCs/>
          <w:color w:val="FF0000"/>
        </w:rPr>
      </w:pPr>
      <w:r>
        <w:t>4.8</w:t>
      </w:r>
      <w:r>
        <w:tab/>
      </w:r>
      <w:r w:rsidR="00003485">
        <w:t>Adverse effects (undesirable e</w:t>
      </w:r>
      <w:r w:rsidR="0062454C" w:rsidRPr="0037240B">
        <w:t>ffects</w:t>
      </w:r>
      <w:r w:rsidR="00C40E91">
        <w:t>)</w:t>
      </w:r>
      <w:r w:rsidR="00315AB0">
        <w:t xml:space="preserve"> </w:t>
      </w:r>
    </w:p>
    <w:p w14:paraId="2386C206" w14:textId="77777777" w:rsidR="003272FC" w:rsidRPr="003272FC" w:rsidRDefault="003272FC" w:rsidP="00443352">
      <w:pPr>
        <w:pStyle w:val="CLDNormal"/>
        <w:jc w:val="left"/>
        <w:rPr>
          <w:rFonts w:eastAsiaTheme="minorEastAsia"/>
          <w:b/>
        </w:rPr>
      </w:pPr>
      <w:r w:rsidRPr="003272FC">
        <w:rPr>
          <w:rFonts w:eastAsiaTheme="minorEastAsia"/>
          <w:b/>
        </w:rPr>
        <w:t xml:space="preserve">Experience from Clinical Trials in </w:t>
      </w:r>
      <w:proofErr w:type="spellStart"/>
      <w:r w:rsidRPr="003272FC">
        <w:rPr>
          <w:rFonts w:eastAsiaTheme="minorEastAsia"/>
          <w:b/>
        </w:rPr>
        <w:t>Haemato</w:t>
      </w:r>
      <w:proofErr w:type="spellEnd"/>
      <w:r w:rsidRPr="003272FC">
        <w:rPr>
          <w:rFonts w:eastAsiaTheme="minorEastAsia"/>
          <w:b/>
        </w:rPr>
        <w:t>-oncology</w:t>
      </w:r>
    </w:p>
    <w:p w14:paraId="03CE2E1C" w14:textId="2421B784" w:rsidR="00EE0648" w:rsidRDefault="003272FC" w:rsidP="00443352">
      <w:pPr>
        <w:pStyle w:val="CLDNormal"/>
        <w:jc w:val="left"/>
        <w:rPr>
          <w:rFonts w:eastAsiaTheme="minorEastAsia"/>
        </w:rPr>
      </w:pPr>
      <w:r w:rsidRPr="003272FC">
        <w:rPr>
          <w:rFonts w:eastAsiaTheme="minorEastAsia"/>
        </w:rPr>
        <w:t xml:space="preserve">The most common adverse reactions of </w:t>
      </w:r>
      <w:r w:rsidR="00EE22A9">
        <w:rPr>
          <w:rFonts w:eastAsiaTheme="minorEastAsia"/>
        </w:rPr>
        <w:t>rituximab</w:t>
      </w:r>
      <w:r w:rsidRPr="003272FC">
        <w:rPr>
          <w:rFonts w:eastAsiaTheme="minorEastAsia"/>
        </w:rPr>
        <w:t xml:space="preserve"> (incidence ≥ 25%) observed in patients with NHL are infusion-related reactions, fever, chills, infection, asthenia and </w:t>
      </w:r>
      <w:proofErr w:type="spellStart"/>
      <w:r w:rsidRPr="003272FC">
        <w:rPr>
          <w:rFonts w:eastAsiaTheme="minorEastAsia"/>
        </w:rPr>
        <w:t>lymphopenia</w:t>
      </w:r>
      <w:proofErr w:type="spellEnd"/>
      <w:r w:rsidRPr="003272FC">
        <w:rPr>
          <w:rFonts w:eastAsiaTheme="minorEastAsia"/>
        </w:rPr>
        <w:t xml:space="preserve">. The most important serious adverse reactions of </w:t>
      </w:r>
      <w:r w:rsidR="00EE22A9">
        <w:rPr>
          <w:rFonts w:eastAsiaTheme="minorEastAsia"/>
        </w:rPr>
        <w:t>rituximab</w:t>
      </w:r>
      <w:r w:rsidRPr="003272FC">
        <w:rPr>
          <w:rFonts w:eastAsiaTheme="minorEastAsia"/>
        </w:rPr>
        <w:t xml:space="preserve"> are infusion-related reactions, tumour lysis syndrome, </w:t>
      </w:r>
      <w:proofErr w:type="spellStart"/>
      <w:r w:rsidRPr="003272FC">
        <w:rPr>
          <w:rFonts w:eastAsiaTheme="minorEastAsia"/>
        </w:rPr>
        <w:t>mucocutaneous</w:t>
      </w:r>
      <w:proofErr w:type="spellEnd"/>
      <w:r w:rsidRPr="003272FC">
        <w:rPr>
          <w:rFonts w:eastAsiaTheme="minorEastAsia"/>
        </w:rPr>
        <w:t xml:space="preserve"> toxicities, hepatitis B reactivation with fulminant hepatitis, PML, other viral infections, cardiac arrhythmias, renal toxicity, and bowel obstruction and perforation.</w:t>
      </w:r>
    </w:p>
    <w:p w14:paraId="17CB980E" w14:textId="3C89FCF3" w:rsidR="008E1F12" w:rsidRPr="008E1F12" w:rsidRDefault="008E1F12" w:rsidP="00443352">
      <w:pPr>
        <w:pStyle w:val="CLDNormal"/>
        <w:jc w:val="left"/>
        <w:rPr>
          <w:rFonts w:eastAsiaTheme="minorEastAsia"/>
        </w:rPr>
      </w:pPr>
      <w:r w:rsidRPr="008E1F12">
        <w:rPr>
          <w:rFonts w:eastAsiaTheme="minorEastAsia"/>
        </w:rPr>
        <w:t xml:space="preserve">The frequencies of adverse drug reactions (ADRs) reported with </w:t>
      </w:r>
      <w:r w:rsidR="00EE22A9">
        <w:rPr>
          <w:rFonts w:eastAsiaTheme="minorEastAsia"/>
        </w:rPr>
        <w:t>rituximab</w:t>
      </w:r>
      <w:r w:rsidRPr="008E1F12">
        <w:rPr>
          <w:rFonts w:eastAsiaTheme="minorEastAsia"/>
        </w:rPr>
        <w:t xml:space="preserve"> alone or in combination with chemotherapy are summarised in the tables below and are based on data from clinical trials. These ADRs had either occurred in single arm studies or had occurred with at least a 2% difference compared to the control arm in at least one of the major randomised clinical trials. ADRs are added to the appropriate category in the tables below according to the highest incidence seen in any of the major clinical trials. Within each frequency grouping ADRs are listed in descending order of severity. Frequencies are defined as very common ≥ 1/10 (≥ 10%), common ≥ 1/100 to &lt; 1/10 (≥ 1% to &lt; 10%) and uncommon ≥ 1/1,000 to &lt; 1/100 (≥ 0.1% to &lt; 1%).</w:t>
      </w:r>
    </w:p>
    <w:p w14:paraId="68D717ED" w14:textId="77777777" w:rsidR="004C2FD0" w:rsidRDefault="004C2FD0" w:rsidP="00443352">
      <w:pPr>
        <w:pStyle w:val="CLDNormal"/>
        <w:jc w:val="left"/>
        <w:rPr>
          <w:rFonts w:eastAsiaTheme="minorEastAsia"/>
          <w:b/>
        </w:rPr>
      </w:pPr>
    </w:p>
    <w:p w14:paraId="716969F7" w14:textId="77777777" w:rsidR="004C2FD0" w:rsidRDefault="004C2FD0" w:rsidP="00443352">
      <w:pPr>
        <w:pStyle w:val="CLDNormal"/>
        <w:jc w:val="left"/>
        <w:rPr>
          <w:rFonts w:eastAsiaTheme="minorEastAsia"/>
          <w:b/>
        </w:rPr>
      </w:pPr>
    </w:p>
    <w:p w14:paraId="7895072E" w14:textId="1EBDC634" w:rsidR="008E1F12" w:rsidRPr="008E1F12" w:rsidRDefault="00F94C85" w:rsidP="00443352">
      <w:pPr>
        <w:pStyle w:val="CLDNormal"/>
        <w:jc w:val="left"/>
        <w:rPr>
          <w:rFonts w:eastAsiaTheme="minorEastAsia"/>
          <w:b/>
        </w:rPr>
      </w:pPr>
      <w:r>
        <w:rPr>
          <w:rFonts w:eastAsiaTheme="minorEastAsia"/>
          <w:b/>
        </w:rPr>
        <w:t>R</w:t>
      </w:r>
      <w:r w:rsidR="00590C11">
        <w:rPr>
          <w:rFonts w:eastAsiaTheme="minorEastAsia"/>
          <w:b/>
        </w:rPr>
        <w:t>ituximab</w:t>
      </w:r>
      <w:r w:rsidR="008E1F12" w:rsidRPr="008E1F12">
        <w:rPr>
          <w:rFonts w:eastAsiaTheme="minorEastAsia"/>
          <w:b/>
        </w:rPr>
        <w:t xml:space="preserve"> monotherapy/maintenance therapy</w:t>
      </w:r>
    </w:p>
    <w:p w14:paraId="08417576" w14:textId="2485F19B" w:rsidR="003272FC" w:rsidRDefault="008E1F12" w:rsidP="00443352">
      <w:pPr>
        <w:pStyle w:val="CLDNormal"/>
        <w:jc w:val="left"/>
        <w:rPr>
          <w:rFonts w:eastAsiaTheme="minorEastAsia"/>
        </w:rPr>
      </w:pPr>
      <w:r w:rsidRPr="008E1F12">
        <w:rPr>
          <w:rFonts w:eastAsiaTheme="minorEastAsia"/>
        </w:rPr>
        <w:t xml:space="preserve">The ADRs in the table below are based on data from single-arm studies including 356 patients with low-grade or follicular lymphoma, treated with </w:t>
      </w:r>
      <w:r w:rsidR="00590C11">
        <w:rPr>
          <w:rFonts w:eastAsiaTheme="minorEastAsia"/>
        </w:rPr>
        <w:t>rituximab</w:t>
      </w:r>
      <w:r w:rsidRPr="008E1F12">
        <w:rPr>
          <w:rFonts w:eastAsiaTheme="minorEastAsia"/>
        </w:rPr>
        <w:t xml:space="preserve"> weekly as a single agent for the treatment or re-treatment of non-Hodgkin’s lymphoma (see section 5.1 Pharmacodynamic properties; Clinical trials). The table also contains ADRs based on data from 671 patients with follicular lymphoma who received </w:t>
      </w:r>
      <w:r w:rsidR="00590C11">
        <w:rPr>
          <w:rFonts w:eastAsiaTheme="minorEastAsia"/>
        </w:rPr>
        <w:t>rituximab</w:t>
      </w:r>
      <w:r w:rsidRPr="008E1F12">
        <w:rPr>
          <w:rFonts w:eastAsiaTheme="minorEastAsia"/>
        </w:rPr>
        <w:t xml:space="preserve"> as maintenance therapy for up to 2 years following response to initial induction with CHOP, R-CHOP, R-CVP or R-FCM (see section 5.1 Pharmacodynamic properties; Clinical Trials). The ADRs were</w:t>
      </w:r>
      <w:r>
        <w:rPr>
          <w:rFonts w:eastAsiaTheme="minorEastAsia"/>
        </w:rPr>
        <w:t xml:space="preserve"> </w:t>
      </w:r>
      <w:r w:rsidRPr="008E1F12">
        <w:rPr>
          <w:rFonts w:eastAsiaTheme="minorEastAsia"/>
        </w:rPr>
        <w:t xml:space="preserve">reported up to 12 months after treatment with monotherapy and up to 1 month after treatment with </w:t>
      </w:r>
      <w:r w:rsidR="00590C11">
        <w:rPr>
          <w:rFonts w:eastAsiaTheme="minorEastAsia"/>
        </w:rPr>
        <w:t>rituximab</w:t>
      </w:r>
      <w:r w:rsidRPr="008E1F12">
        <w:rPr>
          <w:rFonts w:eastAsiaTheme="minorEastAsia"/>
        </w:rPr>
        <w:t xml:space="preserve"> maintenance.</w:t>
      </w:r>
    </w:p>
    <w:p w14:paraId="5243EC2F" w14:textId="30B8C66D" w:rsidR="008E1F12" w:rsidRPr="00EE01A0" w:rsidRDefault="008E1F12" w:rsidP="00443352">
      <w:pPr>
        <w:pStyle w:val="CLDNormal"/>
        <w:jc w:val="left"/>
        <w:rPr>
          <w:rFonts w:eastAsiaTheme="minorEastAsia"/>
          <w:b/>
          <w:sz w:val="20"/>
        </w:rPr>
      </w:pPr>
      <w:r w:rsidRPr="001D5FD3">
        <w:rPr>
          <w:rFonts w:eastAsiaTheme="minorEastAsia"/>
          <w:b/>
          <w:sz w:val="20"/>
        </w:rPr>
        <w:t xml:space="preserve">Table 1: Summary of ADRs reported in patients with low-grade or follicular lymphoma receiving </w:t>
      </w:r>
      <w:r w:rsidR="00590C11" w:rsidRPr="001D5FD3">
        <w:rPr>
          <w:rFonts w:eastAsiaTheme="minorEastAsia"/>
          <w:b/>
          <w:sz w:val="20"/>
        </w:rPr>
        <w:t>rituximab</w:t>
      </w:r>
      <w:r w:rsidRPr="001D5FD3">
        <w:rPr>
          <w:rFonts w:eastAsiaTheme="minorEastAsia"/>
          <w:b/>
          <w:sz w:val="20"/>
        </w:rPr>
        <w:t xml:space="preserve"> monotherapy (N = 356) or </w:t>
      </w:r>
      <w:r w:rsidR="003A539F" w:rsidRPr="00BE0CCB">
        <w:rPr>
          <w:rFonts w:eastAsiaTheme="minorEastAsia"/>
          <w:b/>
          <w:sz w:val="20"/>
          <w:lang w:val="en-US"/>
        </w:rPr>
        <w:t>rituximab</w:t>
      </w:r>
      <w:r w:rsidRPr="001D5FD3">
        <w:rPr>
          <w:rFonts w:eastAsiaTheme="minorEastAsia"/>
          <w:b/>
          <w:sz w:val="20"/>
        </w:rPr>
        <w:t xml:space="preserve"> maintenance treatment (N = 671) in clinical trials.</w:t>
      </w:r>
    </w:p>
    <w:tbl>
      <w:tblPr>
        <w:tblStyle w:val="TableGrid"/>
        <w:tblW w:w="0" w:type="auto"/>
        <w:tblLook w:val="04A0" w:firstRow="1" w:lastRow="0" w:firstColumn="1" w:lastColumn="0" w:noHBand="0" w:noVBand="1"/>
      </w:tblPr>
      <w:tblGrid>
        <w:gridCol w:w="2266"/>
        <w:gridCol w:w="2267"/>
        <w:gridCol w:w="2267"/>
        <w:gridCol w:w="2267"/>
      </w:tblGrid>
      <w:tr w:rsidR="00A216B6" w:rsidRPr="00590C11" w14:paraId="06295546" w14:textId="77777777" w:rsidTr="00443352">
        <w:trPr>
          <w:tblHeader/>
        </w:trPr>
        <w:tc>
          <w:tcPr>
            <w:tcW w:w="2266" w:type="dxa"/>
          </w:tcPr>
          <w:p w14:paraId="12C8A962" w14:textId="77777777" w:rsidR="00A216B6" w:rsidRPr="00590C11" w:rsidRDefault="00A216B6" w:rsidP="00443352">
            <w:pPr>
              <w:pStyle w:val="CLDNormal"/>
              <w:spacing w:after="0"/>
              <w:jc w:val="left"/>
              <w:rPr>
                <w:rFonts w:eastAsiaTheme="minorEastAsia"/>
                <w:b/>
                <w:sz w:val="20"/>
              </w:rPr>
            </w:pPr>
            <w:r w:rsidRPr="00590C11">
              <w:rPr>
                <w:rFonts w:eastAsiaTheme="minorEastAsia"/>
                <w:b/>
                <w:sz w:val="20"/>
              </w:rPr>
              <w:t>System Organ Class</w:t>
            </w:r>
          </w:p>
        </w:tc>
        <w:tc>
          <w:tcPr>
            <w:tcW w:w="2267" w:type="dxa"/>
          </w:tcPr>
          <w:p w14:paraId="3716D411" w14:textId="77777777" w:rsidR="00A216B6" w:rsidRPr="00590C11" w:rsidRDefault="00A216B6" w:rsidP="00443352">
            <w:pPr>
              <w:pStyle w:val="CLDNormal"/>
              <w:spacing w:after="0"/>
              <w:jc w:val="left"/>
              <w:rPr>
                <w:rFonts w:eastAsiaTheme="minorEastAsia"/>
                <w:b/>
                <w:sz w:val="20"/>
              </w:rPr>
            </w:pPr>
            <w:r w:rsidRPr="00590C11">
              <w:rPr>
                <w:rFonts w:eastAsiaTheme="minorEastAsia"/>
                <w:b/>
                <w:sz w:val="20"/>
              </w:rPr>
              <w:t>Very Common</w:t>
            </w:r>
          </w:p>
          <w:p w14:paraId="01D26440" w14:textId="77777777" w:rsidR="00A216B6" w:rsidRPr="00590C11" w:rsidRDefault="00A216B6" w:rsidP="00443352">
            <w:pPr>
              <w:pStyle w:val="CLDNormal"/>
              <w:spacing w:after="0"/>
              <w:jc w:val="left"/>
              <w:rPr>
                <w:rFonts w:eastAsiaTheme="minorEastAsia"/>
                <w:b/>
                <w:sz w:val="20"/>
              </w:rPr>
            </w:pPr>
            <w:r w:rsidRPr="00590C11">
              <w:rPr>
                <w:rFonts w:eastAsiaTheme="minorEastAsia"/>
                <w:b/>
                <w:sz w:val="20"/>
              </w:rPr>
              <w:t>(≥ 10%)</w:t>
            </w:r>
          </w:p>
        </w:tc>
        <w:tc>
          <w:tcPr>
            <w:tcW w:w="2267" w:type="dxa"/>
          </w:tcPr>
          <w:p w14:paraId="1E1CE470" w14:textId="77777777" w:rsidR="00A216B6" w:rsidRPr="00590C11" w:rsidRDefault="00A216B6" w:rsidP="00443352">
            <w:pPr>
              <w:pStyle w:val="CLDNormal"/>
              <w:spacing w:after="0"/>
              <w:jc w:val="left"/>
              <w:rPr>
                <w:rFonts w:eastAsiaTheme="minorEastAsia"/>
                <w:b/>
                <w:sz w:val="20"/>
              </w:rPr>
            </w:pPr>
            <w:r w:rsidRPr="00590C11">
              <w:rPr>
                <w:rFonts w:eastAsiaTheme="minorEastAsia"/>
                <w:b/>
                <w:sz w:val="20"/>
              </w:rPr>
              <w:t>Common</w:t>
            </w:r>
          </w:p>
          <w:p w14:paraId="55746524" w14:textId="77777777" w:rsidR="00A216B6" w:rsidRPr="00590C11" w:rsidRDefault="00A216B6" w:rsidP="00443352">
            <w:pPr>
              <w:pStyle w:val="CLDNormal"/>
              <w:spacing w:after="0"/>
              <w:jc w:val="left"/>
              <w:rPr>
                <w:rFonts w:eastAsiaTheme="minorEastAsia"/>
                <w:b/>
                <w:sz w:val="20"/>
              </w:rPr>
            </w:pPr>
            <w:r w:rsidRPr="00590C11">
              <w:rPr>
                <w:rFonts w:eastAsiaTheme="minorEastAsia"/>
                <w:b/>
                <w:sz w:val="20"/>
              </w:rPr>
              <w:t>(≥1% - &lt; 10%)</w:t>
            </w:r>
          </w:p>
        </w:tc>
        <w:tc>
          <w:tcPr>
            <w:tcW w:w="2267" w:type="dxa"/>
          </w:tcPr>
          <w:p w14:paraId="6D5908B7" w14:textId="77777777" w:rsidR="00A216B6" w:rsidRPr="00590C11" w:rsidRDefault="00A216B6" w:rsidP="00443352">
            <w:pPr>
              <w:pStyle w:val="CLDNormal"/>
              <w:spacing w:after="0"/>
              <w:jc w:val="left"/>
              <w:rPr>
                <w:rFonts w:eastAsiaTheme="minorEastAsia"/>
                <w:b/>
                <w:sz w:val="20"/>
              </w:rPr>
            </w:pPr>
            <w:r w:rsidRPr="00590C11">
              <w:rPr>
                <w:rFonts w:eastAsiaTheme="minorEastAsia"/>
                <w:b/>
                <w:sz w:val="20"/>
              </w:rPr>
              <w:t>Uncommon</w:t>
            </w:r>
          </w:p>
          <w:p w14:paraId="0BB0513D" w14:textId="77777777" w:rsidR="00A216B6" w:rsidRPr="00590C11" w:rsidRDefault="00A216B6" w:rsidP="00443352">
            <w:pPr>
              <w:pStyle w:val="CLDNormal"/>
              <w:spacing w:after="0"/>
              <w:jc w:val="left"/>
              <w:rPr>
                <w:rFonts w:eastAsiaTheme="minorEastAsia"/>
                <w:b/>
                <w:sz w:val="20"/>
              </w:rPr>
            </w:pPr>
            <w:r w:rsidRPr="00590C11">
              <w:rPr>
                <w:rFonts w:eastAsiaTheme="minorEastAsia"/>
                <w:b/>
                <w:sz w:val="20"/>
              </w:rPr>
              <w:t>(≥0.1% - &lt; 1%)</w:t>
            </w:r>
          </w:p>
        </w:tc>
      </w:tr>
      <w:tr w:rsidR="00A216B6" w:rsidRPr="00590C11" w14:paraId="2239E814" w14:textId="77777777" w:rsidTr="00A216B6">
        <w:tc>
          <w:tcPr>
            <w:tcW w:w="2266" w:type="dxa"/>
          </w:tcPr>
          <w:p w14:paraId="7AB9162C"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Infections and infestations</w:t>
            </w:r>
          </w:p>
        </w:tc>
        <w:tc>
          <w:tcPr>
            <w:tcW w:w="2267" w:type="dxa"/>
          </w:tcPr>
          <w:p w14:paraId="29949B95"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Bacterial infections,</w:t>
            </w:r>
          </w:p>
          <w:p w14:paraId="452177DF" w14:textId="1A0EF238" w:rsidR="00A216B6" w:rsidRPr="00A216B6" w:rsidRDefault="00A216B6" w:rsidP="00443352">
            <w:pPr>
              <w:pStyle w:val="CLDNormal"/>
              <w:spacing w:after="0"/>
              <w:jc w:val="left"/>
              <w:rPr>
                <w:rFonts w:eastAsiaTheme="minorEastAsia"/>
              </w:rPr>
            </w:pPr>
            <w:r w:rsidRPr="00590C11">
              <w:rPr>
                <w:rFonts w:eastAsiaTheme="minorEastAsia"/>
                <w:sz w:val="20"/>
              </w:rPr>
              <w:t>viral infections</w:t>
            </w:r>
          </w:p>
        </w:tc>
        <w:tc>
          <w:tcPr>
            <w:tcW w:w="2267" w:type="dxa"/>
          </w:tcPr>
          <w:p w14:paraId="20B6A308"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 xml:space="preserve">Sepsis, </w:t>
            </w:r>
            <w:r w:rsidRPr="00590C11">
              <w:rPr>
                <w:rFonts w:eastAsiaTheme="minorEastAsia"/>
                <w:sz w:val="20"/>
                <w:vertAlign w:val="superscript"/>
              </w:rPr>
              <w:t>+</w:t>
            </w:r>
            <w:r w:rsidRPr="00590C11">
              <w:rPr>
                <w:rFonts w:eastAsiaTheme="minorEastAsia"/>
                <w:sz w:val="20"/>
              </w:rPr>
              <w:t xml:space="preserve">pneumonia, </w:t>
            </w:r>
            <w:r w:rsidRPr="00590C11">
              <w:rPr>
                <w:rFonts w:eastAsiaTheme="minorEastAsia"/>
                <w:sz w:val="20"/>
                <w:vertAlign w:val="superscript"/>
              </w:rPr>
              <w:t>+</w:t>
            </w:r>
            <w:r w:rsidRPr="00590C11">
              <w:rPr>
                <w:rFonts w:eastAsiaTheme="minorEastAsia"/>
                <w:sz w:val="20"/>
              </w:rPr>
              <w:t xml:space="preserve">febrile infection, </w:t>
            </w:r>
            <w:r w:rsidRPr="00590C11">
              <w:rPr>
                <w:rFonts w:eastAsiaTheme="minorEastAsia"/>
                <w:sz w:val="20"/>
                <w:vertAlign w:val="superscript"/>
              </w:rPr>
              <w:t>+</w:t>
            </w:r>
            <w:r w:rsidRPr="00590C11">
              <w:rPr>
                <w:rFonts w:eastAsiaTheme="minorEastAsia"/>
                <w:sz w:val="20"/>
              </w:rPr>
              <w:t xml:space="preserve">herpes zoster, </w:t>
            </w:r>
            <w:r w:rsidRPr="00590C11">
              <w:rPr>
                <w:rFonts w:eastAsiaTheme="minorEastAsia"/>
                <w:sz w:val="20"/>
                <w:vertAlign w:val="superscript"/>
              </w:rPr>
              <w:t>+</w:t>
            </w:r>
            <w:r w:rsidRPr="00590C11">
              <w:rPr>
                <w:rFonts w:eastAsiaTheme="minorEastAsia"/>
                <w:sz w:val="20"/>
              </w:rPr>
              <w:t>respiratory tract infection, fungal infections, infections of unknown aetiology</w:t>
            </w:r>
          </w:p>
        </w:tc>
        <w:tc>
          <w:tcPr>
            <w:tcW w:w="2267" w:type="dxa"/>
          </w:tcPr>
          <w:p w14:paraId="19991EA9" w14:textId="77777777" w:rsidR="00A216B6" w:rsidRPr="00590C11" w:rsidRDefault="00A216B6" w:rsidP="00443352">
            <w:pPr>
              <w:pStyle w:val="CLDNormal"/>
              <w:spacing w:after="0"/>
              <w:jc w:val="left"/>
              <w:rPr>
                <w:rFonts w:eastAsiaTheme="minorEastAsia"/>
                <w:sz w:val="20"/>
              </w:rPr>
            </w:pPr>
          </w:p>
        </w:tc>
      </w:tr>
      <w:tr w:rsidR="00A216B6" w:rsidRPr="00590C11" w14:paraId="129B5024" w14:textId="77777777" w:rsidTr="00A216B6">
        <w:tc>
          <w:tcPr>
            <w:tcW w:w="2266" w:type="dxa"/>
          </w:tcPr>
          <w:p w14:paraId="228900F6"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Blood and the lymphatic system disorders</w:t>
            </w:r>
          </w:p>
        </w:tc>
        <w:tc>
          <w:tcPr>
            <w:tcW w:w="2267" w:type="dxa"/>
          </w:tcPr>
          <w:p w14:paraId="7CF6B1F5"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 xml:space="preserve">Neutropenia, </w:t>
            </w:r>
            <w:proofErr w:type="spellStart"/>
            <w:r w:rsidRPr="00590C11">
              <w:rPr>
                <w:rFonts w:eastAsiaTheme="minorEastAsia"/>
                <w:sz w:val="20"/>
              </w:rPr>
              <w:t>leucopenia</w:t>
            </w:r>
            <w:proofErr w:type="spellEnd"/>
          </w:p>
        </w:tc>
        <w:tc>
          <w:tcPr>
            <w:tcW w:w="2267" w:type="dxa"/>
          </w:tcPr>
          <w:p w14:paraId="2B169224"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 xml:space="preserve">Anaemia, thrombocytopenia </w:t>
            </w:r>
          </w:p>
        </w:tc>
        <w:tc>
          <w:tcPr>
            <w:tcW w:w="2267" w:type="dxa"/>
          </w:tcPr>
          <w:p w14:paraId="1BF14972"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Coagulation disorders, transient aplastic anaemia, haemolytic anaemia, lymphadenopathy</w:t>
            </w:r>
          </w:p>
        </w:tc>
      </w:tr>
      <w:tr w:rsidR="00A216B6" w:rsidRPr="00590C11" w14:paraId="4375B859" w14:textId="77777777" w:rsidTr="00A216B6">
        <w:tc>
          <w:tcPr>
            <w:tcW w:w="2266" w:type="dxa"/>
          </w:tcPr>
          <w:p w14:paraId="6B5E319E"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Immune system disorders</w:t>
            </w:r>
          </w:p>
        </w:tc>
        <w:tc>
          <w:tcPr>
            <w:tcW w:w="2267" w:type="dxa"/>
          </w:tcPr>
          <w:p w14:paraId="17A2719D"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 xml:space="preserve">Angioedema </w:t>
            </w:r>
          </w:p>
        </w:tc>
        <w:tc>
          <w:tcPr>
            <w:tcW w:w="2267" w:type="dxa"/>
          </w:tcPr>
          <w:p w14:paraId="22D1BEC8"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Hypersensitivity</w:t>
            </w:r>
          </w:p>
        </w:tc>
        <w:tc>
          <w:tcPr>
            <w:tcW w:w="2267" w:type="dxa"/>
          </w:tcPr>
          <w:p w14:paraId="6390C22A" w14:textId="77777777" w:rsidR="00A216B6" w:rsidRPr="00590C11" w:rsidRDefault="00A216B6" w:rsidP="00443352">
            <w:pPr>
              <w:pStyle w:val="CLDNormal"/>
              <w:spacing w:after="0"/>
              <w:jc w:val="left"/>
              <w:rPr>
                <w:rFonts w:eastAsiaTheme="minorEastAsia"/>
                <w:sz w:val="20"/>
              </w:rPr>
            </w:pPr>
          </w:p>
        </w:tc>
      </w:tr>
      <w:tr w:rsidR="00A216B6" w:rsidRPr="00590C11" w14:paraId="5C283FA1" w14:textId="77777777" w:rsidTr="00A216B6">
        <w:tc>
          <w:tcPr>
            <w:tcW w:w="2266" w:type="dxa"/>
          </w:tcPr>
          <w:p w14:paraId="162E082D"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Metabolism and nutrition disorders</w:t>
            </w:r>
          </w:p>
        </w:tc>
        <w:tc>
          <w:tcPr>
            <w:tcW w:w="2267" w:type="dxa"/>
          </w:tcPr>
          <w:p w14:paraId="7EFC51A7" w14:textId="77777777" w:rsidR="00A216B6" w:rsidRPr="00590C11" w:rsidRDefault="00A216B6" w:rsidP="00443352">
            <w:pPr>
              <w:pStyle w:val="CLDNormal"/>
              <w:spacing w:after="0"/>
              <w:jc w:val="left"/>
              <w:rPr>
                <w:rFonts w:eastAsiaTheme="minorEastAsia"/>
                <w:sz w:val="20"/>
              </w:rPr>
            </w:pPr>
          </w:p>
        </w:tc>
        <w:tc>
          <w:tcPr>
            <w:tcW w:w="2267" w:type="dxa"/>
          </w:tcPr>
          <w:p w14:paraId="07B9C48A"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Hyperglycaemia, weight decrease, peripheral oedema, face oedema, increased LDH, hypocalcaemia</w:t>
            </w:r>
          </w:p>
        </w:tc>
        <w:tc>
          <w:tcPr>
            <w:tcW w:w="2267" w:type="dxa"/>
          </w:tcPr>
          <w:p w14:paraId="7CB58E7D" w14:textId="77777777" w:rsidR="00A216B6" w:rsidRPr="00590C11" w:rsidRDefault="00A216B6" w:rsidP="00443352">
            <w:pPr>
              <w:pStyle w:val="CLDNormal"/>
              <w:spacing w:after="0"/>
              <w:jc w:val="left"/>
              <w:rPr>
                <w:rFonts w:eastAsiaTheme="minorEastAsia"/>
                <w:sz w:val="20"/>
              </w:rPr>
            </w:pPr>
          </w:p>
        </w:tc>
      </w:tr>
      <w:tr w:rsidR="00A216B6" w:rsidRPr="00590C11" w14:paraId="5595AE6A" w14:textId="77777777" w:rsidTr="00A216B6">
        <w:tc>
          <w:tcPr>
            <w:tcW w:w="2266" w:type="dxa"/>
          </w:tcPr>
          <w:p w14:paraId="0F1DE4D3"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Psychiatric disorders</w:t>
            </w:r>
          </w:p>
        </w:tc>
        <w:tc>
          <w:tcPr>
            <w:tcW w:w="2267" w:type="dxa"/>
          </w:tcPr>
          <w:p w14:paraId="08E02442" w14:textId="77777777" w:rsidR="00A216B6" w:rsidRPr="00590C11" w:rsidRDefault="00A216B6" w:rsidP="00443352">
            <w:pPr>
              <w:pStyle w:val="CLDNormal"/>
              <w:spacing w:after="0"/>
              <w:jc w:val="left"/>
              <w:rPr>
                <w:rFonts w:eastAsiaTheme="minorEastAsia"/>
                <w:sz w:val="20"/>
              </w:rPr>
            </w:pPr>
          </w:p>
        </w:tc>
        <w:tc>
          <w:tcPr>
            <w:tcW w:w="2267" w:type="dxa"/>
          </w:tcPr>
          <w:p w14:paraId="1CB78285" w14:textId="77777777" w:rsidR="00A216B6" w:rsidRPr="00590C11" w:rsidRDefault="00A216B6" w:rsidP="00443352">
            <w:pPr>
              <w:pStyle w:val="CLDNormal"/>
              <w:spacing w:after="0"/>
              <w:jc w:val="left"/>
              <w:rPr>
                <w:rFonts w:eastAsiaTheme="minorEastAsia"/>
                <w:sz w:val="20"/>
              </w:rPr>
            </w:pPr>
          </w:p>
        </w:tc>
        <w:tc>
          <w:tcPr>
            <w:tcW w:w="2267" w:type="dxa"/>
          </w:tcPr>
          <w:p w14:paraId="4716ED2D"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Depression, nervousness</w:t>
            </w:r>
          </w:p>
        </w:tc>
      </w:tr>
      <w:tr w:rsidR="00A216B6" w:rsidRPr="00590C11" w14:paraId="2B589039" w14:textId="77777777" w:rsidTr="00A216B6">
        <w:tc>
          <w:tcPr>
            <w:tcW w:w="2266" w:type="dxa"/>
          </w:tcPr>
          <w:p w14:paraId="6A50F4E4"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Nervous system disorders</w:t>
            </w:r>
          </w:p>
        </w:tc>
        <w:tc>
          <w:tcPr>
            <w:tcW w:w="2267" w:type="dxa"/>
          </w:tcPr>
          <w:p w14:paraId="3ECFCD9B" w14:textId="77777777" w:rsidR="00A216B6" w:rsidRPr="00590C11" w:rsidRDefault="00A216B6" w:rsidP="00443352">
            <w:pPr>
              <w:pStyle w:val="CLDNormal"/>
              <w:spacing w:after="0"/>
              <w:jc w:val="left"/>
              <w:rPr>
                <w:rFonts w:eastAsiaTheme="minorEastAsia"/>
                <w:sz w:val="20"/>
              </w:rPr>
            </w:pPr>
          </w:p>
        </w:tc>
        <w:tc>
          <w:tcPr>
            <w:tcW w:w="2267" w:type="dxa"/>
          </w:tcPr>
          <w:p w14:paraId="0295263D" w14:textId="77777777" w:rsidR="00A216B6" w:rsidRPr="00590C11" w:rsidRDefault="00A216B6" w:rsidP="00443352">
            <w:pPr>
              <w:pStyle w:val="CLDNormal"/>
              <w:spacing w:after="0"/>
              <w:jc w:val="left"/>
              <w:rPr>
                <w:rFonts w:eastAsiaTheme="minorEastAsia"/>
                <w:sz w:val="20"/>
              </w:rPr>
            </w:pPr>
            <w:proofErr w:type="spellStart"/>
            <w:r w:rsidRPr="00590C11">
              <w:rPr>
                <w:rFonts w:eastAsiaTheme="minorEastAsia"/>
                <w:sz w:val="20"/>
              </w:rPr>
              <w:t>Paresthesia</w:t>
            </w:r>
            <w:proofErr w:type="spellEnd"/>
            <w:r w:rsidRPr="00590C11">
              <w:rPr>
                <w:rFonts w:eastAsiaTheme="minorEastAsia"/>
                <w:sz w:val="20"/>
              </w:rPr>
              <w:t>, hypoesthesia, agitation, insomnia, vasodilatation, dizziness, anxiety</w:t>
            </w:r>
          </w:p>
        </w:tc>
        <w:tc>
          <w:tcPr>
            <w:tcW w:w="2267" w:type="dxa"/>
          </w:tcPr>
          <w:p w14:paraId="2EE892E8" w14:textId="77777777" w:rsidR="00A216B6" w:rsidRPr="00590C11" w:rsidRDefault="00A216B6" w:rsidP="00443352">
            <w:pPr>
              <w:pStyle w:val="CLDNormal"/>
              <w:spacing w:after="0"/>
              <w:jc w:val="left"/>
              <w:rPr>
                <w:rFonts w:eastAsiaTheme="minorEastAsia"/>
                <w:sz w:val="20"/>
              </w:rPr>
            </w:pPr>
            <w:proofErr w:type="spellStart"/>
            <w:r w:rsidRPr="00590C11">
              <w:rPr>
                <w:rFonts w:eastAsiaTheme="minorEastAsia"/>
                <w:sz w:val="20"/>
              </w:rPr>
              <w:t>Dysgeusia</w:t>
            </w:r>
            <w:proofErr w:type="spellEnd"/>
          </w:p>
        </w:tc>
      </w:tr>
      <w:tr w:rsidR="00A216B6" w:rsidRPr="00590C11" w14:paraId="6189285F" w14:textId="77777777" w:rsidTr="00A216B6">
        <w:tc>
          <w:tcPr>
            <w:tcW w:w="2266" w:type="dxa"/>
          </w:tcPr>
          <w:p w14:paraId="7FA19F30"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Eye disorders</w:t>
            </w:r>
          </w:p>
        </w:tc>
        <w:tc>
          <w:tcPr>
            <w:tcW w:w="2267" w:type="dxa"/>
          </w:tcPr>
          <w:p w14:paraId="7664F563" w14:textId="77777777" w:rsidR="00A216B6" w:rsidRPr="00590C11" w:rsidRDefault="00A216B6" w:rsidP="00443352">
            <w:pPr>
              <w:pStyle w:val="CLDNormal"/>
              <w:spacing w:after="0"/>
              <w:jc w:val="left"/>
              <w:rPr>
                <w:rFonts w:eastAsiaTheme="minorEastAsia"/>
                <w:sz w:val="20"/>
              </w:rPr>
            </w:pPr>
          </w:p>
        </w:tc>
        <w:tc>
          <w:tcPr>
            <w:tcW w:w="2267" w:type="dxa"/>
          </w:tcPr>
          <w:p w14:paraId="5CD4B87E"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Lacrimation disorder, conjunctivitis</w:t>
            </w:r>
          </w:p>
        </w:tc>
        <w:tc>
          <w:tcPr>
            <w:tcW w:w="2267" w:type="dxa"/>
          </w:tcPr>
          <w:p w14:paraId="67B68E97" w14:textId="77777777" w:rsidR="00A216B6" w:rsidRPr="00590C11" w:rsidRDefault="00A216B6" w:rsidP="00443352">
            <w:pPr>
              <w:pStyle w:val="CLDNormal"/>
              <w:spacing w:after="0"/>
              <w:jc w:val="left"/>
              <w:rPr>
                <w:rFonts w:eastAsiaTheme="minorEastAsia"/>
                <w:sz w:val="20"/>
              </w:rPr>
            </w:pPr>
          </w:p>
        </w:tc>
      </w:tr>
      <w:tr w:rsidR="00A216B6" w:rsidRPr="00590C11" w14:paraId="01E05A50" w14:textId="77777777" w:rsidTr="00A216B6">
        <w:tc>
          <w:tcPr>
            <w:tcW w:w="2266" w:type="dxa"/>
          </w:tcPr>
          <w:p w14:paraId="65DEA578"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Ear and labyrinth disorders</w:t>
            </w:r>
          </w:p>
        </w:tc>
        <w:tc>
          <w:tcPr>
            <w:tcW w:w="2267" w:type="dxa"/>
          </w:tcPr>
          <w:p w14:paraId="297EC815" w14:textId="77777777" w:rsidR="00A216B6" w:rsidRPr="00590C11" w:rsidRDefault="00A216B6" w:rsidP="00443352">
            <w:pPr>
              <w:pStyle w:val="CLDNormal"/>
              <w:spacing w:after="0"/>
              <w:jc w:val="left"/>
              <w:rPr>
                <w:rFonts w:eastAsiaTheme="minorEastAsia"/>
                <w:sz w:val="20"/>
              </w:rPr>
            </w:pPr>
          </w:p>
        </w:tc>
        <w:tc>
          <w:tcPr>
            <w:tcW w:w="2267" w:type="dxa"/>
          </w:tcPr>
          <w:p w14:paraId="34BC669F"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Tinnitus, ear pain</w:t>
            </w:r>
          </w:p>
        </w:tc>
        <w:tc>
          <w:tcPr>
            <w:tcW w:w="2267" w:type="dxa"/>
          </w:tcPr>
          <w:p w14:paraId="3AB9B84E" w14:textId="77777777" w:rsidR="00A216B6" w:rsidRPr="00590C11" w:rsidRDefault="00A216B6" w:rsidP="00443352">
            <w:pPr>
              <w:pStyle w:val="CLDNormal"/>
              <w:spacing w:after="0"/>
              <w:jc w:val="left"/>
              <w:rPr>
                <w:rFonts w:eastAsiaTheme="minorEastAsia"/>
                <w:sz w:val="20"/>
              </w:rPr>
            </w:pPr>
          </w:p>
        </w:tc>
      </w:tr>
      <w:tr w:rsidR="00A216B6" w:rsidRPr="00590C11" w14:paraId="00E38CAD" w14:textId="77777777" w:rsidTr="00A216B6">
        <w:tc>
          <w:tcPr>
            <w:tcW w:w="2266" w:type="dxa"/>
          </w:tcPr>
          <w:p w14:paraId="16F5579A"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Cardiac disorders</w:t>
            </w:r>
          </w:p>
        </w:tc>
        <w:tc>
          <w:tcPr>
            <w:tcW w:w="2267" w:type="dxa"/>
          </w:tcPr>
          <w:p w14:paraId="5D2E6CB0" w14:textId="77777777" w:rsidR="00A216B6" w:rsidRPr="00590C11" w:rsidRDefault="00A216B6" w:rsidP="00443352">
            <w:pPr>
              <w:pStyle w:val="CLDNormal"/>
              <w:spacing w:after="0"/>
              <w:jc w:val="left"/>
              <w:rPr>
                <w:rFonts w:eastAsiaTheme="minorEastAsia"/>
                <w:sz w:val="20"/>
              </w:rPr>
            </w:pPr>
          </w:p>
        </w:tc>
        <w:tc>
          <w:tcPr>
            <w:tcW w:w="2267" w:type="dxa"/>
          </w:tcPr>
          <w:p w14:paraId="4F9EB2FD"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vertAlign w:val="superscript"/>
              </w:rPr>
              <w:t>+</w:t>
            </w:r>
            <w:r w:rsidRPr="00590C11">
              <w:rPr>
                <w:rFonts w:eastAsiaTheme="minorEastAsia"/>
                <w:sz w:val="20"/>
              </w:rPr>
              <w:t xml:space="preserve">Myocardial infarction, arrhythmia, </w:t>
            </w:r>
            <w:r w:rsidRPr="00590C11">
              <w:rPr>
                <w:rFonts w:eastAsiaTheme="minorEastAsia"/>
                <w:sz w:val="20"/>
                <w:vertAlign w:val="superscript"/>
              </w:rPr>
              <w:t>+</w:t>
            </w:r>
            <w:r w:rsidRPr="00590C11">
              <w:rPr>
                <w:rFonts w:eastAsiaTheme="minorEastAsia"/>
                <w:sz w:val="20"/>
              </w:rPr>
              <w:t>atrial fibrillation, tachycardia,</w:t>
            </w:r>
            <w:r w:rsidRPr="00590C11">
              <w:rPr>
                <w:rFonts w:eastAsiaTheme="minorEastAsia"/>
                <w:sz w:val="20"/>
                <w:vertAlign w:val="superscript"/>
              </w:rPr>
              <w:t xml:space="preserve"> +</w:t>
            </w:r>
            <w:r w:rsidRPr="00590C11">
              <w:rPr>
                <w:rFonts w:eastAsiaTheme="minorEastAsia"/>
                <w:sz w:val="20"/>
              </w:rPr>
              <w:t xml:space="preserve">cardiac disorder </w:t>
            </w:r>
          </w:p>
        </w:tc>
        <w:tc>
          <w:tcPr>
            <w:tcW w:w="2267" w:type="dxa"/>
          </w:tcPr>
          <w:p w14:paraId="16456FED"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vertAlign w:val="superscript"/>
              </w:rPr>
              <w:t>+</w:t>
            </w:r>
            <w:r w:rsidRPr="00590C11">
              <w:rPr>
                <w:rFonts w:eastAsiaTheme="minorEastAsia"/>
                <w:sz w:val="20"/>
              </w:rPr>
              <w:t xml:space="preserve">Left ventricular failure, </w:t>
            </w:r>
            <w:r w:rsidRPr="00590C11">
              <w:rPr>
                <w:rFonts w:eastAsiaTheme="minorEastAsia"/>
                <w:sz w:val="20"/>
                <w:vertAlign w:val="superscript"/>
              </w:rPr>
              <w:t>+</w:t>
            </w:r>
            <w:r w:rsidRPr="00590C11">
              <w:rPr>
                <w:rFonts w:eastAsiaTheme="minorEastAsia"/>
                <w:sz w:val="20"/>
              </w:rPr>
              <w:t xml:space="preserve">supraventricular tachycardia, </w:t>
            </w:r>
            <w:r w:rsidRPr="00590C11">
              <w:rPr>
                <w:rFonts w:eastAsiaTheme="minorEastAsia"/>
                <w:sz w:val="20"/>
                <w:vertAlign w:val="superscript"/>
              </w:rPr>
              <w:t>+</w:t>
            </w:r>
            <w:r w:rsidRPr="00590C11">
              <w:rPr>
                <w:rFonts w:eastAsiaTheme="minorEastAsia"/>
                <w:sz w:val="20"/>
              </w:rPr>
              <w:t xml:space="preserve">ventricular tachycardia, </w:t>
            </w:r>
            <w:r w:rsidRPr="00590C11">
              <w:rPr>
                <w:rFonts w:eastAsiaTheme="minorEastAsia"/>
                <w:sz w:val="20"/>
                <w:vertAlign w:val="superscript"/>
              </w:rPr>
              <w:t>+</w:t>
            </w:r>
            <w:r w:rsidRPr="00590C11">
              <w:rPr>
                <w:rFonts w:eastAsiaTheme="minorEastAsia"/>
                <w:sz w:val="20"/>
              </w:rPr>
              <w:t xml:space="preserve">angina, </w:t>
            </w:r>
            <w:r w:rsidRPr="00590C11">
              <w:rPr>
                <w:rFonts w:eastAsiaTheme="minorEastAsia"/>
                <w:sz w:val="20"/>
                <w:vertAlign w:val="superscript"/>
              </w:rPr>
              <w:t>+</w:t>
            </w:r>
            <w:r w:rsidRPr="00590C11">
              <w:rPr>
                <w:rFonts w:eastAsiaTheme="minorEastAsia"/>
                <w:sz w:val="20"/>
              </w:rPr>
              <w:t>myocardial ischaemia, bradycardia</w:t>
            </w:r>
          </w:p>
        </w:tc>
      </w:tr>
      <w:tr w:rsidR="00A216B6" w:rsidRPr="00590C11" w14:paraId="3E65E71B" w14:textId="77777777" w:rsidTr="00A216B6">
        <w:tc>
          <w:tcPr>
            <w:tcW w:w="2266" w:type="dxa"/>
          </w:tcPr>
          <w:p w14:paraId="34987774"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 xml:space="preserve">Vascular disorders </w:t>
            </w:r>
          </w:p>
        </w:tc>
        <w:tc>
          <w:tcPr>
            <w:tcW w:w="2267" w:type="dxa"/>
          </w:tcPr>
          <w:p w14:paraId="582B763B" w14:textId="77777777" w:rsidR="00A216B6" w:rsidRPr="00590C11" w:rsidRDefault="00A216B6" w:rsidP="00443352">
            <w:pPr>
              <w:pStyle w:val="CLDNormal"/>
              <w:spacing w:after="0"/>
              <w:jc w:val="left"/>
              <w:rPr>
                <w:rFonts w:eastAsiaTheme="minorEastAsia"/>
                <w:sz w:val="20"/>
              </w:rPr>
            </w:pPr>
          </w:p>
        </w:tc>
        <w:tc>
          <w:tcPr>
            <w:tcW w:w="2267" w:type="dxa"/>
          </w:tcPr>
          <w:p w14:paraId="060A6028"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Hypertension, orthostatic hypotension, hypotension</w:t>
            </w:r>
          </w:p>
        </w:tc>
        <w:tc>
          <w:tcPr>
            <w:tcW w:w="2267" w:type="dxa"/>
          </w:tcPr>
          <w:p w14:paraId="571792C1" w14:textId="77777777" w:rsidR="00A216B6" w:rsidRPr="00590C11" w:rsidRDefault="00A216B6" w:rsidP="00443352">
            <w:pPr>
              <w:pStyle w:val="CLDNormal"/>
              <w:spacing w:after="0"/>
              <w:jc w:val="left"/>
              <w:rPr>
                <w:rFonts w:eastAsiaTheme="minorEastAsia"/>
                <w:sz w:val="20"/>
                <w:vertAlign w:val="superscript"/>
              </w:rPr>
            </w:pPr>
          </w:p>
        </w:tc>
      </w:tr>
      <w:tr w:rsidR="00A216B6" w:rsidRPr="00590C11" w14:paraId="068A86CE" w14:textId="77777777" w:rsidTr="00A216B6">
        <w:tc>
          <w:tcPr>
            <w:tcW w:w="2266" w:type="dxa"/>
          </w:tcPr>
          <w:p w14:paraId="665FCD59"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Respiratory, thoracic and mediastinal disorders</w:t>
            </w:r>
          </w:p>
        </w:tc>
        <w:tc>
          <w:tcPr>
            <w:tcW w:w="2267" w:type="dxa"/>
          </w:tcPr>
          <w:p w14:paraId="0455C7AC" w14:textId="77777777" w:rsidR="00A216B6" w:rsidRPr="00590C11" w:rsidRDefault="00A216B6" w:rsidP="00443352">
            <w:pPr>
              <w:pStyle w:val="CLDNormal"/>
              <w:spacing w:after="0"/>
              <w:jc w:val="left"/>
              <w:rPr>
                <w:rFonts w:eastAsiaTheme="minorEastAsia"/>
                <w:sz w:val="20"/>
              </w:rPr>
            </w:pPr>
          </w:p>
        </w:tc>
        <w:tc>
          <w:tcPr>
            <w:tcW w:w="2267" w:type="dxa"/>
          </w:tcPr>
          <w:p w14:paraId="60C235EB"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Bronchospasm , respiratory disease, chest pain, dyspnoea , cough , rhinitis</w:t>
            </w:r>
          </w:p>
        </w:tc>
        <w:tc>
          <w:tcPr>
            <w:tcW w:w="2267" w:type="dxa"/>
          </w:tcPr>
          <w:p w14:paraId="159B6BFD"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Asthma , bronchiolitis obliterans, lung disorder, hypoxia</w:t>
            </w:r>
          </w:p>
        </w:tc>
      </w:tr>
      <w:tr w:rsidR="00A216B6" w:rsidRPr="00590C11" w14:paraId="2C1CF362" w14:textId="77777777" w:rsidTr="00A216B6">
        <w:tc>
          <w:tcPr>
            <w:tcW w:w="2266" w:type="dxa"/>
          </w:tcPr>
          <w:p w14:paraId="0B6241AA"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Gastrointestinal disorders</w:t>
            </w:r>
          </w:p>
        </w:tc>
        <w:tc>
          <w:tcPr>
            <w:tcW w:w="2267" w:type="dxa"/>
          </w:tcPr>
          <w:p w14:paraId="537DCC68"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Nausea</w:t>
            </w:r>
          </w:p>
        </w:tc>
        <w:tc>
          <w:tcPr>
            <w:tcW w:w="2267" w:type="dxa"/>
          </w:tcPr>
          <w:p w14:paraId="4EA4A0D0"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Vomiting , diarrhoea, abdominal pain , dysphagia, stomatitis, constipation dyspepsia, anorexia, throat irritation</w:t>
            </w:r>
          </w:p>
        </w:tc>
        <w:tc>
          <w:tcPr>
            <w:tcW w:w="2267" w:type="dxa"/>
          </w:tcPr>
          <w:p w14:paraId="1CBA24A8"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Abdominal enlargement</w:t>
            </w:r>
          </w:p>
        </w:tc>
      </w:tr>
      <w:tr w:rsidR="00A216B6" w:rsidRPr="00590C11" w14:paraId="713BE707" w14:textId="77777777" w:rsidTr="00A216B6">
        <w:tc>
          <w:tcPr>
            <w:tcW w:w="2266" w:type="dxa"/>
          </w:tcPr>
          <w:p w14:paraId="6DB1D2D6"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Skin and subcutaneous tissue disorders</w:t>
            </w:r>
          </w:p>
        </w:tc>
        <w:tc>
          <w:tcPr>
            <w:tcW w:w="2267" w:type="dxa"/>
          </w:tcPr>
          <w:p w14:paraId="59F24C95" w14:textId="77777777" w:rsidR="00A216B6" w:rsidRPr="00590C11" w:rsidRDefault="00A216B6" w:rsidP="00443352">
            <w:pPr>
              <w:pStyle w:val="CLDNormal"/>
              <w:spacing w:after="0"/>
              <w:jc w:val="left"/>
              <w:rPr>
                <w:rFonts w:eastAsiaTheme="minorEastAsia"/>
                <w:sz w:val="20"/>
              </w:rPr>
            </w:pPr>
            <w:proofErr w:type="spellStart"/>
            <w:r w:rsidRPr="00590C11">
              <w:rPr>
                <w:rFonts w:eastAsiaTheme="minorEastAsia"/>
                <w:sz w:val="20"/>
              </w:rPr>
              <w:t>Pruritis</w:t>
            </w:r>
            <w:proofErr w:type="spellEnd"/>
            <w:r w:rsidRPr="00590C11">
              <w:rPr>
                <w:rFonts w:eastAsiaTheme="minorEastAsia"/>
                <w:sz w:val="20"/>
              </w:rPr>
              <w:t xml:space="preserve"> , rash</w:t>
            </w:r>
          </w:p>
        </w:tc>
        <w:tc>
          <w:tcPr>
            <w:tcW w:w="2267" w:type="dxa"/>
          </w:tcPr>
          <w:p w14:paraId="68315C09" w14:textId="77777777" w:rsidR="00A216B6" w:rsidRPr="00590C11" w:rsidRDefault="00A216B6" w:rsidP="00443352">
            <w:pPr>
              <w:pStyle w:val="CLDNormal"/>
              <w:spacing w:after="0"/>
              <w:jc w:val="left"/>
              <w:rPr>
                <w:rFonts w:eastAsiaTheme="minorEastAsia"/>
                <w:sz w:val="20"/>
              </w:rPr>
            </w:pPr>
            <w:proofErr w:type="spellStart"/>
            <w:r w:rsidRPr="00590C11">
              <w:rPr>
                <w:rFonts w:eastAsiaTheme="minorEastAsia"/>
                <w:sz w:val="20"/>
              </w:rPr>
              <w:t>Urticaria</w:t>
            </w:r>
            <w:proofErr w:type="spellEnd"/>
            <w:r w:rsidRPr="00590C11">
              <w:rPr>
                <w:rFonts w:eastAsiaTheme="minorEastAsia"/>
                <w:sz w:val="20"/>
              </w:rPr>
              <w:t xml:space="preserve"> , </w:t>
            </w:r>
            <w:r w:rsidRPr="00590C11">
              <w:rPr>
                <w:rFonts w:eastAsiaTheme="minorEastAsia"/>
                <w:sz w:val="20"/>
                <w:vertAlign w:val="superscript"/>
              </w:rPr>
              <w:t>+</w:t>
            </w:r>
            <w:r w:rsidRPr="00590C11">
              <w:rPr>
                <w:rFonts w:eastAsiaTheme="minorEastAsia"/>
                <w:sz w:val="20"/>
              </w:rPr>
              <w:t>alopecia, sweating, night sweats</w:t>
            </w:r>
          </w:p>
        </w:tc>
        <w:tc>
          <w:tcPr>
            <w:tcW w:w="2267" w:type="dxa"/>
          </w:tcPr>
          <w:p w14:paraId="48A4B18A" w14:textId="77777777" w:rsidR="00A216B6" w:rsidRPr="00590C11" w:rsidRDefault="00A216B6" w:rsidP="00443352">
            <w:pPr>
              <w:pStyle w:val="CLDNormal"/>
              <w:spacing w:after="0"/>
              <w:jc w:val="left"/>
              <w:rPr>
                <w:rFonts w:eastAsiaTheme="minorEastAsia"/>
                <w:sz w:val="20"/>
              </w:rPr>
            </w:pPr>
          </w:p>
        </w:tc>
      </w:tr>
      <w:tr w:rsidR="00A216B6" w:rsidRPr="00590C11" w14:paraId="2AC8B4F0" w14:textId="77777777" w:rsidTr="00A216B6">
        <w:tc>
          <w:tcPr>
            <w:tcW w:w="2266" w:type="dxa"/>
          </w:tcPr>
          <w:p w14:paraId="221AE6F7"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Musculoskeletal, connective tissue and bone disorders</w:t>
            </w:r>
          </w:p>
        </w:tc>
        <w:tc>
          <w:tcPr>
            <w:tcW w:w="2267" w:type="dxa"/>
          </w:tcPr>
          <w:p w14:paraId="7D1B4919" w14:textId="77777777" w:rsidR="00A216B6" w:rsidRPr="00590C11" w:rsidRDefault="00A216B6" w:rsidP="00443352">
            <w:pPr>
              <w:pStyle w:val="CLDNormal"/>
              <w:spacing w:after="0"/>
              <w:jc w:val="left"/>
              <w:rPr>
                <w:rFonts w:eastAsiaTheme="minorEastAsia"/>
                <w:sz w:val="20"/>
              </w:rPr>
            </w:pPr>
          </w:p>
        </w:tc>
        <w:tc>
          <w:tcPr>
            <w:tcW w:w="2267" w:type="dxa"/>
          </w:tcPr>
          <w:p w14:paraId="442E86F4"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Hypertonia, myalgia , arthralgia, back pain , neck pain, pain</w:t>
            </w:r>
          </w:p>
        </w:tc>
        <w:tc>
          <w:tcPr>
            <w:tcW w:w="2267" w:type="dxa"/>
          </w:tcPr>
          <w:p w14:paraId="47FC07EC" w14:textId="77777777" w:rsidR="00A216B6" w:rsidRPr="00590C11" w:rsidRDefault="00A216B6" w:rsidP="00443352">
            <w:pPr>
              <w:pStyle w:val="CLDNormal"/>
              <w:spacing w:after="0"/>
              <w:jc w:val="left"/>
              <w:rPr>
                <w:rFonts w:eastAsiaTheme="minorEastAsia"/>
                <w:sz w:val="20"/>
              </w:rPr>
            </w:pPr>
          </w:p>
        </w:tc>
      </w:tr>
      <w:tr w:rsidR="00A216B6" w:rsidRPr="00590C11" w14:paraId="3475EC70" w14:textId="77777777" w:rsidTr="00A216B6">
        <w:tc>
          <w:tcPr>
            <w:tcW w:w="2266" w:type="dxa"/>
          </w:tcPr>
          <w:p w14:paraId="70D22A9C"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General disorders and administration site conditions</w:t>
            </w:r>
          </w:p>
        </w:tc>
        <w:tc>
          <w:tcPr>
            <w:tcW w:w="2267" w:type="dxa"/>
          </w:tcPr>
          <w:p w14:paraId="49B99131"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Fever , chills , asthenia , headache</w:t>
            </w:r>
          </w:p>
        </w:tc>
        <w:tc>
          <w:tcPr>
            <w:tcW w:w="2267" w:type="dxa"/>
          </w:tcPr>
          <w:p w14:paraId="020E106D"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Tumour pain, flushing, malaise, cold syndrome</w:t>
            </w:r>
          </w:p>
        </w:tc>
        <w:tc>
          <w:tcPr>
            <w:tcW w:w="2267" w:type="dxa"/>
          </w:tcPr>
          <w:p w14:paraId="7098E429"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Infusion site pain</w:t>
            </w:r>
          </w:p>
        </w:tc>
      </w:tr>
      <w:tr w:rsidR="00A216B6" w:rsidRPr="00590C11" w14:paraId="560F67C3" w14:textId="77777777" w:rsidTr="00A216B6">
        <w:tc>
          <w:tcPr>
            <w:tcW w:w="2266" w:type="dxa"/>
          </w:tcPr>
          <w:p w14:paraId="2AFC52B1"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Investigations</w:t>
            </w:r>
          </w:p>
        </w:tc>
        <w:tc>
          <w:tcPr>
            <w:tcW w:w="2267" w:type="dxa"/>
          </w:tcPr>
          <w:p w14:paraId="2CFD0726" w14:textId="77777777" w:rsidR="00A216B6" w:rsidRPr="00590C11" w:rsidRDefault="00A216B6" w:rsidP="00443352">
            <w:pPr>
              <w:pStyle w:val="CLDNormal"/>
              <w:spacing w:after="0"/>
              <w:jc w:val="left"/>
              <w:rPr>
                <w:rFonts w:eastAsiaTheme="minorEastAsia"/>
                <w:sz w:val="20"/>
              </w:rPr>
            </w:pPr>
            <w:r w:rsidRPr="00590C11">
              <w:rPr>
                <w:rFonts w:eastAsiaTheme="minorEastAsia"/>
                <w:sz w:val="20"/>
              </w:rPr>
              <w:t>Decreased IgG levels</w:t>
            </w:r>
          </w:p>
        </w:tc>
        <w:tc>
          <w:tcPr>
            <w:tcW w:w="2267" w:type="dxa"/>
          </w:tcPr>
          <w:p w14:paraId="0B200C34" w14:textId="77777777" w:rsidR="00A216B6" w:rsidRPr="00590C11" w:rsidRDefault="00A216B6" w:rsidP="00443352">
            <w:pPr>
              <w:pStyle w:val="CLDNormal"/>
              <w:spacing w:after="0"/>
              <w:jc w:val="left"/>
              <w:rPr>
                <w:rFonts w:eastAsiaTheme="minorEastAsia"/>
                <w:sz w:val="20"/>
              </w:rPr>
            </w:pPr>
          </w:p>
        </w:tc>
        <w:tc>
          <w:tcPr>
            <w:tcW w:w="2267" w:type="dxa"/>
          </w:tcPr>
          <w:p w14:paraId="6780DF9D" w14:textId="77777777" w:rsidR="00A216B6" w:rsidRPr="00590C11" w:rsidRDefault="00A216B6" w:rsidP="00443352">
            <w:pPr>
              <w:pStyle w:val="CLDNormal"/>
              <w:spacing w:after="0"/>
              <w:jc w:val="left"/>
              <w:rPr>
                <w:rFonts w:eastAsiaTheme="minorEastAsia"/>
                <w:sz w:val="20"/>
              </w:rPr>
            </w:pPr>
          </w:p>
        </w:tc>
      </w:tr>
    </w:tbl>
    <w:p w14:paraId="280C7750" w14:textId="77777777" w:rsidR="008E1F12" w:rsidRDefault="00224450" w:rsidP="00443352">
      <w:pPr>
        <w:pStyle w:val="CLDNormal"/>
        <w:jc w:val="left"/>
        <w:rPr>
          <w:rFonts w:eastAsiaTheme="minorEastAsia"/>
          <w:sz w:val="20"/>
        </w:rPr>
      </w:pPr>
      <w:r w:rsidRPr="00224450">
        <w:rPr>
          <w:rFonts w:eastAsiaTheme="minorEastAsia"/>
          <w:sz w:val="20"/>
        </w:rPr>
        <w:t>For each term, the frequency count was based on reactions of all grades (from mild to severe), except for terms marked with "</w:t>
      </w:r>
      <w:r w:rsidRPr="00224450">
        <w:rPr>
          <w:rFonts w:eastAsiaTheme="minorEastAsia"/>
          <w:sz w:val="20"/>
          <w:vertAlign w:val="superscript"/>
        </w:rPr>
        <w:t>+</w:t>
      </w:r>
      <w:r w:rsidRPr="00224450">
        <w:rPr>
          <w:rFonts w:eastAsiaTheme="minorEastAsia"/>
          <w:sz w:val="20"/>
        </w:rPr>
        <w:t>" where the frequency count was based only on severe (≥ Grade 3 NCI common toxicity criteria) reactions. Only the highest frequency observed in either trial is reported.</w:t>
      </w:r>
    </w:p>
    <w:p w14:paraId="0149F8E1" w14:textId="3BA11ABD" w:rsidR="00EB7827" w:rsidRPr="00EB7827" w:rsidRDefault="00E13737" w:rsidP="00443352">
      <w:pPr>
        <w:pStyle w:val="CLDNormal"/>
        <w:jc w:val="left"/>
        <w:rPr>
          <w:rFonts w:eastAsiaTheme="minorEastAsia"/>
          <w:b/>
          <w:szCs w:val="24"/>
        </w:rPr>
      </w:pPr>
      <w:r>
        <w:rPr>
          <w:rFonts w:eastAsiaTheme="minorEastAsia"/>
          <w:b/>
          <w:szCs w:val="24"/>
        </w:rPr>
        <w:t>Rituximab</w:t>
      </w:r>
      <w:r w:rsidR="00EB7827" w:rsidRPr="00EB7827">
        <w:rPr>
          <w:rFonts w:eastAsiaTheme="minorEastAsia"/>
          <w:b/>
          <w:szCs w:val="24"/>
        </w:rPr>
        <w:t xml:space="preserve"> in combination with chemotherapy in NHL and CLL</w:t>
      </w:r>
    </w:p>
    <w:p w14:paraId="0DDD87CA" w14:textId="77777777" w:rsidR="00EB7827" w:rsidRPr="00EB7827" w:rsidRDefault="00EB7827" w:rsidP="00443352">
      <w:pPr>
        <w:pStyle w:val="CLDNormal"/>
        <w:jc w:val="left"/>
        <w:rPr>
          <w:rFonts w:eastAsiaTheme="minorEastAsia"/>
          <w:szCs w:val="24"/>
        </w:rPr>
      </w:pPr>
      <w:r w:rsidRPr="00EB7827">
        <w:rPr>
          <w:rFonts w:eastAsiaTheme="minorEastAsia"/>
          <w:szCs w:val="24"/>
        </w:rPr>
        <w:t xml:space="preserve">The ADRs listed in the table below are based on rituximab-arm data from controlled clinical trials that occurred in addition to those seen with monotherapy/maintenance therapy and/or at a higher frequency grouping: 202 patients with diffuse large B-cell lymphoma (DLBCL) treated with R-CHOP, from 234 and 162 patients with follicular lymphoma treated with R-CHOP or R-CVP, respectively, and from 397 previously untreated CLL patients and 274 relapsed/refractory CLL patients treated with rituximab in combination with </w:t>
      </w:r>
      <w:proofErr w:type="spellStart"/>
      <w:r w:rsidRPr="00EB7827">
        <w:rPr>
          <w:rFonts w:eastAsiaTheme="minorEastAsia"/>
          <w:szCs w:val="24"/>
        </w:rPr>
        <w:t>fludarabine</w:t>
      </w:r>
      <w:proofErr w:type="spellEnd"/>
      <w:r w:rsidRPr="00EB7827">
        <w:rPr>
          <w:rFonts w:eastAsiaTheme="minorEastAsia"/>
          <w:szCs w:val="24"/>
        </w:rPr>
        <w:t xml:space="preserve"> and cyclophosphamide (R-FC) (see section 5.1 Pharmacodynamic properties; Clinical trials).</w:t>
      </w:r>
    </w:p>
    <w:p w14:paraId="06AEFEC5" w14:textId="3EB975BF" w:rsidR="00EB7827" w:rsidRDefault="00EB7827" w:rsidP="00443352">
      <w:pPr>
        <w:pStyle w:val="CLDNormal"/>
        <w:jc w:val="left"/>
        <w:rPr>
          <w:rFonts w:eastAsiaTheme="minorEastAsia"/>
          <w:szCs w:val="24"/>
        </w:rPr>
      </w:pPr>
      <w:r w:rsidRPr="00EB7827">
        <w:rPr>
          <w:rFonts w:eastAsiaTheme="minorEastAsia"/>
          <w:szCs w:val="24"/>
        </w:rPr>
        <w:t xml:space="preserve">The safety information of </w:t>
      </w:r>
      <w:r w:rsidR="00E13737">
        <w:rPr>
          <w:rFonts w:eastAsiaTheme="minorEastAsia"/>
          <w:szCs w:val="24"/>
        </w:rPr>
        <w:t>rituximab</w:t>
      </w:r>
      <w:r w:rsidRPr="00EB7827">
        <w:rPr>
          <w:rFonts w:eastAsiaTheme="minorEastAsia"/>
          <w:szCs w:val="24"/>
        </w:rPr>
        <w:t xml:space="preserve"> in combination with certain chemotherapy regimens is limited. When </w:t>
      </w:r>
      <w:r w:rsidR="00E13737">
        <w:rPr>
          <w:rFonts w:eastAsiaTheme="minorEastAsia"/>
          <w:szCs w:val="24"/>
        </w:rPr>
        <w:t>rituximab</w:t>
      </w:r>
      <w:r w:rsidRPr="00EB7827">
        <w:rPr>
          <w:rFonts w:eastAsiaTheme="minorEastAsia"/>
          <w:szCs w:val="24"/>
        </w:rPr>
        <w:t xml:space="preserve"> is used with other chemotherapy medicines, prescribers are advised to consider the adverse reaction profile of the component medicine(s).</w:t>
      </w:r>
    </w:p>
    <w:p w14:paraId="027074E5" w14:textId="77777777" w:rsidR="00EB7827" w:rsidRDefault="00EB7827" w:rsidP="00443352">
      <w:pPr>
        <w:pStyle w:val="CLDNormal"/>
        <w:jc w:val="left"/>
        <w:rPr>
          <w:rFonts w:eastAsiaTheme="minorEastAsia"/>
          <w:b/>
          <w:sz w:val="20"/>
        </w:rPr>
      </w:pPr>
      <w:r w:rsidRPr="00EB7827">
        <w:rPr>
          <w:rFonts w:eastAsiaTheme="minorEastAsia"/>
          <w:b/>
          <w:sz w:val="20"/>
        </w:rPr>
        <w:t>Table 2: Summary of severe ADRs reported in patients receiving R-CHOP in DLBCL (N=202), R-CHOP in follicular lymphoma (N=234), R-CVP in follicular lymphoma (N=162) and R-FC in previously untreated (N=397) or relapsed/refractory (N=274) CLL</w:t>
      </w:r>
    </w:p>
    <w:tbl>
      <w:tblPr>
        <w:tblStyle w:val="TableGrid"/>
        <w:tblW w:w="0" w:type="auto"/>
        <w:shd w:val="clear" w:color="auto" w:fill="F2F2F2" w:themeFill="background1" w:themeFillShade="F2"/>
        <w:tblLook w:val="04A0" w:firstRow="1" w:lastRow="0" w:firstColumn="1" w:lastColumn="0" w:noHBand="0" w:noVBand="1"/>
      </w:tblPr>
      <w:tblGrid>
        <w:gridCol w:w="3026"/>
        <w:gridCol w:w="3027"/>
        <w:gridCol w:w="3027"/>
      </w:tblGrid>
      <w:tr w:rsidR="00EB7827" w:rsidRPr="00E13737" w14:paraId="5179ED83" w14:textId="77777777" w:rsidTr="00EB7827">
        <w:tc>
          <w:tcPr>
            <w:tcW w:w="3026" w:type="dxa"/>
            <w:shd w:val="clear" w:color="auto" w:fill="F2F2F2" w:themeFill="background1" w:themeFillShade="F2"/>
          </w:tcPr>
          <w:p w14:paraId="2F411C31" w14:textId="77777777" w:rsidR="00EB7827" w:rsidRPr="00E13737" w:rsidRDefault="00EB7827" w:rsidP="00443352">
            <w:pPr>
              <w:pStyle w:val="CLDNormal"/>
              <w:jc w:val="left"/>
              <w:rPr>
                <w:rFonts w:eastAsiaTheme="minorEastAsia"/>
                <w:b/>
                <w:sz w:val="20"/>
              </w:rPr>
            </w:pPr>
            <w:r w:rsidRPr="00E13737">
              <w:rPr>
                <w:rFonts w:eastAsiaTheme="minorEastAsia"/>
                <w:b/>
                <w:sz w:val="20"/>
              </w:rPr>
              <w:t>System Organ Class</w:t>
            </w:r>
          </w:p>
        </w:tc>
        <w:tc>
          <w:tcPr>
            <w:tcW w:w="3027" w:type="dxa"/>
            <w:shd w:val="clear" w:color="auto" w:fill="F2F2F2" w:themeFill="background1" w:themeFillShade="F2"/>
          </w:tcPr>
          <w:p w14:paraId="6FE35F53" w14:textId="77777777" w:rsidR="00EB7827" w:rsidRPr="00E13737" w:rsidRDefault="00EB7827" w:rsidP="00443352">
            <w:pPr>
              <w:pStyle w:val="CLDNormal"/>
              <w:jc w:val="left"/>
              <w:rPr>
                <w:rFonts w:eastAsiaTheme="minorEastAsia"/>
                <w:b/>
                <w:sz w:val="20"/>
              </w:rPr>
            </w:pPr>
            <w:r w:rsidRPr="00E13737">
              <w:rPr>
                <w:rFonts w:eastAsiaTheme="minorEastAsia"/>
                <w:b/>
                <w:sz w:val="20"/>
              </w:rPr>
              <w:t>Very Common (≥ 10%)</w:t>
            </w:r>
          </w:p>
        </w:tc>
        <w:tc>
          <w:tcPr>
            <w:tcW w:w="3027" w:type="dxa"/>
            <w:shd w:val="clear" w:color="auto" w:fill="F2F2F2" w:themeFill="background1" w:themeFillShade="F2"/>
          </w:tcPr>
          <w:p w14:paraId="00CCF259" w14:textId="77777777" w:rsidR="00EB7827" w:rsidRPr="00E13737" w:rsidRDefault="00EB7827" w:rsidP="00443352">
            <w:pPr>
              <w:pStyle w:val="CLDNormal"/>
              <w:jc w:val="left"/>
              <w:rPr>
                <w:rFonts w:eastAsiaTheme="minorEastAsia"/>
                <w:b/>
                <w:sz w:val="20"/>
              </w:rPr>
            </w:pPr>
            <w:r w:rsidRPr="00E13737">
              <w:rPr>
                <w:rFonts w:eastAsiaTheme="minorEastAsia"/>
                <w:b/>
                <w:sz w:val="20"/>
              </w:rPr>
              <w:t>Common (≥ 1% - &lt; 10%)</w:t>
            </w:r>
          </w:p>
        </w:tc>
      </w:tr>
      <w:tr w:rsidR="00EB7827" w:rsidRPr="00E13737" w14:paraId="570EAA86" w14:textId="77777777" w:rsidTr="00EB7827">
        <w:tc>
          <w:tcPr>
            <w:tcW w:w="3026" w:type="dxa"/>
            <w:shd w:val="clear" w:color="auto" w:fill="FFFFFF" w:themeFill="background1"/>
          </w:tcPr>
          <w:p w14:paraId="4D99A8BC" w14:textId="77777777" w:rsidR="00EB7827" w:rsidRPr="00E13737" w:rsidRDefault="00EE01A0" w:rsidP="00443352">
            <w:pPr>
              <w:pStyle w:val="CLDNormal"/>
              <w:jc w:val="left"/>
              <w:rPr>
                <w:rFonts w:eastAsiaTheme="minorEastAsia"/>
                <w:sz w:val="20"/>
              </w:rPr>
            </w:pPr>
            <w:r w:rsidRPr="00E13737">
              <w:rPr>
                <w:rFonts w:eastAsiaTheme="minorEastAsia"/>
                <w:sz w:val="20"/>
              </w:rPr>
              <w:t>Infections and infestations</w:t>
            </w:r>
          </w:p>
        </w:tc>
        <w:tc>
          <w:tcPr>
            <w:tcW w:w="3027" w:type="dxa"/>
            <w:shd w:val="clear" w:color="auto" w:fill="FFFFFF" w:themeFill="background1"/>
          </w:tcPr>
          <w:p w14:paraId="1AEB1A0D" w14:textId="77777777" w:rsidR="00EB7827" w:rsidRPr="00E13737" w:rsidRDefault="00EE01A0" w:rsidP="00443352">
            <w:pPr>
              <w:pStyle w:val="CLDNormal"/>
              <w:jc w:val="left"/>
              <w:rPr>
                <w:rFonts w:eastAsiaTheme="minorEastAsia"/>
                <w:sz w:val="20"/>
              </w:rPr>
            </w:pPr>
            <w:r w:rsidRPr="00E13737">
              <w:rPr>
                <w:rFonts w:eastAsiaTheme="minorEastAsia"/>
                <w:sz w:val="20"/>
              </w:rPr>
              <w:t>Bronchitis</w:t>
            </w:r>
          </w:p>
        </w:tc>
        <w:tc>
          <w:tcPr>
            <w:tcW w:w="3027" w:type="dxa"/>
            <w:shd w:val="clear" w:color="auto" w:fill="FFFFFF" w:themeFill="background1"/>
          </w:tcPr>
          <w:p w14:paraId="485331D3" w14:textId="77777777" w:rsidR="00EE01A0" w:rsidRPr="00E13737" w:rsidRDefault="00EE01A0" w:rsidP="00443352">
            <w:pPr>
              <w:pStyle w:val="CLDNormal"/>
              <w:spacing w:after="0"/>
              <w:jc w:val="left"/>
              <w:rPr>
                <w:rFonts w:eastAsiaTheme="minorEastAsia"/>
                <w:sz w:val="20"/>
              </w:rPr>
            </w:pPr>
            <w:r w:rsidRPr="00E13737">
              <w:rPr>
                <w:rFonts w:eastAsiaTheme="minorEastAsia"/>
                <w:sz w:val="20"/>
              </w:rPr>
              <w:t>Acute bronchitis, sinusitis,</w:t>
            </w:r>
          </w:p>
          <w:p w14:paraId="3AAB41F8" w14:textId="77777777" w:rsidR="00EB7827" w:rsidRPr="00E13737" w:rsidRDefault="00EE01A0" w:rsidP="00443352">
            <w:pPr>
              <w:pStyle w:val="CLDNormal"/>
              <w:spacing w:after="0"/>
              <w:jc w:val="left"/>
              <w:rPr>
                <w:rFonts w:eastAsiaTheme="minorEastAsia"/>
                <w:sz w:val="20"/>
              </w:rPr>
            </w:pPr>
            <w:r w:rsidRPr="00E13737">
              <w:rPr>
                <w:rFonts w:eastAsiaTheme="minorEastAsia"/>
                <w:sz w:val="20"/>
              </w:rPr>
              <w:t>hepatitis B*</w:t>
            </w:r>
          </w:p>
        </w:tc>
      </w:tr>
      <w:tr w:rsidR="00EE01A0" w:rsidRPr="00E13737" w14:paraId="2990E33A" w14:textId="77777777" w:rsidTr="00EB7827">
        <w:tc>
          <w:tcPr>
            <w:tcW w:w="3026" w:type="dxa"/>
            <w:shd w:val="clear" w:color="auto" w:fill="FFFFFF" w:themeFill="background1"/>
          </w:tcPr>
          <w:p w14:paraId="68B0B1F1" w14:textId="77777777" w:rsidR="00EE01A0" w:rsidRPr="00E13737" w:rsidRDefault="00EE01A0" w:rsidP="00443352">
            <w:pPr>
              <w:pStyle w:val="CLDNormal"/>
              <w:jc w:val="left"/>
              <w:rPr>
                <w:rFonts w:eastAsiaTheme="minorEastAsia"/>
                <w:sz w:val="20"/>
              </w:rPr>
            </w:pPr>
            <w:r w:rsidRPr="00E13737">
              <w:rPr>
                <w:rFonts w:eastAsiaTheme="minorEastAsia"/>
                <w:sz w:val="20"/>
              </w:rPr>
              <w:t>Blood and the lymphatic system disorders</w:t>
            </w:r>
          </w:p>
        </w:tc>
        <w:tc>
          <w:tcPr>
            <w:tcW w:w="3027" w:type="dxa"/>
            <w:shd w:val="clear" w:color="auto" w:fill="FFFFFF" w:themeFill="background1"/>
          </w:tcPr>
          <w:p w14:paraId="5DA74D88" w14:textId="77777777" w:rsidR="00EE01A0" w:rsidRPr="00E13737" w:rsidRDefault="00EE01A0" w:rsidP="00443352">
            <w:pPr>
              <w:pStyle w:val="CLDNormal"/>
              <w:spacing w:after="0"/>
              <w:jc w:val="left"/>
              <w:rPr>
                <w:rFonts w:eastAsiaTheme="minorEastAsia"/>
                <w:sz w:val="20"/>
              </w:rPr>
            </w:pPr>
            <w:r w:rsidRPr="00E13737">
              <w:rPr>
                <w:rFonts w:eastAsiaTheme="minorEastAsia"/>
                <w:sz w:val="20"/>
              </w:rPr>
              <w:t>Neutropenia#</w:t>
            </w:r>
          </w:p>
          <w:p w14:paraId="76563238" w14:textId="77777777" w:rsidR="00EE01A0" w:rsidRPr="00E13737" w:rsidRDefault="00EE01A0" w:rsidP="00443352">
            <w:pPr>
              <w:pStyle w:val="CLDNormal"/>
              <w:spacing w:after="0"/>
              <w:jc w:val="left"/>
              <w:rPr>
                <w:rFonts w:eastAsiaTheme="minorEastAsia"/>
                <w:sz w:val="20"/>
              </w:rPr>
            </w:pPr>
            <w:r w:rsidRPr="00E13737">
              <w:rPr>
                <w:rFonts w:eastAsiaTheme="minorEastAsia"/>
                <w:sz w:val="20"/>
              </w:rPr>
              <w:t>febrile neutropenia,</w:t>
            </w:r>
          </w:p>
          <w:p w14:paraId="63D18A0C" w14:textId="77777777" w:rsidR="00EE01A0" w:rsidRPr="00E13737" w:rsidRDefault="00EE01A0" w:rsidP="00443352">
            <w:pPr>
              <w:pStyle w:val="CLDNormal"/>
              <w:spacing w:after="0"/>
              <w:jc w:val="left"/>
              <w:rPr>
                <w:rFonts w:eastAsiaTheme="minorEastAsia"/>
                <w:sz w:val="20"/>
              </w:rPr>
            </w:pPr>
            <w:r w:rsidRPr="00E13737">
              <w:rPr>
                <w:rFonts w:eastAsiaTheme="minorEastAsia"/>
                <w:sz w:val="20"/>
              </w:rPr>
              <w:t>thrombocytopenia</w:t>
            </w:r>
          </w:p>
        </w:tc>
        <w:tc>
          <w:tcPr>
            <w:tcW w:w="3027" w:type="dxa"/>
            <w:shd w:val="clear" w:color="auto" w:fill="FFFFFF" w:themeFill="background1"/>
          </w:tcPr>
          <w:p w14:paraId="78A9EA5D" w14:textId="77777777" w:rsidR="00EE01A0" w:rsidRPr="00E13737" w:rsidRDefault="00EE01A0" w:rsidP="00443352">
            <w:pPr>
              <w:pStyle w:val="CLDNormal"/>
              <w:spacing w:after="0"/>
              <w:jc w:val="left"/>
              <w:rPr>
                <w:rFonts w:eastAsiaTheme="minorEastAsia"/>
                <w:sz w:val="20"/>
              </w:rPr>
            </w:pPr>
            <w:r w:rsidRPr="00E13737">
              <w:rPr>
                <w:rFonts w:eastAsiaTheme="minorEastAsia"/>
                <w:sz w:val="20"/>
              </w:rPr>
              <w:t xml:space="preserve">Pancytopenia, </w:t>
            </w:r>
            <w:proofErr w:type="spellStart"/>
            <w:r w:rsidRPr="00E13737">
              <w:rPr>
                <w:rFonts w:eastAsiaTheme="minorEastAsia"/>
                <w:sz w:val="20"/>
              </w:rPr>
              <w:t>granulocytopenia</w:t>
            </w:r>
            <w:proofErr w:type="spellEnd"/>
          </w:p>
        </w:tc>
      </w:tr>
      <w:tr w:rsidR="00EE01A0" w:rsidRPr="00E13737" w14:paraId="43F98DF6" w14:textId="77777777" w:rsidTr="00EB7827">
        <w:tc>
          <w:tcPr>
            <w:tcW w:w="3026" w:type="dxa"/>
            <w:shd w:val="clear" w:color="auto" w:fill="FFFFFF" w:themeFill="background1"/>
          </w:tcPr>
          <w:p w14:paraId="366A0236" w14:textId="77777777" w:rsidR="00EE01A0" w:rsidRPr="00E13737" w:rsidRDefault="00EE01A0" w:rsidP="00443352">
            <w:pPr>
              <w:pStyle w:val="CLDNormal"/>
              <w:jc w:val="left"/>
              <w:rPr>
                <w:rFonts w:eastAsiaTheme="minorEastAsia"/>
                <w:sz w:val="20"/>
              </w:rPr>
            </w:pPr>
            <w:r w:rsidRPr="00E13737">
              <w:rPr>
                <w:rFonts w:eastAsiaTheme="minorEastAsia"/>
                <w:sz w:val="20"/>
              </w:rPr>
              <w:t>Skin and subcutaneous tissue disorders</w:t>
            </w:r>
          </w:p>
        </w:tc>
        <w:tc>
          <w:tcPr>
            <w:tcW w:w="3027" w:type="dxa"/>
            <w:shd w:val="clear" w:color="auto" w:fill="FFFFFF" w:themeFill="background1"/>
          </w:tcPr>
          <w:p w14:paraId="1BE398CD" w14:textId="77777777" w:rsidR="00EE01A0" w:rsidRPr="00E13737" w:rsidRDefault="00EE01A0" w:rsidP="00443352">
            <w:pPr>
              <w:pStyle w:val="CLDNormal"/>
              <w:spacing w:after="0"/>
              <w:jc w:val="left"/>
              <w:rPr>
                <w:rFonts w:eastAsiaTheme="minorEastAsia"/>
                <w:sz w:val="20"/>
              </w:rPr>
            </w:pPr>
            <w:r w:rsidRPr="00E13737">
              <w:rPr>
                <w:rFonts w:eastAsiaTheme="minorEastAsia"/>
                <w:sz w:val="20"/>
              </w:rPr>
              <w:t>Alopecia</w:t>
            </w:r>
          </w:p>
        </w:tc>
        <w:tc>
          <w:tcPr>
            <w:tcW w:w="3027" w:type="dxa"/>
            <w:shd w:val="clear" w:color="auto" w:fill="FFFFFF" w:themeFill="background1"/>
          </w:tcPr>
          <w:p w14:paraId="0569B962" w14:textId="77777777" w:rsidR="00EE01A0" w:rsidRPr="00E13737" w:rsidRDefault="00EE01A0" w:rsidP="00443352">
            <w:pPr>
              <w:pStyle w:val="CLDNormal"/>
              <w:spacing w:after="0"/>
              <w:jc w:val="left"/>
              <w:rPr>
                <w:rFonts w:eastAsiaTheme="minorEastAsia"/>
                <w:sz w:val="20"/>
              </w:rPr>
            </w:pPr>
            <w:r w:rsidRPr="00E13737">
              <w:rPr>
                <w:rFonts w:eastAsiaTheme="minorEastAsia"/>
                <w:sz w:val="20"/>
              </w:rPr>
              <w:t>Skin disorder</w:t>
            </w:r>
          </w:p>
        </w:tc>
      </w:tr>
      <w:tr w:rsidR="00EE01A0" w:rsidRPr="00E13737" w14:paraId="78F7F035" w14:textId="77777777" w:rsidTr="00EB7827">
        <w:tc>
          <w:tcPr>
            <w:tcW w:w="3026" w:type="dxa"/>
            <w:shd w:val="clear" w:color="auto" w:fill="FFFFFF" w:themeFill="background1"/>
          </w:tcPr>
          <w:p w14:paraId="57C7FA65" w14:textId="77777777" w:rsidR="00EE01A0" w:rsidRPr="00E13737" w:rsidRDefault="00EE01A0" w:rsidP="00443352">
            <w:pPr>
              <w:pStyle w:val="CLDNormal"/>
              <w:jc w:val="left"/>
              <w:rPr>
                <w:rFonts w:eastAsiaTheme="minorEastAsia"/>
                <w:sz w:val="20"/>
              </w:rPr>
            </w:pPr>
            <w:r w:rsidRPr="00E13737">
              <w:rPr>
                <w:rFonts w:eastAsiaTheme="minorEastAsia"/>
                <w:sz w:val="20"/>
              </w:rPr>
              <w:t>General disorders and administration site conditions</w:t>
            </w:r>
          </w:p>
        </w:tc>
        <w:tc>
          <w:tcPr>
            <w:tcW w:w="3027" w:type="dxa"/>
            <w:shd w:val="clear" w:color="auto" w:fill="FFFFFF" w:themeFill="background1"/>
          </w:tcPr>
          <w:p w14:paraId="2DDDE157" w14:textId="77777777" w:rsidR="00EE01A0" w:rsidRPr="00E13737" w:rsidRDefault="00EE01A0" w:rsidP="00443352">
            <w:pPr>
              <w:pStyle w:val="CLDNormal"/>
              <w:spacing w:after="0"/>
              <w:jc w:val="left"/>
              <w:rPr>
                <w:rFonts w:eastAsiaTheme="minorEastAsia"/>
                <w:sz w:val="20"/>
              </w:rPr>
            </w:pPr>
            <w:r w:rsidRPr="00E13737">
              <w:rPr>
                <w:rFonts w:eastAsiaTheme="minorEastAsia"/>
                <w:sz w:val="20"/>
              </w:rPr>
              <w:t>-</w:t>
            </w:r>
          </w:p>
        </w:tc>
        <w:tc>
          <w:tcPr>
            <w:tcW w:w="3027" w:type="dxa"/>
            <w:shd w:val="clear" w:color="auto" w:fill="FFFFFF" w:themeFill="background1"/>
          </w:tcPr>
          <w:p w14:paraId="341A889E" w14:textId="77777777" w:rsidR="00EE01A0" w:rsidRPr="00E13737" w:rsidRDefault="00EE01A0" w:rsidP="00443352">
            <w:pPr>
              <w:pStyle w:val="CLDNormal"/>
              <w:spacing w:after="0"/>
              <w:jc w:val="left"/>
              <w:rPr>
                <w:rFonts w:eastAsiaTheme="minorEastAsia"/>
                <w:sz w:val="20"/>
              </w:rPr>
            </w:pPr>
            <w:r w:rsidRPr="00E13737">
              <w:rPr>
                <w:rFonts w:eastAsiaTheme="minorEastAsia"/>
                <w:sz w:val="20"/>
              </w:rPr>
              <w:t>Fatigue, shivering</w:t>
            </w:r>
          </w:p>
        </w:tc>
      </w:tr>
    </w:tbl>
    <w:p w14:paraId="5AC72726" w14:textId="77777777" w:rsidR="00EE01A0" w:rsidRPr="00E13737" w:rsidRDefault="00EE01A0" w:rsidP="00443352">
      <w:pPr>
        <w:pStyle w:val="CLDNormal"/>
        <w:spacing w:after="0"/>
        <w:jc w:val="left"/>
        <w:rPr>
          <w:rFonts w:eastAsiaTheme="minorEastAsia"/>
          <w:sz w:val="20"/>
        </w:rPr>
      </w:pPr>
      <w:r w:rsidRPr="00E13737">
        <w:rPr>
          <w:rFonts w:eastAsiaTheme="minorEastAsia"/>
          <w:sz w:val="20"/>
        </w:rPr>
        <w:t>*includes reactivation and primary infections; frequency based on R-FC regimen in relapsed/refractory CLL</w:t>
      </w:r>
    </w:p>
    <w:p w14:paraId="2535CD6D" w14:textId="77777777" w:rsidR="00EE01A0" w:rsidRPr="00E13737" w:rsidRDefault="00EE01A0" w:rsidP="00443352">
      <w:pPr>
        <w:pStyle w:val="CLDNormal"/>
        <w:spacing w:after="0"/>
        <w:jc w:val="left"/>
        <w:rPr>
          <w:rFonts w:eastAsiaTheme="minorEastAsia"/>
          <w:sz w:val="20"/>
        </w:rPr>
      </w:pPr>
      <w:r w:rsidRPr="00E13737">
        <w:rPr>
          <w:rFonts w:eastAsiaTheme="minorEastAsia"/>
          <w:sz w:val="20"/>
        </w:rPr>
        <w:t>Frequency count was based on only severe reactions defined in clinical trials as ≥ Grade 3 NCI common toxicity criteria. Only the highest frequency observed in any trial is reported.</w:t>
      </w:r>
    </w:p>
    <w:p w14:paraId="1C16824D" w14:textId="77777777" w:rsidR="00EB7827" w:rsidRPr="00E13737" w:rsidRDefault="00EE01A0" w:rsidP="00443352">
      <w:pPr>
        <w:pStyle w:val="CLDNormal"/>
        <w:spacing w:after="0"/>
        <w:jc w:val="left"/>
        <w:rPr>
          <w:rFonts w:eastAsiaTheme="minorEastAsia"/>
          <w:sz w:val="20"/>
        </w:rPr>
      </w:pPr>
      <w:r w:rsidRPr="00E13737">
        <w:rPr>
          <w:rFonts w:eastAsiaTheme="minorEastAsia"/>
          <w:sz w:val="20"/>
        </w:rPr>
        <w:t>#prolonged and/or delayed onset neutropenia after completion of an R-FC course in previously untreated or relapsed/refractory CLL</w:t>
      </w:r>
    </w:p>
    <w:p w14:paraId="26918430" w14:textId="77777777" w:rsidR="00EE01A0" w:rsidRDefault="00EE01A0" w:rsidP="00443352">
      <w:pPr>
        <w:pStyle w:val="CLDNormal"/>
        <w:spacing w:after="0"/>
        <w:jc w:val="left"/>
        <w:rPr>
          <w:rFonts w:eastAsiaTheme="minorEastAsia"/>
          <w:b/>
          <w:sz w:val="20"/>
        </w:rPr>
      </w:pPr>
    </w:p>
    <w:p w14:paraId="3788F277" w14:textId="6BE7077C" w:rsidR="00EE01A0" w:rsidRDefault="00EE01A0" w:rsidP="00443352">
      <w:pPr>
        <w:pStyle w:val="CLDNormal"/>
        <w:jc w:val="left"/>
        <w:rPr>
          <w:rFonts w:eastAsiaTheme="minorEastAsia"/>
          <w:szCs w:val="24"/>
        </w:rPr>
      </w:pPr>
      <w:r w:rsidRPr="00EE01A0">
        <w:rPr>
          <w:rFonts w:eastAsiaTheme="minorEastAsia"/>
          <w:szCs w:val="24"/>
        </w:rPr>
        <w:t xml:space="preserve">The following terms have been reported as adverse events, however, were reported at a similar (&lt;2% difference between the groups) or lower incidence in the </w:t>
      </w:r>
      <w:r w:rsidR="00E13737">
        <w:rPr>
          <w:rFonts w:eastAsiaTheme="minorEastAsia"/>
          <w:szCs w:val="24"/>
        </w:rPr>
        <w:t>rituximab</w:t>
      </w:r>
      <w:r w:rsidRPr="00EE01A0">
        <w:rPr>
          <w:rFonts w:eastAsiaTheme="minorEastAsia"/>
          <w:szCs w:val="24"/>
        </w:rPr>
        <w:t xml:space="preserve">-arms compared to control arms: </w:t>
      </w:r>
      <w:proofErr w:type="spellStart"/>
      <w:r w:rsidRPr="00EE01A0">
        <w:rPr>
          <w:rFonts w:eastAsiaTheme="minorEastAsia"/>
          <w:szCs w:val="24"/>
        </w:rPr>
        <w:t>haematotoxicity</w:t>
      </w:r>
      <w:proofErr w:type="spellEnd"/>
      <w:r w:rsidRPr="00EE01A0">
        <w:rPr>
          <w:rFonts w:eastAsiaTheme="minorEastAsia"/>
          <w:szCs w:val="24"/>
        </w:rPr>
        <w:t xml:space="preserve">, neutropenic infection, urinary tract infection, septic shock, superinfection lung, implant infection, septicaemia staphylococcal, lung infection, rhinorrhoea, pulmonary oedema, cardiac failure, sensory disturbance, venous thrombosis, mucosal inflammation </w:t>
      </w:r>
      <w:proofErr w:type="spellStart"/>
      <w:r w:rsidRPr="00EE01A0">
        <w:rPr>
          <w:rFonts w:eastAsiaTheme="minorEastAsia"/>
          <w:szCs w:val="24"/>
        </w:rPr>
        <w:t>nos</w:t>
      </w:r>
      <w:proofErr w:type="spellEnd"/>
      <w:r w:rsidRPr="00EE01A0">
        <w:rPr>
          <w:rFonts w:eastAsiaTheme="minorEastAsia"/>
          <w:szCs w:val="24"/>
        </w:rPr>
        <w:t>, influenza-like illness, oedema lower limb, abnormal ejection fraction, pyrexia, general physical health deterioration, fall, multi-organ failure, venous thrombosis deep limb, positive blood culture, diabetes mellitus inadequate control.</w:t>
      </w:r>
    </w:p>
    <w:p w14:paraId="1BCA8E95" w14:textId="77777777" w:rsidR="00EE01A0" w:rsidRPr="00EE01A0" w:rsidRDefault="00EE01A0" w:rsidP="00443352">
      <w:pPr>
        <w:pStyle w:val="CLDNormal"/>
        <w:jc w:val="left"/>
        <w:rPr>
          <w:rFonts w:eastAsiaTheme="minorEastAsia"/>
          <w:b/>
          <w:szCs w:val="24"/>
        </w:rPr>
      </w:pPr>
      <w:r w:rsidRPr="00EE01A0">
        <w:rPr>
          <w:rFonts w:eastAsiaTheme="minorEastAsia"/>
          <w:b/>
          <w:szCs w:val="24"/>
        </w:rPr>
        <w:t>Further information on selected, serious adverse drug reactions</w:t>
      </w:r>
    </w:p>
    <w:p w14:paraId="44CCAB51" w14:textId="77777777" w:rsidR="00EE01A0" w:rsidRPr="00EE01A0" w:rsidRDefault="00EE01A0" w:rsidP="00443352">
      <w:pPr>
        <w:pStyle w:val="CLDNormal"/>
        <w:jc w:val="left"/>
        <w:rPr>
          <w:rFonts w:eastAsiaTheme="minorEastAsia"/>
          <w:szCs w:val="24"/>
          <w:u w:val="single"/>
        </w:rPr>
      </w:pPr>
      <w:r w:rsidRPr="00EE01A0">
        <w:rPr>
          <w:rFonts w:eastAsiaTheme="minorEastAsia"/>
          <w:szCs w:val="24"/>
          <w:u w:val="single"/>
        </w:rPr>
        <w:t>Infusion-related reactions</w:t>
      </w:r>
    </w:p>
    <w:p w14:paraId="7AD51D4F" w14:textId="77777777" w:rsidR="00EE01A0" w:rsidRPr="00EE01A0" w:rsidRDefault="00EE01A0" w:rsidP="00443352">
      <w:pPr>
        <w:pStyle w:val="CLDNormal"/>
        <w:jc w:val="left"/>
        <w:rPr>
          <w:rFonts w:eastAsiaTheme="minorEastAsia"/>
          <w:i/>
          <w:szCs w:val="24"/>
        </w:rPr>
      </w:pPr>
      <w:r w:rsidRPr="00EE01A0">
        <w:rPr>
          <w:rFonts w:eastAsiaTheme="minorEastAsia"/>
          <w:i/>
          <w:szCs w:val="24"/>
        </w:rPr>
        <w:t>Monotherapy – 4 weeks treatment</w:t>
      </w:r>
    </w:p>
    <w:p w14:paraId="5CD26C90" w14:textId="19171DDB" w:rsidR="00EE01A0" w:rsidRPr="00EE01A0" w:rsidRDefault="00EE01A0" w:rsidP="00443352">
      <w:pPr>
        <w:pStyle w:val="CLDNormal"/>
        <w:jc w:val="left"/>
        <w:rPr>
          <w:rFonts w:eastAsiaTheme="minorEastAsia"/>
          <w:szCs w:val="24"/>
        </w:rPr>
      </w:pPr>
      <w:r w:rsidRPr="00EE01A0">
        <w:rPr>
          <w:rFonts w:eastAsiaTheme="minorEastAsia"/>
          <w:szCs w:val="24"/>
        </w:rPr>
        <w:t xml:space="preserve">Signs and symptoms suggestive of an IRR were reported in more than 50% of patients in clinical trials, and were predominantly seen during the first infusion. Hypotension, fever, chills, rigors, </w:t>
      </w:r>
      <w:proofErr w:type="spellStart"/>
      <w:r w:rsidRPr="00EE01A0">
        <w:rPr>
          <w:rFonts w:eastAsiaTheme="minorEastAsia"/>
          <w:szCs w:val="24"/>
        </w:rPr>
        <w:t>urticaria</w:t>
      </w:r>
      <w:proofErr w:type="spellEnd"/>
      <w:r w:rsidRPr="00EE01A0">
        <w:rPr>
          <w:rFonts w:eastAsiaTheme="minorEastAsia"/>
          <w:szCs w:val="24"/>
        </w:rPr>
        <w:t xml:space="preserve">, bronchospasm, sensation of tongue or throat swelling (angioedema), nausea, fatigue, headache, pruritus, </w:t>
      </w:r>
      <w:proofErr w:type="spellStart"/>
      <w:r w:rsidRPr="00EE01A0">
        <w:rPr>
          <w:rFonts w:eastAsiaTheme="minorEastAsia"/>
          <w:szCs w:val="24"/>
        </w:rPr>
        <w:t>dyspnea</w:t>
      </w:r>
      <w:proofErr w:type="spellEnd"/>
      <w:r w:rsidRPr="00EE01A0">
        <w:rPr>
          <w:rFonts w:eastAsiaTheme="minorEastAsia"/>
          <w:szCs w:val="24"/>
        </w:rPr>
        <w:t xml:space="preserve">, rhinitis, vomiting, flushing, and pain at disease sites have occurred in association with </w:t>
      </w:r>
      <w:r w:rsidR="00E13737">
        <w:rPr>
          <w:rFonts w:eastAsiaTheme="minorEastAsia"/>
          <w:szCs w:val="24"/>
        </w:rPr>
        <w:t>rituximab</w:t>
      </w:r>
      <w:r w:rsidRPr="00EE01A0">
        <w:rPr>
          <w:rFonts w:eastAsiaTheme="minorEastAsia"/>
          <w:szCs w:val="24"/>
        </w:rPr>
        <w:t xml:space="preserve"> infusion as part of an infusion-related symptom complex. Some features of TLS have also been observed.</w:t>
      </w:r>
    </w:p>
    <w:p w14:paraId="0F9BBCBD" w14:textId="77777777" w:rsidR="00EE01A0" w:rsidRPr="00EE01A0" w:rsidRDefault="00EE01A0" w:rsidP="00443352">
      <w:pPr>
        <w:pStyle w:val="CLDNormal"/>
        <w:jc w:val="left"/>
        <w:rPr>
          <w:rFonts w:eastAsiaTheme="minorEastAsia"/>
          <w:i/>
          <w:szCs w:val="24"/>
        </w:rPr>
      </w:pPr>
      <w:r w:rsidRPr="00EE01A0">
        <w:rPr>
          <w:rFonts w:eastAsiaTheme="minorEastAsia"/>
          <w:i/>
          <w:szCs w:val="24"/>
        </w:rPr>
        <w:t>Maintenance Treatment (NHL) up to 2 years</w:t>
      </w:r>
    </w:p>
    <w:p w14:paraId="64A44BC4" w14:textId="26E10D23" w:rsidR="00EE01A0" w:rsidRPr="00EE01A0" w:rsidRDefault="00EE01A0" w:rsidP="00443352">
      <w:pPr>
        <w:pStyle w:val="CLDNormal"/>
        <w:jc w:val="left"/>
        <w:rPr>
          <w:rFonts w:eastAsiaTheme="minorEastAsia"/>
          <w:szCs w:val="24"/>
        </w:rPr>
      </w:pPr>
      <w:r w:rsidRPr="00EE01A0">
        <w:rPr>
          <w:rFonts w:eastAsiaTheme="minorEastAsia"/>
          <w:szCs w:val="24"/>
        </w:rPr>
        <w:t xml:space="preserve">Non-serious signs and symptoms suggestive of an infusion-related reaction were reported in 41% of patients for general disorders (mainly asthenia, pyrexia, influenza like illness, pain) and in 7% of patients for immune system disorders (hypersensitivity). Serious infusion-related reactions (defined as serious adverse events starting during or within one day of a rituximab infusion) occurred in &lt; 1% of patients treated with </w:t>
      </w:r>
      <w:r w:rsidR="00A77A9C">
        <w:rPr>
          <w:rFonts w:eastAsiaTheme="minorEastAsia"/>
          <w:szCs w:val="24"/>
        </w:rPr>
        <w:t>rituximab</w:t>
      </w:r>
      <w:r w:rsidRPr="00EE01A0">
        <w:rPr>
          <w:rFonts w:eastAsiaTheme="minorEastAsia"/>
          <w:szCs w:val="24"/>
        </w:rPr>
        <w:t xml:space="preserve"> maintenance.</w:t>
      </w:r>
    </w:p>
    <w:p w14:paraId="0DFB8562" w14:textId="77777777" w:rsidR="00EE01A0" w:rsidRPr="00EE01A0" w:rsidRDefault="00EE01A0" w:rsidP="00443352">
      <w:pPr>
        <w:pStyle w:val="CLDNormal"/>
        <w:jc w:val="left"/>
        <w:rPr>
          <w:rFonts w:eastAsiaTheme="minorEastAsia"/>
          <w:i/>
          <w:szCs w:val="24"/>
        </w:rPr>
      </w:pPr>
      <w:r w:rsidRPr="00EE01A0">
        <w:rPr>
          <w:rFonts w:eastAsiaTheme="minorEastAsia"/>
          <w:i/>
          <w:szCs w:val="24"/>
        </w:rPr>
        <w:t>Combination Therapy (R-CVP in NHL; R-CHOP in DLBCL; R-FC in CLL)</w:t>
      </w:r>
    </w:p>
    <w:p w14:paraId="0538B8A7" w14:textId="22C1C27F" w:rsidR="00EE01A0" w:rsidRDefault="00EE01A0" w:rsidP="00443352">
      <w:pPr>
        <w:pStyle w:val="CLDNormal"/>
        <w:jc w:val="left"/>
        <w:rPr>
          <w:rFonts w:eastAsiaTheme="minorEastAsia"/>
          <w:szCs w:val="24"/>
        </w:rPr>
      </w:pPr>
      <w:r w:rsidRPr="00EE01A0">
        <w:rPr>
          <w:rFonts w:eastAsiaTheme="minorEastAsia"/>
          <w:szCs w:val="24"/>
        </w:rPr>
        <w:t xml:space="preserve">Severe IRRs occurred in up to 12% of all patients at the time of the first treatment cycle with </w:t>
      </w:r>
      <w:r w:rsidR="00A77A9C">
        <w:rPr>
          <w:rFonts w:eastAsiaTheme="minorEastAsia"/>
          <w:szCs w:val="24"/>
        </w:rPr>
        <w:t>rituximab</w:t>
      </w:r>
      <w:r w:rsidRPr="00EE01A0">
        <w:rPr>
          <w:rFonts w:eastAsiaTheme="minorEastAsia"/>
          <w:szCs w:val="24"/>
        </w:rPr>
        <w:t xml:space="preserve"> in combination with chemotherapy. The incidence of infusion-related symptoms decreased substantially with subsequent infusions and is &lt;1% of patients by the eighth cycle. The signs and symptoms were consistent with those observed during monotherapy. Additional reactions reported were dyspepsia, rash, hypertension, tachycardia, and features of TLS. Isolated cases of myocardial infarction, atrial fibrillation, pulmonary oedema and acute reversible thrombocytopenia were also reported.</w:t>
      </w:r>
    </w:p>
    <w:p w14:paraId="6C108D0C" w14:textId="77777777" w:rsidR="00EE01A0" w:rsidRPr="00EE01A0" w:rsidRDefault="00EE01A0" w:rsidP="00443352">
      <w:pPr>
        <w:pStyle w:val="CLDNormal"/>
        <w:jc w:val="left"/>
        <w:rPr>
          <w:rFonts w:eastAsiaTheme="minorEastAsia"/>
          <w:szCs w:val="24"/>
          <w:u w:val="single"/>
        </w:rPr>
      </w:pPr>
      <w:r w:rsidRPr="00EE01A0">
        <w:rPr>
          <w:rFonts w:eastAsiaTheme="minorEastAsia"/>
          <w:szCs w:val="24"/>
          <w:u w:val="single"/>
        </w:rPr>
        <w:t>Infections</w:t>
      </w:r>
    </w:p>
    <w:p w14:paraId="51FFEFE8" w14:textId="77777777" w:rsidR="00EE01A0" w:rsidRDefault="00EE01A0" w:rsidP="00443352">
      <w:pPr>
        <w:pStyle w:val="CLDNormal"/>
        <w:jc w:val="left"/>
        <w:rPr>
          <w:rFonts w:eastAsiaTheme="minorEastAsia"/>
          <w:i/>
          <w:szCs w:val="24"/>
        </w:rPr>
      </w:pPr>
      <w:r w:rsidRPr="00EE01A0">
        <w:rPr>
          <w:rFonts w:eastAsiaTheme="minorEastAsia"/>
          <w:i/>
          <w:szCs w:val="24"/>
        </w:rPr>
        <w:t>Monotherapy – 4 weeks treatment</w:t>
      </w:r>
    </w:p>
    <w:p w14:paraId="62A37C82" w14:textId="7E4F4040" w:rsidR="00EE01A0" w:rsidRPr="00EE01A0" w:rsidRDefault="00F94C85" w:rsidP="00443352">
      <w:pPr>
        <w:pStyle w:val="CLDNormal"/>
        <w:jc w:val="left"/>
        <w:rPr>
          <w:rFonts w:eastAsiaTheme="minorEastAsia"/>
          <w:szCs w:val="24"/>
        </w:rPr>
      </w:pPr>
      <w:r>
        <w:rPr>
          <w:rFonts w:eastAsiaTheme="minorEastAsia"/>
          <w:szCs w:val="24"/>
        </w:rPr>
        <w:t>R</w:t>
      </w:r>
      <w:r w:rsidR="00A77A9C">
        <w:rPr>
          <w:rFonts w:eastAsiaTheme="minorEastAsia"/>
          <w:szCs w:val="24"/>
        </w:rPr>
        <w:t>ituximab</w:t>
      </w:r>
      <w:r w:rsidR="00EE01A0" w:rsidRPr="00EE01A0">
        <w:rPr>
          <w:rFonts w:eastAsiaTheme="minorEastAsia"/>
          <w:szCs w:val="24"/>
        </w:rPr>
        <w:t xml:space="preserve"> induced B-cell depletion in 70% to 80% of patients and was associated with decreased serum immunoglobulins in only a minority of patients. Bacterial, viral, fungal and unknown </w:t>
      </w:r>
      <w:proofErr w:type="spellStart"/>
      <w:r w:rsidR="00EE01A0" w:rsidRPr="00EE01A0">
        <w:rPr>
          <w:rFonts w:eastAsiaTheme="minorEastAsia"/>
          <w:szCs w:val="24"/>
        </w:rPr>
        <w:t>etiology</w:t>
      </w:r>
      <w:proofErr w:type="spellEnd"/>
      <w:r w:rsidR="00EE01A0" w:rsidRPr="00EE01A0">
        <w:rPr>
          <w:rFonts w:eastAsiaTheme="minorEastAsia"/>
          <w:szCs w:val="24"/>
        </w:rPr>
        <w:t xml:space="preserve"> infections, irrespective of causal assessment, occurred in 30.3% of 356 patients. Severe infectious events (Grade 3 or 4), including sepsis occurred in 3.9% of patients.</w:t>
      </w:r>
    </w:p>
    <w:p w14:paraId="34EC7047" w14:textId="77777777" w:rsidR="00EE01A0" w:rsidRPr="00D225F4" w:rsidRDefault="00EE01A0" w:rsidP="00443352">
      <w:pPr>
        <w:pStyle w:val="CLDNormal"/>
        <w:jc w:val="left"/>
        <w:rPr>
          <w:rFonts w:eastAsiaTheme="minorEastAsia"/>
          <w:i/>
          <w:szCs w:val="24"/>
        </w:rPr>
      </w:pPr>
      <w:r w:rsidRPr="00D225F4">
        <w:rPr>
          <w:rFonts w:eastAsiaTheme="minorEastAsia"/>
          <w:i/>
          <w:szCs w:val="24"/>
        </w:rPr>
        <w:t>Maintenance Treatment (NHL) up to 2 years</w:t>
      </w:r>
    </w:p>
    <w:p w14:paraId="6D9C2098" w14:textId="38CC4A9E" w:rsidR="00EE01A0" w:rsidRPr="00EE01A0" w:rsidRDefault="00EE01A0" w:rsidP="00443352">
      <w:pPr>
        <w:pStyle w:val="CLDNormal"/>
        <w:jc w:val="left"/>
        <w:rPr>
          <w:rFonts w:eastAsiaTheme="minorEastAsia"/>
          <w:szCs w:val="24"/>
        </w:rPr>
      </w:pPr>
      <w:r w:rsidRPr="00EE01A0">
        <w:rPr>
          <w:rFonts w:eastAsiaTheme="minorEastAsia"/>
          <w:szCs w:val="24"/>
        </w:rPr>
        <w:t xml:space="preserve">Higher frequencies of infections overall, including Grade 3 or 4 infections, were observed during </w:t>
      </w:r>
      <w:r w:rsidR="00A77A9C">
        <w:rPr>
          <w:rFonts w:eastAsiaTheme="minorEastAsia"/>
          <w:szCs w:val="24"/>
        </w:rPr>
        <w:t>rituximab</w:t>
      </w:r>
      <w:r w:rsidRPr="00EE01A0">
        <w:rPr>
          <w:rFonts w:eastAsiaTheme="minorEastAsia"/>
          <w:szCs w:val="24"/>
        </w:rPr>
        <w:t xml:space="preserve"> treatment. The incidence of Grade 3 to 4 infections was 3% of patients on observation and 11% with </w:t>
      </w:r>
      <w:r w:rsidR="00A77A9C">
        <w:rPr>
          <w:rFonts w:eastAsiaTheme="minorEastAsia"/>
          <w:szCs w:val="24"/>
        </w:rPr>
        <w:t>rituximab</w:t>
      </w:r>
      <w:r w:rsidRPr="00EE01A0">
        <w:rPr>
          <w:rFonts w:eastAsiaTheme="minorEastAsia"/>
          <w:szCs w:val="24"/>
        </w:rPr>
        <w:t xml:space="preserve"> maintenance. There was no cumulative toxicity in terms of infections reported over the 2-year maintenance period.</w:t>
      </w:r>
    </w:p>
    <w:p w14:paraId="199B4807" w14:textId="77777777" w:rsidR="00EE01A0" w:rsidRDefault="00EE01A0" w:rsidP="00443352">
      <w:pPr>
        <w:pStyle w:val="CLDNormal"/>
        <w:jc w:val="left"/>
        <w:rPr>
          <w:rFonts w:eastAsiaTheme="minorEastAsia"/>
          <w:szCs w:val="24"/>
        </w:rPr>
      </w:pPr>
      <w:r w:rsidRPr="00EE01A0">
        <w:rPr>
          <w:rFonts w:eastAsiaTheme="minorEastAsia"/>
          <w:szCs w:val="24"/>
        </w:rPr>
        <w:t>Data from clinical trials included cases of fatal PML in NHL patients that occurred after disease progression and retreatment (see Boxed warning and section 4.4 Special warnings and precautions for use).</w:t>
      </w:r>
    </w:p>
    <w:p w14:paraId="75270217" w14:textId="782FEA9B" w:rsidR="00D225F4" w:rsidRPr="00D225F4" w:rsidRDefault="00D225F4" w:rsidP="00443352">
      <w:pPr>
        <w:pStyle w:val="CLDNormal"/>
        <w:jc w:val="left"/>
        <w:rPr>
          <w:rFonts w:eastAsiaTheme="minorEastAsia"/>
          <w:i/>
          <w:szCs w:val="24"/>
        </w:rPr>
      </w:pPr>
      <w:r w:rsidRPr="00D225F4">
        <w:rPr>
          <w:rFonts w:eastAsiaTheme="minorEastAsia"/>
          <w:i/>
          <w:szCs w:val="24"/>
        </w:rPr>
        <w:t>Combination Therapy (R-CVP in NHL; R-CHOP in DLBCL; R-FC in CLL)</w:t>
      </w:r>
    </w:p>
    <w:p w14:paraId="74882C7B" w14:textId="10576C76" w:rsidR="00D225F4" w:rsidRPr="00D225F4" w:rsidRDefault="00D225F4" w:rsidP="00443352">
      <w:pPr>
        <w:pStyle w:val="CLDNormal"/>
        <w:jc w:val="left"/>
        <w:rPr>
          <w:rFonts w:eastAsiaTheme="minorEastAsia"/>
          <w:szCs w:val="24"/>
        </w:rPr>
      </w:pPr>
      <w:r w:rsidRPr="00D225F4">
        <w:rPr>
          <w:rFonts w:eastAsiaTheme="minorEastAsia"/>
          <w:szCs w:val="24"/>
        </w:rPr>
        <w:t xml:space="preserve">No increase in the frequency of infections or infestations was observed in the </w:t>
      </w:r>
      <w:r w:rsidR="00A77A9C" w:rsidRPr="00A77A9C">
        <w:rPr>
          <w:rFonts w:eastAsiaTheme="minorEastAsia"/>
          <w:szCs w:val="24"/>
        </w:rPr>
        <w:t>rituximab</w:t>
      </w:r>
      <w:r w:rsidRPr="00D225F4">
        <w:rPr>
          <w:rFonts w:eastAsiaTheme="minorEastAsia"/>
          <w:szCs w:val="24"/>
        </w:rPr>
        <w:t xml:space="preserve"> arm of the R-CVP study. The most common infections were upper respiratory tract infections which were reported for 12.3% patients on R-CVP and 16.4% patients receiving CVP. Serious infections were reported in 4.3% of the patients receiving R-CVP and 4.4% of the patients receiving CVP. No life threatening infections were reported during this study.</w:t>
      </w:r>
    </w:p>
    <w:p w14:paraId="271F5BE7" w14:textId="77777777" w:rsidR="00D225F4" w:rsidRDefault="00D225F4" w:rsidP="00443352">
      <w:pPr>
        <w:pStyle w:val="CLDNormal"/>
        <w:jc w:val="left"/>
        <w:rPr>
          <w:rFonts w:eastAsiaTheme="minorEastAsia"/>
          <w:szCs w:val="24"/>
        </w:rPr>
      </w:pPr>
      <w:r w:rsidRPr="00D225F4">
        <w:rPr>
          <w:rFonts w:eastAsiaTheme="minorEastAsia"/>
          <w:szCs w:val="24"/>
        </w:rPr>
        <w:t>In the R-CHOP study the overall incidence of Grade 2 to 4 infections was 45.5% in the R-CHOP group and 42.3% in the CHOP group. Grade 2 to 4 fungal infections were more frequent in the R-CHOP group (4.5% vs. 2.6% in the CHOP group); this difference was due to a higher incidence of localised Candida infections during the treatment period. The incidence of Grade 2 to 4 herpes zoster was higher in the R-CHOP group (4.5%) than in the CHOP group (1.5%). The proportion of patients with Grade 2 to 4 infections and/or febrile neutropenia was 55.4% in the R-CHOP group and 51.5% in the CHOP group.</w:t>
      </w:r>
    </w:p>
    <w:p w14:paraId="79157213" w14:textId="77777777" w:rsidR="00D225F4" w:rsidRPr="00D225F4" w:rsidRDefault="00D225F4" w:rsidP="00443352">
      <w:pPr>
        <w:pStyle w:val="CLDNormal"/>
        <w:jc w:val="left"/>
        <w:rPr>
          <w:rFonts w:eastAsiaTheme="minorEastAsia"/>
          <w:szCs w:val="24"/>
        </w:rPr>
      </w:pPr>
      <w:r w:rsidRPr="00D225F4">
        <w:rPr>
          <w:rFonts w:eastAsiaTheme="minorEastAsia"/>
          <w:szCs w:val="24"/>
        </w:rPr>
        <w:t>In patients with CLL, the incidence of Grade 3 or 4 during treatment or within 28 days of the end of treatment was 18% with R-FC in the first-line setting and 19% in the relapsed/refractory setting and comparable with the FC group. The incidence of Grade 3 or 4 hepatitis B infection (reactivation and primary infection) was 2% with R-FC vs. 0% with FC.</w:t>
      </w:r>
    </w:p>
    <w:p w14:paraId="46C635D8" w14:textId="77777777" w:rsidR="00D225F4" w:rsidRPr="00D225F4" w:rsidRDefault="00D225F4" w:rsidP="00443352">
      <w:pPr>
        <w:pStyle w:val="CLDNormal"/>
        <w:jc w:val="left"/>
        <w:rPr>
          <w:rFonts w:eastAsiaTheme="minorEastAsia"/>
          <w:szCs w:val="24"/>
          <w:u w:val="single"/>
        </w:rPr>
      </w:pPr>
      <w:proofErr w:type="spellStart"/>
      <w:r w:rsidRPr="00D225F4">
        <w:rPr>
          <w:rFonts w:eastAsiaTheme="minorEastAsia"/>
          <w:szCs w:val="24"/>
          <w:u w:val="single"/>
        </w:rPr>
        <w:t>Haematologic</w:t>
      </w:r>
      <w:proofErr w:type="spellEnd"/>
      <w:r w:rsidRPr="00D225F4">
        <w:rPr>
          <w:rFonts w:eastAsiaTheme="minorEastAsia"/>
          <w:szCs w:val="24"/>
          <w:u w:val="single"/>
        </w:rPr>
        <w:t xml:space="preserve"> Events</w:t>
      </w:r>
    </w:p>
    <w:p w14:paraId="3D0C6B85" w14:textId="77777777" w:rsidR="00D225F4" w:rsidRPr="00D225F4" w:rsidRDefault="00D225F4" w:rsidP="00443352">
      <w:pPr>
        <w:pStyle w:val="CLDNormal"/>
        <w:jc w:val="left"/>
        <w:rPr>
          <w:rFonts w:eastAsiaTheme="minorEastAsia"/>
          <w:i/>
          <w:szCs w:val="24"/>
        </w:rPr>
      </w:pPr>
      <w:r w:rsidRPr="00D225F4">
        <w:rPr>
          <w:rFonts w:eastAsiaTheme="minorEastAsia"/>
          <w:i/>
          <w:szCs w:val="24"/>
        </w:rPr>
        <w:t>Monotherapy – 4 weeks treatment</w:t>
      </w:r>
    </w:p>
    <w:p w14:paraId="2085B52B" w14:textId="04E8B546" w:rsidR="00D225F4" w:rsidRPr="00D225F4" w:rsidRDefault="00D225F4" w:rsidP="00443352">
      <w:pPr>
        <w:pStyle w:val="CLDNormal"/>
        <w:jc w:val="left"/>
        <w:rPr>
          <w:rFonts w:eastAsiaTheme="minorEastAsia"/>
          <w:szCs w:val="24"/>
        </w:rPr>
      </w:pPr>
      <w:r w:rsidRPr="00D225F4">
        <w:rPr>
          <w:rFonts w:eastAsiaTheme="minorEastAsia"/>
          <w:szCs w:val="24"/>
        </w:rPr>
        <w:t xml:space="preserve">Severe (Grade 3 and 4) neutropenia was reported in 4.2% of patients, severe anaemia was reported in 1.1% of patients and severe thrombocytopenia was reported in 1.7% of patients. A single occurrence of transient aplastic anaemia (pure red cell aplasia) and two occurrences of haemolytic anaemia following </w:t>
      </w:r>
      <w:r w:rsidR="00A77A9C" w:rsidRPr="00A77A9C">
        <w:rPr>
          <w:rFonts w:eastAsiaTheme="minorEastAsia"/>
          <w:szCs w:val="24"/>
        </w:rPr>
        <w:t>rituximab</w:t>
      </w:r>
      <w:r w:rsidRPr="00D225F4">
        <w:rPr>
          <w:rFonts w:eastAsiaTheme="minorEastAsia"/>
          <w:szCs w:val="24"/>
        </w:rPr>
        <w:t xml:space="preserve"> therapy were reported.</w:t>
      </w:r>
    </w:p>
    <w:p w14:paraId="44840305" w14:textId="77777777" w:rsidR="00D225F4" w:rsidRPr="00D225F4" w:rsidRDefault="00D225F4" w:rsidP="00443352">
      <w:pPr>
        <w:pStyle w:val="CLDNormal"/>
        <w:jc w:val="left"/>
        <w:rPr>
          <w:rFonts w:eastAsiaTheme="minorEastAsia"/>
          <w:i/>
          <w:szCs w:val="24"/>
        </w:rPr>
      </w:pPr>
      <w:r w:rsidRPr="00D225F4">
        <w:rPr>
          <w:rFonts w:eastAsiaTheme="minorEastAsia"/>
          <w:i/>
          <w:szCs w:val="24"/>
        </w:rPr>
        <w:t>Maintenance Treatment (NHL) up to 2 years</w:t>
      </w:r>
    </w:p>
    <w:p w14:paraId="1774ACD6" w14:textId="2D518FBD" w:rsidR="00D225F4" w:rsidRDefault="00D225F4" w:rsidP="00443352">
      <w:pPr>
        <w:pStyle w:val="CLDNormal"/>
        <w:jc w:val="left"/>
        <w:rPr>
          <w:rFonts w:eastAsiaTheme="minorEastAsia"/>
          <w:szCs w:val="24"/>
        </w:rPr>
      </w:pPr>
      <w:r w:rsidRPr="00D225F4">
        <w:rPr>
          <w:rFonts w:eastAsiaTheme="minorEastAsia"/>
          <w:szCs w:val="24"/>
        </w:rPr>
        <w:t xml:space="preserve">There was a higher incidence of Grade 3-4 neutropenia (observation 5%, </w:t>
      </w:r>
      <w:r w:rsidR="00A77A9C" w:rsidRPr="00A77A9C">
        <w:rPr>
          <w:rFonts w:eastAsiaTheme="minorEastAsia"/>
          <w:szCs w:val="24"/>
        </w:rPr>
        <w:t>rituximab</w:t>
      </w:r>
      <w:r w:rsidRPr="00D225F4">
        <w:rPr>
          <w:rFonts w:eastAsiaTheme="minorEastAsia"/>
          <w:szCs w:val="24"/>
        </w:rPr>
        <w:t xml:space="preserve"> 11%) and </w:t>
      </w:r>
      <w:proofErr w:type="spellStart"/>
      <w:r w:rsidRPr="00D225F4">
        <w:rPr>
          <w:rFonts w:eastAsiaTheme="minorEastAsia"/>
          <w:szCs w:val="24"/>
        </w:rPr>
        <w:t>leucopenia</w:t>
      </w:r>
      <w:proofErr w:type="spellEnd"/>
      <w:r w:rsidRPr="00D225F4">
        <w:rPr>
          <w:rFonts w:eastAsiaTheme="minorEastAsia"/>
          <w:szCs w:val="24"/>
        </w:rPr>
        <w:t xml:space="preserve"> (observation 2%, </w:t>
      </w:r>
      <w:r w:rsidR="00A77A9C" w:rsidRPr="00A77A9C">
        <w:rPr>
          <w:rFonts w:eastAsiaTheme="minorEastAsia"/>
          <w:szCs w:val="24"/>
        </w:rPr>
        <w:t>rituximab</w:t>
      </w:r>
      <w:r w:rsidRPr="00D225F4">
        <w:rPr>
          <w:rFonts w:eastAsiaTheme="minorEastAsia"/>
          <w:szCs w:val="24"/>
        </w:rPr>
        <w:t xml:space="preserve"> 5%) in the </w:t>
      </w:r>
      <w:r w:rsidR="00A77A9C" w:rsidRPr="00A77A9C">
        <w:rPr>
          <w:rFonts w:eastAsiaTheme="minorEastAsia"/>
          <w:szCs w:val="24"/>
        </w:rPr>
        <w:t>rituximab</w:t>
      </w:r>
      <w:r w:rsidRPr="00D225F4">
        <w:rPr>
          <w:rFonts w:eastAsiaTheme="minorEastAsia"/>
          <w:szCs w:val="24"/>
        </w:rPr>
        <w:t xml:space="preserve"> arm compared to the observation arm. The incidence of Grade 3 to 4 thrombocytopenia (observation 1%, </w:t>
      </w:r>
      <w:r w:rsidR="00A77A9C" w:rsidRPr="00A77A9C">
        <w:rPr>
          <w:rFonts w:eastAsiaTheme="minorEastAsia"/>
          <w:szCs w:val="24"/>
        </w:rPr>
        <w:t>rituximab</w:t>
      </w:r>
      <w:r w:rsidRPr="00D225F4">
        <w:rPr>
          <w:rFonts w:eastAsiaTheme="minorEastAsia"/>
          <w:szCs w:val="24"/>
        </w:rPr>
        <w:t xml:space="preserve"> &lt; 1%) was low. In approximately half of the patients with available data on B-cell recovery after end of </w:t>
      </w:r>
      <w:r w:rsidR="00A77A9C" w:rsidRPr="00A77A9C">
        <w:rPr>
          <w:rFonts w:eastAsiaTheme="minorEastAsia"/>
          <w:szCs w:val="24"/>
        </w:rPr>
        <w:t>rituximab</w:t>
      </w:r>
      <w:r w:rsidRPr="00D225F4">
        <w:rPr>
          <w:rFonts w:eastAsiaTheme="minorEastAsia"/>
          <w:szCs w:val="24"/>
        </w:rPr>
        <w:t xml:space="preserve"> induction treatment, it took 12 months or more for their B-cell levels to return to normal values.</w:t>
      </w:r>
    </w:p>
    <w:p w14:paraId="7217554C" w14:textId="77777777" w:rsidR="00AE247B" w:rsidRPr="00AE247B" w:rsidRDefault="00AE247B" w:rsidP="00443352">
      <w:pPr>
        <w:pStyle w:val="CLDNormal"/>
        <w:jc w:val="left"/>
        <w:rPr>
          <w:rFonts w:eastAsiaTheme="minorEastAsia"/>
          <w:szCs w:val="24"/>
          <w:lang w:val="en-AU"/>
        </w:rPr>
      </w:pPr>
      <w:r w:rsidRPr="00AE247B">
        <w:rPr>
          <w:rFonts w:eastAsiaTheme="minorEastAsia"/>
          <w:i/>
          <w:iCs/>
          <w:szCs w:val="24"/>
          <w:lang w:val="en-AU"/>
        </w:rPr>
        <w:t xml:space="preserve">Combination Therapy (R-CVP in NHL; R-CHOP in DLBCL; R-FC in CLL) </w:t>
      </w:r>
    </w:p>
    <w:p w14:paraId="0430305C" w14:textId="65F98ACF" w:rsidR="00AE247B" w:rsidRPr="00AE247B" w:rsidRDefault="00AE247B" w:rsidP="00443352">
      <w:pPr>
        <w:pStyle w:val="CLDNormal"/>
        <w:jc w:val="left"/>
        <w:rPr>
          <w:rFonts w:eastAsiaTheme="minorEastAsia"/>
          <w:szCs w:val="24"/>
          <w:lang w:val="en-AU"/>
        </w:rPr>
      </w:pPr>
      <w:r w:rsidRPr="00AE247B">
        <w:rPr>
          <w:rFonts w:eastAsiaTheme="minorEastAsia"/>
          <w:szCs w:val="24"/>
          <w:lang w:val="en-AU"/>
        </w:rPr>
        <w:t xml:space="preserve">During treatment in studies of </w:t>
      </w:r>
      <w:r w:rsidR="00A77A9C" w:rsidRPr="00A77A9C">
        <w:rPr>
          <w:rFonts w:eastAsiaTheme="minorEastAsia"/>
          <w:szCs w:val="24"/>
        </w:rPr>
        <w:t>rituximab</w:t>
      </w:r>
      <w:r w:rsidRPr="00AE247B">
        <w:rPr>
          <w:rFonts w:eastAsiaTheme="minorEastAsia"/>
          <w:szCs w:val="24"/>
          <w:lang w:val="en-AU"/>
        </w:rPr>
        <w:t xml:space="preserve"> in combination with chemotherapy, Grade 3 and 4 </w:t>
      </w:r>
      <w:proofErr w:type="spellStart"/>
      <w:r w:rsidRPr="00AE247B">
        <w:rPr>
          <w:rFonts w:eastAsiaTheme="minorEastAsia"/>
          <w:szCs w:val="24"/>
          <w:lang w:val="en-AU"/>
        </w:rPr>
        <w:t>leucopenia</w:t>
      </w:r>
      <w:proofErr w:type="spellEnd"/>
      <w:r w:rsidRPr="00AE247B">
        <w:rPr>
          <w:rFonts w:eastAsiaTheme="minorEastAsia"/>
          <w:szCs w:val="24"/>
          <w:lang w:val="en-AU"/>
        </w:rPr>
        <w:t xml:space="preserve"> (R-CHOP 88% vs. CHOP 79%; R-FC 23% vs. FC 12%), neutropenia (R-CVP 24% vs. CVP 14%; R-CHOP 97% vs. CHOP 88%; R-FC 30% vs. FC 19% in previously untreated CLL), were usually reported with higher frequencies when compared to chemotherapy alone. However, the higher incidence of neutropenia in patients treated with </w:t>
      </w:r>
      <w:r w:rsidR="00A77A9C" w:rsidRPr="00A77A9C">
        <w:rPr>
          <w:rFonts w:eastAsiaTheme="minorEastAsia"/>
          <w:szCs w:val="24"/>
        </w:rPr>
        <w:t>rituximab</w:t>
      </w:r>
      <w:r w:rsidRPr="00AE247B">
        <w:rPr>
          <w:rFonts w:eastAsiaTheme="minorEastAsia"/>
          <w:szCs w:val="24"/>
          <w:lang w:val="en-AU"/>
        </w:rPr>
        <w:t xml:space="preserve"> and chemotherapy was not associated with a higher incidence of infections and infestations compared to patients treated with chemotherapy alone. Studies in previously untreated and relapsed/refractory CLL have established that in some cases neutropenia was prolonged or with a late onset following treatment in the </w:t>
      </w:r>
      <w:r w:rsidR="00A77A9C" w:rsidRPr="00A77A9C">
        <w:rPr>
          <w:rFonts w:eastAsiaTheme="minorEastAsia"/>
          <w:szCs w:val="24"/>
        </w:rPr>
        <w:t>rituximab</w:t>
      </w:r>
      <w:r w:rsidRPr="00AE247B">
        <w:rPr>
          <w:rFonts w:eastAsiaTheme="minorEastAsia"/>
          <w:szCs w:val="24"/>
          <w:lang w:val="en-AU"/>
        </w:rPr>
        <w:t xml:space="preserve"> plus FC group. </w:t>
      </w:r>
    </w:p>
    <w:p w14:paraId="47BBF4B1" w14:textId="77777777" w:rsidR="00AE247B" w:rsidRDefault="00AE247B" w:rsidP="00443352">
      <w:pPr>
        <w:pStyle w:val="CLDNormal"/>
        <w:jc w:val="left"/>
        <w:rPr>
          <w:rFonts w:eastAsiaTheme="minorEastAsia"/>
          <w:szCs w:val="24"/>
          <w:lang w:val="en-AU"/>
        </w:rPr>
      </w:pPr>
      <w:r w:rsidRPr="00AE247B">
        <w:rPr>
          <w:rFonts w:eastAsiaTheme="minorEastAsia"/>
          <w:szCs w:val="24"/>
          <w:lang w:val="en-AU"/>
        </w:rPr>
        <w:t>No relevant difference between the treatment arms was observed with respect to Grade 3 and 4 anaemia or thrombocytopenia. In the CLL first-line study, Grade 3 or 4 anaemia was reported by 4% of patients treated with R-FC compared to 7% of patients receiving FC, and Grade 3 or 4 thrombocytopenia was reported by 7% of patients in the R-FC group compared to 10% of patients in the FC group. In the relapsed/refractory CLL study, adverse events of Grade 3 or 4 anaemia were reported in 12% of patients treated with R-FC compared to 13% of patients receiving FC and Grade 3 or 4 thrombocytopenia was reported by 11% of patients in the R-FC group compared to 9% of patients in the FC group.</w:t>
      </w:r>
    </w:p>
    <w:p w14:paraId="10A6F7C8" w14:textId="77777777" w:rsidR="00AE247B" w:rsidRPr="00AE247B" w:rsidRDefault="00AE247B" w:rsidP="00443352">
      <w:pPr>
        <w:pStyle w:val="CLDNormal"/>
        <w:jc w:val="left"/>
        <w:rPr>
          <w:rFonts w:eastAsiaTheme="minorEastAsia"/>
          <w:szCs w:val="24"/>
          <w:u w:val="single"/>
        </w:rPr>
      </w:pPr>
      <w:r w:rsidRPr="00AE247B">
        <w:rPr>
          <w:rFonts w:eastAsiaTheme="minorEastAsia"/>
          <w:szCs w:val="24"/>
          <w:u w:val="single"/>
        </w:rPr>
        <w:t>Cardiovascular Events</w:t>
      </w:r>
    </w:p>
    <w:p w14:paraId="707C6016" w14:textId="77777777" w:rsidR="00AE247B" w:rsidRPr="00AE247B" w:rsidRDefault="00AE247B" w:rsidP="00443352">
      <w:pPr>
        <w:pStyle w:val="CLDNormal"/>
        <w:jc w:val="left"/>
        <w:rPr>
          <w:rFonts w:eastAsiaTheme="minorEastAsia"/>
          <w:i/>
          <w:szCs w:val="24"/>
        </w:rPr>
      </w:pPr>
      <w:r w:rsidRPr="00AE247B">
        <w:rPr>
          <w:rFonts w:eastAsiaTheme="minorEastAsia"/>
          <w:i/>
          <w:szCs w:val="24"/>
        </w:rPr>
        <w:t>Monotherapy – 4 weeks treatment</w:t>
      </w:r>
    </w:p>
    <w:p w14:paraId="6E7F212D" w14:textId="314F0F47" w:rsidR="00AE247B" w:rsidRPr="00AE247B" w:rsidRDefault="00AE247B" w:rsidP="00443352">
      <w:pPr>
        <w:pStyle w:val="CLDNormal"/>
        <w:jc w:val="left"/>
        <w:rPr>
          <w:rFonts w:eastAsiaTheme="minorEastAsia"/>
          <w:szCs w:val="24"/>
        </w:rPr>
      </w:pPr>
      <w:r w:rsidRPr="00AE247B">
        <w:rPr>
          <w:rFonts w:eastAsiaTheme="minorEastAsia"/>
          <w:szCs w:val="24"/>
        </w:rPr>
        <w:t xml:space="preserve">Cardiovascular events were reported in 18.8% of patients during the treatment period. The most frequently reported events were hypotension and hypertension. Cases of Grade 3 or 4 arrhythmia (including ventricular and supraventricular tachycardia) and angina pectoris during a </w:t>
      </w:r>
      <w:r w:rsidR="00DD1AB6" w:rsidRPr="00DD1AB6">
        <w:rPr>
          <w:rFonts w:eastAsiaTheme="minorEastAsia"/>
          <w:szCs w:val="24"/>
        </w:rPr>
        <w:t>rituximab</w:t>
      </w:r>
      <w:r w:rsidRPr="00AE247B">
        <w:rPr>
          <w:rFonts w:eastAsiaTheme="minorEastAsia"/>
          <w:szCs w:val="24"/>
        </w:rPr>
        <w:t xml:space="preserve"> infusion were reported.</w:t>
      </w:r>
    </w:p>
    <w:p w14:paraId="1E28BED9" w14:textId="77777777" w:rsidR="00AE247B" w:rsidRPr="00AE247B" w:rsidRDefault="00AE247B" w:rsidP="00443352">
      <w:pPr>
        <w:pStyle w:val="CLDNormal"/>
        <w:jc w:val="left"/>
        <w:rPr>
          <w:rFonts w:eastAsiaTheme="minorEastAsia"/>
          <w:i/>
          <w:szCs w:val="24"/>
        </w:rPr>
      </w:pPr>
      <w:r w:rsidRPr="00AE247B">
        <w:rPr>
          <w:rFonts w:eastAsiaTheme="minorEastAsia"/>
          <w:i/>
          <w:szCs w:val="24"/>
        </w:rPr>
        <w:t>Maintenance Treatment (NHL) up to 2 years</w:t>
      </w:r>
    </w:p>
    <w:p w14:paraId="1C2E5C48" w14:textId="315956F4" w:rsidR="00AE247B" w:rsidRPr="00AE247B" w:rsidRDefault="00AE247B" w:rsidP="00443352">
      <w:pPr>
        <w:pStyle w:val="CLDNormal"/>
        <w:jc w:val="left"/>
        <w:rPr>
          <w:rFonts w:eastAsiaTheme="minorEastAsia"/>
          <w:szCs w:val="24"/>
        </w:rPr>
      </w:pPr>
      <w:r w:rsidRPr="00AE247B">
        <w:rPr>
          <w:rFonts w:eastAsiaTheme="minorEastAsia"/>
          <w:szCs w:val="24"/>
        </w:rPr>
        <w:t xml:space="preserve">The incidence of Grade 3 to 4 cardiac disorders was comparable between the two treatment groups (4% in observation, 5% in </w:t>
      </w:r>
      <w:r w:rsidR="00F518BD">
        <w:rPr>
          <w:rFonts w:eastAsiaTheme="minorEastAsia"/>
          <w:szCs w:val="24"/>
        </w:rPr>
        <w:t>rituximab</w:t>
      </w:r>
      <w:r w:rsidRPr="00AE247B">
        <w:rPr>
          <w:rFonts w:eastAsiaTheme="minorEastAsia"/>
          <w:szCs w:val="24"/>
        </w:rPr>
        <w:t xml:space="preserve">). Cardiac events were reported as serious adverse event in &lt; 1 % of patients on observation and in 3% of patients on </w:t>
      </w:r>
      <w:r w:rsidR="00F518BD" w:rsidRPr="00F518BD">
        <w:rPr>
          <w:rFonts w:eastAsiaTheme="minorEastAsia"/>
          <w:szCs w:val="24"/>
        </w:rPr>
        <w:t>rituximab</w:t>
      </w:r>
      <w:r w:rsidRPr="00AE247B">
        <w:rPr>
          <w:rFonts w:eastAsiaTheme="minorEastAsia"/>
          <w:szCs w:val="24"/>
        </w:rPr>
        <w:t>: atrial fibrillation (1%), myocardial infarction (1%), left ventricular failure (&lt; 1%), myocardial ischaemia (&lt; 1%), cardiomyopathy (&lt;1%).</w:t>
      </w:r>
    </w:p>
    <w:p w14:paraId="3996FAA4" w14:textId="77777777" w:rsidR="00AE247B" w:rsidRPr="00AE247B" w:rsidRDefault="00AE247B" w:rsidP="00443352">
      <w:pPr>
        <w:pStyle w:val="CLDNormal"/>
        <w:jc w:val="left"/>
        <w:rPr>
          <w:rFonts w:eastAsiaTheme="minorEastAsia"/>
          <w:i/>
          <w:szCs w:val="24"/>
        </w:rPr>
      </w:pPr>
      <w:r w:rsidRPr="00AE247B">
        <w:rPr>
          <w:rFonts w:eastAsiaTheme="minorEastAsia"/>
          <w:i/>
          <w:szCs w:val="24"/>
        </w:rPr>
        <w:t>Combination Therapy (R-CVP in NHL; R-CHOP in DLBCL; R-FC in CLL)</w:t>
      </w:r>
    </w:p>
    <w:p w14:paraId="701A402A" w14:textId="77777777" w:rsidR="00AE247B" w:rsidRPr="00AE247B" w:rsidRDefault="00AE247B" w:rsidP="00443352">
      <w:pPr>
        <w:pStyle w:val="CLDNormal"/>
        <w:jc w:val="left"/>
        <w:rPr>
          <w:rFonts w:eastAsiaTheme="minorEastAsia"/>
          <w:szCs w:val="24"/>
        </w:rPr>
      </w:pPr>
      <w:r w:rsidRPr="00AE247B">
        <w:rPr>
          <w:rFonts w:eastAsiaTheme="minorEastAsia"/>
          <w:szCs w:val="24"/>
        </w:rPr>
        <w:t>In the R-CVP study the incidence of serious adverse events cardiac disorders was low (1% R-CVP, 2% CVP).</w:t>
      </w:r>
    </w:p>
    <w:p w14:paraId="3A1C7C40" w14:textId="4B699752" w:rsidR="00AE247B" w:rsidRPr="00AE247B" w:rsidRDefault="00AE247B" w:rsidP="00443352">
      <w:pPr>
        <w:pStyle w:val="CLDNormal"/>
        <w:jc w:val="left"/>
        <w:rPr>
          <w:rFonts w:eastAsiaTheme="minorEastAsia"/>
          <w:szCs w:val="24"/>
        </w:rPr>
      </w:pPr>
      <w:r w:rsidRPr="00AE247B">
        <w:rPr>
          <w:rFonts w:eastAsiaTheme="minorEastAsia"/>
          <w:szCs w:val="24"/>
        </w:rPr>
        <w:t xml:space="preserve">In the R-CHOP study the incidence of Grade 3 and 4 cardiac arrhythmias, predominantly supraventricular arrhythmias such as tachycardia and atrial flutter/fibrillation, was higher in the R-CHOP group (6.9% of patients) as compared to the CHOP group (1.5% of patients). All of these arrhythmias either occurred in the context of a </w:t>
      </w:r>
      <w:r w:rsidR="00F518BD" w:rsidRPr="00F518BD">
        <w:rPr>
          <w:rFonts w:eastAsiaTheme="minorEastAsia"/>
          <w:szCs w:val="24"/>
        </w:rPr>
        <w:t>rituximab</w:t>
      </w:r>
      <w:r w:rsidRPr="00AE247B">
        <w:rPr>
          <w:rFonts w:eastAsiaTheme="minorEastAsia"/>
          <w:szCs w:val="24"/>
        </w:rPr>
        <w:t xml:space="preserve"> infusion or were associated with predisposing conditions such as fever, infection, acute myocardial infarction or pre-existing respiratory and cardiovascular disease. No difference between the R-CHOP and CHOP group was observed in the incidence of other Grade 3 and 4 cardiac events including heart failure, myocardial disease and manifestations of coronary artery disease.</w:t>
      </w:r>
    </w:p>
    <w:p w14:paraId="71D779CA" w14:textId="77777777" w:rsidR="00AE247B" w:rsidRDefault="00AE247B" w:rsidP="00443352">
      <w:pPr>
        <w:pStyle w:val="CLDNormal"/>
        <w:jc w:val="left"/>
        <w:rPr>
          <w:rFonts w:eastAsiaTheme="minorEastAsia"/>
          <w:szCs w:val="24"/>
        </w:rPr>
      </w:pPr>
      <w:r w:rsidRPr="00AE247B">
        <w:rPr>
          <w:rFonts w:eastAsiaTheme="minorEastAsia"/>
          <w:szCs w:val="24"/>
        </w:rPr>
        <w:t>In CLL, the overall incidence of Grade 3 or 4 cardiac disorders was low both in the first-line study (4% R-FC vs. 3% FC) and in the relapsed/refractory study (4% R-FC vs. 4% FC).</w:t>
      </w:r>
      <w:r>
        <w:rPr>
          <w:rFonts w:eastAsiaTheme="minorEastAsia"/>
          <w:szCs w:val="24"/>
        </w:rPr>
        <w:t xml:space="preserve"> </w:t>
      </w:r>
    </w:p>
    <w:p w14:paraId="726832B7" w14:textId="741327F5" w:rsidR="00AE247B" w:rsidRPr="00AE247B" w:rsidRDefault="00AE247B" w:rsidP="00443352">
      <w:pPr>
        <w:pStyle w:val="CLDNormal"/>
        <w:jc w:val="left"/>
        <w:rPr>
          <w:rFonts w:eastAsiaTheme="minorEastAsia"/>
          <w:szCs w:val="24"/>
          <w:u w:val="single"/>
        </w:rPr>
      </w:pPr>
      <w:proofErr w:type="spellStart"/>
      <w:r w:rsidRPr="00AE247B">
        <w:rPr>
          <w:rFonts w:eastAsiaTheme="minorEastAsia"/>
          <w:szCs w:val="24"/>
          <w:u w:val="single"/>
        </w:rPr>
        <w:t>Hypogammaglobulinaemia</w:t>
      </w:r>
      <w:proofErr w:type="spellEnd"/>
    </w:p>
    <w:p w14:paraId="226E8BE5" w14:textId="77777777" w:rsidR="00AE247B" w:rsidRPr="00AE247B" w:rsidRDefault="00AE247B" w:rsidP="00443352">
      <w:pPr>
        <w:pStyle w:val="CLDNormal"/>
        <w:jc w:val="left"/>
        <w:rPr>
          <w:rFonts w:eastAsiaTheme="minorEastAsia"/>
          <w:i/>
          <w:szCs w:val="24"/>
        </w:rPr>
      </w:pPr>
      <w:r w:rsidRPr="00AE247B">
        <w:rPr>
          <w:rFonts w:eastAsiaTheme="minorEastAsia"/>
          <w:i/>
          <w:szCs w:val="24"/>
        </w:rPr>
        <w:t>Maintenance Treatment (NHL) up to 2 years</w:t>
      </w:r>
    </w:p>
    <w:p w14:paraId="05F99BF3" w14:textId="1B5FB09F" w:rsidR="00AE247B" w:rsidRDefault="00AE247B" w:rsidP="00443352">
      <w:pPr>
        <w:pStyle w:val="CLDNormal"/>
        <w:jc w:val="left"/>
        <w:rPr>
          <w:rFonts w:eastAsiaTheme="minorEastAsia"/>
          <w:szCs w:val="24"/>
        </w:rPr>
      </w:pPr>
      <w:r w:rsidRPr="00AE247B">
        <w:rPr>
          <w:rFonts w:eastAsiaTheme="minorEastAsia"/>
          <w:szCs w:val="24"/>
        </w:rPr>
        <w:t xml:space="preserve">After induction treatment, median IgG levels were below the lower limit of normal (LLN) (&lt; 7 g/L) in both the observation and the </w:t>
      </w:r>
      <w:r w:rsidR="00F518BD" w:rsidRPr="00F518BD">
        <w:rPr>
          <w:rFonts w:eastAsiaTheme="minorEastAsia"/>
          <w:szCs w:val="24"/>
        </w:rPr>
        <w:t>rituximab</w:t>
      </w:r>
      <w:r w:rsidRPr="00AE247B">
        <w:rPr>
          <w:rFonts w:eastAsiaTheme="minorEastAsia"/>
          <w:szCs w:val="24"/>
        </w:rPr>
        <w:t xml:space="preserve"> groups. In the observation group, the median IgG level subsequently increased to above the LLN, but remained constant during </w:t>
      </w:r>
      <w:r w:rsidR="00F518BD" w:rsidRPr="00F518BD">
        <w:rPr>
          <w:rFonts w:eastAsiaTheme="minorEastAsia"/>
          <w:szCs w:val="24"/>
        </w:rPr>
        <w:t>rituximab</w:t>
      </w:r>
      <w:r w:rsidRPr="00AE247B">
        <w:rPr>
          <w:rFonts w:eastAsiaTheme="minorEastAsia"/>
          <w:szCs w:val="24"/>
        </w:rPr>
        <w:t xml:space="preserve"> treatment. The proportion of patients with IgG levels below the LLN was about 60% in the </w:t>
      </w:r>
      <w:r w:rsidR="00F518BD" w:rsidRPr="00F518BD">
        <w:rPr>
          <w:rFonts w:eastAsiaTheme="minorEastAsia"/>
          <w:szCs w:val="24"/>
        </w:rPr>
        <w:t>rituximab</w:t>
      </w:r>
      <w:r w:rsidRPr="00AE247B">
        <w:rPr>
          <w:rFonts w:eastAsiaTheme="minorEastAsia"/>
          <w:szCs w:val="24"/>
        </w:rPr>
        <w:t xml:space="preserve"> group throughout the 2 year treatment period, while it decreased in the observation group (36% after 2 years). Monitoring of IgG levels should be considered for patients treated with </w:t>
      </w:r>
      <w:r w:rsidR="00F518BD" w:rsidRPr="00F518BD">
        <w:rPr>
          <w:rFonts w:eastAsiaTheme="minorEastAsia"/>
          <w:szCs w:val="24"/>
        </w:rPr>
        <w:t>rituximab</w:t>
      </w:r>
      <w:r w:rsidRPr="00AE247B">
        <w:rPr>
          <w:rFonts w:eastAsiaTheme="minorEastAsia"/>
          <w:szCs w:val="24"/>
        </w:rPr>
        <w:t>. IV Ig substitution may be indicated for patients with decreased IgG levels.</w:t>
      </w:r>
    </w:p>
    <w:p w14:paraId="53E05EE4" w14:textId="77777777" w:rsidR="00AE247B" w:rsidRPr="00AE247B" w:rsidRDefault="00AE247B" w:rsidP="00443352">
      <w:pPr>
        <w:pStyle w:val="CLDNormal"/>
        <w:jc w:val="left"/>
        <w:rPr>
          <w:rFonts w:eastAsiaTheme="minorEastAsia"/>
          <w:szCs w:val="24"/>
          <w:u w:val="single"/>
        </w:rPr>
      </w:pPr>
      <w:r w:rsidRPr="00AE247B">
        <w:rPr>
          <w:rFonts w:eastAsiaTheme="minorEastAsia"/>
          <w:szCs w:val="24"/>
          <w:u w:val="single"/>
        </w:rPr>
        <w:t>Neurologic Events</w:t>
      </w:r>
    </w:p>
    <w:p w14:paraId="61A531B5" w14:textId="77777777" w:rsidR="00AE247B" w:rsidRPr="00AE247B" w:rsidRDefault="00AE247B" w:rsidP="00443352">
      <w:pPr>
        <w:pStyle w:val="CLDNormal"/>
        <w:jc w:val="left"/>
        <w:rPr>
          <w:rFonts w:eastAsiaTheme="minorEastAsia"/>
          <w:i/>
          <w:szCs w:val="24"/>
        </w:rPr>
      </w:pPr>
      <w:r w:rsidRPr="00AE247B">
        <w:rPr>
          <w:rFonts w:eastAsiaTheme="minorEastAsia"/>
          <w:i/>
          <w:szCs w:val="24"/>
        </w:rPr>
        <w:t>Combination Therapy (R-CVP in NHL; R-CHOP in DLBCL; R-FC in CLL)</w:t>
      </w:r>
    </w:p>
    <w:p w14:paraId="1970E7A4" w14:textId="77777777" w:rsidR="00AE247B" w:rsidRPr="00AE247B" w:rsidRDefault="00AE247B" w:rsidP="00443352">
      <w:pPr>
        <w:pStyle w:val="CLDNormal"/>
        <w:jc w:val="left"/>
        <w:rPr>
          <w:rFonts w:eastAsiaTheme="minorEastAsia"/>
          <w:szCs w:val="24"/>
        </w:rPr>
      </w:pPr>
      <w:r w:rsidRPr="00AE247B">
        <w:rPr>
          <w:rFonts w:eastAsiaTheme="minorEastAsia"/>
          <w:szCs w:val="24"/>
        </w:rPr>
        <w:t>During the treatment period 2% of patients in the R-CHOP group, all with cardiovascular risk factors, experienced thromboembolic cerebrovascular accidents during the first treatment cycle. There was no difference between the treatment groups in the incidence of other thromboembolic events. In contrast, 1.5% of patients had cerebrovascular events in the CHOP group, all of which occurred during the follow-up period.</w:t>
      </w:r>
    </w:p>
    <w:p w14:paraId="1B732DDC" w14:textId="77777777" w:rsidR="00AE247B" w:rsidRPr="00AE247B" w:rsidRDefault="00AE247B" w:rsidP="00443352">
      <w:pPr>
        <w:pStyle w:val="CLDNormal"/>
        <w:jc w:val="left"/>
        <w:rPr>
          <w:rFonts w:eastAsiaTheme="minorEastAsia"/>
          <w:szCs w:val="24"/>
        </w:rPr>
      </w:pPr>
      <w:r w:rsidRPr="00AE247B">
        <w:rPr>
          <w:rFonts w:eastAsiaTheme="minorEastAsia"/>
          <w:szCs w:val="24"/>
        </w:rPr>
        <w:t>In CLL, the overall incidence of Grade 3 or 4 nervous system disorders was low both in the first-line study (4% R-FC vs. 4% FC) and in the relapsed/refractory study (3% R-FC vs. 3% FC).</w:t>
      </w:r>
    </w:p>
    <w:p w14:paraId="2CB31C00" w14:textId="77777777" w:rsidR="00AE247B" w:rsidRPr="00AE247B" w:rsidRDefault="00AE247B" w:rsidP="00443352">
      <w:pPr>
        <w:pStyle w:val="CLDNormal"/>
        <w:jc w:val="left"/>
        <w:rPr>
          <w:rFonts w:eastAsiaTheme="minorEastAsia"/>
          <w:szCs w:val="24"/>
          <w:u w:val="single"/>
        </w:rPr>
      </w:pPr>
      <w:r w:rsidRPr="00AE247B">
        <w:rPr>
          <w:rFonts w:eastAsiaTheme="minorEastAsia"/>
          <w:szCs w:val="24"/>
          <w:u w:val="single"/>
        </w:rPr>
        <w:t>Subpopulations</w:t>
      </w:r>
    </w:p>
    <w:p w14:paraId="6E4605FD" w14:textId="4107804B" w:rsidR="00AE247B" w:rsidRPr="00AE247B" w:rsidRDefault="00AE247B" w:rsidP="00443352">
      <w:pPr>
        <w:pStyle w:val="CLDNormal"/>
        <w:jc w:val="left"/>
        <w:rPr>
          <w:rFonts w:eastAsiaTheme="minorEastAsia"/>
          <w:szCs w:val="24"/>
        </w:rPr>
      </w:pPr>
      <w:r w:rsidRPr="00AE247B">
        <w:rPr>
          <w:rFonts w:eastAsiaTheme="minorEastAsia"/>
          <w:szCs w:val="24"/>
        </w:rPr>
        <w:t xml:space="preserve">The adverse events described below are only those considered by the investigator to be related to treatment with </w:t>
      </w:r>
      <w:r w:rsidR="00F518BD" w:rsidRPr="00F518BD">
        <w:rPr>
          <w:rFonts w:eastAsiaTheme="minorEastAsia"/>
          <w:szCs w:val="24"/>
        </w:rPr>
        <w:t>rituximab</w:t>
      </w:r>
      <w:r w:rsidRPr="00AE247B">
        <w:rPr>
          <w:rFonts w:eastAsiaTheme="minorEastAsia"/>
          <w:szCs w:val="24"/>
        </w:rPr>
        <w:t>.</w:t>
      </w:r>
    </w:p>
    <w:p w14:paraId="0F609A86" w14:textId="77777777" w:rsidR="00AE247B" w:rsidRPr="00AE247B" w:rsidRDefault="00AE247B" w:rsidP="00443352">
      <w:pPr>
        <w:pStyle w:val="CLDNormal"/>
        <w:jc w:val="left"/>
        <w:rPr>
          <w:rFonts w:eastAsiaTheme="minorEastAsia"/>
          <w:i/>
          <w:szCs w:val="24"/>
        </w:rPr>
      </w:pPr>
      <w:r w:rsidRPr="00AE247B">
        <w:rPr>
          <w:rFonts w:eastAsiaTheme="minorEastAsia"/>
          <w:i/>
          <w:szCs w:val="24"/>
        </w:rPr>
        <w:t>Elderly patients (</w:t>
      </w:r>
      <w:r>
        <w:rPr>
          <w:rFonts w:eastAsiaTheme="minorEastAsia"/>
          <w:i/>
          <w:szCs w:val="24"/>
        </w:rPr>
        <w:t>≥</w:t>
      </w:r>
      <w:r w:rsidRPr="00AE247B">
        <w:rPr>
          <w:rFonts w:eastAsiaTheme="minorEastAsia"/>
          <w:i/>
          <w:szCs w:val="24"/>
        </w:rPr>
        <w:t xml:space="preserve"> 65 years)</w:t>
      </w:r>
    </w:p>
    <w:p w14:paraId="0814B178" w14:textId="77777777" w:rsidR="00AE247B" w:rsidRPr="00AE247B" w:rsidRDefault="00AE247B" w:rsidP="00443352">
      <w:pPr>
        <w:pStyle w:val="CLDNormal"/>
        <w:jc w:val="left"/>
        <w:rPr>
          <w:rFonts w:eastAsiaTheme="minorEastAsia"/>
          <w:szCs w:val="24"/>
        </w:rPr>
      </w:pPr>
      <w:r w:rsidRPr="00AE247B">
        <w:rPr>
          <w:rFonts w:eastAsiaTheme="minorEastAsia"/>
          <w:i/>
          <w:szCs w:val="24"/>
        </w:rPr>
        <w:t>Monotherapy – 4 weeks treatment:</w:t>
      </w:r>
      <w:r w:rsidRPr="00AE247B">
        <w:rPr>
          <w:rFonts w:eastAsiaTheme="minorEastAsia"/>
          <w:szCs w:val="24"/>
        </w:rPr>
        <w:t xml:space="preserve"> The incidence of any ADR and of Grade 3 and 4 ADRs was similar in elderly and younger patients (88.3% versus 92.0% for any ADR and 16.0% versus 18.1% for Grade 3 and 4 ADR).</w:t>
      </w:r>
    </w:p>
    <w:p w14:paraId="1CE8F135" w14:textId="77777777" w:rsidR="00AE247B" w:rsidRPr="00AE247B" w:rsidRDefault="00AE247B" w:rsidP="00443352">
      <w:pPr>
        <w:pStyle w:val="CLDNormal"/>
        <w:jc w:val="left"/>
        <w:rPr>
          <w:rFonts w:eastAsiaTheme="minorEastAsia"/>
          <w:szCs w:val="24"/>
        </w:rPr>
      </w:pPr>
      <w:r w:rsidRPr="00AE247B">
        <w:rPr>
          <w:rFonts w:eastAsiaTheme="minorEastAsia"/>
          <w:i/>
          <w:szCs w:val="24"/>
        </w:rPr>
        <w:t>Combination Therapy:</w:t>
      </w:r>
      <w:r w:rsidRPr="00AE247B">
        <w:rPr>
          <w:rFonts w:eastAsiaTheme="minorEastAsia"/>
          <w:szCs w:val="24"/>
        </w:rPr>
        <w:t xml:space="preserve"> The incidence of Grade 3 or 4 blood and lymphatic adverse events was higher in elderly patients (≥ 65 years of age) compared to younger patients, with previously untreated or relapsed/refractory CLL.</w:t>
      </w:r>
    </w:p>
    <w:p w14:paraId="2F7A42F7" w14:textId="77777777" w:rsidR="00AE247B" w:rsidRPr="00AE247B" w:rsidRDefault="00AE247B" w:rsidP="00443352">
      <w:pPr>
        <w:pStyle w:val="CLDNormal"/>
        <w:jc w:val="left"/>
        <w:rPr>
          <w:rFonts w:eastAsiaTheme="minorEastAsia"/>
          <w:szCs w:val="24"/>
        </w:rPr>
      </w:pPr>
      <w:r w:rsidRPr="00AE247B">
        <w:rPr>
          <w:rFonts w:eastAsiaTheme="minorEastAsia"/>
          <w:i/>
          <w:szCs w:val="24"/>
        </w:rPr>
        <w:t>Bulky disease:</w:t>
      </w:r>
      <w:r w:rsidRPr="00AE247B">
        <w:rPr>
          <w:rFonts w:eastAsiaTheme="minorEastAsia"/>
          <w:szCs w:val="24"/>
        </w:rPr>
        <w:t xml:space="preserve"> Patients with bulky disease had a higher incidence of Grade 3 and 4 ADRs than patients without bulky disease (25.6% versus 15.4%). The incidence of any ADR was similar in these two groups (92.3% in bulky disease versus 89.2% in non-bulky disease).</w:t>
      </w:r>
    </w:p>
    <w:p w14:paraId="0067C6DD" w14:textId="57D1A535" w:rsidR="00AE247B" w:rsidRDefault="00AE247B" w:rsidP="00443352">
      <w:pPr>
        <w:pStyle w:val="CLDNormal"/>
        <w:jc w:val="left"/>
        <w:rPr>
          <w:rFonts w:eastAsiaTheme="minorEastAsia"/>
          <w:szCs w:val="24"/>
        </w:rPr>
      </w:pPr>
      <w:r w:rsidRPr="00AE247B">
        <w:rPr>
          <w:rFonts w:eastAsiaTheme="minorEastAsia"/>
          <w:i/>
          <w:szCs w:val="24"/>
        </w:rPr>
        <w:t>Re-treatment:</w:t>
      </w:r>
      <w:r w:rsidRPr="00AE247B">
        <w:rPr>
          <w:rFonts w:eastAsiaTheme="minorEastAsia"/>
          <w:szCs w:val="24"/>
        </w:rPr>
        <w:t xml:space="preserve"> The percentage of patients reporting any adverse event and Grade 3 and 4 ADRs upon re-treatment with further courses of </w:t>
      </w:r>
      <w:r w:rsidR="00F518BD" w:rsidRPr="00F518BD">
        <w:rPr>
          <w:rFonts w:eastAsiaTheme="minorEastAsia"/>
          <w:szCs w:val="24"/>
        </w:rPr>
        <w:t>rituximab</w:t>
      </w:r>
      <w:r w:rsidRPr="00AE247B">
        <w:rPr>
          <w:rFonts w:eastAsiaTheme="minorEastAsia"/>
          <w:szCs w:val="24"/>
        </w:rPr>
        <w:t xml:space="preserve"> was similar to the percentage of patients reporting any ADR and Grade 3 and 4 ADRs upon initial exposure (95.0% versus 89.7% for any ADR and 13.3% versus 14.8% for Grade 3 and 4 ADRs).</w:t>
      </w:r>
    </w:p>
    <w:p w14:paraId="2844CA8D" w14:textId="3584FD52" w:rsidR="00AE247B" w:rsidRPr="00F518BD" w:rsidRDefault="00AE247B" w:rsidP="00443352">
      <w:pPr>
        <w:pStyle w:val="CLDNormal"/>
        <w:jc w:val="left"/>
        <w:rPr>
          <w:rFonts w:eastAsiaTheme="minorEastAsia"/>
          <w:szCs w:val="24"/>
          <w:u w:val="single"/>
        </w:rPr>
      </w:pPr>
      <w:r w:rsidRPr="00F518BD">
        <w:rPr>
          <w:rFonts w:eastAsiaTheme="minorEastAsia"/>
          <w:szCs w:val="24"/>
          <w:u w:val="single"/>
        </w:rPr>
        <w:t>Experience from Clinical Trials in Rheumatoid Arthritis</w:t>
      </w:r>
    </w:p>
    <w:p w14:paraId="721B5AE3" w14:textId="6030F39A" w:rsidR="00AE247B" w:rsidRPr="00AE247B" w:rsidRDefault="00AE247B" w:rsidP="00443352">
      <w:pPr>
        <w:pStyle w:val="CLDNormal"/>
        <w:jc w:val="left"/>
        <w:rPr>
          <w:rFonts w:eastAsiaTheme="minorEastAsia"/>
          <w:szCs w:val="24"/>
        </w:rPr>
      </w:pPr>
      <w:r w:rsidRPr="00AE247B">
        <w:rPr>
          <w:rFonts w:eastAsiaTheme="minorEastAsia"/>
          <w:szCs w:val="24"/>
        </w:rPr>
        <w:t xml:space="preserve">The clinical efficacy of </w:t>
      </w:r>
      <w:r w:rsidR="00F518BD">
        <w:rPr>
          <w:rFonts w:eastAsiaTheme="minorEastAsia"/>
          <w:szCs w:val="24"/>
        </w:rPr>
        <w:t>rituximab</w:t>
      </w:r>
      <w:r w:rsidRPr="00AE247B">
        <w:rPr>
          <w:rFonts w:eastAsiaTheme="minorEastAsia"/>
          <w:szCs w:val="24"/>
        </w:rPr>
        <w:t>, given together with methotrexate, was studied in three double blind controlled clinical trials (one Phase III and two Phase II trials) in patients with rheumatoid arthritis. 1039 patients received at least one treatment course, 570 patients received two or more courses of treatment during the follow up period, 191 patients three or more courses, 40 patients four or more courses and 3 patients received 5 or more courses</w:t>
      </w:r>
      <w:r>
        <w:rPr>
          <w:rFonts w:eastAsiaTheme="minorEastAsia"/>
          <w:szCs w:val="24"/>
        </w:rPr>
        <w:t xml:space="preserve"> </w:t>
      </w:r>
      <w:r w:rsidRPr="00AE247B">
        <w:rPr>
          <w:rFonts w:eastAsiaTheme="minorEastAsia"/>
          <w:szCs w:val="24"/>
        </w:rPr>
        <w:t xml:space="preserve">during the follow up period. So far 839 patients have been followed for more than a year, 139 for more than 2 years and 89 for more than 3 years post </w:t>
      </w:r>
      <w:r w:rsidR="00F518BD" w:rsidRPr="00F518BD">
        <w:rPr>
          <w:rFonts w:eastAsiaTheme="minorEastAsia"/>
          <w:szCs w:val="24"/>
        </w:rPr>
        <w:t>rituximab</w:t>
      </w:r>
      <w:r w:rsidRPr="00AE247B">
        <w:rPr>
          <w:rFonts w:eastAsiaTheme="minorEastAsia"/>
          <w:szCs w:val="24"/>
        </w:rPr>
        <w:t xml:space="preserve"> treatment.</w:t>
      </w:r>
    </w:p>
    <w:p w14:paraId="1E7AB2A0" w14:textId="0D0F050F" w:rsidR="00AE247B" w:rsidRPr="00AE247B" w:rsidRDefault="00AE247B" w:rsidP="00443352">
      <w:pPr>
        <w:pStyle w:val="CLDNormal"/>
        <w:jc w:val="left"/>
        <w:rPr>
          <w:rFonts w:eastAsiaTheme="minorEastAsia"/>
          <w:szCs w:val="24"/>
        </w:rPr>
      </w:pPr>
      <w:r w:rsidRPr="003A539F">
        <w:rPr>
          <w:rFonts w:eastAsiaTheme="minorEastAsia"/>
          <w:szCs w:val="24"/>
        </w:rPr>
        <w:t xml:space="preserve">In clinical trials patients received 2 x 1000 mg of </w:t>
      </w:r>
      <w:r w:rsidR="00F518BD" w:rsidRPr="003A539F">
        <w:rPr>
          <w:rFonts w:eastAsiaTheme="minorEastAsia"/>
          <w:szCs w:val="24"/>
        </w:rPr>
        <w:t>rituximab</w:t>
      </w:r>
      <w:r w:rsidRPr="003A539F">
        <w:rPr>
          <w:rFonts w:eastAsiaTheme="minorEastAsia"/>
          <w:szCs w:val="24"/>
        </w:rPr>
        <w:t xml:space="preserve"> separated by an interval of two weeks; in addition to MTX (10-25 mg/week) (see se</w:t>
      </w:r>
      <w:r w:rsidRPr="0014734D">
        <w:rPr>
          <w:rFonts w:eastAsiaTheme="minorEastAsia"/>
          <w:szCs w:val="24"/>
        </w:rPr>
        <w:t xml:space="preserve">ction 4.2 Dose and method of administration). </w:t>
      </w:r>
      <w:r w:rsidR="00F518BD" w:rsidRPr="00CF2CC0">
        <w:rPr>
          <w:rFonts w:eastAsiaTheme="minorEastAsia"/>
          <w:szCs w:val="24"/>
        </w:rPr>
        <w:t>Rituximab</w:t>
      </w:r>
      <w:r w:rsidRPr="00CF2CC0">
        <w:rPr>
          <w:rFonts w:eastAsiaTheme="minorEastAsia"/>
          <w:szCs w:val="24"/>
        </w:rPr>
        <w:t xml:space="preserve"> infusions were administered after an IV infusion of 100 mg methylprednisolone; the majority</w:t>
      </w:r>
      <w:r w:rsidRPr="003A539F">
        <w:rPr>
          <w:rFonts w:eastAsiaTheme="minorEastAsia"/>
          <w:szCs w:val="24"/>
        </w:rPr>
        <w:t xml:space="preserve"> of patients also received treatment with oral prednisone for 15 days. ADRs, which occurred with at least a 2% difference compared to the control arm and more frequently by patients who had received at least one infusion of </w:t>
      </w:r>
      <w:r w:rsidR="003A539F" w:rsidRPr="003A539F">
        <w:rPr>
          <w:rFonts w:eastAsiaTheme="minorEastAsia"/>
          <w:szCs w:val="24"/>
          <w:lang w:val="en-US"/>
        </w:rPr>
        <w:t>rituximab</w:t>
      </w:r>
      <w:r w:rsidRPr="0014734D">
        <w:rPr>
          <w:rFonts w:eastAsiaTheme="minorEastAsia"/>
          <w:szCs w:val="24"/>
        </w:rPr>
        <w:t>than among patients that had received placebo in the Phase III trial and the combined population included in Phase I</w:t>
      </w:r>
      <w:r w:rsidRPr="003A539F">
        <w:rPr>
          <w:rFonts w:eastAsiaTheme="minorEastAsia"/>
          <w:szCs w:val="24"/>
        </w:rPr>
        <w:t>I studies, are listed in the table below. Frequencies are defined as very common (≥ 10%) and common (≥ 1% to &lt; 10%).</w:t>
      </w:r>
    </w:p>
    <w:p w14:paraId="642356D9" w14:textId="50C5C722" w:rsidR="00AE247B" w:rsidRDefault="00AE247B" w:rsidP="00443352">
      <w:pPr>
        <w:pStyle w:val="CLDNormal"/>
        <w:jc w:val="left"/>
        <w:rPr>
          <w:rFonts w:eastAsiaTheme="minorEastAsia"/>
          <w:szCs w:val="24"/>
        </w:rPr>
      </w:pPr>
      <w:r w:rsidRPr="00AE247B">
        <w:rPr>
          <w:rFonts w:eastAsiaTheme="minorEastAsia"/>
          <w:szCs w:val="24"/>
        </w:rPr>
        <w:t xml:space="preserve">The most frequent ADRs considered due to receipt of 2 x 1000 mg </w:t>
      </w:r>
      <w:r w:rsidR="003A539F" w:rsidRPr="003A539F">
        <w:rPr>
          <w:rFonts w:eastAsiaTheme="minorEastAsia"/>
          <w:szCs w:val="24"/>
          <w:lang w:val="en-US"/>
        </w:rPr>
        <w:t>rituximab</w:t>
      </w:r>
      <w:r w:rsidRPr="00AE247B">
        <w:rPr>
          <w:rFonts w:eastAsiaTheme="minorEastAsia"/>
          <w:szCs w:val="24"/>
        </w:rPr>
        <w:t xml:space="preserve"> in Phase II and III studies were acute infusion reactions. Infusion reactions occurred in 15% patients following the first infusion of </w:t>
      </w:r>
      <w:r w:rsidR="003A539F" w:rsidRPr="003A539F">
        <w:rPr>
          <w:rFonts w:eastAsiaTheme="minorEastAsia"/>
          <w:szCs w:val="24"/>
          <w:lang w:val="en-US"/>
        </w:rPr>
        <w:t>rituximab</w:t>
      </w:r>
      <w:r w:rsidRPr="00AE247B">
        <w:rPr>
          <w:rFonts w:eastAsiaTheme="minorEastAsia"/>
          <w:szCs w:val="24"/>
        </w:rPr>
        <w:t xml:space="preserve"> and 5% in placebo patients. Infusion reactions decreased to 2% following the second infusion in both </w:t>
      </w:r>
      <w:r w:rsidR="003A539F" w:rsidRPr="003A539F">
        <w:rPr>
          <w:rFonts w:eastAsiaTheme="minorEastAsia"/>
          <w:szCs w:val="24"/>
          <w:lang w:val="en-US"/>
        </w:rPr>
        <w:t>rituximab</w:t>
      </w:r>
      <w:r w:rsidRPr="00AE247B">
        <w:rPr>
          <w:rFonts w:eastAsiaTheme="minorEastAsia"/>
          <w:szCs w:val="24"/>
        </w:rPr>
        <w:t xml:space="preserve"> and placebo groups.</w:t>
      </w:r>
    </w:p>
    <w:p w14:paraId="32411F95" w14:textId="0462BF56" w:rsidR="002E209D" w:rsidRPr="00190E85" w:rsidRDefault="00AE247B" w:rsidP="00443352">
      <w:pPr>
        <w:pStyle w:val="CLDNormal"/>
        <w:jc w:val="left"/>
        <w:rPr>
          <w:rFonts w:eastAsiaTheme="minorEastAsia"/>
          <w:b/>
          <w:sz w:val="22"/>
          <w:szCs w:val="22"/>
        </w:rPr>
      </w:pPr>
      <w:r w:rsidRPr="00190E85">
        <w:rPr>
          <w:rFonts w:eastAsiaTheme="minorEastAsia"/>
          <w:b/>
          <w:sz w:val="22"/>
          <w:szCs w:val="22"/>
        </w:rPr>
        <w:t xml:space="preserve">Table 3: Summary of Adverse Reactions Occurring in Patients with Rheumatoid Arthritis receiving </w:t>
      </w:r>
      <w:r w:rsidR="003A539F" w:rsidRPr="00190E85">
        <w:rPr>
          <w:rFonts w:eastAsiaTheme="minorEastAsia"/>
          <w:b/>
          <w:sz w:val="22"/>
          <w:szCs w:val="22"/>
          <w:lang w:val="en-US"/>
        </w:rPr>
        <w:t xml:space="preserve">rituximab </w:t>
      </w:r>
      <w:r w:rsidRPr="00190E85">
        <w:rPr>
          <w:rFonts w:eastAsiaTheme="minorEastAsia"/>
          <w:b/>
          <w:sz w:val="22"/>
          <w:szCs w:val="22"/>
        </w:rPr>
        <w:t>during Phase II and III Clinical Studies</w:t>
      </w:r>
      <w:r w:rsidR="00D41F53" w:rsidRPr="00190E85">
        <w:rPr>
          <w:rFonts w:eastAsiaTheme="minorEastAsia"/>
          <w:b/>
          <w:sz w:val="22"/>
          <w:szCs w:val="22"/>
        </w:rPr>
        <w:t xml:space="preserve"> </w:t>
      </w:r>
    </w:p>
    <w:tbl>
      <w:tblPr>
        <w:tblW w:w="9019" w:type="dxa"/>
        <w:tblInd w:w="94" w:type="dxa"/>
        <w:tblLayout w:type="fixed"/>
        <w:tblCellMar>
          <w:left w:w="0" w:type="dxa"/>
          <w:right w:w="0" w:type="dxa"/>
        </w:tblCellMar>
        <w:tblLook w:val="0000" w:firstRow="0" w:lastRow="0" w:firstColumn="0" w:lastColumn="0" w:noHBand="0" w:noVBand="0"/>
      </w:tblPr>
      <w:tblGrid>
        <w:gridCol w:w="1889"/>
        <w:gridCol w:w="1261"/>
        <w:gridCol w:w="2014"/>
        <w:gridCol w:w="1572"/>
        <w:gridCol w:w="2283"/>
      </w:tblGrid>
      <w:tr w:rsidR="00AE247B" w:rsidRPr="00AE247B" w14:paraId="014221D0" w14:textId="77777777" w:rsidTr="00443352">
        <w:trPr>
          <w:trHeight w:hRule="exact" w:val="286"/>
          <w:tblHeader/>
        </w:trPr>
        <w:tc>
          <w:tcPr>
            <w:tcW w:w="1889" w:type="dxa"/>
            <w:tcBorders>
              <w:top w:val="single" w:sz="4" w:space="0" w:color="000000"/>
              <w:left w:val="single" w:sz="4" w:space="0" w:color="000000"/>
              <w:bottom w:val="single" w:sz="4" w:space="0" w:color="000000"/>
              <w:right w:val="single" w:sz="4" w:space="0" w:color="000000"/>
            </w:tcBorders>
          </w:tcPr>
          <w:p w14:paraId="07655FBD" w14:textId="77777777" w:rsidR="00AE247B" w:rsidRPr="00AE247B" w:rsidRDefault="00AE247B" w:rsidP="00443352">
            <w:pPr>
              <w:pStyle w:val="CLDNormal"/>
              <w:jc w:val="left"/>
              <w:rPr>
                <w:rFonts w:eastAsiaTheme="minorEastAsia"/>
                <w:b/>
                <w:sz w:val="20"/>
                <w:lang w:val="en-AU"/>
              </w:rPr>
            </w:pPr>
          </w:p>
        </w:tc>
        <w:tc>
          <w:tcPr>
            <w:tcW w:w="3275" w:type="dxa"/>
            <w:gridSpan w:val="2"/>
            <w:tcBorders>
              <w:top w:val="single" w:sz="4" w:space="0" w:color="000000"/>
              <w:left w:val="single" w:sz="4" w:space="0" w:color="000000"/>
              <w:bottom w:val="single" w:sz="4" w:space="0" w:color="000000"/>
              <w:right w:val="single" w:sz="4" w:space="0" w:color="000000"/>
            </w:tcBorders>
          </w:tcPr>
          <w:p w14:paraId="57168982" w14:textId="77777777" w:rsidR="00AE247B" w:rsidRPr="00AE247B" w:rsidRDefault="00AE247B" w:rsidP="00443352">
            <w:pPr>
              <w:pStyle w:val="CLDNormal"/>
              <w:jc w:val="left"/>
              <w:rPr>
                <w:rFonts w:eastAsiaTheme="minorEastAsia"/>
                <w:b/>
                <w:sz w:val="20"/>
                <w:lang w:val="en-AU"/>
              </w:rPr>
            </w:pPr>
            <w:r w:rsidRPr="00AE247B">
              <w:rPr>
                <w:rFonts w:eastAsiaTheme="minorEastAsia"/>
                <w:b/>
                <w:bCs/>
                <w:sz w:val="20"/>
                <w:lang w:val="en-AU"/>
              </w:rPr>
              <w:t>Phase II Study Population</w:t>
            </w:r>
          </w:p>
        </w:tc>
        <w:tc>
          <w:tcPr>
            <w:tcW w:w="3855" w:type="dxa"/>
            <w:gridSpan w:val="2"/>
            <w:tcBorders>
              <w:top w:val="single" w:sz="4" w:space="0" w:color="000000"/>
              <w:left w:val="single" w:sz="4" w:space="0" w:color="000000"/>
              <w:bottom w:val="single" w:sz="4" w:space="0" w:color="000000"/>
              <w:right w:val="single" w:sz="4" w:space="0" w:color="000000"/>
            </w:tcBorders>
          </w:tcPr>
          <w:p w14:paraId="16A634BE" w14:textId="77777777" w:rsidR="00AE247B" w:rsidRPr="00AE247B" w:rsidRDefault="00AE247B" w:rsidP="00443352">
            <w:pPr>
              <w:pStyle w:val="CLDNormal"/>
              <w:jc w:val="left"/>
              <w:rPr>
                <w:rFonts w:eastAsiaTheme="minorEastAsia"/>
                <w:b/>
                <w:sz w:val="20"/>
                <w:lang w:val="en-AU"/>
              </w:rPr>
            </w:pPr>
            <w:r w:rsidRPr="00AE247B">
              <w:rPr>
                <w:rFonts w:eastAsiaTheme="minorEastAsia"/>
                <w:b/>
                <w:bCs/>
                <w:sz w:val="20"/>
                <w:lang w:val="en-AU"/>
              </w:rPr>
              <w:t>Phase III Study Population</w:t>
            </w:r>
          </w:p>
        </w:tc>
      </w:tr>
      <w:tr w:rsidR="00AE247B" w:rsidRPr="002E209D" w14:paraId="21658945" w14:textId="77777777" w:rsidTr="002E209D">
        <w:trPr>
          <w:trHeight w:hRule="exact" w:val="992"/>
        </w:trPr>
        <w:tc>
          <w:tcPr>
            <w:tcW w:w="1889" w:type="dxa"/>
            <w:tcBorders>
              <w:top w:val="single" w:sz="4" w:space="0" w:color="000000"/>
              <w:left w:val="single" w:sz="4" w:space="0" w:color="000000"/>
              <w:bottom w:val="single" w:sz="4" w:space="0" w:color="000000"/>
              <w:right w:val="single" w:sz="4" w:space="0" w:color="000000"/>
            </w:tcBorders>
          </w:tcPr>
          <w:p w14:paraId="6117D24C" w14:textId="77777777" w:rsidR="00AE247B" w:rsidRPr="002E209D" w:rsidRDefault="00AE247B" w:rsidP="00443352">
            <w:pPr>
              <w:pStyle w:val="CLDNormal"/>
              <w:jc w:val="left"/>
              <w:rPr>
                <w:rFonts w:eastAsiaTheme="minorEastAsia"/>
                <w:b/>
                <w:sz w:val="20"/>
                <w:lang w:val="en-AU"/>
              </w:rPr>
            </w:pPr>
          </w:p>
        </w:tc>
        <w:tc>
          <w:tcPr>
            <w:tcW w:w="1261" w:type="dxa"/>
            <w:tcBorders>
              <w:top w:val="single" w:sz="4" w:space="0" w:color="000000"/>
              <w:left w:val="single" w:sz="4" w:space="0" w:color="000000"/>
              <w:bottom w:val="single" w:sz="4" w:space="0" w:color="000000"/>
              <w:right w:val="single" w:sz="4" w:space="0" w:color="000000"/>
            </w:tcBorders>
          </w:tcPr>
          <w:p w14:paraId="69EB8E1E" w14:textId="77777777" w:rsidR="002E209D" w:rsidRDefault="00AE247B" w:rsidP="00443352">
            <w:pPr>
              <w:pStyle w:val="CLDNormal"/>
              <w:jc w:val="left"/>
              <w:rPr>
                <w:rFonts w:eastAsiaTheme="minorEastAsia"/>
                <w:b/>
                <w:bCs/>
                <w:sz w:val="20"/>
                <w:lang w:val="en-AU"/>
              </w:rPr>
            </w:pPr>
            <w:r w:rsidRPr="002E209D">
              <w:rPr>
                <w:rFonts w:eastAsiaTheme="minorEastAsia"/>
                <w:b/>
                <w:bCs/>
                <w:sz w:val="20"/>
                <w:lang w:val="en-AU"/>
              </w:rPr>
              <w:t xml:space="preserve">Very Common </w:t>
            </w:r>
          </w:p>
          <w:p w14:paraId="0CB7F868" w14:textId="77777777" w:rsidR="00AE247B" w:rsidRPr="002E209D" w:rsidRDefault="00AE247B" w:rsidP="00443352">
            <w:pPr>
              <w:pStyle w:val="CLDNormal"/>
              <w:jc w:val="left"/>
              <w:rPr>
                <w:rFonts w:eastAsiaTheme="minorEastAsia"/>
                <w:b/>
                <w:sz w:val="20"/>
                <w:lang w:val="en-AU"/>
              </w:rPr>
            </w:pPr>
            <w:r w:rsidRPr="002E209D">
              <w:rPr>
                <w:rFonts w:eastAsiaTheme="minorEastAsia"/>
                <w:b/>
                <w:sz w:val="20"/>
                <w:lang w:val="en-AU"/>
              </w:rPr>
              <w:t>(≥ 10%)</w:t>
            </w:r>
          </w:p>
        </w:tc>
        <w:tc>
          <w:tcPr>
            <w:tcW w:w="2014" w:type="dxa"/>
            <w:tcBorders>
              <w:top w:val="single" w:sz="4" w:space="0" w:color="000000"/>
              <w:left w:val="single" w:sz="4" w:space="0" w:color="000000"/>
              <w:bottom w:val="single" w:sz="4" w:space="0" w:color="000000"/>
              <w:right w:val="single" w:sz="4" w:space="0" w:color="000000"/>
            </w:tcBorders>
          </w:tcPr>
          <w:p w14:paraId="08C169A7" w14:textId="77777777" w:rsidR="002E209D" w:rsidRPr="002E209D" w:rsidRDefault="00AE247B" w:rsidP="00443352">
            <w:pPr>
              <w:pStyle w:val="CLDNormal"/>
              <w:jc w:val="left"/>
              <w:rPr>
                <w:rFonts w:eastAsiaTheme="minorEastAsia"/>
                <w:b/>
                <w:sz w:val="20"/>
                <w:lang w:val="en-AU"/>
              </w:rPr>
            </w:pPr>
            <w:r w:rsidRPr="002E209D">
              <w:rPr>
                <w:rFonts w:eastAsiaTheme="minorEastAsia"/>
                <w:b/>
                <w:bCs/>
                <w:sz w:val="20"/>
                <w:lang w:val="en-AU"/>
              </w:rPr>
              <w:t>Common</w:t>
            </w:r>
          </w:p>
          <w:p w14:paraId="7EFEE429" w14:textId="77777777" w:rsidR="00AE247B" w:rsidRPr="002E209D" w:rsidRDefault="00AE247B" w:rsidP="00443352">
            <w:pPr>
              <w:pStyle w:val="CLDNormal"/>
              <w:jc w:val="left"/>
              <w:rPr>
                <w:rFonts w:eastAsiaTheme="minorEastAsia"/>
                <w:b/>
                <w:sz w:val="20"/>
                <w:lang w:val="en-AU"/>
              </w:rPr>
            </w:pPr>
            <w:r w:rsidRPr="002E209D">
              <w:rPr>
                <w:rFonts w:eastAsiaTheme="minorEastAsia"/>
                <w:b/>
                <w:sz w:val="20"/>
                <w:lang w:val="en-AU"/>
              </w:rPr>
              <w:t>(≥ 1 % - &lt; 10%)</w:t>
            </w:r>
          </w:p>
        </w:tc>
        <w:tc>
          <w:tcPr>
            <w:tcW w:w="1572" w:type="dxa"/>
            <w:tcBorders>
              <w:top w:val="single" w:sz="4" w:space="0" w:color="000000"/>
              <w:left w:val="single" w:sz="4" w:space="0" w:color="000000"/>
              <w:bottom w:val="single" w:sz="4" w:space="0" w:color="000000"/>
              <w:right w:val="single" w:sz="4" w:space="0" w:color="000000"/>
            </w:tcBorders>
          </w:tcPr>
          <w:p w14:paraId="1383F774" w14:textId="77777777" w:rsidR="002E209D" w:rsidRPr="002E209D" w:rsidRDefault="00AE247B" w:rsidP="00443352">
            <w:pPr>
              <w:pStyle w:val="CLDNormal"/>
              <w:jc w:val="left"/>
              <w:rPr>
                <w:rFonts w:eastAsiaTheme="minorEastAsia"/>
                <w:b/>
                <w:bCs/>
                <w:sz w:val="20"/>
                <w:lang w:val="en-AU"/>
              </w:rPr>
            </w:pPr>
            <w:r w:rsidRPr="002E209D">
              <w:rPr>
                <w:rFonts w:eastAsiaTheme="minorEastAsia"/>
                <w:b/>
                <w:bCs/>
                <w:sz w:val="20"/>
                <w:lang w:val="en-AU"/>
              </w:rPr>
              <w:t>Very Common</w:t>
            </w:r>
          </w:p>
          <w:p w14:paraId="48B8C8AC" w14:textId="77777777" w:rsidR="00AE247B" w:rsidRPr="002E209D" w:rsidRDefault="00AE247B" w:rsidP="00443352">
            <w:pPr>
              <w:pStyle w:val="CLDNormal"/>
              <w:jc w:val="left"/>
              <w:rPr>
                <w:rFonts w:eastAsiaTheme="minorEastAsia"/>
                <w:b/>
                <w:sz w:val="20"/>
                <w:lang w:val="en-AU"/>
              </w:rPr>
            </w:pPr>
            <w:r w:rsidRPr="002E209D">
              <w:rPr>
                <w:rFonts w:eastAsiaTheme="minorEastAsia"/>
                <w:b/>
                <w:sz w:val="20"/>
                <w:lang w:val="en-AU"/>
              </w:rPr>
              <w:t>(≥ 10%)</w:t>
            </w:r>
          </w:p>
        </w:tc>
        <w:tc>
          <w:tcPr>
            <w:tcW w:w="2283" w:type="dxa"/>
            <w:tcBorders>
              <w:top w:val="single" w:sz="4" w:space="0" w:color="000000"/>
              <w:left w:val="single" w:sz="4" w:space="0" w:color="000000"/>
              <w:bottom w:val="single" w:sz="4" w:space="0" w:color="000000"/>
              <w:right w:val="single" w:sz="4" w:space="0" w:color="000000"/>
            </w:tcBorders>
          </w:tcPr>
          <w:p w14:paraId="73F75CC7" w14:textId="77777777" w:rsidR="00AE247B" w:rsidRPr="002E209D" w:rsidRDefault="00AE247B" w:rsidP="00443352">
            <w:pPr>
              <w:pStyle w:val="CLDNormal"/>
              <w:jc w:val="left"/>
              <w:rPr>
                <w:rFonts w:eastAsiaTheme="minorEastAsia"/>
                <w:b/>
                <w:sz w:val="20"/>
                <w:lang w:val="en-AU"/>
              </w:rPr>
            </w:pPr>
            <w:r w:rsidRPr="002E209D">
              <w:rPr>
                <w:rFonts w:eastAsiaTheme="minorEastAsia"/>
                <w:b/>
                <w:bCs/>
                <w:sz w:val="20"/>
                <w:lang w:val="en-AU"/>
              </w:rPr>
              <w:t>Common</w:t>
            </w:r>
          </w:p>
          <w:p w14:paraId="73AF2684" w14:textId="77777777" w:rsidR="00AE247B" w:rsidRPr="002E209D" w:rsidRDefault="00AE247B" w:rsidP="00443352">
            <w:pPr>
              <w:pStyle w:val="CLDNormal"/>
              <w:jc w:val="left"/>
              <w:rPr>
                <w:rFonts w:eastAsiaTheme="minorEastAsia"/>
                <w:b/>
                <w:sz w:val="20"/>
                <w:lang w:val="en-AU"/>
              </w:rPr>
            </w:pPr>
            <w:r w:rsidRPr="002E209D">
              <w:rPr>
                <w:rFonts w:eastAsiaTheme="minorEastAsia"/>
                <w:b/>
                <w:sz w:val="20"/>
                <w:lang w:val="en-AU"/>
              </w:rPr>
              <w:t>(≥ 1% - &lt; 10%)</w:t>
            </w:r>
          </w:p>
        </w:tc>
      </w:tr>
      <w:tr w:rsidR="00AE247B" w:rsidRPr="00AE247B" w14:paraId="71FC5A90" w14:textId="77777777" w:rsidTr="002E209D">
        <w:trPr>
          <w:trHeight w:hRule="exact" w:val="1134"/>
        </w:trPr>
        <w:tc>
          <w:tcPr>
            <w:tcW w:w="1889" w:type="dxa"/>
            <w:tcBorders>
              <w:top w:val="single" w:sz="4" w:space="0" w:color="000000"/>
              <w:left w:val="single" w:sz="4" w:space="0" w:color="000000"/>
              <w:bottom w:val="single" w:sz="4" w:space="0" w:color="000000"/>
              <w:right w:val="single" w:sz="4" w:space="0" w:color="000000"/>
            </w:tcBorders>
          </w:tcPr>
          <w:p w14:paraId="4F4FE485" w14:textId="77777777" w:rsidR="00AE247B" w:rsidRPr="00AE247B" w:rsidRDefault="00AE247B" w:rsidP="00443352">
            <w:pPr>
              <w:pStyle w:val="CLDNormal"/>
              <w:jc w:val="left"/>
              <w:rPr>
                <w:rFonts w:eastAsiaTheme="minorEastAsia"/>
                <w:sz w:val="20"/>
                <w:lang w:val="en-AU"/>
              </w:rPr>
            </w:pPr>
            <w:r w:rsidRPr="00AE247B">
              <w:rPr>
                <w:rFonts w:eastAsiaTheme="minorEastAsia"/>
                <w:sz w:val="20"/>
                <w:lang w:val="en-AU"/>
              </w:rPr>
              <w:t>Acute Infusion reactions*</w:t>
            </w:r>
          </w:p>
        </w:tc>
        <w:tc>
          <w:tcPr>
            <w:tcW w:w="1261" w:type="dxa"/>
            <w:tcBorders>
              <w:top w:val="single" w:sz="4" w:space="0" w:color="000000"/>
              <w:left w:val="single" w:sz="4" w:space="0" w:color="000000"/>
              <w:bottom w:val="single" w:sz="4" w:space="0" w:color="000000"/>
              <w:right w:val="single" w:sz="4" w:space="0" w:color="000000"/>
            </w:tcBorders>
          </w:tcPr>
          <w:p w14:paraId="46FEB4F5" w14:textId="77777777" w:rsidR="00AE247B" w:rsidRPr="00AE247B" w:rsidRDefault="00AE247B" w:rsidP="00443352">
            <w:pPr>
              <w:pStyle w:val="CLDNormal"/>
              <w:jc w:val="left"/>
              <w:rPr>
                <w:rFonts w:eastAsiaTheme="minorEastAsia"/>
                <w:sz w:val="20"/>
                <w:lang w:val="en-AU"/>
              </w:rPr>
            </w:pPr>
          </w:p>
        </w:tc>
        <w:tc>
          <w:tcPr>
            <w:tcW w:w="2014" w:type="dxa"/>
            <w:tcBorders>
              <w:top w:val="single" w:sz="4" w:space="0" w:color="000000"/>
              <w:left w:val="single" w:sz="4" w:space="0" w:color="000000"/>
              <w:bottom w:val="single" w:sz="4" w:space="0" w:color="000000"/>
              <w:right w:val="single" w:sz="4" w:space="0" w:color="000000"/>
            </w:tcBorders>
          </w:tcPr>
          <w:p w14:paraId="3470F166" w14:textId="77777777" w:rsidR="00AE247B" w:rsidRPr="00AE247B" w:rsidRDefault="002E209D" w:rsidP="00443352">
            <w:pPr>
              <w:pStyle w:val="CLDNormal"/>
              <w:jc w:val="left"/>
              <w:rPr>
                <w:rFonts w:eastAsiaTheme="minorEastAsia"/>
                <w:sz w:val="20"/>
                <w:lang w:val="en-AU"/>
              </w:rPr>
            </w:pPr>
            <w:r>
              <w:rPr>
                <w:rFonts w:eastAsiaTheme="minorEastAsia"/>
                <w:sz w:val="20"/>
                <w:lang w:val="en-AU"/>
              </w:rPr>
              <w:t>H</w:t>
            </w:r>
            <w:r w:rsidR="00AE247B" w:rsidRPr="00AE247B">
              <w:rPr>
                <w:rFonts w:eastAsiaTheme="minorEastAsia"/>
                <w:sz w:val="20"/>
                <w:lang w:val="en-AU"/>
              </w:rPr>
              <w:t xml:space="preserve">ypertension, rash, </w:t>
            </w:r>
            <w:r>
              <w:rPr>
                <w:rFonts w:eastAsiaTheme="minorEastAsia"/>
                <w:sz w:val="20"/>
                <w:lang w:val="en-AU"/>
              </w:rPr>
              <w:t xml:space="preserve">                         </w:t>
            </w:r>
            <w:r w:rsidR="00AE247B" w:rsidRPr="00AE247B">
              <w:rPr>
                <w:rFonts w:eastAsiaTheme="minorEastAsia"/>
                <w:sz w:val="20"/>
                <w:lang w:val="en-AU"/>
              </w:rPr>
              <w:t>pruritus, chills, pyrexia, rhinitis, throat irritation</w:t>
            </w:r>
          </w:p>
        </w:tc>
        <w:tc>
          <w:tcPr>
            <w:tcW w:w="1572" w:type="dxa"/>
            <w:tcBorders>
              <w:top w:val="single" w:sz="4" w:space="0" w:color="000000"/>
              <w:left w:val="single" w:sz="4" w:space="0" w:color="000000"/>
              <w:bottom w:val="single" w:sz="4" w:space="0" w:color="000000"/>
              <w:right w:val="single" w:sz="4" w:space="0" w:color="000000"/>
            </w:tcBorders>
          </w:tcPr>
          <w:p w14:paraId="6BE99A16" w14:textId="77777777" w:rsidR="00AE247B" w:rsidRPr="00AE247B" w:rsidRDefault="00AE247B" w:rsidP="00443352">
            <w:pPr>
              <w:pStyle w:val="CLDNormal"/>
              <w:jc w:val="left"/>
              <w:rPr>
                <w:rFonts w:eastAsiaTheme="minorEastAsia"/>
                <w:sz w:val="20"/>
                <w:lang w:val="en-AU"/>
              </w:rPr>
            </w:pPr>
          </w:p>
        </w:tc>
        <w:tc>
          <w:tcPr>
            <w:tcW w:w="2283" w:type="dxa"/>
            <w:tcBorders>
              <w:top w:val="single" w:sz="4" w:space="0" w:color="000000"/>
              <w:left w:val="single" w:sz="4" w:space="0" w:color="000000"/>
              <w:bottom w:val="single" w:sz="4" w:space="0" w:color="000000"/>
              <w:right w:val="single" w:sz="4" w:space="0" w:color="000000"/>
            </w:tcBorders>
          </w:tcPr>
          <w:p w14:paraId="7BC93B7E" w14:textId="77777777" w:rsidR="00AE247B" w:rsidRPr="00AE247B" w:rsidRDefault="002E209D" w:rsidP="00443352">
            <w:pPr>
              <w:pStyle w:val="CLDNormal"/>
              <w:jc w:val="left"/>
              <w:rPr>
                <w:rFonts w:eastAsiaTheme="minorEastAsia"/>
                <w:sz w:val="20"/>
                <w:lang w:val="en-AU"/>
              </w:rPr>
            </w:pPr>
            <w:r>
              <w:rPr>
                <w:rFonts w:eastAsiaTheme="minorEastAsia"/>
                <w:sz w:val="20"/>
                <w:lang w:val="en-AU"/>
              </w:rPr>
              <w:t>h</w:t>
            </w:r>
            <w:r w:rsidR="00AE247B" w:rsidRPr="00AE247B">
              <w:rPr>
                <w:rFonts w:eastAsiaTheme="minorEastAsia"/>
                <w:sz w:val="20"/>
                <w:lang w:val="en-AU"/>
              </w:rPr>
              <w:t xml:space="preserve">ypertension, nausea, rash, pyrexia, pruritus, </w:t>
            </w:r>
            <w:proofErr w:type="spellStart"/>
            <w:r w:rsidR="00AE247B" w:rsidRPr="00AE247B">
              <w:rPr>
                <w:rFonts w:eastAsiaTheme="minorEastAsia"/>
                <w:sz w:val="20"/>
                <w:lang w:val="en-AU"/>
              </w:rPr>
              <w:t>urticaria</w:t>
            </w:r>
            <w:proofErr w:type="spellEnd"/>
            <w:r w:rsidR="00AE247B" w:rsidRPr="00AE247B">
              <w:rPr>
                <w:rFonts w:eastAsiaTheme="minorEastAsia"/>
                <w:sz w:val="20"/>
                <w:lang w:val="en-AU"/>
              </w:rPr>
              <w:t>, throat irritation, hot flush, hypotension</w:t>
            </w:r>
          </w:p>
        </w:tc>
      </w:tr>
      <w:tr w:rsidR="00AE247B" w:rsidRPr="00AE247B" w14:paraId="75D78EE8" w14:textId="77777777" w:rsidTr="002E209D">
        <w:trPr>
          <w:trHeight w:hRule="exact" w:val="562"/>
        </w:trPr>
        <w:tc>
          <w:tcPr>
            <w:tcW w:w="1889" w:type="dxa"/>
            <w:tcBorders>
              <w:top w:val="single" w:sz="4" w:space="0" w:color="000000"/>
              <w:left w:val="single" w:sz="4" w:space="0" w:color="000000"/>
              <w:bottom w:val="single" w:sz="4" w:space="0" w:color="000000"/>
              <w:right w:val="single" w:sz="4" w:space="0" w:color="000000"/>
            </w:tcBorders>
          </w:tcPr>
          <w:p w14:paraId="792B4803" w14:textId="77777777" w:rsidR="00AE247B" w:rsidRPr="00AE247B" w:rsidRDefault="00AE247B" w:rsidP="00443352">
            <w:pPr>
              <w:pStyle w:val="CLDNormal"/>
              <w:jc w:val="left"/>
              <w:rPr>
                <w:rFonts w:eastAsiaTheme="minorEastAsia"/>
                <w:sz w:val="20"/>
                <w:lang w:val="en-AU"/>
              </w:rPr>
            </w:pPr>
            <w:r w:rsidRPr="00AE247B">
              <w:rPr>
                <w:rFonts w:eastAsiaTheme="minorEastAsia"/>
                <w:sz w:val="20"/>
                <w:lang w:val="en-AU"/>
              </w:rPr>
              <w:t>Gastrointestinal disorders</w:t>
            </w:r>
          </w:p>
        </w:tc>
        <w:tc>
          <w:tcPr>
            <w:tcW w:w="1261" w:type="dxa"/>
            <w:tcBorders>
              <w:top w:val="single" w:sz="4" w:space="0" w:color="000000"/>
              <w:left w:val="single" w:sz="4" w:space="0" w:color="000000"/>
              <w:bottom w:val="single" w:sz="4" w:space="0" w:color="000000"/>
              <w:right w:val="single" w:sz="4" w:space="0" w:color="000000"/>
            </w:tcBorders>
          </w:tcPr>
          <w:p w14:paraId="0C76851E" w14:textId="77777777" w:rsidR="00AE247B" w:rsidRPr="00AE247B" w:rsidRDefault="00AE247B" w:rsidP="00443352">
            <w:pPr>
              <w:pStyle w:val="CLDNormal"/>
              <w:jc w:val="left"/>
              <w:rPr>
                <w:rFonts w:eastAsiaTheme="minorEastAsia"/>
                <w:sz w:val="20"/>
                <w:lang w:val="en-AU"/>
              </w:rPr>
            </w:pPr>
          </w:p>
        </w:tc>
        <w:tc>
          <w:tcPr>
            <w:tcW w:w="2014" w:type="dxa"/>
            <w:tcBorders>
              <w:top w:val="single" w:sz="4" w:space="0" w:color="000000"/>
              <w:left w:val="single" w:sz="4" w:space="0" w:color="000000"/>
              <w:bottom w:val="single" w:sz="4" w:space="0" w:color="000000"/>
              <w:right w:val="single" w:sz="4" w:space="0" w:color="000000"/>
            </w:tcBorders>
          </w:tcPr>
          <w:p w14:paraId="39DD8446" w14:textId="77777777" w:rsidR="00AE247B" w:rsidRPr="00AE247B" w:rsidRDefault="002E209D" w:rsidP="00443352">
            <w:pPr>
              <w:pStyle w:val="CLDNormal"/>
              <w:jc w:val="left"/>
              <w:rPr>
                <w:rFonts w:eastAsiaTheme="minorEastAsia"/>
                <w:sz w:val="20"/>
                <w:lang w:val="en-AU"/>
              </w:rPr>
            </w:pPr>
            <w:r>
              <w:rPr>
                <w:rFonts w:eastAsiaTheme="minorEastAsia"/>
                <w:sz w:val="20"/>
                <w:lang w:val="en-AU"/>
              </w:rPr>
              <w:t xml:space="preserve"> D</w:t>
            </w:r>
            <w:r w:rsidR="00AE247B" w:rsidRPr="00AE247B">
              <w:rPr>
                <w:rFonts w:eastAsiaTheme="minorEastAsia"/>
                <w:sz w:val="20"/>
                <w:lang w:val="en-AU"/>
              </w:rPr>
              <w:t>yspepsia</w:t>
            </w:r>
          </w:p>
        </w:tc>
        <w:tc>
          <w:tcPr>
            <w:tcW w:w="1572" w:type="dxa"/>
            <w:tcBorders>
              <w:top w:val="single" w:sz="4" w:space="0" w:color="000000"/>
              <w:left w:val="single" w:sz="4" w:space="0" w:color="000000"/>
              <w:bottom w:val="single" w:sz="4" w:space="0" w:color="000000"/>
              <w:right w:val="single" w:sz="4" w:space="0" w:color="000000"/>
            </w:tcBorders>
          </w:tcPr>
          <w:p w14:paraId="02284A00" w14:textId="77777777" w:rsidR="00AE247B" w:rsidRPr="00AE247B" w:rsidRDefault="00AE247B" w:rsidP="00443352">
            <w:pPr>
              <w:pStyle w:val="CLDNormal"/>
              <w:jc w:val="left"/>
              <w:rPr>
                <w:rFonts w:eastAsiaTheme="minorEastAsia"/>
                <w:sz w:val="20"/>
                <w:lang w:val="en-AU"/>
              </w:rPr>
            </w:pPr>
          </w:p>
        </w:tc>
        <w:tc>
          <w:tcPr>
            <w:tcW w:w="2283" w:type="dxa"/>
            <w:tcBorders>
              <w:top w:val="single" w:sz="4" w:space="0" w:color="000000"/>
              <w:left w:val="single" w:sz="4" w:space="0" w:color="000000"/>
              <w:bottom w:val="single" w:sz="4" w:space="0" w:color="000000"/>
              <w:right w:val="single" w:sz="4" w:space="0" w:color="000000"/>
            </w:tcBorders>
          </w:tcPr>
          <w:p w14:paraId="5EAB89EF" w14:textId="77777777" w:rsidR="00AE247B" w:rsidRPr="00AE247B" w:rsidRDefault="002E209D" w:rsidP="00443352">
            <w:pPr>
              <w:pStyle w:val="CLDNormal"/>
              <w:jc w:val="left"/>
              <w:rPr>
                <w:rFonts w:eastAsiaTheme="minorEastAsia"/>
                <w:sz w:val="20"/>
                <w:lang w:val="en-AU"/>
              </w:rPr>
            </w:pPr>
            <w:r>
              <w:rPr>
                <w:rFonts w:eastAsiaTheme="minorEastAsia"/>
                <w:sz w:val="20"/>
                <w:lang w:val="en-AU"/>
              </w:rPr>
              <w:t>D</w:t>
            </w:r>
            <w:r w:rsidR="00AE247B" w:rsidRPr="00AE247B">
              <w:rPr>
                <w:rFonts w:eastAsiaTheme="minorEastAsia"/>
                <w:sz w:val="20"/>
                <w:lang w:val="en-AU"/>
              </w:rPr>
              <w:t>yspepsia</w:t>
            </w:r>
          </w:p>
        </w:tc>
      </w:tr>
      <w:tr w:rsidR="00AE247B" w:rsidRPr="00AE247B" w14:paraId="1099FB46" w14:textId="77777777" w:rsidTr="002E209D">
        <w:trPr>
          <w:trHeight w:hRule="exact" w:val="1116"/>
        </w:trPr>
        <w:tc>
          <w:tcPr>
            <w:tcW w:w="1889" w:type="dxa"/>
            <w:tcBorders>
              <w:top w:val="single" w:sz="4" w:space="0" w:color="000000"/>
              <w:left w:val="single" w:sz="4" w:space="0" w:color="000000"/>
              <w:bottom w:val="single" w:sz="4" w:space="0" w:color="000000"/>
              <w:right w:val="single" w:sz="4" w:space="0" w:color="000000"/>
            </w:tcBorders>
          </w:tcPr>
          <w:p w14:paraId="69925F80" w14:textId="77777777" w:rsidR="00AE247B" w:rsidRPr="00AE247B" w:rsidRDefault="00AE247B" w:rsidP="00443352">
            <w:pPr>
              <w:pStyle w:val="CLDNormal"/>
              <w:jc w:val="left"/>
              <w:rPr>
                <w:rFonts w:eastAsiaTheme="minorEastAsia"/>
                <w:sz w:val="20"/>
                <w:lang w:val="en-AU"/>
              </w:rPr>
            </w:pPr>
            <w:r w:rsidRPr="00AE247B">
              <w:rPr>
                <w:rFonts w:eastAsiaTheme="minorEastAsia"/>
                <w:sz w:val="20"/>
                <w:lang w:val="en-AU"/>
              </w:rPr>
              <w:t>Infections and Infestations</w:t>
            </w:r>
          </w:p>
        </w:tc>
        <w:tc>
          <w:tcPr>
            <w:tcW w:w="1261" w:type="dxa"/>
            <w:tcBorders>
              <w:top w:val="single" w:sz="4" w:space="0" w:color="000000"/>
              <w:left w:val="single" w:sz="4" w:space="0" w:color="000000"/>
              <w:bottom w:val="single" w:sz="4" w:space="0" w:color="000000"/>
              <w:right w:val="single" w:sz="4" w:space="0" w:color="000000"/>
            </w:tcBorders>
          </w:tcPr>
          <w:p w14:paraId="2F66B034" w14:textId="77777777" w:rsidR="00AE247B" w:rsidRPr="00AE247B" w:rsidRDefault="002E209D" w:rsidP="00443352">
            <w:pPr>
              <w:pStyle w:val="CLDNormal"/>
              <w:jc w:val="left"/>
              <w:rPr>
                <w:rFonts w:eastAsiaTheme="minorEastAsia"/>
                <w:sz w:val="20"/>
                <w:lang w:val="en-AU"/>
              </w:rPr>
            </w:pPr>
            <w:r>
              <w:rPr>
                <w:rFonts w:eastAsiaTheme="minorEastAsia"/>
                <w:sz w:val="20"/>
                <w:lang w:val="en-AU"/>
              </w:rPr>
              <w:t>A</w:t>
            </w:r>
            <w:r w:rsidR="00AE247B" w:rsidRPr="00AE247B">
              <w:rPr>
                <w:rFonts w:eastAsiaTheme="minorEastAsia"/>
                <w:sz w:val="20"/>
                <w:lang w:val="en-AU"/>
              </w:rPr>
              <w:t>ny infection</w:t>
            </w:r>
          </w:p>
        </w:tc>
        <w:tc>
          <w:tcPr>
            <w:tcW w:w="2014" w:type="dxa"/>
            <w:tcBorders>
              <w:top w:val="single" w:sz="4" w:space="0" w:color="000000"/>
              <w:left w:val="single" w:sz="4" w:space="0" w:color="000000"/>
              <w:bottom w:val="single" w:sz="4" w:space="0" w:color="000000"/>
              <w:right w:val="single" w:sz="4" w:space="0" w:color="000000"/>
            </w:tcBorders>
          </w:tcPr>
          <w:p w14:paraId="11829AA7" w14:textId="77777777" w:rsidR="00AE247B" w:rsidRPr="00AE247B" w:rsidRDefault="002E209D" w:rsidP="00443352">
            <w:pPr>
              <w:pStyle w:val="CLDNormal"/>
              <w:jc w:val="left"/>
              <w:rPr>
                <w:rFonts w:eastAsiaTheme="minorEastAsia"/>
                <w:sz w:val="20"/>
                <w:lang w:val="en-AU"/>
              </w:rPr>
            </w:pPr>
            <w:r>
              <w:rPr>
                <w:rFonts w:eastAsiaTheme="minorEastAsia"/>
                <w:sz w:val="20"/>
                <w:lang w:val="en-AU"/>
              </w:rPr>
              <w:t>U</w:t>
            </w:r>
            <w:r w:rsidR="00AE247B" w:rsidRPr="00AE247B">
              <w:rPr>
                <w:rFonts w:eastAsiaTheme="minorEastAsia"/>
                <w:sz w:val="20"/>
                <w:lang w:val="en-AU"/>
              </w:rPr>
              <w:t>rinary tract infections</w:t>
            </w:r>
          </w:p>
        </w:tc>
        <w:tc>
          <w:tcPr>
            <w:tcW w:w="1572" w:type="dxa"/>
            <w:tcBorders>
              <w:top w:val="single" w:sz="4" w:space="0" w:color="000000"/>
              <w:left w:val="single" w:sz="4" w:space="0" w:color="000000"/>
              <w:bottom w:val="single" w:sz="4" w:space="0" w:color="000000"/>
              <w:right w:val="single" w:sz="4" w:space="0" w:color="000000"/>
            </w:tcBorders>
          </w:tcPr>
          <w:p w14:paraId="5A73B163" w14:textId="77777777" w:rsidR="00AE247B" w:rsidRPr="00AE247B" w:rsidRDefault="002E209D" w:rsidP="00443352">
            <w:pPr>
              <w:pStyle w:val="CLDNormal"/>
              <w:jc w:val="left"/>
              <w:rPr>
                <w:rFonts w:eastAsiaTheme="minorEastAsia"/>
                <w:sz w:val="20"/>
                <w:lang w:val="en-AU"/>
              </w:rPr>
            </w:pPr>
            <w:r>
              <w:rPr>
                <w:rFonts w:eastAsiaTheme="minorEastAsia"/>
                <w:sz w:val="20"/>
                <w:lang w:val="en-AU"/>
              </w:rPr>
              <w:t>A</w:t>
            </w:r>
            <w:r w:rsidR="00AE247B" w:rsidRPr="00AE247B">
              <w:rPr>
                <w:rFonts w:eastAsiaTheme="minorEastAsia"/>
                <w:sz w:val="20"/>
                <w:lang w:val="en-AU"/>
              </w:rPr>
              <w:t>ny infection, upper respiratory tract infection</w:t>
            </w:r>
          </w:p>
        </w:tc>
        <w:tc>
          <w:tcPr>
            <w:tcW w:w="2283" w:type="dxa"/>
            <w:tcBorders>
              <w:top w:val="single" w:sz="4" w:space="0" w:color="000000"/>
              <w:left w:val="single" w:sz="4" w:space="0" w:color="000000"/>
              <w:bottom w:val="single" w:sz="4" w:space="0" w:color="000000"/>
              <w:right w:val="single" w:sz="4" w:space="0" w:color="000000"/>
            </w:tcBorders>
          </w:tcPr>
          <w:p w14:paraId="23691010" w14:textId="77777777" w:rsidR="00AE247B" w:rsidRPr="00AE247B" w:rsidRDefault="00AE247B" w:rsidP="00443352">
            <w:pPr>
              <w:pStyle w:val="CLDNormal"/>
              <w:jc w:val="left"/>
              <w:rPr>
                <w:rFonts w:eastAsiaTheme="minorEastAsia"/>
                <w:sz w:val="20"/>
                <w:lang w:val="en-AU"/>
              </w:rPr>
            </w:pPr>
          </w:p>
        </w:tc>
      </w:tr>
      <w:tr w:rsidR="00AE247B" w:rsidRPr="00AE247B" w14:paraId="6A9965BE" w14:textId="77777777" w:rsidTr="002E209D">
        <w:trPr>
          <w:trHeight w:hRule="exact" w:val="838"/>
        </w:trPr>
        <w:tc>
          <w:tcPr>
            <w:tcW w:w="1889" w:type="dxa"/>
            <w:tcBorders>
              <w:top w:val="single" w:sz="4" w:space="0" w:color="000000"/>
              <w:left w:val="single" w:sz="4" w:space="0" w:color="000000"/>
              <w:bottom w:val="single" w:sz="4" w:space="0" w:color="000000"/>
              <w:right w:val="single" w:sz="4" w:space="0" w:color="000000"/>
            </w:tcBorders>
          </w:tcPr>
          <w:p w14:paraId="7E496E83" w14:textId="77777777" w:rsidR="00AE247B" w:rsidRPr="00AE247B" w:rsidRDefault="00AE247B" w:rsidP="00443352">
            <w:pPr>
              <w:pStyle w:val="CLDNormal"/>
              <w:jc w:val="left"/>
              <w:rPr>
                <w:rFonts w:eastAsiaTheme="minorEastAsia"/>
                <w:sz w:val="20"/>
                <w:lang w:val="en-AU"/>
              </w:rPr>
            </w:pPr>
            <w:r w:rsidRPr="00AE247B">
              <w:rPr>
                <w:rFonts w:eastAsiaTheme="minorEastAsia"/>
                <w:sz w:val="20"/>
                <w:lang w:val="en-AU"/>
              </w:rPr>
              <w:t>Metabolism and Nutritional disorders</w:t>
            </w:r>
          </w:p>
        </w:tc>
        <w:tc>
          <w:tcPr>
            <w:tcW w:w="1261" w:type="dxa"/>
            <w:tcBorders>
              <w:top w:val="single" w:sz="4" w:space="0" w:color="000000"/>
              <w:left w:val="single" w:sz="4" w:space="0" w:color="000000"/>
              <w:bottom w:val="single" w:sz="4" w:space="0" w:color="000000"/>
              <w:right w:val="single" w:sz="4" w:space="0" w:color="000000"/>
            </w:tcBorders>
          </w:tcPr>
          <w:p w14:paraId="62219FBC" w14:textId="77777777" w:rsidR="00AE247B" w:rsidRPr="00AE247B" w:rsidRDefault="00AE247B" w:rsidP="00443352">
            <w:pPr>
              <w:pStyle w:val="CLDNormal"/>
              <w:jc w:val="left"/>
              <w:rPr>
                <w:rFonts w:eastAsiaTheme="minorEastAsia"/>
                <w:sz w:val="20"/>
                <w:lang w:val="en-AU"/>
              </w:rPr>
            </w:pPr>
          </w:p>
        </w:tc>
        <w:tc>
          <w:tcPr>
            <w:tcW w:w="2014" w:type="dxa"/>
            <w:tcBorders>
              <w:top w:val="single" w:sz="4" w:space="0" w:color="000000"/>
              <w:left w:val="single" w:sz="4" w:space="0" w:color="000000"/>
              <w:bottom w:val="single" w:sz="4" w:space="0" w:color="000000"/>
              <w:right w:val="single" w:sz="4" w:space="0" w:color="000000"/>
            </w:tcBorders>
          </w:tcPr>
          <w:p w14:paraId="3EF9CAC9" w14:textId="77777777" w:rsidR="00AE247B" w:rsidRPr="00AE247B" w:rsidRDefault="00AE247B" w:rsidP="00443352">
            <w:pPr>
              <w:pStyle w:val="CLDNormal"/>
              <w:jc w:val="left"/>
              <w:rPr>
                <w:rFonts w:eastAsiaTheme="minorEastAsia"/>
                <w:sz w:val="20"/>
                <w:lang w:val="en-AU"/>
              </w:rPr>
            </w:pPr>
          </w:p>
        </w:tc>
        <w:tc>
          <w:tcPr>
            <w:tcW w:w="1572" w:type="dxa"/>
            <w:tcBorders>
              <w:top w:val="single" w:sz="4" w:space="0" w:color="000000"/>
              <w:left w:val="single" w:sz="4" w:space="0" w:color="000000"/>
              <w:bottom w:val="single" w:sz="4" w:space="0" w:color="000000"/>
              <w:right w:val="single" w:sz="4" w:space="0" w:color="000000"/>
            </w:tcBorders>
          </w:tcPr>
          <w:p w14:paraId="0FE5528B" w14:textId="77777777" w:rsidR="00AE247B" w:rsidRPr="00AE247B" w:rsidRDefault="00AE247B" w:rsidP="00443352">
            <w:pPr>
              <w:pStyle w:val="CLDNormal"/>
              <w:jc w:val="left"/>
              <w:rPr>
                <w:rFonts w:eastAsiaTheme="minorEastAsia"/>
                <w:sz w:val="20"/>
                <w:lang w:val="en-AU"/>
              </w:rPr>
            </w:pPr>
          </w:p>
        </w:tc>
        <w:tc>
          <w:tcPr>
            <w:tcW w:w="2283" w:type="dxa"/>
            <w:tcBorders>
              <w:top w:val="single" w:sz="4" w:space="0" w:color="000000"/>
              <w:left w:val="single" w:sz="4" w:space="0" w:color="000000"/>
              <w:bottom w:val="single" w:sz="4" w:space="0" w:color="000000"/>
              <w:right w:val="single" w:sz="4" w:space="0" w:color="000000"/>
            </w:tcBorders>
          </w:tcPr>
          <w:p w14:paraId="6B9C69F2" w14:textId="77777777" w:rsidR="00AE247B" w:rsidRPr="00AE247B" w:rsidRDefault="002E209D" w:rsidP="00443352">
            <w:pPr>
              <w:pStyle w:val="CLDNormal"/>
              <w:jc w:val="left"/>
              <w:rPr>
                <w:rFonts w:eastAsiaTheme="minorEastAsia"/>
                <w:sz w:val="20"/>
                <w:lang w:val="en-AU"/>
              </w:rPr>
            </w:pPr>
            <w:r>
              <w:rPr>
                <w:rFonts w:eastAsiaTheme="minorEastAsia"/>
                <w:sz w:val="20"/>
                <w:lang w:val="en-AU"/>
              </w:rPr>
              <w:t>H</w:t>
            </w:r>
            <w:r w:rsidR="00AE247B" w:rsidRPr="00AE247B">
              <w:rPr>
                <w:rFonts w:eastAsiaTheme="minorEastAsia"/>
                <w:sz w:val="20"/>
                <w:lang w:val="en-AU"/>
              </w:rPr>
              <w:t>ypercholesterolemia</w:t>
            </w:r>
          </w:p>
        </w:tc>
      </w:tr>
      <w:tr w:rsidR="00AE247B" w:rsidRPr="00AE247B" w14:paraId="1B39D4EE" w14:textId="77777777" w:rsidTr="002E209D">
        <w:trPr>
          <w:trHeight w:hRule="exact" w:val="838"/>
        </w:trPr>
        <w:tc>
          <w:tcPr>
            <w:tcW w:w="1889" w:type="dxa"/>
            <w:tcBorders>
              <w:top w:val="single" w:sz="4" w:space="0" w:color="000000"/>
              <w:left w:val="single" w:sz="4" w:space="0" w:color="000000"/>
              <w:bottom w:val="single" w:sz="4" w:space="0" w:color="000000"/>
              <w:right w:val="single" w:sz="4" w:space="0" w:color="000000"/>
            </w:tcBorders>
          </w:tcPr>
          <w:p w14:paraId="19E11B8B" w14:textId="77777777" w:rsidR="00AE247B" w:rsidRPr="00AE247B" w:rsidRDefault="00AE247B" w:rsidP="00443352">
            <w:pPr>
              <w:pStyle w:val="CLDNormal"/>
              <w:jc w:val="left"/>
              <w:rPr>
                <w:rFonts w:eastAsiaTheme="minorEastAsia"/>
                <w:sz w:val="20"/>
                <w:lang w:val="en-AU"/>
              </w:rPr>
            </w:pPr>
            <w:proofErr w:type="spellStart"/>
            <w:r w:rsidRPr="00AE247B">
              <w:rPr>
                <w:rFonts w:eastAsiaTheme="minorEastAsia"/>
                <w:sz w:val="20"/>
                <w:lang w:val="en-AU"/>
              </w:rPr>
              <w:t>Musculo</w:t>
            </w:r>
            <w:proofErr w:type="spellEnd"/>
            <w:r w:rsidRPr="00AE247B">
              <w:rPr>
                <w:rFonts w:eastAsiaTheme="minorEastAsia"/>
                <w:sz w:val="20"/>
                <w:lang w:val="en-AU"/>
              </w:rPr>
              <w:t>-skeletal disorders</w:t>
            </w:r>
          </w:p>
        </w:tc>
        <w:tc>
          <w:tcPr>
            <w:tcW w:w="1261" w:type="dxa"/>
            <w:tcBorders>
              <w:top w:val="single" w:sz="4" w:space="0" w:color="000000"/>
              <w:left w:val="single" w:sz="4" w:space="0" w:color="000000"/>
              <w:bottom w:val="single" w:sz="4" w:space="0" w:color="000000"/>
              <w:right w:val="single" w:sz="4" w:space="0" w:color="000000"/>
            </w:tcBorders>
          </w:tcPr>
          <w:p w14:paraId="6BEA5E16" w14:textId="77777777" w:rsidR="00AE247B" w:rsidRPr="00AE247B" w:rsidRDefault="00AE247B" w:rsidP="00443352">
            <w:pPr>
              <w:pStyle w:val="CLDNormal"/>
              <w:jc w:val="left"/>
              <w:rPr>
                <w:rFonts w:eastAsiaTheme="minorEastAsia"/>
                <w:sz w:val="20"/>
                <w:lang w:val="en-AU"/>
              </w:rPr>
            </w:pPr>
          </w:p>
        </w:tc>
        <w:tc>
          <w:tcPr>
            <w:tcW w:w="2014" w:type="dxa"/>
            <w:tcBorders>
              <w:top w:val="single" w:sz="4" w:space="0" w:color="000000"/>
              <w:left w:val="single" w:sz="4" w:space="0" w:color="000000"/>
              <w:bottom w:val="single" w:sz="4" w:space="0" w:color="000000"/>
              <w:right w:val="single" w:sz="4" w:space="0" w:color="000000"/>
            </w:tcBorders>
          </w:tcPr>
          <w:p w14:paraId="192873D8" w14:textId="77777777" w:rsidR="00AE247B" w:rsidRPr="00AE247B" w:rsidRDefault="002E209D" w:rsidP="00443352">
            <w:pPr>
              <w:pStyle w:val="CLDNormal"/>
              <w:jc w:val="left"/>
              <w:rPr>
                <w:rFonts w:eastAsiaTheme="minorEastAsia"/>
                <w:sz w:val="20"/>
                <w:lang w:val="en-AU"/>
              </w:rPr>
            </w:pPr>
            <w:r>
              <w:rPr>
                <w:rFonts w:eastAsiaTheme="minorEastAsia"/>
                <w:sz w:val="20"/>
                <w:lang w:val="en-AU"/>
              </w:rPr>
              <w:t>A</w:t>
            </w:r>
            <w:r w:rsidR="00AE247B" w:rsidRPr="00AE247B">
              <w:rPr>
                <w:rFonts w:eastAsiaTheme="minorEastAsia"/>
                <w:sz w:val="20"/>
                <w:lang w:val="en-AU"/>
              </w:rPr>
              <w:t>rthralgia/ musculoskeletal pain</w:t>
            </w:r>
          </w:p>
        </w:tc>
        <w:tc>
          <w:tcPr>
            <w:tcW w:w="1572" w:type="dxa"/>
            <w:tcBorders>
              <w:top w:val="single" w:sz="4" w:space="0" w:color="000000"/>
              <w:left w:val="single" w:sz="4" w:space="0" w:color="000000"/>
              <w:bottom w:val="single" w:sz="4" w:space="0" w:color="000000"/>
              <w:right w:val="single" w:sz="4" w:space="0" w:color="000000"/>
            </w:tcBorders>
          </w:tcPr>
          <w:p w14:paraId="3FF0F711" w14:textId="77777777" w:rsidR="00AE247B" w:rsidRPr="00AE247B" w:rsidRDefault="00AE247B" w:rsidP="00443352">
            <w:pPr>
              <w:pStyle w:val="CLDNormal"/>
              <w:jc w:val="left"/>
              <w:rPr>
                <w:rFonts w:eastAsiaTheme="minorEastAsia"/>
                <w:sz w:val="20"/>
                <w:lang w:val="en-AU"/>
              </w:rPr>
            </w:pPr>
          </w:p>
        </w:tc>
        <w:tc>
          <w:tcPr>
            <w:tcW w:w="2283" w:type="dxa"/>
            <w:tcBorders>
              <w:top w:val="single" w:sz="4" w:space="0" w:color="000000"/>
              <w:left w:val="single" w:sz="4" w:space="0" w:color="000000"/>
              <w:bottom w:val="single" w:sz="4" w:space="0" w:color="000000"/>
              <w:right w:val="single" w:sz="4" w:space="0" w:color="000000"/>
            </w:tcBorders>
          </w:tcPr>
          <w:p w14:paraId="1A431999" w14:textId="77777777" w:rsidR="00AE247B" w:rsidRPr="00AE247B" w:rsidRDefault="002E209D" w:rsidP="00443352">
            <w:pPr>
              <w:pStyle w:val="CLDNormal"/>
              <w:jc w:val="left"/>
              <w:rPr>
                <w:rFonts w:eastAsiaTheme="minorEastAsia"/>
                <w:sz w:val="20"/>
                <w:lang w:val="en-AU"/>
              </w:rPr>
            </w:pPr>
            <w:r>
              <w:rPr>
                <w:rFonts w:eastAsiaTheme="minorEastAsia"/>
                <w:sz w:val="20"/>
                <w:lang w:val="en-AU"/>
              </w:rPr>
              <w:t>A</w:t>
            </w:r>
            <w:r w:rsidR="00AE247B" w:rsidRPr="00AE247B">
              <w:rPr>
                <w:rFonts w:eastAsiaTheme="minorEastAsia"/>
                <w:sz w:val="20"/>
                <w:lang w:val="en-AU"/>
              </w:rPr>
              <w:t>rthralgia/ musculoskeletal pain, osteoarthritis</w:t>
            </w:r>
          </w:p>
        </w:tc>
      </w:tr>
      <w:tr w:rsidR="00AE247B" w:rsidRPr="00AE247B" w14:paraId="57923F7F" w14:textId="77777777" w:rsidTr="002E209D">
        <w:trPr>
          <w:trHeight w:hRule="exact" w:val="544"/>
        </w:trPr>
        <w:tc>
          <w:tcPr>
            <w:tcW w:w="1889" w:type="dxa"/>
            <w:tcBorders>
              <w:top w:val="single" w:sz="4" w:space="0" w:color="000000"/>
              <w:left w:val="single" w:sz="4" w:space="0" w:color="000000"/>
              <w:bottom w:val="single" w:sz="4" w:space="0" w:color="auto"/>
              <w:right w:val="single" w:sz="4" w:space="0" w:color="000000"/>
            </w:tcBorders>
          </w:tcPr>
          <w:p w14:paraId="14AA79D7" w14:textId="77777777" w:rsidR="00AE247B" w:rsidRPr="00AE247B" w:rsidRDefault="00AE247B" w:rsidP="00443352">
            <w:pPr>
              <w:pStyle w:val="CLDNormal"/>
              <w:jc w:val="left"/>
              <w:rPr>
                <w:rFonts w:eastAsiaTheme="minorEastAsia"/>
                <w:sz w:val="20"/>
                <w:lang w:val="en-AU"/>
              </w:rPr>
            </w:pPr>
            <w:r w:rsidRPr="00AE247B">
              <w:rPr>
                <w:rFonts w:eastAsiaTheme="minorEastAsia"/>
                <w:sz w:val="20"/>
                <w:lang w:val="en-AU"/>
              </w:rPr>
              <w:t>Nervous System disorders</w:t>
            </w:r>
          </w:p>
        </w:tc>
        <w:tc>
          <w:tcPr>
            <w:tcW w:w="1261" w:type="dxa"/>
            <w:tcBorders>
              <w:top w:val="single" w:sz="4" w:space="0" w:color="000000"/>
              <w:left w:val="single" w:sz="4" w:space="0" w:color="000000"/>
              <w:bottom w:val="single" w:sz="4" w:space="0" w:color="auto"/>
              <w:right w:val="single" w:sz="4" w:space="0" w:color="000000"/>
            </w:tcBorders>
          </w:tcPr>
          <w:p w14:paraId="6B10FC9A" w14:textId="77777777" w:rsidR="00AE247B" w:rsidRPr="00AE247B" w:rsidRDefault="00AE247B" w:rsidP="00443352">
            <w:pPr>
              <w:pStyle w:val="CLDNormal"/>
              <w:jc w:val="left"/>
              <w:rPr>
                <w:rFonts w:eastAsiaTheme="minorEastAsia"/>
                <w:sz w:val="20"/>
                <w:lang w:val="en-AU"/>
              </w:rPr>
            </w:pPr>
          </w:p>
        </w:tc>
        <w:tc>
          <w:tcPr>
            <w:tcW w:w="2014" w:type="dxa"/>
            <w:tcBorders>
              <w:top w:val="single" w:sz="4" w:space="0" w:color="000000"/>
              <w:left w:val="single" w:sz="4" w:space="0" w:color="000000"/>
              <w:bottom w:val="single" w:sz="4" w:space="0" w:color="auto"/>
              <w:right w:val="single" w:sz="4" w:space="0" w:color="000000"/>
            </w:tcBorders>
          </w:tcPr>
          <w:p w14:paraId="05B79570" w14:textId="77777777" w:rsidR="00AE247B" w:rsidRPr="00AE247B" w:rsidRDefault="002E209D" w:rsidP="00443352">
            <w:pPr>
              <w:pStyle w:val="CLDNormal"/>
              <w:jc w:val="left"/>
              <w:rPr>
                <w:rFonts w:eastAsiaTheme="minorEastAsia"/>
                <w:sz w:val="20"/>
                <w:lang w:val="en-AU"/>
              </w:rPr>
            </w:pPr>
            <w:r>
              <w:rPr>
                <w:rFonts w:eastAsiaTheme="minorEastAsia"/>
                <w:sz w:val="20"/>
                <w:lang w:val="en-AU"/>
              </w:rPr>
              <w:t>M</w:t>
            </w:r>
            <w:r w:rsidR="00AE247B" w:rsidRPr="00AE247B">
              <w:rPr>
                <w:rFonts w:eastAsiaTheme="minorEastAsia"/>
                <w:sz w:val="20"/>
                <w:lang w:val="en-AU"/>
              </w:rPr>
              <w:t>igraine</w:t>
            </w:r>
          </w:p>
        </w:tc>
        <w:tc>
          <w:tcPr>
            <w:tcW w:w="1572" w:type="dxa"/>
            <w:tcBorders>
              <w:top w:val="single" w:sz="4" w:space="0" w:color="000000"/>
              <w:left w:val="single" w:sz="4" w:space="0" w:color="000000"/>
              <w:bottom w:val="single" w:sz="4" w:space="0" w:color="auto"/>
              <w:right w:val="single" w:sz="4" w:space="0" w:color="000000"/>
            </w:tcBorders>
          </w:tcPr>
          <w:p w14:paraId="6EEC95F8" w14:textId="77777777" w:rsidR="00AE247B" w:rsidRPr="00AE247B" w:rsidRDefault="00AE247B" w:rsidP="00443352">
            <w:pPr>
              <w:pStyle w:val="CLDNormal"/>
              <w:jc w:val="left"/>
              <w:rPr>
                <w:rFonts w:eastAsiaTheme="minorEastAsia"/>
                <w:sz w:val="20"/>
                <w:lang w:val="en-AU"/>
              </w:rPr>
            </w:pPr>
          </w:p>
        </w:tc>
        <w:tc>
          <w:tcPr>
            <w:tcW w:w="2283" w:type="dxa"/>
            <w:tcBorders>
              <w:top w:val="single" w:sz="4" w:space="0" w:color="000000"/>
              <w:left w:val="single" w:sz="4" w:space="0" w:color="000000"/>
              <w:bottom w:val="single" w:sz="4" w:space="0" w:color="auto"/>
              <w:right w:val="single" w:sz="4" w:space="0" w:color="000000"/>
            </w:tcBorders>
          </w:tcPr>
          <w:p w14:paraId="05423259" w14:textId="77777777" w:rsidR="00AE247B" w:rsidRPr="00AE247B" w:rsidRDefault="002E209D" w:rsidP="00443352">
            <w:pPr>
              <w:pStyle w:val="CLDNormal"/>
              <w:jc w:val="left"/>
              <w:rPr>
                <w:rFonts w:eastAsiaTheme="minorEastAsia"/>
                <w:sz w:val="20"/>
                <w:lang w:val="en-AU"/>
              </w:rPr>
            </w:pPr>
            <w:r>
              <w:rPr>
                <w:rFonts w:eastAsiaTheme="minorEastAsia"/>
                <w:sz w:val="20"/>
                <w:lang w:val="en-AU"/>
              </w:rPr>
              <w:t>P</w:t>
            </w:r>
            <w:r w:rsidR="00AE247B" w:rsidRPr="00AE247B">
              <w:rPr>
                <w:rFonts w:eastAsiaTheme="minorEastAsia"/>
                <w:sz w:val="20"/>
                <w:lang w:val="en-AU"/>
              </w:rPr>
              <w:t>araesthesia</w:t>
            </w:r>
          </w:p>
        </w:tc>
      </w:tr>
    </w:tbl>
    <w:p w14:paraId="209AC9B3" w14:textId="77777777" w:rsidR="002E209D" w:rsidRPr="003A539F" w:rsidRDefault="002E209D" w:rsidP="00443352">
      <w:pPr>
        <w:pStyle w:val="CLDNormal"/>
        <w:spacing w:after="0"/>
        <w:jc w:val="left"/>
        <w:rPr>
          <w:rFonts w:eastAsiaTheme="minorEastAsia"/>
          <w:sz w:val="20"/>
        </w:rPr>
      </w:pPr>
      <w:r w:rsidRPr="003A539F">
        <w:rPr>
          <w:rFonts w:eastAsiaTheme="minorEastAsia"/>
          <w:sz w:val="20"/>
        </w:rPr>
        <w:t>† This table include all events with an incidence difference of ≥ 2 % for rituximab compared to placebo</w:t>
      </w:r>
    </w:p>
    <w:p w14:paraId="6D389458" w14:textId="77777777" w:rsidR="00AE247B" w:rsidRPr="003A539F" w:rsidRDefault="002E209D" w:rsidP="00443352">
      <w:pPr>
        <w:pStyle w:val="CLDNormal"/>
        <w:spacing w:after="0"/>
        <w:jc w:val="left"/>
        <w:rPr>
          <w:rFonts w:eastAsiaTheme="minorEastAsia"/>
          <w:sz w:val="20"/>
        </w:rPr>
      </w:pPr>
      <w:r w:rsidRPr="003A539F">
        <w:rPr>
          <w:rFonts w:eastAsiaTheme="minorEastAsia"/>
          <w:sz w:val="20"/>
        </w:rPr>
        <w:t>* Reactions occurring during or within 24 hours of infusion</w:t>
      </w:r>
    </w:p>
    <w:p w14:paraId="2E9FD647" w14:textId="77777777" w:rsidR="002E209D" w:rsidRDefault="002E209D" w:rsidP="00443352">
      <w:pPr>
        <w:pStyle w:val="CLDNormal"/>
        <w:spacing w:after="0"/>
        <w:jc w:val="left"/>
        <w:rPr>
          <w:rFonts w:eastAsiaTheme="minorEastAsia"/>
          <w:b/>
          <w:sz w:val="20"/>
        </w:rPr>
      </w:pPr>
    </w:p>
    <w:p w14:paraId="44EC2142" w14:textId="5B52FD2A" w:rsidR="002E209D" w:rsidRDefault="002E209D" w:rsidP="00443352">
      <w:pPr>
        <w:pStyle w:val="CLDNormal"/>
        <w:jc w:val="left"/>
        <w:rPr>
          <w:rFonts w:eastAsiaTheme="minorEastAsia"/>
          <w:szCs w:val="24"/>
        </w:rPr>
      </w:pPr>
      <w:r w:rsidRPr="002E209D">
        <w:rPr>
          <w:rFonts w:eastAsiaTheme="minorEastAsia"/>
          <w:szCs w:val="24"/>
        </w:rPr>
        <w:t xml:space="preserve">The following adverse events were reported at a frequency between 1% and 2% greater in the </w:t>
      </w:r>
      <w:r w:rsidR="003A539F" w:rsidRPr="003A539F">
        <w:rPr>
          <w:rFonts w:eastAsiaTheme="minorEastAsia"/>
          <w:szCs w:val="24"/>
          <w:lang w:val="en-US"/>
        </w:rPr>
        <w:t>rituximab</w:t>
      </w:r>
      <w:r w:rsidRPr="002E209D">
        <w:rPr>
          <w:rFonts w:eastAsiaTheme="minorEastAsia"/>
          <w:szCs w:val="24"/>
        </w:rPr>
        <w:t>-arms compared to control arms: lower respiratory tract infections/pneumonia, abdominal pain upper, muscle spasms, asthenia.</w:t>
      </w:r>
    </w:p>
    <w:p w14:paraId="31C4B50C" w14:textId="19C71392" w:rsidR="002E209D" w:rsidRPr="002E209D" w:rsidRDefault="002E209D" w:rsidP="00443352">
      <w:pPr>
        <w:pStyle w:val="CLDNormal"/>
        <w:jc w:val="left"/>
        <w:rPr>
          <w:rFonts w:eastAsiaTheme="minorEastAsia"/>
          <w:szCs w:val="24"/>
        </w:rPr>
      </w:pPr>
      <w:r w:rsidRPr="002E209D">
        <w:rPr>
          <w:rFonts w:eastAsiaTheme="minorEastAsia"/>
          <w:szCs w:val="24"/>
        </w:rPr>
        <w:t xml:space="preserve">In addition to the events tabulated above, medically significant events reported rarely in the </w:t>
      </w:r>
      <w:r w:rsidR="003A539F" w:rsidRPr="003A539F">
        <w:rPr>
          <w:rFonts w:eastAsiaTheme="minorEastAsia"/>
          <w:szCs w:val="24"/>
          <w:lang w:val="en-US"/>
        </w:rPr>
        <w:t>rituximab</w:t>
      </w:r>
      <w:r w:rsidRPr="002E209D">
        <w:rPr>
          <w:rFonts w:eastAsiaTheme="minorEastAsia"/>
          <w:szCs w:val="24"/>
        </w:rPr>
        <w:t xml:space="preserve"> treated population and considered potential reactions to treatment include the following:</w:t>
      </w:r>
    </w:p>
    <w:p w14:paraId="62625F8E" w14:textId="2B771D11" w:rsidR="002E209D" w:rsidRPr="002E209D" w:rsidRDefault="002E209D" w:rsidP="00443352">
      <w:pPr>
        <w:pStyle w:val="CLDNormal"/>
        <w:jc w:val="left"/>
        <w:rPr>
          <w:rFonts w:eastAsiaTheme="minorEastAsia"/>
          <w:szCs w:val="24"/>
        </w:rPr>
      </w:pPr>
      <w:r w:rsidRPr="002E209D">
        <w:rPr>
          <w:rFonts w:eastAsiaTheme="minorEastAsia"/>
          <w:szCs w:val="24"/>
        </w:rPr>
        <w:t xml:space="preserve">General Disorders: </w:t>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r>
      <w:r w:rsidRPr="002E209D">
        <w:rPr>
          <w:rFonts w:eastAsiaTheme="minorEastAsia"/>
          <w:szCs w:val="24"/>
        </w:rPr>
        <w:t>Generalised oedema</w:t>
      </w:r>
    </w:p>
    <w:p w14:paraId="72F8AE63" w14:textId="77777777" w:rsidR="002E209D" w:rsidRPr="002E209D" w:rsidRDefault="002E209D" w:rsidP="00443352">
      <w:pPr>
        <w:pStyle w:val="CLDNormal"/>
        <w:jc w:val="left"/>
        <w:rPr>
          <w:rFonts w:eastAsiaTheme="minorEastAsia"/>
          <w:szCs w:val="24"/>
        </w:rPr>
      </w:pPr>
      <w:r w:rsidRPr="002E209D">
        <w:rPr>
          <w:rFonts w:eastAsiaTheme="minorEastAsia"/>
          <w:szCs w:val="24"/>
        </w:rPr>
        <w:t xml:space="preserve">Respiratory Disorders: </w:t>
      </w:r>
      <w:r>
        <w:rPr>
          <w:rFonts w:eastAsiaTheme="minorEastAsia"/>
          <w:szCs w:val="24"/>
        </w:rPr>
        <w:tab/>
      </w:r>
      <w:r>
        <w:rPr>
          <w:rFonts w:eastAsiaTheme="minorEastAsia"/>
          <w:szCs w:val="24"/>
        </w:rPr>
        <w:tab/>
      </w:r>
      <w:r>
        <w:rPr>
          <w:rFonts w:eastAsiaTheme="minorEastAsia"/>
          <w:szCs w:val="24"/>
        </w:rPr>
        <w:tab/>
      </w:r>
      <w:r w:rsidRPr="002E209D">
        <w:rPr>
          <w:rFonts w:eastAsiaTheme="minorEastAsia"/>
          <w:szCs w:val="24"/>
        </w:rPr>
        <w:t>Bronchospasm, wheezing, laryngeal oedema</w:t>
      </w:r>
    </w:p>
    <w:p w14:paraId="49470A12" w14:textId="77777777" w:rsidR="002E209D" w:rsidRPr="002E209D" w:rsidRDefault="002E209D" w:rsidP="00443352">
      <w:pPr>
        <w:pStyle w:val="CLDNormal"/>
        <w:jc w:val="left"/>
        <w:rPr>
          <w:rFonts w:eastAsiaTheme="minorEastAsia"/>
          <w:szCs w:val="24"/>
        </w:rPr>
      </w:pPr>
      <w:r w:rsidRPr="002E209D">
        <w:rPr>
          <w:rFonts w:eastAsiaTheme="minorEastAsia"/>
          <w:szCs w:val="24"/>
        </w:rPr>
        <w:t xml:space="preserve">Skin and Subcutaneous Disorders: </w:t>
      </w:r>
      <w:r>
        <w:rPr>
          <w:rFonts w:eastAsiaTheme="minorEastAsia"/>
          <w:szCs w:val="24"/>
        </w:rPr>
        <w:tab/>
      </w:r>
      <w:proofErr w:type="spellStart"/>
      <w:r w:rsidRPr="002E209D">
        <w:rPr>
          <w:rFonts w:eastAsiaTheme="minorEastAsia"/>
          <w:szCs w:val="24"/>
        </w:rPr>
        <w:t>Angioneurotic</w:t>
      </w:r>
      <w:proofErr w:type="spellEnd"/>
      <w:r w:rsidRPr="002E209D">
        <w:rPr>
          <w:rFonts w:eastAsiaTheme="minorEastAsia"/>
          <w:szCs w:val="24"/>
        </w:rPr>
        <w:t xml:space="preserve"> oedema, generalised </w:t>
      </w:r>
      <w:proofErr w:type="spellStart"/>
      <w:r w:rsidRPr="002E209D">
        <w:rPr>
          <w:rFonts w:eastAsiaTheme="minorEastAsia"/>
          <w:szCs w:val="24"/>
        </w:rPr>
        <w:t>pruritis</w:t>
      </w:r>
      <w:proofErr w:type="spellEnd"/>
    </w:p>
    <w:p w14:paraId="455A22FD" w14:textId="77777777" w:rsidR="002E209D" w:rsidRPr="002E209D" w:rsidRDefault="002E209D" w:rsidP="00443352">
      <w:pPr>
        <w:pStyle w:val="CLDNormal"/>
        <w:jc w:val="left"/>
        <w:rPr>
          <w:rFonts w:eastAsiaTheme="minorEastAsia"/>
          <w:szCs w:val="24"/>
        </w:rPr>
      </w:pPr>
      <w:r w:rsidRPr="002E209D">
        <w:rPr>
          <w:rFonts w:eastAsiaTheme="minorEastAsia"/>
          <w:szCs w:val="24"/>
        </w:rPr>
        <w:t xml:space="preserve">Immune system Disorders: </w:t>
      </w:r>
      <w:r>
        <w:rPr>
          <w:rFonts w:eastAsiaTheme="minorEastAsia"/>
          <w:szCs w:val="24"/>
        </w:rPr>
        <w:tab/>
      </w:r>
      <w:r>
        <w:rPr>
          <w:rFonts w:eastAsiaTheme="minorEastAsia"/>
          <w:szCs w:val="24"/>
        </w:rPr>
        <w:tab/>
      </w:r>
      <w:r w:rsidRPr="002E209D">
        <w:rPr>
          <w:rFonts w:eastAsiaTheme="minorEastAsia"/>
          <w:szCs w:val="24"/>
        </w:rPr>
        <w:t xml:space="preserve">Anaphylaxis, </w:t>
      </w:r>
      <w:proofErr w:type="spellStart"/>
      <w:r w:rsidRPr="002E209D">
        <w:rPr>
          <w:rFonts w:eastAsiaTheme="minorEastAsia"/>
          <w:szCs w:val="24"/>
        </w:rPr>
        <w:t>anaphylactoid</w:t>
      </w:r>
      <w:proofErr w:type="spellEnd"/>
      <w:r w:rsidRPr="002E209D">
        <w:rPr>
          <w:rFonts w:eastAsiaTheme="minorEastAsia"/>
          <w:szCs w:val="24"/>
        </w:rPr>
        <w:t xml:space="preserve"> reaction.</w:t>
      </w:r>
    </w:p>
    <w:p w14:paraId="2DFD2492" w14:textId="77777777" w:rsidR="002E209D" w:rsidRPr="002E209D" w:rsidRDefault="002E209D" w:rsidP="00443352">
      <w:pPr>
        <w:pStyle w:val="CLDNormal"/>
        <w:jc w:val="left"/>
        <w:rPr>
          <w:rFonts w:eastAsiaTheme="minorEastAsia"/>
          <w:szCs w:val="24"/>
          <w:u w:val="single"/>
        </w:rPr>
      </w:pPr>
      <w:r w:rsidRPr="002E209D">
        <w:rPr>
          <w:rFonts w:eastAsiaTheme="minorEastAsia"/>
          <w:szCs w:val="24"/>
          <w:u w:val="single"/>
        </w:rPr>
        <w:t>Multiple Courses</w:t>
      </w:r>
    </w:p>
    <w:p w14:paraId="6370B4A7" w14:textId="05467D51" w:rsidR="002E209D" w:rsidRPr="002E209D" w:rsidRDefault="002E209D" w:rsidP="00443352">
      <w:pPr>
        <w:pStyle w:val="CLDNormal"/>
        <w:jc w:val="left"/>
        <w:rPr>
          <w:rFonts w:eastAsiaTheme="minorEastAsia"/>
          <w:szCs w:val="24"/>
        </w:rPr>
      </w:pPr>
      <w:r w:rsidRPr="002E209D">
        <w:rPr>
          <w:rFonts w:eastAsiaTheme="minorEastAsia"/>
          <w:szCs w:val="24"/>
        </w:rPr>
        <w:t xml:space="preserve">Multiple courses of treatment are associated with a similar ADR profile to that observed following first exposure. However, worsening of infusion or allergic reactions and failure to B cell deplete following rituximab cannot be excluded in HACA positive patients after repeated exposure to rituximab on the basis of the available data. The incidence of acute infusion reactions following subsequent treatment courses was generally lower than the incidence following the first infusion of </w:t>
      </w:r>
      <w:r w:rsidR="003A539F" w:rsidRPr="003A539F">
        <w:rPr>
          <w:rFonts w:eastAsiaTheme="minorEastAsia"/>
          <w:szCs w:val="24"/>
          <w:lang w:val="en-US"/>
        </w:rPr>
        <w:t>rituximab</w:t>
      </w:r>
      <w:r w:rsidRPr="002E209D">
        <w:rPr>
          <w:rFonts w:eastAsiaTheme="minorEastAsia"/>
          <w:szCs w:val="24"/>
        </w:rPr>
        <w:t>.</w:t>
      </w:r>
    </w:p>
    <w:p w14:paraId="75CF4CAC" w14:textId="77777777" w:rsidR="002E209D" w:rsidRPr="002E209D" w:rsidRDefault="002E209D" w:rsidP="00443352">
      <w:pPr>
        <w:pStyle w:val="CLDNormal"/>
        <w:jc w:val="left"/>
        <w:rPr>
          <w:rFonts w:eastAsiaTheme="minorEastAsia"/>
          <w:b/>
          <w:szCs w:val="24"/>
        </w:rPr>
      </w:pPr>
      <w:r w:rsidRPr="002E209D">
        <w:rPr>
          <w:rFonts w:eastAsiaTheme="minorEastAsia"/>
          <w:b/>
          <w:szCs w:val="24"/>
        </w:rPr>
        <w:t>Laboratory Abnormalities</w:t>
      </w:r>
    </w:p>
    <w:p w14:paraId="2CBD52CE" w14:textId="7C424585" w:rsidR="002E209D" w:rsidRPr="002E209D" w:rsidRDefault="002E209D" w:rsidP="00443352">
      <w:pPr>
        <w:pStyle w:val="CLDNormal"/>
        <w:jc w:val="left"/>
        <w:rPr>
          <w:rFonts w:eastAsiaTheme="minorEastAsia"/>
          <w:szCs w:val="24"/>
        </w:rPr>
      </w:pPr>
      <w:proofErr w:type="spellStart"/>
      <w:r w:rsidRPr="002E209D">
        <w:rPr>
          <w:rFonts w:eastAsiaTheme="minorEastAsia"/>
          <w:szCs w:val="24"/>
        </w:rPr>
        <w:t>Hypogammaglobulinaemia</w:t>
      </w:r>
      <w:proofErr w:type="spellEnd"/>
      <w:r w:rsidRPr="002E209D">
        <w:rPr>
          <w:rFonts w:eastAsiaTheme="minorEastAsia"/>
          <w:szCs w:val="24"/>
        </w:rPr>
        <w:t xml:space="preserve"> (IgG or IgM below the lower limit of normal) has been observed in RA patients treated with </w:t>
      </w:r>
      <w:r w:rsidR="003A539F" w:rsidRPr="003A539F">
        <w:rPr>
          <w:rFonts w:eastAsiaTheme="minorEastAsia"/>
          <w:szCs w:val="24"/>
          <w:lang w:val="en-US"/>
        </w:rPr>
        <w:t>rituximab</w:t>
      </w:r>
      <w:r w:rsidRPr="002E209D">
        <w:rPr>
          <w:rFonts w:eastAsiaTheme="minorEastAsia"/>
          <w:szCs w:val="24"/>
        </w:rPr>
        <w:t>. During routine laboratory monitoring, decreased IgM was observed very commonly (≥10% of patients), and decreased IgG was observed commonly (approximately 3.5% of patients) in RA clinical trials. There was no increased rate in overall infections or serious infections after the development of low IgG or IgM.</w:t>
      </w:r>
    </w:p>
    <w:p w14:paraId="761E6719" w14:textId="4E004A1E" w:rsidR="002E209D" w:rsidRPr="002E209D" w:rsidRDefault="002E209D" w:rsidP="00443352">
      <w:pPr>
        <w:pStyle w:val="CLDNormal"/>
        <w:jc w:val="left"/>
        <w:rPr>
          <w:rFonts w:eastAsiaTheme="minorEastAsia"/>
          <w:szCs w:val="24"/>
        </w:rPr>
      </w:pPr>
      <w:r w:rsidRPr="002E209D">
        <w:rPr>
          <w:rFonts w:eastAsiaTheme="minorEastAsia"/>
          <w:szCs w:val="24"/>
        </w:rPr>
        <w:t xml:space="preserve">Events of neutropenia associated with </w:t>
      </w:r>
      <w:r w:rsidR="003A539F" w:rsidRPr="003A539F">
        <w:rPr>
          <w:rFonts w:eastAsiaTheme="minorEastAsia"/>
          <w:szCs w:val="24"/>
          <w:lang w:val="en-US"/>
        </w:rPr>
        <w:t>rituximab</w:t>
      </w:r>
      <w:r w:rsidRPr="002E209D">
        <w:rPr>
          <w:rFonts w:eastAsiaTheme="minorEastAsia"/>
          <w:szCs w:val="24"/>
        </w:rPr>
        <w:t xml:space="preserve"> treatment, the majority of which were transient and mild or moderate in severity, were observed in clinical trials in RA patients after the first course of treatment. Neutropenia can occur several months after the administration of </w:t>
      </w:r>
      <w:r w:rsidR="003A539F" w:rsidRPr="003A539F">
        <w:rPr>
          <w:rFonts w:eastAsiaTheme="minorEastAsia"/>
          <w:szCs w:val="24"/>
          <w:lang w:val="en-US"/>
        </w:rPr>
        <w:t>rituximab</w:t>
      </w:r>
      <w:r w:rsidRPr="002E209D">
        <w:rPr>
          <w:rFonts w:eastAsiaTheme="minorEastAsia"/>
          <w:szCs w:val="24"/>
        </w:rPr>
        <w:t>.</w:t>
      </w:r>
    </w:p>
    <w:p w14:paraId="0766281D" w14:textId="31E5EDDB" w:rsidR="002E209D" w:rsidRDefault="002E209D" w:rsidP="00443352">
      <w:pPr>
        <w:pStyle w:val="CLDNormal"/>
        <w:jc w:val="left"/>
        <w:rPr>
          <w:rFonts w:eastAsiaTheme="minorEastAsia"/>
          <w:szCs w:val="24"/>
        </w:rPr>
      </w:pPr>
      <w:r w:rsidRPr="002E209D">
        <w:rPr>
          <w:rFonts w:eastAsiaTheme="minorEastAsia"/>
          <w:szCs w:val="24"/>
        </w:rPr>
        <w:t xml:space="preserve">In placebo-controlled periods of clinical trials, all grade neutropenia (derived from laboratory values) was observed commonly and 0.94% (13/1382) of </w:t>
      </w:r>
      <w:r w:rsidR="003A539F" w:rsidRPr="003A539F">
        <w:rPr>
          <w:rFonts w:eastAsiaTheme="minorEastAsia"/>
          <w:szCs w:val="24"/>
          <w:lang w:val="en-US"/>
        </w:rPr>
        <w:t>rituximab</w:t>
      </w:r>
      <w:r w:rsidRPr="002E209D">
        <w:rPr>
          <w:rFonts w:eastAsiaTheme="minorEastAsia"/>
          <w:szCs w:val="24"/>
        </w:rPr>
        <w:t xml:space="preserve">-treated patients and 0.27% (2/731) of placebo patients developed severe (Grade 3 or 4) neutropenia. In these studies, rates of severe neutropenia were 1.06 and 0.53/100 patient years after the first treatment course, respectively, and 0.97 and 0.88/100 patient years after multiple courses, respectively. Therefore, neutropenia is more common as an ADR for the first course. Time to onset of neutropenia was variable. In clinical trials neutropenia was not associated with an observed increase in serious infection, and most patients continued to receive additional courses of </w:t>
      </w:r>
      <w:r w:rsidR="003A539F" w:rsidRPr="003A539F">
        <w:rPr>
          <w:rFonts w:eastAsiaTheme="minorEastAsia"/>
          <w:szCs w:val="24"/>
          <w:lang w:val="en-US"/>
        </w:rPr>
        <w:t>rituximab</w:t>
      </w:r>
      <w:r w:rsidRPr="002E209D">
        <w:rPr>
          <w:rFonts w:eastAsiaTheme="minorEastAsia"/>
          <w:szCs w:val="24"/>
        </w:rPr>
        <w:t xml:space="preserve"> after episodes of neutropenia</w:t>
      </w:r>
      <w:r>
        <w:rPr>
          <w:rFonts w:eastAsiaTheme="minorEastAsia"/>
          <w:szCs w:val="24"/>
        </w:rPr>
        <w:t>.</w:t>
      </w:r>
    </w:p>
    <w:p w14:paraId="751DA817" w14:textId="1934995D" w:rsidR="002E209D" w:rsidRPr="002E209D" w:rsidRDefault="002E209D" w:rsidP="00443352">
      <w:pPr>
        <w:pStyle w:val="CLDNormal"/>
        <w:jc w:val="left"/>
        <w:rPr>
          <w:rFonts w:eastAsiaTheme="minorEastAsia"/>
          <w:b/>
          <w:szCs w:val="24"/>
        </w:rPr>
      </w:pPr>
      <w:r w:rsidRPr="002E209D">
        <w:rPr>
          <w:rFonts w:eastAsiaTheme="minorEastAsia"/>
          <w:b/>
          <w:szCs w:val="24"/>
        </w:rPr>
        <w:t>Further information on selected, serious adverse drug reactions</w:t>
      </w:r>
    </w:p>
    <w:p w14:paraId="0DC6661B" w14:textId="77777777" w:rsidR="002E209D" w:rsidRPr="002E209D" w:rsidRDefault="002E209D" w:rsidP="00443352">
      <w:pPr>
        <w:pStyle w:val="CLDNormal"/>
        <w:jc w:val="left"/>
        <w:rPr>
          <w:rFonts w:eastAsiaTheme="minorEastAsia"/>
          <w:szCs w:val="24"/>
          <w:u w:val="single"/>
        </w:rPr>
      </w:pPr>
      <w:r w:rsidRPr="002E209D">
        <w:rPr>
          <w:rFonts w:eastAsiaTheme="minorEastAsia"/>
          <w:szCs w:val="24"/>
          <w:u w:val="single"/>
        </w:rPr>
        <w:t>Infusion-related Reactions (IRRs)</w:t>
      </w:r>
    </w:p>
    <w:p w14:paraId="0F47D515" w14:textId="23DC0A63" w:rsidR="002E209D" w:rsidRPr="002E209D" w:rsidRDefault="002E209D" w:rsidP="00443352">
      <w:pPr>
        <w:pStyle w:val="CLDNormal"/>
        <w:jc w:val="left"/>
        <w:rPr>
          <w:rFonts w:eastAsiaTheme="minorEastAsia"/>
          <w:szCs w:val="24"/>
        </w:rPr>
      </w:pPr>
      <w:r w:rsidRPr="002E209D">
        <w:rPr>
          <w:rFonts w:eastAsiaTheme="minorEastAsia"/>
          <w:szCs w:val="24"/>
        </w:rPr>
        <w:t>Symptoms suggesting an acute infusion reaction (</w:t>
      </w:r>
      <w:proofErr w:type="spellStart"/>
      <w:r w:rsidRPr="002E209D">
        <w:rPr>
          <w:rFonts w:eastAsiaTheme="minorEastAsia"/>
          <w:szCs w:val="24"/>
        </w:rPr>
        <w:t>pruritis</w:t>
      </w:r>
      <w:proofErr w:type="spellEnd"/>
      <w:r w:rsidRPr="002E209D">
        <w:rPr>
          <w:rFonts w:eastAsiaTheme="minorEastAsia"/>
          <w:szCs w:val="24"/>
        </w:rPr>
        <w:t xml:space="preserve">, fever, </w:t>
      </w:r>
      <w:proofErr w:type="spellStart"/>
      <w:r w:rsidRPr="002E209D">
        <w:rPr>
          <w:rFonts w:eastAsiaTheme="minorEastAsia"/>
          <w:szCs w:val="24"/>
        </w:rPr>
        <w:t>urticaria</w:t>
      </w:r>
      <w:proofErr w:type="spellEnd"/>
      <w:r w:rsidRPr="002E209D">
        <w:rPr>
          <w:rFonts w:eastAsiaTheme="minorEastAsia"/>
          <w:szCs w:val="24"/>
        </w:rPr>
        <w:t xml:space="preserve">/rash, chills, pyrexia, rigors, sneezing, </w:t>
      </w:r>
      <w:proofErr w:type="spellStart"/>
      <w:r w:rsidRPr="002E209D">
        <w:rPr>
          <w:rFonts w:eastAsiaTheme="minorEastAsia"/>
          <w:szCs w:val="24"/>
        </w:rPr>
        <w:t>angioneurotic</w:t>
      </w:r>
      <w:proofErr w:type="spellEnd"/>
      <w:r w:rsidRPr="002E209D">
        <w:rPr>
          <w:rFonts w:eastAsiaTheme="minorEastAsia"/>
          <w:szCs w:val="24"/>
        </w:rPr>
        <w:t xml:space="preserve"> oedema, throat irritation, cough and bronchospasm, with or without associated hypotension or hypertension) were observed in 79/540 (15%) patients following their first exposure to </w:t>
      </w:r>
      <w:r w:rsidR="003A539F" w:rsidRPr="003A539F">
        <w:rPr>
          <w:rFonts w:eastAsiaTheme="minorEastAsia"/>
          <w:szCs w:val="24"/>
          <w:lang w:val="en-US"/>
        </w:rPr>
        <w:t>rituximab</w:t>
      </w:r>
      <w:r w:rsidRPr="002E209D">
        <w:rPr>
          <w:rFonts w:eastAsiaTheme="minorEastAsia"/>
          <w:szCs w:val="24"/>
        </w:rPr>
        <w:t xml:space="preserve">. In a study comparing the effect of glucocorticoid regimen, these events were observed in 5/149 (3%) of patients following their first placebo infusion and 42/192 (22%) of patients receiving their first infusion of 1000 mg </w:t>
      </w:r>
      <w:r w:rsidR="003A539F" w:rsidRPr="003A539F">
        <w:rPr>
          <w:rFonts w:eastAsiaTheme="minorEastAsia"/>
          <w:szCs w:val="24"/>
          <w:lang w:val="en-US"/>
        </w:rPr>
        <w:t>rituximab</w:t>
      </w:r>
      <w:r w:rsidRPr="002E209D">
        <w:rPr>
          <w:rFonts w:eastAsiaTheme="minorEastAsia"/>
          <w:szCs w:val="24"/>
        </w:rPr>
        <w:t xml:space="preserve">. Premedication with IV glucocorticoid significantly reduced the incidence and severity of these events (see section 4.4 Special warnings and precautions for use). Of the patients who received 1000 mg </w:t>
      </w:r>
      <w:r w:rsidR="003A539F" w:rsidRPr="003A539F">
        <w:rPr>
          <w:rFonts w:eastAsiaTheme="minorEastAsia"/>
          <w:szCs w:val="24"/>
          <w:lang w:val="en-US"/>
        </w:rPr>
        <w:t>rituximab</w:t>
      </w:r>
      <w:r w:rsidRPr="002E209D">
        <w:rPr>
          <w:rFonts w:eastAsiaTheme="minorEastAsia"/>
          <w:szCs w:val="24"/>
        </w:rPr>
        <w:t xml:space="preserve"> without premedication with glucocorticoids, 18/65 (28%)</w:t>
      </w:r>
      <w:r>
        <w:rPr>
          <w:rFonts w:eastAsiaTheme="minorEastAsia"/>
          <w:szCs w:val="24"/>
        </w:rPr>
        <w:t xml:space="preserve"> </w:t>
      </w:r>
      <w:r w:rsidRPr="002E209D">
        <w:rPr>
          <w:rFonts w:eastAsiaTheme="minorEastAsia"/>
          <w:szCs w:val="24"/>
        </w:rPr>
        <w:t>experienced an acute infusion reaction, compared with 24/127 (19%) in patients given IV glucocorticoid premedication, respectively.</w:t>
      </w:r>
    </w:p>
    <w:p w14:paraId="51C62DBE" w14:textId="4B873FF8" w:rsidR="002E209D" w:rsidRPr="002E209D" w:rsidRDefault="002E209D" w:rsidP="00443352">
      <w:pPr>
        <w:pStyle w:val="CLDNormal"/>
        <w:jc w:val="left"/>
        <w:rPr>
          <w:rFonts w:eastAsiaTheme="minorEastAsia"/>
          <w:szCs w:val="24"/>
        </w:rPr>
      </w:pPr>
      <w:r w:rsidRPr="002E209D">
        <w:rPr>
          <w:rFonts w:eastAsiaTheme="minorEastAsia"/>
          <w:szCs w:val="24"/>
        </w:rPr>
        <w:t xml:space="preserve">In Study 1 (REFLEX) 5/308 (1.6%) patients from the </w:t>
      </w:r>
      <w:r w:rsidR="003A539F">
        <w:rPr>
          <w:rFonts w:eastAsiaTheme="minorEastAsia"/>
          <w:lang w:val="en-US"/>
        </w:rPr>
        <w:t>rituximab</w:t>
      </w:r>
      <w:r w:rsidRPr="002E209D">
        <w:rPr>
          <w:rFonts w:eastAsiaTheme="minorEastAsia"/>
          <w:szCs w:val="24"/>
        </w:rPr>
        <w:t xml:space="preserve"> + MTX group and no patients from the placebo + MTX group withdrew from the study due to acute infusion reactions. A reduced number of acute infusion reactions occurred during the second infusion, and none resulted in withdrawal of a patient.</w:t>
      </w:r>
    </w:p>
    <w:p w14:paraId="3AD5A4D2" w14:textId="13B46BA4" w:rsidR="002E209D" w:rsidRPr="002E209D" w:rsidRDefault="002E209D" w:rsidP="00443352">
      <w:pPr>
        <w:pStyle w:val="CLDNormal"/>
        <w:jc w:val="left"/>
        <w:rPr>
          <w:rFonts w:eastAsiaTheme="minorEastAsia"/>
          <w:szCs w:val="24"/>
        </w:rPr>
      </w:pPr>
      <w:r w:rsidRPr="002E209D">
        <w:rPr>
          <w:rFonts w:eastAsiaTheme="minorEastAsia"/>
          <w:szCs w:val="24"/>
        </w:rPr>
        <w:t xml:space="preserve">In Study 2 (DANCER) 5/192 (3%) patients in the 2 x 1000 mg </w:t>
      </w:r>
      <w:r w:rsidR="003A539F" w:rsidRPr="003A539F">
        <w:rPr>
          <w:rFonts w:eastAsiaTheme="minorEastAsia"/>
          <w:szCs w:val="24"/>
          <w:lang w:val="en-US"/>
        </w:rPr>
        <w:t>rituximab</w:t>
      </w:r>
      <w:r w:rsidRPr="002E209D">
        <w:rPr>
          <w:rFonts w:eastAsiaTheme="minorEastAsia"/>
          <w:szCs w:val="24"/>
        </w:rPr>
        <w:t xml:space="preserve"> + MTX group were withdrawn due to acute infusion reactions. No patients in the placebo or 2 x 500 mg </w:t>
      </w:r>
      <w:r w:rsidR="003A539F" w:rsidRPr="003A539F">
        <w:rPr>
          <w:rFonts w:eastAsiaTheme="minorEastAsia"/>
          <w:szCs w:val="24"/>
          <w:lang w:val="en-US"/>
        </w:rPr>
        <w:t>rituximab</w:t>
      </w:r>
      <w:r w:rsidRPr="002E209D">
        <w:rPr>
          <w:rFonts w:eastAsiaTheme="minorEastAsia"/>
          <w:szCs w:val="24"/>
        </w:rPr>
        <w:t xml:space="preserve"> groups withdrew from treatment.</w:t>
      </w:r>
    </w:p>
    <w:p w14:paraId="3120DB1D" w14:textId="0B92345E" w:rsidR="002E209D" w:rsidRPr="002E209D" w:rsidRDefault="002E209D" w:rsidP="00443352">
      <w:pPr>
        <w:pStyle w:val="CLDNormal"/>
        <w:jc w:val="left"/>
        <w:rPr>
          <w:rFonts w:eastAsiaTheme="minorEastAsia"/>
          <w:szCs w:val="24"/>
        </w:rPr>
      </w:pPr>
      <w:r w:rsidRPr="002E209D">
        <w:rPr>
          <w:rFonts w:eastAsiaTheme="minorEastAsia"/>
          <w:szCs w:val="24"/>
        </w:rPr>
        <w:t xml:space="preserve">In Study 3 one patient in the 2 x 1000 mg </w:t>
      </w:r>
      <w:r w:rsidR="001D5FD3">
        <w:rPr>
          <w:rFonts w:eastAsiaTheme="minorEastAsia"/>
          <w:szCs w:val="24"/>
        </w:rPr>
        <w:t>RUXIENCE</w:t>
      </w:r>
      <w:r w:rsidRPr="002E209D">
        <w:rPr>
          <w:rFonts w:eastAsiaTheme="minorEastAsia"/>
          <w:szCs w:val="24"/>
        </w:rPr>
        <w:t xml:space="preserve"> group withdrew due to an acute infusion reaction.</w:t>
      </w:r>
    </w:p>
    <w:p w14:paraId="5482C4AC" w14:textId="42A7C4FC" w:rsidR="002E209D" w:rsidRPr="002E209D" w:rsidRDefault="002E209D" w:rsidP="00443352">
      <w:pPr>
        <w:pStyle w:val="CLDNormal"/>
        <w:jc w:val="left"/>
        <w:rPr>
          <w:rFonts w:eastAsiaTheme="minorEastAsia"/>
          <w:szCs w:val="24"/>
        </w:rPr>
      </w:pPr>
      <w:r w:rsidRPr="002E209D">
        <w:rPr>
          <w:rFonts w:eastAsiaTheme="minorEastAsia"/>
          <w:szCs w:val="24"/>
        </w:rPr>
        <w:t xml:space="preserve">In study 4, which evaluated the safety of a 120 minute </w:t>
      </w:r>
      <w:r w:rsidR="00B47EB0" w:rsidRPr="00B47EB0">
        <w:rPr>
          <w:rFonts w:eastAsiaTheme="minorEastAsia"/>
          <w:szCs w:val="24"/>
          <w:lang w:val="en-US"/>
        </w:rPr>
        <w:t>rituximab</w:t>
      </w:r>
      <w:r w:rsidRPr="002E209D">
        <w:rPr>
          <w:rFonts w:eastAsiaTheme="minorEastAsia"/>
          <w:szCs w:val="24"/>
        </w:rPr>
        <w:t xml:space="preserve"> infusion in patients with moderate to severe active RA, patients who did not experience a serious IRR during or within 24 hours of their first studied infusion were allowed to receive a 120 minute infusion of </w:t>
      </w:r>
      <w:r w:rsidR="00B47EB0" w:rsidRPr="00B47EB0">
        <w:rPr>
          <w:rFonts w:eastAsiaTheme="minorEastAsia"/>
          <w:szCs w:val="24"/>
          <w:lang w:val="en-US"/>
        </w:rPr>
        <w:t>rituximab</w:t>
      </w:r>
      <w:r w:rsidRPr="002E209D">
        <w:rPr>
          <w:rFonts w:eastAsiaTheme="minorEastAsia"/>
          <w:szCs w:val="24"/>
        </w:rPr>
        <w:t>. Patients with a history of a serious infusion reaction to a biologic therapy for RA were excluded from entry. The incidence, types and severity of IRRs were consistent with that observed historically. No serious IRRs were observed (see section 5.1 Pharmacodynamic properties, Clinical trials).</w:t>
      </w:r>
    </w:p>
    <w:p w14:paraId="37BFCBDB" w14:textId="77777777" w:rsidR="002E209D" w:rsidRPr="002E209D" w:rsidRDefault="002E209D" w:rsidP="00443352">
      <w:pPr>
        <w:pStyle w:val="CLDNormal"/>
        <w:jc w:val="left"/>
        <w:rPr>
          <w:rFonts w:eastAsiaTheme="minorEastAsia"/>
          <w:szCs w:val="24"/>
          <w:u w:val="single"/>
        </w:rPr>
      </w:pPr>
      <w:r w:rsidRPr="002E209D">
        <w:rPr>
          <w:rFonts w:eastAsiaTheme="minorEastAsia"/>
          <w:szCs w:val="24"/>
          <w:u w:val="single"/>
        </w:rPr>
        <w:t>Infections</w:t>
      </w:r>
    </w:p>
    <w:p w14:paraId="53FC7470" w14:textId="0C36798D" w:rsidR="002E209D" w:rsidRPr="002E209D" w:rsidRDefault="002E209D" w:rsidP="00443352">
      <w:pPr>
        <w:pStyle w:val="CLDNormal"/>
        <w:jc w:val="left"/>
        <w:rPr>
          <w:rFonts w:eastAsiaTheme="minorEastAsia"/>
          <w:szCs w:val="24"/>
        </w:rPr>
      </w:pPr>
      <w:r w:rsidRPr="002E209D">
        <w:rPr>
          <w:rFonts w:eastAsiaTheme="minorEastAsia"/>
          <w:szCs w:val="24"/>
        </w:rPr>
        <w:t xml:space="preserve">The rate of infection was approximately 0.9 per patient year in </w:t>
      </w:r>
      <w:r w:rsidR="00B47EB0" w:rsidRPr="00B47EB0">
        <w:rPr>
          <w:rFonts w:eastAsiaTheme="minorEastAsia"/>
          <w:szCs w:val="24"/>
          <w:lang w:val="en-US"/>
        </w:rPr>
        <w:t>rituximab</w:t>
      </w:r>
      <w:r w:rsidRPr="002E209D">
        <w:rPr>
          <w:rFonts w:eastAsiaTheme="minorEastAsia"/>
          <w:szCs w:val="24"/>
        </w:rPr>
        <w:t xml:space="preserve"> treated patients. The infections consisted mostly of upper respiratory tract infections and urinary tract infections. Clinically significant infections (defined as those which were reported as serious and/or were treated with IV antibiotics) were observed in 68/1039 (7%) of patients treated with </w:t>
      </w:r>
      <w:r w:rsidR="00B47EB0" w:rsidRPr="00B47EB0">
        <w:rPr>
          <w:rFonts w:eastAsiaTheme="minorEastAsia"/>
          <w:szCs w:val="24"/>
          <w:lang w:val="en-US"/>
        </w:rPr>
        <w:t>rituximab</w:t>
      </w:r>
      <w:r w:rsidRPr="002E209D">
        <w:rPr>
          <w:rFonts w:eastAsiaTheme="minorEastAsia"/>
          <w:szCs w:val="24"/>
        </w:rPr>
        <w:t xml:space="preserve"> compared to 3/107 (3%) of patients treated with only placebo. The rate of clinically significant infection was 0.05 per patient year in </w:t>
      </w:r>
      <w:r w:rsidR="00B47EB0" w:rsidRPr="00B47EB0">
        <w:rPr>
          <w:rFonts w:eastAsiaTheme="minorEastAsia"/>
          <w:szCs w:val="24"/>
          <w:lang w:val="en-US"/>
        </w:rPr>
        <w:t>rituximab</w:t>
      </w:r>
      <w:r w:rsidRPr="002E209D">
        <w:rPr>
          <w:rFonts w:eastAsiaTheme="minorEastAsia"/>
          <w:szCs w:val="24"/>
        </w:rPr>
        <w:t xml:space="preserve"> treated patients. Clinically significant infections predominantly included those of the lower respiratory, urinary and gastrointestinal tracts. Three clinically significant infections resulted in fatal outcomes, one was considered related to </w:t>
      </w:r>
      <w:r w:rsidR="00B47EB0" w:rsidRPr="00B47EB0">
        <w:rPr>
          <w:rFonts w:eastAsiaTheme="minorEastAsia"/>
          <w:szCs w:val="24"/>
          <w:lang w:val="en-US"/>
        </w:rPr>
        <w:t>rituximab</w:t>
      </w:r>
      <w:r w:rsidRPr="002E209D">
        <w:rPr>
          <w:rFonts w:eastAsiaTheme="minorEastAsia"/>
          <w:szCs w:val="24"/>
        </w:rPr>
        <w:t xml:space="preserve"> (septic shock) and two unrelated (neutropenic sepsis and bronchopneumonia).</w:t>
      </w:r>
    </w:p>
    <w:p w14:paraId="170BCB66" w14:textId="20E1D11E" w:rsidR="002E209D" w:rsidRPr="002E209D" w:rsidRDefault="002E209D" w:rsidP="00443352">
      <w:pPr>
        <w:pStyle w:val="CLDNormal"/>
        <w:jc w:val="left"/>
        <w:rPr>
          <w:rFonts w:eastAsiaTheme="minorEastAsia"/>
          <w:szCs w:val="24"/>
        </w:rPr>
      </w:pPr>
      <w:r w:rsidRPr="002E209D">
        <w:rPr>
          <w:rFonts w:eastAsiaTheme="minorEastAsia"/>
          <w:szCs w:val="24"/>
        </w:rPr>
        <w:t xml:space="preserve">Cases of progressive multifocal leukoencephalopathy (PML) have been reported following use of </w:t>
      </w:r>
      <w:r w:rsidR="00B47EB0" w:rsidRPr="00B47EB0">
        <w:rPr>
          <w:rFonts w:eastAsiaTheme="minorEastAsia"/>
          <w:szCs w:val="24"/>
          <w:lang w:val="en-US"/>
        </w:rPr>
        <w:t>rituximab</w:t>
      </w:r>
      <w:r w:rsidRPr="002E209D">
        <w:rPr>
          <w:rFonts w:eastAsiaTheme="minorEastAsia"/>
          <w:szCs w:val="24"/>
        </w:rPr>
        <w:t xml:space="preserve"> for the treatment of autoimmune diseases including RA and GPA (see Boxed Warning and section 4.4 Special warnings and precautions).</w:t>
      </w:r>
    </w:p>
    <w:p w14:paraId="3A86D24F" w14:textId="77777777" w:rsidR="002E209D" w:rsidRPr="002E209D" w:rsidRDefault="002E209D" w:rsidP="00443352">
      <w:pPr>
        <w:pStyle w:val="CLDNormal"/>
        <w:jc w:val="left"/>
        <w:rPr>
          <w:rFonts w:eastAsiaTheme="minorEastAsia"/>
          <w:szCs w:val="24"/>
          <w:u w:val="single"/>
        </w:rPr>
      </w:pPr>
      <w:r w:rsidRPr="002E209D">
        <w:rPr>
          <w:rFonts w:eastAsiaTheme="minorEastAsia"/>
          <w:szCs w:val="24"/>
          <w:u w:val="single"/>
        </w:rPr>
        <w:t>Malignancies</w:t>
      </w:r>
    </w:p>
    <w:p w14:paraId="613EFAC3" w14:textId="12203CE6" w:rsidR="002E209D" w:rsidRPr="002E209D" w:rsidRDefault="002E209D" w:rsidP="00443352">
      <w:pPr>
        <w:pStyle w:val="CLDNormal"/>
        <w:jc w:val="left"/>
        <w:rPr>
          <w:rFonts w:eastAsiaTheme="minorEastAsia"/>
          <w:szCs w:val="24"/>
        </w:rPr>
      </w:pPr>
      <w:r w:rsidRPr="002E209D">
        <w:rPr>
          <w:rFonts w:eastAsiaTheme="minorEastAsia"/>
          <w:szCs w:val="24"/>
        </w:rPr>
        <w:t xml:space="preserve">The observed incidence of malignancies following exposure to rituximab (1.6 per 100 person years) lies within the range expected for a population with similar age and gender profile. A total of 26 malignancies have been reported in 22/1039 (2%) patients treated with </w:t>
      </w:r>
      <w:r w:rsidR="00B47EB0" w:rsidRPr="00B47EB0">
        <w:rPr>
          <w:rFonts w:eastAsiaTheme="minorEastAsia"/>
          <w:szCs w:val="24"/>
          <w:lang w:val="en-US"/>
        </w:rPr>
        <w:t>rituximab</w:t>
      </w:r>
      <w:r w:rsidRPr="002E209D">
        <w:rPr>
          <w:rFonts w:eastAsiaTheme="minorEastAsia"/>
          <w:szCs w:val="24"/>
        </w:rPr>
        <w:t xml:space="preserve">. The most common types were skin cancer (basal cell carcinoma squamous cell cancer, or melanoma) and breast cancer. Four malignancies (thyroid gland cancer, </w:t>
      </w:r>
      <w:proofErr w:type="spellStart"/>
      <w:r w:rsidRPr="002E209D">
        <w:rPr>
          <w:rFonts w:eastAsiaTheme="minorEastAsia"/>
          <w:szCs w:val="24"/>
        </w:rPr>
        <w:t>oligodendroglioma</w:t>
      </w:r>
      <w:proofErr w:type="spellEnd"/>
      <w:r w:rsidRPr="002E209D">
        <w:rPr>
          <w:rFonts w:eastAsiaTheme="minorEastAsia"/>
          <w:szCs w:val="24"/>
        </w:rPr>
        <w:t>, basal cell carcinoma and malignant melanoma) were assessed by the investigator as being related to trial treatment.</w:t>
      </w:r>
    </w:p>
    <w:p w14:paraId="4826F16B" w14:textId="79CD0497" w:rsidR="002E209D" w:rsidRDefault="002E209D" w:rsidP="00443352">
      <w:pPr>
        <w:pStyle w:val="CLDNormal"/>
        <w:jc w:val="left"/>
        <w:rPr>
          <w:rFonts w:eastAsiaTheme="minorEastAsia"/>
          <w:szCs w:val="24"/>
        </w:rPr>
      </w:pPr>
      <w:r w:rsidRPr="002E209D">
        <w:rPr>
          <w:rFonts w:eastAsiaTheme="minorEastAsia"/>
          <w:szCs w:val="24"/>
        </w:rPr>
        <w:t xml:space="preserve">Latency of onset was variable, ranging from 35 to 1324 days. There was no evidence that the incidence of malignancies altered over time, with fourteen malignancies occurring following the first course of </w:t>
      </w:r>
      <w:r w:rsidR="00B47EB0" w:rsidRPr="00B47EB0">
        <w:rPr>
          <w:rFonts w:eastAsiaTheme="minorEastAsia"/>
          <w:szCs w:val="24"/>
          <w:lang w:val="en-US"/>
        </w:rPr>
        <w:t>rituximab</w:t>
      </w:r>
      <w:r w:rsidRPr="002E209D">
        <w:rPr>
          <w:rFonts w:eastAsiaTheme="minorEastAsia"/>
          <w:szCs w:val="24"/>
        </w:rPr>
        <w:t>, ten following the second course, and two following the third</w:t>
      </w:r>
      <w:r>
        <w:rPr>
          <w:rFonts w:eastAsiaTheme="minorEastAsia"/>
          <w:szCs w:val="24"/>
        </w:rPr>
        <w:t xml:space="preserve"> </w:t>
      </w:r>
      <w:r w:rsidRPr="002E209D">
        <w:rPr>
          <w:rFonts w:eastAsiaTheme="minorEastAsia"/>
          <w:szCs w:val="24"/>
        </w:rPr>
        <w:t>course. Malignancies were reported mainly in patients aged ≥ 60 years (mean 60 years; range 37-80 years).</w:t>
      </w:r>
    </w:p>
    <w:p w14:paraId="190862E6" w14:textId="77777777" w:rsidR="002E209D" w:rsidRPr="002E209D" w:rsidRDefault="002E209D" w:rsidP="00443352">
      <w:pPr>
        <w:pStyle w:val="CLDNormal"/>
        <w:jc w:val="left"/>
        <w:rPr>
          <w:rFonts w:eastAsiaTheme="minorEastAsia"/>
          <w:b/>
          <w:szCs w:val="24"/>
        </w:rPr>
      </w:pPr>
      <w:r w:rsidRPr="002E209D">
        <w:rPr>
          <w:rFonts w:eastAsiaTheme="minorEastAsia"/>
          <w:b/>
          <w:szCs w:val="24"/>
        </w:rPr>
        <w:t>Additional all exposure data from combined approved and unapproved RA indications</w:t>
      </w:r>
    </w:p>
    <w:p w14:paraId="71C6E0E7" w14:textId="4936082B" w:rsidR="002E209D" w:rsidRPr="002E209D" w:rsidRDefault="002E209D" w:rsidP="00443352">
      <w:pPr>
        <w:pStyle w:val="CLDNormal"/>
        <w:jc w:val="left"/>
        <w:rPr>
          <w:rFonts w:eastAsiaTheme="minorEastAsia"/>
          <w:szCs w:val="24"/>
        </w:rPr>
      </w:pPr>
      <w:r w:rsidRPr="002E209D">
        <w:rPr>
          <w:rFonts w:eastAsiaTheme="minorEastAsia"/>
          <w:szCs w:val="24"/>
        </w:rPr>
        <w:t xml:space="preserve">The following all exposure data is sourced from RA studies relating to both approved and unapproved uses of </w:t>
      </w:r>
      <w:r w:rsidR="00B47EB0" w:rsidRPr="00B47EB0">
        <w:rPr>
          <w:rFonts w:eastAsiaTheme="minorEastAsia"/>
          <w:szCs w:val="24"/>
          <w:lang w:val="en-US"/>
        </w:rPr>
        <w:t>rituximab</w:t>
      </w:r>
      <w:r w:rsidRPr="002E209D">
        <w:rPr>
          <w:rFonts w:eastAsiaTheme="minorEastAsia"/>
          <w:szCs w:val="24"/>
        </w:rPr>
        <w:t xml:space="preserve"> in RA. The registered indication (in severe RA) is supported primarily by data from the REFLEX phase III pivotal study and additionally by data from the DANCER and WA16291 studies. The data presented below is taken from pooled all exposure analyses which included the 3 studies supporting the approved indication, as well as data from their respective open label extension studies, namely WA17531 (REFLEX extension) and WA16855 (DANCER/WA16291 extension). The all exposure analyses also included data from SERENE, SUNRISE, MIRROR, SIERRA and IMAGE studies, all of which support RA indications (early RA or moderate to severe RA) not registered in Australia.</w:t>
      </w:r>
    </w:p>
    <w:p w14:paraId="75AEE577" w14:textId="489025AE" w:rsidR="002E209D" w:rsidRPr="002E209D" w:rsidRDefault="002E209D" w:rsidP="00443352">
      <w:pPr>
        <w:pStyle w:val="CLDNormal"/>
        <w:jc w:val="left"/>
        <w:rPr>
          <w:rFonts w:eastAsiaTheme="minorEastAsia"/>
          <w:szCs w:val="24"/>
        </w:rPr>
      </w:pPr>
      <w:r w:rsidRPr="002E209D">
        <w:rPr>
          <w:rFonts w:eastAsiaTheme="minorEastAsia"/>
          <w:szCs w:val="24"/>
        </w:rPr>
        <w:t xml:space="preserve">In clinical trials 3095 patients were treated with </w:t>
      </w:r>
      <w:r w:rsidR="00B47EB0" w:rsidRPr="00B47EB0">
        <w:rPr>
          <w:rFonts w:eastAsiaTheme="minorEastAsia"/>
          <w:szCs w:val="24"/>
          <w:lang w:val="en-US"/>
        </w:rPr>
        <w:t>rituximab</w:t>
      </w:r>
      <w:r w:rsidRPr="002E209D">
        <w:rPr>
          <w:rFonts w:eastAsiaTheme="minorEastAsia"/>
          <w:szCs w:val="24"/>
        </w:rPr>
        <w:t xml:space="preserve"> for RA providing 7198 patient years of observation, with up to &gt; 8 years follow-up and up to 13 courses of </w:t>
      </w:r>
      <w:r w:rsidR="00B47EB0" w:rsidRPr="00B47EB0">
        <w:rPr>
          <w:rFonts w:eastAsiaTheme="minorEastAsia"/>
          <w:szCs w:val="24"/>
          <w:lang w:val="en-US"/>
        </w:rPr>
        <w:t>rituximab</w:t>
      </w:r>
      <w:r w:rsidRPr="002E209D">
        <w:rPr>
          <w:rFonts w:eastAsiaTheme="minorEastAsia"/>
          <w:szCs w:val="24"/>
        </w:rPr>
        <w:t xml:space="preserve"> received (one patient had received the 1st infusion of the 13th course at the time of data cut-off). Over 750 patients had been followed for &gt; 3 years and 225 patients for &gt; 5 years with 2365, 1581, 1038 and 497 patients receiving ≥ 2, ≥ 3, ≥ 4 and ≥ 5 courses, respectively. (The patient figures refer to the number of patients receiving at least one infusion or part of an infusion for any given course.) Most of the patients who received additional courses did so 24 weeks or more after the previous course and none were retreated sooner than 16 weeks. The rates and types of ADRs reported for subsequent courses of </w:t>
      </w:r>
      <w:r w:rsidR="00B47EB0" w:rsidRPr="00B47EB0">
        <w:rPr>
          <w:rFonts w:eastAsiaTheme="minorEastAsia"/>
          <w:szCs w:val="24"/>
          <w:lang w:val="en-US"/>
        </w:rPr>
        <w:t>rituximab</w:t>
      </w:r>
      <w:r w:rsidRPr="002E209D">
        <w:rPr>
          <w:rFonts w:eastAsiaTheme="minorEastAsia"/>
          <w:szCs w:val="24"/>
        </w:rPr>
        <w:t xml:space="preserve"> were similar to rates and types seen for a single course of </w:t>
      </w:r>
      <w:r w:rsidR="00B47EB0" w:rsidRPr="00B47EB0">
        <w:rPr>
          <w:rFonts w:eastAsiaTheme="minorEastAsia"/>
          <w:szCs w:val="24"/>
          <w:lang w:val="en-US"/>
        </w:rPr>
        <w:t>rituximab</w:t>
      </w:r>
      <w:r w:rsidRPr="002E209D">
        <w:rPr>
          <w:rFonts w:eastAsiaTheme="minorEastAsia"/>
          <w:szCs w:val="24"/>
        </w:rPr>
        <w:t>.</w:t>
      </w:r>
    </w:p>
    <w:p w14:paraId="51A607A2" w14:textId="77777777" w:rsidR="002E209D" w:rsidRPr="002E209D" w:rsidRDefault="002E209D" w:rsidP="00443352">
      <w:pPr>
        <w:pStyle w:val="CLDNormal"/>
        <w:jc w:val="left"/>
        <w:rPr>
          <w:rFonts w:eastAsiaTheme="minorEastAsia"/>
          <w:szCs w:val="24"/>
          <w:u w:val="single"/>
        </w:rPr>
      </w:pPr>
      <w:r w:rsidRPr="002E209D">
        <w:rPr>
          <w:rFonts w:eastAsiaTheme="minorEastAsia"/>
          <w:szCs w:val="24"/>
          <w:u w:val="single"/>
        </w:rPr>
        <w:t xml:space="preserve">Hypophosphataemia and </w:t>
      </w:r>
      <w:proofErr w:type="spellStart"/>
      <w:r w:rsidRPr="002E209D">
        <w:rPr>
          <w:rFonts w:eastAsiaTheme="minorEastAsia"/>
          <w:szCs w:val="24"/>
          <w:u w:val="single"/>
        </w:rPr>
        <w:t>hyperuricaemia</w:t>
      </w:r>
      <w:proofErr w:type="spellEnd"/>
    </w:p>
    <w:p w14:paraId="697FA000" w14:textId="77777777" w:rsidR="002E209D" w:rsidRDefault="002E209D" w:rsidP="00443352">
      <w:pPr>
        <w:pStyle w:val="CLDNormal"/>
        <w:jc w:val="left"/>
        <w:rPr>
          <w:rFonts w:eastAsiaTheme="minorEastAsia"/>
          <w:szCs w:val="24"/>
        </w:rPr>
      </w:pPr>
      <w:r w:rsidRPr="002E209D">
        <w:rPr>
          <w:rFonts w:eastAsiaTheme="minorEastAsia"/>
          <w:szCs w:val="24"/>
        </w:rPr>
        <w:t>In the overall RA clinical trial program hypophosphatemia (&lt; 2.0 mg/dl) was observed in 22% patients (688/3083), and hyperuricemia (&gt; 10 mg/</w:t>
      </w:r>
      <w:proofErr w:type="spellStart"/>
      <w:r w:rsidRPr="002E209D">
        <w:rPr>
          <w:rFonts w:eastAsiaTheme="minorEastAsia"/>
          <w:szCs w:val="24"/>
        </w:rPr>
        <w:t>dL</w:t>
      </w:r>
      <w:proofErr w:type="spellEnd"/>
      <w:r w:rsidRPr="002E209D">
        <w:rPr>
          <w:rFonts w:eastAsiaTheme="minorEastAsia"/>
          <w:szCs w:val="24"/>
        </w:rPr>
        <w:t xml:space="preserve">) in 13.0% (400/3083) patients. In the majority of cases, hypophosphataemia and </w:t>
      </w:r>
      <w:proofErr w:type="spellStart"/>
      <w:r w:rsidRPr="002E209D">
        <w:rPr>
          <w:rFonts w:eastAsiaTheme="minorEastAsia"/>
          <w:szCs w:val="24"/>
        </w:rPr>
        <w:t>hyperuricaemia</w:t>
      </w:r>
      <w:proofErr w:type="spellEnd"/>
      <w:r w:rsidRPr="002E209D">
        <w:rPr>
          <w:rFonts w:eastAsiaTheme="minorEastAsia"/>
          <w:szCs w:val="24"/>
        </w:rPr>
        <w:t xml:space="preserve"> were transient, occurring at the time of infusion.</w:t>
      </w:r>
      <w:r w:rsidR="00FB26A4">
        <w:rPr>
          <w:rFonts w:eastAsiaTheme="minorEastAsia"/>
          <w:szCs w:val="24"/>
        </w:rPr>
        <w:t xml:space="preserve"> </w:t>
      </w:r>
    </w:p>
    <w:p w14:paraId="602A0B25" w14:textId="77777777" w:rsidR="00FB26A4" w:rsidRPr="00FB26A4" w:rsidRDefault="00FB26A4" w:rsidP="00443352">
      <w:pPr>
        <w:pStyle w:val="CLDNormal"/>
        <w:jc w:val="left"/>
        <w:rPr>
          <w:rFonts w:eastAsiaTheme="minorEastAsia"/>
          <w:szCs w:val="24"/>
          <w:u w:val="single"/>
        </w:rPr>
      </w:pPr>
      <w:r w:rsidRPr="00FB26A4">
        <w:rPr>
          <w:rFonts w:eastAsiaTheme="minorEastAsia"/>
          <w:szCs w:val="24"/>
          <w:u w:val="single"/>
        </w:rPr>
        <w:t>Infusion-related Reactions (IRRs)</w:t>
      </w:r>
    </w:p>
    <w:p w14:paraId="47FA80E7" w14:textId="4373963E" w:rsidR="00FB26A4" w:rsidRPr="00FB26A4" w:rsidRDefault="00FB26A4" w:rsidP="00443352">
      <w:pPr>
        <w:pStyle w:val="CLDNormal"/>
        <w:jc w:val="left"/>
        <w:rPr>
          <w:rFonts w:eastAsiaTheme="minorEastAsia"/>
          <w:szCs w:val="24"/>
        </w:rPr>
      </w:pPr>
      <w:r w:rsidRPr="00FB26A4">
        <w:rPr>
          <w:rFonts w:eastAsiaTheme="minorEastAsia"/>
          <w:szCs w:val="24"/>
        </w:rPr>
        <w:t xml:space="preserve">The most frequent ADRs following receipt of </w:t>
      </w:r>
      <w:bookmarkStart w:id="1" w:name="_Hlk23948103"/>
      <w:r w:rsidR="0014734D">
        <w:rPr>
          <w:rFonts w:eastAsiaTheme="minorEastAsia"/>
          <w:szCs w:val="24"/>
        </w:rPr>
        <w:t>rituximab</w:t>
      </w:r>
      <w:bookmarkEnd w:id="1"/>
      <w:r w:rsidRPr="00FB26A4">
        <w:rPr>
          <w:rFonts w:eastAsiaTheme="minorEastAsia"/>
          <w:szCs w:val="24"/>
        </w:rPr>
        <w:t xml:space="preserve"> in clinical studies were IRRs. Among the 3095 patients treated with </w:t>
      </w:r>
      <w:r w:rsidR="00261673" w:rsidRPr="00261673">
        <w:rPr>
          <w:rFonts w:eastAsiaTheme="minorEastAsia"/>
          <w:szCs w:val="24"/>
        </w:rPr>
        <w:t>rituximab</w:t>
      </w:r>
      <w:r w:rsidRPr="00FB26A4">
        <w:rPr>
          <w:rFonts w:eastAsiaTheme="minorEastAsia"/>
          <w:szCs w:val="24"/>
        </w:rPr>
        <w:t xml:space="preserve"> (for up to 13 courses), 1077 (35%) experienced at least one IRR. The vast majority of IRRs were Grade 1 or 2. Less than 1% (14/3095 patients) of patients with RA who received an infusion of </w:t>
      </w:r>
      <w:r w:rsidR="00CF2CC0" w:rsidRPr="00CF2CC0">
        <w:rPr>
          <w:rFonts w:eastAsiaTheme="minorEastAsia"/>
          <w:szCs w:val="24"/>
        </w:rPr>
        <w:t>rituximab</w:t>
      </w:r>
      <w:r w:rsidRPr="00FB26A4">
        <w:rPr>
          <w:rFonts w:eastAsiaTheme="minorEastAsia"/>
          <w:szCs w:val="24"/>
        </w:rPr>
        <w:t xml:space="preserve"> at any dose experienced a serious infusion-related reaction. There were no Grade 4 IRRs and no deaths due to IRRs in the clinical studies (see section 4.8 Adverse effects (Undesirable effects); Post-marketing experience). The proportion of Grade 3 events and IRRs leading to withdrawal decreased by course and were rare from course 3 onwards.</w:t>
      </w:r>
    </w:p>
    <w:p w14:paraId="5D7B23AA" w14:textId="6E8437E8" w:rsidR="004F4D7B" w:rsidRDefault="00FB26A4" w:rsidP="00443352">
      <w:pPr>
        <w:pStyle w:val="CLDNormal"/>
        <w:jc w:val="left"/>
        <w:rPr>
          <w:rFonts w:eastAsiaTheme="minorEastAsia"/>
          <w:szCs w:val="24"/>
          <w:u w:val="single"/>
        </w:rPr>
      </w:pPr>
      <w:r w:rsidRPr="00FB26A4">
        <w:rPr>
          <w:rFonts w:eastAsiaTheme="minorEastAsia"/>
          <w:szCs w:val="24"/>
        </w:rPr>
        <w:t xml:space="preserve">Signs and symptoms suggesting an IRR (nausea, pruritus, fever, </w:t>
      </w:r>
      <w:proofErr w:type="spellStart"/>
      <w:r w:rsidRPr="00FB26A4">
        <w:rPr>
          <w:rFonts w:eastAsiaTheme="minorEastAsia"/>
          <w:szCs w:val="24"/>
        </w:rPr>
        <w:t>urticaria</w:t>
      </w:r>
      <w:proofErr w:type="spellEnd"/>
      <w:r w:rsidRPr="00FB26A4">
        <w:rPr>
          <w:rFonts w:eastAsiaTheme="minorEastAsia"/>
          <w:szCs w:val="24"/>
        </w:rPr>
        <w:t xml:space="preserve">/rash, chills, pyrexia, rigors, sneezing, </w:t>
      </w:r>
      <w:proofErr w:type="spellStart"/>
      <w:r w:rsidRPr="00FB26A4">
        <w:rPr>
          <w:rFonts w:eastAsiaTheme="minorEastAsia"/>
          <w:szCs w:val="24"/>
        </w:rPr>
        <w:t>angioneurotic</w:t>
      </w:r>
      <w:proofErr w:type="spellEnd"/>
      <w:r w:rsidRPr="00FB26A4">
        <w:rPr>
          <w:rFonts w:eastAsiaTheme="minorEastAsia"/>
          <w:szCs w:val="24"/>
        </w:rPr>
        <w:t xml:space="preserve"> oedema, throat irritation, cough and bronchospasm, with or without associated hypotension or hypertension) were observed in 720/3095 (23%) patients following first infusion of the first exposure to </w:t>
      </w:r>
      <w:r w:rsidR="00CF2CC0" w:rsidRPr="00CF2CC0">
        <w:rPr>
          <w:rFonts w:eastAsiaTheme="minorEastAsia"/>
          <w:szCs w:val="24"/>
        </w:rPr>
        <w:t>rituximab</w:t>
      </w:r>
      <w:r w:rsidRPr="00FB26A4">
        <w:rPr>
          <w:rFonts w:eastAsiaTheme="minorEastAsia"/>
          <w:szCs w:val="24"/>
        </w:rPr>
        <w:t>. Premedication with IV glucocorticoid significantly reduced the incidence and severity of these events (see section 4.4 Special warnings and precautions).</w:t>
      </w:r>
    </w:p>
    <w:p w14:paraId="7C4073A3" w14:textId="2C809FB1" w:rsidR="00FB26A4" w:rsidRDefault="00FB26A4" w:rsidP="00443352">
      <w:pPr>
        <w:pStyle w:val="CLDNormal"/>
        <w:jc w:val="left"/>
        <w:rPr>
          <w:rFonts w:eastAsiaTheme="minorEastAsia"/>
          <w:szCs w:val="24"/>
          <w:u w:val="single"/>
        </w:rPr>
      </w:pPr>
      <w:r w:rsidRPr="00FB26A4">
        <w:rPr>
          <w:rFonts w:eastAsiaTheme="minorEastAsia"/>
          <w:szCs w:val="24"/>
          <w:u w:val="single"/>
        </w:rPr>
        <w:t>Infections</w:t>
      </w:r>
    </w:p>
    <w:p w14:paraId="4FA11E8A" w14:textId="6161B0F2" w:rsidR="00FA45E3" w:rsidRPr="00FA45E3" w:rsidRDefault="00FA45E3" w:rsidP="00443352">
      <w:pPr>
        <w:pStyle w:val="CLDNormal"/>
        <w:jc w:val="left"/>
        <w:rPr>
          <w:rFonts w:eastAsiaTheme="minorEastAsia"/>
          <w:szCs w:val="24"/>
        </w:rPr>
      </w:pPr>
      <w:r w:rsidRPr="00FA45E3">
        <w:rPr>
          <w:rFonts w:eastAsiaTheme="minorEastAsia"/>
          <w:szCs w:val="24"/>
        </w:rPr>
        <w:t xml:space="preserve">The overall rate of infection was approximately 97 per 100 patient years in </w:t>
      </w:r>
      <w:r w:rsidR="00E362D1">
        <w:rPr>
          <w:rFonts w:eastAsiaTheme="minorEastAsia"/>
          <w:szCs w:val="24"/>
        </w:rPr>
        <w:t>rituximab</w:t>
      </w:r>
      <w:r w:rsidRPr="00FA45E3">
        <w:rPr>
          <w:rFonts w:eastAsiaTheme="minorEastAsia"/>
          <w:szCs w:val="24"/>
        </w:rPr>
        <w:t xml:space="preserve"> treated patients. The infections were predominately mild to moderate and consisted mostly of upper respiratory tract infections and urinary tract infections. The rate of serious infections was 4.25 per 100 patient years. The most common serious infections were pneumonia or lower respiratory tract infections, cellulitis, urinary tract infections, gastroenteritis and bronchitis. Fatal serious infections included pneumonia, sepsis, colitis and PML.</w:t>
      </w:r>
    </w:p>
    <w:p w14:paraId="731D6461" w14:textId="7BCE22E1" w:rsidR="00FA45E3" w:rsidRDefault="00FA45E3" w:rsidP="00443352">
      <w:pPr>
        <w:pStyle w:val="CLDNormal"/>
        <w:jc w:val="left"/>
        <w:rPr>
          <w:rFonts w:eastAsiaTheme="minorEastAsia"/>
          <w:szCs w:val="24"/>
        </w:rPr>
      </w:pPr>
      <w:r w:rsidRPr="00FA45E3">
        <w:rPr>
          <w:rFonts w:eastAsiaTheme="minorEastAsia"/>
          <w:szCs w:val="24"/>
        </w:rPr>
        <w:t xml:space="preserve">In 240 </w:t>
      </w:r>
      <w:r w:rsidR="00CF2CC0" w:rsidRPr="00CF2CC0">
        <w:rPr>
          <w:rFonts w:eastAsiaTheme="minorEastAsia"/>
          <w:szCs w:val="24"/>
        </w:rPr>
        <w:t>rituximab</w:t>
      </w:r>
      <w:r w:rsidRPr="00FA45E3">
        <w:rPr>
          <w:rFonts w:eastAsiaTheme="minorEastAsia"/>
          <w:szCs w:val="24"/>
        </w:rPr>
        <w:t>-treated RA patients with active disease, subsequent treatment with a biologic DMARD, the majority of which were TNF antagonists, did not appear to increase the rate of serious infection. Sixteen serious infections were observed in 262.4 patient years (6.10 per 100 patient years) prior to exposure and 12 were observed in 246.5 patient years (4.87 per 100 patient years) after exposure.</w:t>
      </w:r>
    </w:p>
    <w:p w14:paraId="49A0CBAF" w14:textId="77777777" w:rsidR="00FA45E3" w:rsidRPr="00FA45E3" w:rsidRDefault="00FA45E3" w:rsidP="00443352">
      <w:pPr>
        <w:pStyle w:val="CLDNormal"/>
        <w:jc w:val="left"/>
        <w:rPr>
          <w:rFonts w:eastAsiaTheme="minorEastAsia"/>
          <w:szCs w:val="24"/>
          <w:u w:val="single"/>
        </w:rPr>
      </w:pPr>
      <w:r w:rsidRPr="00FA45E3">
        <w:rPr>
          <w:rFonts w:eastAsiaTheme="minorEastAsia"/>
          <w:szCs w:val="24"/>
          <w:u w:val="single"/>
        </w:rPr>
        <w:t>Malignancies</w:t>
      </w:r>
    </w:p>
    <w:p w14:paraId="38B2C886" w14:textId="2C547B94" w:rsidR="00FA45E3" w:rsidRPr="00FA45E3" w:rsidRDefault="00FA45E3" w:rsidP="00443352">
      <w:pPr>
        <w:pStyle w:val="CLDNormal"/>
        <w:jc w:val="left"/>
        <w:rPr>
          <w:rFonts w:eastAsiaTheme="minorEastAsia"/>
          <w:szCs w:val="24"/>
        </w:rPr>
      </w:pPr>
      <w:r w:rsidRPr="00FA45E3">
        <w:rPr>
          <w:rFonts w:eastAsiaTheme="minorEastAsia"/>
          <w:szCs w:val="24"/>
        </w:rPr>
        <w:t xml:space="preserve">The incidence of malignancy (excluding non-melanoma skin cancer) following exposure to </w:t>
      </w:r>
      <w:r w:rsidR="00CF2CC0" w:rsidRPr="00CF2CC0">
        <w:rPr>
          <w:rFonts w:eastAsiaTheme="minorEastAsia"/>
          <w:szCs w:val="24"/>
        </w:rPr>
        <w:t>rituximab</w:t>
      </w:r>
      <w:r w:rsidRPr="00FA45E3">
        <w:rPr>
          <w:rFonts w:eastAsiaTheme="minorEastAsia"/>
          <w:szCs w:val="24"/>
        </w:rPr>
        <w:t xml:space="preserve"> in clinical studies (0.8 per 100 patient years) lies within the range expected for an age and gender matched population. A total of 60 confirmed malignancies (excluding non-melanoma skin cancers) have been reported in 59/3095 (2%) patients treated with </w:t>
      </w:r>
      <w:r w:rsidR="00CF2CC0" w:rsidRPr="00CF2CC0">
        <w:rPr>
          <w:rFonts w:eastAsiaTheme="minorEastAsia"/>
          <w:szCs w:val="24"/>
        </w:rPr>
        <w:t>rituximab</w:t>
      </w:r>
      <w:r w:rsidRPr="00FA45E3">
        <w:rPr>
          <w:rFonts w:eastAsiaTheme="minorEastAsia"/>
          <w:szCs w:val="24"/>
        </w:rPr>
        <w:t>. The most common types were breast cancer and thyroid cancer.</w:t>
      </w:r>
    </w:p>
    <w:p w14:paraId="3DC38F40" w14:textId="4015A18D" w:rsidR="00FA45E3" w:rsidRPr="00FA45E3" w:rsidRDefault="00FA45E3" w:rsidP="00443352">
      <w:pPr>
        <w:pStyle w:val="CLDNormal"/>
        <w:jc w:val="left"/>
        <w:rPr>
          <w:rFonts w:eastAsiaTheme="minorEastAsia"/>
          <w:szCs w:val="24"/>
        </w:rPr>
      </w:pPr>
      <w:r w:rsidRPr="00FA45E3">
        <w:rPr>
          <w:rFonts w:eastAsiaTheme="minorEastAsia"/>
          <w:szCs w:val="24"/>
        </w:rPr>
        <w:t xml:space="preserve">Latency of onset was variable, ranging from 32 to 1561 days. There was no evidence that the rate of malignancies altered over time or with multiple courses of </w:t>
      </w:r>
      <w:r w:rsidR="00CF2CC0" w:rsidRPr="00CF2CC0">
        <w:rPr>
          <w:rFonts w:eastAsiaTheme="minorEastAsia"/>
          <w:szCs w:val="24"/>
        </w:rPr>
        <w:t>rituximab</w:t>
      </w:r>
      <w:r w:rsidRPr="00FA45E3">
        <w:rPr>
          <w:rFonts w:eastAsiaTheme="minorEastAsia"/>
          <w:szCs w:val="24"/>
        </w:rPr>
        <w:t>.</w:t>
      </w:r>
    </w:p>
    <w:p w14:paraId="125B6A89" w14:textId="77777777" w:rsidR="00FA45E3" w:rsidRPr="00FA45E3" w:rsidRDefault="00FA45E3" w:rsidP="00443352">
      <w:pPr>
        <w:pStyle w:val="CLDNormal"/>
        <w:jc w:val="left"/>
        <w:rPr>
          <w:rFonts w:eastAsiaTheme="minorEastAsia"/>
          <w:szCs w:val="24"/>
          <w:u w:val="single"/>
        </w:rPr>
      </w:pPr>
      <w:r w:rsidRPr="00FA45E3">
        <w:rPr>
          <w:rFonts w:eastAsiaTheme="minorEastAsia"/>
          <w:szCs w:val="24"/>
          <w:u w:val="single"/>
        </w:rPr>
        <w:t>Cardiovascular Events</w:t>
      </w:r>
    </w:p>
    <w:p w14:paraId="5812CCE7" w14:textId="680C204B" w:rsidR="00FA45E3" w:rsidRDefault="00FA45E3" w:rsidP="00443352">
      <w:pPr>
        <w:pStyle w:val="CLDNormal"/>
        <w:jc w:val="left"/>
        <w:rPr>
          <w:rFonts w:eastAsiaTheme="minorEastAsia"/>
          <w:szCs w:val="24"/>
        </w:rPr>
      </w:pPr>
      <w:r w:rsidRPr="00FA45E3">
        <w:rPr>
          <w:rFonts w:eastAsiaTheme="minorEastAsia"/>
          <w:szCs w:val="24"/>
        </w:rPr>
        <w:t xml:space="preserve">In clinical trials the rate of serious cardiac reactions was 1.71 per 100 patient years. The most common serious cardiac event was myocardial infarction (MI) with a rate of 0.56 per 100 patient years. Rates did not increase over multiple courses of </w:t>
      </w:r>
      <w:r w:rsidR="00CF2CC0" w:rsidRPr="00CF2CC0">
        <w:rPr>
          <w:rFonts w:eastAsiaTheme="minorEastAsia"/>
          <w:szCs w:val="24"/>
        </w:rPr>
        <w:t>rituximab</w:t>
      </w:r>
      <w:r w:rsidRPr="00FA45E3">
        <w:rPr>
          <w:rFonts w:eastAsiaTheme="minorEastAsia"/>
          <w:szCs w:val="24"/>
        </w:rPr>
        <w:t xml:space="preserve">, and were consistent with those observed in epidemiologic studies of RA patients. Since patients with RA are at increased risk for cardiovascular events compared with the general population, patients with RA should be monitored throughout the infusion and </w:t>
      </w:r>
      <w:r w:rsidR="00CF2CC0" w:rsidRPr="00CF2CC0">
        <w:rPr>
          <w:rFonts w:eastAsiaTheme="minorEastAsia"/>
          <w:szCs w:val="24"/>
        </w:rPr>
        <w:t>rituximab</w:t>
      </w:r>
      <w:r w:rsidRPr="00FA45E3">
        <w:rPr>
          <w:rFonts w:eastAsiaTheme="minorEastAsia"/>
          <w:szCs w:val="24"/>
        </w:rPr>
        <w:t xml:space="preserve"> should be discontinued in the event of a serious or life threatening cardiac event (see section 4.4 Special warnings and precautions).</w:t>
      </w:r>
    </w:p>
    <w:p w14:paraId="644BB087" w14:textId="77777777" w:rsidR="00FA45E3" w:rsidRPr="00FA45E3" w:rsidRDefault="00FA45E3" w:rsidP="00443352">
      <w:pPr>
        <w:pStyle w:val="CLDNormal"/>
        <w:jc w:val="left"/>
        <w:rPr>
          <w:rFonts w:eastAsiaTheme="minorEastAsia"/>
          <w:szCs w:val="24"/>
          <w:u w:val="single"/>
        </w:rPr>
      </w:pPr>
      <w:r w:rsidRPr="00FA45E3">
        <w:rPr>
          <w:rFonts w:eastAsiaTheme="minorEastAsia"/>
          <w:szCs w:val="24"/>
          <w:u w:val="single"/>
        </w:rPr>
        <w:t>Immunogenicity</w:t>
      </w:r>
    </w:p>
    <w:p w14:paraId="46C0197D" w14:textId="343FDBA7" w:rsidR="00FA45E3" w:rsidRPr="00FA45E3" w:rsidRDefault="00FA45E3" w:rsidP="00443352">
      <w:pPr>
        <w:pStyle w:val="CLDNormal"/>
        <w:jc w:val="left"/>
        <w:rPr>
          <w:rFonts w:eastAsiaTheme="minorEastAsia"/>
          <w:szCs w:val="24"/>
        </w:rPr>
      </w:pPr>
      <w:r w:rsidRPr="00FA45E3">
        <w:rPr>
          <w:rFonts w:eastAsiaTheme="minorEastAsia"/>
          <w:szCs w:val="24"/>
        </w:rPr>
        <w:t xml:space="preserve">As with all therapeutic proteins, there is a potential for immunogenicity. The observed incidence of antibody (including neutralising antibody) positivity in an assay is highly dependent on several factors including assay sensitivity and specificity, assay methodology, sample handling, timing of sample collection, concomitant medications, and underlying disease. For these reasons, comparison of the incidence of antibodies to </w:t>
      </w:r>
      <w:r w:rsidR="00CF2CC0" w:rsidRPr="00CF2CC0">
        <w:rPr>
          <w:rFonts w:eastAsiaTheme="minorEastAsia"/>
          <w:szCs w:val="24"/>
        </w:rPr>
        <w:t>rituximab</w:t>
      </w:r>
      <w:r w:rsidRPr="00FA45E3">
        <w:rPr>
          <w:rFonts w:eastAsiaTheme="minorEastAsia"/>
          <w:szCs w:val="24"/>
        </w:rPr>
        <w:t xml:space="preserve"> with the incidence of antibodies to other products may be misleading.</w:t>
      </w:r>
    </w:p>
    <w:p w14:paraId="78887241" w14:textId="5B0FE1FA" w:rsidR="00ED614A" w:rsidRDefault="00FA45E3" w:rsidP="00443352">
      <w:pPr>
        <w:pStyle w:val="CLDNormal"/>
        <w:jc w:val="left"/>
        <w:rPr>
          <w:rFonts w:eastAsiaTheme="minorEastAsia"/>
          <w:szCs w:val="24"/>
        </w:rPr>
      </w:pPr>
      <w:r w:rsidRPr="00FA45E3">
        <w:rPr>
          <w:rFonts w:eastAsiaTheme="minorEastAsia"/>
          <w:szCs w:val="24"/>
        </w:rPr>
        <w:t xml:space="preserve">A total of 392/3095 (12.7%) patients with RA tested positive for HACA at any time after receiving </w:t>
      </w:r>
      <w:r w:rsidR="00CF2CC0" w:rsidRPr="00CF2CC0">
        <w:rPr>
          <w:rFonts w:eastAsiaTheme="minorEastAsia"/>
          <w:szCs w:val="24"/>
        </w:rPr>
        <w:t>rituximab</w:t>
      </w:r>
      <w:r w:rsidRPr="00FA45E3">
        <w:rPr>
          <w:rFonts w:eastAsiaTheme="minorEastAsia"/>
          <w:szCs w:val="24"/>
        </w:rPr>
        <w:t xml:space="preserve">. HACA positivity was not associated with increased infusion reactions or other adverse reactions. Upon further treatment, the proportions of patients with infusion reactions were similar between HACA positive and negative patients, and most reactions were mild to moderate. Two HACA positive patients had serious infusion reactions after developing HACA. The clinical relevance of HACA formation in </w:t>
      </w:r>
      <w:r w:rsidR="00CF2CC0" w:rsidRPr="00CF2CC0">
        <w:rPr>
          <w:rFonts w:eastAsiaTheme="minorEastAsia"/>
          <w:szCs w:val="24"/>
        </w:rPr>
        <w:t>rituximab</w:t>
      </w:r>
      <w:r w:rsidRPr="00FA45E3">
        <w:rPr>
          <w:rFonts w:eastAsiaTheme="minorEastAsia"/>
          <w:szCs w:val="24"/>
        </w:rPr>
        <w:t>-treated patients is unclear.</w:t>
      </w:r>
      <w:r w:rsidR="004F4D7B">
        <w:rPr>
          <w:rFonts w:eastAsiaTheme="minorEastAsia"/>
          <w:szCs w:val="24"/>
          <w:u w:val="single"/>
        </w:rPr>
        <w:t xml:space="preserve"> </w:t>
      </w:r>
    </w:p>
    <w:p w14:paraId="2A74FC41" w14:textId="67E7159B" w:rsidR="00FA45E3" w:rsidRDefault="00FA45E3" w:rsidP="00443352">
      <w:pPr>
        <w:pStyle w:val="CLDNormal"/>
        <w:jc w:val="left"/>
        <w:rPr>
          <w:rFonts w:eastAsiaTheme="minorEastAsia"/>
          <w:szCs w:val="24"/>
          <w:u w:val="single"/>
        </w:rPr>
      </w:pPr>
      <w:r w:rsidRPr="00FA45E3">
        <w:rPr>
          <w:rFonts w:eastAsiaTheme="minorEastAsia"/>
          <w:szCs w:val="24"/>
          <w:u w:val="single"/>
        </w:rPr>
        <w:t xml:space="preserve">Clinical Trial Experience in Granulomatosis with </w:t>
      </w:r>
      <w:proofErr w:type="spellStart"/>
      <w:r w:rsidRPr="00FA45E3">
        <w:rPr>
          <w:rFonts w:eastAsiaTheme="minorEastAsia"/>
          <w:szCs w:val="24"/>
          <w:u w:val="single"/>
        </w:rPr>
        <w:t>polyangiitis</w:t>
      </w:r>
      <w:proofErr w:type="spellEnd"/>
      <w:r w:rsidRPr="00FA45E3">
        <w:rPr>
          <w:rFonts w:eastAsiaTheme="minorEastAsia"/>
          <w:szCs w:val="24"/>
          <w:u w:val="single"/>
        </w:rPr>
        <w:t xml:space="preserve"> (Wegener’s) (GPA) and Microscopic </w:t>
      </w:r>
      <w:proofErr w:type="spellStart"/>
      <w:r w:rsidRPr="00FA45E3">
        <w:rPr>
          <w:rFonts w:eastAsiaTheme="minorEastAsia"/>
          <w:szCs w:val="24"/>
          <w:u w:val="single"/>
        </w:rPr>
        <w:t>polyangiitis</w:t>
      </w:r>
      <w:proofErr w:type="spellEnd"/>
      <w:r w:rsidRPr="00FA45E3">
        <w:rPr>
          <w:rFonts w:eastAsiaTheme="minorEastAsia"/>
          <w:szCs w:val="24"/>
          <w:u w:val="single"/>
        </w:rPr>
        <w:t xml:space="preserve"> (MPA)</w:t>
      </w:r>
    </w:p>
    <w:p w14:paraId="64FE0BC6" w14:textId="0B5D2DBB" w:rsidR="00FA45E3" w:rsidRPr="00FA45E3" w:rsidRDefault="00FA45E3" w:rsidP="00443352">
      <w:pPr>
        <w:pStyle w:val="CLDNormal"/>
        <w:jc w:val="left"/>
        <w:rPr>
          <w:rFonts w:eastAsiaTheme="minorEastAsia"/>
          <w:szCs w:val="24"/>
        </w:rPr>
      </w:pPr>
      <w:r w:rsidRPr="00FA45E3">
        <w:rPr>
          <w:rFonts w:eastAsiaTheme="minorEastAsia"/>
          <w:szCs w:val="24"/>
        </w:rPr>
        <w:t xml:space="preserve">In the RAVE study, 99 patients were treated with </w:t>
      </w:r>
      <w:r w:rsidR="00CF2CC0" w:rsidRPr="00CF2CC0">
        <w:rPr>
          <w:rFonts w:eastAsiaTheme="minorEastAsia"/>
          <w:szCs w:val="24"/>
        </w:rPr>
        <w:t>rituximab</w:t>
      </w:r>
      <w:r w:rsidRPr="00FA45E3">
        <w:rPr>
          <w:rFonts w:eastAsiaTheme="minorEastAsia"/>
          <w:szCs w:val="24"/>
        </w:rPr>
        <w:t xml:space="preserve"> (375 mg/m</w:t>
      </w:r>
      <w:r w:rsidRPr="00CF2CC0">
        <w:rPr>
          <w:rFonts w:eastAsiaTheme="minorEastAsia"/>
          <w:szCs w:val="24"/>
          <w:vertAlign w:val="superscript"/>
        </w:rPr>
        <w:t>2</w:t>
      </w:r>
      <w:r w:rsidRPr="00FA45E3">
        <w:rPr>
          <w:rFonts w:eastAsiaTheme="minorEastAsia"/>
          <w:szCs w:val="24"/>
        </w:rPr>
        <w:t>, once weekly for 4 weeks) and glucocorticoids (see section 5.1 Pharmacodynamic properties, Clinical trials).</w:t>
      </w:r>
    </w:p>
    <w:p w14:paraId="011693AF" w14:textId="50CA14C5" w:rsidR="00FA45E3" w:rsidRPr="00FA45E3" w:rsidRDefault="00FA45E3" w:rsidP="00443352">
      <w:pPr>
        <w:pStyle w:val="CLDNormal"/>
        <w:jc w:val="left"/>
        <w:rPr>
          <w:rFonts w:eastAsiaTheme="minorEastAsia"/>
          <w:szCs w:val="24"/>
        </w:rPr>
      </w:pPr>
      <w:r w:rsidRPr="00FA45E3">
        <w:rPr>
          <w:rFonts w:eastAsiaTheme="minorEastAsia"/>
          <w:szCs w:val="24"/>
        </w:rPr>
        <w:t xml:space="preserve">The ADRs listed in Table 4 were all adverse events which occurred at an incidence of ≥ 5% in the </w:t>
      </w:r>
      <w:r w:rsidR="00CF2CC0" w:rsidRPr="00CF2CC0">
        <w:rPr>
          <w:rFonts w:eastAsiaTheme="minorEastAsia"/>
          <w:szCs w:val="24"/>
        </w:rPr>
        <w:t>rituximab</w:t>
      </w:r>
      <w:r w:rsidRPr="00FA45E3">
        <w:rPr>
          <w:rFonts w:eastAsiaTheme="minorEastAsia"/>
          <w:szCs w:val="24"/>
        </w:rPr>
        <w:t xml:space="preserve">-treated group. The safety profile from long-term use of </w:t>
      </w:r>
      <w:r w:rsidR="00CF2CC0" w:rsidRPr="00CF2CC0">
        <w:rPr>
          <w:rFonts w:eastAsiaTheme="minorEastAsia"/>
          <w:szCs w:val="24"/>
        </w:rPr>
        <w:t>rituximab</w:t>
      </w:r>
      <w:r w:rsidRPr="00FA45E3">
        <w:rPr>
          <w:rFonts w:eastAsiaTheme="minorEastAsia"/>
          <w:szCs w:val="24"/>
        </w:rPr>
        <w:t xml:space="preserve"> to treat GPA/MPA has not been established.</w:t>
      </w:r>
    </w:p>
    <w:p w14:paraId="5A2C5180" w14:textId="738B9EAF" w:rsidR="00FA45E3" w:rsidRPr="00190E85" w:rsidRDefault="00FA45E3" w:rsidP="00443352">
      <w:pPr>
        <w:pStyle w:val="CLDNormal"/>
        <w:pageBreakBefore/>
        <w:spacing w:after="0"/>
        <w:jc w:val="left"/>
        <w:rPr>
          <w:rFonts w:eastAsiaTheme="minorEastAsia"/>
          <w:b/>
          <w:sz w:val="22"/>
          <w:szCs w:val="22"/>
        </w:rPr>
      </w:pPr>
      <w:r w:rsidRPr="00190E85">
        <w:rPr>
          <w:rFonts w:eastAsiaTheme="minorEastAsia"/>
          <w:b/>
          <w:sz w:val="22"/>
          <w:szCs w:val="22"/>
        </w:rPr>
        <w:t xml:space="preserve">Table 4: Adverse Drug Reactions occurring in ≥ 5% of patients receiving </w:t>
      </w:r>
      <w:r w:rsidR="00CF2CC0" w:rsidRPr="00190E85">
        <w:rPr>
          <w:rFonts w:eastAsiaTheme="minorEastAsia"/>
          <w:b/>
          <w:sz w:val="22"/>
          <w:szCs w:val="22"/>
        </w:rPr>
        <w:t>rituximab</w:t>
      </w:r>
      <w:r w:rsidRPr="00190E85">
        <w:rPr>
          <w:rFonts w:eastAsiaTheme="minorEastAsia"/>
          <w:b/>
          <w:sz w:val="22"/>
          <w:szCs w:val="22"/>
        </w:rPr>
        <w:t>, and at a higher frequency than cyclophosphamide, in the pivotal study at 6-months*</w:t>
      </w:r>
    </w:p>
    <w:p w14:paraId="713F8CCA" w14:textId="77777777" w:rsidR="00CF2CC0" w:rsidRPr="00FA45E3" w:rsidRDefault="00CF2CC0" w:rsidP="00443352">
      <w:pPr>
        <w:pStyle w:val="CLDNormal"/>
        <w:spacing w:after="0"/>
        <w:jc w:val="left"/>
        <w:rPr>
          <w:rFonts w:eastAsiaTheme="minorEastAsia"/>
          <w:b/>
          <w:sz w:val="20"/>
          <w:lang w:val="en-AU"/>
        </w:rPr>
      </w:pPr>
    </w:p>
    <w:tbl>
      <w:tblPr>
        <w:tblW w:w="9019" w:type="dxa"/>
        <w:tblInd w:w="94" w:type="dxa"/>
        <w:tblLayout w:type="fixed"/>
        <w:tblCellMar>
          <w:left w:w="0" w:type="dxa"/>
          <w:right w:w="0" w:type="dxa"/>
        </w:tblCellMar>
        <w:tblLook w:val="0000" w:firstRow="0" w:lastRow="0" w:firstColumn="0" w:lastColumn="0" w:noHBand="0" w:noVBand="0"/>
      </w:tblPr>
      <w:tblGrid>
        <w:gridCol w:w="3303"/>
        <w:gridCol w:w="2858"/>
        <w:gridCol w:w="2858"/>
      </w:tblGrid>
      <w:tr w:rsidR="00FA45E3" w:rsidRPr="00FA45E3" w14:paraId="296BEB1C" w14:textId="77777777" w:rsidTr="00443352">
        <w:trPr>
          <w:trHeight w:hRule="exact" w:val="577"/>
          <w:tblHeader/>
        </w:trPr>
        <w:tc>
          <w:tcPr>
            <w:tcW w:w="3303" w:type="dxa"/>
            <w:tcBorders>
              <w:top w:val="single" w:sz="4" w:space="0" w:color="000000"/>
              <w:left w:val="single" w:sz="4" w:space="0" w:color="000000"/>
              <w:bottom w:val="single" w:sz="4" w:space="0" w:color="000000"/>
              <w:right w:val="single" w:sz="4" w:space="0" w:color="000000"/>
            </w:tcBorders>
          </w:tcPr>
          <w:p w14:paraId="2E091F44" w14:textId="77777777" w:rsidR="00FA45E3" w:rsidRPr="00FA45E3" w:rsidRDefault="00FA45E3" w:rsidP="00443352">
            <w:pPr>
              <w:pStyle w:val="CLDNormal"/>
              <w:spacing w:after="0"/>
              <w:jc w:val="left"/>
              <w:rPr>
                <w:rFonts w:eastAsiaTheme="minorEastAsia"/>
                <w:b/>
                <w:sz w:val="20"/>
                <w:lang w:val="en-AU"/>
              </w:rPr>
            </w:pPr>
            <w:r w:rsidRPr="00FA45E3">
              <w:rPr>
                <w:rFonts w:eastAsiaTheme="minorEastAsia"/>
                <w:b/>
                <w:bCs/>
                <w:sz w:val="20"/>
                <w:lang w:val="en-AU"/>
              </w:rPr>
              <w:t>Adverse reactions</w:t>
            </w:r>
          </w:p>
        </w:tc>
        <w:tc>
          <w:tcPr>
            <w:tcW w:w="2858" w:type="dxa"/>
            <w:tcBorders>
              <w:top w:val="single" w:sz="4" w:space="0" w:color="000000"/>
              <w:left w:val="single" w:sz="4" w:space="0" w:color="000000"/>
              <w:bottom w:val="single" w:sz="4" w:space="0" w:color="000000"/>
              <w:right w:val="single" w:sz="4" w:space="0" w:color="000000"/>
            </w:tcBorders>
          </w:tcPr>
          <w:p w14:paraId="2F012D2D" w14:textId="4E53869A" w:rsidR="00FA45E3" w:rsidRPr="007F6784" w:rsidRDefault="00CF2CC0" w:rsidP="00443352">
            <w:pPr>
              <w:pStyle w:val="CLDNormal"/>
              <w:spacing w:after="0"/>
              <w:ind w:left="360"/>
              <w:jc w:val="left"/>
              <w:rPr>
                <w:rFonts w:eastAsiaTheme="minorEastAsia"/>
                <w:b/>
                <w:bCs/>
                <w:sz w:val="20"/>
                <w:lang w:val="en-AU"/>
              </w:rPr>
            </w:pPr>
            <w:r w:rsidRPr="00CF2CC0">
              <w:rPr>
                <w:rFonts w:eastAsiaTheme="minorEastAsia"/>
                <w:b/>
                <w:bCs/>
                <w:sz w:val="20"/>
              </w:rPr>
              <w:t>rituximab</w:t>
            </w:r>
          </w:p>
          <w:p w14:paraId="5B2ED709"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b/>
                <w:bCs/>
                <w:sz w:val="20"/>
                <w:lang w:val="en-AU"/>
              </w:rPr>
              <w:t>n = 99</w:t>
            </w:r>
          </w:p>
        </w:tc>
        <w:tc>
          <w:tcPr>
            <w:tcW w:w="2858" w:type="dxa"/>
            <w:tcBorders>
              <w:top w:val="single" w:sz="4" w:space="0" w:color="000000"/>
              <w:left w:val="single" w:sz="4" w:space="0" w:color="000000"/>
              <w:bottom w:val="single" w:sz="4" w:space="0" w:color="000000"/>
              <w:right w:val="single" w:sz="4" w:space="0" w:color="000000"/>
            </w:tcBorders>
          </w:tcPr>
          <w:p w14:paraId="2EFC5D3F" w14:textId="77777777" w:rsidR="00FA45E3" w:rsidRPr="00FA45E3" w:rsidRDefault="00FA45E3" w:rsidP="00443352">
            <w:pPr>
              <w:pStyle w:val="CLDNormal"/>
              <w:spacing w:after="0"/>
              <w:ind w:left="360"/>
              <w:jc w:val="left"/>
              <w:rPr>
                <w:rFonts w:eastAsiaTheme="minorEastAsia"/>
                <w:b/>
                <w:sz w:val="20"/>
                <w:lang w:val="en-AU"/>
              </w:rPr>
            </w:pPr>
            <w:r w:rsidRPr="00FA45E3">
              <w:rPr>
                <w:rFonts w:eastAsiaTheme="minorEastAsia"/>
                <w:b/>
                <w:bCs/>
                <w:sz w:val="20"/>
                <w:lang w:val="en-AU"/>
              </w:rPr>
              <w:t>CYC</w:t>
            </w:r>
          </w:p>
          <w:p w14:paraId="2291FFB9" w14:textId="77777777" w:rsidR="00FA45E3" w:rsidRPr="007F6784" w:rsidRDefault="00FA45E3" w:rsidP="00443352">
            <w:pPr>
              <w:pStyle w:val="CLDNormal"/>
              <w:spacing w:after="0"/>
              <w:ind w:left="360"/>
              <w:jc w:val="left"/>
              <w:rPr>
                <w:rFonts w:eastAsiaTheme="minorEastAsia"/>
                <w:b/>
                <w:sz w:val="20"/>
                <w:lang w:val="en-AU"/>
              </w:rPr>
            </w:pPr>
            <w:r w:rsidRPr="00FA45E3">
              <w:rPr>
                <w:rFonts w:eastAsiaTheme="minorEastAsia"/>
                <w:b/>
                <w:bCs/>
                <w:sz w:val="20"/>
                <w:lang w:val="en-AU"/>
              </w:rPr>
              <w:t xml:space="preserve">n </w:t>
            </w:r>
            <w:r w:rsidRPr="007F6784">
              <w:rPr>
                <w:rFonts w:eastAsiaTheme="minorEastAsia"/>
                <w:b/>
                <w:bCs/>
                <w:sz w:val="20"/>
                <w:lang w:val="en-AU"/>
              </w:rPr>
              <w:t xml:space="preserve">= </w:t>
            </w:r>
            <w:r w:rsidRPr="00FA45E3">
              <w:rPr>
                <w:rFonts w:eastAsiaTheme="minorEastAsia"/>
                <w:b/>
                <w:bCs/>
                <w:sz w:val="20"/>
                <w:lang w:val="en-AU"/>
              </w:rPr>
              <w:t>98</w:t>
            </w:r>
          </w:p>
          <w:p w14:paraId="560C1AC5" w14:textId="77777777" w:rsidR="00FA45E3" w:rsidRPr="00FA45E3" w:rsidRDefault="00FA45E3" w:rsidP="00443352">
            <w:pPr>
              <w:pStyle w:val="CLDNormal"/>
              <w:spacing w:after="0"/>
              <w:jc w:val="left"/>
              <w:rPr>
                <w:rFonts w:eastAsiaTheme="minorEastAsia"/>
                <w:sz w:val="20"/>
                <w:lang w:val="en-AU"/>
              </w:rPr>
            </w:pPr>
          </w:p>
        </w:tc>
      </w:tr>
      <w:tr w:rsidR="00FA45E3" w:rsidRPr="00FA45E3" w14:paraId="76B473C3" w14:textId="77777777" w:rsidTr="00FA45E3">
        <w:trPr>
          <w:trHeight w:hRule="exact" w:val="1128"/>
        </w:trPr>
        <w:tc>
          <w:tcPr>
            <w:tcW w:w="3303" w:type="dxa"/>
            <w:tcBorders>
              <w:top w:val="single" w:sz="4" w:space="0" w:color="000000"/>
              <w:left w:val="single" w:sz="4" w:space="0" w:color="000000"/>
              <w:bottom w:val="single" w:sz="4" w:space="0" w:color="000000"/>
              <w:right w:val="single" w:sz="4" w:space="0" w:color="000000"/>
            </w:tcBorders>
          </w:tcPr>
          <w:p w14:paraId="2C274819" w14:textId="77777777" w:rsidR="00FA45E3" w:rsidRPr="00FA45E3" w:rsidRDefault="00FA45E3" w:rsidP="00443352">
            <w:pPr>
              <w:pStyle w:val="CLDNormal"/>
              <w:spacing w:after="0"/>
              <w:ind w:left="360"/>
              <w:jc w:val="left"/>
              <w:rPr>
                <w:rFonts w:eastAsiaTheme="minorEastAsia"/>
                <w:b/>
                <w:sz w:val="20"/>
                <w:lang w:val="en-AU"/>
              </w:rPr>
            </w:pPr>
            <w:r w:rsidRPr="00FA45E3">
              <w:rPr>
                <w:rFonts w:eastAsiaTheme="minorEastAsia"/>
                <w:b/>
                <w:bCs/>
                <w:sz w:val="20"/>
                <w:lang w:val="en-AU"/>
              </w:rPr>
              <w:t>Blood and lymphatic system disorders</w:t>
            </w:r>
          </w:p>
          <w:p w14:paraId="7A05A006"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Thrombocytopenia</w:t>
            </w:r>
          </w:p>
        </w:tc>
        <w:tc>
          <w:tcPr>
            <w:tcW w:w="2858" w:type="dxa"/>
            <w:tcBorders>
              <w:top w:val="single" w:sz="4" w:space="0" w:color="000000"/>
              <w:left w:val="single" w:sz="4" w:space="0" w:color="000000"/>
              <w:bottom w:val="single" w:sz="4" w:space="0" w:color="000000"/>
              <w:right w:val="single" w:sz="4" w:space="0" w:color="000000"/>
            </w:tcBorders>
          </w:tcPr>
          <w:p w14:paraId="44D9082E" w14:textId="77777777" w:rsidR="00FA45E3" w:rsidRPr="00FA45E3" w:rsidRDefault="00FA45E3" w:rsidP="00443352">
            <w:pPr>
              <w:pStyle w:val="CLDNormal"/>
              <w:spacing w:after="0"/>
              <w:ind w:left="360"/>
              <w:jc w:val="left"/>
              <w:rPr>
                <w:rFonts w:eastAsiaTheme="minorEastAsia"/>
                <w:sz w:val="20"/>
                <w:lang w:val="en-AU"/>
              </w:rPr>
            </w:pPr>
          </w:p>
          <w:p w14:paraId="551BAC3E"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7%</w:t>
            </w:r>
          </w:p>
        </w:tc>
        <w:tc>
          <w:tcPr>
            <w:tcW w:w="2858" w:type="dxa"/>
            <w:tcBorders>
              <w:top w:val="single" w:sz="4" w:space="0" w:color="000000"/>
              <w:left w:val="single" w:sz="4" w:space="0" w:color="000000"/>
              <w:bottom w:val="single" w:sz="4" w:space="0" w:color="000000"/>
              <w:right w:val="single" w:sz="4" w:space="0" w:color="000000"/>
            </w:tcBorders>
          </w:tcPr>
          <w:p w14:paraId="21ABB711" w14:textId="77777777" w:rsidR="00FA45E3" w:rsidRPr="00FA45E3" w:rsidRDefault="00FA45E3" w:rsidP="00443352">
            <w:pPr>
              <w:pStyle w:val="CLDNormal"/>
              <w:spacing w:after="0"/>
              <w:ind w:left="360"/>
              <w:jc w:val="left"/>
              <w:rPr>
                <w:rFonts w:eastAsiaTheme="minorEastAsia"/>
                <w:sz w:val="20"/>
                <w:lang w:val="en-AU"/>
              </w:rPr>
            </w:pPr>
          </w:p>
          <w:p w14:paraId="539ADA45"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3%</w:t>
            </w:r>
          </w:p>
        </w:tc>
      </w:tr>
      <w:tr w:rsidR="00FA45E3" w:rsidRPr="00FA45E3" w14:paraId="332392FB" w14:textId="77777777" w:rsidTr="00FA45E3">
        <w:trPr>
          <w:trHeight w:hRule="exact" w:val="1114"/>
        </w:trPr>
        <w:tc>
          <w:tcPr>
            <w:tcW w:w="3303" w:type="dxa"/>
            <w:tcBorders>
              <w:top w:val="single" w:sz="4" w:space="0" w:color="000000"/>
              <w:left w:val="single" w:sz="4" w:space="0" w:color="000000"/>
              <w:bottom w:val="single" w:sz="4" w:space="0" w:color="000000"/>
              <w:right w:val="single" w:sz="4" w:space="0" w:color="000000"/>
            </w:tcBorders>
          </w:tcPr>
          <w:p w14:paraId="03C9F2DC" w14:textId="77777777" w:rsidR="00FA45E3" w:rsidRPr="00FA45E3" w:rsidRDefault="00FA45E3" w:rsidP="00443352">
            <w:pPr>
              <w:pStyle w:val="CLDNormal"/>
              <w:spacing w:after="0"/>
              <w:ind w:left="360"/>
              <w:jc w:val="left"/>
              <w:rPr>
                <w:rFonts w:eastAsiaTheme="minorEastAsia"/>
                <w:b/>
                <w:sz w:val="20"/>
                <w:lang w:val="en-AU"/>
              </w:rPr>
            </w:pPr>
            <w:r w:rsidRPr="00FA45E3">
              <w:rPr>
                <w:rFonts w:eastAsiaTheme="minorEastAsia"/>
                <w:b/>
                <w:bCs/>
                <w:sz w:val="20"/>
                <w:lang w:val="en-AU"/>
              </w:rPr>
              <w:t>Gastrointestinal disorders</w:t>
            </w:r>
          </w:p>
          <w:p w14:paraId="75768E80" w14:textId="77777777" w:rsidR="007F6784"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 xml:space="preserve">Diarrhoea </w:t>
            </w:r>
          </w:p>
          <w:p w14:paraId="6045C79F" w14:textId="77777777" w:rsidR="007F6784"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 xml:space="preserve">Dyspepsia </w:t>
            </w:r>
          </w:p>
          <w:p w14:paraId="70081A2A"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Constipation</w:t>
            </w:r>
          </w:p>
        </w:tc>
        <w:tc>
          <w:tcPr>
            <w:tcW w:w="2858" w:type="dxa"/>
            <w:tcBorders>
              <w:top w:val="single" w:sz="4" w:space="0" w:color="000000"/>
              <w:left w:val="single" w:sz="4" w:space="0" w:color="000000"/>
              <w:bottom w:val="single" w:sz="4" w:space="0" w:color="000000"/>
              <w:right w:val="single" w:sz="4" w:space="0" w:color="000000"/>
            </w:tcBorders>
          </w:tcPr>
          <w:p w14:paraId="01E0C3AF" w14:textId="77777777" w:rsidR="00FA45E3" w:rsidRPr="00FA45E3" w:rsidRDefault="00FA45E3" w:rsidP="00443352">
            <w:pPr>
              <w:pStyle w:val="CLDNormal"/>
              <w:spacing w:after="0"/>
              <w:ind w:left="360"/>
              <w:jc w:val="left"/>
              <w:rPr>
                <w:rFonts w:eastAsiaTheme="minorEastAsia"/>
                <w:sz w:val="20"/>
                <w:lang w:val="en-AU"/>
              </w:rPr>
            </w:pPr>
          </w:p>
          <w:p w14:paraId="26BFBEF5"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18%</w:t>
            </w:r>
          </w:p>
          <w:p w14:paraId="250D8131"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6%</w:t>
            </w:r>
          </w:p>
          <w:p w14:paraId="12220A86"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5%</w:t>
            </w:r>
          </w:p>
        </w:tc>
        <w:tc>
          <w:tcPr>
            <w:tcW w:w="2858" w:type="dxa"/>
            <w:tcBorders>
              <w:top w:val="single" w:sz="4" w:space="0" w:color="000000"/>
              <w:left w:val="single" w:sz="4" w:space="0" w:color="000000"/>
              <w:bottom w:val="single" w:sz="4" w:space="0" w:color="000000"/>
              <w:right w:val="single" w:sz="4" w:space="0" w:color="000000"/>
            </w:tcBorders>
          </w:tcPr>
          <w:p w14:paraId="3EFA625D" w14:textId="77777777" w:rsidR="00FA45E3" w:rsidRPr="00FA45E3" w:rsidRDefault="00FA45E3" w:rsidP="00443352">
            <w:pPr>
              <w:pStyle w:val="CLDNormal"/>
              <w:spacing w:after="0"/>
              <w:ind w:left="360"/>
              <w:jc w:val="left"/>
              <w:rPr>
                <w:rFonts w:eastAsiaTheme="minorEastAsia"/>
                <w:sz w:val="20"/>
                <w:lang w:val="en-AU"/>
              </w:rPr>
            </w:pPr>
          </w:p>
          <w:p w14:paraId="269C5FA8"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12%</w:t>
            </w:r>
          </w:p>
          <w:p w14:paraId="580E69A6"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5%</w:t>
            </w:r>
          </w:p>
          <w:p w14:paraId="3BF7F94B"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w:t>
            </w:r>
          </w:p>
        </w:tc>
      </w:tr>
      <w:tr w:rsidR="00FA45E3" w:rsidRPr="00FA45E3" w14:paraId="1A4CF4CF" w14:textId="77777777" w:rsidTr="00FA45E3">
        <w:trPr>
          <w:trHeight w:hRule="exact" w:val="840"/>
        </w:trPr>
        <w:tc>
          <w:tcPr>
            <w:tcW w:w="3303" w:type="dxa"/>
            <w:tcBorders>
              <w:top w:val="single" w:sz="4" w:space="0" w:color="000000"/>
              <w:left w:val="single" w:sz="4" w:space="0" w:color="000000"/>
              <w:bottom w:val="single" w:sz="4" w:space="0" w:color="000000"/>
              <w:right w:val="single" w:sz="4" w:space="0" w:color="000000"/>
            </w:tcBorders>
          </w:tcPr>
          <w:p w14:paraId="76CA6DC3" w14:textId="77777777" w:rsidR="00FA45E3" w:rsidRPr="00FA45E3" w:rsidRDefault="00FA45E3" w:rsidP="00443352">
            <w:pPr>
              <w:pStyle w:val="CLDNormal"/>
              <w:spacing w:after="0"/>
              <w:ind w:left="360"/>
              <w:jc w:val="left"/>
              <w:rPr>
                <w:rFonts w:eastAsiaTheme="minorEastAsia"/>
                <w:b/>
                <w:sz w:val="20"/>
                <w:lang w:val="en-AU"/>
              </w:rPr>
            </w:pPr>
            <w:r w:rsidRPr="00FA45E3">
              <w:rPr>
                <w:rFonts w:eastAsiaTheme="minorEastAsia"/>
                <w:b/>
                <w:bCs/>
                <w:sz w:val="20"/>
                <w:lang w:val="en-AU"/>
              </w:rPr>
              <w:t xml:space="preserve">General disorders and administration site conditions </w:t>
            </w:r>
            <w:r w:rsidRPr="00FA45E3">
              <w:rPr>
                <w:rFonts w:eastAsiaTheme="minorEastAsia"/>
                <w:sz w:val="20"/>
                <w:lang w:val="en-AU"/>
              </w:rPr>
              <w:t>Peripheral oedema</w:t>
            </w:r>
          </w:p>
        </w:tc>
        <w:tc>
          <w:tcPr>
            <w:tcW w:w="2858" w:type="dxa"/>
            <w:tcBorders>
              <w:top w:val="single" w:sz="4" w:space="0" w:color="000000"/>
              <w:left w:val="single" w:sz="4" w:space="0" w:color="000000"/>
              <w:bottom w:val="single" w:sz="4" w:space="0" w:color="000000"/>
              <w:right w:val="single" w:sz="4" w:space="0" w:color="000000"/>
            </w:tcBorders>
          </w:tcPr>
          <w:p w14:paraId="4EE1D616" w14:textId="77777777" w:rsidR="00FA45E3" w:rsidRPr="00FA45E3" w:rsidRDefault="00FA45E3" w:rsidP="00443352">
            <w:pPr>
              <w:pStyle w:val="CLDNormal"/>
              <w:spacing w:after="0"/>
              <w:ind w:left="360"/>
              <w:jc w:val="left"/>
              <w:rPr>
                <w:rFonts w:eastAsiaTheme="minorEastAsia"/>
                <w:sz w:val="20"/>
                <w:lang w:val="en-AU"/>
              </w:rPr>
            </w:pPr>
          </w:p>
          <w:p w14:paraId="48DEFAC2"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16%</w:t>
            </w:r>
          </w:p>
        </w:tc>
        <w:tc>
          <w:tcPr>
            <w:tcW w:w="2858" w:type="dxa"/>
            <w:tcBorders>
              <w:top w:val="single" w:sz="4" w:space="0" w:color="000000"/>
              <w:left w:val="single" w:sz="4" w:space="0" w:color="000000"/>
              <w:bottom w:val="single" w:sz="4" w:space="0" w:color="000000"/>
              <w:right w:val="single" w:sz="4" w:space="0" w:color="000000"/>
            </w:tcBorders>
          </w:tcPr>
          <w:p w14:paraId="2D46CC7A" w14:textId="77777777" w:rsidR="00FA45E3" w:rsidRPr="00FA45E3" w:rsidRDefault="00FA45E3" w:rsidP="00443352">
            <w:pPr>
              <w:pStyle w:val="CLDNormal"/>
              <w:spacing w:after="0"/>
              <w:ind w:left="360"/>
              <w:jc w:val="left"/>
              <w:rPr>
                <w:rFonts w:eastAsiaTheme="minorEastAsia"/>
                <w:sz w:val="20"/>
                <w:lang w:val="en-AU"/>
              </w:rPr>
            </w:pPr>
          </w:p>
          <w:p w14:paraId="101F42A9"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9%</w:t>
            </w:r>
          </w:p>
        </w:tc>
      </w:tr>
      <w:tr w:rsidR="00FA45E3" w:rsidRPr="00FA45E3" w14:paraId="3A76A05C" w14:textId="77777777" w:rsidTr="00FA45E3">
        <w:trPr>
          <w:trHeight w:hRule="exact" w:val="562"/>
        </w:trPr>
        <w:tc>
          <w:tcPr>
            <w:tcW w:w="3303" w:type="dxa"/>
            <w:tcBorders>
              <w:top w:val="single" w:sz="4" w:space="0" w:color="000000"/>
              <w:left w:val="single" w:sz="4" w:space="0" w:color="000000"/>
              <w:bottom w:val="single" w:sz="4" w:space="0" w:color="000000"/>
              <w:right w:val="single" w:sz="4" w:space="0" w:color="000000"/>
            </w:tcBorders>
          </w:tcPr>
          <w:p w14:paraId="15587182" w14:textId="77777777" w:rsidR="00FA45E3" w:rsidRPr="00FA45E3" w:rsidRDefault="00FA45E3" w:rsidP="00443352">
            <w:pPr>
              <w:pStyle w:val="CLDNormal"/>
              <w:spacing w:after="0"/>
              <w:ind w:left="360"/>
              <w:jc w:val="left"/>
              <w:rPr>
                <w:rFonts w:eastAsiaTheme="minorEastAsia"/>
                <w:b/>
                <w:sz w:val="20"/>
                <w:lang w:val="en-AU"/>
              </w:rPr>
            </w:pPr>
            <w:r w:rsidRPr="00FA45E3">
              <w:rPr>
                <w:rFonts w:eastAsiaTheme="minorEastAsia"/>
                <w:b/>
                <w:bCs/>
                <w:sz w:val="20"/>
                <w:lang w:val="en-AU"/>
              </w:rPr>
              <w:t>Immune system disorders</w:t>
            </w:r>
          </w:p>
          <w:p w14:paraId="7D074690" w14:textId="77777777" w:rsidR="00FA45E3" w:rsidRPr="00FA45E3" w:rsidRDefault="00FA45E3" w:rsidP="00443352">
            <w:pPr>
              <w:pStyle w:val="CLDNormal"/>
              <w:spacing w:after="0"/>
              <w:ind w:left="360"/>
              <w:jc w:val="left"/>
              <w:rPr>
                <w:rFonts w:eastAsiaTheme="minorEastAsia"/>
                <w:b/>
                <w:sz w:val="20"/>
                <w:lang w:val="en-AU"/>
              </w:rPr>
            </w:pPr>
            <w:r w:rsidRPr="00FA45E3">
              <w:rPr>
                <w:rFonts w:eastAsiaTheme="minorEastAsia"/>
                <w:b/>
                <w:sz w:val="20"/>
                <w:lang w:val="en-AU"/>
              </w:rPr>
              <w:t>Infusion related reactions</w:t>
            </w:r>
          </w:p>
        </w:tc>
        <w:tc>
          <w:tcPr>
            <w:tcW w:w="2858" w:type="dxa"/>
            <w:tcBorders>
              <w:top w:val="single" w:sz="4" w:space="0" w:color="000000"/>
              <w:left w:val="single" w:sz="4" w:space="0" w:color="000000"/>
              <w:bottom w:val="single" w:sz="4" w:space="0" w:color="000000"/>
              <w:right w:val="single" w:sz="4" w:space="0" w:color="000000"/>
            </w:tcBorders>
          </w:tcPr>
          <w:p w14:paraId="1B2B0750" w14:textId="77777777" w:rsidR="00FA45E3" w:rsidRPr="00FA45E3" w:rsidRDefault="00FA45E3" w:rsidP="00443352">
            <w:pPr>
              <w:pStyle w:val="CLDNormal"/>
              <w:spacing w:after="0"/>
              <w:ind w:left="360"/>
              <w:jc w:val="left"/>
              <w:rPr>
                <w:rFonts w:eastAsiaTheme="minorEastAsia"/>
                <w:sz w:val="20"/>
                <w:lang w:val="en-AU"/>
              </w:rPr>
            </w:pPr>
          </w:p>
          <w:p w14:paraId="5CC44B6C"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5%</w:t>
            </w:r>
          </w:p>
        </w:tc>
        <w:tc>
          <w:tcPr>
            <w:tcW w:w="2858" w:type="dxa"/>
            <w:tcBorders>
              <w:top w:val="single" w:sz="4" w:space="0" w:color="000000"/>
              <w:left w:val="single" w:sz="4" w:space="0" w:color="000000"/>
              <w:bottom w:val="single" w:sz="4" w:space="0" w:color="000000"/>
              <w:right w:val="single" w:sz="4" w:space="0" w:color="000000"/>
            </w:tcBorders>
          </w:tcPr>
          <w:p w14:paraId="718E5363" w14:textId="77777777" w:rsidR="00FA45E3" w:rsidRPr="00FA45E3" w:rsidRDefault="00FA45E3" w:rsidP="00443352">
            <w:pPr>
              <w:pStyle w:val="CLDNormal"/>
              <w:spacing w:after="0"/>
              <w:ind w:left="360"/>
              <w:jc w:val="left"/>
              <w:rPr>
                <w:rFonts w:eastAsiaTheme="minorEastAsia"/>
                <w:sz w:val="20"/>
                <w:lang w:val="en-AU"/>
              </w:rPr>
            </w:pPr>
          </w:p>
          <w:p w14:paraId="7C21DF0B"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2%</w:t>
            </w:r>
          </w:p>
        </w:tc>
      </w:tr>
      <w:tr w:rsidR="00FA45E3" w:rsidRPr="00FA45E3" w14:paraId="12C09D75" w14:textId="77777777" w:rsidTr="00FA45E3">
        <w:trPr>
          <w:trHeight w:hRule="exact" w:val="1390"/>
        </w:trPr>
        <w:tc>
          <w:tcPr>
            <w:tcW w:w="3303" w:type="dxa"/>
            <w:tcBorders>
              <w:top w:val="single" w:sz="4" w:space="0" w:color="000000"/>
              <w:left w:val="single" w:sz="4" w:space="0" w:color="000000"/>
              <w:bottom w:val="single" w:sz="4" w:space="0" w:color="000000"/>
              <w:right w:val="single" w:sz="4" w:space="0" w:color="000000"/>
            </w:tcBorders>
          </w:tcPr>
          <w:p w14:paraId="73F2AA88" w14:textId="77777777" w:rsidR="007F6784" w:rsidRDefault="00FA45E3" w:rsidP="00443352">
            <w:pPr>
              <w:pStyle w:val="CLDNormal"/>
              <w:spacing w:after="0"/>
              <w:ind w:left="360"/>
              <w:jc w:val="left"/>
              <w:rPr>
                <w:rFonts w:eastAsiaTheme="minorEastAsia"/>
                <w:b/>
                <w:bCs/>
                <w:sz w:val="20"/>
                <w:lang w:val="en-AU"/>
              </w:rPr>
            </w:pPr>
            <w:r w:rsidRPr="00FA45E3">
              <w:rPr>
                <w:rFonts w:eastAsiaTheme="minorEastAsia"/>
                <w:b/>
                <w:bCs/>
                <w:sz w:val="20"/>
                <w:lang w:val="en-AU"/>
              </w:rPr>
              <w:t xml:space="preserve">Infections and infestations </w:t>
            </w:r>
          </w:p>
          <w:p w14:paraId="3F851DB1" w14:textId="77777777" w:rsidR="007F6784" w:rsidRPr="007F6784"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 xml:space="preserve">Urinary tract infection </w:t>
            </w:r>
          </w:p>
          <w:p w14:paraId="70D0D38F"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Bronchitis</w:t>
            </w:r>
          </w:p>
          <w:p w14:paraId="16510100" w14:textId="77777777" w:rsidR="007F6784" w:rsidRPr="007F6784"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 xml:space="preserve">Herpes zoster </w:t>
            </w:r>
          </w:p>
          <w:p w14:paraId="3CA00DC7" w14:textId="77777777" w:rsidR="00FA45E3" w:rsidRPr="00FA45E3" w:rsidRDefault="00FA45E3" w:rsidP="00443352">
            <w:pPr>
              <w:pStyle w:val="CLDNormal"/>
              <w:spacing w:after="0"/>
              <w:ind w:left="360"/>
              <w:jc w:val="left"/>
              <w:rPr>
                <w:rFonts w:eastAsiaTheme="minorEastAsia"/>
                <w:b/>
                <w:sz w:val="20"/>
                <w:lang w:val="en-AU"/>
              </w:rPr>
            </w:pPr>
            <w:proofErr w:type="spellStart"/>
            <w:r w:rsidRPr="00FA45E3">
              <w:rPr>
                <w:rFonts w:eastAsiaTheme="minorEastAsia"/>
                <w:sz w:val="20"/>
                <w:lang w:val="en-AU"/>
              </w:rPr>
              <w:t>Nasopharyngitis</w:t>
            </w:r>
            <w:proofErr w:type="spellEnd"/>
          </w:p>
        </w:tc>
        <w:tc>
          <w:tcPr>
            <w:tcW w:w="2858" w:type="dxa"/>
            <w:tcBorders>
              <w:top w:val="single" w:sz="4" w:space="0" w:color="000000"/>
              <w:left w:val="single" w:sz="4" w:space="0" w:color="000000"/>
              <w:bottom w:val="single" w:sz="4" w:space="0" w:color="000000"/>
              <w:right w:val="single" w:sz="4" w:space="0" w:color="000000"/>
            </w:tcBorders>
          </w:tcPr>
          <w:p w14:paraId="633D6EA5" w14:textId="77777777" w:rsidR="00FA45E3" w:rsidRPr="00FA45E3" w:rsidRDefault="00FA45E3" w:rsidP="00443352">
            <w:pPr>
              <w:pStyle w:val="CLDNormal"/>
              <w:spacing w:after="0"/>
              <w:ind w:left="360"/>
              <w:jc w:val="left"/>
              <w:rPr>
                <w:rFonts w:eastAsiaTheme="minorEastAsia"/>
                <w:sz w:val="20"/>
                <w:lang w:val="en-AU"/>
              </w:rPr>
            </w:pPr>
          </w:p>
          <w:p w14:paraId="46CAAA99"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7%</w:t>
            </w:r>
          </w:p>
          <w:p w14:paraId="67FF96AE"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5%</w:t>
            </w:r>
          </w:p>
          <w:p w14:paraId="53448F04"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5%</w:t>
            </w:r>
          </w:p>
          <w:p w14:paraId="082F6552"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5%</w:t>
            </w:r>
          </w:p>
        </w:tc>
        <w:tc>
          <w:tcPr>
            <w:tcW w:w="2858" w:type="dxa"/>
            <w:tcBorders>
              <w:top w:val="single" w:sz="4" w:space="0" w:color="000000"/>
              <w:left w:val="single" w:sz="4" w:space="0" w:color="000000"/>
              <w:bottom w:val="single" w:sz="4" w:space="0" w:color="000000"/>
              <w:right w:val="single" w:sz="4" w:space="0" w:color="000000"/>
            </w:tcBorders>
          </w:tcPr>
          <w:p w14:paraId="1D4EBE9A" w14:textId="77777777" w:rsidR="00FA45E3" w:rsidRPr="00FA45E3" w:rsidRDefault="00FA45E3" w:rsidP="00443352">
            <w:pPr>
              <w:pStyle w:val="CLDNormal"/>
              <w:spacing w:after="0"/>
              <w:ind w:left="360"/>
              <w:jc w:val="left"/>
              <w:rPr>
                <w:rFonts w:eastAsiaTheme="minorEastAsia"/>
                <w:sz w:val="20"/>
                <w:lang w:val="en-AU"/>
              </w:rPr>
            </w:pPr>
          </w:p>
          <w:p w14:paraId="70F2DC2E"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3%</w:t>
            </w:r>
          </w:p>
          <w:p w14:paraId="2FF5C06E"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2%</w:t>
            </w:r>
          </w:p>
          <w:p w14:paraId="01E40F36"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2%</w:t>
            </w:r>
          </w:p>
          <w:p w14:paraId="25283687"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4%</w:t>
            </w:r>
          </w:p>
        </w:tc>
      </w:tr>
      <w:tr w:rsidR="00FA45E3" w:rsidRPr="00FA45E3" w14:paraId="37122AE0" w14:textId="77777777" w:rsidTr="00FA45E3">
        <w:trPr>
          <w:trHeight w:hRule="exact" w:val="562"/>
        </w:trPr>
        <w:tc>
          <w:tcPr>
            <w:tcW w:w="3303" w:type="dxa"/>
            <w:tcBorders>
              <w:top w:val="single" w:sz="4" w:space="0" w:color="000000"/>
              <w:left w:val="single" w:sz="4" w:space="0" w:color="000000"/>
              <w:bottom w:val="single" w:sz="4" w:space="0" w:color="000000"/>
              <w:right w:val="single" w:sz="4" w:space="0" w:color="000000"/>
            </w:tcBorders>
          </w:tcPr>
          <w:p w14:paraId="026555C5" w14:textId="77777777" w:rsidR="00FA45E3" w:rsidRPr="00FA45E3" w:rsidRDefault="00FA45E3" w:rsidP="00443352">
            <w:pPr>
              <w:pStyle w:val="CLDNormal"/>
              <w:spacing w:after="0"/>
              <w:ind w:left="360"/>
              <w:jc w:val="left"/>
              <w:rPr>
                <w:rFonts w:eastAsiaTheme="minorEastAsia"/>
                <w:b/>
                <w:sz w:val="20"/>
                <w:lang w:val="en-AU"/>
              </w:rPr>
            </w:pPr>
            <w:r w:rsidRPr="00FA45E3">
              <w:rPr>
                <w:rFonts w:eastAsiaTheme="minorEastAsia"/>
                <w:b/>
                <w:bCs/>
                <w:sz w:val="20"/>
                <w:lang w:val="en-AU"/>
              </w:rPr>
              <w:t>Investigations</w:t>
            </w:r>
          </w:p>
          <w:p w14:paraId="049805E4" w14:textId="77777777" w:rsidR="00FA45E3" w:rsidRPr="00FA45E3" w:rsidRDefault="00FA45E3" w:rsidP="00443352">
            <w:pPr>
              <w:pStyle w:val="CLDNormal"/>
              <w:spacing w:after="0"/>
              <w:ind w:left="360"/>
              <w:jc w:val="left"/>
              <w:rPr>
                <w:rFonts w:eastAsiaTheme="minorEastAsia"/>
                <w:b/>
                <w:sz w:val="20"/>
                <w:lang w:val="en-AU"/>
              </w:rPr>
            </w:pPr>
            <w:r w:rsidRPr="00FA45E3">
              <w:rPr>
                <w:rFonts w:eastAsiaTheme="minorEastAsia"/>
                <w:b/>
                <w:sz w:val="20"/>
                <w:lang w:val="en-AU"/>
              </w:rPr>
              <w:t>Decreased haemoglobin</w:t>
            </w:r>
          </w:p>
        </w:tc>
        <w:tc>
          <w:tcPr>
            <w:tcW w:w="2858" w:type="dxa"/>
            <w:tcBorders>
              <w:top w:val="single" w:sz="4" w:space="0" w:color="000000"/>
              <w:left w:val="single" w:sz="4" w:space="0" w:color="000000"/>
              <w:bottom w:val="single" w:sz="4" w:space="0" w:color="000000"/>
              <w:right w:val="single" w:sz="4" w:space="0" w:color="000000"/>
            </w:tcBorders>
          </w:tcPr>
          <w:p w14:paraId="5726AC75" w14:textId="77777777" w:rsidR="00FA45E3" w:rsidRPr="00FA45E3" w:rsidRDefault="00FA45E3" w:rsidP="00443352">
            <w:pPr>
              <w:pStyle w:val="CLDNormal"/>
              <w:spacing w:after="0"/>
              <w:ind w:left="360"/>
              <w:jc w:val="left"/>
              <w:rPr>
                <w:rFonts w:eastAsiaTheme="minorEastAsia"/>
                <w:sz w:val="20"/>
                <w:lang w:val="en-AU"/>
              </w:rPr>
            </w:pPr>
          </w:p>
          <w:p w14:paraId="01B2F0EB"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6%</w:t>
            </w:r>
          </w:p>
        </w:tc>
        <w:tc>
          <w:tcPr>
            <w:tcW w:w="2858" w:type="dxa"/>
            <w:tcBorders>
              <w:top w:val="single" w:sz="4" w:space="0" w:color="000000"/>
              <w:left w:val="single" w:sz="4" w:space="0" w:color="000000"/>
              <w:bottom w:val="single" w:sz="4" w:space="0" w:color="000000"/>
              <w:right w:val="single" w:sz="4" w:space="0" w:color="000000"/>
            </w:tcBorders>
          </w:tcPr>
          <w:p w14:paraId="48D12B8E" w14:textId="77777777" w:rsidR="00FA45E3" w:rsidRPr="00FA45E3" w:rsidRDefault="00FA45E3" w:rsidP="00443352">
            <w:pPr>
              <w:pStyle w:val="CLDNormal"/>
              <w:spacing w:after="0"/>
              <w:ind w:left="360"/>
              <w:jc w:val="left"/>
              <w:rPr>
                <w:rFonts w:eastAsiaTheme="minorEastAsia"/>
                <w:sz w:val="20"/>
                <w:lang w:val="en-AU"/>
              </w:rPr>
            </w:pPr>
          </w:p>
          <w:p w14:paraId="1B80CBAB"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4%</w:t>
            </w:r>
          </w:p>
        </w:tc>
      </w:tr>
      <w:tr w:rsidR="00FA45E3" w:rsidRPr="00FA45E3" w14:paraId="3F7FC60B" w14:textId="77777777" w:rsidTr="00FA45E3">
        <w:trPr>
          <w:trHeight w:hRule="exact" w:val="838"/>
        </w:trPr>
        <w:tc>
          <w:tcPr>
            <w:tcW w:w="3303" w:type="dxa"/>
            <w:tcBorders>
              <w:top w:val="single" w:sz="4" w:space="0" w:color="000000"/>
              <w:left w:val="single" w:sz="4" w:space="0" w:color="000000"/>
              <w:bottom w:val="single" w:sz="4" w:space="0" w:color="000000"/>
              <w:right w:val="single" w:sz="4" w:space="0" w:color="000000"/>
            </w:tcBorders>
          </w:tcPr>
          <w:p w14:paraId="4F039F5A" w14:textId="77777777" w:rsidR="00FA45E3" w:rsidRPr="00FA45E3" w:rsidRDefault="00FA45E3" w:rsidP="00443352">
            <w:pPr>
              <w:pStyle w:val="CLDNormal"/>
              <w:spacing w:after="0"/>
              <w:ind w:left="360"/>
              <w:jc w:val="left"/>
              <w:rPr>
                <w:rFonts w:eastAsiaTheme="minorEastAsia"/>
                <w:b/>
                <w:sz w:val="20"/>
                <w:lang w:val="en-AU"/>
              </w:rPr>
            </w:pPr>
            <w:r w:rsidRPr="00FA45E3">
              <w:rPr>
                <w:rFonts w:eastAsiaTheme="minorEastAsia"/>
                <w:b/>
                <w:bCs/>
                <w:sz w:val="20"/>
                <w:lang w:val="en-AU"/>
              </w:rPr>
              <w:t>Metabolism and nutrition disorders</w:t>
            </w:r>
          </w:p>
          <w:p w14:paraId="59052094"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Hypokalaemia</w:t>
            </w:r>
          </w:p>
        </w:tc>
        <w:tc>
          <w:tcPr>
            <w:tcW w:w="2858" w:type="dxa"/>
            <w:tcBorders>
              <w:top w:val="single" w:sz="4" w:space="0" w:color="000000"/>
              <w:left w:val="single" w:sz="4" w:space="0" w:color="000000"/>
              <w:bottom w:val="single" w:sz="4" w:space="0" w:color="000000"/>
              <w:right w:val="single" w:sz="4" w:space="0" w:color="000000"/>
            </w:tcBorders>
          </w:tcPr>
          <w:p w14:paraId="34BFA249" w14:textId="77777777" w:rsidR="00FA45E3" w:rsidRPr="00FA45E3" w:rsidRDefault="00FA45E3" w:rsidP="00443352">
            <w:pPr>
              <w:pStyle w:val="CLDNormal"/>
              <w:spacing w:after="0"/>
              <w:ind w:left="360"/>
              <w:jc w:val="left"/>
              <w:rPr>
                <w:rFonts w:eastAsiaTheme="minorEastAsia"/>
                <w:sz w:val="20"/>
                <w:lang w:val="en-AU"/>
              </w:rPr>
            </w:pPr>
          </w:p>
          <w:p w14:paraId="36C1A02A"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5%</w:t>
            </w:r>
          </w:p>
        </w:tc>
        <w:tc>
          <w:tcPr>
            <w:tcW w:w="2858" w:type="dxa"/>
            <w:tcBorders>
              <w:top w:val="single" w:sz="4" w:space="0" w:color="000000"/>
              <w:left w:val="single" w:sz="4" w:space="0" w:color="000000"/>
              <w:bottom w:val="single" w:sz="4" w:space="0" w:color="000000"/>
              <w:right w:val="single" w:sz="4" w:space="0" w:color="000000"/>
            </w:tcBorders>
          </w:tcPr>
          <w:p w14:paraId="3D2A3656" w14:textId="77777777" w:rsidR="00FA45E3" w:rsidRPr="00FA45E3" w:rsidRDefault="00FA45E3" w:rsidP="00443352">
            <w:pPr>
              <w:pStyle w:val="CLDNormal"/>
              <w:spacing w:after="0"/>
              <w:ind w:left="360"/>
              <w:jc w:val="left"/>
              <w:rPr>
                <w:rFonts w:eastAsiaTheme="minorEastAsia"/>
                <w:sz w:val="20"/>
                <w:lang w:val="en-AU"/>
              </w:rPr>
            </w:pPr>
          </w:p>
          <w:p w14:paraId="17735B3C"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2%</w:t>
            </w:r>
          </w:p>
        </w:tc>
      </w:tr>
      <w:tr w:rsidR="00FA45E3" w:rsidRPr="00FA45E3" w14:paraId="77479426" w14:textId="77777777" w:rsidTr="007F6784">
        <w:trPr>
          <w:trHeight w:hRule="exact" w:val="1938"/>
        </w:trPr>
        <w:tc>
          <w:tcPr>
            <w:tcW w:w="3303" w:type="dxa"/>
            <w:tcBorders>
              <w:top w:val="single" w:sz="4" w:space="0" w:color="000000"/>
              <w:left w:val="single" w:sz="4" w:space="0" w:color="000000"/>
              <w:bottom w:val="single" w:sz="4" w:space="0" w:color="000000"/>
              <w:right w:val="single" w:sz="4" w:space="0" w:color="000000"/>
            </w:tcBorders>
          </w:tcPr>
          <w:p w14:paraId="23DD6525" w14:textId="77777777" w:rsidR="00FA45E3" w:rsidRPr="00FA45E3" w:rsidRDefault="00FA45E3" w:rsidP="00443352">
            <w:pPr>
              <w:pStyle w:val="CLDNormal"/>
              <w:spacing w:after="0"/>
              <w:ind w:left="360"/>
              <w:jc w:val="left"/>
              <w:rPr>
                <w:rFonts w:eastAsiaTheme="minorEastAsia"/>
                <w:b/>
                <w:sz w:val="20"/>
                <w:lang w:val="en-AU"/>
              </w:rPr>
            </w:pPr>
            <w:r w:rsidRPr="00FA45E3">
              <w:rPr>
                <w:rFonts w:eastAsiaTheme="minorEastAsia"/>
                <w:b/>
                <w:bCs/>
                <w:sz w:val="20"/>
                <w:lang w:val="en-AU"/>
              </w:rPr>
              <w:t>Musculoskeletal and connective tissue disorders</w:t>
            </w:r>
          </w:p>
          <w:p w14:paraId="7F7E0B6A" w14:textId="77777777" w:rsidR="007F6784" w:rsidRPr="007F6784"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 xml:space="preserve">Muscle spasm </w:t>
            </w:r>
          </w:p>
          <w:p w14:paraId="2188CC95" w14:textId="77777777" w:rsidR="007F6784" w:rsidRPr="007F6784"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 xml:space="preserve">Arthralgia </w:t>
            </w:r>
          </w:p>
          <w:p w14:paraId="181D3956"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Back pain</w:t>
            </w:r>
          </w:p>
          <w:p w14:paraId="342D5D7A" w14:textId="77777777" w:rsidR="007F6784" w:rsidRPr="007F6784"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 xml:space="preserve">Muscle weakness </w:t>
            </w:r>
          </w:p>
          <w:p w14:paraId="4B67E4DD" w14:textId="77777777" w:rsidR="007F6784" w:rsidRPr="007F6784"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 xml:space="preserve">Musculoskeletal pain </w:t>
            </w:r>
          </w:p>
          <w:p w14:paraId="6BC3E06D" w14:textId="77777777" w:rsidR="00FA45E3" w:rsidRPr="00FA45E3" w:rsidRDefault="00FA45E3" w:rsidP="00443352">
            <w:pPr>
              <w:pStyle w:val="CLDNormal"/>
              <w:spacing w:after="0"/>
              <w:ind w:left="360"/>
              <w:jc w:val="left"/>
              <w:rPr>
                <w:rFonts w:eastAsiaTheme="minorEastAsia"/>
                <w:b/>
                <w:sz w:val="20"/>
                <w:lang w:val="en-AU"/>
              </w:rPr>
            </w:pPr>
            <w:r w:rsidRPr="00FA45E3">
              <w:rPr>
                <w:rFonts w:eastAsiaTheme="minorEastAsia"/>
                <w:sz w:val="20"/>
                <w:lang w:val="en-AU"/>
              </w:rPr>
              <w:t>Pain in extremities</w:t>
            </w:r>
          </w:p>
        </w:tc>
        <w:tc>
          <w:tcPr>
            <w:tcW w:w="2858" w:type="dxa"/>
            <w:tcBorders>
              <w:top w:val="single" w:sz="4" w:space="0" w:color="000000"/>
              <w:left w:val="single" w:sz="4" w:space="0" w:color="000000"/>
              <w:bottom w:val="single" w:sz="4" w:space="0" w:color="000000"/>
              <w:right w:val="single" w:sz="4" w:space="0" w:color="000000"/>
            </w:tcBorders>
          </w:tcPr>
          <w:p w14:paraId="5485B640" w14:textId="77777777" w:rsidR="00FA45E3" w:rsidRPr="00FA45E3" w:rsidRDefault="00FA45E3" w:rsidP="00443352">
            <w:pPr>
              <w:pStyle w:val="CLDNormal"/>
              <w:spacing w:after="0"/>
              <w:ind w:left="360"/>
              <w:jc w:val="left"/>
              <w:rPr>
                <w:rFonts w:eastAsiaTheme="minorEastAsia"/>
                <w:sz w:val="20"/>
                <w:lang w:val="en-AU"/>
              </w:rPr>
            </w:pPr>
          </w:p>
          <w:p w14:paraId="28AD8A72" w14:textId="77777777" w:rsidR="007F6784" w:rsidRDefault="007F6784" w:rsidP="00443352">
            <w:pPr>
              <w:pStyle w:val="CLDNormal"/>
              <w:spacing w:after="0"/>
              <w:ind w:left="360"/>
              <w:jc w:val="left"/>
              <w:rPr>
                <w:rFonts w:eastAsiaTheme="minorEastAsia"/>
                <w:sz w:val="20"/>
                <w:lang w:val="en-AU"/>
              </w:rPr>
            </w:pPr>
          </w:p>
          <w:p w14:paraId="24A4FF0C"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18%</w:t>
            </w:r>
          </w:p>
          <w:p w14:paraId="68D93BB6"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15%</w:t>
            </w:r>
          </w:p>
          <w:p w14:paraId="70D4927A"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10%</w:t>
            </w:r>
          </w:p>
          <w:p w14:paraId="26043899"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5%</w:t>
            </w:r>
          </w:p>
          <w:p w14:paraId="0AFC1D2D"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5%</w:t>
            </w:r>
          </w:p>
          <w:p w14:paraId="04F807CA"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5%</w:t>
            </w:r>
          </w:p>
        </w:tc>
        <w:tc>
          <w:tcPr>
            <w:tcW w:w="2858" w:type="dxa"/>
            <w:tcBorders>
              <w:top w:val="single" w:sz="4" w:space="0" w:color="000000"/>
              <w:left w:val="single" w:sz="4" w:space="0" w:color="000000"/>
              <w:bottom w:val="single" w:sz="4" w:space="0" w:color="000000"/>
              <w:right w:val="single" w:sz="4" w:space="0" w:color="000000"/>
            </w:tcBorders>
          </w:tcPr>
          <w:p w14:paraId="3A4F8BF4" w14:textId="77777777" w:rsidR="00FA45E3" w:rsidRPr="00FA45E3" w:rsidRDefault="00FA45E3" w:rsidP="00443352">
            <w:pPr>
              <w:pStyle w:val="CLDNormal"/>
              <w:spacing w:after="0"/>
              <w:ind w:left="360"/>
              <w:jc w:val="left"/>
              <w:rPr>
                <w:rFonts w:eastAsiaTheme="minorEastAsia"/>
                <w:sz w:val="20"/>
                <w:lang w:val="en-AU"/>
              </w:rPr>
            </w:pPr>
          </w:p>
          <w:p w14:paraId="18B8D2A1" w14:textId="77777777" w:rsidR="007F6784" w:rsidRDefault="007F6784" w:rsidP="00443352">
            <w:pPr>
              <w:pStyle w:val="CLDNormal"/>
              <w:spacing w:after="0"/>
              <w:ind w:left="360"/>
              <w:jc w:val="left"/>
              <w:rPr>
                <w:rFonts w:eastAsiaTheme="minorEastAsia"/>
                <w:sz w:val="20"/>
                <w:lang w:val="en-AU"/>
              </w:rPr>
            </w:pPr>
          </w:p>
          <w:p w14:paraId="05752CCE"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17%</w:t>
            </w:r>
          </w:p>
          <w:p w14:paraId="7B4484CB"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10%</w:t>
            </w:r>
          </w:p>
          <w:p w14:paraId="0EA75529"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6%</w:t>
            </w:r>
          </w:p>
          <w:p w14:paraId="447AD1A6"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4%</w:t>
            </w:r>
          </w:p>
          <w:p w14:paraId="36C99948"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0%</w:t>
            </w:r>
          </w:p>
          <w:p w14:paraId="6F0A4009"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3%</w:t>
            </w:r>
          </w:p>
        </w:tc>
      </w:tr>
      <w:tr w:rsidR="00FA45E3" w:rsidRPr="00FA45E3" w14:paraId="17A64ED4" w14:textId="77777777" w:rsidTr="00FA45E3">
        <w:trPr>
          <w:trHeight w:hRule="exact" w:val="838"/>
        </w:trPr>
        <w:tc>
          <w:tcPr>
            <w:tcW w:w="3303" w:type="dxa"/>
            <w:tcBorders>
              <w:top w:val="single" w:sz="4" w:space="0" w:color="000000"/>
              <w:left w:val="single" w:sz="4" w:space="0" w:color="000000"/>
              <w:bottom w:val="single" w:sz="4" w:space="0" w:color="000000"/>
              <w:right w:val="single" w:sz="4" w:space="0" w:color="000000"/>
            </w:tcBorders>
          </w:tcPr>
          <w:p w14:paraId="100B71D0" w14:textId="77777777" w:rsidR="00FA45E3" w:rsidRPr="00FA45E3" w:rsidRDefault="00FA45E3" w:rsidP="00443352">
            <w:pPr>
              <w:pStyle w:val="CLDNormal"/>
              <w:spacing w:after="0"/>
              <w:ind w:left="360"/>
              <w:jc w:val="left"/>
              <w:rPr>
                <w:rFonts w:eastAsiaTheme="minorEastAsia"/>
                <w:b/>
                <w:sz w:val="20"/>
                <w:lang w:val="en-AU"/>
              </w:rPr>
            </w:pPr>
            <w:r w:rsidRPr="00FA45E3">
              <w:rPr>
                <w:rFonts w:eastAsiaTheme="minorEastAsia"/>
                <w:b/>
                <w:bCs/>
                <w:sz w:val="20"/>
                <w:lang w:val="en-AU"/>
              </w:rPr>
              <w:t>Nervous system disorders</w:t>
            </w:r>
          </w:p>
          <w:p w14:paraId="221A03B8" w14:textId="77777777" w:rsidR="007F6784" w:rsidRPr="007F6784"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 xml:space="preserve">Dizziness </w:t>
            </w:r>
          </w:p>
          <w:p w14:paraId="5B0D6470" w14:textId="77777777" w:rsidR="00FA45E3" w:rsidRPr="00FA45E3" w:rsidRDefault="00FA45E3" w:rsidP="00443352">
            <w:pPr>
              <w:pStyle w:val="CLDNormal"/>
              <w:spacing w:after="0"/>
              <w:ind w:left="360"/>
              <w:jc w:val="left"/>
              <w:rPr>
                <w:rFonts w:eastAsiaTheme="minorEastAsia"/>
                <w:b/>
                <w:sz w:val="20"/>
                <w:lang w:val="en-AU"/>
              </w:rPr>
            </w:pPr>
            <w:r w:rsidRPr="00FA45E3">
              <w:rPr>
                <w:rFonts w:eastAsiaTheme="minorEastAsia"/>
                <w:sz w:val="20"/>
                <w:lang w:val="en-AU"/>
              </w:rPr>
              <w:t>Tremor</w:t>
            </w:r>
          </w:p>
        </w:tc>
        <w:tc>
          <w:tcPr>
            <w:tcW w:w="2858" w:type="dxa"/>
            <w:tcBorders>
              <w:top w:val="single" w:sz="4" w:space="0" w:color="000000"/>
              <w:left w:val="single" w:sz="4" w:space="0" w:color="000000"/>
              <w:bottom w:val="single" w:sz="4" w:space="0" w:color="000000"/>
              <w:right w:val="single" w:sz="4" w:space="0" w:color="000000"/>
            </w:tcBorders>
          </w:tcPr>
          <w:p w14:paraId="2BD2F82D" w14:textId="77777777" w:rsidR="00FA45E3" w:rsidRPr="00FA45E3" w:rsidRDefault="00FA45E3" w:rsidP="00443352">
            <w:pPr>
              <w:pStyle w:val="CLDNormal"/>
              <w:spacing w:after="0"/>
              <w:ind w:left="360"/>
              <w:jc w:val="left"/>
              <w:rPr>
                <w:rFonts w:eastAsiaTheme="minorEastAsia"/>
                <w:sz w:val="20"/>
                <w:lang w:val="en-AU"/>
              </w:rPr>
            </w:pPr>
          </w:p>
          <w:p w14:paraId="5787A7DE"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10%</w:t>
            </w:r>
          </w:p>
          <w:p w14:paraId="0A3FE178"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10%</w:t>
            </w:r>
          </w:p>
        </w:tc>
        <w:tc>
          <w:tcPr>
            <w:tcW w:w="2858" w:type="dxa"/>
            <w:tcBorders>
              <w:top w:val="single" w:sz="4" w:space="0" w:color="000000"/>
              <w:left w:val="single" w:sz="4" w:space="0" w:color="000000"/>
              <w:bottom w:val="single" w:sz="4" w:space="0" w:color="000000"/>
              <w:right w:val="single" w:sz="4" w:space="0" w:color="000000"/>
            </w:tcBorders>
          </w:tcPr>
          <w:p w14:paraId="4FB968B2" w14:textId="77777777" w:rsidR="00FA45E3" w:rsidRPr="00FA45E3" w:rsidRDefault="00FA45E3" w:rsidP="00443352">
            <w:pPr>
              <w:pStyle w:val="CLDNormal"/>
              <w:spacing w:after="0"/>
              <w:ind w:left="360"/>
              <w:jc w:val="left"/>
              <w:rPr>
                <w:rFonts w:eastAsiaTheme="minorEastAsia"/>
                <w:sz w:val="20"/>
                <w:lang w:val="en-AU"/>
              </w:rPr>
            </w:pPr>
          </w:p>
          <w:p w14:paraId="16F26609"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9%</w:t>
            </w:r>
          </w:p>
          <w:p w14:paraId="6C4113ED"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6%</w:t>
            </w:r>
          </w:p>
        </w:tc>
      </w:tr>
      <w:tr w:rsidR="00FA45E3" w:rsidRPr="00FA45E3" w14:paraId="3103CF19" w14:textId="77777777" w:rsidTr="00FA45E3">
        <w:trPr>
          <w:trHeight w:hRule="exact" w:val="562"/>
        </w:trPr>
        <w:tc>
          <w:tcPr>
            <w:tcW w:w="3303" w:type="dxa"/>
            <w:tcBorders>
              <w:top w:val="single" w:sz="4" w:space="0" w:color="000000"/>
              <w:left w:val="single" w:sz="4" w:space="0" w:color="000000"/>
              <w:bottom w:val="single" w:sz="4" w:space="0" w:color="000000"/>
              <w:right w:val="single" w:sz="4" w:space="0" w:color="000000"/>
            </w:tcBorders>
          </w:tcPr>
          <w:p w14:paraId="622AEBDD" w14:textId="77777777" w:rsidR="00FA45E3" w:rsidRPr="00FA45E3" w:rsidRDefault="00FA45E3" w:rsidP="00443352">
            <w:pPr>
              <w:pStyle w:val="CLDNormal"/>
              <w:spacing w:after="0"/>
              <w:ind w:left="360"/>
              <w:jc w:val="left"/>
              <w:rPr>
                <w:rFonts w:eastAsiaTheme="minorEastAsia"/>
                <w:b/>
                <w:sz w:val="20"/>
                <w:lang w:val="en-AU"/>
              </w:rPr>
            </w:pPr>
            <w:r w:rsidRPr="00FA45E3">
              <w:rPr>
                <w:rFonts w:eastAsiaTheme="minorEastAsia"/>
                <w:b/>
                <w:bCs/>
                <w:sz w:val="20"/>
                <w:lang w:val="en-AU"/>
              </w:rPr>
              <w:t>Psychiatric disorders</w:t>
            </w:r>
          </w:p>
          <w:p w14:paraId="23A756C0"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Insomnia</w:t>
            </w:r>
          </w:p>
        </w:tc>
        <w:tc>
          <w:tcPr>
            <w:tcW w:w="2858" w:type="dxa"/>
            <w:tcBorders>
              <w:top w:val="single" w:sz="4" w:space="0" w:color="000000"/>
              <w:left w:val="single" w:sz="4" w:space="0" w:color="000000"/>
              <w:bottom w:val="single" w:sz="4" w:space="0" w:color="000000"/>
              <w:right w:val="single" w:sz="4" w:space="0" w:color="000000"/>
            </w:tcBorders>
          </w:tcPr>
          <w:p w14:paraId="65B7D8F1" w14:textId="77777777" w:rsidR="00FA45E3" w:rsidRPr="00FA45E3" w:rsidRDefault="00FA45E3" w:rsidP="00443352">
            <w:pPr>
              <w:pStyle w:val="CLDNormal"/>
              <w:spacing w:after="0"/>
              <w:ind w:left="360"/>
              <w:jc w:val="left"/>
              <w:rPr>
                <w:rFonts w:eastAsiaTheme="minorEastAsia"/>
                <w:sz w:val="20"/>
                <w:lang w:val="en-AU"/>
              </w:rPr>
            </w:pPr>
          </w:p>
          <w:p w14:paraId="590A838B"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14%</w:t>
            </w:r>
          </w:p>
        </w:tc>
        <w:tc>
          <w:tcPr>
            <w:tcW w:w="2858" w:type="dxa"/>
            <w:tcBorders>
              <w:top w:val="single" w:sz="4" w:space="0" w:color="000000"/>
              <w:left w:val="single" w:sz="4" w:space="0" w:color="000000"/>
              <w:bottom w:val="single" w:sz="4" w:space="0" w:color="000000"/>
              <w:right w:val="single" w:sz="4" w:space="0" w:color="000000"/>
            </w:tcBorders>
          </w:tcPr>
          <w:p w14:paraId="03655E37" w14:textId="77777777" w:rsidR="00FA45E3" w:rsidRPr="00FA45E3" w:rsidRDefault="00FA45E3" w:rsidP="00443352">
            <w:pPr>
              <w:pStyle w:val="CLDNormal"/>
              <w:spacing w:after="0"/>
              <w:ind w:left="360"/>
              <w:jc w:val="left"/>
              <w:rPr>
                <w:rFonts w:eastAsiaTheme="minorEastAsia"/>
                <w:sz w:val="20"/>
                <w:lang w:val="en-AU"/>
              </w:rPr>
            </w:pPr>
          </w:p>
          <w:p w14:paraId="62DC1AFA" w14:textId="77777777" w:rsidR="00FA45E3" w:rsidRP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13%</w:t>
            </w:r>
          </w:p>
        </w:tc>
      </w:tr>
      <w:tr w:rsidR="00FA45E3" w:rsidRPr="00FA45E3" w14:paraId="603041F9" w14:textId="77777777" w:rsidTr="007F6784">
        <w:trPr>
          <w:trHeight w:hRule="exact" w:val="1433"/>
        </w:trPr>
        <w:tc>
          <w:tcPr>
            <w:tcW w:w="3303" w:type="dxa"/>
            <w:tcBorders>
              <w:top w:val="single" w:sz="4" w:space="0" w:color="000000"/>
              <w:left w:val="single" w:sz="4" w:space="0" w:color="000000"/>
              <w:bottom w:val="single" w:sz="4" w:space="0" w:color="000000"/>
              <w:right w:val="single" w:sz="4" w:space="0" w:color="000000"/>
            </w:tcBorders>
          </w:tcPr>
          <w:p w14:paraId="7A2CC998" w14:textId="77777777" w:rsidR="007F6784" w:rsidRDefault="00FA45E3" w:rsidP="00443352">
            <w:pPr>
              <w:pStyle w:val="CLDNormal"/>
              <w:spacing w:after="0"/>
              <w:ind w:left="360"/>
              <w:jc w:val="left"/>
              <w:rPr>
                <w:rFonts w:eastAsiaTheme="minorEastAsia"/>
                <w:b/>
                <w:bCs/>
                <w:sz w:val="20"/>
                <w:lang w:val="en-AU"/>
              </w:rPr>
            </w:pPr>
            <w:r w:rsidRPr="00FA45E3">
              <w:rPr>
                <w:rFonts w:eastAsiaTheme="minorEastAsia"/>
                <w:b/>
                <w:bCs/>
                <w:sz w:val="20"/>
                <w:lang w:val="en-AU"/>
              </w:rPr>
              <w:t xml:space="preserve">Respiratory, thoracic and mediastinal disorders </w:t>
            </w:r>
          </w:p>
          <w:p w14:paraId="233ED26B" w14:textId="77777777" w:rsid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Cough</w:t>
            </w:r>
          </w:p>
          <w:p w14:paraId="3C1B12A3" w14:textId="77777777" w:rsidR="007F6784" w:rsidRDefault="007F6784" w:rsidP="00443352">
            <w:pPr>
              <w:pStyle w:val="CLDNormal"/>
              <w:spacing w:after="0"/>
              <w:ind w:left="360"/>
              <w:jc w:val="left"/>
              <w:rPr>
                <w:rFonts w:eastAsiaTheme="minorEastAsia"/>
                <w:sz w:val="20"/>
                <w:lang w:val="en-AU"/>
              </w:rPr>
            </w:pPr>
            <w:r>
              <w:rPr>
                <w:rFonts w:eastAsiaTheme="minorEastAsia"/>
                <w:sz w:val="20"/>
                <w:lang w:val="en-AU"/>
              </w:rPr>
              <w:t>Dyspnoea</w:t>
            </w:r>
          </w:p>
          <w:p w14:paraId="75A6C0CB" w14:textId="77777777" w:rsidR="007F6784" w:rsidRDefault="007F6784" w:rsidP="00443352">
            <w:pPr>
              <w:pStyle w:val="CLDNormal"/>
              <w:spacing w:after="0"/>
              <w:ind w:left="360"/>
              <w:jc w:val="left"/>
              <w:rPr>
                <w:rFonts w:eastAsiaTheme="minorEastAsia"/>
                <w:sz w:val="20"/>
                <w:lang w:val="en-AU"/>
              </w:rPr>
            </w:pPr>
            <w:r>
              <w:rPr>
                <w:rFonts w:eastAsiaTheme="minorEastAsia"/>
                <w:sz w:val="20"/>
                <w:lang w:val="en-AU"/>
              </w:rPr>
              <w:t>Epistaxis</w:t>
            </w:r>
          </w:p>
          <w:p w14:paraId="193F13D3" w14:textId="77777777" w:rsidR="007F6784" w:rsidRPr="00FA45E3" w:rsidRDefault="007F6784" w:rsidP="00443352">
            <w:pPr>
              <w:pStyle w:val="CLDNormal"/>
              <w:spacing w:after="0"/>
              <w:ind w:left="360"/>
              <w:jc w:val="left"/>
              <w:rPr>
                <w:rFonts w:eastAsiaTheme="minorEastAsia"/>
                <w:sz w:val="20"/>
                <w:lang w:val="en-AU"/>
              </w:rPr>
            </w:pPr>
            <w:r>
              <w:rPr>
                <w:rFonts w:eastAsiaTheme="minorEastAsia"/>
                <w:sz w:val="20"/>
                <w:lang w:val="en-AU"/>
              </w:rPr>
              <w:t>Nasal congestion</w:t>
            </w:r>
          </w:p>
        </w:tc>
        <w:tc>
          <w:tcPr>
            <w:tcW w:w="2858" w:type="dxa"/>
            <w:tcBorders>
              <w:top w:val="single" w:sz="4" w:space="0" w:color="000000"/>
              <w:left w:val="single" w:sz="4" w:space="0" w:color="000000"/>
              <w:bottom w:val="single" w:sz="4" w:space="0" w:color="000000"/>
              <w:right w:val="single" w:sz="4" w:space="0" w:color="000000"/>
            </w:tcBorders>
          </w:tcPr>
          <w:p w14:paraId="23E844AB" w14:textId="77777777" w:rsidR="00FA45E3" w:rsidRPr="00FA45E3" w:rsidRDefault="00FA45E3" w:rsidP="00443352">
            <w:pPr>
              <w:pStyle w:val="CLDNormal"/>
              <w:spacing w:after="0"/>
              <w:ind w:left="360"/>
              <w:jc w:val="left"/>
              <w:rPr>
                <w:rFonts w:eastAsiaTheme="minorEastAsia"/>
                <w:sz w:val="20"/>
                <w:lang w:val="en-AU"/>
              </w:rPr>
            </w:pPr>
          </w:p>
          <w:p w14:paraId="209F24BF" w14:textId="77777777" w:rsidR="007F6784" w:rsidRDefault="007F6784" w:rsidP="00443352">
            <w:pPr>
              <w:pStyle w:val="CLDNormal"/>
              <w:spacing w:after="0"/>
              <w:ind w:left="360"/>
              <w:jc w:val="left"/>
              <w:rPr>
                <w:rFonts w:eastAsiaTheme="minorEastAsia"/>
                <w:sz w:val="20"/>
                <w:lang w:val="en-AU"/>
              </w:rPr>
            </w:pPr>
          </w:p>
          <w:p w14:paraId="145177F3" w14:textId="77777777" w:rsid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12%</w:t>
            </w:r>
          </w:p>
          <w:p w14:paraId="14736079" w14:textId="77777777" w:rsidR="007F6784" w:rsidRDefault="007F6784" w:rsidP="00443352">
            <w:pPr>
              <w:pStyle w:val="CLDNormal"/>
              <w:spacing w:after="0"/>
              <w:ind w:left="360"/>
              <w:jc w:val="left"/>
              <w:rPr>
                <w:rFonts w:eastAsiaTheme="minorEastAsia"/>
                <w:sz w:val="20"/>
                <w:lang w:val="en-AU"/>
              </w:rPr>
            </w:pPr>
            <w:r>
              <w:rPr>
                <w:rFonts w:eastAsiaTheme="minorEastAsia"/>
                <w:sz w:val="20"/>
                <w:lang w:val="en-AU"/>
              </w:rPr>
              <w:t>11%</w:t>
            </w:r>
          </w:p>
          <w:p w14:paraId="2948C877" w14:textId="77777777" w:rsidR="007F6784" w:rsidRDefault="007F6784" w:rsidP="00443352">
            <w:pPr>
              <w:pStyle w:val="CLDNormal"/>
              <w:spacing w:after="0"/>
              <w:ind w:left="360"/>
              <w:jc w:val="left"/>
              <w:rPr>
                <w:rFonts w:eastAsiaTheme="minorEastAsia"/>
                <w:sz w:val="20"/>
                <w:lang w:val="en-AU"/>
              </w:rPr>
            </w:pPr>
            <w:r>
              <w:rPr>
                <w:rFonts w:eastAsiaTheme="minorEastAsia"/>
                <w:sz w:val="20"/>
                <w:lang w:val="en-AU"/>
              </w:rPr>
              <w:t>11%</w:t>
            </w:r>
          </w:p>
          <w:p w14:paraId="683F5425" w14:textId="77777777" w:rsidR="007F6784" w:rsidRPr="00FA45E3" w:rsidRDefault="007F6784" w:rsidP="00443352">
            <w:pPr>
              <w:pStyle w:val="CLDNormal"/>
              <w:spacing w:after="0"/>
              <w:ind w:left="360"/>
              <w:jc w:val="left"/>
              <w:rPr>
                <w:rFonts w:eastAsiaTheme="minorEastAsia"/>
                <w:sz w:val="20"/>
                <w:lang w:val="en-AU"/>
              </w:rPr>
            </w:pPr>
            <w:r>
              <w:rPr>
                <w:rFonts w:eastAsiaTheme="minorEastAsia"/>
                <w:sz w:val="20"/>
                <w:lang w:val="en-AU"/>
              </w:rPr>
              <w:t>6%</w:t>
            </w:r>
          </w:p>
        </w:tc>
        <w:tc>
          <w:tcPr>
            <w:tcW w:w="2858" w:type="dxa"/>
            <w:tcBorders>
              <w:top w:val="single" w:sz="4" w:space="0" w:color="000000"/>
              <w:left w:val="single" w:sz="4" w:space="0" w:color="000000"/>
              <w:bottom w:val="single" w:sz="4" w:space="0" w:color="000000"/>
              <w:right w:val="single" w:sz="4" w:space="0" w:color="000000"/>
            </w:tcBorders>
          </w:tcPr>
          <w:p w14:paraId="608C0441" w14:textId="77777777" w:rsidR="00FA45E3" w:rsidRPr="00FA45E3" w:rsidRDefault="00FA45E3" w:rsidP="00443352">
            <w:pPr>
              <w:pStyle w:val="CLDNormal"/>
              <w:spacing w:after="0"/>
              <w:ind w:left="360"/>
              <w:jc w:val="left"/>
              <w:rPr>
                <w:rFonts w:eastAsiaTheme="minorEastAsia"/>
                <w:sz w:val="20"/>
                <w:lang w:val="en-AU"/>
              </w:rPr>
            </w:pPr>
          </w:p>
          <w:p w14:paraId="768C1245" w14:textId="77777777" w:rsidR="007F6784" w:rsidRDefault="007F6784" w:rsidP="00443352">
            <w:pPr>
              <w:pStyle w:val="CLDNormal"/>
              <w:spacing w:after="0"/>
              <w:ind w:left="360"/>
              <w:jc w:val="left"/>
              <w:rPr>
                <w:rFonts w:eastAsiaTheme="minorEastAsia"/>
                <w:sz w:val="20"/>
                <w:lang w:val="en-AU"/>
              </w:rPr>
            </w:pPr>
          </w:p>
          <w:p w14:paraId="76A5C70A" w14:textId="77777777" w:rsidR="00FA45E3" w:rsidRDefault="00FA45E3" w:rsidP="00443352">
            <w:pPr>
              <w:pStyle w:val="CLDNormal"/>
              <w:spacing w:after="0"/>
              <w:ind w:left="360"/>
              <w:jc w:val="left"/>
              <w:rPr>
                <w:rFonts w:eastAsiaTheme="minorEastAsia"/>
                <w:sz w:val="20"/>
                <w:lang w:val="en-AU"/>
              </w:rPr>
            </w:pPr>
            <w:r w:rsidRPr="00FA45E3">
              <w:rPr>
                <w:rFonts w:eastAsiaTheme="minorEastAsia"/>
                <w:sz w:val="20"/>
                <w:lang w:val="en-AU"/>
              </w:rPr>
              <w:t>11%</w:t>
            </w:r>
          </w:p>
          <w:p w14:paraId="50D1D314" w14:textId="77777777" w:rsidR="007F6784" w:rsidRDefault="007F6784" w:rsidP="00443352">
            <w:pPr>
              <w:pStyle w:val="CLDNormal"/>
              <w:spacing w:after="0"/>
              <w:ind w:left="360"/>
              <w:jc w:val="left"/>
              <w:rPr>
                <w:rFonts w:eastAsiaTheme="minorEastAsia"/>
                <w:sz w:val="20"/>
                <w:lang w:val="en-AU"/>
              </w:rPr>
            </w:pPr>
            <w:r>
              <w:rPr>
                <w:rFonts w:eastAsiaTheme="minorEastAsia"/>
                <w:sz w:val="20"/>
                <w:lang w:val="en-AU"/>
              </w:rPr>
              <w:t>9%</w:t>
            </w:r>
          </w:p>
          <w:p w14:paraId="1C9B7744" w14:textId="77777777" w:rsidR="007F6784" w:rsidRDefault="007F6784" w:rsidP="00443352">
            <w:pPr>
              <w:pStyle w:val="CLDNormal"/>
              <w:spacing w:after="0"/>
              <w:ind w:left="360"/>
              <w:jc w:val="left"/>
              <w:rPr>
                <w:rFonts w:eastAsiaTheme="minorEastAsia"/>
                <w:sz w:val="20"/>
                <w:lang w:val="en-AU"/>
              </w:rPr>
            </w:pPr>
            <w:r>
              <w:rPr>
                <w:rFonts w:eastAsiaTheme="minorEastAsia"/>
                <w:sz w:val="20"/>
                <w:lang w:val="en-AU"/>
              </w:rPr>
              <w:t>6%</w:t>
            </w:r>
          </w:p>
          <w:p w14:paraId="133B2CBE" w14:textId="77777777" w:rsidR="007F6784" w:rsidRPr="00FA45E3" w:rsidRDefault="007F6784" w:rsidP="00443352">
            <w:pPr>
              <w:pStyle w:val="CLDNormal"/>
              <w:spacing w:after="0"/>
              <w:ind w:left="360"/>
              <w:jc w:val="left"/>
              <w:rPr>
                <w:rFonts w:eastAsiaTheme="minorEastAsia"/>
                <w:sz w:val="20"/>
                <w:lang w:val="en-AU"/>
              </w:rPr>
            </w:pPr>
            <w:r>
              <w:rPr>
                <w:rFonts w:eastAsiaTheme="minorEastAsia"/>
                <w:sz w:val="20"/>
                <w:lang w:val="en-AU"/>
              </w:rPr>
              <w:t>2%</w:t>
            </w:r>
          </w:p>
        </w:tc>
      </w:tr>
      <w:tr w:rsidR="007F6784" w:rsidRPr="00FA45E3" w14:paraId="696016B4" w14:textId="77777777" w:rsidTr="007F6784">
        <w:trPr>
          <w:trHeight w:hRule="exact" w:val="844"/>
        </w:trPr>
        <w:tc>
          <w:tcPr>
            <w:tcW w:w="3303" w:type="dxa"/>
            <w:tcBorders>
              <w:top w:val="single" w:sz="4" w:space="0" w:color="000000"/>
              <w:left w:val="single" w:sz="4" w:space="0" w:color="000000"/>
              <w:bottom w:val="single" w:sz="4" w:space="0" w:color="000000"/>
              <w:right w:val="single" w:sz="4" w:space="0" w:color="000000"/>
            </w:tcBorders>
          </w:tcPr>
          <w:p w14:paraId="365FDC34" w14:textId="77777777" w:rsidR="007F6784" w:rsidRPr="007F6784" w:rsidRDefault="007F6784" w:rsidP="00443352">
            <w:pPr>
              <w:pStyle w:val="CLDNormal"/>
              <w:spacing w:after="0"/>
              <w:ind w:left="360"/>
              <w:jc w:val="left"/>
              <w:rPr>
                <w:rFonts w:eastAsiaTheme="minorEastAsia"/>
                <w:b/>
                <w:bCs/>
                <w:sz w:val="20"/>
                <w:lang w:val="en-AU"/>
              </w:rPr>
            </w:pPr>
            <w:r w:rsidRPr="007F6784">
              <w:rPr>
                <w:rFonts w:eastAsiaTheme="minorEastAsia"/>
                <w:b/>
                <w:bCs/>
                <w:sz w:val="20"/>
                <w:lang w:val="en-AU"/>
              </w:rPr>
              <w:t>Skin and subcutaneous tissue disorders</w:t>
            </w:r>
          </w:p>
          <w:p w14:paraId="168F7C34" w14:textId="77777777" w:rsidR="007F6784" w:rsidRPr="007F6784" w:rsidRDefault="007F6784" w:rsidP="00443352">
            <w:pPr>
              <w:pStyle w:val="CLDNormal"/>
              <w:spacing w:after="0"/>
              <w:ind w:left="360"/>
              <w:jc w:val="left"/>
              <w:rPr>
                <w:rFonts w:eastAsiaTheme="minorEastAsia"/>
                <w:bCs/>
                <w:sz w:val="20"/>
                <w:lang w:val="en-AU"/>
              </w:rPr>
            </w:pPr>
            <w:r w:rsidRPr="007F6784">
              <w:rPr>
                <w:rFonts w:eastAsiaTheme="minorEastAsia"/>
                <w:bCs/>
                <w:sz w:val="20"/>
                <w:lang w:val="en-AU"/>
              </w:rPr>
              <w:t>Acne</w:t>
            </w:r>
          </w:p>
        </w:tc>
        <w:tc>
          <w:tcPr>
            <w:tcW w:w="2858" w:type="dxa"/>
            <w:tcBorders>
              <w:top w:val="single" w:sz="4" w:space="0" w:color="000000"/>
              <w:left w:val="single" w:sz="4" w:space="0" w:color="000000"/>
              <w:bottom w:val="single" w:sz="4" w:space="0" w:color="000000"/>
              <w:right w:val="single" w:sz="4" w:space="0" w:color="000000"/>
            </w:tcBorders>
          </w:tcPr>
          <w:p w14:paraId="199C8B0B" w14:textId="77777777" w:rsidR="007F6784" w:rsidRDefault="007F6784" w:rsidP="00443352">
            <w:pPr>
              <w:pStyle w:val="CLDNormal"/>
              <w:spacing w:after="0"/>
              <w:ind w:left="360"/>
              <w:jc w:val="left"/>
              <w:rPr>
                <w:rFonts w:eastAsiaTheme="minorEastAsia"/>
                <w:sz w:val="20"/>
                <w:lang w:val="en-AU"/>
              </w:rPr>
            </w:pPr>
          </w:p>
          <w:p w14:paraId="258EE8A9" w14:textId="77777777" w:rsidR="007F6784" w:rsidRDefault="007F6784" w:rsidP="00443352">
            <w:pPr>
              <w:pStyle w:val="CLDNormal"/>
              <w:spacing w:after="0"/>
              <w:ind w:left="360"/>
              <w:jc w:val="left"/>
              <w:rPr>
                <w:rFonts w:eastAsiaTheme="minorEastAsia"/>
                <w:sz w:val="20"/>
                <w:lang w:val="en-AU"/>
              </w:rPr>
            </w:pPr>
          </w:p>
          <w:p w14:paraId="76804FB1" w14:textId="77777777" w:rsidR="007F6784" w:rsidRPr="00FA45E3" w:rsidRDefault="007F6784" w:rsidP="00443352">
            <w:pPr>
              <w:pStyle w:val="CLDNormal"/>
              <w:spacing w:after="0"/>
              <w:ind w:left="360"/>
              <w:jc w:val="left"/>
              <w:rPr>
                <w:rFonts w:eastAsiaTheme="minorEastAsia"/>
                <w:sz w:val="20"/>
                <w:lang w:val="en-AU"/>
              </w:rPr>
            </w:pPr>
            <w:r>
              <w:rPr>
                <w:rFonts w:eastAsiaTheme="minorEastAsia"/>
                <w:sz w:val="20"/>
                <w:lang w:val="en-AU"/>
              </w:rPr>
              <w:t>7%</w:t>
            </w:r>
          </w:p>
        </w:tc>
        <w:tc>
          <w:tcPr>
            <w:tcW w:w="2858" w:type="dxa"/>
            <w:tcBorders>
              <w:top w:val="single" w:sz="4" w:space="0" w:color="000000"/>
              <w:left w:val="single" w:sz="4" w:space="0" w:color="000000"/>
              <w:bottom w:val="single" w:sz="4" w:space="0" w:color="000000"/>
              <w:right w:val="single" w:sz="4" w:space="0" w:color="000000"/>
            </w:tcBorders>
          </w:tcPr>
          <w:p w14:paraId="337E3143" w14:textId="77777777" w:rsidR="007F6784" w:rsidRDefault="007F6784" w:rsidP="00443352">
            <w:pPr>
              <w:pStyle w:val="CLDNormal"/>
              <w:spacing w:after="0"/>
              <w:ind w:left="360"/>
              <w:jc w:val="left"/>
              <w:rPr>
                <w:rFonts w:eastAsiaTheme="minorEastAsia"/>
                <w:sz w:val="20"/>
                <w:lang w:val="en-AU"/>
              </w:rPr>
            </w:pPr>
          </w:p>
          <w:p w14:paraId="0B34A9D7" w14:textId="77777777" w:rsidR="007F6784" w:rsidRDefault="007F6784" w:rsidP="00443352">
            <w:pPr>
              <w:pStyle w:val="CLDNormal"/>
              <w:spacing w:after="0"/>
              <w:ind w:left="360"/>
              <w:jc w:val="left"/>
              <w:rPr>
                <w:rFonts w:eastAsiaTheme="minorEastAsia"/>
                <w:sz w:val="20"/>
                <w:lang w:val="en-AU"/>
              </w:rPr>
            </w:pPr>
          </w:p>
          <w:p w14:paraId="7E64500E" w14:textId="77777777" w:rsidR="007F6784" w:rsidRPr="00FA45E3" w:rsidRDefault="007F6784" w:rsidP="00443352">
            <w:pPr>
              <w:pStyle w:val="CLDNormal"/>
              <w:spacing w:after="0"/>
              <w:ind w:left="360"/>
              <w:jc w:val="left"/>
              <w:rPr>
                <w:rFonts w:eastAsiaTheme="minorEastAsia"/>
                <w:sz w:val="20"/>
                <w:lang w:val="en-AU"/>
              </w:rPr>
            </w:pPr>
            <w:r>
              <w:rPr>
                <w:rFonts w:eastAsiaTheme="minorEastAsia"/>
                <w:sz w:val="20"/>
                <w:lang w:val="en-AU"/>
              </w:rPr>
              <w:t>5%</w:t>
            </w:r>
          </w:p>
        </w:tc>
      </w:tr>
      <w:tr w:rsidR="007F6784" w:rsidRPr="00FA45E3" w14:paraId="47F77EF2" w14:textId="77777777" w:rsidTr="007F6784">
        <w:trPr>
          <w:trHeight w:hRule="exact" w:val="844"/>
        </w:trPr>
        <w:tc>
          <w:tcPr>
            <w:tcW w:w="3303" w:type="dxa"/>
            <w:tcBorders>
              <w:top w:val="single" w:sz="4" w:space="0" w:color="000000"/>
              <w:left w:val="single" w:sz="4" w:space="0" w:color="000000"/>
              <w:bottom w:val="single" w:sz="4" w:space="0" w:color="000000"/>
              <w:right w:val="single" w:sz="4" w:space="0" w:color="000000"/>
            </w:tcBorders>
          </w:tcPr>
          <w:p w14:paraId="2653EDB4" w14:textId="77777777" w:rsidR="007F6784" w:rsidRPr="007F6784" w:rsidRDefault="007F6784" w:rsidP="00443352">
            <w:pPr>
              <w:pStyle w:val="CLDNormal"/>
              <w:spacing w:after="0"/>
              <w:ind w:left="360"/>
              <w:jc w:val="left"/>
              <w:rPr>
                <w:rFonts w:eastAsiaTheme="minorEastAsia"/>
                <w:b/>
                <w:bCs/>
                <w:sz w:val="20"/>
                <w:lang w:val="en-AU"/>
              </w:rPr>
            </w:pPr>
            <w:r w:rsidRPr="007F6784">
              <w:rPr>
                <w:rFonts w:eastAsiaTheme="minorEastAsia"/>
                <w:b/>
                <w:bCs/>
                <w:sz w:val="20"/>
                <w:lang w:val="en-AU"/>
              </w:rPr>
              <w:t>Vascular disorders</w:t>
            </w:r>
          </w:p>
          <w:p w14:paraId="7CD2E4F5" w14:textId="77777777" w:rsidR="007F6784" w:rsidRPr="007F6784" w:rsidRDefault="007F6784" w:rsidP="00443352">
            <w:pPr>
              <w:pStyle w:val="CLDNormal"/>
              <w:spacing w:after="0"/>
              <w:ind w:left="360"/>
              <w:jc w:val="left"/>
              <w:rPr>
                <w:rFonts w:eastAsiaTheme="minorEastAsia"/>
                <w:bCs/>
                <w:sz w:val="20"/>
                <w:lang w:val="en-AU"/>
              </w:rPr>
            </w:pPr>
            <w:r w:rsidRPr="007F6784">
              <w:rPr>
                <w:rFonts w:eastAsiaTheme="minorEastAsia"/>
                <w:bCs/>
                <w:sz w:val="20"/>
                <w:lang w:val="en-AU"/>
              </w:rPr>
              <w:t>Hypertension</w:t>
            </w:r>
          </w:p>
          <w:p w14:paraId="41A691A6" w14:textId="77777777" w:rsidR="007F6784" w:rsidRPr="007F6784" w:rsidRDefault="007F6784" w:rsidP="00443352">
            <w:pPr>
              <w:pStyle w:val="CLDNormal"/>
              <w:spacing w:after="0"/>
              <w:ind w:left="360"/>
              <w:jc w:val="left"/>
              <w:rPr>
                <w:rFonts w:eastAsiaTheme="minorEastAsia"/>
                <w:b/>
                <w:bCs/>
                <w:sz w:val="20"/>
                <w:lang w:val="en-AU"/>
              </w:rPr>
            </w:pPr>
            <w:r w:rsidRPr="007F6784">
              <w:rPr>
                <w:rFonts w:eastAsiaTheme="minorEastAsia"/>
                <w:bCs/>
                <w:sz w:val="20"/>
                <w:lang w:val="en-AU"/>
              </w:rPr>
              <w:t>Flushing</w:t>
            </w:r>
          </w:p>
        </w:tc>
        <w:tc>
          <w:tcPr>
            <w:tcW w:w="2858" w:type="dxa"/>
            <w:tcBorders>
              <w:top w:val="single" w:sz="4" w:space="0" w:color="000000"/>
              <w:left w:val="single" w:sz="4" w:space="0" w:color="000000"/>
              <w:bottom w:val="single" w:sz="4" w:space="0" w:color="000000"/>
              <w:right w:val="single" w:sz="4" w:space="0" w:color="000000"/>
            </w:tcBorders>
          </w:tcPr>
          <w:p w14:paraId="2E2E76E1" w14:textId="77777777" w:rsidR="007F6784" w:rsidRDefault="007F6784" w:rsidP="00443352">
            <w:pPr>
              <w:pStyle w:val="CLDNormal"/>
              <w:spacing w:after="0"/>
              <w:ind w:left="360"/>
              <w:jc w:val="left"/>
              <w:rPr>
                <w:rFonts w:eastAsiaTheme="minorEastAsia"/>
                <w:sz w:val="20"/>
                <w:lang w:val="en-AU"/>
              </w:rPr>
            </w:pPr>
          </w:p>
          <w:p w14:paraId="47936CF4" w14:textId="77777777" w:rsidR="007F6784" w:rsidRDefault="007F6784" w:rsidP="00443352">
            <w:pPr>
              <w:pStyle w:val="CLDNormal"/>
              <w:spacing w:after="0"/>
              <w:ind w:left="360"/>
              <w:jc w:val="left"/>
              <w:rPr>
                <w:rFonts w:eastAsiaTheme="minorEastAsia"/>
                <w:sz w:val="20"/>
                <w:lang w:val="en-AU"/>
              </w:rPr>
            </w:pPr>
            <w:r>
              <w:rPr>
                <w:rFonts w:eastAsiaTheme="minorEastAsia"/>
                <w:sz w:val="20"/>
                <w:lang w:val="en-AU"/>
              </w:rPr>
              <w:t>12%</w:t>
            </w:r>
          </w:p>
          <w:p w14:paraId="7DC7B6F6" w14:textId="77777777" w:rsidR="007F6784" w:rsidRDefault="007F6784" w:rsidP="00443352">
            <w:pPr>
              <w:pStyle w:val="CLDNormal"/>
              <w:spacing w:after="0"/>
              <w:ind w:left="360"/>
              <w:jc w:val="left"/>
              <w:rPr>
                <w:rFonts w:eastAsiaTheme="minorEastAsia"/>
                <w:sz w:val="20"/>
                <w:lang w:val="en-AU"/>
              </w:rPr>
            </w:pPr>
            <w:r>
              <w:rPr>
                <w:rFonts w:eastAsiaTheme="minorEastAsia"/>
                <w:sz w:val="20"/>
                <w:lang w:val="en-AU"/>
              </w:rPr>
              <w:t>5%</w:t>
            </w:r>
          </w:p>
        </w:tc>
        <w:tc>
          <w:tcPr>
            <w:tcW w:w="2858" w:type="dxa"/>
            <w:tcBorders>
              <w:top w:val="single" w:sz="4" w:space="0" w:color="000000"/>
              <w:left w:val="single" w:sz="4" w:space="0" w:color="000000"/>
              <w:bottom w:val="single" w:sz="4" w:space="0" w:color="000000"/>
              <w:right w:val="single" w:sz="4" w:space="0" w:color="000000"/>
            </w:tcBorders>
          </w:tcPr>
          <w:p w14:paraId="71C2F1E7" w14:textId="77777777" w:rsidR="007F6784" w:rsidRDefault="007F6784" w:rsidP="00443352">
            <w:pPr>
              <w:pStyle w:val="CLDNormal"/>
              <w:spacing w:after="0"/>
              <w:ind w:left="360"/>
              <w:jc w:val="left"/>
              <w:rPr>
                <w:rFonts w:eastAsiaTheme="minorEastAsia"/>
                <w:sz w:val="20"/>
                <w:lang w:val="en-AU"/>
              </w:rPr>
            </w:pPr>
          </w:p>
          <w:p w14:paraId="5EC7128B" w14:textId="77777777" w:rsidR="007F6784" w:rsidRDefault="007F6784" w:rsidP="00443352">
            <w:pPr>
              <w:pStyle w:val="CLDNormal"/>
              <w:spacing w:after="0"/>
              <w:ind w:left="360"/>
              <w:jc w:val="left"/>
              <w:rPr>
                <w:rFonts w:eastAsiaTheme="minorEastAsia"/>
                <w:sz w:val="20"/>
                <w:lang w:val="en-AU"/>
              </w:rPr>
            </w:pPr>
            <w:r>
              <w:rPr>
                <w:rFonts w:eastAsiaTheme="minorEastAsia"/>
                <w:sz w:val="20"/>
                <w:lang w:val="en-AU"/>
              </w:rPr>
              <w:t>5%</w:t>
            </w:r>
          </w:p>
          <w:p w14:paraId="161F406E" w14:textId="77777777" w:rsidR="007F6784" w:rsidRDefault="007F6784" w:rsidP="00443352">
            <w:pPr>
              <w:pStyle w:val="CLDNormal"/>
              <w:spacing w:after="0"/>
              <w:ind w:left="360"/>
              <w:jc w:val="left"/>
              <w:rPr>
                <w:rFonts w:eastAsiaTheme="minorEastAsia"/>
                <w:sz w:val="20"/>
                <w:lang w:val="en-AU"/>
              </w:rPr>
            </w:pPr>
            <w:r>
              <w:rPr>
                <w:rFonts w:eastAsiaTheme="minorEastAsia"/>
                <w:sz w:val="20"/>
                <w:lang w:val="en-AU"/>
              </w:rPr>
              <w:t>4%</w:t>
            </w:r>
          </w:p>
        </w:tc>
      </w:tr>
    </w:tbl>
    <w:p w14:paraId="7CCDF296" w14:textId="77777777" w:rsidR="00FA45E3" w:rsidRDefault="007F6784" w:rsidP="00443352">
      <w:pPr>
        <w:pStyle w:val="CLDNormal"/>
        <w:spacing w:after="0"/>
        <w:jc w:val="left"/>
        <w:rPr>
          <w:rFonts w:eastAsiaTheme="minorEastAsia"/>
          <w:sz w:val="20"/>
        </w:rPr>
      </w:pPr>
      <w:r w:rsidRPr="007F6784">
        <w:rPr>
          <w:rFonts w:eastAsiaTheme="minorEastAsia"/>
          <w:sz w:val="20"/>
        </w:rPr>
        <w:t>* The study design allowed for crossover or treatment by best medical judgment, and 13 patients in each treatment group received a second therapy during the 6 month study period.</w:t>
      </w:r>
    </w:p>
    <w:p w14:paraId="03E05B2F" w14:textId="77777777" w:rsidR="00CF2CC0" w:rsidRDefault="00CF2CC0" w:rsidP="00443352">
      <w:pPr>
        <w:pStyle w:val="CLDNormal"/>
        <w:spacing w:after="0"/>
        <w:jc w:val="left"/>
        <w:rPr>
          <w:rFonts w:eastAsiaTheme="minorEastAsia"/>
          <w:sz w:val="20"/>
        </w:rPr>
      </w:pPr>
    </w:p>
    <w:p w14:paraId="5116C2C2" w14:textId="6E83CFBA" w:rsidR="007F6784" w:rsidRPr="007F6784" w:rsidRDefault="007F6784" w:rsidP="00443352">
      <w:pPr>
        <w:pStyle w:val="CLDNormal"/>
        <w:jc w:val="left"/>
        <w:rPr>
          <w:rFonts w:eastAsiaTheme="minorEastAsia"/>
          <w:szCs w:val="24"/>
        </w:rPr>
      </w:pPr>
      <w:r w:rsidRPr="007F6784">
        <w:rPr>
          <w:rFonts w:eastAsiaTheme="minorEastAsia"/>
          <w:szCs w:val="24"/>
        </w:rPr>
        <w:t xml:space="preserve">There was a higher incidence and rates of severe (Grade ≥ 3) and serious adverse events in older patients (aged ≥ 65 years) compared to younger patients (aged &lt; 65 years), primarily attributable to anaemia and </w:t>
      </w:r>
      <w:proofErr w:type="spellStart"/>
      <w:r w:rsidRPr="007F6784">
        <w:rPr>
          <w:rFonts w:eastAsiaTheme="minorEastAsia"/>
          <w:szCs w:val="24"/>
        </w:rPr>
        <w:t>leucopenia</w:t>
      </w:r>
      <w:proofErr w:type="spellEnd"/>
      <w:r w:rsidRPr="007F6784">
        <w:rPr>
          <w:rFonts w:eastAsiaTheme="minorEastAsia"/>
          <w:szCs w:val="24"/>
        </w:rPr>
        <w:t xml:space="preserve">, gastrointestinal disorders, and administrational site reactions. Deaths only occurred in older patients, with a similar incidence in the two treatment groups. Hospitalisations related to disease or study drug (per investigator’s opinion) occurred more frequently in older patients in the </w:t>
      </w:r>
      <w:r w:rsidR="00CF2CC0" w:rsidRPr="00CF2CC0">
        <w:rPr>
          <w:rFonts w:eastAsiaTheme="minorEastAsia"/>
          <w:szCs w:val="24"/>
        </w:rPr>
        <w:t>rituximab</w:t>
      </w:r>
      <w:r w:rsidRPr="007F6784">
        <w:rPr>
          <w:rFonts w:eastAsiaTheme="minorEastAsia"/>
          <w:szCs w:val="24"/>
        </w:rPr>
        <w:t xml:space="preserve"> group, with no hospitalisations occurring in older patients in the CYC group. There was no clear or consistent trend in the rates of infections and serious infections in younger patients versus older patients in either treatment group. (see section 4.4 Special warnings and precautions)</w:t>
      </w:r>
    </w:p>
    <w:p w14:paraId="713A7E84" w14:textId="0C7A3534" w:rsidR="007F6784" w:rsidRPr="007F6784" w:rsidRDefault="007F6784" w:rsidP="00443352">
      <w:pPr>
        <w:pStyle w:val="CLDNormal"/>
        <w:jc w:val="left"/>
        <w:rPr>
          <w:rFonts w:eastAsiaTheme="minorEastAsia"/>
          <w:szCs w:val="24"/>
        </w:rPr>
      </w:pPr>
      <w:r w:rsidRPr="007F6784">
        <w:rPr>
          <w:rFonts w:eastAsiaTheme="minorEastAsia"/>
          <w:szCs w:val="24"/>
        </w:rPr>
        <w:t>Patients with impaired renal function (glomerular filtration rate &lt; 74.71 mL/min) at baseline had an increased risk of anaemia, infections (pneumonia, urinary tract infection), serious infections, death and hospitalisation, regardless of study treatment arm (</w:t>
      </w:r>
      <w:r w:rsidR="00CF2CC0" w:rsidRPr="00CF2CC0">
        <w:rPr>
          <w:rFonts w:eastAsiaTheme="minorEastAsia"/>
          <w:szCs w:val="24"/>
        </w:rPr>
        <w:t>rituximab</w:t>
      </w:r>
      <w:r w:rsidRPr="007F6784">
        <w:rPr>
          <w:rFonts w:eastAsiaTheme="minorEastAsia"/>
          <w:szCs w:val="24"/>
        </w:rPr>
        <w:t xml:space="preserve"> or CYC)</w:t>
      </w:r>
      <w:r w:rsidR="00CF2CC0">
        <w:rPr>
          <w:rFonts w:eastAsiaTheme="minorEastAsia"/>
          <w:szCs w:val="24"/>
        </w:rPr>
        <w:t xml:space="preserve"> </w:t>
      </w:r>
      <w:r w:rsidRPr="007F6784">
        <w:rPr>
          <w:rFonts w:eastAsiaTheme="minorEastAsia"/>
          <w:szCs w:val="24"/>
        </w:rPr>
        <w:t>(see section 4.4 Special warnings and precautions)</w:t>
      </w:r>
      <w:r w:rsidR="00CF2CC0">
        <w:rPr>
          <w:rFonts w:eastAsiaTheme="minorEastAsia"/>
          <w:szCs w:val="24"/>
        </w:rPr>
        <w:t>.</w:t>
      </w:r>
    </w:p>
    <w:p w14:paraId="6C147953" w14:textId="77777777" w:rsidR="007F6784" w:rsidRPr="007F6784" w:rsidRDefault="007F6784" w:rsidP="00443352">
      <w:pPr>
        <w:pStyle w:val="CLDNormal"/>
        <w:jc w:val="left"/>
        <w:rPr>
          <w:rFonts w:eastAsiaTheme="minorEastAsia"/>
          <w:szCs w:val="24"/>
          <w:u w:val="single"/>
        </w:rPr>
      </w:pPr>
      <w:r w:rsidRPr="007F6784">
        <w:rPr>
          <w:rFonts w:eastAsiaTheme="minorEastAsia"/>
          <w:szCs w:val="24"/>
          <w:u w:val="single"/>
        </w:rPr>
        <w:t>Laboratory Abnormalities</w:t>
      </w:r>
    </w:p>
    <w:p w14:paraId="687F4A3A" w14:textId="0C3B6BFD" w:rsidR="007F6784" w:rsidRPr="007F6784" w:rsidRDefault="007F6784" w:rsidP="00443352">
      <w:pPr>
        <w:pStyle w:val="CLDNormal"/>
        <w:jc w:val="left"/>
        <w:rPr>
          <w:rFonts w:eastAsiaTheme="minorEastAsia"/>
          <w:szCs w:val="24"/>
        </w:rPr>
      </w:pPr>
      <w:proofErr w:type="spellStart"/>
      <w:r w:rsidRPr="007F6784">
        <w:rPr>
          <w:rFonts w:eastAsiaTheme="minorEastAsia"/>
          <w:szCs w:val="24"/>
        </w:rPr>
        <w:t>Hypogammaglobulinaemia</w:t>
      </w:r>
      <w:proofErr w:type="spellEnd"/>
      <w:r w:rsidRPr="007F6784">
        <w:rPr>
          <w:rFonts w:eastAsiaTheme="minorEastAsia"/>
          <w:szCs w:val="24"/>
        </w:rPr>
        <w:t xml:space="preserve"> (IgA, IgG or IgM below the lower limit of normal) has been observed in GPA and MPA patients treated with </w:t>
      </w:r>
      <w:r w:rsidR="00CF2CC0" w:rsidRPr="00CF2CC0">
        <w:rPr>
          <w:rFonts w:eastAsiaTheme="minorEastAsia"/>
          <w:szCs w:val="24"/>
        </w:rPr>
        <w:t>rituximab</w:t>
      </w:r>
      <w:r w:rsidRPr="007F6784">
        <w:rPr>
          <w:rFonts w:eastAsiaTheme="minorEastAsia"/>
          <w:szCs w:val="24"/>
        </w:rPr>
        <w:t xml:space="preserve">. At 6 months, in the </w:t>
      </w:r>
      <w:r w:rsidR="007C1D03" w:rsidRPr="007C1D03">
        <w:rPr>
          <w:rFonts w:eastAsiaTheme="minorEastAsia"/>
          <w:szCs w:val="24"/>
        </w:rPr>
        <w:t>rituximab</w:t>
      </w:r>
      <w:r w:rsidRPr="007F6784">
        <w:rPr>
          <w:rFonts w:eastAsiaTheme="minorEastAsia"/>
          <w:szCs w:val="24"/>
        </w:rPr>
        <w:t xml:space="preserve"> group, 27%, 58% and 51% of patients with normal Ig levels at baseline had low IgA, IgG and IgM levels, respectively compared to 25%, 50% and 46% in the CYC group. There was no increased rate in overall infections or serious infections in patients with low IgA, IgG or IgM.</w:t>
      </w:r>
    </w:p>
    <w:p w14:paraId="764F949E" w14:textId="3E6CCCDF" w:rsidR="007F6784" w:rsidRDefault="007F6784" w:rsidP="00443352">
      <w:pPr>
        <w:pStyle w:val="CLDNormal"/>
        <w:jc w:val="left"/>
        <w:rPr>
          <w:rFonts w:eastAsiaTheme="minorEastAsia"/>
          <w:szCs w:val="24"/>
        </w:rPr>
      </w:pPr>
      <w:r w:rsidRPr="007F6784">
        <w:rPr>
          <w:rFonts w:eastAsiaTheme="minorEastAsia"/>
          <w:szCs w:val="24"/>
        </w:rPr>
        <w:t xml:space="preserve">In the active-controlled, randomised, double-blind, </w:t>
      </w:r>
      <w:proofErr w:type="spellStart"/>
      <w:r w:rsidRPr="007F6784">
        <w:rPr>
          <w:rFonts w:eastAsiaTheme="minorEastAsia"/>
          <w:szCs w:val="24"/>
        </w:rPr>
        <w:t>multicenter</w:t>
      </w:r>
      <w:proofErr w:type="spellEnd"/>
      <w:r w:rsidRPr="007F6784">
        <w:rPr>
          <w:rFonts w:eastAsiaTheme="minorEastAsia"/>
          <w:szCs w:val="24"/>
        </w:rPr>
        <w:t xml:space="preserve">, non-inferiority study of </w:t>
      </w:r>
      <w:r w:rsidR="007C1D03" w:rsidRPr="007C1D03">
        <w:rPr>
          <w:rFonts w:eastAsiaTheme="minorEastAsia"/>
          <w:szCs w:val="24"/>
        </w:rPr>
        <w:t>rituximab</w:t>
      </w:r>
      <w:r w:rsidRPr="007F6784">
        <w:rPr>
          <w:rFonts w:eastAsiaTheme="minorEastAsia"/>
          <w:szCs w:val="24"/>
        </w:rPr>
        <w:t xml:space="preserve"> in GPA and MPA, 24% of patients in the </w:t>
      </w:r>
      <w:r w:rsidR="007C1D03" w:rsidRPr="007C1D03">
        <w:rPr>
          <w:rFonts w:eastAsiaTheme="minorEastAsia"/>
          <w:szCs w:val="24"/>
        </w:rPr>
        <w:t>rituximab</w:t>
      </w:r>
      <w:r w:rsidRPr="007F6784">
        <w:rPr>
          <w:rFonts w:eastAsiaTheme="minorEastAsia"/>
          <w:szCs w:val="24"/>
        </w:rPr>
        <w:t xml:space="preserve"> group (single course) and 23% of patients in the CYC group developed CTC grade 3 or greater neutropenia. Neutropenia was not associated with an observed increase in serious infection in </w:t>
      </w:r>
      <w:r w:rsidR="007C1D03" w:rsidRPr="007C1D03">
        <w:rPr>
          <w:rFonts w:eastAsiaTheme="minorEastAsia"/>
          <w:szCs w:val="24"/>
        </w:rPr>
        <w:t>rituximab</w:t>
      </w:r>
      <w:r w:rsidRPr="007F6784">
        <w:rPr>
          <w:rFonts w:eastAsiaTheme="minorEastAsia"/>
          <w:szCs w:val="24"/>
        </w:rPr>
        <w:t xml:space="preserve">-treated patients. The effect of multiple </w:t>
      </w:r>
      <w:r w:rsidR="007C1D03" w:rsidRPr="007C1D03">
        <w:rPr>
          <w:rFonts w:eastAsiaTheme="minorEastAsia"/>
          <w:szCs w:val="24"/>
        </w:rPr>
        <w:t>rituximab</w:t>
      </w:r>
      <w:r w:rsidRPr="007F6784">
        <w:rPr>
          <w:rFonts w:eastAsiaTheme="minorEastAsia"/>
          <w:szCs w:val="24"/>
        </w:rPr>
        <w:t xml:space="preserve"> courses on the development of neutropenia in GPA and MPA patients has not been studied in clinical trials.</w:t>
      </w:r>
    </w:p>
    <w:p w14:paraId="660573C6" w14:textId="77777777" w:rsidR="007F6784" w:rsidRPr="007F6784" w:rsidRDefault="007F6784" w:rsidP="00443352">
      <w:pPr>
        <w:pStyle w:val="CLDNormal"/>
        <w:jc w:val="left"/>
        <w:rPr>
          <w:rFonts w:eastAsiaTheme="minorEastAsia"/>
          <w:b/>
          <w:szCs w:val="24"/>
        </w:rPr>
      </w:pPr>
      <w:r w:rsidRPr="007F6784">
        <w:rPr>
          <w:rFonts w:eastAsiaTheme="minorEastAsia"/>
          <w:b/>
          <w:szCs w:val="24"/>
        </w:rPr>
        <w:t>Further information on selected, serious adverse drug reactions</w:t>
      </w:r>
    </w:p>
    <w:p w14:paraId="7A374EDD" w14:textId="77777777" w:rsidR="007F6784" w:rsidRPr="007F6784" w:rsidRDefault="007F6784" w:rsidP="00443352">
      <w:pPr>
        <w:pStyle w:val="CLDNormal"/>
        <w:jc w:val="left"/>
        <w:rPr>
          <w:rFonts w:eastAsiaTheme="minorEastAsia"/>
          <w:szCs w:val="24"/>
          <w:u w:val="single"/>
        </w:rPr>
      </w:pPr>
      <w:r w:rsidRPr="007F6784">
        <w:rPr>
          <w:rFonts w:eastAsiaTheme="minorEastAsia"/>
          <w:szCs w:val="24"/>
          <w:u w:val="single"/>
        </w:rPr>
        <w:t>Infusion-related Reactions (IRRs)</w:t>
      </w:r>
    </w:p>
    <w:p w14:paraId="36D96F9E" w14:textId="61A3CDCF" w:rsidR="007F6784" w:rsidRDefault="007F6784" w:rsidP="00443352">
      <w:pPr>
        <w:pStyle w:val="CLDNormal"/>
        <w:jc w:val="left"/>
        <w:rPr>
          <w:rFonts w:eastAsiaTheme="minorEastAsia"/>
          <w:szCs w:val="24"/>
        </w:rPr>
      </w:pPr>
      <w:r w:rsidRPr="007F6784">
        <w:rPr>
          <w:rFonts w:eastAsiaTheme="minorEastAsia"/>
          <w:szCs w:val="24"/>
        </w:rPr>
        <w:t xml:space="preserve">IRRs in the GPA and MPA clinical study were defined as any adverse event occurring within 24 hours of an infusion and considered to be infusion-related by investigators in the safety population. Ninety-nine patients were treated with </w:t>
      </w:r>
      <w:r w:rsidR="007C1D03" w:rsidRPr="007C1D03">
        <w:rPr>
          <w:rFonts w:eastAsiaTheme="minorEastAsia"/>
          <w:szCs w:val="24"/>
        </w:rPr>
        <w:t>rituximab</w:t>
      </w:r>
      <w:r w:rsidRPr="007F6784">
        <w:rPr>
          <w:rFonts w:eastAsiaTheme="minorEastAsia"/>
          <w:szCs w:val="24"/>
        </w:rPr>
        <w:t xml:space="preserve"> and 12% experienced at least one IRR. All IRRs were CTC Grade 1 or 2. The most common IRRs included cytokine release syndrome, flushing, throat irritation, and tremor. </w:t>
      </w:r>
      <w:r w:rsidR="007C1D03" w:rsidRPr="007C1D03">
        <w:rPr>
          <w:rFonts w:eastAsiaTheme="minorEastAsia"/>
          <w:szCs w:val="24"/>
        </w:rPr>
        <w:t>rituximab</w:t>
      </w:r>
      <w:r w:rsidRPr="007F6784">
        <w:rPr>
          <w:rFonts w:eastAsiaTheme="minorEastAsia"/>
          <w:szCs w:val="24"/>
        </w:rPr>
        <w:t xml:space="preserve"> was given in combination with IV glucocorticoids which may reduce the incidence and severity of these events.</w:t>
      </w:r>
    </w:p>
    <w:p w14:paraId="4E9BD9A3" w14:textId="77777777" w:rsidR="007F6784" w:rsidRPr="007F6784" w:rsidRDefault="007F6784" w:rsidP="00443352">
      <w:pPr>
        <w:pStyle w:val="CLDNormal"/>
        <w:pageBreakBefore/>
        <w:jc w:val="left"/>
        <w:rPr>
          <w:rFonts w:eastAsiaTheme="minorEastAsia"/>
          <w:szCs w:val="24"/>
          <w:u w:val="single"/>
        </w:rPr>
      </w:pPr>
      <w:r w:rsidRPr="007F6784">
        <w:rPr>
          <w:rFonts w:eastAsiaTheme="minorEastAsia"/>
          <w:szCs w:val="24"/>
          <w:u w:val="single"/>
        </w:rPr>
        <w:t>Infections</w:t>
      </w:r>
    </w:p>
    <w:p w14:paraId="4BF928DE" w14:textId="498F4B3A" w:rsidR="007F6784" w:rsidRPr="007F6784" w:rsidRDefault="007F6784" w:rsidP="00443352">
      <w:pPr>
        <w:pStyle w:val="CLDNormal"/>
        <w:jc w:val="left"/>
        <w:rPr>
          <w:rFonts w:eastAsiaTheme="minorEastAsia"/>
          <w:szCs w:val="24"/>
        </w:rPr>
      </w:pPr>
      <w:r w:rsidRPr="007F6784">
        <w:rPr>
          <w:rFonts w:eastAsiaTheme="minorEastAsia"/>
          <w:szCs w:val="24"/>
        </w:rPr>
        <w:t xml:space="preserve">In the 99 </w:t>
      </w:r>
      <w:r w:rsidR="007C1D03" w:rsidRPr="007C1D03">
        <w:rPr>
          <w:rFonts w:eastAsiaTheme="minorEastAsia"/>
          <w:szCs w:val="24"/>
        </w:rPr>
        <w:t>rituximab</w:t>
      </w:r>
      <w:r w:rsidRPr="007F6784">
        <w:rPr>
          <w:rFonts w:eastAsiaTheme="minorEastAsia"/>
          <w:szCs w:val="24"/>
        </w:rPr>
        <w:t xml:space="preserve"> patients, the overall rate of infection was approximately 210 per 100 patient years (95% CI 173-256). Infections were predominately mild to moderate and consisted mostly of upper respiratory tract infections, herpes zoster and urinary tract infections. The rate of serious infections was approximately 25 per 100 patient years. The most frequently reported serious infection in the </w:t>
      </w:r>
      <w:r w:rsidR="007C1D03" w:rsidRPr="007C1D03">
        <w:rPr>
          <w:rFonts w:eastAsiaTheme="minorEastAsia"/>
          <w:szCs w:val="24"/>
        </w:rPr>
        <w:t>rituximab</w:t>
      </w:r>
      <w:r w:rsidRPr="007F6784">
        <w:rPr>
          <w:rFonts w:eastAsiaTheme="minorEastAsia"/>
          <w:szCs w:val="24"/>
        </w:rPr>
        <w:t xml:space="preserve"> group was pneumonia at a frequency of 4%. The overall frequency of opportunistic infections was low across both treatment groups. There was one serious opportunistic infection (pneumocystis </w:t>
      </w:r>
      <w:proofErr w:type="spellStart"/>
      <w:r w:rsidRPr="007F6784">
        <w:rPr>
          <w:rFonts w:eastAsiaTheme="minorEastAsia"/>
          <w:szCs w:val="24"/>
        </w:rPr>
        <w:t>jiroveci</w:t>
      </w:r>
      <w:proofErr w:type="spellEnd"/>
      <w:r w:rsidRPr="007F6784">
        <w:rPr>
          <w:rFonts w:eastAsiaTheme="minorEastAsia"/>
          <w:szCs w:val="24"/>
        </w:rPr>
        <w:t xml:space="preserve"> pneumonia (PJP)) in the CYC group and no serious opportunistic infections in the </w:t>
      </w:r>
      <w:r w:rsidR="007C1D03" w:rsidRPr="007C1D03">
        <w:rPr>
          <w:rFonts w:eastAsiaTheme="minorEastAsia"/>
          <w:szCs w:val="24"/>
        </w:rPr>
        <w:t>rituximab</w:t>
      </w:r>
      <w:r w:rsidRPr="007F6784">
        <w:rPr>
          <w:rFonts w:eastAsiaTheme="minorEastAsia"/>
          <w:szCs w:val="24"/>
        </w:rPr>
        <w:t xml:space="preserve"> group. Patients in both treatment arms received trimethoprim/sulfamethoxazole prophylaxis for PJP unless contraindicated (see section 4.2 Dose and method of administration).</w:t>
      </w:r>
    </w:p>
    <w:p w14:paraId="30A1A0A5" w14:textId="1945CA49" w:rsidR="007F6784" w:rsidRPr="007F6784" w:rsidRDefault="007F6784" w:rsidP="00443352">
      <w:pPr>
        <w:pStyle w:val="CLDNormal"/>
        <w:jc w:val="left"/>
        <w:rPr>
          <w:rFonts w:eastAsiaTheme="minorEastAsia"/>
          <w:szCs w:val="24"/>
        </w:rPr>
      </w:pPr>
      <w:r w:rsidRPr="007F6784">
        <w:rPr>
          <w:rFonts w:eastAsiaTheme="minorEastAsia"/>
          <w:szCs w:val="24"/>
        </w:rPr>
        <w:t xml:space="preserve">Cases of progressive multifocal leukoencephalopathy (PML) have been reported following use of </w:t>
      </w:r>
      <w:r w:rsidR="007C1D03" w:rsidRPr="007C1D03">
        <w:rPr>
          <w:rFonts w:eastAsiaTheme="minorEastAsia"/>
          <w:szCs w:val="24"/>
        </w:rPr>
        <w:t>rituximab</w:t>
      </w:r>
      <w:r w:rsidRPr="007F6784">
        <w:rPr>
          <w:rFonts w:eastAsiaTheme="minorEastAsia"/>
          <w:szCs w:val="24"/>
        </w:rPr>
        <w:t xml:space="preserve"> for the treatment of autoimmune diseases including RA and GPA (see Boxed warning and section 4.4 Special warnings and precautions).</w:t>
      </w:r>
    </w:p>
    <w:p w14:paraId="439CA52B" w14:textId="77777777" w:rsidR="007F6784" w:rsidRPr="007F6784" w:rsidRDefault="007F6784" w:rsidP="00443352">
      <w:pPr>
        <w:pStyle w:val="CLDNormal"/>
        <w:jc w:val="left"/>
        <w:rPr>
          <w:rFonts w:eastAsiaTheme="minorEastAsia"/>
          <w:szCs w:val="24"/>
          <w:u w:val="single"/>
        </w:rPr>
      </w:pPr>
      <w:r w:rsidRPr="007F6784">
        <w:rPr>
          <w:rFonts w:eastAsiaTheme="minorEastAsia"/>
          <w:szCs w:val="24"/>
          <w:u w:val="single"/>
        </w:rPr>
        <w:t>Malignancies</w:t>
      </w:r>
    </w:p>
    <w:p w14:paraId="6B794A8B" w14:textId="256E20AC" w:rsidR="007F6784" w:rsidRPr="007F6784" w:rsidRDefault="007F6784" w:rsidP="00443352">
      <w:pPr>
        <w:pStyle w:val="CLDNormal"/>
        <w:jc w:val="left"/>
        <w:rPr>
          <w:rFonts w:eastAsiaTheme="minorEastAsia"/>
          <w:szCs w:val="24"/>
        </w:rPr>
      </w:pPr>
      <w:r w:rsidRPr="007F6784">
        <w:rPr>
          <w:rFonts w:eastAsiaTheme="minorEastAsia"/>
          <w:szCs w:val="24"/>
        </w:rPr>
        <w:t xml:space="preserve">The incidence of malignancy in </w:t>
      </w:r>
      <w:r w:rsidR="007C1D03" w:rsidRPr="007C1D03">
        <w:rPr>
          <w:rFonts w:eastAsiaTheme="minorEastAsia"/>
          <w:szCs w:val="24"/>
        </w:rPr>
        <w:t>rituximab</w:t>
      </w:r>
      <w:r w:rsidRPr="007F6784">
        <w:rPr>
          <w:rFonts w:eastAsiaTheme="minorEastAsia"/>
          <w:szCs w:val="24"/>
        </w:rPr>
        <w:t xml:space="preserve"> treated patients in the clinical study was 2.00 per 100 patient years. On the basis of standardised incidence ratios, this malignancy rate appears to be similar to rates previously reported in GPA and MPA populations.</w:t>
      </w:r>
    </w:p>
    <w:p w14:paraId="272DB43A" w14:textId="77777777" w:rsidR="007F6784" w:rsidRPr="007F6784" w:rsidRDefault="007F6784" w:rsidP="00443352">
      <w:pPr>
        <w:pStyle w:val="CLDNormal"/>
        <w:jc w:val="left"/>
        <w:rPr>
          <w:rFonts w:eastAsiaTheme="minorEastAsia"/>
          <w:szCs w:val="24"/>
          <w:u w:val="single"/>
        </w:rPr>
      </w:pPr>
      <w:r w:rsidRPr="007F6784">
        <w:rPr>
          <w:rFonts w:eastAsiaTheme="minorEastAsia"/>
          <w:szCs w:val="24"/>
          <w:u w:val="single"/>
        </w:rPr>
        <w:t>Retreatment</w:t>
      </w:r>
    </w:p>
    <w:p w14:paraId="1F67E71E" w14:textId="41D0C62A" w:rsidR="007F6784" w:rsidRDefault="007F6784" w:rsidP="00443352">
      <w:pPr>
        <w:pStyle w:val="CLDNormal"/>
        <w:jc w:val="left"/>
        <w:rPr>
          <w:rFonts w:eastAsiaTheme="minorEastAsia"/>
          <w:szCs w:val="24"/>
        </w:rPr>
      </w:pPr>
      <w:r w:rsidRPr="007F6784">
        <w:rPr>
          <w:rFonts w:eastAsiaTheme="minorEastAsia"/>
          <w:szCs w:val="24"/>
        </w:rPr>
        <w:t xml:space="preserve">In the active-controlled, double-blind study, subsequent courses of </w:t>
      </w:r>
      <w:r w:rsidR="007C1D03" w:rsidRPr="007C1D03">
        <w:rPr>
          <w:rFonts w:eastAsiaTheme="minorEastAsia"/>
          <w:szCs w:val="24"/>
        </w:rPr>
        <w:t>rituximab</w:t>
      </w:r>
      <w:r w:rsidRPr="007F6784">
        <w:rPr>
          <w:rFonts w:eastAsiaTheme="minorEastAsia"/>
          <w:szCs w:val="24"/>
        </w:rPr>
        <w:t xml:space="preserve"> were allowed for patients experiencing a relapse of disease. The limited data preclude any conclusions regarding the safety of subsequent courses of </w:t>
      </w:r>
      <w:r w:rsidR="007C1D03" w:rsidRPr="007C1D03">
        <w:rPr>
          <w:rFonts w:eastAsiaTheme="minorEastAsia"/>
          <w:szCs w:val="24"/>
        </w:rPr>
        <w:t>rituximab</w:t>
      </w:r>
      <w:r w:rsidRPr="007F6784">
        <w:rPr>
          <w:rFonts w:eastAsiaTheme="minorEastAsia"/>
          <w:szCs w:val="24"/>
        </w:rPr>
        <w:t xml:space="preserve"> for GPA and MPA.</w:t>
      </w:r>
    </w:p>
    <w:p w14:paraId="701A3FC3" w14:textId="77777777" w:rsidR="007F6784" w:rsidRPr="00ED0270" w:rsidRDefault="007F6784" w:rsidP="00443352">
      <w:pPr>
        <w:pStyle w:val="CLDNormal"/>
        <w:jc w:val="left"/>
        <w:rPr>
          <w:rFonts w:eastAsiaTheme="minorEastAsia"/>
          <w:b/>
          <w:szCs w:val="24"/>
        </w:rPr>
      </w:pPr>
      <w:r w:rsidRPr="00ED0270">
        <w:rPr>
          <w:rFonts w:eastAsiaTheme="minorEastAsia"/>
          <w:b/>
          <w:szCs w:val="24"/>
        </w:rPr>
        <w:t>Post-Marketing Experience</w:t>
      </w:r>
    </w:p>
    <w:p w14:paraId="3A0D2230" w14:textId="77777777" w:rsidR="007F6784" w:rsidRPr="00ED0270" w:rsidRDefault="007F6784" w:rsidP="00443352">
      <w:pPr>
        <w:pStyle w:val="CLDNormal"/>
        <w:jc w:val="left"/>
        <w:rPr>
          <w:rFonts w:eastAsiaTheme="minorEastAsia"/>
          <w:szCs w:val="24"/>
          <w:u w:val="single"/>
        </w:rPr>
      </w:pPr>
      <w:r w:rsidRPr="00ED0270">
        <w:rPr>
          <w:rFonts w:eastAsiaTheme="minorEastAsia"/>
          <w:szCs w:val="24"/>
          <w:u w:val="single"/>
        </w:rPr>
        <w:t>Non-Hodgkin’s Lymphoma and Chronic Lymphocytic Leukaemia</w:t>
      </w:r>
    </w:p>
    <w:p w14:paraId="24E55924" w14:textId="77777777" w:rsidR="007F6784" w:rsidRPr="007F6784" w:rsidRDefault="007F6784" w:rsidP="00443352">
      <w:pPr>
        <w:pStyle w:val="CLDNormal"/>
        <w:jc w:val="left"/>
        <w:rPr>
          <w:rFonts w:eastAsiaTheme="minorEastAsia"/>
          <w:szCs w:val="24"/>
        </w:rPr>
      </w:pPr>
      <w:r w:rsidRPr="007F6784">
        <w:rPr>
          <w:rFonts w:eastAsiaTheme="minorEastAsia"/>
          <w:szCs w:val="24"/>
        </w:rPr>
        <w:t>The reporting frequencies in this section (rare, very rare) are based on estimated marketed exposures and largely data derived from spontaneous reports.</w:t>
      </w:r>
    </w:p>
    <w:p w14:paraId="0D997B6B" w14:textId="014F19C5" w:rsidR="007F6784" w:rsidRPr="007F6784" w:rsidRDefault="007F6784" w:rsidP="00443352">
      <w:pPr>
        <w:pStyle w:val="CLDNormal"/>
        <w:jc w:val="left"/>
        <w:rPr>
          <w:rFonts w:eastAsiaTheme="minorEastAsia"/>
          <w:szCs w:val="24"/>
        </w:rPr>
      </w:pPr>
      <w:r w:rsidRPr="007F6784">
        <w:rPr>
          <w:rFonts w:eastAsiaTheme="minorEastAsia"/>
          <w:szCs w:val="24"/>
        </w:rPr>
        <w:t xml:space="preserve">Additional cases of severe infusion-related reactions have been reported during post-marketing use of </w:t>
      </w:r>
      <w:r w:rsidR="007C1D03" w:rsidRPr="007C1D03">
        <w:rPr>
          <w:rFonts w:eastAsiaTheme="minorEastAsia"/>
          <w:szCs w:val="24"/>
        </w:rPr>
        <w:t>rituximab</w:t>
      </w:r>
      <w:r w:rsidRPr="007F6784">
        <w:rPr>
          <w:rFonts w:eastAsiaTheme="minorEastAsia"/>
          <w:szCs w:val="24"/>
        </w:rPr>
        <w:t>.</w:t>
      </w:r>
    </w:p>
    <w:p w14:paraId="54207A55" w14:textId="529C4C3E" w:rsidR="007F6784" w:rsidRDefault="007F6784" w:rsidP="00443352">
      <w:pPr>
        <w:pStyle w:val="CLDNormal"/>
        <w:jc w:val="left"/>
        <w:rPr>
          <w:rFonts w:eastAsiaTheme="minorEastAsia"/>
          <w:szCs w:val="24"/>
        </w:rPr>
      </w:pPr>
      <w:r w:rsidRPr="007F6784">
        <w:rPr>
          <w:rFonts w:eastAsiaTheme="minorEastAsia"/>
          <w:szCs w:val="24"/>
        </w:rPr>
        <w:t xml:space="preserve">As part of the continuing post-marketing surveillance of </w:t>
      </w:r>
      <w:r w:rsidR="007C1D03" w:rsidRPr="007C1D03">
        <w:rPr>
          <w:rFonts w:eastAsiaTheme="minorEastAsia"/>
          <w:szCs w:val="24"/>
        </w:rPr>
        <w:t>rituximab</w:t>
      </w:r>
      <w:r w:rsidRPr="007F6784">
        <w:rPr>
          <w:rFonts w:eastAsiaTheme="minorEastAsia"/>
          <w:szCs w:val="24"/>
        </w:rPr>
        <w:t xml:space="preserve"> safety, the following serious adverse reactions have been observed:</w:t>
      </w:r>
    </w:p>
    <w:p w14:paraId="7D01ED23" w14:textId="77777777" w:rsidR="00ED0270" w:rsidRDefault="00ED0270" w:rsidP="00443352">
      <w:pPr>
        <w:pStyle w:val="CLDNormal"/>
        <w:numPr>
          <w:ilvl w:val="0"/>
          <w:numId w:val="27"/>
        </w:numPr>
        <w:jc w:val="left"/>
        <w:rPr>
          <w:rFonts w:eastAsiaTheme="minorEastAsia"/>
          <w:szCs w:val="24"/>
        </w:rPr>
      </w:pPr>
      <w:r w:rsidRPr="00ED0270">
        <w:rPr>
          <w:rFonts w:eastAsiaTheme="minorEastAsia"/>
          <w:i/>
          <w:szCs w:val="24"/>
        </w:rPr>
        <w:t>Cardiovascular system:</w:t>
      </w:r>
      <w:r w:rsidRPr="00ED0270">
        <w:rPr>
          <w:rFonts w:eastAsiaTheme="minorEastAsia"/>
          <w:szCs w:val="24"/>
        </w:rPr>
        <w:t xml:space="preserve"> Severe including fatal cardiac events, such as heart failure and myocardial infarction have been observed, mainly in patients with prior cardiac condition and/or </w:t>
      </w:r>
      <w:proofErr w:type="spellStart"/>
      <w:r w:rsidRPr="00ED0270">
        <w:rPr>
          <w:rFonts w:eastAsiaTheme="minorEastAsia"/>
          <w:szCs w:val="24"/>
        </w:rPr>
        <w:t>cardiotoxic</w:t>
      </w:r>
      <w:proofErr w:type="spellEnd"/>
      <w:r w:rsidRPr="00ED0270">
        <w:rPr>
          <w:rFonts w:eastAsiaTheme="minorEastAsia"/>
          <w:szCs w:val="24"/>
        </w:rPr>
        <w:t xml:space="preserve"> chemotherapy and mostly associated with infusion-related reactions. Vasculitis, predominantly cutaneous, such as </w:t>
      </w:r>
      <w:proofErr w:type="spellStart"/>
      <w:r w:rsidRPr="00ED0270">
        <w:rPr>
          <w:rFonts w:eastAsiaTheme="minorEastAsia"/>
          <w:szCs w:val="24"/>
        </w:rPr>
        <w:t>leucocytoclastic</w:t>
      </w:r>
      <w:proofErr w:type="spellEnd"/>
      <w:r w:rsidRPr="00ED0270">
        <w:rPr>
          <w:rFonts w:eastAsiaTheme="minorEastAsia"/>
          <w:szCs w:val="24"/>
        </w:rPr>
        <w:t xml:space="preserve"> vasculitis, has been reported very rarely.</w:t>
      </w:r>
    </w:p>
    <w:p w14:paraId="4DF344E3" w14:textId="5125D0C6" w:rsidR="00ED0270" w:rsidRDefault="00ED0270" w:rsidP="00443352">
      <w:pPr>
        <w:pStyle w:val="CLDNormal"/>
        <w:numPr>
          <w:ilvl w:val="0"/>
          <w:numId w:val="27"/>
        </w:numPr>
        <w:jc w:val="left"/>
        <w:rPr>
          <w:rFonts w:eastAsiaTheme="minorEastAsia"/>
          <w:szCs w:val="24"/>
        </w:rPr>
      </w:pPr>
      <w:r w:rsidRPr="00ED0270">
        <w:rPr>
          <w:rFonts w:eastAsiaTheme="minorEastAsia"/>
          <w:i/>
          <w:szCs w:val="24"/>
        </w:rPr>
        <w:t>Blood and lymphatic system:</w:t>
      </w:r>
      <w:r w:rsidRPr="00ED0270">
        <w:rPr>
          <w:rFonts w:eastAsiaTheme="minorEastAsia"/>
          <w:szCs w:val="24"/>
        </w:rPr>
        <w:t xml:space="preserve"> Rarely the onset of neutropenia has occurred more than four weeks after the last infusion of </w:t>
      </w:r>
      <w:r w:rsidR="007C1D03" w:rsidRPr="007C1D03">
        <w:rPr>
          <w:rFonts w:eastAsiaTheme="minorEastAsia"/>
          <w:szCs w:val="24"/>
        </w:rPr>
        <w:t>rituximab</w:t>
      </w:r>
      <w:r w:rsidRPr="00ED0270">
        <w:rPr>
          <w:rFonts w:eastAsiaTheme="minorEastAsia"/>
          <w:szCs w:val="24"/>
        </w:rPr>
        <w:t>. Cases of infusion-related acute reversible thrombocytopenia have been reported.</w:t>
      </w:r>
    </w:p>
    <w:p w14:paraId="08A684F8" w14:textId="77777777" w:rsidR="00ED0270" w:rsidRDefault="00ED0270" w:rsidP="00443352">
      <w:pPr>
        <w:pStyle w:val="CLDNormal"/>
        <w:numPr>
          <w:ilvl w:val="0"/>
          <w:numId w:val="27"/>
        </w:numPr>
        <w:jc w:val="left"/>
        <w:rPr>
          <w:rFonts w:eastAsiaTheme="minorEastAsia"/>
          <w:szCs w:val="24"/>
        </w:rPr>
      </w:pPr>
      <w:r w:rsidRPr="00ED0270">
        <w:rPr>
          <w:rFonts w:eastAsiaTheme="minorEastAsia"/>
          <w:i/>
          <w:szCs w:val="24"/>
        </w:rPr>
        <w:t>In post-marketing</w:t>
      </w:r>
      <w:r w:rsidRPr="00ED0270">
        <w:rPr>
          <w:rFonts w:eastAsiaTheme="minorEastAsia"/>
          <w:szCs w:val="24"/>
        </w:rPr>
        <w:t xml:space="preserve">: Studies of rituximab in patients with </w:t>
      </w:r>
      <w:proofErr w:type="spellStart"/>
      <w:r w:rsidRPr="00ED0270">
        <w:rPr>
          <w:rFonts w:eastAsiaTheme="minorEastAsia"/>
          <w:szCs w:val="24"/>
        </w:rPr>
        <w:t>Waldenstrom’s</w:t>
      </w:r>
      <w:proofErr w:type="spellEnd"/>
      <w:r w:rsidRPr="00ED0270">
        <w:rPr>
          <w:rFonts w:eastAsiaTheme="minorEastAsia"/>
          <w:szCs w:val="24"/>
        </w:rPr>
        <w:t xml:space="preserve"> </w:t>
      </w:r>
      <w:proofErr w:type="spellStart"/>
      <w:r w:rsidRPr="00ED0270">
        <w:rPr>
          <w:rFonts w:eastAsiaTheme="minorEastAsia"/>
          <w:szCs w:val="24"/>
        </w:rPr>
        <w:t>macroglobulinaemia</w:t>
      </w:r>
      <w:proofErr w:type="spellEnd"/>
      <w:r w:rsidRPr="00ED0270">
        <w:rPr>
          <w:rFonts w:eastAsiaTheme="minorEastAsia"/>
          <w:szCs w:val="24"/>
        </w:rPr>
        <w:t xml:space="preserve">, transient increases in serum IgM levels have been observed following treatment initiation, which may be associated with </w:t>
      </w:r>
      <w:proofErr w:type="spellStart"/>
      <w:r w:rsidRPr="00ED0270">
        <w:rPr>
          <w:rFonts w:eastAsiaTheme="minorEastAsia"/>
          <w:szCs w:val="24"/>
        </w:rPr>
        <w:t>hyperviscosity</w:t>
      </w:r>
      <w:proofErr w:type="spellEnd"/>
      <w:r w:rsidRPr="00ED0270">
        <w:rPr>
          <w:rFonts w:eastAsiaTheme="minorEastAsia"/>
          <w:szCs w:val="24"/>
        </w:rPr>
        <w:t xml:space="preserve"> and related symptoms. The transient IgM increase usually returned to at least baseline level within 4 months.</w:t>
      </w:r>
    </w:p>
    <w:p w14:paraId="7747E306" w14:textId="77777777" w:rsidR="00ED0270" w:rsidRPr="00ED0270" w:rsidRDefault="00ED0270" w:rsidP="00443352">
      <w:pPr>
        <w:pStyle w:val="CLDNormal"/>
        <w:numPr>
          <w:ilvl w:val="0"/>
          <w:numId w:val="27"/>
        </w:numPr>
        <w:jc w:val="left"/>
        <w:rPr>
          <w:rFonts w:eastAsiaTheme="minorEastAsia"/>
          <w:szCs w:val="24"/>
        </w:rPr>
      </w:pPr>
      <w:r w:rsidRPr="00ED0270">
        <w:rPr>
          <w:rFonts w:eastAsiaTheme="minorEastAsia"/>
          <w:i/>
          <w:szCs w:val="24"/>
        </w:rPr>
        <w:t>Respiratory system:</w:t>
      </w:r>
      <w:r w:rsidRPr="00ED0270">
        <w:rPr>
          <w:rFonts w:eastAsiaTheme="minorEastAsia"/>
          <w:szCs w:val="24"/>
        </w:rPr>
        <w:t xml:space="preserve"> Fatal bronchiolitis obliterans and pneumonitis (including interstitial pneumonitis) have been reported. Respiratory failure/insufficiency and lung infiltration in the context of IRRs. In addition to pulmonary events associated with infusions, interstitial lung disease, some with fatal outcome, has been reported.</w:t>
      </w:r>
    </w:p>
    <w:p w14:paraId="1BDD6195" w14:textId="77777777" w:rsidR="00ED0270" w:rsidRPr="00ED0270" w:rsidRDefault="00ED0270" w:rsidP="00443352">
      <w:pPr>
        <w:pStyle w:val="CLDNormal"/>
        <w:numPr>
          <w:ilvl w:val="0"/>
          <w:numId w:val="27"/>
        </w:numPr>
        <w:jc w:val="left"/>
        <w:rPr>
          <w:rFonts w:eastAsiaTheme="minorEastAsia"/>
          <w:szCs w:val="24"/>
        </w:rPr>
      </w:pPr>
      <w:r w:rsidRPr="00ED0270">
        <w:rPr>
          <w:rFonts w:eastAsiaTheme="minorEastAsia"/>
          <w:i/>
          <w:szCs w:val="24"/>
        </w:rPr>
        <w:t>Skin and appendages:</w:t>
      </w:r>
      <w:r w:rsidRPr="00ED0270">
        <w:rPr>
          <w:rFonts w:eastAsiaTheme="minorEastAsia"/>
          <w:szCs w:val="24"/>
        </w:rPr>
        <w:t xml:space="preserve"> Severe bullous skin reactions including some fatal cases of toxic epidermal necrolysis and Stevens-Johnson syndrome have been reported rarely.</w:t>
      </w:r>
    </w:p>
    <w:p w14:paraId="16F5431C" w14:textId="32C7109A" w:rsidR="00ED0270" w:rsidRDefault="00ED0270" w:rsidP="00443352">
      <w:pPr>
        <w:pStyle w:val="CLDNormal"/>
        <w:numPr>
          <w:ilvl w:val="0"/>
          <w:numId w:val="27"/>
        </w:numPr>
        <w:jc w:val="left"/>
        <w:rPr>
          <w:rFonts w:eastAsiaTheme="minorEastAsia"/>
          <w:szCs w:val="24"/>
        </w:rPr>
      </w:pPr>
      <w:r w:rsidRPr="00ED0270">
        <w:rPr>
          <w:rFonts w:eastAsiaTheme="minorEastAsia"/>
          <w:i/>
          <w:szCs w:val="24"/>
        </w:rPr>
        <w:t>Nervous system:</w:t>
      </w:r>
      <w:r w:rsidRPr="00ED0270">
        <w:rPr>
          <w:rFonts w:eastAsiaTheme="minorEastAsia"/>
          <w:szCs w:val="24"/>
        </w:rPr>
        <w:t xml:space="preserve"> Cases of posterior reversible encephalopathy syndrome (PRES) / reversible posterior leukoencephalopathy syndrome (RPLS) have been reported. Signs and symptoms include visual disturbance, headache, seizures and altered mental status, with or without associated hypertension. A diagnosis of PRES/RPLS requires confirmation by brain imaging. The reported cases had recognised risk factors for PRES/RPLS, including the patients underlying disease, hypertension, immunosuppressive therapy and/or chemotherapy. Cases of cranial neuropathy with or without peripheral neuropathy have been reported rarely. Signs and symptoms of cranial neuropathy, such as severe vision loss, hearing loss, loss of other senses and facial nerve palsy, occurred at various times up to several months after completion of </w:t>
      </w:r>
      <w:r w:rsidR="007C1D03" w:rsidRPr="007C1D03">
        <w:rPr>
          <w:rFonts w:eastAsiaTheme="minorEastAsia"/>
          <w:szCs w:val="24"/>
        </w:rPr>
        <w:t>rituximab</w:t>
      </w:r>
      <w:r w:rsidRPr="00ED0270">
        <w:rPr>
          <w:rFonts w:eastAsiaTheme="minorEastAsia"/>
          <w:szCs w:val="24"/>
        </w:rPr>
        <w:t xml:space="preserve"> therapy.</w:t>
      </w:r>
    </w:p>
    <w:p w14:paraId="5A1C4291" w14:textId="77777777" w:rsidR="00ED0270" w:rsidRPr="00ED0270" w:rsidRDefault="00ED0270" w:rsidP="00443352">
      <w:pPr>
        <w:pStyle w:val="CLDNormal"/>
        <w:numPr>
          <w:ilvl w:val="0"/>
          <w:numId w:val="27"/>
        </w:numPr>
        <w:jc w:val="left"/>
        <w:rPr>
          <w:rFonts w:eastAsiaTheme="minorEastAsia"/>
          <w:szCs w:val="24"/>
        </w:rPr>
      </w:pPr>
      <w:r w:rsidRPr="00ED0270">
        <w:rPr>
          <w:rFonts w:eastAsiaTheme="minorEastAsia"/>
          <w:i/>
          <w:szCs w:val="24"/>
        </w:rPr>
        <w:t>Body as a whole:</w:t>
      </w:r>
      <w:r w:rsidRPr="00ED0270">
        <w:rPr>
          <w:rFonts w:eastAsiaTheme="minorEastAsia"/>
          <w:szCs w:val="24"/>
        </w:rPr>
        <w:t xml:space="preserve"> Serum sickness-like reactions have been reported rarely.</w:t>
      </w:r>
    </w:p>
    <w:p w14:paraId="093293C3" w14:textId="19D4A12A" w:rsidR="00ED0270" w:rsidRPr="00ED0270" w:rsidRDefault="00ED0270" w:rsidP="00443352">
      <w:pPr>
        <w:pStyle w:val="CLDNormal"/>
        <w:numPr>
          <w:ilvl w:val="0"/>
          <w:numId w:val="27"/>
        </w:numPr>
        <w:jc w:val="left"/>
        <w:rPr>
          <w:rFonts w:eastAsiaTheme="minorEastAsia"/>
          <w:szCs w:val="24"/>
        </w:rPr>
      </w:pPr>
      <w:r w:rsidRPr="00ED0270">
        <w:rPr>
          <w:rFonts w:eastAsiaTheme="minorEastAsia"/>
          <w:i/>
          <w:szCs w:val="24"/>
        </w:rPr>
        <w:t>Infections and infestations:</w:t>
      </w:r>
      <w:r w:rsidRPr="00ED0270">
        <w:rPr>
          <w:rFonts w:eastAsiaTheme="minorEastAsia"/>
          <w:szCs w:val="24"/>
        </w:rPr>
        <w:t xml:space="preserve"> Cases of hepatitis B reactivation have been reported in subjects receiving </w:t>
      </w:r>
      <w:r w:rsidR="007C1D03" w:rsidRPr="007C1D03">
        <w:rPr>
          <w:rFonts w:eastAsiaTheme="minorEastAsia"/>
          <w:szCs w:val="24"/>
        </w:rPr>
        <w:t>rituximab</w:t>
      </w:r>
      <w:r w:rsidRPr="00ED0270">
        <w:rPr>
          <w:rFonts w:eastAsiaTheme="minorEastAsia"/>
          <w:szCs w:val="24"/>
        </w:rPr>
        <w:t xml:space="preserve"> in combination with cytotoxic chemotherapy (see section 4.4 Special warnings and precautions). Other serious viral infections, either new, reactivation or exacerbation, some of which were fatal, have been reported with rituximab treatment. The majority of patients had received rituximab in combination with chemotherapy or as part of a haematopoietic stem cell transplant. Examples of these serious viral infections are infections caused by the herpes viruses (cytomegalovirus (CMV), Varicella zoster virus and Herpes simplex virus), JC virus (progressive multifocal leukoencephalopathy (PML) see Boxed Warning) and Hepatitis C virus. Progression of Kaposi’s sarcoma has been observed in rituximab-exposed patients with pre-existing Kaposi’s sarcoma. These cases occurred in non-approved indications and the majority of patients were HIV (Human Immunodeficiency Virus)-positive.</w:t>
      </w:r>
    </w:p>
    <w:p w14:paraId="745B6692" w14:textId="77777777" w:rsidR="00ED0270" w:rsidRPr="00ED0270" w:rsidRDefault="00ED0270" w:rsidP="00443352">
      <w:pPr>
        <w:pStyle w:val="CLDNormal"/>
        <w:numPr>
          <w:ilvl w:val="0"/>
          <w:numId w:val="27"/>
        </w:numPr>
        <w:jc w:val="left"/>
        <w:rPr>
          <w:rFonts w:eastAsiaTheme="minorEastAsia"/>
          <w:szCs w:val="24"/>
        </w:rPr>
      </w:pPr>
      <w:r w:rsidRPr="00ED0270">
        <w:rPr>
          <w:rFonts w:eastAsiaTheme="minorEastAsia"/>
          <w:i/>
          <w:szCs w:val="24"/>
        </w:rPr>
        <w:t>Gastro-intestinal system:</w:t>
      </w:r>
      <w:r w:rsidRPr="00ED0270">
        <w:rPr>
          <w:rFonts w:eastAsiaTheme="minorEastAsia"/>
          <w:szCs w:val="24"/>
        </w:rPr>
        <w:t xml:space="preserve"> Gastro-intestinal perforation, in some cases leading to death, has been observed in patients receiving rituximab in combination with chemotherapy for non-Hodgkin’s lymphoma.</w:t>
      </w:r>
    </w:p>
    <w:p w14:paraId="717ADADC" w14:textId="77777777" w:rsidR="00ED0270" w:rsidRDefault="00ED0270" w:rsidP="00443352">
      <w:pPr>
        <w:pStyle w:val="CLDNormal"/>
        <w:numPr>
          <w:ilvl w:val="0"/>
          <w:numId w:val="27"/>
        </w:numPr>
        <w:jc w:val="left"/>
        <w:rPr>
          <w:rFonts w:eastAsiaTheme="minorEastAsia"/>
          <w:szCs w:val="24"/>
        </w:rPr>
      </w:pPr>
      <w:r w:rsidRPr="00ED0270">
        <w:rPr>
          <w:rFonts w:eastAsiaTheme="minorEastAsia"/>
          <w:i/>
          <w:szCs w:val="24"/>
        </w:rPr>
        <w:t>Renal and urinary system:</w:t>
      </w:r>
      <w:r w:rsidRPr="00ED0270">
        <w:rPr>
          <w:rFonts w:eastAsiaTheme="minorEastAsia"/>
          <w:szCs w:val="24"/>
        </w:rPr>
        <w:t xml:space="preserve"> Renal failure has been reported.</w:t>
      </w:r>
    </w:p>
    <w:p w14:paraId="112B1273" w14:textId="77777777" w:rsidR="00ED0270" w:rsidRPr="00ED0270" w:rsidRDefault="00ED0270" w:rsidP="00443352">
      <w:pPr>
        <w:pStyle w:val="CLDNormal"/>
        <w:jc w:val="left"/>
        <w:rPr>
          <w:rFonts w:eastAsiaTheme="minorEastAsia"/>
          <w:szCs w:val="24"/>
          <w:u w:val="single"/>
        </w:rPr>
      </w:pPr>
      <w:r w:rsidRPr="00ED0270">
        <w:rPr>
          <w:rFonts w:eastAsiaTheme="minorEastAsia"/>
          <w:szCs w:val="24"/>
          <w:u w:val="single"/>
        </w:rPr>
        <w:t xml:space="preserve">Rheumatoid Arthritis, Granulomatosis with </w:t>
      </w:r>
      <w:proofErr w:type="spellStart"/>
      <w:r w:rsidRPr="00ED0270">
        <w:rPr>
          <w:rFonts w:eastAsiaTheme="minorEastAsia"/>
          <w:szCs w:val="24"/>
          <w:u w:val="single"/>
        </w:rPr>
        <w:t>polyangiitis</w:t>
      </w:r>
      <w:proofErr w:type="spellEnd"/>
      <w:r w:rsidRPr="00ED0270">
        <w:rPr>
          <w:rFonts w:eastAsiaTheme="minorEastAsia"/>
          <w:szCs w:val="24"/>
          <w:u w:val="single"/>
        </w:rPr>
        <w:t xml:space="preserve"> (Wegener’s) (GPA) and Microscopic </w:t>
      </w:r>
      <w:proofErr w:type="spellStart"/>
      <w:r w:rsidRPr="00ED0270">
        <w:rPr>
          <w:rFonts w:eastAsiaTheme="minorEastAsia"/>
          <w:szCs w:val="24"/>
          <w:u w:val="single"/>
        </w:rPr>
        <w:t>polyangiitis</w:t>
      </w:r>
      <w:proofErr w:type="spellEnd"/>
      <w:r w:rsidRPr="00ED0270">
        <w:rPr>
          <w:rFonts w:eastAsiaTheme="minorEastAsia"/>
          <w:szCs w:val="24"/>
          <w:u w:val="single"/>
        </w:rPr>
        <w:t xml:space="preserve"> (MPA) patients</w:t>
      </w:r>
    </w:p>
    <w:p w14:paraId="3C6F883D" w14:textId="0D378B19" w:rsidR="00ED0270" w:rsidRPr="00ED0270" w:rsidRDefault="00ED0270" w:rsidP="00443352">
      <w:pPr>
        <w:pStyle w:val="CLDNormal"/>
        <w:jc w:val="left"/>
        <w:rPr>
          <w:rFonts w:eastAsiaTheme="minorEastAsia"/>
          <w:szCs w:val="24"/>
        </w:rPr>
      </w:pPr>
      <w:r w:rsidRPr="00ED0270">
        <w:rPr>
          <w:rFonts w:eastAsiaTheme="minorEastAsia"/>
          <w:szCs w:val="24"/>
        </w:rPr>
        <w:t xml:space="preserve">As part of the continuing post-marketing surveillance of </w:t>
      </w:r>
      <w:r w:rsidR="007C1D03" w:rsidRPr="007C1D03">
        <w:rPr>
          <w:rFonts w:eastAsiaTheme="minorEastAsia"/>
          <w:szCs w:val="24"/>
        </w:rPr>
        <w:t>rituximab</w:t>
      </w:r>
      <w:r w:rsidRPr="00ED0270">
        <w:rPr>
          <w:rFonts w:eastAsiaTheme="minorEastAsia"/>
          <w:szCs w:val="24"/>
        </w:rPr>
        <w:t xml:space="preserve"> safety, the following have been observed in the RA setting and are also expected, if not already observed, in GPA/MPA patients:</w:t>
      </w:r>
    </w:p>
    <w:p w14:paraId="1DCA6A6C" w14:textId="77777777" w:rsidR="00ED0270" w:rsidRDefault="00ED0270" w:rsidP="00443352">
      <w:pPr>
        <w:pStyle w:val="CLDNormal"/>
        <w:numPr>
          <w:ilvl w:val="0"/>
          <w:numId w:val="27"/>
        </w:numPr>
        <w:jc w:val="left"/>
        <w:rPr>
          <w:rFonts w:eastAsiaTheme="minorEastAsia"/>
          <w:szCs w:val="24"/>
        </w:rPr>
      </w:pPr>
      <w:r w:rsidRPr="00ED0270">
        <w:rPr>
          <w:rFonts w:eastAsiaTheme="minorEastAsia"/>
          <w:i/>
          <w:szCs w:val="24"/>
        </w:rPr>
        <w:t>Infections and Infestations:</w:t>
      </w:r>
      <w:r w:rsidRPr="00ED0270">
        <w:rPr>
          <w:rFonts w:eastAsiaTheme="minorEastAsia"/>
          <w:szCs w:val="24"/>
        </w:rPr>
        <w:t xml:space="preserve"> progressive multifocal leukoencephalopathy (PML) and reactivation of hepatitis B infection have been reported.</w:t>
      </w:r>
    </w:p>
    <w:p w14:paraId="7961780A" w14:textId="77777777" w:rsidR="00ED0270" w:rsidRDefault="00ED0270" w:rsidP="00443352">
      <w:pPr>
        <w:pStyle w:val="CLDNormal"/>
        <w:numPr>
          <w:ilvl w:val="0"/>
          <w:numId w:val="27"/>
        </w:numPr>
        <w:jc w:val="left"/>
        <w:rPr>
          <w:rFonts w:eastAsiaTheme="minorEastAsia"/>
          <w:szCs w:val="24"/>
        </w:rPr>
      </w:pPr>
      <w:r w:rsidRPr="00ED0270">
        <w:rPr>
          <w:rFonts w:eastAsiaTheme="minorEastAsia"/>
          <w:i/>
          <w:szCs w:val="24"/>
        </w:rPr>
        <w:t>Body as a whole:</w:t>
      </w:r>
      <w:r w:rsidRPr="00ED0270">
        <w:rPr>
          <w:rFonts w:eastAsiaTheme="minorEastAsia"/>
          <w:szCs w:val="24"/>
        </w:rPr>
        <w:t xml:space="preserve"> Serum sickness-like reaction has been reported.</w:t>
      </w:r>
    </w:p>
    <w:p w14:paraId="2B470A6D" w14:textId="77777777" w:rsidR="00ED0270" w:rsidRDefault="00ED0270" w:rsidP="00443352">
      <w:pPr>
        <w:pStyle w:val="CLDNormal"/>
        <w:numPr>
          <w:ilvl w:val="0"/>
          <w:numId w:val="27"/>
        </w:numPr>
        <w:jc w:val="left"/>
        <w:rPr>
          <w:rFonts w:eastAsiaTheme="minorEastAsia"/>
          <w:szCs w:val="24"/>
        </w:rPr>
      </w:pPr>
      <w:r w:rsidRPr="00ED0270">
        <w:rPr>
          <w:rFonts w:eastAsiaTheme="minorEastAsia"/>
          <w:i/>
          <w:szCs w:val="24"/>
        </w:rPr>
        <w:t>Skin and subcutaneous tissue disorders:</w:t>
      </w:r>
      <w:r w:rsidRPr="00ED0270">
        <w:rPr>
          <w:rFonts w:eastAsiaTheme="minorEastAsia"/>
          <w:szCs w:val="24"/>
        </w:rPr>
        <w:t xml:space="preserve"> Toxic epidermal necrolysis and Stevens-Johnson syndrome, with fatal outcome in some cases, have been reported very rarely.</w:t>
      </w:r>
    </w:p>
    <w:p w14:paraId="5F67B590" w14:textId="77777777" w:rsidR="00ED0270" w:rsidRDefault="00ED0270" w:rsidP="00443352">
      <w:pPr>
        <w:pStyle w:val="CLDNormal"/>
        <w:numPr>
          <w:ilvl w:val="0"/>
          <w:numId w:val="27"/>
        </w:numPr>
        <w:jc w:val="left"/>
        <w:rPr>
          <w:rFonts w:eastAsiaTheme="minorEastAsia"/>
          <w:szCs w:val="24"/>
        </w:rPr>
      </w:pPr>
      <w:r w:rsidRPr="001F094E">
        <w:rPr>
          <w:rFonts w:eastAsiaTheme="minorEastAsia"/>
          <w:i/>
          <w:szCs w:val="24"/>
        </w:rPr>
        <w:t>Blood and lymphatic system disorders:</w:t>
      </w:r>
      <w:r w:rsidRPr="00ED0270">
        <w:rPr>
          <w:rFonts w:eastAsiaTheme="minorEastAsia"/>
          <w:szCs w:val="24"/>
        </w:rPr>
        <w:t xml:space="preserve"> Neutropenic events, including severe late onset and persistent neutropenia, have been reported rarely in the post-marketing setting, some of which were associated with fatal infections.</w:t>
      </w:r>
    </w:p>
    <w:p w14:paraId="28AD3778" w14:textId="77777777" w:rsidR="00ED0270" w:rsidRDefault="00ED0270" w:rsidP="00443352">
      <w:pPr>
        <w:pStyle w:val="CLDNormal"/>
        <w:numPr>
          <w:ilvl w:val="0"/>
          <w:numId w:val="27"/>
        </w:numPr>
        <w:jc w:val="left"/>
        <w:rPr>
          <w:rFonts w:eastAsiaTheme="minorEastAsia"/>
          <w:szCs w:val="24"/>
        </w:rPr>
      </w:pPr>
      <w:r w:rsidRPr="00ED0270">
        <w:rPr>
          <w:rFonts w:eastAsiaTheme="minorEastAsia"/>
          <w:szCs w:val="24"/>
        </w:rPr>
        <w:t xml:space="preserve"> </w:t>
      </w:r>
      <w:r w:rsidRPr="001F094E">
        <w:rPr>
          <w:rFonts w:eastAsiaTheme="minorEastAsia"/>
          <w:i/>
          <w:szCs w:val="24"/>
        </w:rPr>
        <w:t>Nervous system:</w:t>
      </w:r>
      <w:r w:rsidRPr="00ED0270">
        <w:rPr>
          <w:rFonts w:eastAsiaTheme="minorEastAsia"/>
          <w:szCs w:val="24"/>
        </w:rPr>
        <w:t xml:space="preserve"> Cases of PRES/RPLS have been reported. Signs and symptoms include visual disturbance, headache, seizures and altered mental status, with or without associated hypertension. A diagnosis of PRES/RPLS requires confirmation by brain imaging. The reported cases had recognised risk factors for PRES/RPLS, including hypertension, immunosuppressive therapy and/or other concomitant therapies.</w:t>
      </w:r>
    </w:p>
    <w:p w14:paraId="1835CE7D" w14:textId="77777777" w:rsidR="00ED0270" w:rsidRDefault="00ED0270" w:rsidP="00443352">
      <w:pPr>
        <w:pStyle w:val="CLDNormal"/>
        <w:numPr>
          <w:ilvl w:val="0"/>
          <w:numId w:val="27"/>
        </w:numPr>
        <w:jc w:val="left"/>
        <w:rPr>
          <w:rFonts w:eastAsiaTheme="minorEastAsia"/>
          <w:szCs w:val="24"/>
        </w:rPr>
      </w:pPr>
      <w:r w:rsidRPr="00ED0270">
        <w:rPr>
          <w:rFonts w:eastAsiaTheme="minorEastAsia"/>
          <w:szCs w:val="24"/>
        </w:rPr>
        <w:t>General disorders and administration site conditions: severe IRRs with fatal outcome infection have been reported during post-marketing experience.</w:t>
      </w:r>
    </w:p>
    <w:p w14:paraId="03CDE080" w14:textId="77777777" w:rsidR="00ED0270" w:rsidRPr="00ED0270" w:rsidRDefault="00ED0270" w:rsidP="00443352">
      <w:pPr>
        <w:pStyle w:val="CLDNormal"/>
        <w:jc w:val="left"/>
        <w:rPr>
          <w:rFonts w:eastAsiaTheme="minorEastAsia"/>
          <w:b/>
          <w:szCs w:val="24"/>
        </w:rPr>
      </w:pPr>
      <w:r w:rsidRPr="00ED0270">
        <w:rPr>
          <w:rFonts w:eastAsiaTheme="minorEastAsia"/>
          <w:b/>
          <w:szCs w:val="24"/>
        </w:rPr>
        <w:t>Use in Children</w:t>
      </w:r>
    </w:p>
    <w:p w14:paraId="0C2A42BA" w14:textId="26DFF275" w:rsidR="00ED0270" w:rsidRPr="00ED0270" w:rsidRDefault="00ED0270" w:rsidP="00443352">
      <w:pPr>
        <w:pStyle w:val="CLDNormal"/>
        <w:jc w:val="left"/>
        <w:rPr>
          <w:rFonts w:eastAsiaTheme="minorEastAsia"/>
          <w:szCs w:val="24"/>
        </w:rPr>
      </w:pPr>
      <w:proofErr w:type="spellStart"/>
      <w:r w:rsidRPr="00ED0270">
        <w:rPr>
          <w:rFonts w:eastAsiaTheme="minorEastAsia"/>
          <w:szCs w:val="24"/>
        </w:rPr>
        <w:t>Hypogammaglobulinaemia</w:t>
      </w:r>
      <w:proofErr w:type="spellEnd"/>
      <w:r w:rsidRPr="00ED0270">
        <w:rPr>
          <w:rFonts w:eastAsiaTheme="minorEastAsia"/>
          <w:szCs w:val="24"/>
        </w:rPr>
        <w:t xml:space="preserve"> has been observed in paediatric patients treated with </w:t>
      </w:r>
      <w:r w:rsidR="007C1D03" w:rsidRPr="007C1D03">
        <w:rPr>
          <w:rFonts w:eastAsiaTheme="minorEastAsia"/>
          <w:szCs w:val="24"/>
        </w:rPr>
        <w:t>rituximab</w:t>
      </w:r>
      <w:r w:rsidRPr="00ED0270">
        <w:rPr>
          <w:rFonts w:eastAsiaTheme="minorEastAsia"/>
          <w:szCs w:val="24"/>
        </w:rPr>
        <w:t xml:space="preserve"> (see section 4.4 Special warnings and precautions).</w:t>
      </w:r>
    </w:p>
    <w:p w14:paraId="4C4EA433" w14:textId="77777777" w:rsidR="00ED0270" w:rsidRPr="00ED0270" w:rsidRDefault="00ED0270" w:rsidP="00443352">
      <w:pPr>
        <w:pStyle w:val="CLDNormal"/>
        <w:jc w:val="left"/>
        <w:rPr>
          <w:rFonts w:eastAsiaTheme="minorEastAsia"/>
          <w:b/>
          <w:szCs w:val="24"/>
        </w:rPr>
      </w:pPr>
      <w:r w:rsidRPr="00ED0270">
        <w:rPr>
          <w:rFonts w:eastAsiaTheme="minorEastAsia"/>
          <w:b/>
          <w:szCs w:val="24"/>
        </w:rPr>
        <w:t>Reporting of suspected adverse reactions</w:t>
      </w:r>
    </w:p>
    <w:p w14:paraId="7FFE0F11" w14:textId="77777777" w:rsidR="00ED0270" w:rsidRPr="00ED0270" w:rsidRDefault="00ED0270" w:rsidP="00443352">
      <w:pPr>
        <w:pStyle w:val="CLDNormal"/>
        <w:jc w:val="left"/>
        <w:rPr>
          <w:rFonts w:eastAsiaTheme="minorEastAsia"/>
          <w:szCs w:val="24"/>
        </w:rPr>
      </w:pPr>
      <w:r w:rsidRPr="00ED0270">
        <w:rPr>
          <w:rFonts w:eastAsiaTheme="minorEastAsia"/>
          <w:szCs w:val="24"/>
        </w:rPr>
        <w:t>Reporting suspected adverse reactions after registration of the medicinal product is important. It allows continued monitoring of the benefit-risk balance of the medicinal product. Healthcare professionals are asked to report any suspected adverse reactions at www.tga.gov.au/reporting-problems.</w:t>
      </w:r>
    </w:p>
    <w:p w14:paraId="5094F783" w14:textId="77777777" w:rsidR="00112E5B" w:rsidRPr="00003E72" w:rsidRDefault="00003E72" w:rsidP="00443352">
      <w:pPr>
        <w:pStyle w:val="CLDHeading2"/>
        <w:jc w:val="left"/>
      </w:pPr>
      <w:r>
        <w:t>4.9</w:t>
      </w:r>
      <w:r>
        <w:tab/>
      </w:r>
      <w:r w:rsidR="00112E5B" w:rsidRPr="00DB3A4B">
        <w:t>Overdos</w:t>
      </w:r>
      <w:r w:rsidR="0061777E">
        <w:t>e</w:t>
      </w:r>
      <w:r w:rsidR="00112E5B" w:rsidRPr="00030516">
        <w:rPr>
          <w:bCs/>
          <w:i/>
          <w:iCs/>
          <w:color w:val="FF0000"/>
        </w:rPr>
        <w:t xml:space="preserve"> </w:t>
      </w:r>
    </w:p>
    <w:p w14:paraId="7DE82BA3" w14:textId="3966A84F" w:rsidR="00ED0270" w:rsidRDefault="00ED0270" w:rsidP="00443352">
      <w:pPr>
        <w:pStyle w:val="CLDNormal"/>
        <w:jc w:val="left"/>
      </w:pPr>
      <w:r>
        <w:t xml:space="preserve">Limited experience with doses higher than the approved IV doses of </w:t>
      </w:r>
      <w:r w:rsidR="00553E81" w:rsidRPr="00553E81">
        <w:t>rituximab</w:t>
      </w:r>
      <w:r>
        <w:t xml:space="preserve"> is available from clinical trials in humans. The highest IV dose tested in humans to date is 5000 mg (2250 mg/m</w:t>
      </w:r>
      <w:r w:rsidRPr="00553E81">
        <w:rPr>
          <w:vertAlign w:val="superscript"/>
        </w:rPr>
        <w:t>2</w:t>
      </w:r>
      <w:r>
        <w:t>). No additional safety signals were identified. Patients who experience overdose should have immediate interruption of their infusion and be closely monitored.</w:t>
      </w:r>
    </w:p>
    <w:p w14:paraId="4EDEFE41" w14:textId="3253B398" w:rsidR="00ED0270" w:rsidRDefault="00ED0270" w:rsidP="00443352">
      <w:pPr>
        <w:pStyle w:val="CLDNormal"/>
        <w:jc w:val="left"/>
      </w:pPr>
      <w:r>
        <w:t xml:space="preserve">In the post-marketing setting 5 cases of </w:t>
      </w:r>
      <w:r w:rsidR="00395031" w:rsidRPr="00395031">
        <w:t>rituximab</w:t>
      </w:r>
      <w:r>
        <w:t xml:space="preserve"> overdose have been reported. Three cases had no reported adverse event. The two adverse events that were reported were flu-like symptoms, with a dose of 1800 mg and fatal respiratory failure, with a dose of 2000 mg.</w:t>
      </w:r>
    </w:p>
    <w:p w14:paraId="5BCCEF22" w14:textId="77777777" w:rsidR="00ED0270" w:rsidRDefault="00ED0270" w:rsidP="00443352">
      <w:pPr>
        <w:pStyle w:val="CLDNormal"/>
        <w:jc w:val="left"/>
      </w:pPr>
      <w:r>
        <w:t>Consideration should be given to the need for regular monitoring of blood cell count and for increased risk of infections while patients are B cell-depleted.</w:t>
      </w:r>
    </w:p>
    <w:p w14:paraId="5FFEDE4A" w14:textId="77777777" w:rsidR="00ED0270" w:rsidRDefault="00ED0270" w:rsidP="00443352">
      <w:pPr>
        <w:pStyle w:val="CLDNormal"/>
        <w:jc w:val="left"/>
      </w:pPr>
      <w:r>
        <w:t>Treatment of overdose should also consist of general supportive measures.</w:t>
      </w:r>
    </w:p>
    <w:p w14:paraId="4FA2AF26" w14:textId="77777777" w:rsidR="00904B18" w:rsidRDefault="00904B18" w:rsidP="00443352">
      <w:pPr>
        <w:pStyle w:val="CLDNormal"/>
        <w:jc w:val="left"/>
      </w:pPr>
      <w:r w:rsidRPr="00904B18">
        <w:t>For information on the management of overdose, contact the Poisons Information Centre on 13 11 26 (Australia).</w:t>
      </w:r>
    </w:p>
    <w:p w14:paraId="2F261EB8" w14:textId="77777777" w:rsidR="0062454C" w:rsidRDefault="00003E72" w:rsidP="00443352">
      <w:pPr>
        <w:pStyle w:val="CLDHeading1"/>
        <w:jc w:val="left"/>
      </w:pPr>
      <w:r>
        <w:t>5.</w:t>
      </w:r>
      <w:r>
        <w:tab/>
      </w:r>
      <w:r w:rsidR="0018348D">
        <w:t>PHARMACOLOGICAL PROPERTIES</w:t>
      </w:r>
      <w:r w:rsidR="00112E5B">
        <w:t xml:space="preserve"> </w:t>
      </w:r>
    </w:p>
    <w:p w14:paraId="6475517B" w14:textId="77777777" w:rsidR="00112E5B" w:rsidRDefault="00003E72" w:rsidP="00443352">
      <w:pPr>
        <w:pStyle w:val="CLDHeading2"/>
        <w:jc w:val="left"/>
      </w:pPr>
      <w:r>
        <w:t>5.1</w:t>
      </w:r>
      <w:r>
        <w:tab/>
      </w:r>
      <w:r w:rsidR="00112E5B">
        <w:t xml:space="preserve">Pharmacodynamic properties </w:t>
      </w:r>
    </w:p>
    <w:p w14:paraId="03C3D752" w14:textId="77777777" w:rsidR="00ED0270" w:rsidRDefault="00ED0270" w:rsidP="00443352">
      <w:pPr>
        <w:pStyle w:val="CLDNormal"/>
        <w:jc w:val="left"/>
        <w:rPr>
          <w:rFonts w:eastAsiaTheme="minorEastAsia"/>
          <w:lang w:val="en-US"/>
        </w:rPr>
      </w:pPr>
      <w:proofErr w:type="spellStart"/>
      <w:r w:rsidRPr="00ED0270">
        <w:rPr>
          <w:rFonts w:eastAsiaTheme="minorEastAsia"/>
          <w:lang w:val="en-US"/>
        </w:rPr>
        <w:t>Pharmacotherapeutic</w:t>
      </w:r>
      <w:proofErr w:type="spellEnd"/>
      <w:r w:rsidRPr="00ED0270">
        <w:rPr>
          <w:rFonts w:eastAsiaTheme="minorEastAsia"/>
          <w:lang w:val="en-US"/>
        </w:rPr>
        <w:t xml:space="preserve"> group: antineoplastic agents, monoclonal antibodies, ATC code: L01X C02</w:t>
      </w:r>
      <w:r>
        <w:rPr>
          <w:rFonts w:eastAsiaTheme="minorEastAsia"/>
          <w:lang w:val="en-US"/>
        </w:rPr>
        <w:t xml:space="preserve"> </w:t>
      </w:r>
    </w:p>
    <w:p w14:paraId="0B280D07" w14:textId="77777777" w:rsidR="00ED0270" w:rsidRPr="00ED0270" w:rsidRDefault="00ED0270" w:rsidP="00443352">
      <w:pPr>
        <w:pStyle w:val="CLDHeading3"/>
        <w:jc w:val="left"/>
        <w:rPr>
          <w:rFonts w:eastAsiaTheme="minorEastAsia"/>
          <w:lang w:val="en-US"/>
        </w:rPr>
      </w:pPr>
      <w:r w:rsidRPr="00ED0270">
        <w:rPr>
          <w:rFonts w:eastAsiaTheme="minorEastAsia"/>
          <w:lang w:val="en-US"/>
        </w:rPr>
        <w:t>Mechanism of Action</w:t>
      </w:r>
    </w:p>
    <w:p w14:paraId="1A888DC7" w14:textId="77777777" w:rsidR="00ED0270" w:rsidRPr="00ED0270" w:rsidRDefault="00ED0270" w:rsidP="00443352">
      <w:pPr>
        <w:pStyle w:val="CLDHeading4"/>
        <w:jc w:val="left"/>
        <w:rPr>
          <w:rFonts w:eastAsiaTheme="minorEastAsia"/>
          <w:lang w:val="en-US"/>
        </w:rPr>
      </w:pPr>
      <w:r w:rsidRPr="00ED0270">
        <w:rPr>
          <w:rFonts w:eastAsiaTheme="minorEastAsia"/>
          <w:lang w:val="en-US"/>
        </w:rPr>
        <w:t>General</w:t>
      </w:r>
    </w:p>
    <w:p w14:paraId="03B3C2AB" w14:textId="77777777" w:rsidR="00ED0270" w:rsidRPr="00ED0270" w:rsidRDefault="00ED0270" w:rsidP="00443352">
      <w:pPr>
        <w:pStyle w:val="CLDNormal"/>
        <w:jc w:val="left"/>
        <w:rPr>
          <w:rFonts w:eastAsiaTheme="minorEastAsia"/>
          <w:spacing w:val="2"/>
          <w:lang w:val="en-US"/>
        </w:rPr>
      </w:pPr>
      <w:r w:rsidRPr="00ED0270">
        <w:rPr>
          <w:rFonts w:eastAsiaTheme="minorEastAsia"/>
          <w:spacing w:val="2"/>
          <w:lang w:val="en-US"/>
        </w:rPr>
        <w:t xml:space="preserve">Rituximab binds specifically to the antigen CD20, a transmembrane molecule located on pre-B and mature B lymphocytes. The antigen is expressed on &gt; 95% of all B-cell non-Hodgkin’s lymphomas (NHL). CD20 (human B lymphocyte-restricted differentiation antigen, Bp35) is a hydrophobic transmembrane protein with a molecular weight of approximately 35 </w:t>
      </w:r>
      <w:proofErr w:type="spellStart"/>
      <w:r w:rsidRPr="00ED0270">
        <w:rPr>
          <w:rFonts w:eastAsiaTheme="minorEastAsia"/>
          <w:spacing w:val="2"/>
          <w:lang w:val="en-US"/>
        </w:rPr>
        <w:t>kD</w:t>
      </w:r>
      <w:proofErr w:type="spellEnd"/>
      <w:r w:rsidRPr="00ED0270">
        <w:rPr>
          <w:rFonts w:eastAsiaTheme="minorEastAsia"/>
          <w:spacing w:val="2"/>
          <w:lang w:val="en-US"/>
        </w:rPr>
        <w:t xml:space="preserve">. This non-glycosylated phosphoprotein is found on both normal and malignant B cells, but not on </w:t>
      </w:r>
      <w:proofErr w:type="spellStart"/>
      <w:r w:rsidRPr="00ED0270">
        <w:rPr>
          <w:rFonts w:eastAsiaTheme="minorEastAsia"/>
          <w:spacing w:val="2"/>
          <w:lang w:val="en-US"/>
        </w:rPr>
        <w:t>haematopoietic</w:t>
      </w:r>
      <w:proofErr w:type="spellEnd"/>
      <w:r w:rsidRPr="00ED0270">
        <w:rPr>
          <w:rFonts w:eastAsiaTheme="minorEastAsia"/>
          <w:spacing w:val="2"/>
          <w:lang w:val="en-US"/>
        </w:rPr>
        <w:t xml:space="preserve"> stem cells, pro-B cells, normal plasma cells or other normal tissues. CD20 regulates (an) early step(s) in the activation process for cell cycle initiation and differentiation, and possibly functions as a calcium ion channel. CD20 does not </w:t>
      </w:r>
      <w:proofErr w:type="spellStart"/>
      <w:r w:rsidRPr="00ED0270">
        <w:rPr>
          <w:rFonts w:eastAsiaTheme="minorEastAsia"/>
          <w:spacing w:val="2"/>
          <w:lang w:val="en-US"/>
        </w:rPr>
        <w:t>internalise</w:t>
      </w:r>
      <w:proofErr w:type="spellEnd"/>
      <w:r w:rsidRPr="00ED0270">
        <w:rPr>
          <w:rFonts w:eastAsiaTheme="minorEastAsia"/>
          <w:spacing w:val="2"/>
          <w:lang w:val="en-US"/>
        </w:rPr>
        <w:t xml:space="preserve"> upon antibody binding and is not shed from the cell surface. This antigen does not circulate in the plasma. Thus, free antigen does not compete for rituximab binding.</w:t>
      </w:r>
    </w:p>
    <w:p w14:paraId="223FD684" w14:textId="77777777" w:rsidR="00ED0270" w:rsidRPr="00ED0270" w:rsidRDefault="00ED0270" w:rsidP="00443352">
      <w:pPr>
        <w:pStyle w:val="CLDNormal"/>
        <w:jc w:val="left"/>
        <w:rPr>
          <w:rFonts w:eastAsiaTheme="minorEastAsia"/>
          <w:spacing w:val="2"/>
          <w:lang w:val="en-US"/>
        </w:rPr>
      </w:pPr>
      <w:r w:rsidRPr="00ED0270">
        <w:rPr>
          <w:rFonts w:eastAsiaTheme="minorEastAsia"/>
          <w:spacing w:val="2"/>
          <w:lang w:val="en-US"/>
        </w:rPr>
        <w:t>In rheumatoid arthritis (RA) the putative mechanism of action of rituximab involves the depletion of surface antigen-positive B lymphocytes from synovial tissue, with downstream effects potentially including reduced activation of T-cells and the associated release of pro-inflammatory cytokines.</w:t>
      </w:r>
    </w:p>
    <w:p w14:paraId="061548DE" w14:textId="77777777" w:rsidR="00ED0270" w:rsidRPr="00ED0270" w:rsidRDefault="00ED0270" w:rsidP="00443352">
      <w:pPr>
        <w:pStyle w:val="CLDNormal"/>
        <w:jc w:val="left"/>
        <w:rPr>
          <w:rFonts w:eastAsiaTheme="minorEastAsia"/>
          <w:spacing w:val="2"/>
          <w:u w:val="single"/>
          <w:lang w:val="en-US"/>
        </w:rPr>
      </w:pPr>
      <w:r w:rsidRPr="00ED0270">
        <w:rPr>
          <w:rFonts w:eastAsiaTheme="minorEastAsia"/>
          <w:spacing w:val="2"/>
          <w:u w:val="single"/>
          <w:lang w:val="en-US"/>
        </w:rPr>
        <w:t>In Vitro Mechanisms of Action:</w:t>
      </w:r>
    </w:p>
    <w:p w14:paraId="799927FD" w14:textId="77777777" w:rsidR="00985CD2" w:rsidRDefault="00ED0270" w:rsidP="00443352">
      <w:pPr>
        <w:pStyle w:val="CLDNormal"/>
        <w:jc w:val="left"/>
        <w:rPr>
          <w:rFonts w:eastAsiaTheme="minorEastAsia"/>
          <w:spacing w:val="2"/>
          <w:lang w:val="en-US"/>
        </w:rPr>
      </w:pPr>
      <w:r w:rsidRPr="00ED0270">
        <w:rPr>
          <w:rFonts w:eastAsiaTheme="minorEastAsia"/>
          <w:spacing w:val="2"/>
          <w:lang w:val="en-US"/>
        </w:rPr>
        <w:t xml:space="preserve">The Fab domain of rituximab binds to the CD20 antigen on B-lymphocytes and the Fc domain recruits immune effector functions to mediate B-cell lysis. Possible mechanisms of cell lysis include complement-dependent cytotoxicity (CDC) and antibody-dependent cellular cytotoxicity (ADCC). The antibody also induces apoptosis in the DHL-4 human B-cell lymphoma line. Finally, in vitro studies have demonstrated that rituximab </w:t>
      </w:r>
      <w:proofErr w:type="spellStart"/>
      <w:r w:rsidRPr="00ED0270">
        <w:rPr>
          <w:rFonts w:eastAsiaTheme="minorEastAsia"/>
          <w:spacing w:val="2"/>
          <w:lang w:val="en-US"/>
        </w:rPr>
        <w:t>sensitises</w:t>
      </w:r>
      <w:proofErr w:type="spellEnd"/>
      <w:r w:rsidRPr="00ED0270">
        <w:rPr>
          <w:rFonts w:eastAsiaTheme="minorEastAsia"/>
          <w:spacing w:val="2"/>
          <w:lang w:val="en-US"/>
        </w:rPr>
        <w:t xml:space="preserve"> drug-resistant human B-cell lymphoma lines to the cytotoxic effects of some chemotherapeutic agents.</w:t>
      </w:r>
      <w:r w:rsidR="00985CD2">
        <w:rPr>
          <w:rFonts w:eastAsiaTheme="minorEastAsia"/>
          <w:spacing w:val="2"/>
          <w:lang w:val="en-US"/>
        </w:rPr>
        <w:t xml:space="preserve"> </w:t>
      </w:r>
    </w:p>
    <w:p w14:paraId="03A00FB9" w14:textId="77777777" w:rsidR="00985CD2" w:rsidRPr="00985CD2" w:rsidRDefault="00985CD2" w:rsidP="00443352">
      <w:pPr>
        <w:pStyle w:val="CLDNormal"/>
        <w:jc w:val="left"/>
        <w:rPr>
          <w:rFonts w:eastAsiaTheme="minorEastAsia"/>
          <w:spacing w:val="2"/>
          <w:u w:val="single"/>
          <w:lang w:val="en-US"/>
        </w:rPr>
      </w:pPr>
      <w:r w:rsidRPr="00985CD2">
        <w:rPr>
          <w:rFonts w:eastAsiaTheme="minorEastAsia"/>
          <w:spacing w:val="2"/>
          <w:u w:val="single"/>
          <w:lang w:val="en-US"/>
        </w:rPr>
        <w:t>Binding specificity</w:t>
      </w:r>
    </w:p>
    <w:p w14:paraId="2E87D498" w14:textId="77777777" w:rsidR="00985CD2" w:rsidRPr="00985CD2" w:rsidRDefault="00985CD2" w:rsidP="00443352">
      <w:pPr>
        <w:pStyle w:val="CLDNormal"/>
        <w:jc w:val="left"/>
        <w:rPr>
          <w:rFonts w:eastAsiaTheme="minorEastAsia"/>
          <w:spacing w:val="2"/>
          <w:lang w:val="en-US"/>
        </w:rPr>
      </w:pPr>
      <w:r w:rsidRPr="00985CD2">
        <w:rPr>
          <w:rFonts w:eastAsiaTheme="minorEastAsia"/>
          <w:spacing w:val="2"/>
          <w:lang w:val="en-US"/>
        </w:rPr>
        <w:t>In human tissue, the expression of the CD20 antigen is highly restricted; rituximab binding to CD20 was found only on lymphoid cells in the thymus, the white pulp of the spleen and a majority of B lymphocytes in peripheral blood and lymph nodes. Little or no non-specific binding was observed.</w:t>
      </w:r>
    </w:p>
    <w:p w14:paraId="2BF3A163" w14:textId="77777777" w:rsidR="00985CD2" w:rsidRPr="00985CD2" w:rsidRDefault="00985CD2" w:rsidP="00443352">
      <w:pPr>
        <w:pStyle w:val="CLDNormal"/>
        <w:jc w:val="left"/>
        <w:rPr>
          <w:rFonts w:eastAsiaTheme="minorEastAsia"/>
          <w:spacing w:val="2"/>
          <w:u w:val="single"/>
          <w:lang w:val="en-US"/>
        </w:rPr>
      </w:pPr>
      <w:r w:rsidRPr="00985CD2">
        <w:rPr>
          <w:rFonts w:eastAsiaTheme="minorEastAsia"/>
          <w:spacing w:val="2"/>
          <w:u w:val="single"/>
          <w:lang w:val="en-US"/>
        </w:rPr>
        <w:t>In Vivo</w:t>
      </w:r>
    </w:p>
    <w:p w14:paraId="3C832875" w14:textId="77777777" w:rsidR="00985CD2" w:rsidRDefault="00985CD2" w:rsidP="00443352">
      <w:pPr>
        <w:pStyle w:val="CLDNormal"/>
        <w:jc w:val="left"/>
        <w:rPr>
          <w:rFonts w:eastAsiaTheme="minorEastAsia"/>
          <w:spacing w:val="2"/>
          <w:lang w:val="en-US"/>
        </w:rPr>
      </w:pPr>
      <w:r w:rsidRPr="00985CD2">
        <w:rPr>
          <w:rFonts w:eastAsiaTheme="minorEastAsia"/>
          <w:spacing w:val="2"/>
          <w:lang w:val="en-US"/>
        </w:rPr>
        <w:t xml:space="preserve">In </w:t>
      </w:r>
      <w:proofErr w:type="spellStart"/>
      <w:r w:rsidRPr="00985CD2">
        <w:rPr>
          <w:rFonts w:eastAsiaTheme="minorEastAsia"/>
          <w:spacing w:val="2"/>
          <w:lang w:val="en-US"/>
        </w:rPr>
        <w:t>cynomolgus</w:t>
      </w:r>
      <w:proofErr w:type="spellEnd"/>
      <w:r w:rsidRPr="00985CD2">
        <w:rPr>
          <w:rFonts w:eastAsiaTheme="minorEastAsia"/>
          <w:spacing w:val="2"/>
          <w:lang w:val="en-US"/>
        </w:rPr>
        <w:t xml:space="preserve"> monkeys, four or eight weekly doses of 269 mg/m</w:t>
      </w:r>
      <w:r w:rsidRPr="00395031">
        <w:rPr>
          <w:rFonts w:eastAsiaTheme="minorEastAsia"/>
          <w:spacing w:val="2"/>
          <w:vertAlign w:val="superscript"/>
          <w:lang w:val="en-US"/>
        </w:rPr>
        <w:t xml:space="preserve">2 </w:t>
      </w:r>
      <w:r w:rsidRPr="00985CD2">
        <w:rPr>
          <w:rFonts w:eastAsiaTheme="minorEastAsia"/>
          <w:spacing w:val="2"/>
          <w:lang w:val="en-US"/>
        </w:rPr>
        <w:t xml:space="preserve">of rituximab resulted in plasma concentrations of 161 to 386 </w:t>
      </w:r>
      <w:r w:rsidR="00395031">
        <w:rPr>
          <w:rFonts w:eastAsiaTheme="minorEastAsia"/>
          <w:spacing w:val="2"/>
          <w:lang w:val="en-US"/>
        </w:rPr>
        <w:t>µ</w:t>
      </w:r>
      <w:r w:rsidRPr="00985CD2">
        <w:rPr>
          <w:rFonts w:eastAsiaTheme="minorEastAsia"/>
          <w:spacing w:val="2"/>
          <w:lang w:val="en-US"/>
        </w:rPr>
        <w:t>g/mL, approximately 24 hours after the first dose. Two weeks after the last dose, rituximab was still detected in the plasma of 3/6 monkeys treated for four weeks and in 4/6 monkeys treated for eight weeks.</w:t>
      </w:r>
    </w:p>
    <w:p w14:paraId="0EB3F403" w14:textId="77777777" w:rsidR="00985CD2" w:rsidRPr="00985CD2" w:rsidRDefault="00985CD2" w:rsidP="00443352">
      <w:pPr>
        <w:pStyle w:val="CLDNormal"/>
        <w:jc w:val="left"/>
        <w:rPr>
          <w:rFonts w:eastAsiaTheme="minorEastAsia"/>
          <w:spacing w:val="2"/>
          <w:lang w:val="en-US"/>
        </w:rPr>
      </w:pPr>
      <w:r w:rsidRPr="00985CD2">
        <w:rPr>
          <w:rFonts w:eastAsiaTheme="minorEastAsia"/>
          <w:spacing w:val="2"/>
          <w:lang w:val="en-US"/>
        </w:rPr>
        <w:t>B lymphocyte numbers were reduced by 99% or more in comparison with pre-test values in the peripheral blood of all monkeys, approximately 24 hours after the first dose. Two weeks after the last dose, B lymphocyte numbers were still reduced by more than 99% in 3/6 monkeys dosed for four weeks and in 4/6 monkeys dosed for eight weeks, and B lymphocyte</w:t>
      </w:r>
      <w:r>
        <w:rPr>
          <w:rFonts w:eastAsiaTheme="minorEastAsia"/>
          <w:spacing w:val="2"/>
          <w:lang w:val="en-US"/>
        </w:rPr>
        <w:t xml:space="preserve"> </w:t>
      </w:r>
      <w:r w:rsidRPr="00985CD2">
        <w:rPr>
          <w:rFonts w:eastAsiaTheme="minorEastAsia"/>
          <w:spacing w:val="2"/>
          <w:lang w:val="en-US"/>
        </w:rPr>
        <w:t>numbers were also depleted in the mandibular lymph nodes and femoral bone marrow. A partial recovery of B lymphocyte numbers in the peripheral blood of some monkeys in both dose groups was correlated with the development of antibodies against rituximab.</w:t>
      </w:r>
    </w:p>
    <w:p w14:paraId="28A4D2F6" w14:textId="77777777" w:rsidR="00985CD2" w:rsidRPr="00985CD2" w:rsidRDefault="00985CD2" w:rsidP="00443352">
      <w:pPr>
        <w:pStyle w:val="CLDNormal"/>
        <w:jc w:val="left"/>
        <w:rPr>
          <w:rFonts w:eastAsiaTheme="minorEastAsia"/>
          <w:spacing w:val="2"/>
          <w:u w:val="single"/>
          <w:lang w:val="en-US"/>
        </w:rPr>
      </w:pPr>
      <w:r w:rsidRPr="00985CD2">
        <w:rPr>
          <w:rFonts w:eastAsiaTheme="minorEastAsia"/>
          <w:spacing w:val="2"/>
          <w:u w:val="single"/>
          <w:lang w:val="en-US"/>
        </w:rPr>
        <w:t>Human Pharmacodynamics</w:t>
      </w:r>
    </w:p>
    <w:p w14:paraId="563DDFDD" w14:textId="501DA057" w:rsidR="00985CD2" w:rsidRPr="00985CD2" w:rsidRDefault="00985CD2" w:rsidP="00443352">
      <w:pPr>
        <w:pStyle w:val="CLDNormal"/>
        <w:jc w:val="left"/>
        <w:rPr>
          <w:rFonts w:eastAsiaTheme="minorEastAsia"/>
          <w:spacing w:val="2"/>
          <w:lang w:val="en-US"/>
        </w:rPr>
      </w:pPr>
      <w:r w:rsidRPr="00985CD2">
        <w:rPr>
          <w:rFonts w:eastAsiaTheme="minorEastAsia"/>
          <w:spacing w:val="2"/>
          <w:lang w:val="en-US"/>
        </w:rPr>
        <w:t xml:space="preserve">A marked decline in median peripheral blood B-cell counts was seen beginning after the first dose of </w:t>
      </w:r>
      <w:r w:rsidR="00395031" w:rsidRPr="00395031">
        <w:rPr>
          <w:rFonts w:eastAsiaTheme="minorEastAsia"/>
          <w:spacing w:val="2"/>
        </w:rPr>
        <w:t>rituximab</w:t>
      </w:r>
      <w:r w:rsidRPr="00985CD2">
        <w:rPr>
          <w:rFonts w:eastAsiaTheme="minorEastAsia"/>
          <w:spacing w:val="2"/>
          <w:lang w:val="en-US"/>
        </w:rPr>
        <w:t>.</w:t>
      </w:r>
    </w:p>
    <w:p w14:paraId="1EC1F97A" w14:textId="1B9D0672" w:rsidR="00985CD2" w:rsidRPr="00985CD2" w:rsidRDefault="00985CD2" w:rsidP="00443352">
      <w:pPr>
        <w:pStyle w:val="CLDNormal"/>
        <w:jc w:val="left"/>
        <w:rPr>
          <w:rFonts w:eastAsiaTheme="minorEastAsia"/>
          <w:spacing w:val="2"/>
          <w:lang w:val="en-US"/>
        </w:rPr>
      </w:pPr>
      <w:r w:rsidRPr="00985CD2">
        <w:rPr>
          <w:rFonts w:eastAsiaTheme="minorEastAsia"/>
          <w:spacing w:val="2"/>
          <w:lang w:val="en-US"/>
        </w:rPr>
        <w:t xml:space="preserve">In patients treated for </w:t>
      </w:r>
      <w:proofErr w:type="spellStart"/>
      <w:r w:rsidRPr="00985CD2">
        <w:rPr>
          <w:rFonts w:eastAsiaTheme="minorEastAsia"/>
          <w:spacing w:val="2"/>
          <w:lang w:val="en-US"/>
        </w:rPr>
        <w:t>haematological</w:t>
      </w:r>
      <w:proofErr w:type="spellEnd"/>
      <w:r w:rsidRPr="00985CD2">
        <w:rPr>
          <w:rFonts w:eastAsiaTheme="minorEastAsia"/>
          <w:spacing w:val="2"/>
          <w:lang w:val="en-US"/>
        </w:rPr>
        <w:t xml:space="preserve"> malignancies, B-cell recovery began at approximately six months following the completion of treatment. Generally, B-cell levels returned to normal within twelve months following completion of treatment, although in some patients this may take longer. In one clinical trial in approximately half of the patients with available data on B-cell recovery after end of </w:t>
      </w:r>
      <w:r w:rsidR="00395031" w:rsidRPr="00395031">
        <w:rPr>
          <w:rFonts w:eastAsiaTheme="minorEastAsia"/>
          <w:spacing w:val="2"/>
        </w:rPr>
        <w:t>rituximab</w:t>
      </w:r>
      <w:r w:rsidRPr="00985CD2">
        <w:rPr>
          <w:rFonts w:eastAsiaTheme="minorEastAsia"/>
          <w:spacing w:val="2"/>
          <w:lang w:val="en-US"/>
        </w:rPr>
        <w:t xml:space="preserve"> induction treatment, it took 12 months or more for their B-cell levels to return to normal values (see section 4.8 Adverse effects (Undesirable effects)).</w:t>
      </w:r>
    </w:p>
    <w:p w14:paraId="128C8F25" w14:textId="76B5F701" w:rsidR="00985CD2" w:rsidRPr="00985CD2" w:rsidRDefault="00985CD2" w:rsidP="00443352">
      <w:pPr>
        <w:pStyle w:val="CLDNormal"/>
        <w:jc w:val="left"/>
        <w:rPr>
          <w:rFonts w:eastAsiaTheme="minorEastAsia"/>
          <w:spacing w:val="2"/>
          <w:lang w:val="en-US"/>
        </w:rPr>
      </w:pPr>
      <w:r w:rsidRPr="00985CD2">
        <w:rPr>
          <w:rFonts w:eastAsiaTheme="minorEastAsia"/>
          <w:spacing w:val="2"/>
          <w:lang w:val="en-US"/>
        </w:rPr>
        <w:t>In patients with RA, the duration of peripheral B cell depletion was variable. The majority of patients who received further treatment did so prior to full B cell recovery. A small proportion of patients (approximately 8%) had prolonged peripheral B-cell depletion (&lt; 80 cells/</w:t>
      </w:r>
      <w:proofErr w:type="spellStart"/>
      <w:r w:rsidRPr="00985CD2">
        <w:rPr>
          <w:rFonts w:eastAsiaTheme="minorEastAsia"/>
          <w:spacing w:val="2"/>
          <w:lang w:val="en-US"/>
        </w:rPr>
        <w:t>μl</w:t>
      </w:r>
      <w:proofErr w:type="spellEnd"/>
      <w:r w:rsidRPr="00985CD2">
        <w:rPr>
          <w:rFonts w:eastAsiaTheme="minorEastAsia"/>
          <w:spacing w:val="2"/>
          <w:lang w:val="en-US"/>
        </w:rPr>
        <w:t xml:space="preserve">) lasting 2 years or more after their last dose of </w:t>
      </w:r>
      <w:r w:rsidR="00395031" w:rsidRPr="00395031">
        <w:rPr>
          <w:rFonts w:eastAsiaTheme="minorEastAsia"/>
          <w:spacing w:val="2"/>
        </w:rPr>
        <w:t>rituximab</w:t>
      </w:r>
      <w:r w:rsidRPr="00985CD2">
        <w:rPr>
          <w:rFonts w:eastAsiaTheme="minorEastAsia"/>
          <w:spacing w:val="2"/>
          <w:lang w:val="en-US"/>
        </w:rPr>
        <w:t>. Approximately a third of these patients had low B-cell counts (&lt;80 cells/</w:t>
      </w:r>
      <w:proofErr w:type="spellStart"/>
      <w:r w:rsidRPr="00985CD2">
        <w:rPr>
          <w:rFonts w:eastAsiaTheme="minorEastAsia"/>
          <w:spacing w:val="2"/>
          <w:lang w:val="en-US"/>
        </w:rPr>
        <w:t>μL</w:t>
      </w:r>
      <w:proofErr w:type="spellEnd"/>
      <w:r w:rsidRPr="00985CD2">
        <w:rPr>
          <w:rFonts w:eastAsiaTheme="minorEastAsia"/>
          <w:spacing w:val="2"/>
          <w:lang w:val="en-US"/>
        </w:rPr>
        <w:t xml:space="preserve">) prior to starting </w:t>
      </w:r>
      <w:r w:rsidR="001D5FD3">
        <w:rPr>
          <w:rFonts w:eastAsiaTheme="minorEastAsia"/>
          <w:spacing w:val="2"/>
          <w:lang w:val="en-US"/>
        </w:rPr>
        <w:t>RUXIENCE</w:t>
      </w:r>
      <w:r w:rsidRPr="00985CD2">
        <w:rPr>
          <w:rFonts w:eastAsiaTheme="minorEastAsia"/>
          <w:spacing w:val="2"/>
          <w:lang w:val="en-US"/>
        </w:rPr>
        <w:t xml:space="preserve"> treatment.</w:t>
      </w:r>
    </w:p>
    <w:p w14:paraId="355C3F68" w14:textId="3DD1E503" w:rsidR="00985CD2" w:rsidRDefault="00985CD2" w:rsidP="00443352">
      <w:pPr>
        <w:pStyle w:val="CLDNormal"/>
        <w:jc w:val="left"/>
        <w:rPr>
          <w:rFonts w:eastAsiaTheme="minorEastAsia"/>
          <w:spacing w:val="2"/>
          <w:lang w:val="en-US"/>
        </w:rPr>
      </w:pPr>
      <w:r w:rsidRPr="00985CD2">
        <w:rPr>
          <w:rFonts w:eastAsiaTheme="minorEastAsia"/>
          <w:spacing w:val="2"/>
          <w:lang w:val="en-US"/>
        </w:rPr>
        <w:t xml:space="preserve">In Granulomatosis with </w:t>
      </w:r>
      <w:proofErr w:type="spellStart"/>
      <w:r w:rsidRPr="00985CD2">
        <w:rPr>
          <w:rFonts w:eastAsiaTheme="minorEastAsia"/>
          <w:spacing w:val="2"/>
          <w:lang w:val="en-US"/>
        </w:rPr>
        <w:t>polyangiitis</w:t>
      </w:r>
      <w:proofErr w:type="spellEnd"/>
      <w:r w:rsidRPr="00985CD2">
        <w:rPr>
          <w:rFonts w:eastAsiaTheme="minorEastAsia"/>
          <w:spacing w:val="2"/>
          <w:lang w:val="en-US"/>
        </w:rPr>
        <w:t xml:space="preserve"> (Wegener’s) (GPA) and Microscopic </w:t>
      </w:r>
      <w:proofErr w:type="spellStart"/>
      <w:r w:rsidRPr="00985CD2">
        <w:rPr>
          <w:rFonts w:eastAsiaTheme="minorEastAsia"/>
          <w:spacing w:val="2"/>
          <w:lang w:val="en-US"/>
        </w:rPr>
        <w:t>polyangiitis</w:t>
      </w:r>
      <w:proofErr w:type="spellEnd"/>
      <w:r w:rsidRPr="00985CD2">
        <w:rPr>
          <w:rFonts w:eastAsiaTheme="minorEastAsia"/>
          <w:spacing w:val="2"/>
          <w:lang w:val="en-US"/>
        </w:rPr>
        <w:t xml:space="preserve"> (MPA) patients, peripheral blood CD19 B-cells depleted to less than 10 cells/</w:t>
      </w:r>
      <w:proofErr w:type="spellStart"/>
      <w:r w:rsidRPr="00985CD2">
        <w:rPr>
          <w:rFonts w:eastAsiaTheme="minorEastAsia"/>
          <w:spacing w:val="2"/>
          <w:lang w:val="en-US"/>
        </w:rPr>
        <w:t>μl</w:t>
      </w:r>
      <w:proofErr w:type="spellEnd"/>
      <w:r w:rsidRPr="00985CD2">
        <w:rPr>
          <w:rFonts w:eastAsiaTheme="minorEastAsia"/>
          <w:spacing w:val="2"/>
          <w:lang w:val="en-US"/>
        </w:rPr>
        <w:t xml:space="preserve"> following the first two infusions of </w:t>
      </w:r>
      <w:r w:rsidR="008448FA" w:rsidRPr="008448FA">
        <w:rPr>
          <w:rFonts w:eastAsiaTheme="minorEastAsia"/>
          <w:spacing w:val="2"/>
        </w:rPr>
        <w:t>rituximab</w:t>
      </w:r>
      <w:r w:rsidRPr="00985CD2">
        <w:rPr>
          <w:rFonts w:eastAsiaTheme="minorEastAsia"/>
          <w:spacing w:val="2"/>
          <w:lang w:val="en-US"/>
        </w:rPr>
        <w:t xml:space="preserve"> and remained at that level in most patients through month 6</w:t>
      </w:r>
      <w:r w:rsidR="00930670">
        <w:rPr>
          <w:rFonts w:eastAsiaTheme="minorEastAsia"/>
          <w:spacing w:val="2"/>
          <w:lang w:val="en-US"/>
        </w:rPr>
        <w:t>.</w:t>
      </w:r>
    </w:p>
    <w:p w14:paraId="78FFCAB8" w14:textId="77777777" w:rsidR="00985CD2" w:rsidRPr="00190E85" w:rsidRDefault="00985CD2" w:rsidP="00443352">
      <w:pPr>
        <w:pStyle w:val="CLDHeading3"/>
        <w:jc w:val="left"/>
        <w:rPr>
          <w:rFonts w:eastAsiaTheme="minorEastAsia"/>
          <w:lang w:val="en-US"/>
        </w:rPr>
      </w:pPr>
      <w:r w:rsidRPr="00190E85">
        <w:rPr>
          <w:rFonts w:eastAsiaTheme="minorEastAsia"/>
          <w:lang w:val="en-US"/>
        </w:rPr>
        <w:t>Clinical trials</w:t>
      </w:r>
      <w:r w:rsidR="008448FA" w:rsidRPr="00190E85">
        <w:rPr>
          <w:rFonts w:eastAsiaTheme="minorEastAsia"/>
          <w:lang w:val="en-US"/>
        </w:rPr>
        <w:t xml:space="preserve"> with MABTHERA®</w:t>
      </w:r>
    </w:p>
    <w:p w14:paraId="0810F400" w14:textId="77777777" w:rsidR="00985CD2" w:rsidRPr="00190E85" w:rsidRDefault="00985CD2" w:rsidP="00443352">
      <w:pPr>
        <w:pStyle w:val="CLDHeading4"/>
        <w:jc w:val="left"/>
        <w:rPr>
          <w:rFonts w:eastAsiaTheme="minorEastAsia"/>
          <w:lang w:val="en-US"/>
        </w:rPr>
      </w:pPr>
      <w:r w:rsidRPr="00190E85">
        <w:rPr>
          <w:rFonts w:eastAsiaTheme="minorEastAsia"/>
          <w:lang w:val="en-US"/>
        </w:rPr>
        <w:t>Non-Hodgkin’s Lymphoma</w:t>
      </w:r>
    </w:p>
    <w:p w14:paraId="0D6D60EC" w14:textId="77777777" w:rsidR="00985CD2" w:rsidRPr="00985CD2" w:rsidRDefault="00985CD2" w:rsidP="00443352">
      <w:pPr>
        <w:pStyle w:val="CLDNormal"/>
        <w:jc w:val="left"/>
        <w:rPr>
          <w:rFonts w:eastAsiaTheme="minorEastAsia"/>
          <w:i/>
          <w:spacing w:val="2"/>
          <w:lang w:val="en-US"/>
        </w:rPr>
      </w:pPr>
      <w:r w:rsidRPr="00985CD2">
        <w:rPr>
          <w:rFonts w:eastAsiaTheme="minorEastAsia"/>
          <w:i/>
          <w:spacing w:val="2"/>
          <w:lang w:val="en-US"/>
        </w:rPr>
        <w:t>Relapsed/Refractory Low Grade or Follicular non-Hodgkin's Lymphoma</w:t>
      </w:r>
    </w:p>
    <w:p w14:paraId="382BE4B3" w14:textId="77777777" w:rsidR="00985CD2" w:rsidRPr="00985CD2" w:rsidRDefault="00985CD2" w:rsidP="00443352">
      <w:pPr>
        <w:pStyle w:val="CLDNormal"/>
        <w:jc w:val="left"/>
        <w:rPr>
          <w:rFonts w:eastAsiaTheme="minorEastAsia"/>
          <w:i/>
          <w:spacing w:val="2"/>
          <w:lang w:val="en-US"/>
        </w:rPr>
      </w:pPr>
      <w:r w:rsidRPr="00985CD2">
        <w:rPr>
          <w:rFonts w:eastAsiaTheme="minorEastAsia"/>
          <w:i/>
          <w:spacing w:val="2"/>
          <w:lang w:val="en-US"/>
        </w:rPr>
        <w:t>Monotherapy</w:t>
      </w:r>
    </w:p>
    <w:p w14:paraId="06F16BE4" w14:textId="524DABAD" w:rsidR="00985CD2" w:rsidRPr="00985CD2" w:rsidRDefault="00985CD2" w:rsidP="00443352">
      <w:pPr>
        <w:pStyle w:val="CLDNormal"/>
        <w:jc w:val="left"/>
        <w:rPr>
          <w:rFonts w:eastAsiaTheme="minorEastAsia"/>
          <w:spacing w:val="2"/>
          <w:lang w:val="en-US"/>
        </w:rPr>
      </w:pPr>
      <w:r w:rsidRPr="00985CD2">
        <w:rPr>
          <w:rFonts w:eastAsiaTheme="minorEastAsia"/>
          <w:spacing w:val="2"/>
          <w:lang w:val="en-US"/>
        </w:rPr>
        <w:t>In the pivotal study, an open label, single arm trial of 166 patients with relapsed or refractory low-grade or follicular B-cell NHL, subjects received 375 mg/m</w:t>
      </w:r>
      <w:r w:rsidRPr="008448FA">
        <w:rPr>
          <w:rFonts w:eastAsiaTheme="minorEastAsia"/>
          <w:spacing w:val="2"/>
          <w:vertAlign w:val="superscript"/>
          <w:lang w:val="en-US"/>
        </w:rPr>
        <w:t>2</w:t>
      </w:r>
      <w:r w:rsidRPr="00985CD2">
        <w:rPr>
          <w:rFonts w:eastAsiaTheme="minorEastAsia"/>
          <w:spacing w:val="2"/>
          <w:lang w:val="en-US"/>
        </w:rPr>
        <w:t xml:space="preserve"> of </w:t>
      </w:r>
      <w:r w:rsidR="008448FA" w:rsidRPr="008448FA">
        <w:rPr>
          <w:rFonts w:eastAsiaTheme="minorEastAsia"/>
          <w:spacing w:val="2"/>
        </w:rPr>
        <w:t>rituximab</w:t>
      </w:r>
      <w:r w:rsidRPr="00985CD2">
        <w:rPr>
          <w:rFonts w:eastAsiaTheme="minorEastAsia"/>
          <w:spacing w:val="2"/>
          <w:lang w:val="en-US"/>
        </w:rPr>
        <w:t xml:space="preserve"> as an IV infusion once a week for four weeks (4 doses). The overall response rate (ORR) in the intent-to-treat (ITT) population was 48% (CI</w:t>
      </w:r>
      <w:r w:rsidRPr="008448FA">
        <w:rPr>
          <w:rFonts w:eastAsiaTheme="minorEastAsia"/>
          <w:spacing w:val="2"/>
          <w:vertAlign w:val="subscript"/>
          <w:lang w:val="en-US"/>
        </w:rPr>
        <w:t>95%</w:t>
      </w:r>
      <w:r w:rsidR="008448FA">
        <w:rPr>
          <w:rFonts w:eastAsiaTheme="minorEastAsia"/>
          <w:spacing w:val="2"/>
          <w:lang w:val="en-US"/>
        </w:rPr>
        <w:t>:</w:t>
      </w:r>
      <w:r w:rsidRPr="00985CD2">
        <w:rPr>
          <w:rFonts w:eastAsiaTheme="minorEastAsia"/>
          <w:spacing w:val="2"/>
          <w:lang w:val="en-US"/>
        </w:rPr>
        <w:t>41% – 56%), comprising a 6% complete response (CR) and 42% partial response (PR). The projected median time to progression (TTP) for responding patients was 13.0 months.</w:t>
      </w:r>
    </w:p>
    <w:p w14:paraId="76C4BA87" w14:textId="08BFDF79" w:rsidR="00985CD2" w:rsidRPr="00985CD2" w:rsidRDefault="00985CD2" w:rsidP="00443352">
      <w:pPr>
        <w:pStyle w:val="CLDNormal"/>
        <w:jc w:val="left"/>
        <w:rPr>
          <w:rFonts w:eastAsiaTheme="minorEastAsia"/>
          <w:spacing w:val="2"/>
          <w:lang w:val="en-US"/>
        </w:rPr>
      </w:pPr>
      <w:r w:rsidRPr="00985CD2">
        <w:rPr>
          <w:rFonts w:eastAsiaTheme="minorEastAsia"/>
          <w:spacing w:val="2"/>
          <w:lang w:val="en-US"/>
        </w:rPr>
        <w:t xml:space="preserve">In a subgroup analysis, the ORR was significantly higher in patients with IWF B, C, and D histological subtypes as compared to IWF A subtype (58% vs. 12%) and in patients with prior autologous bone marrow transplantation (ABMT) compared to those with no prior ABMT (78% vs. 43%). Age, sex, lymphoma grade, years since initial diagnosis, presence or absence of bulky disease, normal or high LDH, or presence of </w:t>
      </w:r>
      <w:proofErr w:type="spellStart"/>
      <w:r w:rsidRPr="00985CD2">
        <w:rPr>
          <w:rFonts w:eastAsiaTheme="minorEastAsia"/>
          <w:spacing w:val="2"/>
          <w:lang w:val="en-US"/>
        </w:rPr>
        <w:t>extranodal</w:t>
      </w:r>
      <w:proofErr w:type="spellEnd"/>
      <w:r w:rsidRPr="00985CD2">
        <w:rPr>
          <w:rFonts w:eastAsiaTheme="minorEastAsia"/>
          <w:spacing w:val="2"/>
          <w:lang w:val="en-US"/>
        </w:rPr>
        <w:t xml:space="preserve"> disease did not have a significant effect (Fisher’s exact test) on response to </w:t>
      </w:r>
      <w:r w:rsidR="008448FA">
        <w:rPr>
          <w:rFonts w:eastAsiaTheme="minorEastAsia"/>
          <w:spacing w:val="2"/>
          <w:lang w:val="en-US"/>
        </w:rPr>
        <w:t>rituximab</w:t>
      </w:r>
      <w:r w:rsidRPr="00985CD2">
        <w:rPr>
          <w:rFonts w:eastAsiaTheme="minorEastAsia"/>
          <w:spacing w:val="2"/>
          <w:lang w:val="en-US"/>
        </w:rPr>
        <w:t>.</w:t>
      </w:r>
    </w:p>
    <w:p w14:paraId="7434CFCA" w14:textId="77777777" w:rsidR="00985CD2" w:rsidRDefault="00985CD2" w:rsidP="00443352">
      <w:pPr>
        <w:pStyle w:val="CLDNormal"/>
        <w:jc w:val="left"/>
        <w:rPr>
          <w:rFonts w:eastAsiaTheme="minorEastAsia"/>
          <w:spacing w:val="2"/>
          <w:lang w:val="en-US"/>
        </w:rPr>
      </w:pPr>
      <w:r w:rsidRPr="00985CD2">
        <w:rPr>
          <w:rFonts w:eastAsiaTheme="minorEastAsia"/>
          <w:spacing w:val="2"/>
          <w:lang w:val="en-US"/>
        </w:rPr>
        <w:t>ORR was also significantly higher in patients with no bone marrow involvement compared to those with bone marrow involvement (59% vs. 40%). This finding was not supported by a stepwise logistic regression analysis in which the following factors were identified as prognostic factors: histologic type, bcl-2 positivity at baseline, resistance to last chemotherapy and bulky disease.</w:t>
      </w:r>
      <w:r w:rsidR="008448FA">
        <w:rPr>
          <w:rFonts w:eastAsiaTheme="minorEastAsia"/>
          <w:spacing w:val="2"/>
          <w:lang w:val="en-US"/>
        </w:rPr>
        <w:t xml:space="preserve"> </w:t>
      </w:r>
    </w:p>
    <w:p w14:paraId="2914773D" w14:textId="77777777" w:rsidR="00985CD2" w:rsidRPr="00985CD2" w:rsidRDefault="00985CD2" w:rsidP="00443352">
      <w:pPr>
        <w:pStyle w:val="CLDNormal"/>
        <w:jc w:val="left"/>
        <w:rPr>
          <w:rFonts w:eastAsiaTheme="minorEastAsia"/>
          <w:i/>
          <w:lang w:val="en-US"/>
        </w:rPr>
      </w:pPr>
      <w:r w:rsidRPr="00985CD2">
        <w:rPr>
          <w:rFonts w:eastAsiaTheme="minorEastAsia"/>
          <w:i/>
          <w:lang w:val="en-US"/>
        </w:rPr>
        <w:t>Re-treatment</w:t>
      </w:r>
    </w:p>
    <w:p w14:paraId="112F2692" w14:textId="6242CFD5" w:rsidR="00985CD2" w:rsidRPr="00985CD2" w:rsidRDefault="00985CD2" w:rsidP="00443352">
      <w:pPr>
        <w:pStyle w:val="CLDNormal"/>
        <w:jc w:val="left"/>
        <w:rPr>
          <w:rFonts w:eastAsiaTheme="minorEastAsia"/>
          <w:lang w:val="en-US"/>
        </w:rPr>
      </w:pPr>
      <w:r w:rsidRPr="00985CD2">
        <w:rPr>
          <w:rFonts w:eastAsiaTheme="minorEastAsia"/>
          <w:lang w:val="en-US"/>
        </w:rPr>
        <w:t xml:space="preserve">In a </w:t>
      </w:r>
      <w:proofErr w:type="spellStart"/>
      <w:r w:rsidRPr="00985CD2">
        <w:rPr>
          <w:rFonts w:eastAsiaTheme="minorEastAsia"/>
          <w:lang w:val="en-US"/>
        </w:rPr>
        <w:t>multicentre</w:t>
      </w:r>
      <w:proofErr w:type="spellEnd"/>
      <w:r w:rsidRPr="00985CD2">
        <w:rPr>
          <w:rFonts w:eastAsiaTheme="minorEastAsia"/>
          <w:lang w:val="en-US"/>
        </w:rPr>
        <w:t xml:space="preserve">, single-arm study, 58 patients with relapsed or refractory low grade or follicular B-cell NHL, who had achieved an objective clinical response to a prior course of </w:t>
      </w:r>
      <w:r w:rsidR="008448FA">
        <w:rPr>
          <w:rFonts w:eastAsiaTheme="minorEastAsia"/>
          <w:lang w:val="en-US"/>
        </w:rPr>
        <w:t>rituximab</w:t>
      </w:r>
      <w:r w:rsidRPr="00985CD2">
        <w:rPr>
          <w:rFonts w:eastAsiaTheme="minorEastAsia"/>
          <w:lang w:val="en-US"/>
        </w:rPr>
        <w:t>, were re-treated with 375 mg/m</w:t>
      </w:r>
      <w:r w:rsidRPr="00054DB0">
        <w:rPr>
          <w:rFonts w:eastAsiaTheme="minorEastAsia"/>
          <w:vertAlign w:val="superscript"/>
          <w:lang w:val="en-US"/>
        </w:rPr>
        <w:t>2</w:t>
      </w:r>
      <w:r w:rsidRPr="00985CD2">
        <w:rPr>
          <w:rFonts w:eastAsiaTheme="minorEastAsia"/>
          <w:lang w:val="en-US"/>
        </w:rPr>
        <w:t xml:space="preserve"> of </w:t>
      </w:r>
      <w:r w:rsidR="008448FA" w:rsidRPr="008448FA">
        <w:rPr>
          <w:rFonts w:eastAsiaTheme="minorEastAsia"/>
        </w:rPr>
        <w:t>rituximab</w:t>
      </w:r>
      <w:r w:rsidRPr="00985CD2">
        <w:rPr>
          <w:rFonts w:eastAsiaTheme="minorEastAsia"/>
          <w:lang w:val="en-US"/>
        </w:rPr>
        <w:t xml:space="preserve"> as IV infusion weekly for four doses. Three of the patients had received two courses of </w:t>
      </w:r>
      <w:r w:rsidR="008448FA" w:rsidRPr="008448FA">
        <w:rPr>
          <w:rFonts w:eastAsiaTheme="minorEastAsia"/>
        </w:rPr>
        <w:t>rituximab</w:t>
      </w:r>
      <w:r w:rsidRPr="00985CD2">
        <w:rPr>
          <w:rFonts w:eastAsiaTheme="minorEastAsia"/>
          <w:lang w:val="en-US"/>
        </w:rPr>
        <w:t xml:space="preserve"> before enrolment and thus were given a third course in the study. Two patients were re-treated twice in the study. For the 60 re-treatments on study, the ORR was 38% (CR 10% and PR 28%) with a projected median TTP for responding patients of 17.8 months (range 5.4 – 26.6). This compares </w:t>
      </w:r>
      <w:proofErr w:type="spellStart"/>
      <w:r w:rsidRPr="00985CD2">
        <w:rPr>
          <w:rFonts w:eastAsiaTheme="minorEastAsia"/>
          <w:lang w:val="en-US"/>
        </w:rPr>
        <w:t>favourably</w:t>
      </w:r>
      <w:proofErr w:type="spellEnd"/>
      <w:r w:rsidRPr="00985CD2">
        <w:rPr>
          <w:rFonts w:eastAsiaTheme="minorEastAsia"/>
          <w:lang w:val="en-US"/>
        </w:rPr>
        <w:t xml:space="preserve"> with the TTP achieved after the prior course of </w:t>
      </w:r>
      <w:r w:rsidR="008448FA" w:rsidRPr="008448FA">
        <w:rPr>
          <w:rFonts w:eastAsiaTheme="minorEastAsia"/>
        </w:rPr>
        <w:t>rituximab</w:t>
      </w:r>
      <w:r w:rsidRPr="00985CD2">
        <w:rPr>
          <w:rFonts w:eastAsiaTheme="minorEastAsia"/>
          <w:lang w:val="en-US"/>
        </w:rPr>
        <w:t xml:space="preserve"> 12.4 months.</w:t>
      </w:r>
    </w:p>
    <w:p w14:paraId="58E7667C" w14:textId="77777777" w:rsidR="00985CD2" w:rsidRPr="00985CD2" w:rsidRDefault="00985CD2" w:rsidP="00443352">
      <w:pPr>
        <w:pStyle w:val="CLDNormal"/>
        <w:jc w:val="left"/>
        <w:rPr>
          <w:rFonts w:eastAsiaTheme="minorEastAsia"/>
          <w:i/>
          <w:lang w:val="en-US"/>
        </w:rPr>
      </w:pPr>
      <w:r w:rsidRPr="00985CD2">
        <w:rPr>
          <w:rFonts w:eastAsiaTheme="minorEastAsia"/>
          <w:i/>
          <w:lang w:val="en-US"/>
        </w:rPr>
        <w:t>Bulky Disease</w:t>
      </w:r>
    </w:p>
    <w:p w14:paraId="40538CC5" w14:textId="382C07A7" w:rsidR="00985CD2" w:rsidRPr="00985CD2" w:rsidRDefault="00985CD2" w:rsidP="00443352">
      <w:pPr>
        <w:pStyle w:val="CLDNormal"/>
        <w:jc w:val="left"/>
        <w:rPr>
          <w:rFonts w:eastAsiaTheme="minorEastAsia"/>
          <w:lang w:val="en-US"/>
        </w:rPr>
      </w:pPr>
      <w:r w:rsidRPr="00985CD2">
        <w:rPr>
          <w:rFonts w:eastAsiaTheme="minorEastAsia"/>
          <w:lang w:val="en-US"/>
        </w:rPr>
        <w:t>In pooled data from three studies, 39 patients with relapsed or refractory, bulky disease (single lesion ≥ 10cm in diameter), low-grade or follicular B-cell NHL received 375 mg/m</w:t>
      </w:r>
      <w:r w:rsidRPr="008448FA">
        <w:rPr>
          <w:rFonts w:eastAsiaTheme="minorEastAsia"/>
          <w:vertAlign w:val="superscript"/>
          <w:lang w:val="en-US"/>
        </w:rPr>
        <w:t>2</w:t>
      </w:r>
      <w:r w:rsidRPr="00985CD2">
        <w:rPr>
          <w:rFonts w:eastAsiaTheme="minorEastAsia"/>
          <w:lang w:val="en-US"/>
        </w:rPr>
        <w:t xml:space="preserve"> of </w:t>
      </w:r>
      <w:r w:rsidR="008448FA" w:rsidRPr="008448FA">
        <w:rPr>
          <w:rFonts w:eastAsiaTheme="minorEastAsia"/>
        </w:rPr>
        <w:t>rituximab</w:t>
      </w:r>
      <w:r w:rsidRPr="00985CD2">
        <w:rPr>
          <w:rFonts w:eastAsiaTheme="minorEastAsia"/>
          <w:lang w:val="en-US"/>
        </w:rPr>
        <w:t xml:space="preserve"> given as an IV infusion once weekly for four doses). The overall response rate (ORR) was 36% (CR 3%, PR 33%) with a median TTP for responding patients of 9.6 months (range 4.5 to 26.8 months).</w:t>
      </w:r>
    </w:p>
    <w:p w14:paraId="604C46B8" w14:textId="77777777" w:rsidR="00985CD2" w:rsidRPr="00985CD2" w:rsidRDefault="00985CD2" w:rsidP="00443352">
      <w:pPr>
        <w:pStyle w:val="CLDNormal"/>
        <w:jc w:val="left"/>
        <w:rPr>
          <w:rFonts w:eastAsiaTheme="minorEastAsia"/>
          <w:i/>
          <w:lang w:val="en-US"/>
        </w:rPr>
      </w:pPr>
      <w:r w:rsidRPr="00985CD2">
        <w:rPr>
          <w:rFonts w:eastAsiaTheme="minorEastAsia"/>
          <w:i/>
          <w:lang w:val="en-US"/>
        </w:rPr>
        <w:t>Clinical Laboratory Findings</w:t>
      </w:r>
    </w:p>
    <w:p w14:paraId="6941E2EC" w14:textId="77777777" w:rsidR="00985CD2" w:rsidRPr="00985CD2" w:rsidRDefault="00985CD2" w:rsidP="00443352">
      <w:pPr>
        <w:pStyle w:val="CLDNormal"/>
        <w:jc w:val="left"/>
        <w:rPr>
          <w:rFonts w:eastAsiaTheme="minorEastAsia"/>
          <w:lang w:val="en-US"/>
        </w:rPr>
      </w:pPr>
      <w:r w:rsidRPr="00985CD2">
        <w:rPr>
          <w:rFonts w:eastAsiaTheme="minorEastAsia"/>
          <w:lang w:val="en-US"/>
        </w:rPr>
        <w:t>Molecular Genetic Markers: Results from the exploratory analysis of the bcl-2 gene rearrangement showed that samples of peripheral blood obtained at baseline were positive for the bcl-2 rearrangement (bcl-2 positive) by nested Polymerase Chain Reaction (PCR) in 70 (42%) of the 166 enrolled patients. Of these 70 patients, 55 patients had a follow-up blood sample at 3 months and more than 60% showed a conversion to negative bcl-2 gene rearrangement.</w:t>
      </w:r>
    </w:p>
    <w:p w14:paraId="1FAB6F06" w14:textId="77777777" w:rsidR="00985CD2" w:rsidRPr="00985CD2" w:rsidRDefault="00985CD2" w:rsidP="00443352">
      <w:pPr>
        <w:pStyle w:val="CLDNormal"/>
        <w:jc w:val="left"/>
        <w:rPr>
          <w:rFonts w:eastAsiaTheme="minorEastAsia"/>
          <w:lang w:val="en-US"/>
        </w:rPr>
      </w:pPr>
      <w:r w:rsidRPr="00985CD2">
        <w:rPr>
          <w:rFonts w:eastAsiaTheme="minorEastAsia"/>
          <w:lang w:val="en-US"/>
        </w:rPr>
        <w:t>With regard to bone marrow assessment, of 71 (45%) of the 166 enrolled patients who were bcl-2 positive in marrow at baseline, 22 were assessed for bcl-2 rearrangement at 3 months. Of these, 12 (55%) were bcl-2 negative at three months.</w:t>
      </w:r>
    </w:p>
    <w:p w14:paraId="0ECEF341" w14:textId="77777777" w:rsidR="00985CD2" w:rsidRDefault="00985CD2" w:rsidP="00443352">
      <w:pPr>
        <w:pStyle w:val="CLDNormal"/>
        <w:jc w:val="left"/>
        <w:rPr>
          <w:rFonts w:eastAsiaTheme="minorEastAsia"/>
          <w:lang w:val="en-US"/>
        </w:rPr>
      </w:pPr>
      <w:r w:rsidRPr="00985CD2">
        <w:rPr>
          <w:rFonts w:eastAsiaTheme="minorEastAsia"/>
          <w:lang w:val="en-US"/>
        </w:rPr>
        <w:t>Of 67 patients evaluated for human anti-mouse antibody (HAMA), none were positive. Of 356 patients evaluated for HACA, 1.1% (4 patients) were positive.</w:t>
      </w:r>
    </w:p>
    <w:p w14:paraId="3456AF53" w14:textId="77777777" w:rsidR="00985CD2" w:rsidRPr="00CB27F2" w:rsidRDefault="00985CD2" w:rsidP="00443352">
      <w:pPr>
        <w:pStyle w:val="CLDHeading4"/>
        <w:jc w:val="left"/>
        <w:rPr>
          <w:rFonts w:eastAsiaTheme="minorEastAsia"/>
          <w:lang w:val="en-US"/>
        </w:rPr>
      </w:pPr>
      <w:r w:rsidRPr="00CB27F2">
        <w:rPr>
          <w:rFonts w:eastAsiaTheme="minorEastAsia"/>
          <w:lang w:val="en-US"/>
        </w:rPr>
        <w:t>Previously Untreated Follicular non-Hodgkin's Lymphoma</w:t>
      </w:r>
    </w:p>
    <w:p w14:paraId="7C90CB28" w14:textId="77777777" w:rsidR="00985CD2" w:rsidRPr="00985CD2" w:rsidRDefault="00985CD2" w:rsidP="00443352">
      <w:pPr>
        <w:pStyle w:val="CLDNormal"/>
        <w:jc w:val="left"/>
        <w:rPr>
          <w:rFonts w:eastAsiaTheme="minorEastAsia"/>
          <w:i/>
          <w:lang w:val="en-US"/>
        </w:rPr>
      </w:pPr>
      <w:r w:rsidRPr="00985CD2">
        <w:rPr>
          <w:rFonts w:eastAsiaTheme="minorEastAsia"/>
          <w:i/>
          <w:lang w:val="en-US"/>
        </w:rPr>
        <w:t>Combination with chemotherapy</w:t>
      </w:r>
    </w:p>
    <w:p w14:paraId="59CEACB9" w14:textId="6D0CFE51" w:rsidR="00985CD2" w:rsidRPr="00985CD2" w:rsidRDefault="00985CD2" w:rsidP="00443352">
      <w:pPr>
        <w:pStyle w:val="CLDNormal"/>
        <w:jc w:val="left"/>
        <w:rPr>
          <w:rFonts w:eastAsiaTheme="minorEastAsia"/>
          <w:lang w:val="en-US"/>
        </w:rPr>
      </w:pPr>
      <w:r w:rsidRPr="00985CD2">
        <w:rPr>
          <w:rFonts w:eastAsiaTheme="minorEastAsia"/>
          <w:lang w:val="en-US"/>
        </w:rPr>
        <w:t xml:space="preserve">In an open-label </w:t>
      </w:r>
      <w:proofErr w:type="spellStart"/>
      <w:r w:rsidRPr="00985CD2">
        <w:rPr>
          <w:rFonts w:eastAsiaTheme="minorEastAsia"/>
          <w:lang w:val="en-US"/>
        </w:rPr>
        <w:t>randomised</w:t>
      </w:r>
      <w:proofErr w:type="spellEnd"/>
      <w:r w:rsidRPr="00985CD2">
        <w:rPr>
          <w:rFonts w:eastAsiaTheme="minorEastAsia"/>
          <w:lang w:val="en-US"/>
        </w:rPr>
        <w:t xml:space="preserve"> study (M39021), a total of 322 previously untreated Stage III or IV follicular B cell NHL patients were </w:t>
      </w:r>
      <w:proofErr w:type="spellStart"/>
      <w:r w:rsidRPr="00985CD2">
        <w:rPr>
          <w:rFonts w:eastAsiaTheme="minorEastAsia"/>
          <w:lang w:val="en-US"/>
        </w:rPr>
        <w:t>randomised</w:t>
      </w:r>
      <w:proofErr w:type="spellEnd"/>
      <w:r w:rsidRPr="00985CD2">
        <w:rPr>
          <w:rFonts w:eastAsiaTheme="minorEastAsia"/>
          <w:lang w:val="en-US"/>
        </w:rPr>
        <w:t xml:space="preserve"> to receive either CVP chemotherapy (cyclophosphamide 750 mg/m</w:t>
      </w:r>
      <w:r w:rsidRPr="008448FA">
        <w:rPr>
          <w:rFonts w:eastAsiaTheme="minorEastAsia"/>
          <w:vertAlign w:val="superscript"/>
          <w:lang w:val="en-US"/>
        </w:rPr>
        <w:t>2</w:t>
      </w:r>
      <w:r w:rsidRPr="00985CD2">
        <w:rPr>
          <w:rFonts w:eastAsiaTheme="minorEastAsia"/>
          <w:lang w:val="en-US"/>
        </w:rPr>
        <w:t>, vincristine 1.4 mg/m</w:t>
      </w:r>
      <w:r w:rsidRPr="008448FA">
        <w:rPr>
          <w:rFonts w:eastAsiaTheme="minorEastAsia"/>
          <w:vertAlign w:val="superscript"/>
          <w:lang w:val="en-US"/>
        </w:rPr>
        <w:t>2</w:t>
      </w:r>
      <w:r w:rsidRPr="00985CD2">
        <w:rPr>
          <w:rFonts w:eastAsiaTheme="minorEastAsia"/>
          <w:lang w:val="en-US"/>
        </w:rPr>
        <w:t xml:space="preserve"> up to a maximum of 2 mg on day 1, and prednisolone 40 mg/m</w:t>
      </w:r>
      <w:r w:rsidRPr="008448FA">
        <w:rPr>
          <w:rFonts w:eastAsiaTheme="minorEastAsia"/>
          <w:vertAlign w:val="superscript"/>
          <w:lang w:val="en-US"/>
        </w:rPr>
        <w:t>2</w:t>
      </w:r>
      <w:r w:rsidRPr="00985CD2">
        <w:rPr>
          <w:rFonts w:eastAsiaTheme="minorEastAsia"/>
          <w:lang w:val="en-US"/>
        </w:rPr>
        <w:t xml:space="preserve">/day on days 1 –5) every 3 weeks for 8 cycles or </w:t>
      </w:r>
      <w:r w:rsidR="008448FA" w:rsidRPr="008448FA">
        <w:rPr>
          <w:rFonts w:eastAsiaTheme="minorEastAsia"/>
        </w:rPr>
        <w:t>rituximab</w:t>
      </w:r>
      <w:r w:rsidRPr="00985CD2">
        <w:rPr>
          <w:rFonts w:eastAsiaTheme="minorEastAsia"/>
          <w:lang w:val="en-US"/>
        </w:rPr>
        <w:t xml:space="preserve"> 375 mg/m</w:t>
      </w:r>
      <w:r w:rsidRPr="008448FA">
        <w:rPr>
          <w:rFonts w:eastAsiaTheme="minorEastAsia"/>
          <w:vertAlign w:val="superscript"/>
          <w:lang w:val="en-US"/>
        </w:rPr>
        <w:t xml:space="preserve">2 </w:t>
      </w:r>
      <w:r w:rsidRPr="00985CD2">
        <w:rPr>
          <w:rFonts w:eastAsiaTheme="minorEastAsia"/>
          <w:lang w:val="en-US"/>
        </w:rPr>
        <w:t xml:space="preserve">in combination with CVP (R-CVP). </w:t>
      </w:r>
      <w:r w:rsidR="008448FA">
        <w:rPr>
          <w:rFonts w:eastAsiaTheme="minorEastAsia"/>
          <w:lang w:val="en-US"/>
        </w:rPr>
        <w:t>R</w:t>
      </w:r>
      <w:proofErr w:type="spellStart"/>
      <w:r w:rsidR="008448FA" w:rsidRPr="008448FA">
        <w:rPr>
          <w:rFonts w:eastAsiaTheme="minorEastAsia"/>
        </w:rPr>
        <w:t>ituximab</w:t>
      </w:r>
      <w:proofErr w:type="spellEnd"/>
      <w:r w:rsidRPr="00985CD2">
        <w:rPr>
          <w:rFonts w:eastAsiaTheme="minorEastAsia"/>
          <w:lang w:val="en-US"/>
        </w:rPr>
        <w:t xml:space="preserve"> was administered on the first day of each treatment cycle. A total of 321 patients (162 R-CVP, 159 CVP) received therapy and were </w:t>
      </w:r>
      <w:proofErr w:type="spellStart"/>
      <w:r w:rsidRPr="00985CD2">
        <w:rPr>
          <w:rFonts w:eastAsiaTheme="minorEastAsia"/>
          <w:lang w:val="en-US"/>
        </w:rPr>
        <w:t>analysed</w:t>
      </w:r>
      <w:proofErr w:type="spellEnd"/>
      <w:r w:rsidRPr="00985CD2">
        <w:rPr>
          <w:rFonts w:eastAsiaTheme="minorEastAsia"/>
          <w:lang w:val="en-US"/>
        </w:rPr>
        <w:t xml:space="preserve"> for efficacy.</w:t>
      </w:r>
    </w:p>
    <w:p w14:paraId="68C52453" w14:textId="26855E77" w:rsidR="00985CD2" w:rsidRDefault="00985CD2" w:rsidP="00443352">
      <w:pPr>
        <w:pStyle w:val="CLDNormal"/>
        <w:jc w:val="left"/>
        <w:rPr>
          <w:rFonts w:eastAsiaTheme="minorEastAsia"/>
          <w:lang w:val="en-US"/>
        </w:rPr>
      </w:pPr>
      <w:r w:rsidRPr="00985CD2">
        <w:rPr>
          <w:rFonts w:eastAsiaTheme="minorEastAsia"/>
          <w:lang w:val="en-US"/>
        </w:rPr>
        <w:t xml:space="preserve">The median follow-up of patients was 53 months. Addition of </w:t>
      </w:r>
      <w:r w:rsidR="00275DBF" w:rsidRPr="00275DBF">
        <w:rPr>
          <w:rFonts w:eastAsiaTheme="minorEastAsia"/>
        </w:rPr>
        <w:t>rituximab</w:t>
      </w:r>
      <w:r w:rsidRPr="00985CD2">
        <w:rPr>
          <w:rFonts w:eastAsiaTheme="minorEastAsia"/>
          <w:lang w:val="en-US"/>
        </w:rPr>
        <w:t xml:space="preserve"> to CVP significantly increased time to treatment failure (the primary endpoint), </w:t>
      </w:r>
      <w:proofErr w:type="spellStart"/>
      <w:r w:rsidRPr="00985CD2">
        <w:rPr>
          <w:rFonts w:eastAsiaTheme="minorEastAsia"/>
          <w:lang w:val="en-US"/>
        </w:rPr>
        <w:t>tumour</w:t>
      </w:r>
      <w:proofErr w:type="spellEnd"/>
      <w:r w:rsidRPr="00985CD2">
        <w:rPr>
          <w:rFonts w:eastAsiaTheme="minorEastAsia"/>
          <w:lang w:val="en-US"/>
        </w:rPr>
        <w:t xml:space="preserve"> response, progression-free survival (PFS) and overall survival (OS) (Table 5).</w:t>
      </w:r>
    </w:p>
    <w:p w14:paraId="6E0F6C4D" w14:textId="77777777" w:rsidR="00985CD2" w:rsidRPr="00275DBF" w:rsidRDefault="00985CD2" w:rsidP="00443352">
      <w:pPr>
        <w:pStyle w:val="CLDNormal"/>
        <w:jc w:val="left"/>
        <w:rPr>
          <w:rFonts w:eastAsiaTheme="minorEastAsia"/>
          <w:b/>
          <w:sz w:val="22"/>
          <w:szCs w:val="22"/>
          <w:lang w:val="en-AU"/>
        </w:rPr>
      </w:pPr>
      <w:r w:rsidRPr="00275DBF">
        <w:rPr>
          <w:rFonts w:eastAsiaTheme="minorEastAsia"/>
          <w:b/>
          <w:sz w:val="22"/>
          <w:szCs w:val="22"/>
          <w:lang w:val="en-US"/>
        </w:rPr>
        <w:t>Table 5: Summary of key results from study M39021</w:t>
      </w:r>
      <w:bookmarkStart w:id="2" w:name="Relapsed/Refractory_follicular_NHL"/>
      <w:bookmarkStart w:id="3" w:name="Maintenance_Therapy"/>
      <w:bookmarkEnd w:id="2"/>
      <w:bookmarkEnd w:id="3"/>
    </w:p>
    <w:tbl>
      <w:tblPr>
        <w:tblW w:w="9019" w:type="dxa"/>
        <w:tblInd w:w="94" w:type="dxa"/>
        <w:tblLayout w:type="fixed"/>
        <w:tblCellMar>
          <w:left w:w="0" w:type="dxa"/>
          <w:right w:w="0" w:type="dxa"/>
        </w:tblCellMar>
        <w:tblLook w:val="0000" w:firstRow="0" w:lastRow="0" w:firstColumn="0" w:lastColumn="0" w:noHBand="0" w:noVBand="0"/>
      </w:tblPr>
      <w:tblGrid>
        <w:gridCol w:w="3162"/>
        <w:gridCol w:w="1701"/>
        <w:gridCol w:w="1701"/>
        <w:gridCol w:w="2455"/>
      </w:tblGrid>
      <w:tr w:rsidR="00985CD2" w:rsidRPr="00985CD2" w14:paraId="1C2E8F31" w14:textId="77777777" w:rsidTr="00985CD2">
        <w:trPr>
          <w:trHeight w:hRule="exact" w:val="967"/>
        </w:trPr>
        <w:tc>
          <w:tcPr>
            <w:tcW w:w="3162" w:type="dxa"/>
            <w:tcBorders>
              <w:top w:val="single" w:sz="4" w:space="0" w:color="000000"/>
              <w:left w:val="single" w:sz="4" w:space="0" w:color="000000"/>
              <w:bottom w:val="single" w:sz="4" w:space="0" w:color="000000"/>
              <w:right w:val="single" w:sz="4" w:space="0" w:color="000000"/>
            </w:tcBorders>
          </w:tcPr>
          <w:p w14:paraId="60BAB23E" w14:textId="77777777" w:rsidR="00985CD2" w:rsidRPr="00985CD2" w:rsidRDefault="00985CD2" w:rsidP="00443352">
            <w:pPr>
              <w:pStyle w:val="CLDNormal"/>
              <w:spacing w:after="0"/>
              <w:jc w:val="left"/>
              <w:rPr>
                <w:rFonts w:eastAsiaTheme="minorEastAsia"/>
                <w:b/>
                <w:sz w:val="20"/>
                <w:lang w:val="en-AU"/>
              </w:rPr>
            </w:pPr>
          </w:p>
        </w:tc>
        <w:tc>
          <w:tcPr>
            <w:tcW w:w="1701" w:type="dxa"/>
            <w:tcBorders>
              <w:top w:val="single" w:sz="4" w:space="0" w:color="000000"/>
              <w:left w:val="single" w:sz="4" w:space="0" w:color="000000"/>
              <w:bottom w:val="single" w:sz="4" w:space="0" w:color="000000"/>
              <w:right w:val="single" w:sz="4" w:space="0" w:color="000000"/>
            </w:tcBorders>
          </w:tcPr>
          <w:p w14:paraId="7554E07E" w14:textId="77777777" w:rsidR="00985CD2" w:rsidRDefault="00985CD2" w:rsidP="00443352">
            <w:pPr>
              <w:pStyle w:val="CLDNormal"/>
              <w:spacing w:after="0"/>
              <w:jc w:val="left"/>
              <w:rPr>
                <w:rFonts w:eastAsiaTheme="minorEastAsia"/>
                <w:b/>
                <w:bCs/>
                <w:sz w:val="20"/>
                <w:lang w:val="en-AU"/>
              </w:rPr>
            </w:pPr>
            <w:r w:rsidRPr="00985CD2">
              <w:rPr>
                <w:rFonts w:eastAsiaTheme="minorEastAsia"/>
                <w:b/>
                <w:bCs/>
                <w:sz w:val="20"/>
                <w:lang w:val="en-AU"/>
              </w:rPr>
              <w:t>CVP</w:t>
            </w:r>
          </w:p>
          <w:p w14:paraId="54353829" w14:textId="77777777" w:rsidR="00985CD2" w:rsidRPr="00985CD2" w:rsidRDefault="00985CD2" w:rsidP="00443352">
            <w:pPr>
              <w:pStyle w:val="CLDNormal"/>
              <w:spacing w:after="0"/>
              <w:jc w:val="left"/>
              <w:rPr>
                <w:rFonts w:eastAsiaTheme="minorEastAsia"/>
                <w:b/>
                <w:sz w:val="20"/>
                <w:lang w:val="en-AU"/>
              </w:rPr>
            </w:pPr>
            <w:r w:rsidRPr="00985CD2">
              <w:rPr>
                <w:rFonts w:eastAsiaTheme="minorEastAsia"/>
                <w:b/>
                <w:bCs/>
                <w:sz w:val="20"/>
                <w:lang w:val="en-AU"/>
              </w:rPr>
              <w:t>(N=159)</w:t>
            </w:r>
          </w:p>
        </w:tc>
        <w:tc>
          <w:tcPr>
            <w:tcW w:w="1701" w:type="dxa"/>
            <w:tcBorders>
              <w:top w:val="single" w:sz="4" w:space="0" w:color="000000"/>
              <w:left w:val="single" w:sz="4" w:space="0" w:color="000000"/>
              <w:bottom w:val="single" w:sz="4" w:space="0" w:color="000000"/>
              <w:right w:val="single" w:sz="4" w:space="0" w:color="000000"/>
            </w:tcBorders>
          </w:tcPr>
          <w:p w14:paraId="18B85670" w14:textId="77777777" w:rsidR="00985CD2" w:rsidRDefault="00985CD2" w:rsidP="00443352">
            <w:pPr>
              <w:pStyle w:val="CLDNormal"/>
              <w:spacing w:after="0"/>
              <w:jc w:val="left"/>
              <w:rPr>
                <w:rFonts w:eastAsiaTheme="minorEastAsia"/>
                <w:b/>
                <w:bCs/>
                <w:sz w:val="20"/>
                <w:lang w:val="en-AU"/>
              </w:rPr>
            </w:pPr>
            <w:r w:rsidRPr="00985CD2">
              <w:rPr>
                <w:rFonts w:eastAsiaTheme="minorEastAsia"/>
                <w:b/>
                <w:bCs/>
                <w:sz w:val="20"/>
                <w:lang w:val="en-AU"/>
              </w:rPr>
              <w:t>R-CVP</w:t>
            </w:r>
          </w:p>
          <w:p w14:paraId="72D8BC7C" w14:textId="77777777" w:rsidR="00985CD2" w:rsidRPr="00985CD2" w:rsidRDefault="00985CD2" w:rsidP="00443352">
            <w:pPr>
              <w:pStyle w:val="CLDNormal"/>
              <w:spacing w:after="0"/>
              <w:jc w:val="left"/>
              <w:rPr>
                <w:rFonts w:eastAsiaTheme="minorEastAsia"/>
                <w:b/>
                <w:sz w:val="20"/>
                <w:lang w:val="en-AU"/>
              </w:rPr>
            </w:pPr>
            <w:r w:rsidRPr="00985CD2">
              <w:rPr>
                <w:rFonts w:eastAsiaTheme="minorEastAsia"/>
                <w:b/>
                <w:bCs/>
                <w:sz w:val="20"/>
                <w:lang w:val="en-AU"/>
              </w:rPr>
              <w:t>(N=162)</w:t>
            </w:r>
          </w:p>
        </w:tc>
        <w:tc>
          <w:tcPr>
            <w:tcW w:w="2455" w:type="dxa"/>
            <w:tcBorders>
              <w:top w:val="single" w:sz="4" w:space="0" w:color="000000"/>
              <w:left w:val="single" w:sz="4" w:space="0" w:color="000000"/>
              <w:bottom w:val="single" w:sz="4" w:space="0" w:color="000000"/>
              <w:right w:val="single" w:sz="4" w:space="0" w:color="000000"/>
            </w:tcBorders>
          </w:tcPr>
          <w:p w14:paraId="7FC3CAEB" w14:textId="77777777" w:rsidR="00985CD2" w:rsidRDefault="00985CD2" w:rsidP="00443352">
            <w:pPr>
              <w:pStyle w:val="CLDNormal"/>
              <w:spacing w:after="0"/>
              <w:jc w:val="left"/>
              <w:rPr>
                <w:rFonts w:eastAsiaTheme="minorEastAsia"/>
                <w:b/>
                <w:bCs/>
                <w:sz w:val="20"/>
                <w:lang w:val="en-AU"/>
              </w:rPr>
            </w:pPr>
            <w:r w:rsidRPr="00985CD2">
              <w:rPr>
                <w:rFonts w:eastAsiaTheme="minorEastAsia"/>
                <w:b/>
                <w:bCs/>
                <w:sz w:val="20"/>
                <w:lang w:val="en-AU"/>
              </w:rPr>
              <w:t>Hazard Ratio</w:t>
            </w:r>
          </w:p>
          <w:p w14:paraId="154C8C8A" w14:textId="77777777" w:rsidR="00985CD2" w:rsidRPr="00985CD2" w:rsidRDefault="00985CD2" w:rsidP="00443352">
            <w:pPr>
              <w:pStyle w:val="CLDNormal"/>
              <w:spacing w:after="0"/>
              <w:jc w:val="left"/>
              <w:rPr>
                <w:rFonts w:eastAsiaTheme="minorEastAsia"/>
                <w:b/>
                <w:sz w:val="20"/>
                <w:lang w:val="en-AU"/>
              </w:rPr>
            </w:pPr>
            <w:r w:rsidRPr="00985CD2">
              <w:rPr>
                <w:rFonts w:eastAsiaTheme="minorEastAsia"/>
                <w:b/>
                <w:bCs/>
                <w:sz w:val="20"/>
                <w:lang w:val="en-AU"/>
              </w:rPr>
              <w:t>[95% CI]</w:t>
            </w:r>
          </w:p>
          <w:p w14:paraId="34B844A7" w14:textId="77777777" w:rsidR="00985CD2" w:rsidRPr="00985CD2" w:rsidRDefault="00985CD2" w:rsidP="00443352">
            <w:pPr>
              <w:pStyle w:val="CLDNormal"/>
              <w:spacing w:after="0"/>
              <w:jc w:val="left"/>
              <w:rPr>
                <w:rFonts w:eastAsiaTheme="minorEastAsia"/>
                <w:b/>
                <w:sz w:val="20"/>
                <w:lang w:val="en-AU"/>
              </w:rPr>
            </w:pPr>
            <w:r w:rsidRPr="00985CD2">
              <w:rPr>
                <w:rFonts w:eastAsiaTheme="minorEastAsia"/>
                <w:b/>
                <w:bCs/>
                <w:sz w:val="20"/>
                <w:lang w:val="en-AU"/>
              </w:rPr>
              <w:t>log-rank p</w:t>
            </w:r>
          </w:p>
        </w:tc>
      </w:tr>
      <w:tr w:rsidR="00985CD2" w:rsidRPr="00985CD2" w14:paraId="12121E8A" w14:textId="77777777" w:rsidTr="00985CD2">
        <w:trPr>
          <w:trHeight w:hRule="exact" w:val="838"/>
        </w:trPr>
        <w:tc>
          <w:tcPr>
            <w:tcW w:w="3162" w:type="dxa"/>
            <w:tcBorders>
              <w:top w:val="single" w:sz="4" w:space="0" w:color="000000"/>
              <w:left w:val="single" w:sz="4" w:space="0" w:color="000000"/>
              <w:bottom w:val="single" w:sz="4" w:space="0" w:color="000000"/>
              <w:right w:val="single" w:sz="4" w:space="0" w:color="000000"/>
            </w:tcBorders>
          </w:tcPr>
          <w:p w14:paraId="4137FA15"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Median Time to Treatment Failure</w:t>
            </w:r>
          </w:p>
          <w:p w14:paraId="1B81C2B6"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(months)</w:t>
            </w:r>
          </w:p>
        </w:tc>
        <w:tc>
          <w:tcPr>
            <w:tcW w:w="1701" w:type="dxa"/>
            <w:tcBorders>
              <w:top w:val="single" w:sz="4" w:space="0" w:color="000000"/>
              <w:left w:val="single" w:sz="4" w:space="0" w:color="000000"/>
              <w:bottom w:val="single" w:sz="4" w:space="0" w:color="000000"/>
              <w:right w:val="single" w:sz="4" w:space="0" w:color="000000"/>
            </w:tcBorders>
          </w:tcPr>
          <w:p w14:paraId="5C1773BE"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6.6</w:t>
            </w:r>
          </w:p>
        </w:tc>
        <w:tc>
          <w:tcPr>
            <w:tcW w:w="1701" w:type="dxa"/>
            <w:tcBorders>
              <w:top w:val="single" w:sz="4" w:space="0" w:color="000000"/>
              <w:left w:val="single" w:sz="4" w:space="0" w:color="000000"/>
              <w:bottom w:val="single" w:sz="4" w:space="0" w:color="000000"/>
              <w:right w:val="single" w:sz="4" w:space="0" w:color="000000"/>
            </w:tcBorders>
          </w:tcPr>
          <w:p w14:paraId="0AC01FA3"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27.0</w:t>
            </w:r>
          </w:p>
        </w:tc>
        <w:tc>
          <w:tcPr>
            <w:tcW w:w="2455" w:type="dxa"/>
            <w:tcBorders>
              <w:top w:val="single" w:sz="4" w:space="0" w:color="000000"/>
              <w:left w:val="single" w:sz="4" w:space="0" w:color="000000"/>
              <w:bottom w:val="single" w:sz="4" w:space="0" w:color="000000"/>
              <w:right w:val="single" w:sz="4" w:space="0" w:color="000000"/>
            </w:tcBorders>
          </w:tcPr>
          <w:p w14:paraId="078A5B01"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0.34</w:t>
            </w:r>
          </w:p>
          <w:p w14:paraId="61D1DDF9" w14:textId="77777777" w:rsidR="00985CD2" w:rsidRDefault="00985CD2" w:rsidP="00443352">
            <w:pPr>
              <w:pStyle w:val="CLDNormal"/>
              <w:spacing w:after="0"/>
              <w:jc w:val="left"/>
              <w:rPr>
                <w:rFonts w:eastAsiaTheme="minorEastAsia"/>
                <w:sz w:val="20"/>
                <w:lang w:val="en-AU"/>
              </w:rPr>
            </w:pPr>
            <w:r w:rsidRPr="00985CD2">
              <w:rPr>
                <w:rFonts w:eastAsiaTheme="minorEastAsia"/>
                <w:sz w:val="20"/>
                <w:lang w:val="en-AU"/>
              </w:rPr>
              <w:t>[0.26, 0.44]</w:t>
            </w:r>
          </w:p>
          <w:p w14:paraId="4B3D8487"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p&lt;0.0001</w:t>
            </w:r>
          </w:p>
        </w:tc>
      </w:tr>
      <w:tr w:rsidR="00985CD2" w:rsidRPr="00985CD2" w14:paraId="785835DE" w14:textId="77777777" w:rsidTr="00985CD2">
        <w:trPr>
          <w:trHeight w:hRule="exact" w:val="838"/>
        </w:trPr>
        <w:tc>
          <w:tcPr>
            <w:tcW w:w="3162" w:type="dxa"/>
            <w:tcBorders>
              <w:top w:val="single" w:sz="4" w:space="0" w:color="000000"/>
              <w:left w:val="single" w:sz="4" w:space="0" w:color="000000"/>
              <w:bottom w:val="single" w:sz="4" w:space="0" w:color="000000"/>
              <w:right w:val="single" w:sz="4" w:space="0" w:color="000000"/>
            </w:tcBorders>
          </w:tcPr>
          <w:p w14:paraId="5C2A5266"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Median Progression-free Survival</w:t>
            </w:r>
          </w:p>
          <w:p w14:paraId="5EA7EAB8"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(months)</w:t>
            </w:r>
          </w:p>
        </w:tc>
        <w:tc>
          <w:tcPr>
            <w:tcW w:w="1701" w:type="dxa"/>
            <w:tcBorders>
              <w:top w:val="single" w:sz="4" w:space="0" w:color="000000"/>
              <w:left w:val="single" w:sz="4" w:space="0" w:color="000000"/>
              <w:bottom w:val="single" w:sz="4" w:space="0" w:color="000000"/>
              <w:right w:val="single" w:sz="4" w:space="0" w:color="000000"/>
            </w:tcBorders>
          </w:tcPr>
          <w:p w14:paraId="6AE4829D"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14.7</w:t>
            </w:r>
          </w:p>
        </w:tc>
        <w:tc>
          <w:tcPr>
            <w:tcW w:w="1701" w:type="dxa"/>
            <w:tcBorders>
              <w:top w:val="single" w:sz="4" w:space="0" w:color="000000"/>
              <w:left w:val="single" w:sz="4" w:space="0" w:color="000000"/>
              <w:bottom w:val="single" w:sz="4" w:space="0" w:color="000000"/>
              <w:right w:val="single" w:sz="4" w:space="0" w:color="000000"/>
            </w:tcBorders>
          </w:tcPr>
          <w:p w14:paraId="5B739ED8"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33.6</w:t>
            </w:r>
          </w:p>
        </w:tc>
        <w:tc>
          <w:tcPr>
            <w:tcW w:w="2455" w:type="dxa"/>
            <w:tcBorders>
              <w:top w:val="single" w:sz="4" w:space="0" w:color="000000"/>
              <w:left w:val="single" w:sz="4" w:space="0" w:color="000000"/>
              <w:bottom w:val="single" w:sz="4" w:space="0" w:color="000000"/>
              <w:right w:val="single" w:sz="4" w:space="0" w:color="000000"/>
            </w:tcBorders>
          </w:tcPr>
          <w:p w14:paraId="7DA1AE30"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0.44</w:t>
            </w:r>
          </w:p>
          <w:p w14:paraId="3EA472F4" w14:textId="77777777" w:rsidR="00985CD2" w:rsidRDefault="00985CD2" w:rsidP="00443352">
            <w:pPr>
              <w:pStyle w:val="CLDNormal"/>
              <w:spacing w:after="0"/>
              <w:jc w:val="left"/>
              <w:rPr>
                <w:rFonts w:eastAsiaTheme="minorEastAsia"/>
                <w:sz w:val="20"/>
                <w:lang w:val="en-AU"/>
              </w:rPr>
            </w:pPr>
            <w:r w:rsidRPr="00985CD2">
              <w:rPr>
                <w:rFonts w:eastAsiaTheme="minorEastAsia"/>
                <w:sz w:val="20"/>
                <w:lang w:val="en-AU"/>
              </w:rPr>
              <w:t xml:space="preserve">[0.33, 0.57] </w:t>
            </w:r>
          </w:p>
          <w:p w14:paraId="45DADCDF"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p&lt;0.001</w:t>
            </w:r>
          </w:p>
        </w:tc>
      </w:tr>
      <w:tr w:rsidR="00985CD2" w:rsidRPr="00985CD2" w14:paraId="7D639208" w14:textId="77777777" w:rsidTr="00985CD2">
        <w:trPr>
          <w:trHeight w:hRule="exact" w:val="564"/>
        </w:trPr>
        <w:tc>
          <w:tcPr>
            <w:tcW w:w="3162" w:type="dxa"/>
            <w:tcBorders>
              <w:top w:val="single" w:sz="4" w:space="0" w:color="000000"/>
              <w:left w:val="single" w:sz="4" w:space="0" w:color="000000"/>
              <w:bottom w:val="single" w:sz="4" w:space="0" w:color="000000"/>
              <w:right w:val="single" w:sz="4" w:space="0" w:color="000000"/>
            </w:tcBorders>
          </w:tcPr>
          <w:p w14:paraId="6B178433"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Overall Tumour Response1 (%)</w:t>
            </w:r>
          </w:p>
        </w:tc>
        <w:tc>
          <w:tcPr>
            <w:tcW w:w="1701" w:type="dxa"/>
            <w:tcBorders>
              <w:top w:val="single" w:sz="4" w:space="0" w:color="000000"/>
              <w:left w:val="single" w:sz="4" w:space="0" w:color="000000"/>
              <w:bottom w:val="single" w:sz="4" w:space="0" w:color="000000"/>
              <w:right w:val="single" w:sz="4" w:space="0" w:color="000000"/>
            </w:tcBorders>
          </w:tcPr>
          <w:p w14:paraId="003790CB"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57</w:t>
            </w:r>
          </w:p>
        </w:tc>
        <w:tc>
          <w:tcPr>
            <w:tcW w:w="1701" w:type="dxa"/>
            <w:tcBorders>
              <w:top w:val="single" w:sz="4" w:space="0" w:color="000000"/>
              <w:left w:val="single" w:sz="4" w:space="0" w:color="000000"/>
              <w:bottom w:val="single" w:sz="4" w:space="0" w:color="000000"/>
              <w:right w:val="single" w:sz="4" w:space="0" w:color="000000"/>
            </w:tcBorders>
          </w:tcPr>
          <w:p w14:paraId="6EBA5D63"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81</w:t>
            </w:r>
          </w:p>
        </w:tc>
        <w:tc>
          <w:tcPr>
            <w:tcW w:w="2455" w:type="dxa"/>
            <w:tcBorders>
              <w:top w:val="single" w:sz="4" w:space="0" w:color="000000"/>
              <w:left w:val="single" w:sz="4" w:space="0" w:color="000000"/>
              <w:bottom w:val="single" w:sz="4" w:space="0" w:color="000000"/>
              <w:right w:val="single" w:sz="4" w:space="0" w:color="000000"/>
            </w:tcBorders>
          </w:tcPr>
          <w:p w14:paraId="7E9D8E28"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w:t>
            </w:r>
          </w:p>
        </w:tc>
      </w:tr>
      <w:tr w:rsidR="00985CD2" w:rsidRPr="00985CD2" w14:paraId="057BA820" w14:textId="77777777" w:rsidTr="00985CD2">
        <w:trPr>
          <w:trHeight w:hRule="exact" w:val="838"/>
        </w:trPr>
        <w:tc>
          <w:tcPr>
            <w:tcW w:w="3162" w:type="dxa"/>
            <w:tcBorders>
              <w:top w:val="single" w:sz="4" w:space="0" w:color="000000"/>
              <w:left w:val="single" w:sz="4" w:space="0" w:color="000000"/>
              <w:bottom w:val="single" w:sz="4" w:space="0" w:color="000000"/>
              <w:right w:val="single" w:sz="4" w:space="0" w:color="000000"/>
            </w:tcBorders>
          </w:tcPr>
          <w:p w14:paraId="6FE646B2"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Overall Survival (%)</w:t>
            </w:r>
          </w:p>
        </w:tc>
        <w:tc>
          <w:tcPr>
            <w:tcW w:w="1701" w:type="dxa"/>
            <w:tcBorders>
              <w:top w:val="single" w:sz="4" w:space="0" w:color="000000"/>
              <w:left w:val="single" w:sz="4" w:space="0" w:color="000000"/>
              <w:bottom w:val="single" w:sz="4" w:space="0" w:color="000000"/>
              <w:right w:val="single" w:sz="4" w:space="0" w:color="000000"/>
            </w:tcBorders>
          </w:tcPr>
          <w:p w14:paraId="70331C5D"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71</w:t>
            </w:r>
          </w:p>
        </w:tc>
        <w:tc>
          <w:tcPr>
            <w:tcW w:w="1701" w:type="dxa"/>
            <w:tcBorders>
              <w:top w:val="single" w:sz="4" w:space="0" w:color="000000"/>
              <w:left w:val="single" w:sz="4" w:space="0" w:color="000000"/>
              <w:bottom w:val="single" w:sz="4" w:space="0" w:color="000000"/>
              <w:right w:val="single" w:sz="4" w:space="0" w:color="000000"/>
            </w:tcBorders>
          </w:tcPr>
          <w:p w14:paraId="73D405CE"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81</w:t>
            </w:r>
          </w:p>
        </w:tc>
        <w:tc>
          <w:tcPr>
            <w:tcW w:w="2455" w:type="dxa"/>
            <w:tcBorders>
              <w:top w:val="single" w:sz="4" w:space="0" w:color="000000"/>
              <w:left w:val="single" w:sz="4" w:space="0" w:color="000000"/>
              <w:bottom w:val="single" w:sz="4" w:space="0" w:color="000000"/>
              <w:right w:val="single" w:sz="4" w:space="0" w:color="000000"/>
            </w:tcBorders>
          </w:tcPr>
          <w:p w14:paraId="27EFB0F0"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0.60</w:t>
            </w:r>
          </w:p>
          <w:p w14:paraId="3163BFD4" w14:textId="77777777" w:rsidR="00985CD2" w:rsidRDefault="00985CD2" w:rsidP="00443352">
            <w:pPr>
              <w:pStyle w:val="CLDNormal"/>
              <w:spacing w:after="0"/>
              <w:jc w:val="left"/>
              <w:rPr>
                <w:rFonts w:eastAsiaTheme="minorEastAsia"/>
                <w:sz w:val="20"/>
                <w:lang w:val="en-AU"/>
              </w:rPr>
            </w:pPr>
            <w:r w:rsidRPr="00985CD2">
              <w:rPr>
                <w:rFonts w:eastAsiaTheme="minorEastAsia"/>
                <w:sz w:val="20"/>
                <w:lang w:val="en-AU"/>
              </w:rPr>
              <w:t xml:space="preserve">[0.38, 0.95] </w:t>
            </w:r>
          </w:p>
          <w:p w14:paraId="5AC2FD48"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lang w:val="en-AU"/>
              </w:rPr>
              <w:t>p=0.029</w:t>
            </w:r>
            <w:r w:rsidRPr="00985CD2">
              <w:rPr>
                <w:rFonts w:eastAsiaTheme="minorEastAsia"/>
                <w:sz w:val="20"/>
                <w:vertAlign w:val="superscript"/>
                <w:lang w:val="en-AU"/>
              </w:rPr>
              <w:t>2</w:t>
            </w:r>
          </w:p>
        </w:tc>
      </w:tr>
    </w:tbl>
    <w:p w14:paraId="73ED757D" w14:textId="77777777" w:rsidR="00985CD2" w:rsidRPr="00985CD2" w:rsidRDefault="00985CD2" w:rsidP="00443352">
      <w:pPr>
        <w:pStyle w:val="CLDNormal"/>
        <w:spacing w:after="0"/>
        <w:jc w:val="left"/>
        <w:rPr>
          <w:rFonts w:eastAsiaTheme="minorEastAsia"/>
          <w:sz w:val="20"/>
          <w:lang w:val="en-AU"/>
        </w:rPr>
      </w:pPr>
      <w:r w:rsidRPr="00985CD2">
        <w:rPr>
          <w:rFonts w:eastAsiaTheme="minorEastAsia"/>
          <w:sz w:val="20"/>
          <w:vertAlign w:val="superscript"/>
          <w:lang w:val="en-AU"/>
        </w:rPr>
        <w:t>1</w:t>
      </w:r>
      <w:r w:rsidRPr="00985CD2">
        <w:rPr>
          <w:rFonts w:eastAsiaTheme="minorEastAsia"/>
          <w:sz w:val="20"/>
          <w:lang w:val="en-AU"/>
        </w:rPr>
        <w:t xml:space="preserve"> Tumour response = CR (complete response), </w:t>
      </w:r>
      <w:proofErr w:type="spellStart"/>
      <w:r w:rsidRPr="00985CD2">
        <w:rPr>
          <w:rFonts w:eastAsiaTheme="minorEastAsia"/>
          <w:sz w:val="20"/>
          <w:lang w:val="en-AU"/>
        </w:rPr>
        <w:t>CRu</w:t>
      </w:r>
      <w:proofErr w:type="spellEnd"/>
      <w:r w:rsidRPr="00985CD2">
        <w:rPr>
          <w:rFonts w:eastAsiaTheme="minorEastAsia"/>
          <w:sz w:val="20"/>
          <w:lang w:val="en-AU"/>
        </w:rPr>
        <w:t xml:space="preserve"> (complete response unconfirmed) and PR (partial response) </w:t>
      </w:r>
    </w:p>
    <w:p w14:paraId="77C14081" w14:textId="77777777" w:rsidR="00985CD2" w:rsidRPr="006E6734" w:rsidRDefault="00985CD2" w:rsidP="00443352">
      <w:pPr>
        <w:pStyle w:val="CLDNormal"/>
        <w:spacing w:after="0"/>
        <w:jc w:val="left"/>
        <w:rPr>
          <w:rFonts w:eastAsiaTheme="minorEastAsia"/>
          <w:sz w:val="20"/>
          <w:lang w:val="en-US"/>
        </w:rPr>
      </w:pPr>
      <w:r w:rsidRPr="006E6734">
        <w:rPr>
          <w:rFonts w:eastAsiaTheme="minorEastAsia"/>
          <w:sz w:val="20"/>
          <w:vertAlign w:val="superscript"/>
          <w:lang w:val="en-AU"/>
        </w:rPr>
        <w:t>2</w:t>
      </w:r>
      <w:r w:rsidRPr="006E6734">
        <w:rPr>
          <w:rFonts w:eastAsiaTheme="minorEastAsia"/>
          <w:sz w:val="20"/>
          <w:lang w:val="en-AU"/>
        </w:rPr>
        <w:t xml:space="preserve"> Stratified by centre</w:t>
      </w:r>
    </w:p>
    <w:p w14:paraId="4BD49E0E" w14:textId="3D1AB3A2" w:rsidR="006E6734" w:rsidRDefault="006E6734" w:rsidP="00443352">
      <w:pPr>
        <w:pStyle w:val="CLDNormal"/>
        <w:jc w:val="left"/>
        <w:rPr>
          <w:rFonts w:eastAsiaTheme="minorEastAsia"/>
          <w:szCs w:val="24"/>
          <w:lang w:val="en-US"/>
        </w:rPr>
      </w:pPr>
    </w:p>
    <w:p w14:paraId="446A1B54" w14:textId="77777777" w:rsidR="00443352" w:rsidRDefault="00443352" w:rsidP="00443352">
      <w:pPr>
        <w:pStyle w:val="CLDNormal"/>
        <w:jc w:val="left"/>
        <w:rPr>
          <w:rFonts w:eastAsiaTheme="minorEastAsia"/>
          <w:szCs w:val="24"/>
          <w:lang w:val="en-US"/>
        </w:rPr>
      </w:pPr>
    </w:p>
    <w:p w14:paraId="36C06F68" w14:textId="6585CA94" w:rsidR="006E6734" w:rsidRPr="006E6734" w:rsidRDefault="006E6734" w:rsidP="00443352">
      <w:pPr>
        <w:pStyle w:val="CLDNormal"/>
        <w:jc w:val="left"/>
        <w:rPr>
          <w:rFonts w:eastAsiaTheme="minorEastAsia"/>
          <w:szCs w:val="24"/>
          <w:lang w:val="en-US"/>
        </w:rPr>
      </w:pPr>
      <w:r w:rsidRPr="006E6734">
        <w:rPr>
          <w:rFonts w:eastAsiaTheme="minorEastAsia"/>
          <w:szCs w:val="24"/>
          <w:lang w:val="en-US"/>
        </w:rPr>
        <w:t xml:space="preserve">Results from three other </w:t>
      </w:r>
      <w:proofErr w:type="spellStart"/>
      <w:r w:rsidRPr="006E6734">
        <w:rPr>
          <w:rFonts w:eastAsiaTheme="minorEastAsia"/>
          <w:szCs w:val="24"/>
          <w:lang w:val="en-US"/>
        </w:rPr>
        <w:t>randomised</w:t>
      </w:r>
      <w:proofErr w:type="spellEnd"/>
      <w:r w:rsidRPr="006E6734">
        <w:rPr>
          <w:rFonts w:eastAsiaTheme="minorEastAsia"/>
          <w:szCs w:val="24"/>
          <w:lang w:val="en-US"/>
        </w:rPr>
        <w:t xml:space="preserve"> studies using </w:t>
      </w:r>
      <w:r w:rsidR="00275DBF" w:rsidRPr="00275DBF">
        <w:rPr>
          <w:rFonts w:eastAsiaTheme="minorEastAsia"/>
          <w:szCs w:val="24"/>
        </w:rPr>
        <w:t>rituximab</w:t>
      </w:r>
      <w:r w:rsidRPr="006E6734">
        <w:rPr>
          <w:rFonts w:eastAsiaTheme="minorEastAsia"/>
          <w:szCs w:val="24"/>
          <w:lang w:val="en-US"/>
        </w:rPr>
        <w:t xml:space="preserve"> in combination with chemotherapy regimens other than CVP (CHOP, MCP, CHVP/interferon-alfa 2a) have also demonstrated significant improvements in response rates, time dependent parameters as well as in overall survival (Table 6).</w:t>
      </w:r>
    </w:p>
    <w:p w14:paraId="08D86F29" w14:textId="5E233950" w:rsidR="006E6734" w:rsidRPr="006E6734" w:rsidRDefault="006E6734" w:rsidP="00443352">
      <w:pPr>
        <w:pStyle w:val="CLDNormal"/>
        <w:jc w:val="left"/>
        <w:rPr>
          <w:rFonts w:eastAsiaTheme="minorEastAsia"/>
          <w:b/>
          <w:sz w:val="20"/>
          <w:lang w:val="en-AU"/>
        </w:rPr>
      </w:pPr>
      <w:r w:rsidRPr="00275DBF">
        <w:rPr>
          <w:rFonts w:eastAsiaTheme="minorEastAsia"/>
          <w:b/>
          <w:sz w:val="22"/>
          <w:szCs w:val="22"/>
          <w:lang w:val="en-US"/>
        </w:rPr>
        <w:t xml:space="preserve">Table 6: Summary of key results from three phase III </w:t>
      </w:r>
      <w:proofErr w:type="spellStart"/>
      <w:r w:rsidRPr="00275DBF">
        <w:rPr>
          <w:rFonts w:eastAsiaTheme="minorEastAsia"/>
          <w:b/>
          <w:sz w:val="22"/>
          <w:szCs w:val="22"/>
          <w:lang w:val="en-US"/>
        </w:rPr>
        <w:t>randomised</w:t>
      </w:r>
      <w:proofErr w:type="spellEnd"/>
      <w:r w:rsidRPr="00275DBF">
        <w:rPr>
          <w:rFonts w:eastAsiaTheme="minorEastAsia"/>
          <w:b/>
          <w:sz w:val="22"/>
          <w:szCs w:val="22"/>
          <w:lang w:val="en-US"/>
        </w:rPr>
        <w:t xml:space="preserve"> studies evaluating the benefit of </w:t>
      </w:r>
      <w:r w:rsidR="00275DBF" w:rsidRPr="00275DBF">
        <w:rPr>
          <w:rFonts w:eastAsiaTheme="minorEastAsia"/>
          <w:b/>
          <w:sz w:val="22"/>
          <w:szCs w:val="22"/>
        </w:rPr>
        <w:t>rituximab</w:t>
      </w:r>
      <w:r w:rsidRPr="00275DBF">
        <w:rPr>
          <w:rFonts w:eastAsiaTheme="minorEastAsia"/>
          <w:b/>
          <w:sz w:val="22"/>
          <w:szCs w:val="22"/>
          <w:lang w:val="en-US"/>
        </w:rPr>
        <w:t>with different chemotherapy regimens in follicular lymphoma</w:t>
      </w:r>
    </w:p>
    <w:tbl>
      <w:tblPr>
        <w:tblW w:w="9019" w:type="dxa"/>
        <w:tblInd w:w="94" w:type="dxa"/>
        <w:tblLayout w:type="fixed"/>
        <w:tblCellMar>
          <w:left w:w="0" w:type="dxa"/>
          <w:right w:w="0" w:type="dxa"/>
        </w:tblCellMar>
        <w:tblLook w:val="0000" w:firstRow="0" w:lastRow="0" w:firstColumn="0" w:lastColumn="0" w:noHBand="0" w:noVBand="0"/>
      </w:tblPr>
      <w:tblGrid>
        <w:gridCol w:w="1220"/>
        <w:gridCol w:w="1947"/>
        <w:gridCol w:w="1308"/>
        <w:gridCol w:w="871"/>
        <w:gridCol w:w="622"/>
        <w:gridCol w:w="1757"/>
        <w:gridCol w:w="1294"/>
      </w:tblGrid>
      <w:tr w:rsidR="006E6734" w:rsidRPr="006E6734" w14:paraId="5A4D2C71" w14:textId="77777777" w:rsidTr="006E6734">
        <w:trPr>
          <w:trHeight w:hRule="exact" w:val="838"/>
        </w:trPr>
        <w:tc>
          <w:tcPr>
            <w:tcW w:w="1220" w:type="dxa"/>
            <w:tcBorders>
              <w:top w:val="single" w:sz="4" w:space="0" w:color="000000"/>
              <w:left w:val="single" w:sz="4" w:space="0" w:color="000000"/>
              <w:bottom w:val="single" w:sz="4" w:space="0" w:color="000000"/>
              <w:right w:val="single" w:sz="4" w:space="0" w:color="000000"/>
            </w:tcBorders>
          </w:tcPr>
          <w:p w14:paraId="722D1D0E" w14:textId="77777777" w:rsidR="006E6734" w:rsidRPr="006E6734" w:rsidRDefault="006E6734" w:rsidP="00443352">
            <w:pPr>
              <w:pStyle w:val="CLDNormal"/>
              <w:spacing w:after="0"/>
              <w:jc w:val="left"/>
              <w:rPr>
                <w:rFonts w:eastAsiaTheme="minorEastAsia"/>
                <w:b/>
                <w:sz w:val="20"/>
                <w:lang w:val="en-AU"/>
              </w:rPr>
            </w:pPr>
            <w:r w:rsidRPr="006E6734">
              <w:rPr>
                <w:rFonts w:eastAsiaTheme="minorEastAsia"/>
                <w:b/>
                <w:bCs/>
                <w:sz w:val="20"/>
                <w:lang w:val="en-AU"/>
              </w:rPr>
              <w:t>Study</w:t>
            </w:r>
          </w:p>
        </w:tc>
        <w:tc>
          <w:tcPr>
            <w:tcW w:w="1947" w:type="dxa"/>
            <w:tcBorders>
              <w:top w:val="single" w:sz="4" w:space="0" w:color="000000"/>
              <w:left w:val="single" w:sz="4" w:space="0" w:color="000000"/>
              <w:bottom w:val="single" w:sz="4" w:space="0" w:color="000000"/>
              <w:right w:val="single" w:sz="4" w:space="0" w:color="000000"/>
            </w:tcBorders>
          </w:tcPr>
          <w:p w14:paraId="47C0A5E2" w14:textId="77777777" w:rsidR="006E6734" w:rsidRPr="006E6734" w:rsidRDefault="006E6734" w:rsidP="00443352">
            <w:pPr>
              <w:pStyle w:val="CLDNormal"/>
              <w:spacing w:after="0"/>
              <w:jc w:val="left"/>
              <w:rPr>
                <w:rFonts w:eastAsiaTheme="minorEastAsia"/>
                <w:b/>
                <w:sz w:val="20"/>
                <w:lang w:val="en-AU"/>
              </w:rPr>
            </w:pPr>
            <w:r w:rsidRPr="006E6734">
              <w:rPr>
                <w:rFonts w:eastAsiaTheme="minorEastAsia"/>
                <w:b/>
                <w:bCs/>
                <w:sz w:val="20"/>
                <w:lang w:val="en-AU"/>
              </w:rPr>
              <w:t>Treatment, n</w:t>
            </w:r>
          </w:p>
        </w:tc>
        <w:tc>
          <w:tcPr>
            <w:tcW w:w="1308" w:type="dxa"/>
            <w:tcBorders>
              <w:top w:val="single" w:sz="4" w:space="0" w:color="000000"/>
              <w:left w:val="single" w:sz="4" w:space="0" w:color="000000"/>
              <w:bottom w:val="single" w:sz="4" w:space="0" w:color="000000"/>
              <w:right w:val="single" w:sz="4" w:space="0" w:color="000000"/>
            </w:tcBorders>
          </w:tcPr>
          <w:p w14:paraId="44A8BC6C" w14:textId="77777777" w:rsidR="006E6734" w:rsidRPr="006E6734" w:rsidRDefault="006E6734" w:rsidP="00443352">
            <w:pPr>
              <w:pStyle w:val="CLDNormal"/>
              <w:spacing w:after="0"/>
              <w:jc w:val="left"/>
              <w:rPr>
                <w:rFonts w:eastAsiaTheme="minorEastAsia"/>
                <w:b/>
                <w:sz w:val="20"/>
                <w:lang w:val="en-AU"/>
              </w:rPr>
            </w:pPr>
            <w:r w:rsidRPr="006E6734">
              <w:rPr>
                <w:rFonts w:eastAsiaTheme="minorEastAsia"/>
                <w:b/>
                <w:bCs/>
                <w:sz w:val="20"/>
                <w:lang w:val="en-AU"/>
              </w:rPr>
              <w:t>Median follow up, months</w:t>
            </w:r>
          </w:p>
        </w:tc>
        <w:tc>
          <w:tcPr>
            <w:tcW w:w="871" w:type="dxa"/>
            <w:tcBorders>
              <w:top w:val="single" w:sz="4" w:space="0" w:color="000000"/>
              <w:left w:val="single" w:sz="4" w:space="0" w:color="000000"/>
              <w:bottom w:val="single" w:sz="4" w:space="0" w:color="000000"/>
              <w:right w:val="single" w:sz="4" w:space="0" w:color="000000"/>
            </w:tcBorders>
          </w:tcPr>
          <w:p w14:paraId="1851559A" w14:textId="77777777" w:rsidR="006E6734" w:rsidRPr="006E6734" w:rsidRDefault="006E6734" w:rsidP="00443352">
            <w:pPr>
              <w:pStyle w:val="CLDNormal"/>
              <w:spacing w:after="0"/>
              <w:jc w:val="left"/>
              <w:rPr>
                <w:rFonts w:eastAsiaTheme="minorEastAsia"/>
                <w:b/>
                <w:sz w:val="20"/>
                <w:lang w:val="en-AU"/>
              </w:rPr>
            </w:pPr>
            <w:r w:rsidRPr="006E6734">
              <w:rPr>
                <w:rFonts w:eastAsiaTheme="minorEastAsia"/>
                <w:b/>
                <w:bCs/>
                <w:sz w:val="20"/>
                <w:lang w:val="en-AU"/>
              </w:rPr>
              <w:t>ORR,</w:t>
            </w:r>
          </w:p>
          <w:p w14:paraId="034DAAAC" w14:textId="77777777" w:rsidR="006E6734" w:rsidRPr="006E6734" w:rsidRDefault="006E6734" w:rsidP="00443352">
            <w:pPr>
              <w:pStyle w:val="CLDNormal"/>
              <w:spacing w:after="0"/>
              <w:jc w:val="left"/>
              <w:rPr>
                <w:rFonts w:eastAsiaTheme="minorEastAsia"/>
                <w:b/>
                <w:sz w:val="20"/>
                <w:lang w:val="en-AU"/>
              </w:rPr>
            </w:pPr>
            <w:r w:rsidRPr="006E6734">
              <w:rPr>
                <w:rFonts w:eastAsiaTheme="minorEastAsia"/>
                <w:b/>
                <w:bCs/>
                <w:sz w:val="20"/>
                <w:lang w:val="en-AU"/>
              </w:rPr>
              <w:t>%</w:t>
            </w:r>
          </w:p>
        </w:tc>
        <w:tc>
          <w:tcPr>
            <w:tcW w:w="622" w:type="dxa"/>
            <w:tcBorders>
              <w:top w:val="single" w:sz="4" w:space="0" w:color="000000"/>
              <w:left w:val="single" w:sz="4" w:space="0" w:color="000000"/>
              <w:bottom w:val="single" w:sz="4" w:space="0" w:color="000000"/>
              <w:right w:val="single" w:sz="4" w:space="0" w:color="000000"/>
            </w:tcBorders>
          </w:tcPr>
          <w:p w14:paraId="55994507" w14:textId="77777777" w:rsidR="006E6734" w:rsidRPr="006E6734" w:rsidRDefault="006E6734" w:rsidP="00443352">
            <w:pPr>
              <w:pStyle w:val="CLDNormal"/>
              <w:spacing w:after="0"/>
              <w:jc w:val="left"/>
              <w:rPr>
                <w:rFonts w:eastAsiaTheme="minorEastAsia"/>
                <w:b/>
                <w:sz w:val="20"/>
                <w:lang w:val="en-AU"/>
              </w:rPr>
            </w:pPr>
            <w:r w:rsidRPr="006E6734">
              <w:rPr>
                <w:rFonts w:eastAsiaTheme="minorEastAsia"/>
                <w:b/>
                <w:bCs/>
                <w:sz w:val="20"/>
                <w:lang w:val="en-AU"/>
              </w:rPr>
              <w:t>CR,</w:t>
            </w:r>
          </w:p>
          <w:p w14:paraId="73F9EE64" w14:textId="77777777" w:rsidR="006E6734" w:rsidRPr="006E6734" w:rsidRDefault="006E6734" w:rsidP="00443352">
            <w:pPr>
              <w:pStyle w:val="CLDNormal"/>
              <w:spacing w:after="0"/>
              <w:jc w:val="left"/>
              <w:rPr>
                <w:rFonts w:eastAsiaTheme="minorEastAsia"/>
                <w:b/>
                <w:sz w:val="20"/>
                <w:lang w:val="en-AU"/>
              </w:rPr>
            </w:pPr>
            <w:r w:rsidRPr="006E6734">
              <w:rPr>
                <w:rFonts w:eastAsiaTheme="minorEastAsia"/>
                <w:b/>
                <w:bCs/>
                <w:sz w:val="20"/>
                <w:lang w:val="en-AU"/>
              </w:rPr>
              <w:t>%</w:t>
            </w:r>
          </w:p>
        </w:tc>
        <w:tc>
          <w:tcPr>
            <w:tcW w:w="1757" w:type="dxa"/>
            <w:tcBorders>
              <w:top w:val="single" w:sz="4" w:space="0" w:color="000000"/>
              <w:left w:val="single" w:sz="4" w:space="0" w:color="000000"/>
              <w:bottom w:val="single" w:sz="4" w:space="0" w:color="000000"/>
              <w:right w:val="single" w:sz="4" w:space="0" w:color="000000"/>
            </w:tcBorders>
          </w:tcPr>
          <w:p w14:paraId="563B62CB" w14:textId="77777777" w:rsidR="006E6734" w:rsidRDefault="006E6734" w:rsidP="00443352">
            <w:pPr>
              <w:pStyle w:val="CLDNormal"/>
              <w:spacing w:after="0"/>
              <w:jc w:val="left"/>
              <w:rPr>
                <w:rFonts w:eastAsiaTheme="minorEastAsia"/>
                <w:b/>
                <w:bCs/>
                <w:sz w:val="20"/>
                <w:lang w:val="en-AU"/>
              </w:rPr>
            </w:pPr>
            <w:r w:rsidRPr="006E6734">
              <w:rPr>
                <w:rFonts w:eastAsiaTheme="minorEastAsia"/>
                <w:b/>
                <w:bCs/>
                <w:sz w:val="20"/>
                <w:lang w:val="en-AU"/>
              </w:rPr>
              <w:t>Outcome</w:t>
            </w:r>
            <w:r w:rsidRPr="006E6734">
              <w:rPr>
                <w:rFonts w:eastAsiaTheme="minorEastAsia"/>
                <w:b/>
                <w:bCs/>
                <w:sz w:val="20"/>
                <w:vertAlign w:val="superscript"/>
                <w:lang w:val="en-AU"/>
              </w:rPr>
              <w:t>1</w:t>
            </w:r>
          </w:p>
          <w:p w14:paraId="3F49F850" w14:textId="77777777" w:rsidR="006E6734" w:rsidRPr="006E6734" w:rsidRDefault="006E6734" w:rsidP="00443352">
            <w:pPr>
              <w:pStyle w:val="CLDNormal"/>
              <w:spacing w:after="0"/>
              <w:jc w:val="left"/>
              <w:rPr>
                <w:rFonts w:eastAsiaTheme="minorEastAsia"/>
                <w:b/>
                <w:sz w:val="20"/>
                <w:lang w:val="en-AU"/>
              </w:rPr>
            </w:pPr>
            <w:r w:rsidRPr="006E6734">
              <w:rPr>
                <w:rFonts w:eastAsiaTheme="minorEastAsia"/>
                <w:b/>
                <w:bCs/>
                <w:sz w:val="20"/>
                <w:lang w:val="en-AU"/>
              </w:rPr>
              <w:t>(months)</w:t>
            </w:r>
          </w:p>
        </w:tc>
        <w:tc>
          <w:tcPr>
            <w:tcW w:w="1294" w:type="dxa"/>
            <w:tcBorders>
              <w:top w:val="single" w:sz="4" w:space="0" w:color="000000"/>
              <w:left w:val="single" w:sz="4" w:space="0" w:color="000000"/>
              <w:bottom w:val="single" w:sz="4" w:space="0" w:color="000000"/>
              <w:right w:val="single" w:sz="4" w:space="0" w:color="000000"/>
            </w:tcBorders>
          </w:tcPr>
          <w:p w14:paraId="13C7E47D" w14:textId="77777777" w:rsidR="006E6734" w:rsidRPr="006E6734" w:rsidRDefault="006E6734" w:rsidP="00443352">
            <w:pPr>
              <w:pStyle w:val="CLDNormal"/>
              <w:spacing w:after="0"/>
              <w:jc w:val="left"/>
              <w:rPr>
                <w:rFonts w:eastAsiaTheme="minorEastAsia"/>
                <w:b/>
                <w:sz w:val="20"/>
                <w:lang w:val="en-AU"/>
              </w:rPr>
            </w:pPr>
            <w:r w:rsidRPr="006E6734">
              <w:rPr>
                <w:rFonts w:eastAsiaTheme="minorEastAsia"/>
                <w:b/>
                <w:bCs/>
                <w:sz w:val="20"/>
                <w:lang w:val="en-AU"/>
              </w:rPr>
              <w:t>OS rates,</w:t>
            </w:r>
          </w:p>
          <w:p w14:paraId="76955790" w14:textId="77777777" w:rsidR="006E6734" w:rsidRPr="006E6734" w:rsidRDefault="006E6734" w:rsidP="00443352">
            <w:pPr>
              <w:pStyle w:val="CLDNormal"/>
              <w:spacing w:after="0"/>
              <w:jc w:val="left"/>
              <w:rPr>
                <w:rFonts w:eastAsiaTheme="minorEastAsia"/>
                <w:b/>
                <w:sz w:val="20"/>
                <w:lang w:val="en-AU"/>
              </w:rPr>
            </w:pPr>
            <w:r w:rsidRPr="006E6734">
              <w:rPr>
                <w:rFonts w:eastAsiaTheme="minorEastAsia"/>
                <w:b/>
                <w:bCs/>
                <w:sz w:val="20"/>
                <w:lang w:val="en-AU"/>
              </w:rPr>
              <w:t>%</w:t>
            </w:r>
          </w:p>
        </w:tc>
      </w:tr>
      <w:tr w:rsidR="006E6734" w:rsidRPr="006E6734" w14:paraId="35DF4245" w14:textId="77777777" w:rsidTr="006E6734">
        <w:trPr>
          <w:trHeight w:hRule="exact" w:val="1116"/>
        </w:trPr>
        <w:tc>
          <w:tcPr>
            <w:tcW w:w="1220" w:type="dxa"/>
            <w:tcBorders>
              <w:top w:val="single" w:sz="4" w:space="0" w:color="000000"/>
              <w:left w:val="single" w:sz="4" w:space="0" w:color="000000"/>
              <w:bottom w:val="single" w:sz="4" w:space="0" w:color="000000"/>
              <w:right w:val="single" w:sz="4" w:space="0" w:color="000000"/>
            </w:tcBorders>
          </w:tcPr>
          <w:p w14:paraId="5DAED213"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GLSG’00</w:t>
            </w:r>
          </w:p>
        </w:tc>
        <w:tc>
          <w:tcPr>
            <w:tcW w:w="1947" w:type="dxa"/>
            <w:tcBorders>
              <w:top w:val="single" w:sz="4" w:space="0" w:color="000000"/>
              <w:left w:val="single" w:sz="4" w:space="0" w:color="000000"/>
              <w:bottom w:val="single" w:sz="4" w:space="0" w:color="000000"/>
              <w:right w:val="single" w:sz="4" w:space="0" w:color="000000"/>
            </w:tcBorders>
          </w:tcPr>
          <w:p w14:paraId="16BE19BE"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CHOP, 205</w:t>
            </w:r>
          </w:p>
          <w:p w14:paraId="15EE44A6"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R-CHOP, 223</w:t>
            </w:r>
          </w:p>
        </w:tc>
        <w:tc>
          <w:tcPr>
            <w:tcW w:w="1308" w:type="dxa"/>
            <w:tcBorders>
              <w:top w:val="single" w:sz="4" w:space="0" w:color="000000"/>
              <w:left w:val="single" w:sz="4" w:space="0" w:color="000000"/>
              <w:bottom w:val="single" w:sz="4" w:space="0" w:color="000000"/>
              <w:right w:val="single" w:sz="4" w:space="0" w:color="000000"/>
            </w:tcBorders>
          </w:tcPr>
          <w:p w14:paraId="70CC57BD"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18</w:t>
            </w:r>
          </w:p>
        </w:tc>
        <w:tc>
          <w:tcPr>
            <w:tcW w:w="871" w:type="dxa"/>
            <w:tcBorders>
              <w:top w:val="single" w:sz="4" w:space="0" w:color="000000"/>
              <w:left w:val="single" w:sz="4" w:space="0" w:color="000000"/>
              <w:bottom w:val="single" w:sz="4" w:space="0" w:color="000000"/>
              <w:right w:val="single" w:sz="4" w:space="0" w:color="000000"/>
            </w:tcBorders>
          </w:tcPr>
          <w:p w14:paraId="6A4ED9C8"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90</w:t>
            </w:r>
          </w:p>
          <w:p w14:paraId="6E05ABB0"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96</w:t>
            </w:r>
          </w:p>
        </w:tc>
        <w:tc>
          <w:tcPr>
            <w:tcW w:w="622" w:type="dxa"/>
            <w:tcBorders>
              <w:top w:val="single" w:sz="4" w:space="0" w:color="000000"/>
              <w:left w:val="single" w:sz="4" w:space="0" w:color="000000"/>
              <w:bottom w:val="single" w:sz="4" w:space="0" w:color="000000"/>
              <w:right w:val="single" w:sz="4" w:space="0" w:color="000000"/>
            </w:tcBorders>
          </w:tcPr>
          <w:p w14:paraId="6A987D90"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17</w:t>
            </w:r>
          </w:p>
          <w:p w14:paraId="7715FC9D"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20</w:t>
            </w:r>
          </w:p>
        </w:tc>
        <w:tc>
          <w:tcPr>
            <w:tcW w:w="1757" w:type="dxa"/>
            <w:tcBorders>
              <w:top w:val="single" w:sz="4" w:space="0" w:color="000000"/>
              <w:left w:val="single" w:sz="4" w:space="0" w:color="000000"/>
              <w:bottom w:val="single" w:sz="4" w:space="0" w:color="000000"/>
              <w:right w:val="single" w:sz="4" w:space="0" w:color="000000"/>
            </w:tcBorders>
          </w:tcPr>
          <w:p w14:paraId="2189042E" w14:textId="77777777" w:rsidR="006E6734" w:rsidRDefault="006E6734" w:rsidP="00443352">
            <w:pPr>
              <w:pStyle w:val="CLDNormal"/>
              <w:spacing w:after="0"/>
              <w:jc w:val="left"/>
              <w:rPr>
                <w:rFonts w:eastAsiaTheme="minorEastAsia"/>
                <w:sz w:val="20"/>
                <w:lang w:val="en-AU"/>
              </w:rPr>
            </w:pPr>
            <w:r w:rsidRPr="006E6734">
              <w:rPr>
                <w:rFonts w:eastAsiaTheme="minorEastAsia"/>
                <w:sz w:val="20"/>
                <w:lang w:val="en-AU"/>
              </w:rPr>
              <w:t xml:space="preserve">Median TTF: </w:t>
            </w:r>
          </w:p>
          <w:p w14:paraId="207216FB"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31.2</w:t>
            </w:r>
          </w:p>
          <w:p w14:paraId="53E84C7C" w14:textId="77777777" w:rsidR="006E6734" w:rsidRDefault="006E6734" w:rsidP="00443352">
            <w:pPr>
              <w:pStyle w:val="CLDNormal"/>
              <w:spacing w:after="0"/>
              <w:jc w:val="left"/>
              <w:rPr>
                <w:rFonts w:eastAsiaTheme="minorEastAsia"/>
                <w:sz w:val="20"/>
                <w:lang w:val="en-AU"/>
              </w:rPr>
            </w:pPr>
            <w:r w:rsidRPr="006E6734">
              <w:rPr>
                <w:rFonts w:eastAsiaTheme="minorEastAsia"/>
                <w:sz w:val="20"/>
                <w:lang w:val="en-AU"/>
              </w:rPr>
              <w:t xml:space="preserve">Not reached </w:t>
            </w:r>
          </w:p>
          <w:p w14:paraId="11CB1ED2"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p&lt;0.001</w:t>
            </w:r>
          </w:p>
        </w:tc>
        <w:tc>
          <w:tcPr>
            <w:tcW w:w="1294" w:type="dxa"/>
            <w:tcBorders>
              <w:top w:val="single" w:sz="4" w:space="0" w:color="000000"/>
              <w:left w:val="single" w:sz="4" w:space="0" w:color="000000"/>
              <w:bottom w:val="single" w:sz="4" w:space="0" w:color="000000"/>
              <w:right w:val="single" w:sz="4" w:space="0" w:color="000000"/>
            </w:tcBorders>
          </w:tcPr>
          <w:p w14:paraId="386A15BD" w14:textId="77777777" w:rsidR="006E6734" w:rsidRPr="006E6734" w:rsidRDefault="006E6734" w:rsidP="00443352">
            <w:pPr>
              <w:pStyle w:val="CLDNormal"/>
              <w:spacing w:after="0"/>
              <w:jc w:val="left"/>
              <w:rPr>
                <w:rFonts w:eastAsiaTheme="minorEastAsia"/>
                <w:sz w:val="20"/>
                <w:lang w:val="en-AU"/>
              </w:rPr>
            </w:pPr>
          </w:p>
          <w:p w14:paraId="58D0B705"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90</w:t>
            </w:r>
          </w:p>
          <w:p w14:paraId="5A0A1FF8" w14:textId="77777777" w:rsidR="006E6734" w:rsidRDefault="006E6734" w:rsidP="00443352">
            <w:pPr>
              <w:pStyle w:val="CLDNormal"/>
              <w:spacing w:after="0"/>
              <w:jc w:val="left"/>
              <w:rPr>
                <w:rFonts w:eastAsiaTheme="minorEastAsia"/>
                <w:sz w:val="20"/>
                <w:lang w:val="en-AU"/>
              </w:rPr>
            </w:pPr>
            <w:r w:rsidRPr="006E6734">
              <w:rPr>
                <w:rFonts w:eastAsiaTheme="minorEastAsia"/>
                <w:sz w:val="20"/>
                <w:lang w:val="en-AU"/>
              </w:rPr>
              <w:t xml:space="preserve">95 </w:t>
            </w:r>
          </w:p>
          <w:p w14:paraId="51794F2D"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p=0.016</w:t>
            </w:r>
          </w:p>
        </w:tc>
      </w:tr>
      <w:tr w:rsidR="006E6734" w:rsidRPr="006E6734" w14:paraId="585901AD" w14:textId="77777777" w:rsidTr="006E6734">
        <w:trPr>
          <w:trHeight w:hRule="exact" w:val="1114"/>
        </w:trPr>
        <w:tc>
          <w:tcPr>
            <w:tcW w:w="1220" w:type="dxa"/>
            <w:tcBorders>
              <w:top w:val="single" w:sz="4" w:space="0" w:color="000000"/>
              <w:left w:val="single" w:sz="4" w:space="0" w:color="000000"/>
              <w:bottom w:val="single" w:sz="4" w:space="0" w:color="000000"/>
              <w:right w:val="single" w:sz="4" w:space="0" w:color="000000"/>
            </w:tcBorders>
          </w:tcPr>
          <w:p w14:paraId="50FE3180"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OSHO-39</w:t>
            </w:r>
          </w:p>
        </w:tc>
        <w:tc>
          <w:tcPr>
            <w:tcW w:w="1947" w:type="dxa"/>
            <w:tcBorders>
              <w:top w:val="single" w:sz="4" w:space="0" w:color="000000"/>
              <w:left w:val="single" w:sz="4" w:space="0" w:color="000000"/>
              <w:bottom w:val="single" w:sz="4" w:space="0" w:color="000000"/>
              <w:right w:val="single" w:sz="4" w:space="0" w:color="000000"/>
            </w:tcBorders>
          </w:tcPr>
          <w:p w14:paraId="42BDCC93"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MCP, 96</w:t>
            </w:r>
          </w:p>
          <w:p w14:paraId="065DEB6A"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R-MCP, 105</w:t>
            </w:r>
          </w:p>
        </w:tc>
        <w:tc>
          <w:tcPr>
            <w:tcW w:w="1308" w:type="dxa"/>
            <w:tcBorders>
              <w:top w:val="single" w:sz="4" w:space="0" w:color="000000"/>
              <w:left w:val="single" w:sz="4" w:space="0" w:color="000000"/>
              <w:bottom w:val="single" w:sz="4" w:space="0" w:color="000000"/>
              <w:right w:val="single" w:sz="4" w:space="0" w:color="000000"/>
            </w:tcBorders>
          </w:tcPr>
          <w:p w14:paraId="5C1CE3F9"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47</w:t>
            </w:r>
          </w:p>
        </w:tc>
        <w:tc>
          <w:tcPr>
            <w:tcW w:w="871" w:type="dxa"/>
            <w:tcBorders>
              <w:top w:val="single" w:sz="4" w:space="0" w:color="000000"/>
              <w:left w:val="single" w:sz="4" w:space="0" w:color="000000"/>
              <w:bottom w:val="single" w:sz="4" w:space="0" w:color="000000"/>
              <w:right w:val="single" w:sz="4" w:space="0" w:color="000000"/>
            </w:tcBorders>
          </w:tcPr>
          <w:p w14:paraId="5B62B693"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75</w:t>
            </w:r>
          </w:p>
          <w:p w14:paraId="75030D8D"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92</w:t>
            </w:r>
          </w:p>
        </w:tc>
        <w:tc>
          <w:tcPr>
            <w:tcW w:w="622" w:type="dxa"/>
            <w:tcBorders>
              <w:top w:val="single" w:sz="4" w:space="0" w:color="000000"/>
              <w:left w:val="single" w:sz="4" w:space="0" w:color="000000"/>
              <w:bottom w:val="single" w:sz="4" w:space="0" w:color="000000"/>
              <w:right w:val="single" w:sz="4" w:space="0" w:color="000000"/>
            </w:tcBorders>
          </w:tcPr>
          <w:p w14:paraId="112BC67F"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25</w:t>
            </w:r>
          </w:p>
          <w:p w14:paraId="576ABBBE"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50</w:t>
            </w:r>
          </w:p>
        </w:tc>
        <w:tc>
          <w:tcPr>
            <w:tcW w:w="1757" w:type="dxa"/>
            <w:tcBorders>
              <w:top w:val="single" w:sz="4" w:space="0" w:color="000000"/>
              <w:left w:val="single" w:sz="4" w:space="0" w:color="000000"/>
              <w:bottom w:val="single" w:sz="4" w:space="0" w:color="000000"/>
              <w:right w:val="single" w:sz="4" w:space="0" w:color="000000"/>
            </w:tcBorders>
          </w:tcPr>
          <w:p w14:paraId="34B15E69"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Median PFS: 28.8</w:t>
            </w:r>
          </w:p>
          <w:p w14:paraId="137FBBB0"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Not reached p&lt;0.0001</w:t>
            </w:r>
          </w:p>
        </w:tc>
        <w:tc>
          <w:tcPr>
            <w:tcW w:w="1294" w:type="dxa"/>
            <w:tcBorders>
              <w:top w:val="single" w:sz="4" w:space="0" w:color="000000"/>
              <w:left w:val="single" w:sz="4" w:space="0" w:color="000000"/>
              <w:bottom w:val="single" w:sz="4" w:space="0" w:color="000000"/>
              <w:right w:val="single" w:sz="4" w:space="0" w:color="000000"/>
            </w:tcBorders>
          </w:tcPr>
          <w:p w14:paraId="265004BD" w14:textId="77777777" w:rsidR="006E6734" w:rsidRPr="006E6734" w:rsidRDefault="006E6734" w:rsidP="00443352">
            <w:pPr>
              <w:pStyle w:val="CLDNormal"/>
              <w:spacing w:after="0"/>
              <w:jc w:val="left"/>
              <w:rPr>
                <w:rFonts w:eastAsiaTheme="minorEastAsia"/>
                <w:sz w:val="20"/>
                <w:lang w:val="en-AU"/>
              </w:rPr>
            </w:pPr>
          </w:p>
          <w:p w14:paraId="66D28A2B"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74</w:t>
            </w:r>
          </w:p>
          <w:p w14:paraId="360B86B6" w14:textId="77777777" w:rsidR="006E6734" w:rsidRDefault="006E6734" w:rsidP="00443352">
            <w:pPr>
              <w:pStyle w:val="CLDNormal"/>
              <w:spacing w:after="0"/>
              <w:jc w:val="left"/>
              <w:rPr>
                <w:rFonts w:eastAsiaTheme="minorEastAsia"/>
                <w:sz w:val="20"/>
                <w:lang w:val="en-AU"/>
              </w:rPr>
            </w:pPr>
            <w:r w:rsidRPr="006E6734">
              <w:rPr>
                <w:rFonts w:eastAsiaTheme="minorEastAsia"/>
                <w:sz w:val="20"/>
                <w:lang w:val="en-AU"/>
              </w:rPr>
              <w:t xml:space="preserve">87 </w:t>
            </w:r>
          </w:p>
          <w:p w14:paraId="733BCDF4"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p=0.0096</w:t>
            </w:r>
          </w:p>
        </w:tc>
      </w:tr>
      <w:tr w:rsidR="006E6734" w:rsidRPr="006E6734" w14:paraId="387C888B" w14:textId="77777777" w:rsidTr="006E6734">
        <w:trPr>
          <w:trHeight w:hRule="exact" w:val="1114"/>
        </w:trPr>
        <w:tc>
          <w:tcPr>
            <w:tcW w:w="1220" w:type="dxa"/>
            <w:tcBorders>
              <w:top w:val="single" w:sz="4" w:space="0" w:color="000000"/>
              <w:left w:val="single" w:sz="4" w:space="0" w:color="000000"/>
              <w:bottom w:val="single" w:sz="4" w:space="0" w:color="000000"/>
              <w:right w:val="single" w:sz="4" w:space="0" w:color="000000"/>
            </w:tcBorders>
          </w:tcPr>
          <w:p w14:paraId="69A22362"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FL2000</w:t>
            </w:r>
          </w:p>
        </w:tc>
        <w:tc>
          <w:tcPr>
            <w:tcW w:w="1947" w:type="dxa"/>
            <w:tcBorders>
              <w:top w:val="single" w:sz="4" w:space="0" w:color="000000"/>
              <w:left w:val="single" w:sz="4" w:space="0" w:color="000000"/>
              <w:bottom w:val="single" w:sz="4" w:space="0" w:color="000000"/>
              <w:right w:val="single" w:sz="4" w:space="0" w:color="000000"/>
            </w:tcBorders>
          </w:tcPr>
          <w:p w14:paraId="0C346921" w14:textId="77777777" w:rsidR="006E6734" w:rsidRDefault="006E6734" w:rsidP="00443352">
            <w:pPr>
              <w:pStyle w:val="CLDNormal"/>
              <w:spacing w:after="0"/>
              <w:jc w:val="left"/>
              <w:rPr>
                <w:rFonts w:eastAsiaTheme="minorEastAsia"/>
                <w:sz w:val="20"/>
                <w:lang w:val="en-AU"/>
              </w:rPr>
            </w:pPr>
            <w:r w:rsidRPr="006E6734">
              <w:rPr>
                <w:rFonts w:eastAsiaTheme="minorEastAsia"/>
                <w:sz w:val="20"/>
                <w:lang w:val="en-AU"/>
              </w:rPr>
              <w:t xml:space="preserve">CHVP-IFN, 183 </w:t>
            </w:r>
          </w:p>
          <w:p w14:paraId="51B1DA7F"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R-CHVP-IFN, 175</w:t>
            </w:r>
          </w:p>
        </w:tc>
        <w:tc>
          <w:tcPr>
            <w:tcW w:w="1308" w:type="dxa"/>
            <w:tcBorders>
              <w:top w:val="single" w:sz="4" w:space="0" w:color="000000"/>
              <w:left w:val="single" w:sz="4" w:space="0" w:color="000000"/>
              <w:bottom w:val="single" w:sz="4" w:space="0" w:color="000000"/>
              <w:right w:val="single" w:sz="4" w:space="0" w:color="000000"/>
            </w:tcBorders>
          </w:tcPr>
          <w:p w14:paraId="2F182D3A"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42</w:t>
            </w:r>
          </w:p>
        </w:tc>
        <w:tc>
          <w:tcPr>
            <w:tcW w:w="871" w:type="dxa"/>
            <w:tcBorders>
              <w:top w:val="single" w:sz="4" w:space="0" w:color="000000"/>
              <w:left w:val="single" w:sz="4" w:space="0" w:color="000000"/>
              <w:bottom w:val="single" w:sz="4" w:space="0" w:color="000000"/>
              <w:right w:val="single" w:sz="4" w:space="0" w:color="000000"/>
            </w:tcBorders>
          </w:tcPr>
          <w:p w14:paraId="4D8BE3E9"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85</w:t>
            </w:r>
          </w:p>
          <w:p w14:paraId="0AB33352"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94</w:t>
            </w:r>
          </w:p>
        </w:tc>
        <w:tc>
          <w:tcPr>
            <w:tcW w:w="622" w:type="dxa"/>
            <w:tcBorders>
              <w:top w:val="single" w:sz="4" w:space="0" w:color="000000"/>
              <w:left w:val="single" w:sz="4" w:space="0" w:color="000000"/>
              <w:bottom w:val="single" w:sz="4" w:space="0" w:color="000000"/>
              <w:right w:val="single" w:sz="4" w:space="0" w:color="000000"/>
            </w:tcBorders>
          </w:tcPr>
          <w:p w14:paraId="17C483D1"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49</w:t>
            </w:r>
          </w:p>
          <w:p w14:paraId="6901B726"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76</w:t>
            </w:r>
          </w:p>
        </w:tc>
        <w:tc>
          <w:tcPr>
            <w:tcW w:w="1757" w:type="dxa"/>
            <w:tcBorders>
              <w:top w:val="single" w:sz="4" w:space="0" w:color="000000"/>
              <w:left w:val="single" w:sz="4" w:space="0" w:color="000000"/>
              <w:bottom w:val="single" w:sz="4" w:space="0" w:color="000000"/>
              <w:right w:val="single" w:sz="4" w:space="0" w:color="000000"/>
            </w:tcBorders>
          </w:tcPr>
          <w:p w14:paraId="01DC1EED"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Median EFS: 36</w:t>
            </w:r>
          </w:p>
          <w:p w14:paraId="749B0FB5"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Not reached p&lt;0.0001</w:t>
            </w:r>
          </w:p>
        </w:tc>
        <w:tc>
          <w:tcPr>
            <w:tcW w:w="1294" w:type="dxa"/>
            <w:tcBorders>
              <w:top w:val="single" w:sz="4" w:space="0" w:color="000000"/>
              <w:left w:val="single" w:sz="4" w:space="0" w:color="000000"/>
              <w:bottom w:val="single" w:sz="4" w:space="0" w:color="000000"/>
              <w:right w:val="single" w:sz="4" w:space="0" w:color="000000"/>
            </w:tcBorders>
          </w:tcPr>
          <w:p w14:paraId="7BB69A00" w14:textId="77777777" w:rsidR="006E6734" w:rsidRPr="006E6734" w:rsidRDefault="006E6734" w:rsidP="00443352">
            <w:pPr>
              <w:pStyle w:val="CLDNormal"/>
              <w:spacing w:after="0"/>
              <w:jc w:val="left"/>
              <w:rPr>
                <w:rFonts w:eastAsiaTheme="minorEastAsia"/>
                <w:sz w:val="20"/>
                <w:lang w:val="en-AU"/>
              </w:rPr>
            </w:pPr>
          </w:p>
          <w:p w14:paraId="273EDD86"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84</w:t>
            </w:r>
          </w:p>
          <w:p w14:paraId="31C52A55" w14:textId="77777777" w:rsidR="006E6734" w:rsidRDefault="006E6734" w:rsidP="00443352">
            <w:pPr>
              <w:pStyle w:val="CLDNormal"/>
              <w:spacing w:after="0"/>
              <w:jc w:val="left"/>
              <w:rPr>
                <w:rFonts w:eastAsiaTheme="minorEastAsia"/>
                <w:sz w:val="20"/>
                <w:lang w:val="en-AU"/>
              </w:rPr>
            </w:pPr>
            <w:r w:rsidRPr="006E6734">
              <w:rPr>
                <w:rFonts w:eastAsiaTheme="minorEastAsia"/>
                <w:sz w:val="20"/>
                <w:lang w:val="en-AU"/>
              </w:rPr>
              <w:t xml:space="preserve">91 </w:t>
            </w:r>
          </w:p>
          <w:p w14:paraId="73F5D1BF" w14:textId="77777777" w:rsidR="006E6734" w:rsidRPr="006E6734" w:rsidRDefault="006E6734" w:rsidP="00443352">
            <w:pPr>
              <w:pStyle w:val="CLDNormal"/>
              <w:spacing w:after="0"/>
              <w:jc w:val="left"/>
              <w:rPr>
                <w:rFonts w:eastAsiaTheme="minorEastAsia"/>
                <w:sz w:val="20"/>
                <w:lang w:val="en-AU"/>
              </w:rPr>
            </w:pPr>
            <w:r w:rsidRPr="006E6734">
              <w:rPr>
                <w:rFonts w:eastAsiaTheme="minorEastAsia"/>
                <w:sz w:val="20"/>
                <w:lang w:val="en-AU"/>
              </w:rPr>
              <w:t>p=0.029</w:t>
            </w:r>
          </w:p>
        </w:tc>
      </w:tr>
    </w:tbl>
    <w:p w14:paraId="1C8F1597" w14:textId="77777777" w:rsidR="00275DBF" w:rsidRDefault="00275DBF" w:rsidP="00443352">
      <w:pPr>
        <w:pStyle w:val="CLDNormal"/>
        <w:spacing w:after="0"/>
        <w:jc w:val="left"/>
        <w:rPr>
          <w:rFonts w:eastAsiaTheme="minorEastAsia"/>
          <w:b/>
          <w:sz w:val="20"/>
          <w:lang w:val="en-US"/>
        </w:rPr>
      </w:pPr>
      <w:r w:rsidRPr="006E6734">
        <w:rPr>
          <w:rFonts w:eastAsiaTheme="minorEastAsia"/>
          <w:sz w:val="20"/>
          <w:vertAlign w:val="superscript"/>
          <w:lang w:val="en-US"/>
        </w:rPr>
        <w:t>1</w:t>
      </w:r>
      <w:r w:rsidRPr="006E6734">
        <w:rPr>
          <w:rFonts w:eastAsiaTheme="minorEastAsia"/>
          <w:sz w:val="20"/>
          <w:lang w:val="en-US"/>
        </w:rPr>
        <w:t>GLSG’00 outcome: TTF (time to treatment failure); OSHO-39: PFS (progression free survival); FL2000 outcome: EFS (event free survival</w:t>
      </w:r>
      <w:r w:rsidRPr="006E6734">
        <w:rPr>
          <w:rFonts w:eastAsiaTheme="minorEastAsia"/>
          <w:b/>
          <w:sz w:val="20"/>
          <w:lang w:val="en-US"/>
        </w:rPr>
        <w:t>)</w:t>
      </w:r>
    </w:p>
    <w:p w14:paraId="383BF435" w14:textId="085A9891" w:rsidR="006E6734" w:rsidRDefault="006E6734" w:rsidP="00443352">
      <w:pPr>
        <w:pStyle w:val="CLDNormal"/>
        <w:spacing w:after="0"/>
        <w:jc w:val="left"/>
        <w:rPr>
          <w:rFonts w:eastAsiaTheme="minorEastAsia"/>
          <w:sz w:val="20"/>
          <w:lang w:val="en-US"/>
        </w:rPr>
      </w:pPr>
      <w:r w:rsidRPr="006E6734">
        <w:rPr>
          <w:rFonts w:eastAsiaTheme="minorEastAsia"/>
          <w:sz w:val="20"/>
          <w:lang w:val="en-US"/>
        </w:rPr>
        <w:t xml:space="preserve">Abbreviations: ORR – overall response rate; CR – complete response; OS rates – overall survival rates at the time of the analyses; R – </w:t>
      </w:r>
      <w:r w:rsidR="00275DBF">
        <w:rPr>
          <w:rFonts w:eastAsiaTheme="minorEastAsia"/>
          <w:sz w:val="20"/>
          <w:lang w:val="en-US"/>
        </w:rPr>
        <w:t>R</w:t>
      </w:r>
      <w:proofErr w:type="spellStart"/>
      <w:r w:rsidR="00275DBF" w:rsidRPr="00275DBF">
        <w:rPr>
          <w:rFonts w:eastAsiaTheme="minorEastAsia"/>
          <w:sz w:val="20"/>
        </w:rPr>
        <w:t>ituximab</w:t>
      </w:r>
      <w:proofErr w:type="spellEnd"/>
      <w:r w:rsidRPr="006E6734">
        <w:rPr>
          <w:rFonts w:eastAsiaTheme="minorEastAsia"/>
          <w:sz w:val="20"/>
          <w:lang w:val="en-US"/>
        </w:rPr>
        <w:t xml:space="preserve">; CHOP - cyclophosphamide, doxorubicin, vincristine, prednisone; MCP – </w:t>
      </w:r>
      <w:proofErr w:type="spellStart"/>
      <w:r w:rsidRPr="006E6734">
        <w:rPr>
          <w:rFonts w:eastAsiaTheme="minorEastAsia"/>
          <w:sz w:val="20"/>
          <w:lang w:val="en-US"/>
        </w:rPr>
        <w:t>mitoxantrone</w:t>
      </w:r>
      <w:proofErr w:type="spellEnd"/>
      <w:r w:rsidRPr="006E6734">
        <w:rPr>
          <w:rFonts w:eastAsiaTheme="minorEastAsia"/>
          <w:sz w:val="20"/>
          <w:lang w:val="en-US"/>
        </w:rPr>
        <w:t xml:space="preserve">, </w:t>
      </w:r>
      <w:proofErr w:type="spellStart"/>
      <w:r w:rsidRPr="006E6734">
        <w:rPr>
          <w:rFonts w:eastAsiaTheme="minorEastAsia"/>
          <w:sz w:val="20"/>
          <w:lang w:val="en-US"/>
        </w:rPr>
        <w:t>chlorambucil</w:t>
      </w:r>
      <w:proofErr w:type="spellEnd"/>
      <w:r w:rsidRPr="006E6734">
        <w:rPr>
          <w:rFonts w:eastAsiaTheme="minorEastAsia"/>
          <w:sz w:val="20"/>
          <w:lang w:val="en-US"/>
        </w:rPr>
        <w:t>, prednisolone; CHVP - cyclophosphamide, doxorubicin, etoposide, prednisolone ; IFN – interferon-alfa 2a.</w:t>
      </w:r>
    </w:p>
    <w:p w14:paraId="4699BB5E" w14:textId="77777777" w:rsidR="006E6734" w:rsidRDefault="006E6734" w:rsidP="00443352">
      <w:pPr>
        <w:pStyle w:val="CLDNormal"/>
        <w:spacing w:after="0"/>
        <w:jc w:val="left"/>
        <w:rPr>
          <w:rFonts w:eastAsiaTheme="minorEastAsia"/>
          <w:b/>
          <w:sz w:val="20"/>
          <w:lang w:val="en-US"/>
        </w:rPr>
      </w:pPr>
    </w:p>
    <w:p w14:paraId="12B5ED60" w14:textId="77777777" w:rsidR="006E6734" w:rsidRPr="006A1EF8" w:rsidRDefault="006E6734" w:rsidP="00443352">
      <w:pPr>
        <w:pStyle w:val="CLDHeading4"/>
        <w:jc w:val="left"/>
        <w:rPr>
          <w:rFonts w:eastAsiaTheme="minorEastAsia"/>
          <w:lang w:val="en-US"/>
        </w:rPr>
      </w:pPr>
      <w:r w:rsidRPr="006A1EF8">
        <w:rPr>
          <w:rFonts w:eastAsiaTheme="minorEastAsia"/>
          <w:lang w:val="en-US"/>
        </w:rPr>
        <w:t>Maintenance Therapy</w:t>
      </w:r>
    </w:p>
    <w:p w14:paraId="686048C0" w14:textId="77777777" w:rsidR="006E6734" w:rsidRPr="006E6734" w:rsidRDefault="006E6734" w:rsidP="00443352">
      <w:pPr>
        <w:pStyle w:val="CLDNormal"/>
        <w:jc w:val="left"/>
        <w:rPr>
          <w:rFonts w:eastAsiaTheme="minorEastAsia"/>
          <w:i/>
          <w:szCs w:val="24"/>
          <w:lang w:val="en-US"/>
        </w:rPr>
      </w:pPr>
      <w:r w:rsidRPr="006E6734">
        <w:rPr>
          <w:rFonts w:eastAsiaTheme="minorEastAsia"/>
          <w:i/>
          <w:szCs w:val="24"/>
          <w:lang w:val="en-US"/>
        </w:rPr>
        <w:t>Relapsed/Refractory follicular NHL</w:t>
      </w:r>
    </w:p>
    <w:p w14:paraId="50D3D586" w14:textId="7DAF688F" w:rsidR="006E6734" w:rsidRPr="006E6734" w:rsidRDefault="006E6734" w:rsidP="00443352">
      <w:pPr>
        <w:pStyle w:val="CLDNormal"/>
        <w:jc w:val="left"/>
        <w:rPr>
          <w:rFonts w:eastAsiaTheme="minorEastAsia"/>
          <w:szCs w:val="24"/>
          <w:lang w:val="en-US"/>
        </w:rPr>
      </w:pPr>
      <w:r w:rsidRPr="006E6734">
        <w:rPr>
          <w:rFonts w:eastAsiaTheme="minorEastAsia"/>
          <w:szCs w:val="24"/>
          <w:lang w:val="en-US"/>
        </w:rPr>
        <w:t xml:space="preserve">In a prospective, open label, international, </w:t>
      </w:r>
      <w:proofErr w:type="spellStart"/>
      <w:r w:rsidRPr="006E6734">
        <w:rPr>
          <w:rFonts w:eastAsiaTheme="minorEastAsia"/>
          <w:szCs w:val="24"/>
          <w:lang w:val="en-US"/>
        </w:rPr>
        <w:t>multicentre</w:t>
      </w:r>
      <w:proofErr w:type="spellEnd"/>
      <w:r w:rsidRPr="006E6734">
        <w:rPr>
          <w:rFonts w:eastAsiaTheme="minorEastAsia"/>
          <w:szCs w:val="24"/>
          <w:lang w:val="en-US"/>
        </w:rPr>
        <w:t xml:space="preserve">, Phase III trial, 465 patients with relapsed/refractory follicular NHL were </w:t>
      </w:r>
      <w:proofErr w:type="spellStart"/>
      <w:r w:rsidRPr="006E6734">
        <w:rPr>
          <w:rFonts w:eastAsiaTheme="minorEastAsia"/>
          <w:szCs w:val="24"/>
          <w:lang w:val="en-US"/>
        </w:rPr>
        <w:t>randomised</w:t>
      </w:r>
      <w:proofErr w:type="spellEnd"/>
      <w:r w:rsidRPr="006E6734">
        <w:rPr>
          <w:rFonts w:eastAsiaTheme="minorEastAsia"/>
          <w:szCs w:val="24"/>
          <w:lang w:val="en-US"/>
        </w:rPr>
        <w:t xml:space="preserve"> in a first step to induction therapy with</w:t>
      </w:r>
      <w:r>
        <w:rPr>
          <w:rFonts w:eastAsiaTheme="minorEastAsia"/>
          <w:szCs w:val="24"/>
          <w:lang w:val="en-US"/>
        </w:rPr>
        <w:t xml:space="preserve"> </w:t>
      </w:r>
      <w:r w:rsidRPr="006E6734">
        <w:rPr>
          <w:rFonts w:eastAsiaTheme="minorEastAsia"/>
          <w:szCs w:val="24"/>
          <w:lang w:val="en-US"/>
        </w:rPr>
        <w:t xml:space="preserve">either CHOP (cyclophosphamide, doxorubicin, vincristine, prednisolone; n=231) or </w:t>
      </w:r>
      <w:r w:rsidR="00E11E94" w:rsidRPr="00E11E94">
        <w:rPr>
          <w:rFonts w:eastAsiaTheme="minorEastAsia"/>
          <w:szCs w:val="24"/>
        </w:rPr>
        <w:t>rituximab</w:t>
      </w:r>
      <w:r w:rsidRPr="006E6734">
        <w:rPr>
          <w:rFonts w:eastAsiaTheme="minorEastAsia"/>
          <w:szCs w:val="24"/>
          <w:lang w:val="en-US"/>
        </w:rPr>
        <w:t xml:space="preserve"> plus CHOP (R-CHOP, n=234), one dose of rituximab combined with each cycle of chemotherapy. The two treatment groups were well balanced with regard to baseline characteristics and disease status. A total of 334 patients achieving a complete or partial remission following induction therapy were </w:t>
      </w:r>
      <w:proofErr w:type="spellStart"/>
      <w:r w:rsidRPr="006E6734">
        <w:rPr>
          <w:rFonts w:eastAsiaTheme="minorEastAsia"/>
          <w:szCs w:val="24"/>
          <w:lang w:val="en-US"/>
        </w:rPr>
        <w:t>randomised</w:t>
      </w:r>
      <w:proofErr w:type="spellEnd"/>
      <w:r w:rsidRPr="006E6734">
        <w:rPr>
          <w:rFonts w:eastAsiaTheme="minorEastAsia"/>
          <w:szCs w:val="24"/>
          <w:lang w:val="en-US"/>
        </w:rPr>
        <w:t xml:space="preserve"> in a second step to </w:t>
      </w:r>
      <w:r w:rsidR="002C3369" w:rsidRPr="002C3369">
        <w:rPr>
          <w:rFonts w:eastAsiaTheme="minorEastAsia"/>
          <w:szCs w:val="24"/>
        </w:rPr>
        <w:t>rituximab</w:t>
      </w:r>
      <w:r w:rsidRPr="006E6734">
        <w:rPr>
          <w:rFonts w:eastAsiaTheme="minorEastAsia"/>
          <w:szCs w:val="24"/>
          <w:lang w:val="en-US"/>
        </w:rPr>
        <w:t xml:space="preserve"> maintenance therapy (n=167) or observation (n=167). </w:t>
      </w:r>
      <w:r w:rsidR="002C3369">
        <w:rPr>
          <w:rFonts w:eastAsiaTheme="minorEastAsia"/>
          <w:szCs w:val="24"/>
        </w:rPr>
        <w:t>R</w:t>
      </w:r>
      <w:r w:rsidR="002C3369" w:rsidRPr="002C3369">
        <w:rPr>
          <w:rFonts w:eastAsiaTheme="minorEastAsia"/>
          <w:szCs w:val="24"/>
        </w:rPr>
        <w:t>ituximab</w:t>
      </w:r>
      <w:r w:rsidRPr="006E6734">
        <w:rPr>
          <w:rFonts w:eastAsiaTheme="minorEastAsia"/>
          <w:szCs w:val="24"/>
          <w:lang w:val="en-US"/>
        </w:rPr>
        <w:t xml:space="preserve"> maintenance treatment consisted of a single infusion of </w:t>
      </w:r>
      <w:r w:rsidR="002C3369" w:rsidRPr="002C3369">
        <w:rPr>
          <w:rFonts w:eastAsiaTheme="minorEastAsia"/>
          <w:szCs w:val="24"/>
        </w:rPr>
        <w:t>rituximab</w:t>
      </w:r>
      <w:r w:rsidRPr="006E6734">
        <w:rPr>
          <w:rFonts w:eastAsiaTheme="minorEastAsia"/>
          <w:szCs w:val="24"/>
          <w:lang w:val="en-US"/>
        </w:rPr>
        <w:t xml:space="preserve"> at 375 mg/m</w:t>
      </w:r>
      <w:r w:rsidRPr="002C3369">
        <w:rPr>
          <w:rFonts w:eastAsiaTheme="minorEastAsia"/>
          <w:szCs w:val="24"/>
          <w:vertAlign w:val="superscript"/>
          <w:lang w:val="en-US"/>
        </w:rPr>
        <w:t xml:space="preserve">2 </w:t>
      </w:r>
      <w:r w:rsidR="002C3369">
        <w:rPr>
          <w:rFonts w:eastAsiaTheme="minorEastAsia"/>
          <w:szCs w:val="24"/>
          <w:vertAlign w:val="superscript"/>
          <w:lang w:val="en-US"/>
        </w:rPr>
        <w:t xml:space="preserve"> </w:t>
      </w:r>
      <w:r w:rsidRPr="006E6734">
        <w:rPr>
          <w:rFonts w:eastAsiaTheme="minorEastAsia"/>
          <w:szCs w:val="24"/>
          <w:lang w:val="en-US"/>
        </w:rPr>
        <w:t xml:space="preserve">body surface area given every 3 months until disease progression or for a maximum period of two years. Patients with </w:t>
      </w:r>
      <w:proofErr w:type="spellStart"/>
      <w:r w:rsidRPr="006E6734">
        <w:rPr>
          <w:rFonts w:eastAsiaTheme="minorEastAsia"/>
          <w:szCs w:val="24"/>
          <w:lang w:val="en-US"/>
        </w:rPr>
        <w:t>hypogammaglobulinaemia</w:t>
      </w:r>
      <w:proofErr w:type="spellEnd"/>
      <w:r w:rsidRPr="006E6734">
        <w:rPr>
          <w:rFonts w:eastAsiaTheme="minorEastAsia"/>
          <w:szCs w:val="24"/>
          <w:lang w:val="en-US"/>
        </w:rPr>
        <w:t xml:space="preserve"> (IgG &lt;3g/L) or known HIV infection were excluded from the trial.</w:t>
      </w:r>
    </w:p>
    <w:p w14:paraId="69B36578" w14:textId="77777777" w:rsidR="006E6734" w:rsidRPr="006E6734" w:rsidRDefault="006E6734" w:rsidP="00443352">
      <w:pPr>
        <w:pStyle w:val="CLDNormal"/>
        <w:jc w:val="left"/>
        <w:rPr>
          <w:rFonts w:eastAsiaTheme="minorEastAsia"/>
          <w:szCs w:val="24"/>
          <w:lang w:val="en-US"/>
        </w:rPr>
      </w:pPr>
      <w:r w:rsidRPr="006E6734">
        <w:rPr>
          <w:rFonts w:eastAsiaTheme="minorEastAsia"/>
          <w:szCs w:val="24"/>
          <w:lang w:val="en-US"/>
        </w:rPr>
        <w:t xml:space="preserve">The final efficacy analysis included all patients </w:t>
      </w:r>
      <w:proofErr w:type="spellStart"/>
      <w:r w:rsidRPr="006E6734">
        <w:rPr>
          <w:rFonts w:eastAsiaTheme="minorEastAsia"/>
          <w:szCs w:val="24"/>
          <w:lang w:val="en-US"/>
        </w:rPr>
        <w:t>randomised</w:t>
      </w:r>
      <w:proofErr w:type="spellEnd"/>
      <w:r w:rsidRPr="006E6734">
        <w:rPr>
          <w:rFonts w:eastAsiaTheme="minorEastAsia"/>
          <w:szCs w:val="24"/>
          <w:lang w:val="en-US"/>
        </w:rPr>
        <w:t xml:space="preserve"> to both parts of the study. After a median observation time of 31 months for patients </w:t>
      </w:r>
      <w:proofErr w:type="spellStart"/>
      <w:r w:rsidRPr="006E6734">
        <w:rPr>
          <w:rFonts w:eastAsiaTheme="minorEastAsia"/>
          <w:szCs w:val="24"/>
          <w:lang w:val="en-US"/>
        </w:rPr>
        <w:t>randomised</w:t>
      </w:r>
      <w:proofErr w:type="spellEnd"/>
      <w:r w:rsidRPr="006E6734">
        <w:rPr>
          <w:rFonts w:eastAsiaTheme="minorEastAsia"/>
          <w:szCs w:val="24"/>
          <w:lang w:val="en-US"/>
        </w:rPr>
        <w:t xml:space="preserve"> to the induction phase, R-CHOP significantly improved the outcome of patients with relapsed/refractory follicular NHL when compared to CHOP (see Table 7).</w:t>
      </w:r>
    </w:p>
    <w:p w14:paraId="2248AD19" w14:textId="77777777" w:rsidR="00985CD2" w:rsidRPr="00F52CCB" w:rsidRDefault="006E6734" w:rsidP="00443352">
      <w:pPr>
        <w:pStyle w:val="CLDNormal"/>
        <w:jc w:val="left"/>
        <w:rPr>
          <w:rFonts w:eastAsiaTheme="minorEastAsia"/>
          <w:b/>
          <w:sz w:val="22"/>
          <w:szCs w:val="22"/>
          <w:lang w:val="en-US"/>
        </w:rPr>
      </w:pPr>
      <w:r w:rsidRPr="00F52CCB">
        <w:rPr>
          <w:rFonts w:eastAsiaTheme="minorEastAsia"/>
          <w:b/>
          <w:sz w:val="22"/>
          <w:szCs w:val="22"/>
          <w:lang w:val="en-US"/>
        </w:rPr>
        <w:t>Table 7: Induction phase: overview of efficacy results for CHOP vs. R-CHOP (31 months median observation time)</w:t>
      </w:r>
    </w:p>
    <w:tbl>
      <w:tblPr>
        <w:tblW w:w="9019" w:type="dxa"/>
        <w:tblInd w:w="94" w:type="dxa"/>
        <w:tblLayout w:type="fixed"/>
        <w:tblCellMar>
          <w:left w:w="0" w:type="dxa"/>
          <w:right w:w="0" w:type="dxa"/>
        </w:tblCellMar>
        <w:tblLook w:val="0000" w:firstRow="0" w:lastRow="0" w:firstColumn="0" w:lastColumn="0" w:noHBand="0" w:noVBand="0"/>
      </w:tblPr>
      <w:tblGrid>
        <w:gridCol w:w="2175"/>
        <w:gridCol w:w="1711"/>
        <w:gridCol w:w="1711"/>
        <w:gridCol w:w="1711"/>
        <w:gridCol w:w="1711"/>
      </w:tblGrid>
      <w:tr w:rsidR="00340F0A" w:rsidRPr="00F52CCB" w14:paraId="53A0A8C9" w14:textId="77777777" w:rsidTr="00FA51D5">
        <w:trPr>
          <w:trHeight w:hRule="exact" w:val="286"/>
        </w:trPr>
        <w:tc>
          <w:tcPr>
            <w:tcW w:w="2175" w:type="dxa"/>
            <w:tcBorders>
              <w:top w:val="single" w:sz="4" w:space="0" w:color="000000"/>
              <w:left w:val="single" w:sz="4" w:space="0" w:color="000000"/>
              <w:bottom w:val="single" w:sz="4" w:space="0" w:color="000000"/>
              <w:right w:val="single" w:sz="4" w:space="0" w:color="000000"/>
            </w:tcBorders>
          </w:tcPr>
          <w:p w14:paraId="59255F43" w14:textId="77777777" w:rsidR="00340F0A" w:rsidRPr="00F52CCB" w:rsidRDefault="00340F0A" w:rsidP="00443352">
            <w:pPr>
              <w:pStyle w:val="CLDNormal"/>
              <w:jc w:val="left"/>
              <w:rPr>
                <w:rFonts w:eastAsiaTheme="minorEastAsia"/>
                <w:b/>
                <w:sz w:val="20"/>
                <w:lang w:val="en-AU"/>
              </w:rPr>
            </w:pPr>
          </w:p>
        </w:tc>
        <w:tc>
          <w:tcPr>
            <w:tcW w:w="1711" w:type="dxa"/>
            <w:tcBorders>
              <w:top w:val="single" w:sz="4" w:space="0" w:color="000000"/>
              <w:left w:val="single" w:sz="4" w:space="0" w:color="000000"/>
              <w:bottom w:val="single" w:sz="4" w:space="0" w:color="000000"/>
              <w:right w:val="single" w:sz="4" w:space="0" w:color="000000"/>
            </w:tcBorders>
          </w:tcPr>
          <w:p w14:paraId="09C47C9D" w14:textId="77777777" w:rsidR="00340F0A" w:rsidRPr="00F52CCB" w:rsidRDefault="00340F0A" w:rsidP="00443352">
            <w:pPr>
              <w:pStyle w:val="CLDNormal"/>
              <w:jc w:val="left"/>
              <w:rPr>
                <w:rFonts w:eastAsiaTheme="minorEastAsia"/>
                <w:b/>
                <w:sz w:val="20"/>
                <w:lang w:val="en-AU"/>
              </w:rPr>
            </w:pPr>
            <w:r w:rsidRPr="00F52CCB">
              <w:rPr>
                <w:rFonts w:eastAsiaTheme="minorEastAsia"/>
                <w:b/>
                <w:bCs/>
                <w:sz w:val="20"/>
                <w:lang w:val="en-AU"/>
              </w:rPr>
              <w:t>CHOP</w:t>
            </w:r>
          </w:p>
        </w:tc>
        <w:tc>
          <w:tcPr>
            <w:tcW w:w="1711" w:type="dxa"/>
            <w:tcBorders>
              <w:top w:val="single" w:sz="4" w:space="0" w:color="000000"/>
              <w:left w:val="single" w:sz="4" w:space="0" w:color="000000"/>
              <w:bottom w:val="single" w:sz="4" w:space="0" w:color="000000"/>
              <w:right w:val="single" w:sz="4" w:space="0" w:color="000000"/>
            </w:tcBorders>
          </w:tcPr>
          <w:p w14:paraId="51ED3C65" w14:textId="77777777" w:rsidR="00340F0A" w:rsidRPr="00F52CCB" w:rsidRDefault="00340F0A" w:rsidP="00443352">
            <w:pPr>
              <w:pStyle w:val="CLDNormal"/>
              <w:jc w:val="left"/>
              <w:rPr>
                <w:rFonts w:eastAsiaTheme="minorEastAsia"/>
                <w:b/>
                <w:sz w:val="20"/>
                <w:lang w:val="en-AU"/>
              </w:rPr>
            </w:pPr>
            <w:r w:rsidRPr="00F52CCB">
              <w:rPr>
                <w:rFonts w:eastAsiaTheme="minorEastAsia"/>
                <w:b/>
                <w:bCs/>
                <w:sz w:val="20"/>
                <w:lang w:val="en-AU"/>
              </w:rPr>
              <w:t>R-CHOP</w:t>
            </w:r>
          </w:p>
        </w:tc>
        <w:tc>
          <w:tcPr>
            <w:tcW w:w="1711" w:type="dxa"/>
            <w:tcBorders>
              <w:top w:val="single" w:sz="4" w:space="0" w:color="000000"/>
              <w:left w:val="single" w:sz="4" w:space="0" w:color="000000"/>
              <w:bottom w:val="single" w:sz="4" w:space="0" w:color="000000"/>
              <w:right w:val="single" w:sz="4" w:space="0" w:color="000000"/>
            </w:tcBorders>
          </w:tcPr>
          <w:p w14:paraId="1532D2B9" w14:textId="77777777" w:rsidR="00340F0A" w:rsidRPr="00F52CCB" w:rsidRDefault="00340F0A" w:rsidP="00443352">
            <w:pPr>
              <w:pStyle w:val="CLDNormal"/>
              <w:jc w:val="left"/>
              <w:rPr>
                <w:rFonts w:eastAsiaTheme="minorEastAsia"/>
                <w:b/>
                <w:sz w:val="20"/>
                <w:lang w:val="en-AU"/>
              </w:rPr>
            </w:pPr>
            <w:r w:rsidRPr="00F52CCB">
              <w:rPr>
                <w:rFonts w:eastAsiaTheme="minorEastAsia"/>
                <w:b/>
                <w:bCs/>
                <w:sz w:val="20"/>
                <w:lang w:val="en-AU"/>
              </w:rPr>
              <w:t>p-value</w:t>
            </w:r>
          </w:p>
        </w:tc>
        <w:tc>
          <w:tcPr>
            <w:tcW w:w="1711" w:type="dxa"/>
            <w:tcBorders>
              <w:top w:val="single" w:sz="4" w:space="0" w:color="000000"/>
              <w:left w:val="single" w:sz="4" w:space="0" w:color="000000"/>
              <w:bottom w:val="single" w:sz="4" w:space="0" w:color="000000"/>
              <w:right w:val="single" w:sz="4" w:space="0" w:color="000000"/>
            </w:tcBorders>
          </w:tcPr>
          <w:p w14:paraId="59CAC97D" w14:textId="77777777" w:rsidR="00340F0A" w:rsidRPr="00F52CCB" w:rsidRDefault="00340F0A" w:rsidP="00443352">
            <w:pPr>
              <w:pStyle w:val="CLDNormal"/>
              <w:jc w:val="left"/>
              <w:rPr>
                <w:rFonts w:eastAsiaTheme="minorEastAsia"/>
                <w:b/>
                <w:sz w:val="20"/>
                <w:lang w:val="en-AU"/>
              </w:rPr>
            </w:pPr>
            <w:r w:rsidRPr="00F52CCB">
              <w:rPr>
                <w:rFonts w:eastAsiaTheme="minorEastAsia"/>
                <w:b/>
                <w:bCs/>
                <w:sz w:val="20"/>
                <w:lang w:val="en-AU"/>
              </w:rPr>
              <w:t>Risk Reduction</w:t>
            </w:r>
            <w:r w:rsidRPr="00F52CCB">
              <w:rPr>
                <w:rFonts w:eastAsiaTheme="minorEastAsia"/>
                <w:b/>
                <w:bCs/>
                <w:sz w:val="20"/>
                <w:vertAlign w:val="superscript"/>
                <w:lang w:val="en-AU"/>
              </w:rPr>
              <w:t>1</w:t>
            </w:r>
          </w:p>
        </w:tc>
      </w:tr>
      <w:tr w:rsidR="00F52CCB" w:rsidRPr="00F52CCB" w14:paraId="77EB27E9" w14:textId="77777777" w:rsidTr="0042083F">
        <w:trPr>
          <w:trHeight w:hRule="exact" w:val="286"/>
        </w:trPr>
        <w:tc>
          <w:tcPr>
            <w:tcW w:w="9019" w:type="dxa"/>
            <w:gridSpan w:val="5"/>
            <w:tcBorders>
              <w:top w:val="single" w:sz="4" w:space="0" w:color="000000"/>
              <w:left w:val="single" w:sz="4" w:space="0" w:color="000000"/>
              <w:bottom w:val="single" w:sz="4" w:space="0" w:color="000000"/>
              <w:right w:val="single" w:sz="4" w:space="0" w:color="000000"/>
            </w:tcBorders>
          </w:tcPr>
          <w:p w14:paraId="557801D5" w14:textId="77777777" w:rsidR="00F52CCB" w:rsidRPr="00F52CCB" w:rsidRDefault="00F52CCB" w:rsidP="00443352">
            <w:pPr>
              <w:pStyle w:val="CLDNormal"/>
              <w:jc w:val="left"/>
              <w:rPr>
                <w:rFonts w:eastAsiaTheme="minorEastAsia"/>
                <w:sz w:val="20"/>
                <w:lang w:val="en-AU"/>
              </w:rPr>
            </w:pPr>
            <w:r w:rsidRPr="00F52CCB">
              <w:rPr>
                <w:rFonts w:eastAsiaTheme="minorEastAsia"/>
                <w:b/>
                <w:sz w:val="20"/>
                <w:lang w:val="en-AU"/>
              </w:rPr>
              <w:t>Primary Efficacy</w:t>
            </w:r>
          </w:p>
        </w:tc>
      </w:tr>
      <w:tr w:rsidR="00340F0A" w:rsidRPr="00F52CCB" w14:paraId="48A66DF9" w14:textId="77777777" w:rsidTr="00FA51D5">
        <w:trPr>
          <w:trHeight w:hRule="exact" w:val="286"/>
        </w:trPr>
        <w:tc>
          <w:tcPr>
            <w:tcW w:w="2175" w:type="dxa"/>
            <w:tcBorders>
              <w:top w:val="single" w:sz="4" w:space="0" w:color="000000"/>
              <w:left w:val="single" w:sz="4" w:space="0" w:color="000000"/>
              <w:bottom w:val="single" w:sz="4" w:space="0" w:color="000000"/>
              <w:right w:val="single" w:sz="4" w:space="0" w:color="000000"/>
            </w:tcBorders>
          </w:tcPr>
          <w:p w14:paraId="13670631"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ORR</w:t>
            </w:r>
            <w:r w:rsidRPr="00F52CCB">
              <w:rPr>
                <w:rFonts w:eastAsiaTheme="minorEastAsia"/>
                <w:sz w:val="20"/>
                <w:vertAlign w:val="superscript"/>
                <w:lang w:val="en-AU"/>
              </w:rPr>
              <w:t>2</w:t>
            </w:r>
          </w:p>
        </w:tc>
        <w:tc>
          <w:tcPr>
            <w:tcW w:w="1711" w:type="dxa"/>
            <w:tcBorders>
              <w:top w:val="single" w:sz="4" w:space="0" w:color="000000"/>
              <w:left w:val="single" w:sz="4" w:space="0" w:color="000000"/>
              <w:bottom w:val="single" w:sz="4" w:space="0" w:color="000000"/>
              <w:right w:val="single" w:sz="4" w:space="0" w:color="000000"/>
            </w:tcBorders>
          </w:tcPr>
          <w:p w14:paraId="726532AE"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74%</w:t>
            </w:r>
          </w:p>
        </w:tc>
        <w:tc>
          <w:tcPr>
            <w:tcW w:w="1711" w:type="dxa"/>
            <w:tcBorders>
              <w:top w:val="single" w:sz="4" w:space="0" w:color="000000"/>
              <w:left w:val="single" w:sz="4" w:space="0" w:color="000000"/>
              <w:bottom w:val="single" w:sz="4" w:space="0" w:color="000000"/>
              <w:right w:val="single" w:sz="4" w:space="0" w:color="000000"/>
            </w:tcBorders>
          </w:tcPr>
          <w:p w14:paraId="2F5635D9"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87%</w:t>
            </w:r>
          </w:p>
        </w:tc>
        <w:tc>
          <w:tcPr>
            <w:tcW w:w="1711" w:type="dxa"/>
            <w:tcBorders>
              <w:top w:val="single" w:sz="4" w:space="0" w:color="000000"/>
              <w:left w:val="single" w:sz="4" w:space="0" w:color="000000"/>
              <w:bottom w:val="single" w:sz="4" w:space="0" w:color="000000"/>
              <w:right w:val="single" w:sz="4" w:space="0" w:color="000000"/>
            </w:tcBorders>
          </w:tcPr>
          <w:p w14:paraId="195C8A65"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0.0003</w:t>
            </w:r>
          </w:p>
        </w:tc>
        <w:tc>
          <w:tcPr>
            <w:tcW w:w="1711" w:type="dxa"/>
            <w:tcBorders>
              <w:top w:val="single" w:sz="4" w:space="0" w:color="000000"/>
              <w:left w:val="single" w:sz="4" w:space="0" w:color="000000"/>
              <w:bottom w:val="single" w:sz="4" w:space="0" w:color="000000"/>
              <w:right w:val="single" w:sz="4" w:space="0" w:color="000000"/>
            </w:tcBorders>
          </w:tcPr>
          <w:p w14:paraId="0E35FFE3"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NA</w:t>
            </w:r>
          </w:p>
        </w:tc>
      </w:tr>
      <w:tr w:rsidR="00340F0A" w:rsidRPr="00F52CCB" w14:paraId="57C16103" w14:textId="77777777" w:rsidTr="00FA51D5">
        <w:trPr>
          <w:trHeight w:hRule="exact" w:val="286"/>
        </w:trPr>
        <w:tc>
          <w:tcPr>
            <w:tcW w:w="2175" w:type="dxa"/>
            <w:tcBorders>
              <w:top w:val="single" w:sz="4" w:space="0" w:color="000000"/>
              <w:left w:val="single" w:sz="4" w:space="0" w:color="000000"/>
              <w:bottom w:val="single" w:sz="4" w:space="0" w:color="000000"/>
              <w:right w:val="single" w:sz="4" w:space="0" w:color="000000"/>
            </w:tcBorders>
          </w:tcPr>
          <w:p w14:paraId="33D5C060"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CR</w:t>
            </w:r>
            <w:r w:rsidRPr="00F52CCB">
              <w:rPr>
                <w:rFonts w:eastAsiaTheme="minorEastAsia"/>
                <w:sz w:val="20"/>
                <w:vertAlign w:val="superscript"/>
                <w:lang w:val="en-AU"/>
              </w:rPr>
              <w:t>2</w:t>
            </w:r>
          </w:p>
        </w:tc>
        <w:tc>
          <w:tcPr>
            <w:tcW w:w="1711" w:type="dxa"/>
            <w:tcBorders>
              <w:top w:val="single" w:sz="4" w:space="0" w:color="000000"/>
              <w:left w:val="single" w:sz="4" w:space="0" w:color="000000"/>
              <w:bottom w:val="single" w:sz="4" w:space="0" w:color="000000"/>
              <w:right w:val="single" w:sz="4" w:space="0" w:color="000000"/>
            </w:tcBorders>
          </w:tcPr>
          <w:p w14:paraId="2A41F154"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16%</w:t>
            </w:r>
          </w:p>
        </w:tc>
        <w:tc>
          <w:tcPr>
            <w:tcW w:w="1711" w:type="dxa"/>
            <w:tcBorders>
              <w:top w:val="single" w:sz="4" w:space="0" w:color="000000"/>
              <w:left w:val="single" w:sz="4" w:space="0" w:color="000000"/>
              <w:bottom w:val="single" w:sz="4" w:space="0" w:color="000000"/>
              <w:right w:val="single" w:sz="4" w:space="0" w:color="000000"/>
            </w:tcBorders>
          </w:tcPr>
          <w:p w14:paraId="3ED3DDCF"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29%</w:t>
            </w:r>
          </w:p>
        </w:tc>
        <w:tc>
          <w:tcPr>
            <w:tcW w:w="1711" w:type="dxa"/>
            <w:tcBorders>
              <w:top w:val="single" w:sz="4" w:space="0" w:color="000000"/>
              <w:left w:val="single" w:sz="4" w:space="0" w:color="000000"/>
              <w:bottom w:val="single" w:sz="4" w:space="0" w:color="000000"/>
              <w:right w:val="single" w:sz="4" w:space="0" w:color="000000"/>
            </w:tcBorders>
          </w:tcPr>
          <w:p w14:paraId="60F1342D"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0.0005</w:t>
            </w:r>
          </w:p>
        </w:tc>
        <w:tc>
          <w:tcPr>
            <w:tcW w:w="1711" w:type="dxa"/>
            <w:tcBorders>
              <w:top w:val="single" w:sz="4" w:space="0" w:color="000000"/>
              <w:left w:val="single" w:sz="4" w:space="0" w:color="000000"/>
              <w:bottom w:val="single" w:sz="4" w:space="0" w:color="000000"/>
              <w:right w:val="single" w:sz="4" w:space="0" w:color="000000"/>
            </w:tcBorders>
          </w:tcPr>
          <w:p w14:paraId="206B845B"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NA</w:t>
            </w:r>
          </w:p>
        </w:tc>
      </w:tr>
      <w:tr w:rsidR="00340F0A" w:rsidRPr="00F52CCB" w14:paraId="6BC0CDF6" w14:textId="77777777" w:rsidTr="00FA51D5">
        <w:trPr>
          <w:trHeight w:hRule="exact" w:val="288"/>
        </w:trPr>
        <w:tc>
          <w:tcPr>
            <w:tcW w:w="2175" w:type="dxa"/>
            <w:tcBorders>
              <w:top w:val="single" w:sz="4" w:space="0" w:color="000000"/>
              <w:left w:val="single" w:sz="4" w:space="0" w:color="000000"/>
              <w:bottom w:val="single" w:sz="4" w:space="0" w:color="000000"/>
              <w:right w:val="single" w:sz="4" w:space="0" w:color="000000"/>
            </w:tcBorders>
          </w:tcPr>
          <w:p w14:paraId="30B394A5"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PR</w:t>
            </w:r>
            <w:r w:rsidRPr="00F52CCB">
              <w:rPr>
                <w:rFonts w:eastAsiaTheme="minorEastAsia"/>
                <w:sz w:val="20"/>
                <w:vertAlign w:val="superscript"/>
                <w:lang w:val="en-AU"/>
              </w:rPr>
              <w:t>2</w:t>
            </w:r>
          </w:p>
        </w:tc>
        <w:tc>
          <w:tcPr>
            <w:tcW w:w="1711" w:type="dxa"/>
            <w:tcBorders>
              <w:top w:val="single" w:sz="4" w:space="0" w:color="000000"/>
              <w:left w:val="single" w:sz="4" w:space="0" w:color="000000"/>
              <w:bottom w:val="single" w:sz="4" w:space="0" w:color="000000"/>
              <w:right w:val="single" w:sz="4" w:space="0" w:color="000000"/>
            </w:tcBorders>
          </w:tcPr>
          <w:p w14:paraId="745A4EA3"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58%</w:t>
            </w:r>
          </w:p>
        </w:tc>
        <w:tc>
          <w:tcPr>
            <w:tcW w:w="1711" w:type="dxa"/>
            <w:tcBorders>
              <w:top w:val="single" w:sz="4" w:space="0" w:color="000000"/>
              <w:left w:val="single" w:sz="4" w:space="0" w:color="000000"/>
              <w:bottom w:val="single" w:sz="4" w:space="0" w:color="000000"/>
              <w:right w:val="single" w:sz="4" w:space="0" w:color="000000"/>
            </w:tcBorders>
          </w:tcPr>
          <w:p w14:paraId="4787B51B"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58%</w:t>
            </w:r>
          </w:p>
        </w:tc>
        <w:tc>
          <w:tcPr>
            <w:tcW w:w="1711" w:type="dxa"/>
            <w:tcBorders>
              <w:top w:val="single" w:sz="4" w:space="0" w:color="000000"/>
              <w:left w:val="single" w:sz="4" w:space="0" w:color="000000"/>
              <w:bottom w:val="single" w:sz="4" w:space="0" w:color="000000"/>
              <w:right w:val="single" w:sz="4" w:space="0" w:color="000000"/>
            </w:tcBorders>
          </w:tcPr>
          <w:p w14:paraId="3C3BAA3F"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0.9449</w:t>
            </w:r>
          </w:p>
        </w:tc>
        <w:tc>
          <w:tcPr>
            <w:tcW w:w="1711" w:type="dxa"/>
            <w:tcBorders>
              <w:top w:val="single" w:sz="4" w:space="0" w:color="000000"/>
              <w:left w:val="single" w:sz="4" w:space="0" w:color="000000"/>
              <w:bottom w:val="single" w:sz="4" w:space="0" w:color="000000"/>
              <w:right w:val="single" w:sz="4" w:space="0" w:color="000000"/>
            </w:tcBorders>
          </w:tcPr>
          <w:p w14:paraId="57FEF9C5"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NA</w:t>
            </w:r>
          </w:p>
        </w:tc>
      </w:tr>
      <w:tr w:rsidR="00F52CCB" w:rsidRPr="00F52CCB" w14:paraId="42FC87EF" w14:textId="77777777" w:rsidTr="0042083F">
        <w:trPr>
          <w:trHeight w:hRule="exact" w:val="286"/>
        </w:trPr>
        <w:tc>
          <w:tcPr>
            <w:tcW w:w="9019" w:type="dxa"/>
            <w:gridSpan w:val="5"/>
            <w:tcBorders>
              <w:top w:val="single" w:sz="4" w:space="0" w:color="000000"/>
              <w:left w:val="single" w:sz="4" w:space="0" w:color="000000"/>
              <w:bottom w:val="single" w:sz="4" w:space="0" w:color="000000"/>
              <w:right w:val="single" w:sz="4" w:space="0" w:color="000000"/>
            </w:tcBorders>
          </w:tcPr>
          <w:p w14:paraId="5EAA3693" w14:textId="77777777" w:rsidR="00F52CCB" w:rsidRPr="00F52CCB" w:rsidRDefault="00F52CCB" w:rsidP="00443352">
            <w:pPr>
              <w:pStyle w:val="CLDNormal"/>
              <w:jc w:val="left"/>
              <w:rPr>
                <w:rFonts w:eastAsiaTheme="minorEastAsia"/>
                <w:sz w:val="20"/>
                <w:lang w:val="en-AU"/>
              </w:rPr>
            </w:pPr>
            <w:r w:rsidRPr="00F52CCB">
              <w:rPr>
                <w:rFonts w:eastAsiaTheme="minorEastAsia"/>
                <w:b/>
                <w:sz w:val="20"/>
                <w:lang w:val="en-AU"/>
              </w:rPr>
              <w:t>Secondary Efficacy</w:t>
            </w:r>
          </w:p>
        </w:tc>
      </w:tr>
      <w:tr w:rsidR="00340F0A" w:rsidRPr="00F52CCB" w14:paraId="180DA150" w14:textId="77777777" w:rsidTr="00FA51D5">
        <w:trPr>
          <w:trHeight w:hRule="exact" w:val="286"/>
        </w:trPr>
        <w:tc>
          <w:tcPr>
            <w:tcW w:w="2175" w:type="dxa"/>
            <w:tcBorders>
              <w:top w:val="single" w:sz="4" w:space="0" w:color="000000"/>
              <w:left w:val="single" w:sz="4" w:space="0" w:color="000000"/>
              <w:bottom w:val="single" w:sz="4" w:space="0" w:color="000000"/>
              <w:right w:val="single" w:sz="4" w:space="0" w:color="000000"/>
            </w:tcBorders>
          </w:tcPr>
          <w:p w14:paraId="6CF7B031"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OS (median)</w:t>
            </w:r>
          </w:p>
        </w:tc>
        <w:tc>
          <w:tcPr>
            <w:tcW w:w="1711" w:type="dxa"/>
            <w:tcBorders>
              <w:top w:val="single" w:sz="4" w:space="0" w:color="000000"/>
              <w:left w:val="single" w:sz="4" w:space="0" w:color="000000"/>
              <w:bottom w:val="single" w:sz="4" w:space="0" w:color="000000"/>
              <w:right w:val="single" w:sz="4" w:space="0" w:color="000000"/>
            </w:tcBorders>
          </w:tcPr>
          <w:p w14:paraId="752F35DE"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NR</w:t>
            </w:r>
          </w:p>
        </w:tc>
        <w:tc>
          <w:tcPr>
            <w:tcW w:w="1711" w:type="dxa"/>
            <w:tcBorders>
              <w:top w:val="single" w:sz="4" w:space="0" w:color="000000"/>
              <w:left w:val="single" w:sz="4" w:space="0" w:color="000000"/>
              <w:bottom w:val="single" w:sz="4" w:space="0" w:color="000000"/>
              <w:right w:val="single" w:sz="4" w:space="0" w:color="000000"/>
            </w:tcBorders>
          </w:tcPr>
          <w:p w14:paraId="2F327F69"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NR</w:t>
            </w:r>
          </w:p>
        </w:tc>
        <w:tc>
          <w:tcPr>
            <w:tcW w:w="1711" w:type="dxa"/>
            <w:tcBorders>
              <w:top w:val="single" w:sz="4" w:space="0" w:color="000000"/>
              <w:left w:val="single" w:sz="4" w:space="0" w:color="000000"/>
              <w:bottom w:val="single" w:sz="4" w:space="0" w:color="000000"/>
              <w:right w:val="single" w:sz="4" w:space="0" w:color="000000"/>
            </w:tcBorders>
          </w:tcPr>
          <w:p w14:paraId="3F4E9911"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0.0508</w:t>
            </w:r>
          </w:p>
        </w:tc>
        <w:tc>
          <w:tcPr>
            <w:tcW w:w="1711" w:type="dxa"/>
            <w:tcBorders>
              <w:top w:val="single" w:sz="4" w:space="0" w:color="000000"/>
              <w:left w:val="single" w:sz="4" w:space="0" w:color="000000"/>
              <w:bottom w:val="single" w:sz="4" w:space="0" w:color="000000"/>
              <w:right w:val="single" w:sz="4" w:space="0" w:color="000000"/>
            </w:tcBorders>
          </w:tcPr>
          <w:p w14:paraId="4552E450"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32%</w:t>
            </w:r>
          </w:p>
        </w:tc>
      </w:tr>
      <w:tr w:rsidR="00340F0A" w:rsidRPr="00F52CCB" w14:paraId="73A7552E" w14:textId="77777777" w:rsidTr="00FA51D5">
        <w:trPr>
          <w:trHeight w:hRule="exact" w:val="253"/>
        </w:trPr>
        <w:tc>
          <w:tcPr>
            <w:tcW w:w="2175" w:type="dxa"/>
            <w:tcBorders>
              <w:top w:val="single" w:sz="4" w:space="0" w:color="000000"/>
              <w:left w:val="single" w:sz="4" w:space="0" w:color="000000"/>
              <w:bottom w:val="single" w:sz="4" w:space="0" w:color="auto"/>
              <w:right w:val="single" w:sz="4" w:space="0" w:color="000000"/>
            </w:tcBorders>
          </w:tcPr>
          <w:p w14:paraId="5DF24224"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PFS(median)</w:t>
            </w:r>
          </w:p>
        </w:tc>
        <w:tc>
          <w:tcPr>
            <w:tcW w:w="1711" w:type="dxa"/>
            <w:tcBorders>
              <w:top w:val="single" w:sz="4" w:space="0" w:color="000000"/>
              <w:left w:val="single" w:sz="4" w:space="0" w:color="000000"/>
              <w:bottom w:val="single" w:sz="4" w:space="0" w:color="auto"/>
              <w:right w:val="single" w:sz="4" w:space="0" w:color="000000"/>
            </w:tcBorders>
          </w:tcPr>
          <w:p w14:paraId="31E0553E"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19.4 mo</w:t>
            </w:r>
            <w:r w:rsidR="0042083F">
              <w:rPr>
                <w:rFonts w:eastAsiaTheme="minorEastAsia"/>
                <w:sz w:val="20"/>
                <w:lang w:val="en-AU"/>
              </w:rPr>
              <w:t>nths</w:t>
            </w:r>
          </w:p>
        </w:tc>
        <w:tc>
          <w:tcPr>
            <w:tcW w:w="1711" w:type="dxa"/>
            <w:tcBorders>
              <w:top w:val="single" w:sz="4" w:space="0" w:color="000000"/>
              <w:left w:val="single" w:sz="4" w:space="0" w:color="000000"/>
              <w:bottom w:val="single" w:sz="4" w:space="0" w:color="auto"/>
              <w:right w:val="single" w:sz="4" w:space="0" w:color="000000"/>
            </w:tcBorders>
          </w:tcPr>
          <w:p w14:paraId="0632F029"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33.2 mo</w:t>
            </w:r>
            <w:r w:rsidR="0042083F">
              <w:rPr>
                <w:rFonts w:eastAsiaTheme="minorEastAsia"/>
                <w:sz w:val="20"/>
                <w:lang w:val="en-AU"/>
              </w:rPr>
              <w:t>nths</w:t>
            </w:r>
          </w:p>
        </w:tc>
        <w:tc>
          <w:tcPr>
            <w:tcW w:w="1711" w:type="dxa"/>
            <w:tcBorders>
              <w:top w:val="single" w:sz="4" w:space="0" w:color="000000"/>
              <w:left w:val="single" w:sz="4" w:space="0" w:color="000000"/>
              <w:bottom w:val="single" w:sz="4" w:space="0" w:color="auto"/>
              <w:right w:val="single" w:sz="4" w:space="0" w:color="000000"/>
            </w:tcBorders>
          </w:tcPr>
          <w:p w14:paraId="6B34170E"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0.0001</w:t>
            </w:r>
          </w:p>
        </w:tc>
        <w:tc>
          <w:tcPr>
            <w:tcW w:w="1711" w:type="dxa"/>
            <w:tcBorders>
              <w:top w:val="single" w:sz="4" w:space="0" w:color="000000"/>
              <w:left w:val="single" w:sz="4" w:space="0" w:color="000000"/>
              <w:bottom w:val="single" w:sz="4" w:space="0" w:color="auto"/>
              <w:right w:val="single" w:sz="4" w:space="0" w:color="000000"/>
            </w:tcBorders>
          </w:tcPr>
          <w:p w14:paraId="48655CD6" w14:textId="77777777" w:rsidR="00340F0A" w:rsidRPr="00F52CCB" w:rsidRDefault="00340F0A" w:rsidP="00443352">
            <w:pPr>
              <w:pStyle w:val="CLDNormal"/>
              <w:jc w:val="left"/>
              <w:rPr>
                <w:rFonts w:eastAsiaTheme="minorEastAsia"/>
                <w:sz w:val="20"/>
                <w:lang w:val="en-AU"/>
              </w:rPr>
            </w:pPr>
            <w:r w:rsidRPr="00F52CCB">
              <w:rPr>
                <w:rFonts w:eastAsiaTheme="minorEastAsia"/>
                <w:sz w:val="20"/>
                <w:lang w:val="en-AU"/>
              </w:rPr>
              <w:t>38%</w:t>
            </w:r>
          </w:p>
        </w:tc>
      </w:tr>
    </w:tbl>
    <w:p w14:paraId="757BC4F0" w14:textId="77777777" w:rsidR="00FA51D5" w:rsidRPr="00FA51D5" w:rsidRDefault="00FA51D5" w:rsidP="00443352">
      <w:pPr>
        <w:pStyle w:val="CLDNormal"/>
        <w:spacing w:after="0"/>
        <w:jc w:val="left"/>
        <w:rPr>
          <w:rFonts w:eastAsiaTheme="minorEastAsia"/>
          <w:sz w:val="20"/>
          <w:lang w:val="en-US"/>
        </w:rPr>
      </w:pPr>
      <w:r w:rsidRPr="00FA51D5">
        <w:rPr>
          <w:rFonts w:eastAsiaTheme="minorEastAsia"/>
          <w:sz w:val="20"/>
          <w:vertAlign w:val="superscript"/>
          <w:lang w:val="en-US"/>
        </w:rPr>
        <w:t>1</w:t>
      </w:r>
      <w:r w:rsidRPr="00FA51D5">
        <w:rPr>
          <w:rFonts w:eastAsiaTheme="minorEastAsia"/>
          <w:sz w:val="20"/>
          <w:lang w:val="en-US"/>
        </w:rPr>
        <w:t xml:space="preserve"> Estimates were calculated by hazard ratios</w:t>
      </w:r>
    </w:p>
    <w:p w14:paraId="283F1583" w14:textId="77777777" w:rsidR="00FA51D5" w:rsidRPr="00FA51D5" w:rsidRDefault="00FA51D5" w:rsidP="00443352">
      <w:pPr>
        <w:pStyle w:val="CLDNormal"/>
        <w:spacing w:after="0"/>
        <w:jc w:val="left"/>
        <w:rPr>
          <w:rFonts w:eastAsiaTheme="minorEastAsia"/>
          <w:sz w:val="20"/>
          <w:lang w:val="en-US"/>
        </w:rPr>
      </w:pPr>
      <w:r w:rsidRPr="00FA51D5">
        <w:rPr>
          <w:rFonts w:eastAsiaTheme="minorEastAsia"/>
          <w:sz w:val="20"/>
          <w:vertAlign w:val="superscript"/>
          <w:lang w:val="en-US"/>
        </w:rPr>
        <w:t>2</w:t>
      </w:r>
      <w:r w:rsidRPr="00FA51D5">
        <w:rPr>
          <w:rFonts w:eastAsiaTheme="minorEastAsia"/>
          <w:sz w:val="20"/>
          <w:lang w:val="en-US"/>
        </w:rPr>
        <w:t xml:space="preserve"> Last </w:t>
      </w:r>
      <w:proofErr w:type="spellStart"/>
      <w:r w:rsidRPr="00FA51D5">
        <w:rPr>
          <w:rFonts w:eastAsiaTheme="minorEastAsia"/>
          <w:sz w:val="20"/>
          <w:lang w:val="en-US"/>
        </w:rPr>
        <w:t>tumour</w:t>
      </w:r>
      <w:proofErr w:type="spellEnd"/>
      <w:r w:rsidRPr="00FA51D5">
        <w:rPr>
          <w:rFonts w:eastAsiaTheme="minorEastAsia"/>
          <w:sz w:val="20"/>
          <w:lang w:val="en-US"/>
        </w:rPr>
        <w:t xml:space="preserve"> response as assessed by the investigator. The “primary” statistical test for “response” was the trend test of CR versus PR versus non-response (p &lt; 0.0001)</w:t>
      </w:r>
    </w:p>
    <w:p w14:paraId="172912D7" w14:textId="77777777" w:rsidR="00340F0A" w:rsidRDefault="00FA51D5" w:rsidP="00443352">
      <w:pPr>
        <w:pStyle w:val="CLDNormal"/>
        <w:spacing w:after="0"/>
        <w:jc w:val="left"/>
        <w:rPr>
          <w:rFonts w:eastAsiaTheme="minorEastAsia"/>
          <w:sz w:val="20"/>
          <w:lang w:val="en-US"/>
        </w:rPr>
      </w:pPr>
      <w:r w:rsidRPr="00FA51D5">
        <w:rPr>
          <w:rFonts w:eastAsiaTheme="minorEastAsia"/>
          <w:sz w:val="20"/>
          <w:lang w:val="en-US"/>
        </w:rPr>
        <w:t xml:space="preserve">Abbreviations: NA, not available; NR, not reached; </w:t>
      </w:r>
      <w:proofErr w:type="spellStart"/>
      <w:r w:rsidRPr="00FA51D5">
        <w:rPr>
          <w:rFonts w:eastAsiaTheme="minorEastAsia"/>
          <w:sz w:val="20"/>
          <w:lang w:val="en-US"/>
        </w:rPr>
        <w:t>mo</w:t>
      </w:r>
      <w:proofErr w:type="spellEnd"/>
      <w:r w:rsidRPr="00FA51D5">
        <w:rPr>
          <w:rFonts w:eastAsiaTheme="minorEastAsia"/>
          <w:sz w:val="20"/>
          <w:lang w:val="en-US"/>
        </w:rPr>
        <w:t>, months; ORR: overall response rate; CR: complete response; PR: partial response; OS : overall survival ; PFS : progression free survival</w:t>
      </w:r>
    </w:p>
    <w:p w14:paraId="1DC48A30" w14:textId="77777777" w:rsidR="00FA51D5" w:rsidRDefault="00FA51D5" w:rsidP="00443352">
      <w:pPr>
        <w:pStyle w:val="CLDNormal"/>
        <w:spacing w:after="0"/>
        <w:jc w:val="left"/>
        <w:rPr>
          <w:rFonts w:eastAsiaTheme="minorEastAsia"/>
          <w:sz w:val="20"/>
          <w:lang w:val="en-US"/>
        </w:rPr>
      </w:pPr>
    </w:p>
    <w:p w14:paraId="17F6233D" w14:textId="6DBC3F66" w:rsidR="00FA51D5" w:rsidRPr="00FA51D5" w:rsidRDefault="00FA51D5" w:rsidP="00443352">
      <w:pPr>
        <w:pStyle w:val="CLDNormal"/>
        <w:jc w:val="left"/>
        <w:rPr>
          <w:rFonts w:eastAsiaTheme="minorEastAsia"/>
          <w:szCs w:val="24"/>
          <w:lang w:val="en-US"/>
        </w:rPr>
      </w:pPr>
      <w:r w:rsidRPr="00FA51D5">
        <w:rPr>
          <w:rFonts w:eastAsiaTheme="minorEastAsia"/>
          <w:szCs w:val="24"/>
          <w:lang w:val="en-US"/>
        </w:rPr>
        <w:t xml:space="preserve">For patients </w:t>
      </w:r>
      <w:proofErr w:type="spellStart"/>
      <w:r w:rsidRPr="00FA51D5">
        <w:rPr>
          <w:rFonts w:eastAsiaTheme="minorEastAsia"/>
          <w:szCs w:val="24"/>
          <w:lang w:val="en-US"/>
        </w:rPr>
        <w:t>randomised</w:t>
      </w:r>
      <w:proofErr w:type="spellEnd"/>
      <w:r w:rsidRPr="00FA51D5">
        <w:rPr>
          <w:rFonts w:eastAsiaTheme="minorEastAsia"/>
          <w:szCs w:val="24"/>
          <w:lang w:val="en-US"/>
        </w:rPr>
        <w:t xml:space="preserve"> to the maintenance phase of the trial, the median observation time was 28 months from maintenance </w:t>
      </w:r>
      <w:proofErr w:type="spellStart"/>
      <w:r w:rsidRPr="00FA51D5">
        <w:rPr>
          <w:rFonts w:eastAsiaTheme="minorEastAsia"/>
          <w:szCs w:val="24"/>
          <w:lang w:val="en-US"/>
        </w:rPr>
        <w:t>randomisation</w:t>
      </w:r>
      <w:proofErr w:type="spellEnd"/>
      <w:r w:rsidRPr="00FA51D5">
        <w:rPr>
          <w:rFonts w:eastAsiaTheme="minorEastAsia"/>
          <w:szCs w:val="24"/>
          <w:lang w:val="en-US"/>
        </w:rPr>
        <w:t xml:space="preserve">. Maintenance treatment with </w:t>
      </w:r>
      <w:bookmarkStart w:id="4" w:name="_Hlk24026032"/>
      <w:r w:rsidR="0042083F">
        <w:rPr>
          <w:rFonts w:eastAsiaTheme="minorEastAsia"/>
          <w:szCs w:val="24"/>
          <w:lang w:val="en-US"/>
        </w:rPr>
        <w:t>rituximab</w:t>
      </w:r>
      <w:r w:rsidRPr="00FA51D5">
        <w:rPr>
          <w:rFonts w:eastAsiaTheme="minorEastAsia"/>
          <w:szCs w:val="24"/>
          <w:lang w:val="en-US"/>
        </w:rPr>
        <w:t xml:space="preserve"> </w:t>
      </w:r>
      <w:bookmarkEnd w:id="4"/>
      <w:r w:rsidRPr="00FA51D5">
        <w:rPr>
          <w:rFonts w:eastAsiaTheme="minorEastAsia"/>
          <w:szCs w:val="24"/>
          <w:lang w:val="en-US"/>
        </w:rPr>
        <w:t xml:space="preserve">led to a clinically relevant and statistically significant improvement in the primary endpoint, PFS, (time from maintenance </w:t>
      </w:r>
      <w:proofErr w:type="spellStart"/>
      <w:r w:rsidRPr="00FA51D5">
        <w:rPr>
          <w:rFonts w:eastAsiaTheme="minorEastAsia"/>
          <w:szCs w:val="24"/>
          <w:lang w:val="en-US"/>
        </w:rPr>
        <w:t>randomisation</w:t>
      </w:r>
      <w:proofErr w:type="spellEnd"/>
      <w:r w:rsidRPr="00FA51D5">
        <w:rPr>
          <w:rFonts w:eastAsiaTheme="minorEastAsia"/>
          <w:szCs w:val="24"/>
          <w:lang w:val="en-US"/>
        </w:rPr>
        <w:t xml:space="preserve"> to relapse, disease progression or death) when compared to observation alone (p&lt; 0.0001 log-rank test). The median PFS was 42.2 months in the </w:t>
      </w:r>
      <w:r w:rsidR="0042083F" w:rsidRPr="0042083F">
        <w:rPr>
          <w:rFonts w:eastAsiaTheme="minorEastAsia"/>
          <w:szCs w:val="24"/>
          <w:lang w:val="en-US"/>
        </w:rPr>
        <w:t xml:space="preserve"> rituximab</w:t>
      </w:r>
      <w:r w:rsidRPr="00FA51D5">
        <w:rPr>
          <w:rFonts w:eastAsiaTheme="minorEastAsia"/>
          <w:szCs w:val="24"/>
          <w:lang w:val="en-US"/>
        </w:rPr>
        <w:t xml:space="preserve"> maintenance arm compared to 14.3 months in the observation arm. Using a cox regression analysis, the risk of experiencing progressive disease or death was reduced by 61% with </w:t>
      </w:r>
      <w:r w:rsidR="0042083F" w:rsidRPr="0042083F">
        <w:rPr>
          <w:rFonts w:eastAsiaTheme="minorEastAsia"/>
          <w:szCs w:val="24"/>
          <w:lang w:val="en-US"/>
        </w:rPr>
        <w:t xml:space="preserve"> rituximab</w:t>
      </w:r>
      <w:r w:rsidRPr="00FA51D5">
        <w:rPr>
          <w:rFonts w:eastAsiaTheme="minorEastAsia"/>
          <w:szCs w:val="24"/>
          <w:lang w:val="en-US"/>
        </w:rPr>
        <w:t xml:space="preserve"> maintenance treatment when compared to observation (95% CI; 45%-72%). Kaplan-Meier estimated progression-free rates at 12 months were 78% in the </w:t>
      </w:r>
      <w:r w:rsidR="0042083F" w:rsidRPr="0042083F">
        <w:rPr>
          <w:rFonts w:eastAsiaTheme="minorEastAsia"/>
          <w:szCs w:val="24"/>
          <w:lang w:val="en-US"/>
        </w:rPr>
        <w:t xml:space="preserve"> rituximab</w:t>
      </w:r>
      <w:r w:rsidRPr="00FA51D5">
        <w:rPr>
          <w:rFonts w:eastAsiaTheme="minorEastAsia"/>
          <w:szCs w:val="24"/>
          <w:lang w:val="en-US"/>
        </w:rPr>
        <w:t xml:space="preserve"> maintenance group vs. 57% in the observation group. An analysis of overall survival confirmed the significant benefit of </w:t>
      </w:r>
      <w:r w:rsidR="0042083F" w:rsidRPr="0042083F">
        <w:rPr>
          <w:rFonts w:eastAsiaTheme="minorEastAsia"/>
          <w:szCs w:val="24"/>
          <w:lang w:val="en-US"/>
        </w:rPr>
        <w:t xml:space="preserve"> rituximab</w:t>
      </w:r>
      <w:r w:rsidRPr="00FA51D5">
        <w:rPr>
          <w:rFonts w:eastAsiaTheme="minorEastAsia"/>
          <w:szCs w:val="24"/>
          <w:lang w:val="en-US"/>
        </w:rPr>
        <w:t xml:space="preserve"> maintenance over observation (p=0.0039 log-rank test). </w:t>
      </w:r>
      <w:r w:rsidR="0042083F" w:rsidRPr="0042083F">
        <w:rPr>
          <w:rFonts w:eastAsiaTheme="minorEastAsia"/>
          <w:szCs w:val="24"/>
          <w:lang w:val="en-US"/>
        </w:rPr>
        <w:t xml:space="preserve"> </w:t>
      </w:r>
      <w:r w:rsidR="0042083F">
        <w:rPr>
          <w:rFonts w:eastAsiaTheme="minorEastAsia"/>
          <w:szCs w:val="24"/>
          <w:lang w:val="en-US"/>
        </w:rPr>
        <w:t>R</w:t>
      </w:r>
      <w:r w:rsidR="0042083F" w:rsidRPr="0042083F">
        <w:rPr>
          <w:rFonts w:eastAsiaTheme="minorEastAsia"/>
          <w:szCs w:val="24"/>
          <w:lang w:val="en-US"/>
        </w:rPr>
        <w:t>ituximab</w:t>
      </w:r>
      <w:r w:rsidRPr="00FA51D5">
        <w:rPr>
          <w:rFonts w:eastAsiaTheme="minorEastAsia"/>
          <w:szCs w:val="24"/>
          <w:lang w:val="en-US"/>
        </w:rPr>
        <w:t xml:space="preserve"> maintenance treatment reduced the risk of death by 56% (95% CI; 22%-75%).</w:t>
      </w:r>
    </w:p>
    <w:p w14:paraId="58B29FCB" w14:textId="4BDFAD96" w:rsidR="00FA51D5" w:rsidRDefault="00FA51D5" w:rsidP="00443352">
      <w:pPr>
        <w:pStyle w:val="CLDNormal"/>
        <w:jc w:val="left"/>
        <w:rPr>
          <w:rFonts w:eastAsiaTheme="minorEastAsia"/>
          <w:szCs w:val="24"/>
          <w:lang w:val="en-US"/>
        </w:rPr>
      </w:pPr>
      <w:r w:rsidRPr="00FA51D5">
        <w:rPr>
          <w:rFonts w:eastAsiaTheme="minorEastAsia"/>
          <w:szCs w:val="24"/>
          <w:lang w:val="en-US"/>
        </w:rPr>
        <w:t xml:space="preserve">The median time to new anti-lymphoma treatment was significantly longer with </w:t>
      </w:r>
      <w:r w:rsidR="0042083F" w:rsidRPr="0042083F">
        <w:rPr>
          <w:rFonts w:eastAsiaTheme="minorEastAsia"/>
          <w:szCs w:val="24"/>
          <w:lang w:val="en-US"/>
        </w:rPr>
        <w:t xml:space="preserve"> rituximab</w:t>
      </w:r>
      <w:r w:rsidRPr="00FA51D5">
        <w:rPr>
          <w:rFonts w:eastAsiaTheme="minorEastAsia"/>
          <w:szCs w:val="24"/>
          <w:lang w:val="en-US"/>
        </w:rPr>
        <w:t xml:space="preserve"> maintenance treatment than with observation (38.8 months vs. 20.1 months, p&lt; 0.0001 log-rank test). The risk of starting a new treatment was reduced by 50% (95% CI; 30%-64%). In patients achieving a CR/</w:t>
      </w:r>
      <w:proofErr w:type="spellStart"/>
      <w:r w:rsidRPr="00FA51D5">
        <w:rPr>
          <w:rFonts w:eastAsiaTheme="minorEastAsia"/>
          <w:szCs w:val="24"/>
          <w:lang w:val="en-US"/>
        </w:rPr>
        <w:t>CRu</w:t>
      </w:r>
      <w:proofErr w:type="spellEnd"/>
      <w:r w:rsidRPr="00FA51D5">
        <w:rPr>
          <w:rFonts w:eastAsiaTheme="minorEastAsia"/>
          <w:szCs w:val="24"/>
          <w:lang w:val="en-US"/>
        </w:rPr>
        <w:t xml:space="preserve"> (complete response unconfirmed) as best response during induction treatment, </w:t>
      </w:r>
      <w:r w:rsidR="0042083F" w:rsidRPr="0042083F">
        <w:rPr>
          <w:rFonts w:eastAsiaTheme="minorEastAsia"/>
          <w:szCs w:val="24"/>
          <w:lang w:val="en-US"/>
        </w:rPr>
        <w:t xml:space="preserve"> rituximab</w:t>
      </w:r>
      <w:r w:rsidRPr="00FA51D5">
        <w:rPr>
          <w:rFonts w:eastAsiaTheme="minorEastAsia"/>
          <w:szCs w:val="24"/>
          <w:lang w:val="en-US"/>
        </w:rPr>
        <w:t xml:space="preserve"> maintenance treatment significantly prolonged the median disease free survival (DFS) compared to the observation group (53.7 vs. 16.5 months,</w:t>
      </w:r>
      <w:r>
        <w:rPr>
          <w:rFonts w:eastAsiaTheme="minorEastAsia"/>
          <w:szCs w:val="24"/>
          <w:lang w:val="en-US"/>
        </w:rPr>
        <w:t xml:space="preserve"> </w:t>
      </w:r>
      <w:r w:rsidRPr="00FA51D5">
        <w:rPr>
          <w:rFonts w:eastAsiaTheme="minorEastAsia"/>
          <w:szCs w:val="24"/>
          <w:lang w:val="en-US"/>
        </w:rPr>
        <w:t>p=0.0003) log-rank test (Table 8). The risk of relapse in complete responders was reduced by 67% (95% CI; 39%-82%).</w:t>
      </w:r>
    </w:p>
    <w:p w14:paraId="57A91745" w14:textId="5F132311" w:rsidR="00FA51D5" w:rsidRPr="006A1EF8" w:rsidRDefault="00FA51D5" w:rsidP="00443352">
      <w:pPr>
        <w:pStyle w:val="CLDNormal"/>
        <w:jc w:val="left"/>
        <w:rPr>
          <w:rFonts w:eastAsiaTheme="minorEastAsia"/>
          <w:b/>
          <w:sz w:val="22"/>
          <w:szCs w:val="22"/>
          <w:lang w:val="en-US"/>
        </w:rPr>
      </w:pPr>
      <w:r w:rsidRPr="006A1EF8">
        <w:rPr>
          <w:rFonts w:eastAsiaTheme="minorEastAsia"/>
          <w:b/>
          <w:sz w:val="22"/>
          <w:szCs w:val="22"/>
          <w:lang w:val="en-US"/>
        </w:rPr>
        <w:t xml:space="preserve">Table 8: Maintenance phase: overview of efficacy results </w:t>
      </w:r>
      <w:r w:rsidR="0042083F" w:rsidRPr="006A1EF8">
        <w:rPr>
          <w:rFonts w:eastAsiaTheme="minorEastAsia"/>
          <w:b/>
          <w:sz w:val="22"/>
          <w:szCs w:val="22"/>
          <w:lang w:val="en-US"/>
        </w:rPr>
        <w:t xml:space="preserve"> rituximab</w:t>
      </w:r>
      <w:r w:rsidRPr="006A1EF8">
        <w:rPr>
          <w:rFonts w:eastAsiaTheme="minorEastAsia"/>
          <w:b/>
          <w:sz w:val="22"/>
          <w:szCs w:val="22"/>
          <w:lang w:val="en-US"/>
        </w:rPr>
        <w:t xml:space="preserve"> vs. observation (28 months median observation time)</w:t>
      </w:r>
    </w:p>
    <w:tbl>
      <w:tblPr>
        <w:tblW w:w="9016" w:type="dxa"/>
        <w:tblInd w:w="94" w:type="dxa"/>
        <w:tblLayout w:type="fixed"/>
        <w:tblCellMar>
          <w:left w:w="0" w:type="dxa"/>
          <w:right w:w="0" w:type="dxa"/>
        </w:tblCellMar>
        <w:tblLook w:val="0000" w:firstRow="0" w:lastRow="0" w:firstColumn="0" w:lastColumn="0" w:noHBand="0" w:noVBand="0"/>
      </w:tblPr>
      <w:tblGrid>
        <w:gridCol w:w="3308"/>
        <w:gridCol w:w="1635"/>
        <w:gridCol w:w="1510"/>
        <w:gridCol w:w="1245"/>
        <w:gridCol w:w="1318"/>
      </w:tblGrid>
      <w:tr w:rsidR="00FA51D5" w:rsidRPr="00FA51D5" w14:paraId="7D7490A3" w14:textId="77777777" w:rsidTr="00443352">
        <w:trPr>
          <w:trHeight w:hRule="exact" w:val="639"/>
          <w:tblHeader/>
        </w:trPr>
        <w:tc>
          <w:tcPr>
            <w:tcW w:w="3308" w:type="dxa"/>
            <w:vMerge w:val="restart"/>
            <w:tcBorders>
              <w:top w:val="single" w:sz="6" w:space="0" w:color="000000"/>
              <w:left w:val="single" w:sz="4" w:space="0" w:color="000000"/>
              <w:bottom w:val="single" w:sz="6" w:space="0" w:color="000000"/>
              <w:right w:val="single" w:sz="6" w:space="0" w:color="000000"/>
            </w:tcBorders>
          </w:tcPr>
          <w:p w14:paraId="0CEE9AD2" w14:textId="77777777" w:rsidR="00FA51D5" w:rsidRPr="00FA51D5" w:rsidRDefault="00FA51D5" w:rsidP="00443352">
            <w:pPr>
              <w:pStyle w:val="CLDNormal"/>
              <w:spacing w:after="0"/>
              <w:jc w:val="left"/>
              <w:rPr>
                <w:rFonts w:eastAsiaTheme="minorEastAsia"/>
                <w:b/>
                <w:sz w:val="20"/>
                <w:lang w:val="en-AU"/>
              </w:rPr>
            </w:pPr>
            <w:r w:rsidRPr="00FA51D5">
              <w:rPr>
                <w:rFonts w:eastAsiaTheme="minorEastAsia"/>
                <w:b/>
                <w:bCs/>
                <w:sz w:val="20"/>
                <w:lang w:val="en-AU"/>
              </w:rPr>
              <w:t>Efficacy Parameter</w:t>
            </w:r>
          </w:p>
        </w:tc>
        <w:tc>
          <w:tcPr>
            <w:tcW w:w="4390" w:type="dxa"/>
            <w:gridSpan w:val="3"/>
            <w:tcBorders>
              <w:top w:val="single" w:sz="6" w:space="0" w:color="000000"/>
              <w:left w:val="single" w:sz="6" w:space="0" w:color="000000"/>
              <w:bottom w:val="single" w:sz="6" w:space="0" w:color="000000"/>
              <w:right w:val="single" w:sz="6" w:space="0" w:color="000000"/>
            </w:tcBorders>
          </w:tcPr>
          <w:p w14:paraId="38B61B38" w14:textId="77777777" w:rsidR="00FA51D5" w:rsidRPr="00FA51D5" w:rsidRDefault="00FA51D5" w:rsidP="00443352">
            <w:pPr>
              <w:pStyle w:val="CLDNormal"/>
              <w:spacing w:after="0"/>
              <w:jc w:val="left"/>
              <w:rPr>
                <w:rFonts w:eastAsiaTheme="minorEastAsia"/>
                <w:b/>
                <w:bCs/>
                <w:sz w:val="20"/>
                <w:lang w:val="en-AU"/>
              </w:rPr>
            </w:pPr>
            <w:r w:rsidRPr="00FA51D5">
              <w:rPr>
                <w:rFonts w:eastAsiaTheme="minorEastAsia"/>
                <w:b/>
                <w:bCs/>
                <w:sz w:val="20"/>
                <w:lang w:val="en-AU"/>
              </w:rPr>
              <w:t xml:space="preserve">Kaplan-Meier Estimate of </w:t>
            </w:r>
          </w:p>
          <w:p w14:paraId="3D3EFE46" w14:textId="77777777" w:rsidR="00FA51D5" w:rsidRPr="00FA51D5" w:rsidRDefault="00FA51D5" w:rsidP="00443352">
            <w:pPr>
              <w:pStyle w:val="CLDNormal"/>
              <w:spacing w:after="0"/>
              <w:jc w:val="left"/>
              <w:rPr>
                <w:rFonts w:eastAsiaTheme="minorEastAsia"/>
                <w:b/>
                <w:sz w:val="20"/>
                <w:lang w:val="en-AU"/>
              </w:rPr>
            </w:pPr>
            <w:r w:rsidRPr="00FA51D5">
              <w:rPr>
                <w:rFonts w:eastAsiaTheme="minorEastAsia"/>
                <w:b/>
                <w:bCs/>
                <w:sz w:val="20"/>
                <w:lang w:val="en-AU"/>
              </w:rPr>
              <w:t>Median Time to Event (Months)</w:t>
            </w:r>
          </w:p>
        </w:tc>
        <w:tc>
          <w:tcPr>
            <w:tcW w:w="1318" w:type="dxa"/>
            <w:vMerge w:val="restart"/>
            <w:tcBorders>
              <w:top w:val="single" w:sz="6" w:space="0" w:color="000000"/>
              <w:left w:val="single" w:sz="6" w:space="0" w:color="000000"/>
              <w:bottom w:val="single" w:sz="6" w:space="0" w:color="000000"/>
              <w:right w:val="single" w:sz="6" w:space="0" w:color="000000"/>
            </w:tcBorders>
          </w:tcPr>
          <w:p w14:paraId="34AD8F7C" w14:textId="77777777" w:rsidR="00FA51D5" w:rsidRPr="00FA51D5" w:rsidRDefault="00FA51D5" w:rsidP="00443352">
            <w:pPr>
              <w:pStyle w:val="CLDNormal"/>
              <w:spacing w:after="0"/>
              <w:jc w:val="left"/>
              <w:rPr>
                <w:rFonts w:eastAsiaTheme="minorEastAsia"/>
                <w:b/>
                <w:sz w:val="20"/>
                <w:lang w:val="en-AU"/>
              </w:rPr>
            </w:pPr>
            <w:r w:rsidRPr="00FA51D5">
              <w:rPr>
                <w:rFonts w:eastAsiaTheme="minorEastAsia"/>
                <w:b/>
                <w:bCs/>
                <w:sz w:val="20"/>
                <w:lang w:val="en-AU"/>
              </w:rPr>
              <w:t>Risk Reduction</w:t>
            </w:r>
          </w:p>
          <w:p w14:paraId="0166498A" w14:textId="77777777" w:rsidR="00FA51D5" w:rsidRPr="00FA51D5" w:rsidRDefault="00FA51D5" w:rsidP="00443352">
            <w:pPr>
              <w:pStyle w:val="CLDNormal"/>
              <w:spacing w:after="0"/>
              <w:jc w:val="left"/>
              <w:rPr>
                <w:rFonts w:eastAsiaTheme="minorEastAsia"/>
                <w:b/>
                <w:sz w:val="20"/>
                <w:lang w:val="en-AU"/>
              </w:rPr>
            </w:pPr>
          </w:p>
          <w:p w14:paraId="4C1FDD2B" w14:textId="77777777" w:rsidR="00FA51D5" w:rsidRPr="00FA51D5" w:rsidRDefault="00FA51D5" w:rsidP="00443352">
            <w:pPr>
              <w:pStyle w:val="CLDNormal"/>
              <w:spacing w:after="0"/>
              <w:jc w:val="left"/>
              <w:rPr>
                <w:rFonts w:eastAsiaTheme="minorEastAsia"/>
                <w:b/>
                <w:sz w:val="20"/>
                <w:lang w:val="en-AU"/>
              </w:rPr>
            </w:pPr>
            <w:r w:rsidRPr="00FA51D5">
              <w:rPr>
                <w:rFonts w:eastAsiaTheme="minorEastAsia"/>
                <w:b/>
                <w:bCs/>
                <w:sz w:val="20"/>
                <w:lang w:val="en-AU"/>
              </w:rPr>
              <w:t>(95% CI)</w:t>
            </w:r>
          </w:p>
        </w:tc>
      </w:tr>
      <w:tr w:rsidR="00FA51D5" w:rsidRPr="00FA51D5" w14:paraId="64AB7961" w14:textId="77777777" w:rsidTr="00FA51D5">
        <w:trPr>
          <w:trHeight w:hRule="exact" w:val="842"/>
        </w:trPr>
        <w:tc>
          <w:tcPr>
            <w:tcW w:w="3308" w:type="dxa"/>
            <w:vMerge/>
            <w:tcBorders>
              <w:top w:val="single" w:sz="6" w:space="0" w:color="000000"/>
              <w:left w:val="single" w:sz="4" w:space="0" w:color="000000"/>
              <w:bottom w:val="single" w:sz="6" w:space="0" w:color="000000"/>
              <w:right w:val="single" w:sz="6" w:space="0" w:color="000000"/>
            </w:tcBorders>
          </w:tcPr>
          <w:p w14:paraId="7BDDB698" w14:textId="77777777" w:rsidR="00FA51D5" w:rsidRPr="00FA51D5" w:rsidRDefault="00FA51D5" w:rsidP="00443352">
            <w:pPr>
              <w:pStyle w:val="CLDNormal"/>
              <w:jc w:val="left"/>
              <w:rPr>
                <w:rFonts w:eastAsiaTheme="minorEastAsia"/>
                <w:sz w:val="20"/>
                <w:lang w:val="en-AU"/>
              </w:rPr>
            </w:pPr>
          </w:p>
        </w:tc>
        <w:tc>
          <w:tcPr>
            <w:tcW w:w="1635" w:type="dxa"/>
            <w:tcBorders>
              <w:top w:val="single" w:sz="6" w:space="0" w:color="000000"/>
              <w:left w:val="single" w:sz="6" w:space="0" w:color="000000"/>
              <w:bottom w:val="single" w:sz="6" w:space="0" w:color="000000"/>
              <w:right w:val="single" w:sz="6" w:space="0" w:color="000000"/>
            </w:tcBorders>
          </w:tcPr>
          <w:p w14:paraId="03B2EF51" w14:textId="77777777" w:rsidR="00FA51D5" w:rsidRPr="00FA51D5" w:rsidRDefault="00FA51D5" w:rsidP="00443352">
            <w:pPr>
              <w:pStyle w:val="CLDNormal"/>
              <w:jc w:val="left"/>
              <w:rPr>
                <w:rFonts w:eastAsiaTheme="minorEastAsia"/>
                <w:b/>
                <w:sz w:val="20"/>
                <w:lang w:val="en-AU"/>
              </w:rPr>
            </w:pPr>
            <w:r w:rsidRPr="00FA51D5">
              <w:rPr>
                <w:rFonts w:eastAsiaTheme="minorEastAsia"/>
                <w:b/>
                <w:bCs/>
                <w:sz w:val="20"/>
                <w:lang w:val="en-AU"/>
              </w:rPr>
              <w:t>Observation (N=167)</w:t>
            </w:r>
          </w:p>
        </w:tc>
        <w:tc>
          <w:tcPr>
            <w:tcW w:w="1510" w:type="dxa"/>
            <w:tcBorders>
              <w:top w:val="single" w:sz="6" w:space="0" w:color="000000"/>
              <w:left w:val="single" w:sz="6" w:space="0" w:color="000000"/>
              <w:bottom w:val="single" w:sz="6" w:space="0" w:color="000000"/>
              <w:right w:val="single" w:sz="6" w:space="0" w:color="000000"/>
            </w:tcBorders>
          </w:tcPr>
          <w:p w14:paraId="0293A0EA" w14:textId="7C351944" w:rsidR="00FA51D5" w:rsidRPr="00FA51D5" w:rsidRDefault="0042083F" w:rsidP="00443352">
            <w:pPr>
              <w:pStyle w:val="CLDNormal"/>
              <w:spacing w:after="0"/>
              <w:jc w:val="left"/>
              <w:rPr>
                <w:rFonts w:eastAsiaTheme="minorEastAsia"/>
                <w:b/>
                <w:sz w:val="20"/>
                <w:lang w:val="en-AU"/>
              </w:rPr>
            </w:pPr>
            <w:r w:rsidRPr="0042083F">
              <w:rPr>
                <w:rFonts w:eastAsiaTheme="minorEastAsia"/>
                <w:szCs w:val="24"/>
                <w:lang w:val="en-US"/>
              </w:rPr>
              <w:t xml:space="preserve"> </w:t>
            </w:r>
            <w:r>
              <w:rPr>
                <w:rFonts w:eastAsiaTheme="minorEastAsia"/>
                <w:szCs w:val="24"/>
                <w:lang w:val="en-US"/>
              </w:rPr>
              <w:t>R</w:t>
            </w:r>
            <w:r w:rsidRPr="0042083F">
              <w:rPr>
                <w:rFonts w:eastAsiaTheme="minorEastAsia"/>
                <w:b/>
                <w:bCs/>
                <w:sz w:val="20"/>
                <w:lang w:val="en-US"/>
              </w:rPr>
              <w:t>ituximab</w:t>
            </w:r>
            <w:r w:rsidR="00FA51D5" w:rsidRPr="00FA51D5">
              <w:rPr>
                <w:rFonts w:eastAsiaTheme="minorEastAsia"/>
                <w:b/>
                <w:bCs/>
                <w:sz w:val="20"/>
                <w:lang w:val="en-AU"/>
              </w:rPr>
              <w:t xml:space="preserve"> (N=167)</w:t>
            </w:r>
          </w:p>
        </w:tc>
        <w:tc>
          <w:tcPr>
            <w:tcW w:w="1245" w:type="dxa"/>
            <w:tcBorders>
              <w:top w:val="single" w:sz="6" w:space="0" w:color="000000"/>
              <w:left w:val="single" w:sz="6" w:space="0" w:color="000000"/>
              <w:bottom w:val="single" w:sz="6" w:space="0" w:color="000000"/>
              <w:right w:val="single" w:sz="6" w:space="0" w:color="000000"/>
            </w:tcBorders>
          </w:tcPr>
          <w:p w14:paraId="7490E41B" w14:textId="77777777" w:rsidR="00FA51D5" w:rsidRPr="00FA51D5" w:rsidRDefault="00FA51D5" w:rsidP="00443352">
            <w:pPr>
              <w:pStyle w:val="CLDNormal"/>
              <w:spacing w:after="0"/>
              <w:jc w:val="left"/>
              <w:rPr>
                <w:rFonts w:eastAsiaTheme="minorEastAsia"/>
                <w:b/>
                <w:bCs/>
                <w:sz w:val="20"/>
                <w:lang w:val="en-AU"/>
              </w:rPr>
            </w:pPr>
            <w:r w:rsidRPr="00FA51D5">
              <w:rPr>
                <w:rFonts w:eastAsiaTheme="minorEastAsia"/>
                <w:b/>
                <w:bCs/>
                <w:sz w:val="20"/>
                <w:lang w:val="en-AU"/>
              </w:rPr>
              <w:t xml:space="preserve">Log- Rank </w:t>
            </w:r>
          </w:p>
          <w:p w14:paraId="758BDB5D" w14:textId="77777777" w:rsidR="00FA51D5" w:rsidRPr="00FA51D5" w:rsidRDefault="00FA51D5" w:rsidP="00443352">
            <w:pPr>
              <w:pStyle w:val="CLDNormal"/>
              <w:spacing w:after="0"/>
              <w:jc w:val="left"/>
              <w:rPr>
                <w:rFonts w:eastAsiaTheme="minorEastAsia"/>
                <w:b/>
                <w:sz w:val="20"/>
                <w:lang w:val="en-AU"/>
              </w:rPr>
            </w:pPr>
            <w:r w:rsidRPr="00FA51D5">
              <w:rPr>
                <w:rFonts w:eastAsiaTheme="minorEastAsia"/>
                <w:b/>
                <w:bCs/>
                <w:sz w:val="20"/>
                <w:lang w:val="en-AU"/>
              </w:rPr>
              <w:t>p value</w:t>
            </w:r>
          </w:p>
        </w:tc>
        <w:tc>
          <w:tcPr>
            <w:tcW w:w="1318" w:type="dxa"/>
            <w:vMerge/>
            <w:tcBorders>
              <w:top w:val="single" w:sz="6" w:space="0" w:color="000000"/>
              <w:left w:val="single" w:sz="6" w:space="0" w:color="000000"/>
              <w:bottom w:val="single" w:sz="6" w:space="0" w:color="000000"/>
              <w:right w:val="single" w:sz="6" w:space="0" w:color="000000"/>
            </w:tcBorders>
          </w:tcPr>
          <w:p w14:paraId="116B83C9" w14:textId="77777777" w:rsidR="00FA51D5" w:rsidRPr="00FA51D5" w:rsidRDefault="00FA51D5" w:rsidP="00443352">
            <w:pPr>
              <w:pStyle w:val="CLDNormal"/>
              <w:jc w:val="left"/>
              <w:rPr>
                <w:rFonts w:eastAsiaTheme="minorEastAsia"/>
                <w:sz w:val="20"/>
                <w:lang w:val="en-AU"/>
              </w:rPr>
            </w:pPr>
          </w:p>
        </w:tc>
      </w:tr>
      <w:tr w:rsidR="00FA51D5" w:rsidRPr="00FA51D5" w14:paraId="3671A665" w14:textId="77777777" w:rsidTr="00591C4E">
        <w:trPr>
          <w:trHeight w:hRule="exact" w:val="434"/>
        </w:trPr>
        <w:tc>
          <w:tcPr>
            <w:tcW w:w="3308" w:type="dxa"/>
            <w:tcBorders>
              <w:top w:val="single" w:sz="6" w:space="0" w:color="000000"/>
              <w:left w:val="single" w:sz="4" w:space="0" w:color="000000"/>
              <w:bottom w:val="single" w:sz="4" w:space="0" w:color="000000"/>
              <w:right w:val="single" w:sz="6" w:space="0" w:color="000000"/>
            </w:tcBorders>
          </w:tcPr>
          <w:p w14:paraId="215C6365"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Progression-free survival (PFS)</w:t>
            </w:r>
          </w:p>
        </w:tc>
        <w:tc>
          <w:tcPr>
            <w:tcW w:w="1635" w:type="dxa"/>
            <w:tcBorders>
              <w:top w:val="single" w:sz="6" w:space="0" w:color="000000"/>
              <w:left w:val="single" w:sz="6" w:space="0" w:color="000000"/>
              <w:bottom w:val="single" w:sz="4" w:space="0" w:color="000000"/>
              <w:right w:val="single" w:sz="6" w:space="0" w:color="000000"/>
            </w:tcBorders>
          </w:tcPr>
          <w:p w14:paraId="705DD568"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14.3</w:t>
            </w:r>
          </w:p>
        </w:tc>
        <w:tc>
          <w:tcPr>
            <w:tcW w:w="1510" w:type="dxa"/>
            <w:tcBorders>
              <w:top w:val="single" w:sz="6" w:space="0" w:color="000000"/>
              <w:left w:val="single" w:sz="6" w:space="0" w:color="000000"/>
              <w:bottom w:val="single" w:sz="4" w:space="0" w:color="000000"/>
              <w:right w:val="single" w:sz="6" w:space="0" w:color="000000"/>
            </w:tcBorders>
          </w:tcPr>
          <w:p w14:paraId="5AD0EE11"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42.2</w:t>
            </w:r>
          </w:p>
        </w:tc>
        <w:tc>
          <w:tcPr>
            <w:tcW w:w="1245" w:type="dxa"/>
            <w:tcBorders>
              <w:top w:val="single" w:sz="6" w:space="0" w:color="000000"/>
              <w:left w:val="single" w:sz="6" w:space="0" w:color="000000"/>
              <w:bottom w:val="single" w:sz="4" w:space="0" w:color="000000"/>
              <w:right w:val="single" w:sz="6" w:space="0" w:color="000000"/>
            </w:tcBorders>
          </w:tcPr>
          <w:p w14:paraId="1C49E29C"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&lt;0.0001</w:t>
            </w:r>
          </w:p>
        </w:tc>
        <w:tc>
          <w:tcPr>
            <w:tcW w:w="1318" w:type="dxa"/>
            <w:tcBorders>
              <w:top w:val="single" w:sz="6" w:space="0" w:color="000000"/>
              <w:left w:val="single" w:sz="6" w:space="0" w:color="000000"/>
              <w:bottom w:val="single" w:sz="4" w:space="0" w:color="000000"/>
              <w:right w:val="single" w:sz="6" w:space="0" w:color="000000"/>
            </w:tcBorders>
          </w:tcPr>
          <w:p w14:paraId="59874BBE"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61% (45-</w:t>
            </w:r>
            <w:r w:rsidR="00591C4E">
              <w:rPr>
                <w:rFonts w:eastAsiaTheme="minorEastAsia"/>
                <w:sz w:val="20"/>
                <w:lang w:val="en-AU"/>
              </w:rPr>
              <w:t>72%)</w:t>
            </w:r>
          </w:p>
        </w:tc>
      </w:tr>
      <w:tr w:rsidR="00FA51D5" w:rsidRPr="00FA51D5" w14:paraId="078B6C78" w14:textId="77777777" w:rsidTr="0042083F">
        <w:trPr>
          <w:trHeight w:hRule="exact" w:val="421"/>
        </w:trPr>
        <w:tc>
          <w:tcPr>
            <w:tcW w:w="3308" w:type="dxa"/>
            <w:tcBorders>
              <w:top w:val="single" w:sz="4" w:space="0" w:color="000000"/>
              <w:left w:val="single" w:sz="4" w:space="0" w:color="000000"/>
              <w:bottom w:val="single" w:sz="4" w:space="0" w:color="000000"/>
              <w:right w:val="single" w:sz="6" w:space="0" w:color="000000"/>
            </w:tcBorders>
          </w:tcPr>
          <w:p w14:paraId="41093986"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Overall Survival</w:t>
            </w:r>
          </w:p>
        </w:tc>
        <w:tc>
          <w:tcPr>
            <w:tcW w:w="1635" w:type="dxa"/>
            <w:tcBorders>
              <w:top w:val="single" w:sz="4" w:space="0" w:color="000000"/>
              <w:left w:val="single" w:sz="6" w:space="0" w:color="000000"/>
              <w:bottom w:val="single" w:sz="4" w:space="0" w:color="000000"/>
              <w:right w:val="single" w:sz="6" w:space="0" w:color="000000"/>
            </w:tcBorders>
          </w:tcPr>
          <w:p w14:paraId="19F09270"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NR</w:t>
            </w:r>
          </w:p>
        </w:tc>
        <w:tc>
          <w:tcPr>
            <w:tcW w:w="1510" w:type="dxa"/>
            <w:tcBorders>
              <w:top w:val="single" w:sz="4" w:space="0" w:color="000000"/>
              <w:left w:val="single" w:sz="6" w:space="0" w:color="000000"/>
              <w:bottom w:val="single" w:sz="4" w:space="0" w:color="000000"/>
              <w:right w:val="single" w:sz="6" w:space="0" w:color="000000"/>
            </w:tcBorders>
          </w:tcPr>
          <w:p w14:paraId="3D2E947A"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NR</w:t>
            </w:r>
          </w:p>
        </w:tc>
        <w:tc>
          <w:tcPr>
            <w:tcW w:w="1245" w:type="dxa"/>
            <w:tcBorders>
              <w:top w:val="single" w:sz="4" w:space="0" w:color="000000"/>
              <w:left w:val="single" w:sz="6" w:space="0" w:color="000000"/>
              <w:bottom w:val="single" w:sz="4" w:space="0" w:color="000000"/>
              <w:right w:val="single" w:sz="6" w:space="0" w:color="000000"/>
            </w:tcBorders>
          </w:tcPr>
          <w:p w14:paraId="3F02D23B"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0.0039</w:t>
            </w:r>
          </w:p>
        </w:tc>
        <w:tc>
          <w:tcPr>
            <w:tcW w:w="1318" w:type="dxa"/>
            <w:tcBorders>
              <w:top w:val="single" w:sz="4" w:space="0" w:color="000000"/>
              <w:left w:val="single" w:sz="6" w:space="0" w:color="000000"/>
              <w:bottom w:val="single" w:sz="4" w:space="0" w:color="000000"/>
              <w:right w:val="single" w:sz="6" w:space="0" w:color="000000"/>
            </w:tcBorders>
          </w:tcPr>
          <w:p w14:paraId="6A47E6F7"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56% (22-</w:t>
            </w:r>
            <w:r w:rsidR="00591C4E">
              <w:rPr>
                <w:rFonts w:eastAsiaTheme="minorEastAsia"/>
                <w:sz w:val="20"/>
                <w:lang w:val="en-AU"/>
              </w:rPr>
              <w:t>75%)</w:t>
            </w:r>
          </w:p>
          <w:p w14:paraId="63748126" w14:textId="77777777" w:rsidR="00FA51D5" w:rsidRPr="00FA51D5" w:rsidRDefault="00FA51D5" w:rsidP="00443352">
            <w:pPr>
              <w:pStyle w:val="CLDNormal"/>
              <w:spacing w:after="0"/>
              <w:jc w:val="left"/>
              <w:rPr>
                <w:rFonts w:eastAsiaTheme="minorEastAsia"/>
                <w:sz w:val="20"/>
                <w:lang w:val="en-AU"/>
              </w:rPr>
            </w:pPr>
          </w:p>
        </w:tc>
      </w:tr>
      <w:tr w:rsidR="00FA51D5" w:rsidRPr="00FA51D5" w14:paraId="7A980220" w14:textId="77777777" w:rsidTr="00FA51D5">
        <w:trPr>
          <w:trHeight w:hRule="exact" w:val="293"/>
        </w:trPr>
        <w:tc>
          <w:tcPr>
            <w:tcW w:w="3308" w:type="dxa"/>
            <w:tcBorders>
              <w:top w:val="single" w:sz="4" w:space="0" w:color="000000"/>
              <w:left w:val="single" w:sz="4" w:space="0" w:color="000000"/>
              <w:bottom w:val="nil"/>
              <w:right w:val="single" w:sz="6" w:space="0" w:color="000000"/>
            </w:tcBorders>
          </w:tcPr>
          <w:p w14:paraId="0ACCED05"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Time     to     new     lymphoma</w:t>
            </w:r>
          </w:p>
        </w:tc>
        <w:tc>
          <w:tcPr>
            <w:tcW w:w="1635" w:type="dxa"/>
            <w:tcBorders>
              <w:top w:val="single" w:sz="4" w:space="0" w:color="000000"/>
              <w:left w:val="single" w:sz="6" w:space="0" w:color="000000"/>
              <w:bottom w:val="nil"/>
              <w:right w:val="single" w:sz="6" w:space="0" w:color="000000"/>
            </w:tcBorders>
          </w:tcPr>
          <w:p w14:paraId="72AD9FD8"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20.1</w:t>
            </w:r>
          </w:p>
        </w:tc>
        <w:tc>
          <w:tcPr>
            <w:tcW w:w="1510" w:type="dxa"/>
            <w:tcBorders>
              <w:top w:val="single" w:sz="4" w:space="0" w:color="000000"/>
              <w:left w:val="single" w:sz="6" w:space="0" w:color="000000"/>
              <w:bottom w:val="nil"/>
              <w:right w:val="single" w:sz="6" w:space="0" w:color="000000"/>
            </w:tcBorders>
          </w:tcPr>
          <w:p w14:paraId="09DA292B"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38.8</w:t>
            </w:r>
          </w:p>
        </w:tc>
        <w:tc>
          <w:tcPr>
            <w:tcW w:w="1245" w:type="dxa"/>
            <w:tcBorders>
              <w:top w:val="single" w:sz="4" w:space="0" w:color="000000"/>
              <w:left w:val="single" w:sz="6" w:space="0" w:color="000000"/>
              <w:bottom w:val="nil"/>
              <w:right w:val="single" w:sz="6" w:space="0" w:color="000000"/>
            </w:tcBorders>
          </w:tcPr>
          <w:p w14:paraId="116A084D"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&lt;0.0001</w:t>
            </w:r>
          </w:p>
        </w:tc>
        <w:tc>
          <w:tcPr>
            <w:tcW w:w="1318" w:type="dxa"/>
            <w:tcBorders>
              <w:top w:val="single" w:sz="4" w:space="0" w:color="000000"/>
              <w:left w:val="single" w:sz="6" w:space="0" w:color="000000"/>
              <w:bottom w:val="nil"/>
              <w:right w:val="single" w:sz="6" w:space="0" w:color="000000"/>
            </w:tcBorders>
          </w:tcPr>
          <w:p w14:paraId="2BCD35DC"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50% (30-</w:t>
            </w:r>
            <w:r w:rsidR="00591C4E">
              <w:rPr>
                <w:rFonts w:eastAsiaTheme="minorEastAsia"/>
                <w:sz w:val="20"/>
                <w:lang w:val="en-AU"/>
              </w:rPr>
              <w:t>64%)</w:t>
            </w:r>
          </w:p>
        </w:tc>
      </w:tr>
      <w:tr w:rsidR="00FA51D5" w:rsidRPr="00FA51D5" w14:paraId="1B3BAB00" w14:textId="77777777" w:rsidTr="0042083F">
        <w:trPr>
          <w:trHeight w:hRule="exact" w:val="400"/>
        </w:trPr>
        <w:tc>
          <w:tcPr>
            <w:tcW w:w="3308" w:type="dxa"/>
            <w:tcBorders>
              <w:top w:val="nil"/>
              <w:left w:val="single" w:sz="4" w:space="0" w:color="000000"/>
              <w:bottom w:val="single" w:sz="4" w:space="0" w:color="auto"/>
              <w:right w:val="single" w:sz="6" w:space="0" w:color="000000"/>
            </w:tcBorders>
          </w:tcPr>
          <w:p w14:paraId="34967139"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treatment</w:t>
            </w:r>
          </w:p>
        </w:tc>
        <w:tc>
          <w:tcPr>
            <w:tcW w:w="1635" w:type="dxa"/>
            <w:tcBorders>
              <w:top w:val="nil"/>
              <w:left w:val="single" w:sz="6" w:space="0" w:color="000000"/>
              <w:bottom w:val="single" w:sz="4" w:space="0" w:color="auto"/>
              <w:right w:val="single" w:sz="6" w:space="0" w:color="000000"/>
            </w:tcBorders>
          </w:tcPr>
          <w:p w14:paraId="0A826B41" w14:textId="77777777" w:rsidR="00FA51D5" w:rsidRPr="00FA51D5" w:rsidRDefault="00FA51D5" w:rsidP="00443352">
            <w:pPr>
              <w:pStyle w:val="CLDNormal"/>
              <w:spacing w:after="0"/>
              <w:jc w:val="left"/>
              <w:rPr>
                <w:rFonts w:eastAsiaTheme="minorEastAsia"/>
                <w:sz w:val="20"/>
                <w:lang w:val="en-AU"/>
              </w:rPr>
            </w:pPr>
          </w:p>
        </w:tc>
        <w:tc>
          <w:tcPr>
            <w:tcW w:w="1510" w:type="dxa"/>
            <w:tcBorders>
              <w:top w:val="nil"/>
              <w:left w:val="single" w:sz="6" w:space="0" w:color="000000"/>
              <w:bottom w:val="single" w:sz="4" w:space="0" w:color="auto"/>
              <w:right w:val="single" w:sz="6" w:space="0" w:color="000000"/>
            </w:tcBorders>
          </w:tcPr>
          <w:p w14:paraId="48596465" w14:textId="77777777" w:rsidR="00FA51D5" w:rsidRPr="00FA51D5" w:rsidRDefault="00FA51D5" w:rsidP="00443352">
            <w:pPr>
              <w:pStyle w:val="CLDNormal"/>
              <w:spacing w:after="0"/>
              <w:jc w:val="left"/>
              <w:rPr>
                <w:rFonts w:eastAsiaTheme="minorEastAsia"/>
                <w:sz w:val="20"/>
                <w:lang w:val="en-AU"/>
              </w:rPr>
            </w:pPr>
          </w:p>
        </w:tc>
        <w:tc>
          <w:tcPr>
            <w:tcW w:w="1245" w:type="dxa"/>
            <w:tcBorders>
              <w:top w:val="nil"/>
              <w:left w:val="single" w:sz="6" w:space="0" w:color="000000"/>
              <w:bottom w:val="single" w:sz="4" w:space="0" w:color="auto"/>
              <w:right w:val="single" w:sz="6" w:space="0" w:color="000000"/>
            </w:tcBorders>
          </w:tcPr>
          <w:p w14:paraId="286D50FB" w14:textId="77777777" w:rsidR="00FA51D5" w:rsidRPr="00FA51D5" w:rsidRDefault="00FA51D5" w:rsidP="00443352">
            <w:pPr>
              <w:pStyle w:val="CLDNormal"/>
              <w:spacing w:after="0"/>
              <w:jc w:val="left"/>
              <w:rPr>
                <w:rFonts w:eastAsiaTheme="minorEastAsia"/>
                <w:sz w:val="20"/>
                <w:lang w:val="en-AU"/>
              </w:rPr>
            </w:pPr>
          </w:p>
        </w:tc>
        <w:tc>
          <w:tcPr>
            <w:tcW w:w="1318" w:type="dxa"/>
            <w:tcBorders>
              <w:top w:val="nil"/>
              <w:left w:val="single" w:sz="6" w:space="0" w:color="000000"/>
              <w:bottom w:val="single" w:sz="4" w:space="0" w:color="auto"/>
              <w:right w:val="single" w:sz="6" w:space="0" w:color="000000"/>
            </w:tcBorders>
          </w:tcPr>
          <w:p w14:paraId="04C8824E" w14:textId="77777777" w:rsidR="00FA51D5" w:rsidRPr="00FA51D5" w:rsidRDefault="00FA51D5" w:rsidP="00443352">
            <w:pPr>
              <w:pStyle w:val="CLDNormal"/>
              <w:spacing w:after="0"/>
              <w:jc w:val="left"/>
              <w:rPr>
                <w:rFonts w:eastAsiaTheme="minorEastAsia"/>
                <w:sz w:val="20"/>
                <w:lang w:val="en-AU"/>
              </w:rPr>
            </w:pPr>
          </w:p>
        </w:tc>
      </w:tr>
      <w:tr w:rsidR="00FA51D5" w:rsidRPr="00FA51D5" w14:paraId="20328CBF" w14:textId="77777777" w:rsidTr="0042083F">
        <w:trPr>
          <w:trHeight w:hRule="exact" w:val="428"/>
        </w:trPr>
        <w:tc>
          <w:tcPr>
            <w:tcW w:w="3308" w:type="dxa"/>
            <w:tcBorders>
              <w:top w:val="single" w:sz="4" w:space="0" w:color="auto"/>
              <w:left w:val="single" w:sz="4" w:space="0" w:color="000000"/>
              <w:bottom w:val="single" w:sz="4" w:space="0" w:color="auto"/>
              <w:right w:val="single" w:sz="6" w:space="0" w:color="000000"/>
            </w:tcBorders>
          </w:tcPr>
          <w:p w14:paraId="5B1BEF79"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 xml:space="preserve">Disease-free </w:t>
            </w:r>
            <w:proofErr w:type="spellStart"/>
            <w:r w:rsidRPr="00FA51D5">
              <w:rPr>
                <w:rFonts w:eastAsiaTheme="minorEastAsia"/>
                <w:sz w:val="20"/>
                <w:lang w:val="en-AU"/>
              </w:rPr>
              <w:t>survival</w:t>
            </w:r>
            <w:r w:rsidRPr="00FA51D5">
              <w:rPr>
                <w:rFonts w:eastAsiaTheme="minorEastAsia"/>
                <w:sz w:val="20"/>
                <w:vertAlign w:val="superscript"/>
                <w:lang w:val="en-AU"/>
              </w:rPr>
              <w:t>a</w:t>
            </w:r>
            <w:proofErr w:type="spellEnd"/>
          </w:p>
        </w:tc>
        <w:tc>
          <w:tcPr>
            <w:tcW w:w="1635" w:type="dxa"/>
            <w:tcBorders>
              <w:top w:val="single" w:sz="4" w:space="0" w:color="auto"/>
              <w:left w:val="single" w:sz="6" w:space="0" w:color="000000"/>
              <w:bottom w:val="single" w:sz="4" w:space="0" w:color="auto"/>
              <w:right w:val="single" w:sz="6" w:space="0" w:color="000000"/>
            </w:tcBorders>
          </w:tcPr>
          <w:p w14:paraId="59BED1F1"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16.5</w:t>
            </w:r>
          </w:p>
        </w:tc>
        <w:tc>
          <w:tcPr>
            <w:tcW w:w="1510" w:type="dxa"/>
            <w:tcBorders>
              <w:top w:val="single" w:sz="4" w:space="0" w:color="auto"/>
              <w:left w:val="single" w:sz="6" w:space="0" w:color="000000"/>
              <w:bottom w:val="single" w:sz="4" w:space="0" w:color="auto"/>
              <w:right w:val="single" w:sz="6" w:space="0" w:color="000000"/>
            </w:tcBorders>
          </w:tcPr>
          <w:p w14:paraId="0888F45A"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53.7</w:t>
            </w:r>
          </w:p>
        </w:tc>
        <w:tc>
          <w:tcPr>
            <w:tcW w:w="1245" w:type="dxa"/>
            <w:tcBorders>
              <w:top w:val="single" w:sz="4" w:space="0" w:color="auto"/>
              <w:left w:val="single" w:sz="6" w:space="0" w:color="000000"/>
              <w:bottom w:val="single" w:sz="4" w:space="0" w:color="auto"/>
              <w:right w:val="single" w:sz="4" w:space="0" w:color="auto"/>
            </w:tcBorders>
          </w:tcPr>
          <w:p w14:paraId="0912E675"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0.0003</w:t>
            </w:r>
          </w:p>
        </w:tc>
        <w:tc>
          <w:tcPr>
            <w:tcW w:w="1318" w:type="dxa"/>
            <w:tcBorders>
              <w:top w:val="single" w:sz="4" w:space="0" w:color="auto"/>
              <w:left w:val="single" w:sz="4" w:space="0" w:color="auto"/>
              <w:bottom w:val="single" w:sz="4" w:space="0" w:color="auto"/>
              <w:right w:val="single" w:sz="6" w:space="0" w:color="000000"/>
            </w:tcBorders>
          </w:tcPr>
          <w:p w14:paraId="351FCE1A" w14:textId="77777777" w:rsidR="00FA51D5" w:rsidRPr="00FA51D5" w:rsidRDefault="00FA51D5" w:rsidP="00443352">
            <w:pPr>
              <w:pStyle w:val="CLDNormal"/>
              <w:spacing w:after="0"/>
              <w:jc w:val="left"/>
              <w:rPr>
                <w:rFonts w:eastAsiaTheme="minorEastAsia"/>
                <w:sz w:val="20"/>
                <w:lang w:val="en-AU"/>
              </w:rPr>
            </w:pPr>
            <w:r w:rsidRPr="00FA51D5">
              <w:rPr>
                <w:rFonts w:eastAsiaTheme="minorEastAsia"/>
                <w:sz w:val="20"/>
                <w:lang w:val="en-AU"/>
              </w:rPr>
              <w:t>67% (39-</w:t>
            </w:r>
            <w:r>
              <w:rPr>
                <w:rFonts w:eastAsiaTheme="minorEastAsia"/>
                <w:sz w:val="20"/>
                <w:lang w:val="en-AU"/>
              </w:rPr>
              <w:t xml:space="preserve"> 82%)</w:t>
            </w:r>
          </w:p>
        </w:tc>
      </w:tr>
      <w:tr w:rsidR="0042083F" w:rsidRPr="00FA51D5" w14:paraId="28DE80A8" w14:textId="77777777" w:rsidTr="0042083F">
        <w:trPr>
          <w:trHeight w:val="311"/>
        </w:trPr>
        <w:tc>
          <w:tcPr>
            <w:tcW w:w="9016" w:type="dxa"/>
            <w:gridSpan w:val="5"/>
            <w:tcBorders>
              <w:top w:val="single" w:sz="4" w:space="0" w:color="auto"/>
              <w:left w:val="single" w:sz="4" w:space="0" w:color="000000"/>
              <w:right w:val="single" w:sz="6" w:space="0" w:color="000000"/>
            </w:tcBorders>
          </w:tcPr>
          <w:p w14:paraId="4E4E31EF" w14:textId="77777777" w:rsidR="0042083F" w:rsidRPr="00FA51D5" w:rsidRDefault="0042083F" w:rsidP="00443352">
            <w:pPr>
              <w:pStyle w:val="CLDNormal"/>
              <w:jc w:val="left"/>
              <w:rPr>
                <w:rFonts w:eastAsiaTheme="minorEastAsia"/>
                <w:sz w:val="20"/>
                <w:lang w:val="en-AU"/>
              </w:rPr>
            </w:pPr>
            <w:r w:rsidRPr="0042083F">
              <w:rPr>
                <w:rFonts w:eastAsiaTheme="minorEastAsia"/>
                <w:b/>
                <w:sz w:val="20"/>
                <w:lang w:val="en-AU"/>
              </w:rPr>
              <w:t>Subgroup Analysis</w:t>
            </w:r>
          </w:p>
        </w:tc>
      </w:tr>
      <w:tr w:rsidR="0042083F" w:rsidRPr="00FA51D5" w14:paraId="75B0A63A" w14:textId="77777777" w:rsidTr="0042083F">
        <w:trPr>
          <w:trHeight w:hRule="exact" w:val="293"/>
        </w:trPr>
        <w:tc>
          <w:tcPr>
            <w:tcW w:w="9016" w:type="dxa"/>
            <w:gridSpan w:val="5"/>
            <w:tcBorders>
              <w:top w:val="single" w:sz="4" w:space="0" w:color="auto"/>
              <w:left w:val="single" w:sz="4" w:space="0" w:color="auto"/>
              <w:bottom w:val="single" w:sz="4" w:space="0" w:color="auto"/>
              <w:right w:val="single" w:sz="4" w:space="0" w:color="auto"/>
            </w:tcBorders>
          </w:tcPr>
          <w:p w14:paraId="7AFA76E8" w14:textId="77777777" w:rsidR="0042083F" w:rsidRPr="0042083F" w:rsidRDefault="0042083F" w:rsidP="00443352">
            <w:pPr>
              <w:pStyle w:val="CLDNormal"/>
              <w:jc w:val="left"/>
              <w:rPr>
                <w:rFonts w:eastAsiaTheme="minorEastAsia"/>
                <w:b/>
                <w:sz w:val="20"/>
                <w:lang w:val="en-AU"/>
              </w:rPr>
            </w:pPr>
            <w:r w:rsidRPr="0042083F">
              <w:rPr>
                <w:rFonts w:eastAsiaTheme="minorEastAsia"/>
                <w:b/>
                <w:sz w:val="20"/>
                <w:lang w:val="en-AU"/>
              </w:rPr>
              <w:t>PFS</w:t>
            </w:r>
          </w:p>
        </w:tc>
      </w:tr>
      <w:tr w:rsidR="00C75F6D" w:rsidRPr="00FA51D5" w14:paraId="419B2839" w14:textId="77777777" w:rsidTr="00C75F6D">
        <w:trPr>
          <w:trHeight w:hRule="exact" w:val="325"/>
        </w:trPr>
        <w:tc>
          <w:tcPr>
            <w:tcW w:w="3308" w:type="dxa"/>
            <w:tcBorders>
              <w:top w:val="single" w:sz="4" w:space="0" w:color="auto"/>
              <w:left w:val="single" w:sz="4" w:space="0" w:color="auto"/>
              <w:bottom w:val="single" w:sz="4" w:space="0" w:color="auto"/>
              <w:right w:val="single" w:sz="4" w:space="0" w:color="auto"/>
            </w:tcBorders>
          </w:tcPr>
          <w:p w14:paraId="14E5FA55" w14:textId="77777777" w:rsidR="00C75F6D" w:rsidRPr="00C75F6D" w:rsidRDefault="00C75F6D" w:rsidP="00443352">
            <w:pPr>
              <w:pStyle w:val="CLDNormal"/>
              <w:jc w:val="left"/>
              <w:rPr>
                <w:rFonts w:eastAsiaTheme="minorEastAsia"/>
                <w:sz w:val="20"/>
                <w:lang w:val="en-AU"/>
              </w:rPr>
            </w:pPr>
            <w:r w:rsidRPr="00C75F6D">
              <w:rPr>
                <w:rFonts w:eastAsiaTheme="minorEastAsia"/>
                <w:sz w:val="20"/>
                <w:lang w:val="en-AU"/>
              </w:rPr>
              <w:t>CHOP</w:t>
            </w:r>
          </w:p>
        </w:tc>
        <w:tc>
          <w:tcPr>
            <w:tcW w:w="1635" w:type="dxa"/>
            <w:tcBorders>
              <w:top w:val="single" w:sz="4" w:space="0" w:color="auto"/>
              <w:left w:val="single" w:sz="4" w:space="0" w:color="auto"/>
              <w:bottom w:val="single" w:sz="4" w:space="0" w:color="auto"/>
              <w:right w:val="single" w:sz="4" w:space="0" w:color="auto"/>
            </w:tcBorders>
          </w:tcPr>
          <w:p w14:paraId="55C13AB6" w14:textId="77777777" w:rsidR="00C75F6D" w:rsidRDefault="00C75F6D" w:rsidP="00443352">
            <w:pPr>
              <w:pStyle w:val="CLDNormal"/>
              <w:jc w:val="left"/>
              <w:rPr>
                <w:rFonts w:eastAsiaTheme="minorEastAsia"/>
                <w:sz w:val="20"/>
                <w:lang w:val="en-AU"/>
              </w:rPr>
            </w:pPr>
            <w:r>
              <w:rPr>
                <w:rFonts w:eastAsiaTheme="minorEastAsia"/>
                <w:sz w:val="20"/>
                <w:lang w:val="en-AU"/>
              </w:rPr>
              <w:t>11.6</w:t>
            </w:r>
          </w:p>
        </w:tc>
        <w:tc>
          <w:tcPr>
            <w:tcW w:w="1510" w:type="dxa"/>
            <w:tcBorders>
              <w:top w:val="single" w:sz="4" w:space="0" w:color="auto"/>
              <w:left w:val="single" w:sz="4" w:space="0" w:color="auto"/>
              <w:bottom w:val="single" w:sz="4" w:space="0" w:color="auto"/>
              <w:right w:val="single" w:sz="4" w:space="0" w:color="auto"/>
            </w:tcBorders>
          </w:tcPr>
          <w:p w14:paraId="70F63BEB" w14:textId="77777777" w:rsidR="00C75F6D" w:rsidRPr="00FA51D5" w:rsidRDefault="00C75F6D" w:rsidP="00443352">
            <w:pPr>
              <w:pStyle w:val="CLDNormal"/>
              <w:jc w:val="left"/>
              <w:rPr>
                <w:rFonts w:eastAsiaTheme="minorEastAsia"/>
                <w:sz w:val="20"/>
                <w:lang w:val="en-AU"/>
              </w:rPr>
            </w:pPr>
            <w:r>
              <w:rPr>
                <w:rFonts w:eastAsiaTheme="minorEastAsia"/>
                <w:sz w:val="20"/>
                <w:lang w:val="en-AU"/>
              </w:rPr>
              <w:t>37.5</w:t>
            </w:r>
          </w:p>
        </w:tc>
        <w:tc>
          <w:tcPr>
            <w:tcW w:w="1245" w:type="dxa"/>
            <w:tcBorders>
              <w:top w:val="single" w:sz="4" w:space="0" w:color="auto"/>
              <w:left w:val="single" w:sz="4" w:space="0" w:color="auto"/>
              <w:bottom w:val="single" w:sz="4" w:space="0" w:color="auto"/>
              <w:right w:val="single" w:sz="4" w:space="0" w:color="auto"/>
            </w:tcBorders>
          </w:tcPr>
          <w:p w14:paraId="3165A47A" w14:textId="77777777" w:rsidR="00C75F6D" w:rsidRPr="00FA51D5" w:rsidRDefault="00C75F6D" w:rsidP="00443352">
            <w:pPr>
              <w:pStyle w:val="CLDNormal"/>
              <w:jc w:val="left"/>
              <w:rPr>
                <w:rFonts w:eastAsiaTheme="minorEastAsia"/>
                <w:sz w:val="20"/>
                <w:lang w:val="en-AU"/>
              </w:rPr>
            </w:pPr>
            <w:r>
              <w:rPr>
                <w:rFonts w:eastAsiaTheme="minorEastAsia"/>
                <w:sz w:val="20"/>
                <w:lang w:val="en-AU"/>
              </w:rPr>
              <w:t>&lt;0.0001</w:t>
            </w:r>
          </w:p>
        </w:tc>
        <w:tc>
          <w:tcPr>
            <w:tcW w:w="1318" w:type="dxa"/>
            <w:tcBorders>
              <w:top w:val="single" w:sz="4" w:space="0" w:color="auto"/>
              <w:left w:val="single" w:sz="4" w:space="0" w:color="auto"/>
              <w:bottom w:val="single" w:sz="4" w:space="0" w:color="auto"/>
              <w:right w:val="single" w:sz="4" w:space="0" w:color="auto"/>
            </w:tcBorders>
          </w:tcPr>
          <w:p w14:paraId="2363AAC6" w14:textId="77777777" w:rsidR="00C75F6D" w:rsidRPr="00FA51D5" w:rsidRDefault="00C75F6D" w:rsidP="00443352">
            <w:pPr>
              <w:pStyle w:val="CLDNormal"/>
              <w:jc w:val="left"/>
              <w:rPr>
                <w:rFonts w:eastAsiaTheme="minorEastAsia"/>
                <w:sz w:val="20"/>
                <w:lang w:val="en-AU"/>
              </w:rPr>
            </w:pPr>
            <w:r>
              <w:rPr>
                <w:rFonts w:eastAsiaTheme="minorEastAsia"/>
                <w:sz w:val="20"/>
                <w:lang w:val="en-AU"/>
              </w:rPr>
              <w:t xml:space="preserve">71% (54-82%) </w:t>
            </w:r>
          </w:p>
        </w:tc>
      </w:tr>
      <w:tr w:rsidR="00FA51D5" w:rsidRPr="00FA51D5" w14:paraId="1A861976" w14:textId="77777777" w:rsidTr="00C75F6D">
        <w:trPr>
          <w:trHeight w:hRule="exact" w:val="276"/>
        </w:trPr>
        <w:tc>
          <w:tcPr>
            <w:tcW w:w="3308" w:type="dxa"/>
            <w:tcBorders>
              <w:top w:val="single" w:sz="4" w:space="0" w:color="auto"/>
              <w:left w:val="single" w:sz="4" w:space="0" w:color="auto"/>
              <w:bottom w:val="single" w:sz="4" w:space="0" w:color="auto"/>
              <w:right w:val="single" w:sz="4" w:space="0" w:color="auto"/>
            </w:tcBorders>
          </w:tcPr>
          <w:p w14:paraId="7862F8AE"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R-CHOP</w:t>
            </w:r>
          </w:p>
        </w:tc>
        <w:tc>
          <w:tcPr>
            <w:tcW w:w="1635" w:type="dxa"/>
            <w:tcBorders>
              <w:top w:val="single" w:sz="4" w:space="0" w:color="auto"/>
              <w:left w:val="single" w:sz="4" w:space="0" w:color="auto"/>
              <w:bottom w:val="single" w:sz="4" w:space="0" w:color="auto"/>
              <w:right w:val="single" w:sz="4" w:space="0" w:color="auto"/>
            </w:tcBorders>
          </w:tcPr>
          <w:p w14:paraId="07EB3396"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22.1</w:t>
            </w:r>
          </w:p>
        </w:tc>
        <w:tc>
          <w:tcPr>
            <w:tcW w:w="1510" w:type="dxa"/>
            <w:tcBorders>
              <w:top w:val="single" w:sz="4" w:space="0" w:color="auto"/>
              <w:left w:val="single" w:sz="4" w:space="0" w:color="auto"/>
              <w:bottom w:val="single" w:sz="4" w:space="0" w:color="auto"/>
              <w:right w:val="single" w:sz="4" w:space="0" w:color="auto"/>
            </w:tcBorders>
          </w:tcPr>
          <w:p w14:paraId="6526A515"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51.9</w:t>
            </w:r>
          </w:p>
        </w:tc>
        <w:tc>
          <w:tcPr>
            <w:tcW w:w="1245" w:type="dxa"/>
            <w:tcBorders>
              <w:top w:val="single" w:sz="4" w:space="0" w:color="auto"/>
              <w:left w:val="single" w:sz="4" w:space="0" w:color="auto"/>
              <w:bottom w:val="single" w:sz="4" w:space="0" w:color="auto"/>
              <w:right w:val="single" w:sz="4" w:space="0" w:color="auto"/>
            </w:tcBorders>
          </w:tcPr>
          <w:p w14:paraId="1697FB2F"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0.0071</w:t>
            </w:r>
          </w:p>
        </w:tc>
        <w:tc>
          <w:tcPr>
            <w:tcW w:w="1318" w:type="dxa"/>
            <w:tcBorders>
              <w:top w:val="single" w:sz="4" w:space="0" w:color="auto"/>
              <w:left w:val="single" w:sz="4" w:space="0" w:color="auto"/>
              <w:bottom w:val="single" w:sz="4" w:space="0" w:color="auto"/>
              <w:right w:val="single" w:sz="4" w:space="0" w:color="auto"/>
            </w:tcBorders>
          </w:tcPr>
          <w:p w14:paraId="5F8C0AC5" w14:textId="77777777" w:rsidR="00FA51D5" w:rsidRPr="00FA51D5" w:rsidRDefault="00C75F6D" w:rsidP="00443352">
            <w:pPr>
              <w:pStyle w:val="CLDNormal"/>
              <w:jc w:val="left"/>
              <w:rPr>
                <w:rFonts w:eastAsiaTheme="minorEastAsia"/>
                <w:sz w:val="20"/>
                <w:lang w:val="en-AU"/>
              </w:rPr>
            </w:pPr>
            <w:r>
              <w:rPr>
                <w:rFonts w:eastAsiaTheme="minorEastAsia"/>
                <w:sz w:val="20"/>
                <w:lang w:val="en-AU"/>
              </w:rPr>
              <w:t>46% (15-65%)</w:t>
            </w:r>
          </w:p>
        </w:tc>
      </w:tr>
      <w:tr w:rsidR="00FA51D5" w:rsidRPr="00FA51D5" w14:paraId="026106E1" w14:textId="77777777" w:rsidTr="00C75F6D">
        <w:trPr>
          <w:trHeight w:hRule="exact" w:val="276"/>
        </w:trPr>
        <w:tc>
          <w:tcPr>
            <w:tcW w:w="3308" w:type="dxa"/>
            <w:tcBorders>
              <w:top w:val="single" w:sz="4" w:space="0" w:color="auto"/>
              <w:left w:val="single" w:sz="4" w:space="0" w:color="auto"/>
              <w:bottom w:val="single" w:sz="4" w:space="0" w:color="auto"/>
              <w:right w:val="single" w:sz="4" w:space="0" w:color="auto"/>
            </w:tcBorders>
          </w:tcPr>
          <w:p w14:paraId="258B7AF1"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CR</w:t>
            </w:r>
          </w:p>
        </w:tc>
        <w:tc>
          <w:tcPr>
            <w:tcW w:w="1635" w:type="dxa"/>
            <w:tcBorders>
              <w:top w:val="single" w:sz="4" w:space="0" w:color="auto"/>
              <w:left w:val="single" w:sz="4" w:space="0" w:color="auto"/>
              <w:bottom w:val="single" w:sz="4" w:space="0" w:color="auto"/>
              <w:right w:val="single" w:sz="4" w:space="0" w:color="auto"/>
            </w:tcBorders>
          </w:tcPr>
          <w:p w14:paraId="72F8366E"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14.3</w:t>
            </w:r>
          </w:p>
        </w:tc>
        <w:tc>
          <w:tcPr>
            <w:tcW w:w="1510" w:type="dxa"/>
            <w:tcBorders>
              <w:top w:val="single" w:sz="4" w:space="0" w:color="auto"/>
              <w:left w:val="single" w:sz="4" w:space="0" w:color="auto"/>
              <w:bottom w:val="single" w:sz="4" w:space="0" w:color="auto"/>
              <w:right w:val="single" w:sz="4" w:space="0" w:color="auto"/>
            </w:tcBorders>
          </w:tcPr>
          <w:p w14:paraId="374D13B8"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52.8</w:t>
            </w:r>
          </w:p>
        </w:tc>
        <w:tc>
          <w:tcPr>
            <w:tcW w:w="1245" w:type="dxa"/>
            <w:tcBorders>
              <w:top w:val="single" w:sz="4" w:space="0" w:color="auto"/>
              <w:left w:val="single" w:sz="4" w:space="0" w:color="auto"/>
              <w:bottom w:val="single" w:sz="4" w:space="0" w:color="auto"/>
              <w:right w:val="single" w:sz="4" w:space="0" w:color="auto"/>
            </w:tcBorders>
          </w:tcPr>
          <w:p w14:paraId="22FA5A21"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0.0008</w:t>
            </w:r>
          </w:p>
        </w:tc>
        <w:tc>
          <w:tcPr>
            <w:tcW w:w="1318" w:type="dxa"/>
            <w:tcBorders>
              <w:top w:val="single" w:sz="4" w:space="0" w:color="auto"/>
              <w:left w:val="single" w:sz="4" w:space="0" w:color="auto"/>
              <w:bottom w:val="single" w:sz="4" w:space="0" w:color="auto"/>
              <w:right w:val="single" w:sz="4" w:space="0" w:color="auto"/>
            </w:tcBorders>
          </w:tcPr>
          <w:p w14:paraId="7960671F" w14:textId="77777777" w:rsidR="00FA51D5" w:rsidRPr="00FA51D5" w:rsidRDefault="00C75F6D" w:rsidP="00443352">
            <w:pPr>
              <w:pStyle w:val="CLDNormal"/>
              <w:jc w:val="left"/>
              <w:rPr>
                <w:rFonts w:eastAsiaTheme="minorEastAsia"/>
                <w:sz w:val="20"/>
                <w:lang w:val="en-AU"/>
              </w:rPr>
            </w:pPr>
            <w:r>
              <w:rPr>
                <w:rFonts w:eastAsiaTheme="minorEastAsia"/>
                <w:sz w:val="20"/>
                <w:lang w:val="en-AU"/>
              </w:rPr>
              <w:t>64% (33-81%)</w:t>
            </w:r>
          </w:p>
        </w:tc>
      </w:tr>
      <w:tr w:rsidR="00FA51D5" w:rsidRPr="00FA51D5" w14:paraId="590BB140" w14:textId="77777777" w:rsidTr="00C75F6D">
        <w:trPr>
          <w:trHeight w:hRule="exact" w:val="276"/>
        </w:trPr>
        <w:tc>
          <w:tcPr>
            <w:tcW w:w="3308" w:type="dxa"/>
            <w:tcBorders>
              <w:top w:val="single" w:sz="4" w:space="0" w:color="auto"/>
              <w:left w:val="single" w:sz="4" w:space="0" w:color="auto"/>
              <w:bottom w:val="single" w:sz="4" w:space="0" w:color="auto"/>
              <w:right w:val="single" w:sz="4" w:space="0" w:color="auto"/>
            </w:tcBorders>
          </w:tcPr>
          <w:p w14:paraId="5F518788"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PR</w:t>
            </w:r>
          </w:p>
        </w:tc>
        <w:tc>
          <w:tcPr>
            <w:tcW w:w="1635" w:type="dxa"/>
            <w:tcBorders>
              <w:top w:val="single" w:sz="4" w:space="0" w:color="auto"/>
              <w:left w:val="single" w:sz="4" w:space="0" w:color="auto"/>
              <w:bottom w:val="single" w:sz="4" w:space="0" w:color="auto"/>
              <w:right w:val="single" w:sz="4" w:space="0" w:color="auto"/>
            </w:tcBorders>
          </w:tcPr>
          <w:p w14:paraId="55C9432D"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14.3</w:t>
            </w:r>
          </w:p>
        </w:tc>
        <w:tc>
          <w:tcPr>
            <w:tcW w:w="1510" w:type="dxa"/>
            <w:tcBorders>
              <w:top w:val="single" w:sz="4" w:space="0" w:color="auto"/>
              <w:left w:val="single" w:sz="4" w:space="0" w:color="auto"/>
              <w:bottom w:val="single" w:sz="4" w:space="0" w:color="auto"/>
              <w:right w:val="single" w:sz="4" w:space="0" w:color="auto"/>
            </w:tcBorders>
          </w:tcPr>
          <w:p w14:paraId="2522ECDE"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37.8</w:t>
            </w:r>
          </w:p>
        </w:tc>
        <w:tc>
          <w:tcPr>
            <w:tcW w:w="1245" w:type="dxa"/>
            <w:tcBorders>
              <w:top w:val="single" w:sz="4" w:space="0" w:color="auto"/>
              <w:left w:val="single" w:sz="4" w:space="0" w:color="auto"/>
              <w:bottom w:val="single" w:sz="4" w:space="0" w:color="auto"/>
              <w:right w:val="single" w:sz="4" w:space="0" w:color="auto"/>
            </w:tcBorders>
          </w:tcPr>
          <w:p w14:paraId="47E5BA1E"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&lt;0.0001</w:t>
            </w:r>
          </w:p>
        </w:tc>
        <w:tc>
          <w:tcPr>
            <w:tcW w:w="1318" w:type="dxa"/>
            <w:tcBorders>
              <w:top w:val="single" w:sz="4" w:space="0" w:color="auto"/>
              <w:left w:val="single" w:sz="4" w:space="0" w:color="auto"/>
              <w:bottom w:val="single" w:sz="4" w:space="0" w:color="auto"/>
              <w:right w:val="single" w:sz="4" w:space="0" w:color="auto"/>
            </w:tcBorders>
          </w:tcPr>
          <w:p w14:paraId="5321F6F3" w14:textId="77777777" w:rsidR="00FA51D5" w:rsidRPr="00FA51D5" w:rsidRDefault="00C75F6D" w:rsidP="00443352">
            <w:pPr>
              <w:pStyle w:val="CLDNormal"/>
              <w:jc w:val="left"/>
              <w:rPr>
                <w:rFonts w:eastAsiaTheme="minorEastAsia"/>
                <w:sz w:val="20"/>
                <w:lang w:val="en-AU"/>
              </w:rPr>
            </w:pPr>
            <w:r>
              <w:rPr>
                <w:rFonts w:eastAsiaTheme="minorEastAsia"/>
                <w:sz w:val="20"/>
                <w:lang w:val="en-AU"/>
              </w:rPr>
              <w:t>54% (33-69%)</w:t>
            </w:r>
          </w:p>
        </w:tc>
      </w:tr>
      <w:tr w:rsidR="0042083F" w:rsidRPr="00FA51D5" w14:paraId="64988A57" w14:textId="77777777" w:rsidTr="0042083F">
        <w:trPr>
          <w:trHeight w:hRule="exact" w:val="276"/>
        </w:trPr>
        <w:tc>
          <w:tcPr>
            <w:tcW w:w="9016" w:type="dxa"/>
            <w:gridSpan w:val="5"/>
            <w:tcBorders>
              <w:top w:val="single" w:sz="4" w:space="0" w:color="auto"/>
              <w:left w:val="single" w:sz="4" w:space="0" w:color="auto"/>
              <w:bottom w:val="single" w:sz="4" w:space="0" w:color="auto"/>
              <w:right w:val="single" w:sz="4" w:space="0" w:color="auto"/>
            </w:tcBorders>
          </w:tcPr>
          <w:p w14:paraId="309BD073" w14:textId="77777777" w:rsidR="0042083F" w:rsidRPr="0042083F" w:rsidRDefault="0042083F" w:rsidP="00443352">
            <w:pPr>
              <w:pStyle w:val="CLDNormal"/>
              <w:jc w:val="left"/>
              <w:rPr>
                <w:rFonts w:eastAsiaTheme="minorEastAsia"/>
                <w:b/>
                <w:sz w:val="20"/>
                <w:lang w:val="en-AU"/>
              </w:rPr>
            </w:pPr>
            <w:r w:rsidRPr="0042083F">
              <w:rPr>
                <w:rFonts w:eastAsiaTheme="minorEastAsia"/>
                <w:b/>
                <w:sz w:val="20"/>
                <w:lang w:val="en-AU"/>
              </w:rPr>
              <w:t>OS</w:t>
            </w:r>
          </w:p>
        </w:tc>
      </w:tr>
      <w:tr w:rsidR="00FA51D5" w:rsidRPr="00FA51D5" w14:paraId="76E05C73" w14:textId="77777777" w:rsidTr="00C75F6D">
        <w:trPr>
          <w:trHeight w:hRule="exact" w:val="276"/>
        </w:trPr>
        <w:tc>
          <w:tcPr>
            <w:tcW w:w="3308" w:type="dxa"/>
            <w:tcBorders>
              <w:top w:val="single" w:sz="4" w:space="0" w:color="auto"/>
              <w:left w:val="single" w:sz="4" w:space="0" w:color="auto"/>
              <w:bottom w:val="single" w:sz="4" w:space="0" w:color="auto"/>
              <w:right w:val="single" w:sz="4" w:space="0" w:color="auto"/>
            </w:tcBorders>
          </w:tcPr>
          <w:p w14:paraId="4B001F25"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CHOP</w:t>
            </w:r>
          </w:p>
        </w:tc>
        <w:tc>
          <w:tcPr>
            <w:tcW w:w="1635" w:type="dxa"/>
            <w:tcBorders>
              <w:top w:val="single" w:sz="4" w:space="0" w:color="auto"/>
              <w:left w:val="single" w:sz="4" w:space="0" w:color="auto"/>
              <w:bottom w:val="single" w:sz="4" w:space="0" w:color="auto"/>
              <w:right w:val="single" w:sz="4" w:space="0" w:color="auto"/>
            </w:tcBorders>
          </w:tcPr>
          <w:p w14:paraId="5EB7ABBA"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NR</w:t>
            </w:r>
          </w:p>
        </w:tc>
        <w:tc>
          <w:tcPr>
            <w:tcW w:w="1510" w:type="dxa"/>
            <w:tcBorders>
              <w:top w:val="single" w:sz="4" w:space="0" w:color="auto"/>
              <w:left w:val="single" w:sz="4" w:space="0" w:color="auto"/>
              <w:bottom w:val="single" w:sz="4" w:space="0" w:color="auto"/>
              <w:right w:val="single" w:sz="4" w:space="0" w:color="auto"/>
            </w:tcBorders>
          </w:tcPr>
          <w:p w14:paraId="4743DDE1"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NR</w:t>
            </w:r>
          </w:p>
        </w:tc>
        <w:tc>
          <w:tcPr>
            <w:tcW w:w="1245" w:type="dxa"/>
            <w:tcBorders>
              <w:top w:val="single" w:sz="4" w:space="0" w:color="auto"/>
              <w:left w:val="single" w:sz="4" w:space="0" w:color="auto"/>
              <w:bottom w:val="single" w:sz="4" w:space="0" w:color="auto"/>
              <w:right w:val="single" w:sz="4" w:space="0" w:color="auto"/>
            </w:tcBorders>
          </w:tcPr>
          <w:p w14:paraId="11A3DC61"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0.0348</w:t>
            </w:r>
          </w:p>
        </w:tc>
        <w:tc>
          <w:tcPr>
            <w:tcW w:w="1318" w:type="dxa"/>
            <w:tcBorders>
              <w:top w:val="single" w:sz="4" w:space="0" w:color="auto"/>
              <w:left w:val="single" w:sz="4" w:space="0" w:color="auto"/>
              <w:bottom w:val="single" w:sz="4" w:space="0" w:color="auto"/>
              <w:right w:val="single" w:sz="4" w:space="0" w:color="auto"/>
            </w:tcBorders>
          </w:tcPr>
          <w:p w14:paraId="564A2E55" w14:textId="77777777" w:rsidR="00FA51D5" w:rsidRPr="00FA51D5" w:rsidRDefault="00C75F6D" w:rsidP="00443352">
            <w:pPr>
              <w:pStyle w:val="CLDNormal"/>
              <w:jc w:val="left"/>
              <w:rPr>
                <w:rFonts w:eastAsiaTheme="minorEastAsia"/>
                <w:sz w:val="20"/>
                <w:lang w:val="en-AU"/>
              </w:rPr>
            </w:pPr>
            <w:r>
              <w:rPr>
                <w:rFonts w:eastAsiaTheme="minorEastAsia"/>
                <w:sz w:val="20"/>
                <w:lang w:val="en-AU"/>
              </w:rPr>
              <w:t>55% (4-79%)</w:t>
            </w:r>
          </w:p>
        </w:tc>
      </w:tr>
      <w:tr w:rsidR="00FA51D5" w:rsidRPr="00FA51D5" w14:paraId="78B08685" w14:textId="77777777" w:rsidTr="00591C4E">
        <w:trPr>
          <w:trHeight w:hRule="exact" w:val="339"/>
        </w:trPr>
        <w:tc>
          <w:tcPr>
            <w:tcW w:w="3308" w:type="dxa"/>
            <w:tcBorders>
              <w:top w:val="single" w:sz="4" w:space="0" w:color="auto"/>
              <w:left w:val="single" w:sz="4" w:space="0" w:color="auto"/>
              <w:bottom w:val="single" w:sz="4" w:space="0" w:color="auto"/>
              <w:right w:val="single" w:sz="4" w:space="0" w:color="auto"/>
            </w:tcBorders>
          </w:tcPr>
          <w:p w14:paraId="1847A55C" w14:textId="77777777" w:rsidR="00FA51D5" w:rsidRPr="00FA51D5" w:rsidRDefault="00FA51D5" w:rsidP="00443352">
            <w:pPr>
              <w:pStyle w:val="CLDNormal"/>
              <w:jc w:val="left"/>
              <w:rPr>
                <w:rFonts w:eastAsiaTheme="minorEastAsia"/>
                <w:i/>
                <w:sz w:val="20"/>
                <w:lang w:val="en-AU"/>
              </w:rPr>
            </w:pPr>
            <w:r w:rsidRPr="00FA51D5">
              <w:rPr>
                <w:rFonts w:eastAsiaTheme="minorEastAsia"/>
                <w:i/>
                <w:sz w:val="20"/>
                <w:u w:val="single"/>
                <w:lang w:val="en-AU"/>
              </w:rPr>
              <w:t>R-CHOP</w:t>
            </w:r>
          </w:p>
        </w:tc>
        <w:tc>
          <w:tcPr>
            <w:tcW w:w="1635" w:type="dxa"/>
            <w:tcBorders>
              <w:top w:val="single" w:sz="4" w:space="0" w:color="auto"/>
              <w:left w:val="single" w:sz="4" w:space="0" w:color="auto"/>
              <w:bottom w:val="single" w:sz="4" w:space="0" w:color="auto"/>
              <w:right w:val="single" w:sz="4" w:space="0" w:color="auto"/>
            </w:tcBorders>
          </w:tcPr>
          <w:p w14:paraId="0F9F7E63"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NR</w:t>
            </w:r>
          </w:p>
        </w:tc>
        <w:tc>
          <w:tcPr>
            <w:tcW w:w="1510" w:type="dxa"/>
            <w:tcBorders>
              <w:top w:val="single" w:sz="4" w:space="0" w:color="auto"/>
              <w:left w:val="single" w:sz="4" w:space="0" w:color="auto"/>
              <w:bottom w:val="single" w:sz="4" w:space="0" w:color="auto"/>
              <w:right w:val="single" w:sz="4" w:space="0" w:color="auto"/>
            </w:tcBorders>
          </w:tcPr>
          <w:p w14:paraId="74C045C6"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NR</w:t>
            </w:r>
          </w:p>
        </w:tc>
        <w:tc>
          <w:tcPr>
            <w:tcW w:w="1245" w:type="dxa"/>
            <w:tcBorders>
              <w:top w:val="single" w:sz="4" w:space="0" w:color="auto"/>
              <w:left w:val="single" w:sz="4" w:space="0" w:color="auto"/>
              <w:bottom w:val="single" w:sz="4" w:space="0" w:color="auto"/>
              <w:right w:val="single" w:sz="4" w:space="0" w:color="auto"/>
            </w:tcBorders>
          </w:tcPr>
          <w:p w14:paraId="0F41A469" w14:textId="77777777" w:rsidR="00FA51D5" w:rsidRPr="00FA51D5" w:rsidRDefault="00FA51D5" w:rsidP="00443352">
            <w:pPr>
              <w:pStyle w:val="CLDNormal"/>
              <w:jc w:val="left"/>
              <w:rPr>
                <w:rFonts w:eastAsiaTheme="minorEastAsia"/>
                <w:sz w:val="20"/>
                <w:lang w:val="en-AU"/>
              </w:rPr>
            </w:pPr>
            <w:r w:rsidRPr="00FA51D5">
              <w:rPr>
                <w:rFonts w:eastAsiaTheme="minorEastAsia"/>
                <w:sz w:val="20"/>
                <w:lang w:val="en-AU"/>
              </w:rPr>
              <w:t>0.0482</w:t>
            </w:r>
          </w:p>
        </w:tc>
        <w:tc>
          <w:tcPr>
            <w:tcW w:w="1318" w:type="dxa"/>
            <w:tcBorders>
              <w:top w:val="single" w:sz="4" w:space="0" w:color="auto"/>
              <w:left w:val="single" w:sz="4" w:space="0" w:color="auto"/>
              <w:bottom w:val="single" w:sz="4" w:space="0" w:color="auto"/>
              <w:right w:val="single" w:sz="4" w:space="0" w:color="auto"/>
            </w:tcBorders>
          </w:tcPr>
          <w:p w14:paraId="644CFDC6" w14:textId="77777777" w:rsidR="00FA51D5" w:rsidRPr="00FA51D5" w:rsidRDefault="00591C4E" w:rsidP="00443352">
            <w:pPr>
              <w:pStyle w:val="CLDNormal"/>
              <w:jc w:val="left"/>
              <w:rPr>
                <w:rFonts w:eastAsiaTheme="minorEastAsia"/>
                <w:sz w:val="20"/>
                <w:lang w:val="en-AU"/>
              </w:rPr>
            </w:pPr>
            <w:r>
              <w:rPr>
                <w:rFonts w:eastAsiaTheme="minorEastAsia"/>
                <w:sz w:val="20"/>
                <w:lang w:val="en-AU"/>
              </w:rPr>
              <w:t>56% (-2-81%)</w:t>
            </w:r>
          </w:p>
        </w:tc>
      </w:tr>
    </w:tbl>
    <w:p w14:paraId="2725843E" w14:textId="77777777" w:rsidR="00FA51D5" w:rsidRDefault="00591C4E" w:rsidP="00443352">
      <w:pPr>
        <w:pStyle w:val="CLDNormal"/>
        <w:jc w:val="left"/>
        <w:rPr>
          <w:rFonts w:eastAsiaTheme="minorEastAsia"/>
          <w:sz w:val="20"/>
          <w:lang w:val="en-AU"/>
        </w:rPr>
      </w:pPr>
      <w:r w:rsidRPr="00591C4E">
        <w:rPr>
          <w:rFonts w:eastAsiaTheme="minorEastAsia"/>
          <w:sz w:val="20"/>
          <w:lang w:val="en-AU"/>
        </w:rPr>
        <w:t xml:space="preserve">NR: not reached; </w:t>
      </w:r>
      <w:r w:rsidRPr="00591C4E">
        <w:rPr>
          <w:rFonts w:eastAsiaTheme="minorEastAsia"/>
          <w:sz w:val="20"/>
          <w:vertAlign w:val="superscript"/>
          <w:lang w:val="en-AU"/>
        </w:rPr>
        <w:t>a:</w:t>
      </w:r>
      <w:r w:rsidRPr="00591C4E">
        <w:rPr>
          <w:rFonts w:eastAsiaTheme="minorEastAsia"/>
          <w:sz w:val="20"/>
          <w:lang w:val="en-AU"/>
        </w:rPr>
        <w:t xml:space="preserve"> only applicable to patients achieving a CR</w:t>
      </w:r>
    </w:p>
    <w:p w14:paraId="654F15F6" w14:textId="3746428A" w:rsidR="00591C4E" w:rsidRDefault="00591C4E" w:rsidP="00443352">
      <w:pPr>
        <w:pStyle w:val="CLDNormal"/>
        <w:jc w:val="left"/>
        <w:rPr>
          <w:rFonts w:eastAsiaTheme="minorEastAsia"/>
          <w:szCs w:val="24"/>
          <w:lang w:val="en-US"/>
        </w:rPr>
      </w:pPr>
      <w:r w:rsidRPr="00591C4E">
        <w:rPr>
          <w:rFonts w:eastAsiaTheme="minorEastAsia"/>
          <w:szCs w:val="24"/>
          <w:lang w:val="en-US"/>
        </w:rPr>
        <w:t xml:space="preserve">The benefit of </w:t>
      </w:r>
      <w:r w:rsidR="0042083F" w:rsidRPr="0042083F">
        <w:rPr>
          <w:rFonts w:eastAsiaTheme="minorEastAsia"/>
          <w:szCs w:val="24"/>
          <w:lang w:val="en-US"/>
        </w:rPr>
        <w:t xml:space="preserve"> rituximab</w:t>
      </w:r>
      <w:r w:rsidRPr="00591C4E">
        <w:rPr>
          <w:rFonts w:eastAsiaTheme="minorEastAsia"/>
          <w:szCs w:val="24"/>
          <w:lang w:val="en-US"/>
        </w:rPr>
        <w:t xml:space="preserve"> maintenance treatment was confirmed in all subgroups </w:t>
      </w:r>
      <w:proofErr w:type="spellStart"/>
      <w:r w:rsidRPr="00591C4E">
        <w:rPr>
          <w:rFonts w:eastAsiaTheme="minorEastAsia"/>
          <w:szCs w:val="24"/>
          <w:lang w:val="en-US"/>
        </w:rPr>
        <w:t>analysed</w:t>
      </w:r>
      <w:proofErr w:type="spellEnd"/>
      <w:r w:rsidRPr="00591C4E">
        <w:rPr>
          <w:rFonts w:eastAsiaTheme="minorEastAsia"/>
          <w:szCs w:val="24"/>
          <w:lang w:val="en-US"/>
        </w:rPr>
        <w:t xml:space="preserve">, regardless of induction regimen (CHOP or R-CHOP) or quality of response to induction treatment (CR or PR) (Table 9). </w:t>
      </w:r>
      <w:r w:rsidR="0042083F" w:rsidRPr="0042083F">
        <w:rPr>
          <w:rFonts w:eastAsiaTheme="minorEastAsia"/>
          <w:szCs w:val="24"/>
          <w:lang w:val="en-US"/>
        </w:rPr>
        <w:t xml:space="preserve"> </w:t>
      </w:r>
      <w:r w:rsidR="0042083F">
        <w:rPr>
          <w:rFonts w:eastAsiaTheme="minorEastAsia"/>
          <w:szCs w:val="24"/>
          <w:lang w:val="en-US"/>
        </w:rPr>
        <w:t>R</w:t>
      </w:r>
      <w:r w:rsidR="0042083F" w:rsidRPr="0042083F">
        <w:rPr>
          <w:rFonts w:eastAsiaTheme="minorEastAsia"/>
          <w:szCs w:val="24"/>
          <w:lang w:val="en-US"/>
        </w:rPr>
        <w:t>ituximab</w:t>
      </w:r>
      <w:r w:rsidRPr="00591C4E">
        <w:rPr>
          <w:rFonts w:eastAsiaTheme="minorEastAsia"/>
          <w:szCs w:val="24"/>
          <w:lang w:val="en-US"/>
        </w:rPr>
        <w:t xml:space="preserve"> maintenance treatment significantly prolonged median PFS in patients responding to CHOP induction therapy (median PFS 37.5 months vs. 11.6 months, p&lt; 0.0001) as well as in those responding to R-CHOP induction (median PFS 51.9 months vs. 22.1 months, p=0.0071). Although </w:t>
      </w:r>
      <w:proofErr w:type="spellStart"/>
      <w:r w:rsidRPr="00591C4E">
        <w:rPr>
          <w:rFonts w:eastAsiaTheme="minorEastAsia"/>
          <w:szCs w:val="24"/>
          <w:lang w:val="en-US"/>
        </w:rPr>
        <w:t>analysed</w:t>
      </w:r>
      <w:proofErr w:type="spellEnd"/>
      <w:r w:rsidRPr="00591C4E">
        <w:rPr>
          <w:rFonts w:eastAsiaTheme="minorEastAsia"/>
          <w:szCs w:val="24"/>
          <w:lang w:val="en-US"/>
        </w:rPr>
        <w:t xml:space="preserve"> subgroups were small, and the median survival had not been reached after an overall median observation period of 47.2 months, a clinically meaningful benefit in terms of overall survival was observed for patients receiving </w:t>
      </w:r>
      <w:r w:rsidR="0042083F" w:rsidRPr="0042083F">
        <w:rPr>
          <w:rFonts w:eastAsiaTheme="minorEastAsia"/>
          <w:szCs w:val="24"/>
          <w:lang w:val="en-US"/>
        </w:rPr>
        <w:t xml:space="preserve"> rituximab</w:t>
      </w:r>
      <w:r w:rsidRPr="00591C4E">
        <w:rPr>
          <w:rFonts w:eastAsiaTheme="minorEastAsia"/>
          <w:szCs w:val="24"/>
          <w:lang w:val="en-US"/>
        </w:rPr>
        <w:t xml:space="preserve"> maintenance treatment when compared to observation, in the overall population.</w:t>
      </w:r>
    </w:p>
    <w:p w14:paraId="260A7D99" w14:textId="1D738A84" w:rsidR="00591C4E" w:rsidRPr="00591C4E" w:rsidRDefault="00A87C92" w:rsidP="00443352">
      <w:pPr>
        <w:pStyle w:val="CLDNormal"/>
        <w:jc w:val="left"/>
        <w:rPr>
          <w:rFonts w:eastAsiaTheme="minorEastAsia"/>
          <w:szCs w:val="24"/>
          <w:lang w:val="en-US"/>
        </w:rPr>
      </w:pPr>
      <w:r w:rsidRPr="00A87C92">
        <w:rPr>
          <w:rFonts w:eastAsiaTheme="minorEastAsia"/>
          <w:szCs w:val="24"/>
          <w:lang w:val="en-US"/>
        </w:rPr>
        <w:t xml:space="preserve"> </w:t>
      </w:r>
      <w:r>
        <w:rPr>
          <w:rFonts w:eastAsiaTheme="minorEastAsia"/>
          <w:szCs w:val="24"/>
          <w:lang w:val="en-US"/>
        </w:rPr>
        <w:t>R</w:t>
      </w:r>
      <w:r w:rsidRPr="00A87C92">
        <w:rPr>
          <w:rFonts w:eastAsiaTheme="minorEastAsia"/>
          <w:szCs w:val="24"/>
          <w:lang w:val="en-US"/>
        </w:rPr>
        <w:t>ituximab</w:t>
      </w:r>
      <w:r w:rsidR="00591C4E" w:rsidRPr="00591C4E">
        <w:rPr>
          <w:rFonts w:eastAsiaTheme="minorEastAsia"/>
          <w:szCs w:val="24"/>
          <w:lang w:val="en-US"/>
        </w:rPr>
        <w:t xml:space="preserve"> maintenance treatment provided consistent benefit in all subgroups tested [gender (male, female), age (</w:t>
      </w:r>
      <w:r w:rsidR="0042083F">
        <w:rPr>
          <w:rFonts w:eastAsiaTheme="minorEastAsia"/>
          <w:szCs w:val="24"/>
          <w:lang w:val="en-US"/>
        </w:rPr>
        <w:t>≤</w:t>
      </w:r>
      <w:r w:rsidR="00591C4E" w:rsidRPr="00591C4E">
        <w:rPr>
          <w:rFonts w:eastAsiaTheme="minorEastAsia"/>
          <w:szCs w:val="24"/>
          <w:lang w:val="en-US"/>
        </w:rPr>
        <w:t xml:space="preserve"> 60 years, &gt; 60 years), stage (III, IV), WHO performance status (0 versus &gt; 0), B symptoms (absent, present), bone marrow involvement (no versus yes), IPI (0-2 versus 3-5), FLIPI score (0-1, versus 2 versus 3-5), number of extra-nodal sites (0-1 versus &gt; 1), number of nodal sites (&lt; 5 versus </w:t>
      </w:r>
      <w:r>
        <w:rPr>
          <w:rFonts w:eastAsiaTheme="minorEastAsia"/>
          <w:szCs w:val="24"/>
          <w:lang w:val="en-US"/>
        </w:rPr>
        <w:t>≥</w:t>
      </w:r>
      <w:r w:rsidR="00591C4E" w:rsidRPr="00591C4E">
        <w:rPr>
          <w:rFonts w:eastAsiaTheme="minorEastAsia"/>
          <w:szCs w:val="24"/>
          <w:lang w:val="en-US"/>
        </w:rPr>
        <w:t xml:space="preserve"> 5), number of previous regimens (1 versus 2), best response to prior therapy (CR/PR versus NC/PD), </w:t>
      </w:r>
      <w:proofErr w:type="spellStart"/>
      <w:r w:rsidR="00591C4E" w:rsidRPr="00591C4E">
        <w:rPr>
          <w:rFonts w:eastAsiaTheme="minorEastAsia"/>
          <w:szCs w:val="24"/>
          <w:lang w:val="en-US"/>
        </w:rPr>
        <w:t>haemoglobin</w:t>
      </w:r>
      <w:proofErr w:type="spellEnd"/>
      <w:r w:rsidR="00591C4E" w:rsidRPr="00591C4E">
        <w:rPr>
          <w:rFonts w:eastAsiaTheme="minorEastAsia"/>
          <w:szCs w:val="24"/>
          <w:lang w:val="en-US"/>
        </w:rPr>
        <w:t xml:space="preserve"> (&lt; 12 g/</w:t>
      </w:r>
      <w:proofErr w:type="spellStart"/>
      <w:r w:rsidR="00591C4E" w:rsidRPr="00591C4E">
        <w:rPr>
          <w:rFonts w:eastAsiaTheme="minorEastAsia"/>
          <w:szCs w:val="24"/>
          <w:lang w:val="en-US"/>
        </w:rPr>
        <w:t>dL</w:t>
      </w:r>
      <w:proofErr w:type="spellEnd"/>
      <w:r w:rsidR="00591C4E" w:rsidRPr="00591C4E">
        <w:rPr>
          <w:rFonts w:eastAsiaTheme="minorEastAsia"/>
          <w:szCs w:val="24"/>
          <w:lang w:val="en-US"/>
        </w:rPr>
        <w:t xml:space="preserve"> versus </w:t>
      </w:r>
      <w:r>
        <w:rPr>
          <w:rFonts w:eastAsiaTheme="minorEastAsia"/>
          <w:szCs w:val="24"/>
          <w:lang w:val="en-US"/>
        </w:rPr>
        <w:t>≥</w:t>
      </w:r>
      <w:r w:rsidR="00591C4E" w:rsidRPr="00591C4E">
        <w:rPr>
          <w:rFonts w:eastAsiaTheme="minorEastAsia"/>
          <w:szCs w:val="24"/>
          <w:lang w:val="en-US"/>
        </w:rPr>
        <w:t xml:space="preserve"> 12 g/</w:t>
      </w:r>
      <w:proofErr w:type="spellStart"/>
      <w:r w:rsidR="00591C4E" w:rsidRPr="00591C4E">
        <w:rPr>
          <w:rFonts w:eastAsiaTheme="minorEastAsia"/>
          <w:szCs w:val="24"/>
          <w:lang w:val="en-US"/>
        </w:rPr>
        <w:t>dL</w:t>
      </w:r>
      <w:proofErr w:type="spellEnd"/>
      <w:r w:rsidR="00591C4E" w:rsidRPr="00591C4E">
        <w:rPr>
          <w:rFonts w:eastAsiaTheme="minorEastAsia"/>
          <w:szCs w:val="24"/>
          <w:lang w:val="en-US"/>
        </w:rPr>
        <w:t xml:space="preserve">), </w:t>
      </w:r>
      <w:r>
        <w:rPr>
          <w:rFonts w:eastAsiaTheme="minorEastAsia"/>
          <w:szCs w:val="24"/>
          <w:lang w:val="en-US"/>
        </w:rPr>
        <w:t>β</w:t>
      </w:r>
      <w:r w:rsidR="00591C4E" w:rsidRPr="00591C4E">
        <w:rPr>
          <w:rFonts w:eastAsiaTheme="minorEastAsia"/>
          <w:szCs w:val="24"/>
          <w:lang w:val="en-US"/>
        </w:rPr>
        <w:t xml:space="preserve">2-microglobulin (&lt; 3mg/L versus </w:t>
      </w:r>
      <w:r>
        <w:rPr>
          <w:rFonts w:eastAsiaTheme="minorEastAsia"/>
          <w:szCs w:val="24"/>
          <w:lang w:val="en-US"/>
        </w:rPr>
        <w:t>≥</w:t>
      </w:r>
      <w:r w:rsidR="00591C4E" w:rsidRPr="00591C4E">
        <w:rPr>
          <w:rFonts w:eastAsiaTheme="minorEastAsia"/>
          <w:szCs w:val="24"/>
          <w:lang w:val="en-US"/>
        </w:rPr>
        <w:t xml:space="preserve"> 3 mg/L), LDH (elevated, not elevated) except for the small subgroup of patients with bulky disease.</w:t>
      </w:r>
    </w:p>
    <w:p w14:paraId="7B811A64" w14:textId="77777777" w:rsidR="00591C4E" w:rsidRPr="00A87C92" w:rsidRDefault="00591C4E" w:rsidP="00443352">
      <w:pPr>
        <w:pStyle w:val="CLDNormal"/>
        <w:jc w:val="left"/>
        <w:rPr>
          <w:rFonts w:eastAsiaTheme="minorEastAsia"/>
          <w:i/>
          <w:szCs w:val="24"/>
          <w:lang w:val="en-US"/>
        </w:rPr>
      </w:pPr>
      <w:r w:rsidRPr="00A87C92">
        <w:rPr>
          <w:rFonts w:eastAsiaTheme="minorEastAsia"/>
          <w:i/>
          <w:szCs w:val="24"/>
          <w:lang w:val="en-US"/>
        </w:rPr>
        <w:t>Previously untreated follicular NHL</w:t>
      </w:r>
    </w:p>
    <w:p w14:paraId="22DE56EE" w14:textId="265B2059" w:rsidR="00591C4E" w:rsidRPr="00591C4E" w:rsidRDefault="00591C4E" w:rsidP="00443352">
      <w:pPr>
        <w:pStyle w:val="CLDNormal"/>
        <w:jc w:val="left"/>
        <w:rPr>
          <w:rFonts w:eastAsiaTheme="minorEastAsia"/>
          <w:szCs w:val="24"/>
          <w:lang w:val="en-US"/>
        </w:rPr>
      </w:pPr>
      <w:r w:rsidRPr="00591C4E">
        <w:rPr>
          <w:rFonts w:eastAsiaTheme="minorEastAsia"/>
          <w:szCs w:val="24"/>
          <w:lang w:val="en-US"/>
        </w:rPr>
        <w:t>In a prospective, open label, international, multi-</w:t>
      </w:r>
      <w:proofErr w:type="spellStart"/>
      <w:r w:rsidRPr="00591C4E">
        <w:rPr>
          <w:rFonts w:eastAsiaTheme="minorEastAsia"/>
          <w:szCs w:val="24"/>
          <w:lang w:val="en-US"/>
        </w:rPr>
        <w:t>centre</w:t>
      </w:r>
      <w:proofErr w:type="spellEnd"/>
      <w:r w:rsidRPr="00591C4E">
        <w:rPr>
          <w:rFonts w:eastAsiaTheme="minorEastAsia"/>
          <w:szCs w:val="24"/>
          <w:lang w:val="en-US"/>
        </w:rPr>
        <w:t xml:space="preserve">, Phase III trial 1193 patients with previously untreated advanced follicular lymphoma received induction therapy with R-CHOP (n=881), R-CVP (n=268) or R-FCM (n=44), according to the investigators’ choice. A total of 1078 patients responded to induction therapy, of which 1018 were </w:t>
      </w:r>
      <w:proofErr w:type="spellStart"/>
      <w:r w:rsidRPr="00591C4E">
        <w:rPr>
          <w:rFonts w:eastAsiaTheme="minorEastAsia"/>
          <w:szCs w:val="24"/>
          <w:lang w:val="en-US"/>
        </w:rPr>
        <w:t>randomised</w:t>
      </w:r>
      <w:proofErr w:type="spellEnd"/>
      <w:r w:rsidRPr="00591C4E">
        <w:rPr>
          <w:rFonts w:eastAsiaTheme="minorEastAsia"/>
          <w:szCs w:val="24"/>
          <w:lang w:val="en-US"/>
        </w:rPr>
        <w:t xml:space="preserve"> to </w:t>
      </w:r>
      <w:bookmarkStart w:id="5" w:name="_Hlk24027895"/>
      <w:r w:rsidR="00D44A06">
        <w:rPr>
          <w:rFonts w:eastAsiaTheme="minorEastAsia"/>
          <w:szCs w:val="24"/>
          <w:lang w:val="en-US"/>
        </w:rPr>
        <w:t>rituximab</w:t>
      </w:r>
      <w:bookmarkEnd w:id="5"/>
      <w:r w:rsidRPr="00591C4E">
        <w:rPr>
          <w:rFonts w:eastAsiaTheme="minorEastAsia"/>
          <w:szCs w:val="24"/>
          <w:lang w:val="en-US"/>
        </w:rPr>
        <w:t xml:space="preserve"> maintenance therapy (n=505) or observation (n=513). The two treatment groups were well balanced with regards to baseline characteristics and disease status. </w:t>
      </w:r>
      <w:r w:rsidR="00D44A06">
        <w:rPr>
          <w:rFonts w:eastAsiaTheme="minorEastAsia"/>
          <w:szCs w:val="24"/>
          <w:lang w:val="en-US"/>
        </w:rPr>
        <w:t>R</w:t>
      </w:r>
      <w:r w:rsidR="00D44A06" w:rsidRPr="00D44A06">
        <w:rPr>
          <w:rFonts w:eastAsiaTheme="minorEastAsia"/>
          <w:szCs w:val="24"/>
          <w:lang w:val="en-US"/>
        </w:rPr>
        <w:t>ituximab</w:t>
      </w:r>
      <w:r w:rsidRPr="00591C4E">
        <w:rPr>
          <w:rFonts w:eastAsiaTheme="minorEastAsia"/>
          <w:szCs w:val="24"/>
          <w:lang w:val="en-US"/>
        </w:rPr>
        <w:t xml:space="preserve"> maintenance treatment consisted of a single infusion of </w:t>
      </w:r>
      <w:r w:rsidR="00D44A06" w:rsidRPr="00D44A06">
        <w:rPr>
          <w:rFonts w:eastAsiaTheme="minorEastAsia"/>
          <w:szCs w:val="24"/>
          <w:lang w:val="en-US"/>
        </w:rPr>
        <w:t>rituxima</w:t>
      </w:r>
      <w:r w:rsidR="00D44A06">
        <w:rPr>
          <w:rFonts w:eastAsiaTheme="minorEastAsia"/>
          <w:szCs w:val="24"/>
          <w:lang w:val="en-US"/>
        </w:rPr>
        <w:t xml:space="preserve">b </w:t>
      </w:r>
      <w:r w:rsidRPr="00591C4E">
        <w:rPr>
          <w:rFonts w:eastAsiaTheme="minorEastAsia"/>
          <w:szCs w:val="24"/>
          <w:lang w:val="en-US"/>
        </w:rPr>
        <w:t>at 375 mg/m</w:t>
      </w:r>
      <w:r w:rsidRPr="00A87C92">
        <w:rPr>
          <w:rFonts w:eastAsiaTheme="minorEastAsia"/>
          <w:szCs w:val="24"/>
          <w:vertAlign w:val="superscript"/>
          <w:lang w:val="en-US"/>
        </w:rPr>
        <w:t>2</w:t>
      </w:r>
      <w:r w:rsidRPr="00591C4E">
        <w:rPr>
          <w:rFonts w:eastAsiaTheme="minorEastAsia"/>
          <w:szCs w:val="24"/>
          <w:lang w:val="en-US"/>
        </w:rPr>
        <w:t xml:space="preserve"> body surface area given every 2 months until disease progression or for a maximum period of two years.</w:t>
      </w:r>
    </w:p>
    <w:p w14:paraId="46B9B1D1" w14:textId="1A05A39E" w:rsidR="00591C4E" w:rsidRPr="00591C4E" w:rsidRDefault="00591C4E" w:rsidP="00443352">
      <w:pPr>
        <w:pStyle w:val="CLDNormal"/>
        <w:jc w:val="left"/>
        <w:rPr>
          <w:rFonts w:eastAsiaTheme="minorEastAsia"/>
          <w:szCs w:val="24"/>
          <w:lang w:val="en-US"/>
        </w:rPr>
      </w:pPr>
      <w:r w:rsidRPr="00591C4E">
        <w:rPr>
          <w:rFonts w:eastAsiaTheme="minorEastAsia"/>
          <w:szCs w:val="24"/>
          <w:lang w:val="en-US"/>
        </w:rPr>
        <w:t xml:space="preserve">After a median observation time of 25 months from </w:t>
      </w:r>
      <w:proofErr w:type="spellStart"/>
      <w:r w:rsidRPr="00591C4E">
        <w:rPr>
          <w:rFonts w:eastAsiaTheme="minorEastAsia"/>
          <w:szCs w:val="24"/>
          <w:lang w:val="en-US"/>
        </w:rPr>
        <w:t>randomisation</w:t>
      </w:r>
      <w:proofErr w:type="spellEnd"/>
      <w:r w:rsidRPr="00591C4E">
        <w:rPr>
          <w:rFonts w:eastAsiaTheme="minorEastAsia"/>
          <w:szCs w:val="24"/>
          <w:lang w:val="en-US"/>
        </w:rPr>
        <w:t xml:space="preserve">, maintenance therapy with </w:t>
      </w:r>
      <w:r w:rsidR="00D44A06" w:rsidRPr="00D44A06">
        <w:rPr>
          <w:rFonts w:eastAsiaTheme="minorEastAsia"/>
          <w:szCs w:val="24"/>
          <w:lang w:val="en-US"/>
        </w:rPr>
        <w:t>rituximab</w:t>
      </w:r>
      <w:r w:rsidR="00D44A06">
        <w:rPr>
          <w:rFonts w:eastAsiaTheme="minorEastAsia"/>
          <w:szCs w:val="24"/>
          <w:lang w:val="en-US"/>
        </w:rPr>
        <w:t xml:space="preserve"> </w:t>
      </w:r>
      <w:r w:rsidRPr="00591C4E">
        <w:rPr>
          <w:rFonts w:eastAsiaTheme="minorEastAsia"/>
          <w:szCs w:val="24"/>
          <w:lang w:val="en-US"/>
        </w:rPr>
        <w:t>resulted in a clinically relevant and statistically significant improvement in the primary endpoint of investigator assessed progression-free survival (PFS) as compared to no maintenance therapy in patients with previously untreated follicular NHL (Table 9). This improvement in PFS was confirmed by an independent review committee (IRC) (Table 9).</w:t>
      </w:r>
    </w:p>
    <w:p w14:paraId="5CE77218" w14:textId="13E78CD9" w:rsidR="00591C4E" w:rsidRPr="00591C4E" w:rsidRDefault="00591C4E" w:rsidP="00443352">
      <w:pPr>
        <w:pStyle w:val="CLDNormal"/>
        <w:jc w:val="left"/>
        <w:rPr>
          <w:rFonts w:eastAsiaTheme="minorEastAsia"/>
          <w:szCs w:val="24"/>
          <w:lang w:val="en-US"/>
        </w:rPr>
      </w:pPr>
      <w:r w:rsidRPr="00591C4E">
        <w:rPr>
          <w:rFonts w:eastAsiaTheme="minorEastAsia"/>
          <w:szCs w:val="24"/>
          <w:lang w:val="en-US"/>
        </w:rPr>
        <w:t xml:space="preserve">Significant benefit from maintenance treatment with </w:t>
      </w:r>
      <w:r w:rsidR="00D44A06" w:rsidRPr="00D44A06">
        <w:rPr>
          <w:rFonts w:eastAsiaTheme="minorEastAsia"/>
          <w:szCs w:val="24"/>
          <w:lang w:val="en-US"/>
        </w:rPr>
        <w:t>rituximab</w:t>
      </w:r>
      <w:r w:rsidRPr="00591C4E">
        <w:rPr>
          <w:rFonts w:eastAsiaTheme="minorEastAsia"/>
          <w:szCs w:val="24"/>
          <w:lang w:val="en-US"/>
        </w:rPr>
        <w:t xml:space="preserve"> was also seen for the secondary endpoints event-free survival (EFS), time to next anti-lymphoma treatment (TNLT) time to next chemotherapy (TNCT) and overall response rate (ORR) (Table 9). Based on the limited number of deaths (58/513 patients (11%) in the observation arm and 59/505 patients (12%) in the rituximab maintenance arm), the current analysis did not show an advantage of maintenance treatment with </w:t>
      </w:r>
      <w:r w:rsidR="00D44A06" w:rsidRPr="00D44A06">
        <w:rPr>
          <w:rFonts w:eastAsiaTheme="minorEastAsia"/>
          <w:szCs w:val="24"/>
          <w:lang w:val="en-US"/>
        </w:rPr>
        <w:t>rituximab</w:t>
      </w:r>
      <w:r w:rsidRPr="00591C4E">
        <w:rPr>
          <w:rFonts w:eastAsiaTheme="minorEastAsia"/>
          <w:szCs w:val="24"/>
          <w:lang w:val="en-US"/>
        </w:rPr>
        <w:t xml:space="preserve"> in terms of overall survival (OS) HR 1.02 (95% CI: 0.71‐1.47; p = 0.8959).</w:t>
      </w:r>
    </w:p>
    <w:p w14:paraId="3610F463" w14:textId="77777777" w:rsidR="00591C4E" w:rsidRPr="00621D3A" w:rsidRDefault="00591C4E" w:rsidP="00443352">
      <w:pPr>
        <w:pStyle w:val="CLDNormal"/>
        <w:jc w:val="left"/>
        <w:rPr>
          <w:rFonts w:eastAsiaTheme="minorEastAsia"/>
          <w:szCs w:val="24"/>
          <w:lang w:val="en-US"/>
        </w:rPr>
      </w:pPr>
      <w:r w:rsidRPr="00591C4E">
        <w:rPr>
          <w:rFonts w:eastAsiaTheme="minorEastAsia"/>
          <w:szCs w:val="24"/>
          <w:lang w:val="en-US"/>
        </w:rPr>
        <w:t xml:space="preserve">The updated analysis corresponding to a median observation time of 73 months from </w:t>
      </w:r>
      <w:proofErr w:type="spellStart"/>
      <w:r w:rsidRPr="00621D3A">
        <w:rPr>
          <w:rFonts w:eastAsiaTheme="minorEastAsia"/>
          <w:szCs w:val="24"/>
          <w:lang w:val="en-US"/>
        </w:rPr>
        <w:t>randomisation</w:t>
      </w:r>
      <w:proofErr w:type="spellEnd"/>
      <w:r w:rsidRPr="00621D3A">
        <w:rPr>
          <w:rFonts w:eastAsiaTheme="minorEastAsia"/>
          <w:szCs w:val="24"/>
          <w:lang w:val="en-US"/>
        </w:rPr>
        <w:t xml:space="preserve"> confirm the results of the primary analysis (Table 9).</w:t>
      </w:r>
    </w:p>
    <w:p w14:paraId="437C427F" w14:textId="35132F35" w:rsidR="00872166" w:rsidRPr="006A1EF8" w:rsidRDefault="00317833" w:rsidP="00443352">
      <w:pPr>
        <w:pStyle w:val="CLDNormal"/>
        <w:jc w:val="left"/>
        <w:rPr>
          <w:rFonts w:eastAsiaTheme="minorEastAsia"/>
          <w:b/>
          <w:sz w:val="22"/>
          <w:szCs w:val="22"/>
          <w:lang w:val="en-AU"/>
        </w:rPr>
      </w:pPr>
      <w:r w:rsidRPr="006A1EF8">
        <w:rPr>
          <w:rFonts w:eastAsiaTheme="minorEastAsia"/>
          <w:b/>
          <w:sz w:val="22"/>
          <w:szCs w:val="22"/>
          <w:lang w:val="en-US"/>
        </w:rPr>
        <w:t xml:space="preserve">Table 9: Overview of efficacy results for maintenance </w:t>
      </w:r>
      <w:r w:rsidR="00D44A06" w:rsidRPr="00621D3A">
        <w:rPr>
          <w:rFonts w:eastAsiaTheme="minorEastAsia"/>
          <w:b/>
          <w:sz w:val="22"/>
          <w:szCs w:val="22"/>
          <w:lang w:val="en-US"/>
        </w:rPr>
        <w:t>rituximab</w:t>
      </w:r>
      <w:r w:rsidRPr="006A1EF8">
        <w:rPr>
          <w:rFonts w:eastAsiaTheme="minorEastAsia"/>
          <w:b/>
          <w:sz w:val="22"/>
          <w:szCs w:val="22"/>
          <w:lang w:val="en-US"/>
        </w:rPr>
        <w:t xml:space="preserve"> vs. observation (25 and 73 months median </w:t>
      </w:r>
      <w:r w:rsidR="00872166" w:rsidRPr="006A1EF8">
        <w:rPr>
          <w:rFonts w:eastAsiaTheme="minorEastAsia"/>
          <w:b/>
          <w:sz w:val="22"/>
          <w:szCs w:val="22"/>
          <w:lang w:val="en-US"/>
        </w:rPr>
        <w:t>observation time)</w:t>
      </w:r>
    </w:p>
    <w:tbl>
      <w:tblPr>
        <w:tblStyle w:val="TableGrid"/>
        <w:tblW w:w="0" w:type="auto"/>
        <w:tblLook w:val="04A0" w:firstRow="1" w:lastRow="0" w:firstColumn="1" w:lastColumn="0" w:noHBand="0" w:noVBand="1"/>
      </w:tblPr>
      <w:tblGrid>
        <w:gridCol w:w="3026"/>
        <w:gridCol w:w="1513"/>
        <w:gridCol w:w="1514"/>
        <w:gridCol w:w="1513"/>
        <w:gridCol w:w="1514"/>
      </w:tblGrid>
      <w:tr w:rsidR="00E34B82" w:rsidRPr="00E34B82" w14:paraId="742A45A3" w14:textId="77777777" w:rsidTr="00443352">
        <w:trPr>
          <w:tblHeader/>
        </w:trPr>
        <w:tc>
          <w:tcPr>
            <w:tcW w:w="3026" w:type="dxa"/>
          </w:tcPr>
          <w:p w14:paraId="110FD563" w14:textId="77777777" w:rsidR="00E34B82" w:rsidRPr="00E34B82" w:rsidRDefault="00E34B82" w:rsidP="00443352">
            <w:pPr>
              <w:pStyle w:val="CLDNormal"/>
              <w:spacing w:after="0"/>
              <w:jc w:val="left"/>
              <w:rPr>
                <w:b/>
                <w:sz w:val="20"/>
                <w:lang w:val="en-US"/>
              </w:rPr>
            </w:pPr>
            <w:r w:rsidRPr="00E34B82">
              <w:rPr>
                <w:b/>
                <w:sz w:val="20"/>
                <w:lang w:val="en-US"/>
              </w:rPr>
              <w:t>Efficacy Parameter</w:t>
            </w:r>
          </w:p>
        </w:tc>
        <w:tc>
          <w:tcPr>
            <w:tcW w:w="3027" w:type="dxa"/>
            <w:gridSpan w:val="2"/>
          </w:tcPr>
          <w:p w14:paraId="2779E2E0" w14:textId="77777777" w:rsidR="00E34B82" w:rsidRPr="00E34B82" w:rsidRDefault="00E34B82" w:rsidP="00443352">
            <w:pPr>
              <w:pStyle w:val="CLDNormal"/>
              <w:spacing w:after="0"/>
              <w:jc w:val="left"/>
              <w:rPr>
                <w:b/>
                <w:sz w:val="20"/>
                <w:lang w:val="en-US"/>
              </w:rPr>
            </w:pPr>
            <w:r w:rsidRPr="00E34B82">
              <w:rPr>
                <w:b/>
                <w:sz w:val="20"/>
                <w:lang w:val="en-US"/>
              </w:rPr>
              <w:t xml:space="preserve">Primary </w:t>
            </w:r>
            <w:proofErr w:type="spellStart"/>
            <w:r w:rsidRPr="00E34B82">
              <w:rPr>
                <w:b/>
                <w:sz w:val="20"/>
                <w:lang w:val="en-US"/>
              </w:rPr>
              <w:t>Analysis</w:t>
            </w:r>
            <w:r w:rsidRPr="00E34B82">
              <w:rPr>
                <w:b/>
                <w:sz w:val="20"/>
                <w:vertAlign w:val="superscript"/>
                <w:lang w:val="en-US"/>
              </w:rPr>
              <w:t>a</w:t>
            </w:r>
            <w:proofErr w:type="spellEnd"/>
          </w:p>
        </w:tc>
        <w:tc>
          <w:tcPr>
            <w:tcW w:w="3027" w:type="dxa"/>
            <w:gridSpan w:val="2"/>
          </w:tcPr>
          <w:p w14:paraId="0A016FCA" w14:textId="77777777" w:rsidR="00E34B82" w:rsidRPr="00E34B82" w:rsidRDefault="00E34B82" w:rsidP="00443352">
            <w:pPr>
              <w:pStyle w:val="CLDNormal"/>
              <w:spacing w:after="0"/>
              <w:jc w:val="left"/>
              <w:rPr>
                <w:b/>
                <w:sz w:val="20"/>
                <w:lang w:val="en-US"/>
              </w:rPr>
            </w:pPr>
            <w:r w:rsidRPr="00E34B82">
              <w:rPr>
                <w:b/>
                <w:sz w:val="20"/>
                <w:lang w:val="en-US"/>
              </w:rPr>
              <w:t xml:space="preserve">Updated </w:t>
            </w:r>
            <w:proofErr w:type="spellStart"/>
            <w:r w:rsidRPr="00E34B82">
              <w:rPr>
                <w:b/>
                <w:sz w:val="20"/>
                <w:lang w:val="en-US"/>
              </w:rPr>
              <w:t>Analysis</w:t>
            </w:r>
            <w:r w:rsidRPr="00E34B82">
              <w:rPr>
                <w:b/>
                <w:sz w:val="20"/>
                <w:vertAlign w:val="superscript"/>
                <w:lang w:val="en-US"/>
              </w:rPr>
              <w:t>b</w:t>
            </w:r>
            <w:proofErr w:type="spellEnd"/>
          </w:p>
        </w:tc>
      </w:tr>
      <w:tr w:rsidR="00E34B82" w:rsidRPr="00E34B82" w14:paraId="0BA7FD33" w14:textId="77777777" w:rsidTr="00443352">
        <w:trPr>
          <w:tblHeader/>
        </w:trPr>
        <w:tc>
          <w:tcPr>
            <w:tcW w:w="3026" w:type="dxa"/>
          </w:tcPr>
          <w:p w14:paraId="14BE7355" w14:textId="77777777" w:rsidR="00E34B82" w:rsidRPr="00E34B82" w:rsidRDefault="00E34B82" w:rsidP="00443352">
            <w:pPr>
              <w:pStyle w:val="CLDNormal"/>
              <w:spacing w:after="0"/>
              <w:jc w:val="left"/>
              <w:rPr>
                <w:sz w:val="20"/>
                <w:lang w:val="en-US"/>
              </w:rPr>
            </w:pPr>
          </w:p>
        </w:tc>
        <w:tc>
          <w:tcPr>
            <w:tcW w:w="1513" w:type="dxa"/>
          </w:tcPr>
          <w:p w14:paraId="695B33C2" w14:textId="77777777" w:rsidR="00E34B82" w:rsidRPr="00E34B82" w:rsidRDefault="00E34B82" w:rsidP="00443352">
            <w:pPr>
              <w:pStyle w:val="CLDNormal"/>
              <w:spacing w:after="0"/>
              <w:jc w:val="left"/>
              <w:rPr>
                <w:sz w:val="20"/>
                <w:lang w:val="en-US"/>
              </w:rPr>
            </w:pPr>
            <w:r w:rsidRPr="00E34B82">
              <w:rPr>
                <w:sz w:val="20"/>
                <w:lang w:val="en-US"/>
              </w:rPr>
              <w:t>Observation</w:t>
            </w:r>
          </w:p>
          <w:p w14:paraId="6ADD75F0" w14:textId="77777777" w:rsidR="00E34B82" w:rsidRPr="00E34B82" w:rsidRDefault="00E34B82" w:rsidP="00443352">
            <w:pPr>
              <w:pStyle w:val="CLDNormal"/>
              <w:spacing w:after="0"/>
              <w:jc w:val="left"/>
              <w:rPr>
                <w:sz w:val="20"/>
                <w:lang w:val="en-US"/>
              </w:rPr>
            </w:pPr>
            <w:r w:rsidRPr="00E34B82">
              <w:rPr>
                <w:sz w:val="20"/>
                <w:lang w:val="en-US"/>
              </w:rPr>
              <w:t>N=513</w:t>
            </w:r>
          </w:p>
        </w:tc>
        <w:tc>
          <w:tcPr>
            <w:tcW w:w="1514" w:type="dxa"/>
          </w:tcPr>
          <w:p w14:paraId="4D025792" w14:textId="77777777" w:rsidR="00E34B82" w:rsidRPr="00E34B82" w:rsidRDefault="00E34B82" w:rsidP="00443352">
            <w:pPr>
              <w:pStyle w:val="CLDNormal"/>
              <w:spacing w:after="0"/>
              <w:jc w:val="left"/>
              <w:rPr>
                <w:sz w:val="20"/>
                <w:lang w:val="en-US"/>
              </w:rPr>
            </w:pPr>
            <w:r w:rsidRPr="00E34B82">
              <w:rPr>
                <w:sz w:val="20"/>
                <w:lang w:val="en-US"/>
              </w:rPr>
              <w:t xml:space="preserve">Rituximab </w:t>
            </w:r>
          </w:p>
          <w:p w14:paraId="6DE65EB8" w14:textId="77777777" w:rsidR="00E34B82" w:rsidRPr="00E34B82" w:rsidRDefault="00E34B82" w:rsidP="00443352">
            <w:pPr>
              <w:pStyle w:val="CLDNormal"/>
              <w:spacing w:after="0"/>
              <w:jc w:val="left"/>
              <w:rPr>
                <w:sz w:val="20"/>
                <w:lang w:val="en-US"/>
              </w:rPr>
            </w:pPr>
            <w:r w:rsidRPr="00E34B82">
              <w:rPr>
                <w:sz w:val="20"/>
                <w:lang w:val="en-US"/>
              </w:rPr>
              <w:t>Maintenance</w:t>
            </w:r>
          </w:p>
          <w:p w14:paraId="39CC9B26" w14:textId="77777777" w:rsidR="00E34B82" w:rsidRPr="00E34B82" w:rsidRDefault="00E34B82" w:rsidP="00443352">
            <w:pPr>
              <w:pStyle w:val="CLDNormal"/>
              <w:spacing w:after="0"/>
              <w:jc w:val="left"/>
              <w:rPr>
                <w:sz w:val="20"/>
                <w:lang w:val="en-US"/>
              </w:rPr>
            </w:pPr>
            <w:r w:rsidRPr="00E34B82">
              <w:rPr>
                <w:sz w:val="20"/>
                <w:lang w:val="en-US"/>
              </w:rPr>
              <w:t>N=505</w:t>
            </w:r>
          </w:p>
        </w:tc>
        <w:tc>
          <w:tcPr>
            <w:tcW w:w="1513" w:type="dxa"/>
          </w:tcPr>
          <w:p w14:paraId="7968E6A1" w14:textId="77777777" w:rsidR="00E34B82" w:rsidRPr="00E34B82" w:rsidRDefault="00E34B82" w:rsidP="00443352">
            <w:pPr>
              <w:pStyle w:val="CLDNormal"/>
              <w:spacing w:after="0"/>
              <w:jc w:val="left"/>
              <w:rPr>
                <w:sz w:val="20"/>
                <w:lang w:val="en-US"/>
              </w:rPr>
            </w:pPr>
            <w:r w:rsidRPr="00E34B82">
              <w:rPr>
                <w:sz w:val="20"/>
                <w:lang w:val="en-US"/>
              </w:rPr>
              <w:t>Observation</w:t>
            </w:r>
          </w:p>
          <w:p w14:paraId="4864A8EC" w14:textId="77777777" w:rsidR="00E34B82" w:rsidRPr="00E34B82" w:rsidRDefault="00E34B82" w:rsidP="00443352">
            <w:pPr>
              <w:pStyle w:val="CLDNormal"/>
              <w:spacing w:after="0"/>
              <w:jc w:val="left"/>
              <w:rPr>
                <w:sz w:val="20"/>
                <w:lang w:val="en-US"/>
              </w:rPr>
            </w:pPr>
            <w:r w:rsidRPr="00E34B82">
              <w:rPr>
                <w:sz w:val="20"/>
                <w:lang w:val="en-US"/>
              </w:rPr>
              <w:t>N=513</w:t>
            </w:r>
          </w:p>
        </w:tc>
        <w:tc>
          <w:tcPr>
            <w:tcW w:w="1514" w:type="dxa"/>
          </w:tcPr>
          <w:p w14:paraId="58B13814" w14:textId="77777777" w:rsidR="00E34B82" w:rsidRPr="00E34B82" w:rsidRDefault="00E34B82" w:rsidP="00443352">
            <w:pPr>
              <w:pStyle w:val="CLDNormal"/>
              <w:spacing w:after="0"/>
              <w:jc w:val="left"/>
              <w:rPr>
                <w:sz w:val="20"/>
                <w:lang w:val="en-US"/>
              </w:rPr>
            </w:pPr>
            <w:r w:rsidRPr="00E34B82">
              <w:rPr>
                <w:sz w:val="20"/>
                <w:lang w:val="en-US"/>
              </w:rPr>
              <w:t xml:space="preserve">Rituximab </w:t>
            </w:r>
          </w:p>
          <w:p w14:paraId="21C14902" w14:textId="77777777" w:rsidR="00E34B82" w:rsidRPr="00E34B82" w:rsidRDefault="00E34B82" w:rsidP="00443352">
            <w:pPr>
              <w:pStyle w:val="CLDNormal"/>
              <w:spacing w:after="0"/>
              <w:jc w:val="left"/>
              <w:rPr>
                <w:sz w:val="20"/>
                <w:lang w:val="en-US"/>
              </w:rPr>
            </w:pPr>
            <w:r w:rsidRPr="00E34B82">
              <w:rPr>
                <w:sz w:val="20"/>
                <w:lang w:val="en-US"/>
              </w:rPr>
              <w:t>Maintenance</w:t>
            </w:r>
          </w:p>
          <w:p w14:paraId="0F1AA13B" w14:textId="77777777" w:rsidR="00E34B82" w:rsidRPr="00E34B82" w:rsidRDefault="00E34B82" w:rsidP="00443352">
            <w:pPr>
              <w:pStyle w:val="CLDNormal"/>
              <w:spacing w:after="0"/>
              <w:jc w:val="left"/>
              <w:rPr>
                <w:sz w:val="20"/>
                <w:lang w:val="en-US"/>
              </w:rPr>
            </w:pPr>
            <w:r w:rsidRPr="00E34B82">
              <w:rPr>
                <w:sz w:val="20"/>
                <w:lang w:val="en-US"/>
              </w:rPr>
              <w:t>N=505</w:t>
            </w:r>
          </w:p>
        </w:tc>
      </w:tr>
      <w:tr w:rsidR="00E34B82" w:rsidRPr="00E34B82" w14:paraId="55793527" w14:textId="77777777" w:rsidTr="00DE597A">
        <w:tc>
          <w:tcPr>
            <w:tcW w:w="3026" w:type="dxa"/>
          </w:tcPr>
          <w:p w14:paraId="46A939CF" w14:textId="77777777" w:rsidR="00E34B82" w:rsidRPr="00E34B82" w:rsidRDefault="00E34B82" w:rsidP="00443352">
            <w:pPr>
              <w:pStyle w:val="CLDNormal"/>
              <w:spacing w:after="0"/>
              <w:jc w:val="left"/>
              <w:rPr>
                <w:sz w:val="20"/>
                <w:lang w:val="en-US"/>
              </w:rPr>
            </w:pPr>
            <w:r>
              <w:rPr>
                <w:sz w:val="20"/>
                <w:lang w:val="en-US"/>
              </w:rPr>
              <w:t>Primary Endpoint</w:t>
            </w:r>
          </w:p>
        </w:tc>
        <w:tc>
          <w:tcPr>
            <w:tcW w:w="3027" w:type="dxa"/>
            <w:gridSpan w:val="2"/>
          </w:tcPr>
          <w:p w14:paraId="651BA173" w14:textId="77777777" w:rsidR="00E34B82" w:rsidRPr="00E34B82" w:rsidRDefault="00E34B82" w:rsidP="00443352">
            <w:pPr>
              <w:pStyle w:val="CLDNormal"/>
              <w:spacing w:after="0"/>
              <w:jc w:val="left"/>
              <w:rPr>
                <w:sz w:val="20"/>
                <w:lang w:val="en-US"/>
              </w:rPr>
            </w:pPr>
          </w:p>
        </w:tc>
        <w:tc>
          <w:tcPr>
            <w:tcW w:w="3027" w:type="dxa"/>
            <w:gridSpan w:val="2"/>
          </w:tcPr>
          <w:p w14:paraId="700D9E27" w14:textId="77777777" w:rsidR="00E34B82" w:rsidRPr="00E34B82" w:rsidRDefault="00E34B82" w:rsidP="00443352">
            <w:pPr>
              <w:pStyle w:val="CLDNormal"/>
              <w:spacing w:after="0"/>
              <w:jc w:val="left"/>
              <w:rPr>
                <w:sz w:val="20"/>
                <w:lang w:val="en-US"/>
              </w:rPr>
            </w:pPr>
          </w:p>
        </w:tc>
      </w:tr>
      <w:tr w:rsidR="00E34B82" w:rsidRPr="00E34B82" w14:paraId="6480F8DE" w14:textId="77777777" w:rsidTr="00DE597A">
        <w:tc>
          <w:tcPr>
            <w:tcW w:w="3026" w:type="dxa"/>
          </w:tcPr>
          <w:p w14:paraId="25F90418" w14:textId="77777777" w:rsidR="00E34B82" w:rsidRDefault="00E34B82" w:rsidP="00443352">
            <w:pPr>
              <w:pStyle w:val="CLDNormal"/>
              <w:spacing w:after="0"/>
              <w:jc w:val="left"/>
              <w:rPr>
                <w:sz w:val="20"/>
                <w:lang w:val="en-US"/>
              </w:rPr>
            </w:pPr>
            <w:r>
              <w:rPr>
                <w:sz w:val="20"/>
                <w:lang w:val="en-US"/>
              </w:rPr>
              <w:t xml:space="preserve">Progression-free </w:t>
            </w:r>
            <w:proofErr w:type="spellStart"/>
            <w:r>
              <w:rPr>
                <w:sz w:val="20"/>
                <w:lang w:val="en-US"/>
              </w:rPr>
              <w:t>Survival</w:t>
            </w:r>
            <w:r w:rsidRPr="00E34B82">
              <w:rPr>
                <w:sz w:val="20"/>
                <w:vertAlign w:val="superscript"/>
                <w:lang w:val="en-US"/>
              </w:rPr>
              <w:t>c</w:t>
            </w:r>
            <w:proofErr w:type="spellEnd"/>
          </w:p>
        </w:tc>
        <w:tc>
          <w:tcPr>
            <w:tcW w:w="3027" w:type="dxa"/>
            <w:gridSpan w:val="2"/>
          </w:tcPr>
          <w:p w14:paraId="5D1EC7E9" w14:textId="77777777" w:rsidR="00E34B82" w:rsidRPr="00E34B82" w:rsidRDefault="00E34B82" w:rsidP="00443352">
            <w:pPr>
              <w:pStyle w:val="CLDNormal"/>
              <w:spacing w:after="0"/>
              <w:jc w:val="left"/>
              <w:rPr>
                <w:sz w:val="20"/>
                <w:lang w:val="en-US"/>
              </w:rPr>
            </w:pPr>
          </w:p>
        </w:tc>
        <w:tc>
          <w:tcPr>
            <w:tcW w:w="3027" w:type="dxa"/>
            <w:gridSpan w:val="2"/>
          </w:tcPr>
          <w:p w14:paraId="00E82285" w14:textId="77777777" w:rsidR="00E34B82" w:rsidRPr="00E34B82" w:rsidRDefault="00E34B82" w:rsidP="00443352">
            <w:pPr>
              <w:pStyle w:val="CLDNormal"/>
              <w:spacing w:after="0"/>
              <w:jc w:val="left"/>
              <w:rPr>
                <w:sz w:val="20"/>
                <w:lang w:val="en-US"/>
              </w:rPr>
            </w:pPr>
          </w:p>
        </w:tc>
      </w:tr>
      <w:tr w:rsidR="00E34B82" w:rsidRPr="00E34B82" w14:paraId="6FFBD448" w14:textId="77777777" w:rsidTr="00DE597A">
        <w:tc>
          <w:tcPr>
            <w:tcW w:w="3026" w:type="dxa"/>
          </w:tcPr>
          <w:p w14:paraId="42D85177" w14:textId="77777777" w:rsidR="00E34B82" w:rsidRDefault="00E34B82" w:rsidP="00443352">
            <w:pPr>
              <w:pStyle w:val="CLDNormal"/>
              <w:spacing w:after="0"/>
              <w:jc w:val="left"/>
              <w:rPr>
                <w:sz w:val="20"/>
                <w:lang w:val="en-US"/>
              </w:rPr>
            </w:pPr>
            <w:r w:rsidRPr="00E34B82">
              <w:rPr>
                <w:sz w:val="20"/>
                <w:lang w:val="en-US"/>
              </w:rPr>
              <w:t>Median time to event (months)</w:t>
            </w:r>
          </w:p>
        </w:tc>
        <w:tc>
          <w:tcPr>
            <w:tcW w:w="1513" w:type="dxa"/>
          </w:tcPr>
          <w:p w14:paraId="7FBA07FC" w14:textId="77777777" w:rsidR="00E34B82" w:rsidRPr="00E34B82" w:rsidRDefault="00E34B82" w:rsidP="00443352">
            <w:pPr>
              <w:pStyle w:val="CLDNormal"/>
              <w:spacing w:after="0"/>
              <w:jc w:val="left"/>
              <w:rPr>
                <w:sz w:val="20"/>
                <w:lang w:val="en-US"/>
              </w:rPr>
            </w:pPr>
            <w:r>
              <w:rPr>
                <w:sz w:val="20"/>
                <w:lang w:val="en-US"/>
              </w:rPr>
              <w:t>NR</w:t>
            </w:r>
          </w:p>
        </w:tc>
        <w:tc>
          <w:tcPr>
            <w:tcW w:w="1514" w:type="dxa"/>
          </w:tcPr>
          <w:p w14:paraId="1ED152DF" w14:textId="77777777" w:rsidR="00E34B82" w:rsidRPr="00E34B82" w:rsidRDefault="00E34B82" w:rsidP="00443352">
            <w:pPr>
              <w:pStyle w:val="CLDNormal"/>
              <w:spacing w:after="0"/>
              <w:jc w:val="left"/>
              <w:rPr>
                <w:sz w:val="20"/>
                <w:lang w:val="en-US"/>
              </w:rPr>
            </w:pPr>
            <w:r>
              <w:rPr>
                <w:sz w:val="20"/>
                <w:lang w:val="en-US"/>
              </w:rPr>
              <w:t>NR</w:t>
            </w:r>
          </w:p>
        </w:tc>
        <w:tc>
          <w:tcPr>
            <w:tcW w:w="1513" w:type="dxa"/>
          </w:tcPr>
          <w:p w14:paraId="5F650675" w14:textId="77777777" w:rsidR="00E34B82" w:rsidRPr="00E34B82" w:rsidRDefault="00E34B82" w:rsidP="00443352">
            <w:pPr>
              <w:pStyle w:val="CLDNormal"/>
              <w:spacing w:after="0"/>
              <w:jc w:val="left"/>
              <w:rPr>
                <w:sz w:val="20"/>
                <w:lang w:val="en-US"/>
              </w:rPr>
            </w:pPr>
            <w:r>
              <w:rPr>
                <w:sz w:val="20"/>
                <w:lang w:val="en-US"/>
              </w:rPr>
              <w:t>49</w:t>
            </w:r>
          </w:p>
        </w:tc>
        <w:tc>
          <w:tcPr>
            <w:tcW w:w="1514" w:type="dxa"/>
          </w:tcPr>
          <w:p w14:paraId="41B5A15A" w14:textId="77777777" w:rsidR="00E34B82" w:rsidRPr="00E34B82" w:rsidRDefault="00E34B82" w:rsidP="00443352">
            <w:pPr>
              <w:pStyle w:val="CLDNormal"/>
              <w:spacing w:after="0"/>
              <w:jc w:val="left"/>
              <w:rPr>
                <w:sz w:val="20"/>
                <w:lang w:val="en-US"/>
              </w:rPr>
            </w:pPr>
            <w:r>
              <w:rPr>
                <w:sz w:val="20"/>
                <w:lang w:val="en-US"/>
              </w:rPr>
              <w:t>NR</w:t>
            </w:r>
          </w:p>
        </w:tc>
      </w:tr>
      <w:tr w:rsidR="00E34B82" w:rsidRPr="00E34B82" w14:paraId="2EF08A63" w14:textId="77777777" w:rsidTr="00DE597A">
        <w:tc>
          <w:tcPr>
            <w:tcW w:w="3026" w:type="dxa"/>
          </w:tcPr>
          <w:p w14:paraId="2B0BBF26" w14:textId="77777777" w:rsidR="00E34B82" w:rsidRPr="00E34B82" w:rsidRDefault="00E34B82" w:rsidP="00443352">
            <w:pPr>
              <w:pStyle w:val="CLDNormal"/>
              <w:spacing w:after="0"/>
              <w:jc w:val="left"/>
              <w:rPr>
                <w:sz w:val="20"/>
                <w:lang w:val="en-US"/>
              </w:rPr>
            </w:pPr>
            <w:r w:rsidRPr="00E34B82">
              <w:rPr>
                <w:sz w:val="20"/>
                <w:lang w:val="en-US"/>
              </w:rPr>
              <w:t>p value (stratified log-rank test)</w:t>
            </w:r>
          </w:p>
        </w:tc>
        <w:tc>
          <w:tcPr>
            <w:tcW w:w="3027" w:type="dxa"/>
            <w:gridSpan w:val="2"/>
          </w:tcPr>
          <w:p w14:paraId="7CB0EB58" w14:textId="77777777" w:rsidR="00E34B82" w:rsidRDefault="00E34B82" w:rsidP="00443352">
            <w:pPr>
              <w:pStyle w:val="CLDNormal"/>
              <w:spacing w:after="0"/>
              <w:jc w:val="left"/>
              <w:rPr>
                <w:sz w:val="20"/>
                <w:lang w:val="en-US"/>
              </w:rPr>
            </w:pPr>
            <w:r w:rsidRPr="00E34B82">
              <w:rPr>
                <w:sz w:val="20"/>
                <w:lang w:val="en-US"/>
              </w:rPr>
              <w:t xml:space="preserve">p </w:t>
            </w:r>
            <w:r>
              <w:rPr>
                <w:sz w:val="20"/>
                <w:lang w:val="en-US"/>
              </w:rPr>
              <w:t xml:space="preserve">&lt; </w:t>
            </w:r>
            <w:r w:rsidRPr="00E34B82">
              <w:rPr>
                <w:sz w:val="20"/>
                <w:lang w:val="en-US"/>
              </w:rPr>
              <w:t>0.0001</w:t>
            </w:r>
          </w:p>
        </w:tc>
        <w:tc>
          <w:tcPr>
            <w:tcW w:w="3027" w:type="dxa"/>
            <w:gridSpan w:val="2"/>
          </w:tcPr>
          <w:p w14:paraId="2A41874E" w14:textId="77777777" w:rsidR="00E34B82" w:rsidRDefault="00E34B82" w:rsidP="00443352">
            <w:pPr>
              <w:pStyle w:val="CLDNormal"/>
              <w:spacing w:after="0"/>
              <w:jc w:val="left"/>
              <w:rPr>
                <w:sz w:val="20"/>
                <w:lang w:val="en-US"/>
              </w:rPr>
            </w:pPr>
            <w:r w:rsidRPr="00E34B82">
              <w:rPr>
                <w:sz w:val="20"/>
                <w:lang w:val="en-US"/>
              </w:rPr>
              <w:t>p &lt; 0.0001</w:t>
            </w:r>
          </w:p>
        </w:tc>
      </w:tr>
      <w:tr w:rsidR="00E34B82" w:rsidRPr="00E34B82" w14:paraId="786A0E4C" w14:textId="77777777" w:rsidTr="00DE597A">
        <w:tc>
          <w:tcPr>
            <w:tcW w:w="3026" w:type="dxa"/>
          </w:tcPr>
          <w:p w14:paraId="5CF9C3A4" w14:textId="77777777" w:rsidR="00E34B82" w:rsidRPr="00E34B82" w:rsidRDefault="00E34B82" w:rsidP="00443352">
            <w:pPr>
              <w:pStyle w:val="CLDNormal"/>
              <w:spacing w:after="0"/>
              <w:jc w:val="left"/>
              <w:rPr>
                <w:sz w:val="20"/>
                <w:lang w:val="en-US"/>
              </w:rPr>
            </w:pPr>
            <w:r w:rsidRPr="00E34B82">
              <w:rPr>
                <w:sz w:val="20"/>
                <w:lang w:val="en-US"/>
              </w:rPr>
              <w:t>HR [95% CI] (stratified)</w:t>
            </w:r>
          </w:p>
        </w:tc>
        <w:tc>
          <w:tcPr>
            <w:tcW w:w="3027" w:type="dxa"/>
            <w:gridSpan w:val="2"/>
          </w:tcPr>
          <w:p w14:paraId="74D355F3" w14:textId="77777777" w:rsidR="00E34B82" w:rsidRPr="00E34B82" w:rsidRDefault="00E34B82" w:rsidP="00443352">
            <w:pPr>
              <w:pStyle w:val="CLDNormal"/>
              <w:spacing w:after="0"/>
              <w:jc w:val="left"/>
              <w:rPr>
                <w:sz w:val="20"/>
                <w:lang w:val="en-US"/>
              </w:rPr>
            </w:pPr>
            <w:r w:rsidRPr="00E34B82">
              <w:rPr>
                <w:sz w:val="20"/>
                <w:lang w:val="en-US"/>
              </w:rPr>
              <w:t>0.50 [0.39;0.64]</w:t>
            </w:r>
          </w:p>
        </w:tc>
        <w:tc>
          <w:tcPr>
            <w:tcW w:w="3027" w:type="dxa"/>
            <w:gridSpan w:val="2"/>
          </w:tcPr>
          <w:p w14:paraId="6A953047" w14:textId="77777777" w:rsidR="00E34B82" w:rsidRPr="00E34B82" w:rsidRDefault="00E34B82" w:rsidP="00443352">
            <w:pPr>
              <w:pStyle w:val="CLDNormal"/>
              <w:spacing w:after="0"/>
              <w:jc w:val="left"/>
              <w:rPr>
                <w:sz w:val="20"/>
                <w:lang w:val="en-US"/>
              </w:rPr>
            </w:pPr>
            <w:r w:rsidRPr="00E34B82">
              <w:rPr>
                <w:sz w:val="20"/>
                <w:lang w:val="en-US"/>
              </w:rPr>
              <w:t>0.58 [0.48;0.69]</w:t>
            </w:r>
          </w:p>
        </w:tc>
      </w:tr>
      <w:tr w:rsidR="00E34B82" w:rsidRPr="00E34B82" w14:paraId="69271E9E" w14:textId="77777777" w:rsidTr="00DE597A">
        <w:tc>
          <w:tcPr>
            <w:tcW w:w="3026" w:type="dxa"/>
          </w:tcPr>
          <w:p w14:paraId="17B37924" w14:textId="45738700" w:rsidR="00E34B82" w:rsidRPr="00E34B82" w:rsidRDefault="00D30846" w:rsidP="00443352">
            <w:pPr>
              <w:pStyle w:val="CLDNormal"/>
              <w:spacing w:after="0"/>
              <w:jc w:val="left"/>
              <w:rPr>
                <w:sz w:val="20"/>
                <w:lang w:val="en-US"/>
              </w:rPr>
            </w:pPr>
            <w:r>
              <w:rPr>
                <w:sz w:val="20"/>
                <w:lang w:val="en-US"/>
              </w:rPr>
              <w:t xml:space="preserve">Secondary endpoint </w:t>
            </w:r>
          </w:p>
        </w:tc>
        <w:tc>
          <w:tcPr>
            <w:tcW w:w="3027" w:type="dxa"/>
            <w:gridSpan w:val="2"/>
          </w:tcPr>
          <w:p w14:paraId="5B3B138C" w14:textId="77777777" w:rsidR="00E34B82" w:rsidRPr="00E34B82" w:rsidRDefault="00E34B82" w:rsidP="00443352">
            <w:pPr>
              <w:pStyle w:val="CLDNormal"/>
              <w:spacing w:after="0"/>
              <w:jc w:val="left"/>
              <w:rPr>
                <w:sz w:val="20"/>
                <w:lang w:val="en-US"/>
              </w:rPr>
            </w:pPr>
          </w:p>
        </w:tc>
        <w:tc>
          <w:tcPr>
            <w:tcW w:w="3027" w:type="dxa"/>
            <w:gridSpan w:val="2"/>
          </w:tcPr>
          <w:p w14:paraId="0469C7EA" w14:textId="77777777" w:rsidR="00E34B82" w:rsidRPr="00E34B82" w:rsidRDefault="00E34B82" w:rsidP="00443352">
            <w:pPr>
              <w:pStyle w:val="CLDNormal"/>
              <w:spacing w:after="0"/>
              <w:jc w:val="left"/>
              <w:rPr>
                <w:sz w:val="20"/>
                <w:lang w:val="en-US"/>
              </w:rPr>
            </w:pPr>
          </w:p>
        </w:tc>
      </w:tr>
      <w:tr w:rsidR="004676F0" w:rsidRPr="00E34B82" w14:paraId="7E89C9B0" w14:textId="77777777" w:rsidTr="00DE597A">
        <w:tc>
          <w:tcPr>
            <w:tcW w:w="3026" w:type="dxa"/>
          </w:tcPr>
          <w:p w14:paraId="72D347BB" w14:textId="3C4389AC" w:rsidR="004676F0" w:rsidRDefault="004676F0" w:rsidP="00443352">
            <w:pPr>
              <w:pStyle w:val="CLDNormal"/>
              <w:spacing w:after="0"/>
              <w:jc w:val="left"/>
              <w:rPr>
                <w:sz w:val="20"/>
                <w:lang w:val="en-US"/>
              </w:rPr>
            </w:pPr>
            <w:r>
              <w:rPr>
                <w:sz w:val="20"/>
                <w:lang w:val="en-US"/>
              </w:rPr>
              <w:t xml:space="preserve">Overall survival </w:t>
            </w:r>
          </w:p>
        </w:tc>
        <w:tc>
          <w:tcPr>
            <w:tcW w:w="3027" w:type="dxa"/>
            <w:gridSpan w:val="2"/>
          </w:tcPr>
          <w:p w14:paraId="2E73CD64" w14:textId="77777777" w:rsidR="004676F0" w:rsidRPr="00E34B82" w:rsidRDefault="004676F0" w:rsidP="00443352">
            <w:pPr>
              <w:pStyle w:val="CLDNormal"/>
              <w:spacing w:after="0"/>
              <w:jc w:val="left"/>
              <w:rPr>
                <w:sz w:val="20"/>
                <w:lang w:val="en-US"/>
              </w:rPr>
            </w:pPr>
          </w:p>
        </w:tc>
        <w:tc>
          <w:tcPr>
            <w:tcW w:w="3027" w:type="dxa"/>
            <w:gridSpan w:val="2"/>
          </w:tcPr>
          <w:p w14:paraId="2B9B43EE" w14:textId="77777777" w:rsidR="004676F0" w:rsidRPr="00E34B82" w:rsidRDefault="004676F0" w:rsidP="00443352">
            <w:pPr>
              <w:pStyle w:val="CLDNormal"/>
              <w:spacing w:after="0"/>
              <w:jc w:val="left"/>
              <w:rPr>
                <w:sz w:val="20"/>
                <w:lang w:val="en-US"/>
              </w:rPr>
            </w:pPr>
          </w:p>
        </w:tc>
      </w:tr>
      <w:tr w:rsidR="004676F0" w:rsidRPr="00E34B82" w14:paraId="0102F0D1" w14:textId="77777777" w:rsidTr="00F07F07">
        <w:tc>
          <w:tcPr>
            <w:tcW w:w="3026" w:type="dxa"/>
          </w:tcPr>
          <w:p w14:paraId="326987C5" w14:textId="31F1DE40" w:rsidR="004676F0" w:rsidRDefault="004676F0" w:rsidP="00443352">
            <w:pPr>
              <w:pStyle w:val="CLDNormal"/>
              <w:spacing w:after="0"/>
              <w:jc w:val="left"/>
              <w:rPr>
                <w:sz w:val="20"/>
                <w:lang w:val="en-US"/>
              </w:rPr>
            </w:pPr>
            <w:r w:rsidRPr="004676F0">
              <w:rPr>
                <w:sz w:val="20"/>
                <w:lang w:val="en-US"/>
              </w:rPr>
              <w:t>Median time to event (months)</w:t>
            </w:r>
          </w:p>
        </w:tc>
        <w:tc>
          <w:tcPr>
            <w:tcW w:w="1513" w:type="dxa"/>
          </w:tcPr>
          <w:p w14:paraId="0271AC34" w14:textId="18017169" w:rsidR="004676F0" w:rsidRPr="00E34B82" w:rsidRDefault="004676F0" w:rsidP="00443352">
            <w:pPr>
              <w:pStyle w:val="CLDNormal"/>
              <w:spacing w:after="0"/>
              <w:jc w:val="left"/>
              <w:rPr>
                <w:sz w:val="20"/>
                <w:lang w:val="en-US"/>
              </w:rPr>
            </w:pPr>
            <w:r>
              <w:rPr>
                <w:sz w:val="20"/>
                <w:lang w:val="en-US"/>
              </w:rPr>
              <w:t>NR</w:t>
            </w:r>
          </w:p>
        </w:tc>
        <w:tc>
          <w:tcPr>
            <w:tcW w:w="1514" w:type="dxa"/>
          </w:tcPr>
          <w:p w14:paraId="158A6CF5" w14:textId="691F47CA" w:rsidR="004676F0" w:rsidRPr="00E34B82" w:rsidRDefault="004676F0" w:rsidP="00443352">
            <w:pPr>
              <w:pStyle w:val="CLDNormal"/>
              <w:spacing w:after="0"/>
              <w:jc w:val="left"/>
              <w:rPr>
                <w:sz w:val="20"/>
                <w:lang w:val="en-US"/>
              </w:rPr>
            </w:pPr>
            <w:r>
              <w:rPr>
                <w:sz w:val="20"/>
                <w:lang w:val="en-US"/>
              </w:rPr>
              <w:t>NR</w:t>
            </w:r>
          </w:p>
        </w:tc>
        <w:tc>
          <w:tcPr>
            <w:tcW w:w="1513" w:type="dxa"/>
          </w:tcPr>
          <w:p w14:paraId="58CCE660" w14:textId="189AD508" w:rsidR="004676F0" w:rsidRPr="00E34B82" w:rsidRDefault="004676F0" w:rsidP="00443352">
            <w:pPr>
              <w:pStyle w:val="CLDNormal"/>
              <w:spacing w:after="0"/>
              <w:jc w:val="left"/>
              <w:rPr>
                <w:sz w:val="20"/>
                <w:lang w:val="en-US"/>
              </w:rPr>
            </w:pPr>
            <w:r>
              <w:rPr>
                <w:sz w:val="20"/>
                <w:lang w:val="en-US"/>
              </w:rPr>
              <w:t>NR</w:t>
            </w:r>
          </w:p>
        </w:tc>
        <w:tc>
          <w:tcPr>
            <w:tcW w:w="1514" w:type="dxa"/>
          </w:tcPr>
          <w:p w14:paraId="7A82A50E" w14:textId="0F6E1A9E" w:rsidR="004676F0" w:rsidRPr="00E34B82" w:rsidRDefault="004676F0" w:rsidP="00443352">
            <w:pPr>
              <w:pStyle w:val="CLDNormal"/>
              <w:spacing w:after="0"/>
              <w:jc w:val="left"/>
              <w:rPr>
                <w:sz w:val="20"/>
                <w:lang w:val="en-US"/>
              </w:rPr>
            </w:pPr>
            <w:r>
              <w:rPr>
                <w:sz w:val="20"/>
                <w:lang w:val="en-US"/>
              </w:rPr>
              <w:t>NR</w:t>
            </w:r>
          </w:p>
        </w:tc>
      </w:tr>
      <w:tr w:rsidR="004676F0" w:rsidRPr="00E34B82" w14:paraId="5832AF51" w14:textId="77777777" w:rsidTr="00F07F07">
        <w:tc>
          <w:tcPr>
            <w:tcW w:w="3026" w:type="dxa"/>
          </w:tcPr>
          <w:p w14:paraId="00C7A8EC" w14:textId="6638810B" w:rsidR="004676F0" w:rsidRPr="004676F0" w:rsidRDefault="004676F0" w:rsidP="00443352">
            <w:pPr>
              <w:pStyle w:val="CLDNormal"/>
              <w:spacing w:after="0"/>
              <w:jc w:val="left"/>
              <w:rPr>
                <w:sz w:val="20"/>
                <w:lang w:val="en-US"/>
              </w:rPr>
            </w:pPr>
            <w:r w:rsidRPr="004676F0">
              <w:rPr>
                <w:sz w:val="20"/>
                <w:lang w:val="en-US"/>
              </w:rPr>
              <w:t>p value (stratified log-rank test)</w:t>
            </w:r>
          </w:p>
        </w:tc>
        <w:tc>
          <w:tcPr>
            <w:tcW w:w="3027" w:type="dxa"/>
            <w:gridSpan w:val="2"/>
          </w:tcPr>
          <w:p w14:paraId="77CB1615" w14:textId="2CD30853" w:rsidR="004676F0" w:rsidRDefault="004676F0" w:rsidP="00443352">
            <w:pPr>
              <w:pStyle w:val="CLDNormal"/>
              <w:spacing w:after="0"/>
              <w:jc w:val="left"/>
              <w:rPr>
                <w:sz w:val="20"/>
                <w:lang w:val="en-US"/>
              </w:rPr>
            </w:pPr>
            <w:r w:rsidRPr="004676F0">
              <w:rPr>
                <w:sz w:val="20"/>
                <w:lang w:val="en-US"/>
              </w:rPr>
              <w:t>p = 0.7246</w:t>
            </w:r>
          </w:p>
        </w:tc>
        <w:tc>
          <w:tcPr>
            <w:tcW w:w="3027" w:type="dxa"/>
            <w:gridSpan w:val="2"/>
          </w:tcPr>
          <w:p w14:paraId="3D89529A" w14:textId="4FAFB7FE" w:rsidR="004676F0" w:rsidRDefault="004676F0" w:rsidP="00443352">
            <w:pPr>
              <w:pStyle w:val="CLDNormal"/>
              <w:spacing w:after="0"/>
              <w:jc w:val="left"/>
              <w:rPr>
                <w:sz w:val="20"/>
                <w:lang w:val="en-US"/>
              </w:rPr>
            </w:pPr>
            <w:r w:rsidRPr="004676F0">
              <w:rPr>
                <w:sz w:val="20"/>
                <w:lang w:val="en-US"/>
              </w:rPr>
              <w:t>p = 0.8959</w:t>
            </w:r>
          </w:p>
        </w:tc>
      </w:tr>
      <w:tr w:rsidR="004676F0" w:rsidRPr="00E34B82" w14:paraId="3C8E93E1" w14:textId="77777777" w:rsidTr="00F07F07">
        <w:tc>
          <w:tcPr>
            <w:tcW w:w="3026" w:type="dxa"/>
          </w:tcPr>
          <w:p w14:paraId="69B741AA" w14:textId="4E5EC3BF" w:rsidR="004676F0" w:rsidRPr="004676F0" w:rsidRDefault="004676F0" w:rsidP="00443352">
            <w:pPr>
              <w:pStyle w:val="CLDNormal"/>
              <w:spacing w:after="0"/>
              <w:jc w:val="left"/>
              <w:rPr>
                <w:sz w:val="20"/>
                <w:lang w:val="en-US"/>
              </w:rPr>
            </w:pPr>
            <w:r w:rsidRPr="004676F0">
              <w:rPr>
                <w:sz w:val="20"/>
                <w:lang w:val="en-US"/>
              </w:rPr>
              <w:t>HR [95% CI] (stratified)</w:t>
            </w:r>
          </w:p>
        </w:tc>
        <w:tc>
          <w:tcPr>
            <w:tcW w:w="3027" w:type="dxa"/>
            <w:gridSpan w:val="2"/>
          </w:tcPr>
          <w:p w14:paraId="365EF4CB" w14:textId="1A3A02A3" w:rsidR="004676F0" w:rsidRPr="004676F0" w:rsidRDefault="004676F0" w:rsidP="00443352">
            <w:pPr>
              <w:pStyle w:val="CLDNormal"/>
              <w:spacing w:after="0"/>
              <w:jc w:val="left"/>
              <w:rPr>
                <w:sz w:val="20"/>
                <w:lang w:val="en-US"/>
              </w:rPr>
            </w:pPr>
            <w:r w:rsidRPr="004676F0">
              <w:rPr>
                <w:sz w:val="20"/>
                <w:lang w:val="en-US"/>
              </w:rPr>
              <w:t>0.89 [0.45;1.74]</w:t>
            </w:r>
          </w:p>
        </w:tc>
        <w:tc>
          <w:tcPr>
            <w:tcW w:w="3027" w:type="dxa"/>
            <w:gridSpan w:val="2"/>
          </w:tcPr>
          <w:p w14:paraId="73E1E802" w14:textId="32898011" w:rsidR="004676F0" w:rsidRPr="004676F0" w:rsidRDefault="004676F0" w:rsidP="00443352">
            <w:pPr>
              <w:pStyle w:val="CLDNormal"/>
              <w:spacing w:after="0"/>
              <w:jc w:val="left"/>
              <w:rPr>
                <w:sz w:val="20"/>
                <w:lang w:val="en-US"/>
              </w:rPr>
            </w:pPr>
            <w:r w:rsidRPr="004676F0">
              <w:rPr>
                <w:sz w:val="20"/>
                <w:lang w:val="en-US"/>
              </w:rPr>
              <w:t>1.02 [0.71;1.47]</w:t>
            </w:r>
          </w:p>
        </w:tc>
      </w:tr>
      <w:tr w:rsidR="004676F0" w:rsidRPr="00E34B82" w14:paraId="69834FE9" w14:textId="77777777" w:rsidTr="00F07F07">
        <w:tc>
          <w:tcPr>
            <w:tcW w:w="3026" w:type="dxa"/>
          </w:tcPr>
          <w:p w14:paraId="57E7EC3D" w14:textId="3DADE5E1" w:rsidR="004676F0" w:rsidRPr="004676F0" w:rsidRDefault="004676F0" w:rsidP="00443352">
            <w:pPr>
              <w:pStyle w:val="CLDNormal"/>
              <w:spacing w:after="0"/>
              <w:jc w:val="left"/>
              <w:rPr>
                <w:sz w:val="20"/>
                <w:lang w:val="en-US"/>
              </w:rPr>
            </w:pPr>
            <w:r w:rsidRPr="004676F0">
              <w:rPr>
                <w:sz w:val="20"/>
                <w:lang w:val="en-US"/>
              </w:rPr>
              <w:t>Overall Response Rate at End of Maintenance/Observation</w:t>
            </w:r>
          </w:p>
        </w:tc>
        <w:tc>
          <w:tcPr>
            <w:tcW w:w="3027" w:type="dxa"/>
            <w:gridSpan w:val="2"/>
          </w:tcPr>
          <w:p w14:paraId="775ECB28" w14:textId="77777777" w:rsidR="004676F0" w:rsidRPr="004676F0" w:rsidRDefault="004676F0" w:rsidP="00443352">
            <w:pPr>
              <w:pStyle w:val="CLDNormal"/>
              <w:spacing w:after="0"/>
              <w:jc w:val="left"/>
              <w:rPr>
                <w:sz w:val="20"/>
                <w:lang w:val="en-US"/>
              </w:rPr>
            </w:pPr>
          </w:p>
        </w:tc>
        <w:tc>
          <w:tcPr>
            <w:tcW w:w="3027" w:type="dxa"/>
            <w:gridSpan w:val="2"/>
          </w:tcPr>
          <w:p w14:paraId="0AA4A60F" w14:textId="77777777" w:rsidR="004676F0" w:rsidRPr="004676F0" w:rsidRDefault="004676F0" w:rsidP="00443352">
            <w:pPr>
              <w:pStyle w:val="CLDNormal"/>
              <w:spacing w:after="0"/>
              <w:jc w:val="left"/>
              <w:rPr>
                <w:sz w:val="20"/>
                <w:lang w:val="en-US"/>
              </w:rPr>
            </w:pPr>
          </w:p>
        </w:tc>
      </w:tr>
      <w:tr w:rsidR="004676F0" w:rsidRPr="00E34B82" w14:paraId="085E501E" w14:textId="77777777" w:rsidTr="00F07F07">
        <w:tc>
          <w:tcPr>
            <w:tcW w:w="3026" w:type="dxa"/>
          </w:tcPr>
          <w:p w14:paraId="3D37B239" w14:textId="15617AF9" w:rsidR="004676F0" w:rsidRPr="004676F0" w:rsidRDefault="004676F0" w:rsidP="00443352">
            <w:pPr>
              <w:pStyle w:val="CLDNormal"/>
              <w:spacing w:after="0"/>
              <w:jc w:val="left"/>
              <w:rPr>
                <w:sz w:val="20"/>
                <w:lang w:val="en-US"/>
              </w:rPr>
            </w:pPr>
            <w:r w:rsidRPr="004676F0">
              <w:rPr>
                <w:sz w:val="20"/>
                <w:lang w:val="en-US"/>
              </w:rPr>
              <w:t>Patients assessed at end of treatment</w:t>
            </w:r>
          </w:p>
        </w:tc>
        <w:tc>
          <w:tcPr>
            <w:tcW w:w="1513" w:type="dxa"/>
          </w:tcPr>
          <w:p w14:paraId="324F94D4" w14:textId="0B1B539D" w:rsidR="004676F0" w:rsidRPr="004676F0" w:rsidRDefault="004676F0" w:rsidP="00443352">
            <w:pPr>
              <w:pStyle w:val="CLDNormal"/>
              <w:spacing w:after="0"/>
              <w:jc w:val="left"/>
              <w:rPr>
                <w:sz w:val="20"/>
                <w:lang w:val="en-US"/>
              </w:rPr>
            </w:pPr>
            <w:r>
              <w:rPr>
                <w:sz w:val="20"/>
                <w:lang w:val="en-US"/>
              </w:rPr>
              <w:t>398</w:t>
            </w:r>
          </w:p>
        </w:tc>
        <w:tc>
          <w:tcPr>
            <w:tcW w:w="1514" w:type="dxa"/>
          </w:tcPr>
          <w:p w14:paraId="1CBD173D" w14:textId="39F0E403" w:rsidR="004676F0" w:rsidRPr="004676F0" w:rsidRDefault="004676F0" w:rsidP="00443352">
            <w:pPr>
              <w:pStyle w:val="CLDNormal"/>
              <w:spacing w:after="0"/>
              <w:jc w:val="left"/>
              <w:rPr>
                <w:sz w:val="20"/>
                <w:lang w:val="en-US"/>
              </w:rPr>
            </w:pPr>
            <w:r>
              <w:rPr>
                <w:sz w:val="20"/>
                <w:lang w:val="en-US"/>
              </w:rPr>
              <w:t>389</w:t>
            </w:r>
          </w:p>
        </w:tc>
        <w:tc>
          <w:tcPr>
            <w:tcW w:w="1513" w:type="dxa"/>
          </w:tcPr>
          <w:p w14:paraId="78B324EF" w14:textId="467FC112" w:rsidR="004676F0" w:rsidRPr="004676F0" w:rsidRDefault="004676F0" w:rsidP="00443352">
            <w:pPr>
              <w:pStyle w:val="CLDNormal"/>
              <w:spacing w:after="0"/>
              <w:jc w:val="left"/>
              <w:rPr>
                <w:sz w:val="20"/>
                <w:lang w:val="en-US"/>
              </w:rPr>
            </w:pPr>
            <w:r>
              <w:rPr>
                <w:sz w:val="20"/>
                <w:lang w:val="en-US"/>
              </w:rPr>
              <w:t>509</w:t>
            </w:r>
          </w:p>
        </w:tc>
        <w:tc>
          <w:tcPr>
            <w:tcW w:w="1514" w:type="dxa"/>
          </w:tcPr>
          <w:p w14:paraId="1D315388" w14:textId="1E61E383" w:rsidR="004676F0" w:rsidRPr="004676F0" w:rsidRDefault="004676F0" w:rsidP="00443352">
            <w:pPr>
              <w:pStyle w:val="CLDNormal"/>
              <w:spacing w:after="0"/>
              <w:jc w:val="left"/>
              <w:rPr>
                <w:sz w:val="20"/>
                <w:lang w:val="en-US"/>
              </w:rPr>
            </w:pPr>
            <w:r>
              <w:rPr>
                <w:sz w:val="20"/>
                <w:lang w:val="en-US"/>
              </w:rPr>
              <w:t>500</w:t>
            </w:r>
          </w:p>
        </w:tc>
      </w:tr>
      <w:tr w:rsidR="004676F0" w:rsidRPr="00E34B82" w14:paraId="00A11BD2" w14:textId="77777777" w:rsidTr="00F07F07">
        <w:tc>
          <w:tcPr>
            <w:tcW w:w="3026" w:type="dxa"/>
          </w:tcPr>
          <w:p w14:paraId="3BE3DCA0" w14:textId="614EB52B" w:rsidR="004676F0" w:rsidRPr="004676F0" w:rsidRDefault="004676F0" w:rsidP="00443352">
            <w:pPr>
              <w:pStyle w:val="CLDNormal"/>
              <w:spacing w:after="0"/>
              <w:jc w:val="left"/>
              <w:rPr>
                <w:sz w:val="20"/>
                <w:lang w:val="en-US"/>
              </w:rPr>
            </w:pPr>
            <w:r w:rsidRPr="004676F0">
              <w:rPr>
                <w:sz w:val="20"/>
                <w:lang w:val="en-US"/>
              </w:rPr>
              <w:t>Responders (CR/Cru, PR)</w:t>
            </w:r>
          </w:p>
        </w:tc>
        <w:tc>
          <w:tcPr>
            <w:tcW w:w="1513" w:type="dxa"/>
          </w:tcPr>
          <w:p w14:paraId="2F93CCDA" w14:textId="3A1C453F" w:rsidR="004676F0" w:rsidRDefault="004676F0" w:rsidP="00443352">
            <w:pPr>
              <w:pStyle w:val="CLDNormal"/>
              <w:spacing w:after="0"/>
              <w:jc w:val="left"/>
              <w:rPr>
                <w:sz w:val="20"/>
                <w:lang w:val="en-US"/>
              </w:rPr>
            </w:pPr>
            <w:r w:rsidRPr="004676F0">
              <w:rPr>
                <w:sz w:val="20"/>
                <w:lang w:val="en-US"/>
              </w:rPr>
              <w:t>219/398 (55%)</w:t>
            </w:r>
          </w:p>
        </w:tc>
        <w:tc>
          <w:tcPr>
            <w:tcW w:w="1514" w:type="dxa"/>
          </w:tcPr>
          <w:p w14:paraId="5426A228" w14:textId="60A3E06E" w:rsidR="004676F0" w:rsidRDefault="004676F0" w:rsidP="00443352">
            <w:pPr>
              <w:pStyle w:val="CLDNormal"/>
              <w:spacing w:after="0"/>
              <w:jc w:val="left"/>
              <w:rPr>
                <w:sz w:val="20"/>
                <w:lang w:val="en-US"/>
              </w:rPr>
            </w:pPr>
            <w:r w:rsidRPr="004676F0">
              <w:rPr>
                <w:sz w:val="20"/>
                <w:lang w:val="en-US"/>
              </w:rPr>
              <w:t>288/389 (74%)</w:t>
            </w:r>
          </w:p>
        </w:tc>
        <w:tc>
          <w:tcPr>
            <w:tcW w:w="1513" w:type="dxa"/>
          </w:tcPr>
          <w:p w14:paraId="6927C600" w14:textId="6D7C9C11" w:rsidR="004676F0" w:rsidRDefault="004676F0" w:rsidP="00443352">
            <w:pPr>
              <w:pStyle w:val="CLDNormal"/>
              <w:spacing w:after="0"/>
              <w:jc w:val="left"/>
              <w:rPr>
                <w:sz w:val="20"/>
                <w:lang w:val="en-US"/>
              </w:rPr>
            </w:pPr>
            <w:r w:rsidRPr="004676F0">
              <w:rPr>
                <w:sz w:val="20"/>
                <w:lang w:val="en-US"/>
              </w:rPr>
              <w:t>309/509 (61%)</w:t>
            </w:r>
          </w:p>
        </w:tc>
        <w:tc>
          <w:tcPr>
            <w:tcW w:w="1514" w:type="dxa"/>
          </w:tcPr>
          <w:p w14:paraId="35E3D64D" w14:textId="20E70D70" w:rsidR="004676F0" w:rsidRDefault="004676F0" w:rsidP="00443352">
            <w:pPr>
              <w:pStyle w:val="CLDNormal"/>
              <w:spacing w:after="0"/>
              <w:jc w:val="left"/>
              <w:rPr>
                <w:sz w:val="20"/>
                <w:lang w:val="en-US"/>
              </w:rPr>
            </w:pPr>
            <w:r w:rsidRPr="004676F0">
              <w:rPr>
                <w:sz w:val="20"/>
                <w:lang w:val="en-US"/>
              </w:rPr>
              <w:t>395/500 (79%)</w:t>
            </w:r>
          </w:p>
        </w:tc>
      </w:tr>
      <w:tr w:rsidR="004676F0" w:rsidRPr="00E34B82" w14:paraId="3BB53E54" w14:textId="77777777" w:rsidTr="00F07F07">
        <w:tc>
          <w:tcPr>
            <w:tcW w:w="3026" w:type="dxa"/>
          </w:tcPr>
          <w:p w14:paraId="6D4F06F3" w14:textId="367A690B" w:rsidR="004676F0" w:rsidRPr="004676F0" w:rsidRDefault="004676F0" w:rsidP="00443352">
            <w:pPr>
              <w:pStyle w:val="CLDNormal"/>
              <w:spacing w:after="0"/>
              <w:jc w:val="left"/>
              <w:rPr>
                <w:sz w:val="20"/>
                <w:lang w:val="en-US"/>
              </w:rPr>
            </w:pPr>
            <w:r w:rsidRPr="004676F0">
              <w:rPr>
                <w:sz w:val="20"/>
                <w:lang w:val="en-US"/>
              </w:rPr>
              <w:t>p value (</w:t>
            </w:r>
            <w:r>
              <w:rPr>
                <w:sz w:val="20"/>
                <w:lang w:val="en-US"/>
              </w:rPr>
              <w:t>α</w:t>
            </w:r>
            <w:r w:rsidRPr="004676F0">
              <w:rPr>
                <w:sz w:val="20"/>
                <w:vertAlign w:val="superscript"/>
                <w:lang w:val="en-US"/>
              </w:rPr>
              <w:t>2</w:t>
            </w:r>
            <w:r w:rsidRPr="004676F0">
              <w:rPr>
                <w:sz w:val="20"/>
                <w:lang w:val="en-US"/>
              </w:rPr>
              <w:t xml:space="preserve"> test)</w:t>
            </w:r>
          </w:p>
        </w:tc>
        <w:tc>
          <w:tcPr>
            <w:tcW w:w="3027" w:type="dxa"/>
            <w:gridSpan w:val="2"/>
          </w:tcPr>
          <w:p w14:paraId="7576A1F1" w14:textId="04C76CC6" w:rsidR="004676F0" w:rsidRPr="004676F0" w:rsidRDefault="004676F0" w:rsidP="00443352">
            <w:pPr>
              <w:pStyle w:val="CLDNormal"/>
              <w:spacing w:after="0"/>
              <w:jc w:val="left"/>
              <w:rPr>
                <w:sz w:val="20"/>
                <w:lang w:val="en-US"/>
              </w:rPr>
            </w:pPr>
            <w:r w:rsidRPr="004676F0">
              <w:rPr>
                <w:sz w:val="20"/>
                <w:lang w:val="en-US"/>
              </w:rPr>
              <w:t xml:space="preserve">p </w:t>
            </w:r>
            <w:r>
              <w:rPr>
                <w:sz w:val="20"/>
                <w:lang w:val="en-US"/>
              </w:rPr>
              <w:t>&lt;</w:t>
            </w:r>
            <w:r w:rsidRPr="004676F0">
              <w:rPr>
                <w:sz w:val="20"/>
                <w:lang w:val="en-US"/>
              </w:rPr>
              <w:t xml:space="preserve"> 0.0001</w:t>
            </w:r>
          </w:p>
        </w:tc>
        <w:tc>
          <w:tcPr>
            <w:tcW w:w="3027" w:type="dxa"/>
            <w:gridSpan w:val="2"/>
          </w:tcPr>
          <w:p w14:paraId="356D4322" w14:textId="6A410CC4" w:rsidR="004676F0" w:rsidRPr="004676F0" w:rsidRDefault="004676F0" w:rsidP="00443352">
            <w:pPr>
              <w:pStyle w:val="CLDNormal"/>
              <w:spacing w:after="0"/>
              <w:jc w:val="left"/>
              <w:rPr>
                <w:sz w:val="20"/>
                <w:lang w:val="en-US"/>
              </w:rPr>
            </w:pPr>
            <w:r w:rsidRPr="004676F0">
              <w:rPr>
                <w:sz w:val="20"/>
                <w:lang w:val="en-US"/>
              </w:rPr>
              <w:t>p &lt; 0.0001</w:t>
            </w:r>
          </w:p>
        </w:tc>
      </w:tr>
      <w:tr w:rsidR="004676F0" w:rsidRPr="00E34B82" w14:paraId="6FC70D6C" w14:textId="77777777" w:rsidTr="00F07F07">
        <w:tc>
          <w:tcPr>
            <w:tcW w:w="3026" w:type="dxa"/>
          </w:tcPr>
          <w:p w14:paraId="65472624" w14:textId="0B9500CB" w:rsidR="004676F0" w:rsidRPr="004676F0" w:rsidRDefault="004676F0" w:rsidP="00443352">
            <w:pPr>
              <w:pStyle w:val="CLDNormal"/>
              <w:spacing w:after="0"/>
              <w:jc w:val="left"/>
              <w:rPr>
                <w:sz w:val="20"/>
                <w:lang w:val="en-US"/>
              </w:rPr>
            </w:pPr>
            <w:r w:rsidRPr="004676F0">
              <w:rPr>
                <w:sz w:val="20"/>
                <w:lang w:val="en-US"/>
              </w:rPr>
              <w:t>Non-responders</w:t>
            </w:r>
          </w:p>
        </w:tc>
        <w:tc>
          <w:tcPr>
            <w:tcW w:w="1513" w:type="dxa"/>
          </w:tcPr>
          <w:p w14:paraId="543E4F0C" w14:textId="414FA0A4" w:rsidR="004676F0" w:rsidRPr="004676F0" w:rsidRDefault="004676F0" w:rsidP="00443352">
            <w:pPr>
              <w:pStyle w:val="CLDNormal"/>
              <w:spacing w:after="0"/>
              <w:jc w:val="left"/>
              <w:rPr>
                <w:sz w:val="20"/>
                <w:lang w:val="en-US"/>
              </w:rPr>
            </w:pPr>
            <w:r w:rsidRPr="004676F0">
              <w:rPr>
                <w:sz w:val="20"/>
                <w:lang w:val="en-US"/>
              </w:rPr>
              <w:t>179/398 (45%)</w:t>
            </w:r>
          </w:p>
        </w:tc>
        <w:tc>
          <w:tcPr>
            <w:tcW w:w="1514" w:type="dxa"/>
          </w:tcPr>
          <w:p w14:paraId="758F1CA6" w14:textId="6F6DB3CB" w:rsidR="004676F0" w:rsidRPr="004676F0" w:rsidRDefault="004676F0" w:rsidP="00443352">
            <w:pPr>
              <w:pStyle w:val="CLDNormal"/>
              <w:spacing w:after="0"/>
              <w:jc w:val="left"/>
              <w:rPr>
                <w:sz w:val="20"/>
                <w:lang w:val="en-US"/>
              </w:rPr>
            </w:pPr>
            <w:r w:rsidRPr="004676F0">
              <w:rPr>
                <w:sz w:val="20"/>
                <w:lang w:val="en-US"/>
              </w:rPr>
              <w:t>101/389 (26%)</w:t>
            </w:r>
          </w:p>
        </w:tc>
        <w:tc>
          <w:tcPr>
            <w:tcW w:w="1513" w:type="dxa"/>
          </w:tcPr>
          <w:p w14:paraId="16E74B2D" w14:textId="7DB36FD3" w:rsidR="004676F0" w:rsidRPr="004676F0" w:rsidRDefault="004676F0" w:rsidP="00443352">
            <w:pPr>
              <w:pStyle w:val="CLDNormal"/>
              <w:spacing w:after="0"/>
              <w:jc w:val="left"/>
              <w:rPr>
                <w:sz w:val="20"/>
                <w:lang w:val="en-US"/>
              </w:rPr>
            </w:pPr>
            <w:r w:rsidRPr="004676F0">
              <w:rPr>
                <w:sz w:val="20"/>
                <w:lang w:val="en-US"/>
              </w:rPr>
              <w:t>200/509 (40%)</w:t>
            </w:r>
          </w:p>
        </w:tc>
        <w:tc>
          <w:tcPr>
            <w:tcW w:w="1514" w:type="dxa"/>
          </w:tcPr>
          <w:p w14:paraId="0E4B09E3" w14:textId="2226F987" w:rsidR="004676F0" w:rsidRPr="004676F0" w:rsidRDefault="004676F0" w:rsidP="00443352">
            <w:pPr>
              <w:pStyle w:val="CLDNormal"/>
              <w:spacing w:after="0"/>
              <w:jc w:val="left"/>
              <w:rPr>
                <w:sz w:val="20"/>
                <w:lang w:val="en-US"/>
              </w:rPr>
            </w:pPr>
            <w:r w:rsidRPr="004676F0">
              <w:rPr>
                <w:sz w:val="20"/>
                <w:lang w:val="en-US"/>
              </w:rPr>
              <w:t>105/500 (21%)</w:t>
            </w:r>
          </w:p>
        </w:tc>
      </w:tr>
      <w:tr w:rsidR="004676F0" w:rsidRPr="00E34B82" w14:paraId="6A10724B" w14:textId="77777777" w:rsidTr="00F07F07">
        <w:tc>
          <w:tcPr>
            <w:tcW w:w="3026" w:type="dxa"/>
          </w:tcPr>
          <w:p w14:paraId="05BBA056" w14:textId="26401029" w:rsidR="004676F0" w:rsidRPr="004676F0" w:rsidRDefault="004676F0" w:rsidP="00443352">
            <w:pPr>
              <w:pStyle w:val="CLDNormal"/>
              <w:spacing w:after="0"/>
              <w:jc w:val="left"/>
              <w:rPr>
                <w:sz w:val="20"/>
                <w:lang w:val="en-US"/>
              </w:rPr>
            </w:pPr>
            <w:r w:rsidRPr="004676F0">
              <w:rPr>
                <w:sz w:val="20"/>
                <w:lang w:val="en-US"/>
              </w:rPr>
              <w:t>Patients with complete response (CR/</w:t>
            </w:r>
            <w:proofErr w:type="spellStart"/>
            <w:r w:rsidRPr="004676F0">
              <w:rPr>
                <w:sz w:val="20"/>
                <w:lang w:val="en-US"/>
              </w:rPr>
              <w:t>CRu</w:t>
            </w:r>
            <w:proofErr w:type="spellEnd"/>
            <w:r w:rsidRPr="004676F0">
              <w:rPr>
                <w:sz w:val="20"/>
                <w:lang w:val="en-US"/>
              </w:rPr>
              <w:t>)</w:t>
            </w:r>
          </w:p>
        </w:tc>
        <w:tc>
          <w:tcPr>
            <w:tcW w:w="1513" w:type="dxa"/>
          </w:tcPr>
          <w:p w14:paraId="0A02AE41" w14:textId="7BA9F9B2" w:rsidR="004676F0" w:rsidRPr="004676F0" w:rsidRDefault="004676F0" w:rsidP="00443352">
            <w:pPr>
              <w:pStyle w:val="CLDNormal"/>
              <w:spacing w:after="0"/>
              <w:jc w:val="left"/>
              <w:rPr>
                <w:sz w:val="20"/>
                <w:lang w:val="en-US"/>
              </w:rPr>
            </w:pPr>
            <w:r w:rsidRPr="004676F0">
              <w:rPr>
                <w:sz w:val="20"/>
                <w:lang w:val="en-US"/>
              </w:rPr>
              <w:t>190 (48%)</w:t>
            </w:r>
          </w:p>
        </w:tc>
        <w:tc>
          <w:tcPr>
            <w:tcW w:w="1514" w:type="dxa"/>
          </w:tcPr>
          <w:p w14:paraId="23E3B122" w14:textId="21BB909F" w:rsidR="004676F0" w:rsidRPr="004676F0" w:rsidRDefault="004676F0" w:rsidP="00443352">
            <w:pPr>
              <w:pStyle w:val="CLDNormal"/>
              <w:spacing w:after="0"/>
              <w:jc w:val="left"/>
              <w:rPr>
                <w:sz w:val="20"/>
                <w:lang w:val="en-US"/>
              </w:rPr>
            </w:pPr>
            <w:r w:rsidRPr="004676F0">
              <w:rPr>
                <w:sz w:val="20"/>
                <w:lang w:val="en-US"/>
              </w:rPr>
              <w:t>260 (67%)</w:t>
            </w:r>
          </w:p>
        </w:tc>
        <w:tc>
          <w:tcPr>
            <w:tcW w:w="1513" w:type="dxa"/>
          </w:tcPr>
          <w:p w14:paraId="710F1DB2" w14:textId="5FD2E94D" w:rsidR="004676F0" w:rsidRPr="004676F0" w:rsidRDefault="004676F0" w:rsidP="00443352">
            <w:pPr>
              <w:pStyle w:val="CLDNormal"/>
              <w:spacing w:after="0"/>
              <w:jc w:val="left"/>
              <w:rPr>
                <w:sz w:val="20"/>
                <w:lang w:val="en-US"/>
              </w:rPr>
            </w:pPr>
            <w:r w:rsidRPr="004676F0">
              <w:rPr>
                <w:sz w:val="20"/>
                <w:lang w:val="en-US"/>
              </w:rPr>
              <w:t>268 (53%)</w:t>
            </w:r>
          </w:p>
        </w:tc>
        <w:tc>
          <w:tcPr>
            <w:tcW w:w="1514" w:type="dxa"/>
          </w:tcPr>
          <w:p w14:paraId="6BF32647" w14:textId="1588711D" w:rsidR="004676F0" w:rsidRPr="004676F0" w:rsidRDefault="004676F0" w:rsidP="00443352">
            <w:pPr>
              <w:pStyle w:val="CLDNormal"/>
              <w:spacing w:after="0"/>
              <w:jc w:val="left"/>
              <w:rPr>
                <w:sz w:val="20"/>
                <w:lang w:val="en-US"/>
              </w:rPr>
            </w:pPr>
            <w:r w:rsidRPr="004676F0">
              <w:rPr>
                <w:sz w:val="20"/>
                <w:lang w:val="en-US"/>
              </w:rPr>
              <w:t>361 (72%)</w:t>
            </w:r>
          </w:p>
        </w:tc>
      </w:tr>
      <w:tr w:rsidR="004676F0" w:rsidRPr="00E34B82" w14:paraId="246F7983" w14:textId="77777777" w:rsidTr="00F07F07">
        <w:tc>
          <w:tcPr>
            <w:tcW w:w="3026" w:type="dxa"/>
          </w:tcPr>
          <w:p w14:paraId="546F7E7D" w14:textId="53767B69" w:rsidR="004676F0" w:rsidRPr="004676F0" w:rsidRDefault="00806753" w:rsidP="00443352">
            <w:pPr>
              <w:pStyle w:val="CLDNormal"/>
              <w:spacing w:after="0"/>
              <w:jc w:val="left"/>
              <w:rPr>
                <w:sz w:val="20"/>
                <w:lang w:val="en-US"/>
              </w:rPr>
            </w:pPr>
            <w:r>
              <w:rPr>
                <w:sz w:val="20"/>
                <w:lang w:val="en-US"/>
              </w:rPr>
              <w:t>P</w:t>
            </w:r>
            <w:r w:rsidRPr="00806753">
              <w:rPr>
                <w:sz w:val="20"/>
                <w:lang w:val="en-US"/>
              </w:rPr>
              <w:t>artial response (PR)</w:t>
            </w:r>
          </w:p>
        </w:tc>
        <w:tc>
          <w:tcPr>
            <w:tcW w:w="1513" w:type="dxa"/>
          </w:tcPr>
          <w:p w14:paraId="545458ED" w14:textId="24CD5216" w:rsidR="004676F0" w:rsidRPr="004676F0" w:rsidRDefault="00806753" w:rsidP="00443352">
            <w:pPr>
              <w:pStyle w:val="CLDNormal"/>
              <w:spacing w:after="0"/>
              <w:jc w:val="left"/>
              <w:rPr>
                <w:sz w:val="20"/>
                <w:lang w:val="en-US"/>
              </w:rPr>
            </w:pPr>
            <w:r w:rsidRPr="00806753">
              <w:rPr>
                <w:sz w:val="20"/>
                <w:lang w:val="en-US"/>
              </w:rPr>
              <w:t>29 (7%)</w:t>
            </w:r>
          </w:p>
        </w:tc>
        <w:tc>
          <w:tcPr>
            <w:tcW w:w="1514" w:type="dxa"/>
          </w:tcPr>
          <w:p w14:paraId="42E45BEE" w14:textId="1C710D21" w:rsidR="004676F0" w:rsidRPr="004676F0" w:rsidRDefault="00806753" w:rsidP="00443352">
            <w:pPr>
              <w:pStyle w:val="CLDNormal"/>
              <w:spacing w:after="0"/>
              <w:jc w:val="left"/>
              <w:rPr>
                <w:sz w:val="20"/>
                <w:lang w:val="en-US"/>
              </w:rPr>
            </w:pPr>
            <w:r w:rsidRPr="00806753">
              <w:rPr>
                <w:sz w:val="20"/>
                <w:lang w:val="en-US"/>
              </w:rPr>
              <w:t>28 (7%)</w:t>
            </w:r>
          </w:p>
        </w:tc>
        <w:tc>
          <w:tcPr>
            <w:tcW w:w="1513" w:type="dxa"/>
          </w:tcPr>
          <w:p w14:paraId="4DA79F83" w14:textId="77EF2CF0" w:rsidR="004676F0" w:rsidRPr="004676F0" w:rsidRDefault="00806753" w:rsidP="00443352">
            <w:pPr>
              <w:pStyle w:val="CLDNormal"/>
              <w:spacing w:after="0"/>
              <w:jc w:val="left"/>
              <w:rPr>
                <w:sz w:val="20"/>
                <w:lang w:val="en-US"/>
              </w:rPr>
            </w:pPr>
            <w:r w:rsidRPr="00806753">
              <w:rPr>
                <w:sz w:val="20"/>
                <w:lang w:val="en-US"/>
              </w:rPr>
              <w:t>41 (8%)</w:t>
            </w:r>
          </w:p>
        </w:tc>
        <w:tc>
          <w:tcPr>
            <w:tcW w:w="1514" w:type="dxa"/>
          </w:tcPr>
          <w:p w14:paraId="329F4D91" w14:textId="74889675" w:rsidR="004676F0" w:rsidRPr="004676F0" w:rsidRDefault="00806753" w:rsidP="00443352">
            <w:pPr>
              <w:pStyle w:val="CLDNormal"/>
              <w:spacing w:after="0"/>
              <w:jc w:val="left"/>
              <w:rPr>
                <w:sz w:val="20"/>
                <w:lang w:val="en-US"/>
              </w:rPr>
            </w:pPr>
            <w:r w:rsidRPr="00806753">
              <w:rPr>
                <w:sz w:val="20"/>
                <w:lang w:val="en-US"/>
              </w:rPr>
              <w:t>34 (7%)</w:t>
            </w:r>
          </w:p>
        </w:tc>
      </w:tr>
      <w:tr w:rsidR="00806753" w:rsidRPr="00E34B82" w14:paraId="64EAC58C" w14:textId="77777777" w:rsidTr="00F07F07">
        <w:tc>
          <w:tcPr>
            <w:tcW w:w="3026" w:type="dxa"/>
          </w:tcPr>
          <w:p w14:paraId="6EC14E51" w14:textId="6E880A79" w:rsidR="00806753" w:rsidRDefault="00806753" w:rsidP="00443352">
            <w:pPr>
              <w:pStyle w:val="CLDNormal"/>
              <w:spacing w:after="0"/>
              <w:jc w:val="left"/>
              <w:rPr>
                <w:sz w:val="20"/>
                <w:lang w:val="en-US"/>
              </w:rPr>
            </w:pPr>
            <w:r>
              <w:rPr>
                <w:sz w:val="20"/>
                <w:lang w:val="en-US"/>
              </w:rPr>
              <w:t>S</w:t>
            </w:r>
            <w:r w:rsidRPr="00806753">
              <w:rPr>
                <w:sz w:val="20"/>
                <w:lang w:val="en-US"/>
              </w:rPr>
              <w:t>table disease (SD)</w:t>
            </w:r>
          </w:p>
        </w:tc>
        <w:tc>
          <w:tcPr>
            <w:tcW w:w="1513" w:type="dxa"/>
          </w:tcPr>
          <w:p w14:paraId="08E6645A" w14:textId="32B8F6AD" w:rsidR="00806753" w:rsidRPr="00806753" w:rsidRDefault="00806753" w:rsidP="00443352">
            <w:pPr>
              <w:pStyle w:val="CLDNormal"/>
              <w:spacing w:after="0"/>
              <w:jc w:val="left"/>
              <w:rPr>
                <w:sz w:val="20"/>
                <w:lang w:val="en-US"/>
              </w:rPr>
            </w:pPr>
            <w:r w:rsidRPr="00806753">
              <w:rPr>
                <w:sz w:val="20"/>
                <w:lang w:val="en-US"/>
              </w:rPr>
              <w:t>1 (&lt;1%)</w:t>
            </w:r>
          </w:p>
        </w:tc>
        <w:tc>
          <w:tcPr>
            <w:tcW w:w="1514" w:type="dxa"/>
          </w:tcPr>
          <w:p w14:paraId="09A48BF8" w14:textId="18763E88" w:rsidR="00806753" w:rsidRPr="00806753" w:rsidRDefault="00806753" w:rsidP="00443352">
            <w:pPr>
              <w:pStyle w:val="CLDNormal"/>
              <w:spacing w:after="0"/>
              <w:jc w:val="left"/>
              <w:rPr>
                <w:sz w:val="20"/>
                <w:lang w:val="en-US"/>
              </w:rPr>
            </w:pPr>
            <w:r w:rsidRPr="00806753">
              <w:rPr>
                <w:sz w:val="20"/>
                <w:lang w:val="en-US"/>
              </w:rPr>
              <w:t>0 (0%)</w:t>
            </w:r>
          </w:p>
        </w:tc>
        <w:tc>
          <w:tcPr>
            <w:tcW w:w="1513" w:type="dxa"/>
          </w:tcPr>
          <w:p w14:paraId="089A5036" w14:textId="72E52C41" w:rsidR="00806753" w:rsidRPr="00806753" w:rsidRDefault="00806753" w:rsidP="00443352">
            <w:pPr>
              <w:pStyle w:val="CLDNormal"/>
              <w:spacing w:after="0"/>
              <w:jc w:val="left"/>
              <w:rPr>
                <w:sz w:val="20"/>
                <w:lang w:val="en-US"/>
              </w:rPr>
            </w:pPr>
            <w:r w:rsidRPr="00806753">
              <w:rPr>
                <w:sz w:val="20"/>
                <w:lang w:val="en-US"/>
              </w:rPr>
              <w:t>1 (&lt;1%)</w:t>
            </w:r>
          </w:p>
        </w:tc>
        <w:tc>
          <w:tcPr>
            <w:tcW w:w="1514" w:type="dxa"/>
          </w:tcPr>
          <w:p w14:paraId="2303D40D" w14:textId="2E6500DA" w:rsidR="00806753" w:rsidRPr="00806753" w:rsidRDefault="00806753" w:rsidP="00443352">
            <w:pPr>
              <w:pStyle w:val="CLDNormal"/>
              <w:spacing w:after="0"/>
              <w:jc w:val="left"/>
              <w:rPr>
                <w:sz w:val="20"/>
                <w:lang w:val="en-US"/>
              </w:rPr>
            </w:pPr>
            <w:r w:rsidRPr="00806753">
              <w:rPr>
                <w:sz w:val="20"/>
                <w:lang w:val="en-US"/>
              </w:rPr>
              <w:t>1 (&lt;1%)</w:t>
            </w:r>
          </w:p>
        </w:tc>
      </w:tr>
      <w:tr w:rsidR="00806753" w:rsidRPr="00E34B82" w14:paraId="5C2FDF04" w14:textId="77777777" w:rsidTr="00F07F07">
        <w:tc>
          <w:tcPr>
            <w:tcW w:w="3026" w:type="dxa"/>
          </w:tcPr>
          <w:p w14:paraId="2EE96F5B" w14:textId="68EA2E19" w:rsidR="00806753" w:rsidRDefault="00806753" w:rsidP="00443352">
            <w:pPr>
              <w:pStyle w:val="CLDNormal"/>
              <w:spacing w:after="0"/>
              <w:jc w:val="left"/>
              <w:rPr>
                <w:sz w:val="20"/>
                <w:lang w:val="en-US"/>
              </w:rPr>
            </w:pPr>
            <w:r>
              <w:rPr>
                <w:sz w:val="20"/>
                <w:lang w:val="en-US"/>
              </w:rPr>
              <w:t>P</w:t>
            </w:r>
            <w:r w:rsidRPr="00806753">
              <w:rPr>
                <w:sz w:val="20"/>
                <w:lang w:val="en-US"/>
              </w:rPr>
              <w:t>rogressive disease (PD)</w:t>
            </w:r>
          </w:p>
        </w:tc>
        <w:tc>
          <w:tcPr>
            <w:tcW w:w="1513" w:type="dxa"/>
          </w:tcPr>
          <w:p w14:paraId="4C61B021" w14:textId="30161B91" w:rsidR="00806753" w:rsidRPr="00806753" w:rsidRDefault="00806753" w:rsidP="00443352">
            <w:pPr>
              <w:pStyle w:val="CLDNormal"/>
              <w:spacing w:after="0"/>
              <w:jc w:val="left"/>
              <w:rPr>
                <w:sz w:val="20"/>
                <w:lang w:val="en-US"/>
              </w:rPr>
            </w:pPr>
            <w:r w:rsidRPr="00806753">
              <w:rPr>
                <w:sz w:val="20"/>
                <w:lang w:val="en-US"/>
              </w:rPr>
              <w:t>162 (41%)</w:t>
            </w:r>
          </w:p>
        </w:tc>
        <w:tc>
          <w:tcPr>
            <w:tcW w:w="1514" w:type="dxa"/>
          </w:tcPr>
          <w:p w14:paraId="5AAEB30F" w14:textId="3D2A6DB1" w:rsidR="00806753" w:rsidRPr="00806753" w:rsidRDefault="00806753" w:rsidP="00443352">
            <w:pPr>
              <w:pStyle w:val="CLDNormal"/>
              <w:spacing w:after="0"/>
              <w:jc w:val="left"/>
              <w:rPr>
                <w:sz w:val="20"/>
                <w:lang w:val="en-US"/>
              </w:rPr>
            </w:pPr>
            <w:r w:rsidRPr="00806753">
              <w:rPr>
                <w:sz w:val="20"/>
                <w:lang w:val="en-US"/>
              </w:rPr>
              <w:t>79 (20%)</w:t>
            </w:r>
          </w:p>
        </w:tc>
        <w:tc>
          <w:tcPr>
            <w:tcW w:w="1513" w:type="dxa"/>
          </w:tcPr>
          <w:p w14:paraId="7B1834D1" w14:textId="2836428D" w:rsidR="00806753" w:rsidRPr="00806753" w:rsidRDefault="00806753" w:rsidP="00443352">
            <w:pPr>
              <w:pStyle w:val="CLDNormal"/>
              <w:spacing w:after="0"/>
              <w:jc w:val="left"/>
              <w:rPr>
                <w:sz w:val="20"/>
                <w:lang w:val="en-US"/>
              </w:rPr>
            </w:pPr>
            <w:r w:rsidRPr="00806753">
              <w:rPr>
                <w:sz w:val="20"/>
                <w:lang w:val="en-US"/>
              </w:rPr>
              <w:t>181 (36%)</w:t>
            </w:r>
          </w:p>
        </w:tc>
        <w:tc>
          <w:tcPr>
            <w:tcW w:w="1514" w:type="dxa"/>
          </w:tcPr>
          <w:p w14:paraId="6AAF251E" w14:textId="3F08367C" w:rsidR="00806753" w:rsidRPr="00806753" w:rsidRDefault="00806753" w:rsidP="00443352">
            <w:pPr>
              <w:pStyle w:val="CLDNormal"/>
              <w:spacing w:after="0"/>
              <w:jc w:val="left"/>
              <w:rPr>
                <w:sz w:val="20"/>
                <w:lang w:val="en-US"/>
              </w:rPr>
            </w:pPr>
            <w:r w:rsidRPr="00806753">
              <w:rPr>
                <w:sz w:val="20"/>
                <w:lang w:val="en-US"/>
              </w:rPr>
              <w:t>86 (17%)</w:t>
            </w:r>
          </w:p>
        </w:tc>
      </w:tr>
      <w:tr w:rsidR="00806753" w:rsidRPr="00E34B82" w14:paraId="58DC6000" w14:textId="77777777" w:rsidTr="00F07F07">
        <w:tc>
          <w:tcPr>
            <w:tcW w:w="3026" w:type="dxa"/>
          </w:tcPr>
          <w:p w14:paraId="18EBC0FE" w14:textId="53A78668" w:rsidR="00806753" w:rsidRDefault="00806753" w:rsidP="00443352">
            <w:pPr>
              <w:pStyle w:val="CLDNormal"/>
              <w:spacing w:after="0"/>
              <w:jc w:val="left"/>
              <w:rPr>
                <w:sz w:val="20"/>
                <w:lang w:val="en-US"/>
              </w:rPr>
            </w:pPr>
            <w:r w:rsidRPr="00806753">
              <w:rPr>
                <w:sz w:val="20"/>
                <w:lang w:val="en-US"/>
              </w:rPr>
              <w:t>Event-free Survival</w:t>
            </w:r>
          </w:p>
        </w:tc>
        <w:tc>
          <w:tcPr>
            <w:tcW w:w="1513" w:type="dxa"/>
          </w:tcPr>
          <w:p w14:paraId="27578E04" w14:textId="77777777" w:rsidR="00806753" w:rsidRPr="00806753" w:rsidRDefault="00806753" w:rsidP="00443352">
            <w:pPr>
              <w:pStyle w:val="CLDNormal"/>
              <w:spacing w:after="0"/>
              <w:jc w:val="left"/>
              <w:rPr>
                <w:sz w:val="20"/>
                <w:lang w:val="en-US"/>
              </w:rPr>
            </w:pPr>
          </w:p>
        </w:tc>
        <w:tc>
          <w:tcPr>
            <w:tcW w:w="1514" w:type="dxa"/>
          </w:tcPr>
          <w:p w14:paraId="64EFFCB4" w14:textId="77777777" w:rsidR="00806753" w:rsidRPr="00806753" w:rsidRDefault="00806753" w:rsidP="00443352">
            <w:pPr>
              <w:pStyle w:val="CLDNormal"/>
              <w:spacing w:after="0"/>
              <w:jc w:val="left"/>
              <w:rPr>
                <w:sz w:val="20"/>
                <w:lang w:val="en-US"/>
              </w:rPr>
            </w:pPr>
          </w:p>
        </w:tc>
        <w:tc>
          <w:tcPr>
            <w:tcW w:w="1513" w:type="dxa"/>
          </w:tcPr>
          <w:p w14:paraId="65BE69A5" w14:textId="77777777" w:rsidR="00806753" w:rsidRPr="00806753" w:rsidRDefault="00806753" w:rsidP="00443352">
            <w:pPr>
              <w:pStyle w:val="CLDNormal"/>
              <w:spacing w:after="0"/>
              <w:jc w:val="left"/>
              <w:rPr>
                <w:sz w:val="20"/>
                <w:lang w:val="en-US"/>
              </w:rPr>
            </w:pPr>
          </w:p>
        </w:tc>
        <w:tc>
          <w:tcPr>
            <w:tcW w:w="1514" w:type="dxa"/>
          </w:tcPr>
          <w:p w14:paraId="54E7BA21" w14:textId="77777777" w:rsidR="00806753" w:rsidRPr="00806753" w:rsidRDefault="00806753" w:rsidP="00443352">
            <w:pPr>
              <w:pStyle w:val="CLDNormal"/>
              <w:spacing w:after="0"/>
              <w:jc w:val="left"/>
              <w:rPr>
                <w:sz w:val="20"/>
                <w:lang w:val="en-US"/>
              </w:rPr>
            </w:pPr>
          </w:p>
        </w:tc>
      </w:tr>
      <w:tr w:rsidR="00806753" w:rsidRPr="00E34B82" w14:paraId="3D59400C" w14:textId="77777777" w:rsidTr="00F07F07">
        <w:tc>
          <w:tcPr>
            <w:tcW w:w="3026" w:type="dxa"/>
          </w:tcPr>
          <w:p w14:paraId="7EA0CD2A" w14:textId="4AA4721A" w:rsidR="00806753" w:rsidRPr="00806753" w:rsidRDefault="00806753" w:rsidP="00443352">
            <w:pPr>
              <w:pStyle w:val="CLDNormal"/>
              <w:spacing w:after="0"/>
              <w:jc w:val="left"/>
              <w:rPr>
                <w:sz w:val="20"/>
                <w:lang w:val="en-US"/>
              </w:rPr>
            </w:pPr>
            <w:r w:rsidRPr="00806753">
              <w:rPr>
                <w:sz w:val="20"/>
                <w:lang w:val="en-US"/>
              </w:rPr>
              <w:t>Median time to event (months)</w:t>
            </w:r>
          </w:p>
        </w:tc>
        <w:tc>
          <w:tcPr>
            <w:tcW w:w="1513" w:type="dxa"/>
          </w:tcPr>
          <w:p w14:paraId="79EBCFC5" w14:textId="7DC047D6" w:rsidR="00806753" w:rsidRPr="00806753" w:rsidRDefault="00806753" w:rsidP="00443352">
            <w:pPr>
              <w:pStyle w:val="CLDNormal"/>
              <w:spacing w:after="0"/>
              <w:jc w:val="left"/>
              <w:rPr>
                <w:sz w:val="20"/>
                <w:lang w:val="en-US"/>
              </w:rPr>
            </w:pPr>
            <w:r>
              <w:rPr>
                <w:sz w:val="20"/>
                <w:lang w:val="en-US"/>
              </w:rPr>
              <w:t>38</w:t>
            </w:r>
          </w:p>
        </w:tc>
        <w:tc>
          <w:tcPr>
            <w:tcW w:w="1514" w:type="dxa"/>
          </w:tcPr>
          <w:p w14:paraId="668EC129" w14:textId="51BE8103" w:rsidR="00806753" w:rsidRPr="00806753" w:rsidRDefault="00806753" w:rsidP="00443352">
            <w:pPr>
              <w:pStyle w:val="CLDNormal"/>
              <w:spacing w:after="0"/>
              <w:jc w:val="left"/>
              <w:rPr>
                <w:sz w:val="20"/>
                <w:lang w:val="en-US"/>
              </w:rPr>
            </w:pPr>
            <w:r>
              <w:rPr>
                <w:sz w:val="20"/>
                <w:lang w:val="en-US"/>
              </w:rPr>
              <w:t>NR</w:t>
            </w:r>
          </w:p>
        </w:tc>
        <w:tc>
          <w:tcPr>
            <w:tcW w:w="1513" w:type="dxa"/>
          </w:tcPr>
          <w:p w14:paraId="0D9520D5" w14:textId="7BA47B0D" w:rsidR="00806753" w:rsidRPr="00806753" w:rsidRDefault="00806753" w:rsidP="00443352">
            <w:pPr>
              <w:pStyle w:val="CLDNormal"/>
              <w:spacing w:after="0"/>
              <w:jc w:val="left"/>
              <w:rPr>
                <w:sz w:val="20"/>
                <w:lang w:val="en-US"/>
              </w:rPr>
            </w:pPr>
            <w:r>
              <w:rPr>
                <w:sz w:val="20"/>
                <w:lang w:val="en-US"/>
              </w:rPr>
              <w:t>48</w:t>
            </w:r>
          </w:p>
        </w:tc>
        <w:tc>
          <w:tcPr>
            <w:tcW w:w="1514" w:type="dxa"/>
          </w:tcPr>
          <w:p w14:paraId="2D19442D" w14:textId="6F24B6C7" w:rsidR="00806753" w:rsidRPr="00806753" w:rsidRDefault="00806753" w:rsidP="00443352">
            <w:pPr>
              <w:pStyle w:val="CLDNormal"/>
              <w:spacing w:after="0"/>
              <w:jc w:val="left"/>
              <w:rPr>
                <w:sz w:val="20"/>
                <w:lang w:val="en-US"/>
              </w:rPr>
            </w:pPr>
            <w:r>
              <w:rPr>
                <w:sz w:val="20"/>
                <w:lang w:val="en-US"/>
              </w:rPr>
              <w:t>NR</w:t>
            </w:r>
          </w:p>
        </w:tc>
      </w:tr>
      <w:tr w:rsidR="00806753" w:rsidRPr="00E34B82" w14:paraId="4AC33A2B" w14:textId="77777777" w:rsidTr="00F07F07">
        <w:tc>
          <w:tcPr>
            <w:tcW w:w="3026" w:type="dxa"/>
          </w:tcPr>
          <w:p w14:paraId="118E7CC1" w14:textId="771603CC" w:rsidR="00806753" w:rsidRPr="00806753" w:rsidRDefault="00806753" w:rsidP="00443352">
            <w:pPr>
              <w:pStyle w:val="CLDNormal"/>
              <w:spacing w:after="0"/>
              <w:jc w:val="left"/>
              <w:rPr>
                <w:sz w:val="20"/>
                <w:lang w:val="en-US"/>
              </w:rPr>
            </w:pPr>
            <w:r w:rsidRPr="00806753">
              <w:rPr>
                <w:sz w:val="20"/>
                <w:lang w:val="en-US"/>
              </w:rPr>
              <w:t>p value (stratified log-rank test)</w:t>
            </w:r>
          </w:p>
        </w:tc>
        <w:tc>
          <w:tcPr>
            <w:tcW w:w="3027" w:type="dxa"/>
            <w:gridSpan w:val="2"/>
          </w:tcPr>
          <w:p w14:paraId="24EB95AB" w14:textId="04086F19" w:rsidR="00806753" w:rsidRDefault="00806753" w:rsidP="00443352">
            <w:pPr>
              <w:pStyle w:val="CLDNormal"/>
              <w:spacing w:after="0"/>
              <w:jc w:val="left"/>
              <w:rPr>
                <w:sz w:val="20"/>
                <w:lang w:val="en-US"/>
              </w:rPr>
            </w:pPr>
            <w:r w:rsidRPr="00806753">
              <w:rPr>
                <w:sz w:val="20"/>
                <w:lang w:val="en-US"/>
              </w:rPr>
              <w:t xml:space="preserve">p </w:t>
            </w:r>
            <w:r>
              <w:rPr>
                <w:sz w:val="20"/>
                <w:lang w:val="en-US"/>
              </w:rPr>
              <w:t>&lt;</w:t>
            </w:r>
            <w:r w:rsidRPr="00806753">
              <w:rPr>
                <w:sz w:val="20"/>
                <w:lang w:val="en-US"/>
              </w:rPr>
              <w:t xml:space="preserve"> 0.0001</w:t>
            </w:r>
          </w:p>
        </w:tc>
        <w:tc>
          <w:tcPr>
            <w:tcW w:w="3027" w:type="dxa"/>
            <w:gridSpan w:val="2"/>
          </w:tcPr>
          <w:p w14:paraId="3FCD8710" w14:textId="692F72FB" w:rsidR="00806753" w:rsidRDefault="00806753" w:rsidP="00443352">
            <w:pPr>
              <w:pStyle w:val="CLDNormal"/>
              <w:spacing w:after="0"/>
              <w:jc w:val="left"/>
              <w:rPr>
                <w:sz w:val="20"/>
                <w:lang w:val="en-US"/>
              </w:rPr>
            </w:pPr>
            <w:r w:rsidRPr="00806753">
              <w:rPr>
                <w:sz w:val="20"/>
                <w:lang w:val="en-US"/>
              </w:rPr>
              <w:t>p &lt; 0.0001</w:t>
            </w:r>
          </w:p>
        </w:tc>
      </w:tr>
      <w:tr w:rsidR="00806753" w:rsidRPr="00E34B82" w14:paraId="496E32CD" w14:textId="77777777" w:rsidTr="00F07F07">
        <w:tc>
          <w:tcPr>
            <w:tcW w:w="3026" w:type="dxa"/>
          </w:tcPr>
          <w:p w14:paraId="261D9405" w14:textId="7D63E6E3" w:rsidR="00806753" w:rsidRPr="00806753" w:rsidRDefault="00806753" w:rsidP="00443352">
            <w:pPr>
              <w:pStyle w:val="CLDNormal"/>
              <w:spacing w:after="0"/>
              <w:jc w:val="left"/>
              <w:rPr>
                <w:sz w:val="20"/>
                <w:lang w:val="en-US"/>
              </w:rPr>
            </w:pPr>
            <w:r w:rsidRPr="00806753">
              <w:rPr>
                <w:sz w:val="20"/>
                <w:lang w:val="en-US"/>
              </w:rPr>
              <w:t>HR [95% CI] (stratified)</w:t>
            </w:r>
          </w:p>
        </w:tc>
        <w:tc>
          <w:tcPr>
            <w:tcW w:w="3027" w:type="dxa"/>
            <w:gridSpan w:val="2"/>
          </w:tcPr>
          <w:p w14:paraId="57C44707" w14:textId="1CAD70CF" w:rsidR="00806753" w:rsidRPr="00806753" w:rsidRDefault="00806753" w:rsidP="00443352">
            <w:pPr>
              <w:pStyle w:val="CLDNormal"/>
              <w:spacing w:after="0"/>
              <w:jc w:val="left"/>
              <w:rPr>
                <w:sz w:val="20"/>
                <w:lang w:val="en-US"/>
              </w:rPr>
            </w:pPr>
            <w:r w:rsidRPr="00806753">
              <w:rPr>
                <w:sz w:val="20"/>
                <w:lang w:val="en-US"/>
              </w:rPr>
              <w:t>0.54 [0.43;0.69]</w:t>
            </w:r>
          </w:p>
        </w:tc>
        <w:tc>
          <w:tcPr>
            <w:tcW w:w="3027" w:type="dxa"/>
            <w:gridSpan w:val="2"/>
          </w:tcPr>
          <w:p w14:paraId="1FE5AEC3" w14:textId="37E03CC0" w:rsidR="00806753" w:rsidRPr="00806753" w:rsidRDefault="00806753" w:rsidP="00443352">
            <w:pPr>
              <w:pStyle w:val="CLDNormal"/>
              <w:spacing w:after="0"/>
              <w:jc w:val="left"/>
              <w:rPr>
                <w:sz w:val="20"/>
                <w:lang w:val="en-US"/>
              </w:rPr>
            </w:pPr>
            <w:r w:rsidRPr="00806753">
              <w:rPr>
                <w:sz w:val="20"/>
                <w:lang w:val="en-US"/>
              </w:rPr>
              <w:t>0.61 [0.51;0.72]</w:t>
            </w:r>
          </w:p>
        </w:tc>
      </w:tr>
      <w:tr w:rsidR="00806753" w:rsidRPr="00E34B82" w14:paraId="517B40C9" w14:textId="77777777" w:rsidTr="00F07F07">
        <w:tc>
          <w:tcPr>
            <w:tcW w:w="3026" w:type="dxa"/>
          </w:tcPr>
          <w:p w14:paraId="67731678" w14:textId="34BE5DA0" w:rsidR="00806753" w:rsidRPr="00806753" w:rsidRDefault="00806753" w:rsidP="00443352">
            <w:pPr>
              <w:pStyle w:val="CLDNormal"/>
              <w:spacing w:after="0"/>
              <w:jc w:val="left"/>
              <w:rPr>
                <w:sz w:val="20"/>
                <w:lang w:val="en-US"/>
              </w:rPr>
            </w:pPr>
            <w:r w:rsidRPr="00806753">
              <w:rPr>
                <w:sz w:val="20"/>
                <w:lang w:val="en-US"/>
              </w:rPr>
              <w:t>Time to Next Anti-Lymphoma Treatment</w:t>
            </w:r>
          </w:p>
        </w:tc>
        <w:tc>
          <w:tcPr>
            <w:tcW w:w="3027" w:type="dxa"/>
            <w:gridSpan w:val="2"/>
          </w:tcPr>
          <w:p w14:paraId="4531EA36" w14:textId="77777777" w:rsidR="00806753" w:rsidRPr="00806753" w:rsidRDefault="00806753" w:rsidP="00443352">
            <w:pPr>
              <w:pStyle w:val="CLDNormal"/>
              <w:spacing w:after="0"/>
              <w:jc w:val="left"/>
              <w:rPr>
                <w:sz w:val="20"/>
                <w:lang w:val="en-US"/>
              </w:rPr>
            </w:pPr>
          </w:p>
        </w:tc>
        <w:tc>
          <w:tcPr>
            <w:tcW w:w="3027" w:type="dxa"/>
            <w:gridSpan w:val="2"/>
          </w:tcPr>
          <w:p w14:paraId="26F2F3AF" w14:textId="77777777" w:rsidR="00806753" w:rsidRPr="00806753" w:rsidRDefault="00806753" w:rsidP="00443352">
            <w:pPr>
              <w:pStyle w:val="CLDNormal"/>
              <w:spacing w:after="0"/>
              <w:jc w:val="left"/>
              <w:rPr>
                <w:sz w:val="20"/>
                <w:lang w:val="en-US"/>
              </w:rPr>
            </w:pPr>
          </w:p>
        </w:tc>
      </w:tr>
      <w:tr w:rsidR="00806753" w:rsidRPr="00E34B82" w14:paraId="4334E435" w14:textId="77777777" w:rsidTr="00F07F07">
        <w:tc>
          <w:tcPr>
            <w:tcW w:w="3026" w:type="dxa"/>
          </w:tcPr>
          <w:p w14:paraId="5966CFB4" w14:textId="7C266FD7" w:rsidR="00806753" w:rsidRPr="00806753" w:rsidRDefault="00806753" w:rsidP="00443352">
            <w:pPr>
              <w:pStyle w:val="CLDNormal"/>
              <w:spacing w:after="0"/>
              <w:jc w:val="left"/>
              <w:rPr>
                <w:sz w:val="20"/>
                <w:lang w:val="en-US"/>
              </w:rPr>
            </w:pPr>
            <w:r w:rsidRPr="00806753">
              <w:rPr>
                <w:sz w:val="20"/>
                <w:lang w:val="en-US"/>
              </w:rPr>
              <w:t>Median time to event (months)</w:t>
            </w:r>
          </w:p>
        </w:tc>
        <w:tc>
          <w:tcPr>
            <w:tcW w:w="1513" w:type="dxa"/>
          </w:tcPr>
          <w:p w14:paraId="249AFCB6" w14:textId="1FC2658D" w:rsidR="00806753" w:rsidRPr="00806753" w:rsidRDefault="00806753" w:rsidP="00443352">
            <w:pPr>
              <w:pStyle w:val="CLDNormal"/>
              <w:spacing w:after="0"/>
              <w:jc w:val="left"/>
              <w:rPr>
                <w:sz w:val="20"/>
                <w:lang w:val="en-US"/>
              </w:rPr>
            </w:pPr>
            <w:r>
              <w:rPr>
                <w:sz w:val="20"/>
                <w:lang w:val="en-US"/>
              </w:rPr>
              <w:t>NR</w:t>
            </w:r>
          </w:p>
        </w:tc>
        <w:tc>
          <w:tcPr>
            <w:tcW w:w="1514" w:type="dxa"/>
          </w:tcPr>
          <w:p w14:paraId="583B1969" w14:textId="4CBFA2D1" w:rsidR="00806753" w:rsidRPr="00806753" w:rsidRDefault="00806753" w:rsidP="00443352">
            <w:pPr>
              <w:pStyle w:val="CLDNormal"/>
              <w:spacing w:after="0"/>
              <w:jc w:val="left"/>
              <w:rPr>
                <w:sz w:val="20"/>
                <w:lang w:val="en-US"/>
              </w:rPr>
            </w:pPr>
            <w:r>
              <w:rPr>
                <w:sz w:val="20"/>
                <w:lang w:val="en-US"/>
              </w:rPr>
              <w:t>NR</w:t>
            </w:r>
          </w:p>
        </w:tc>
        <w:tc>
          <w:tcPr>
            <w:tcW w:w="1513" w:type="dxa"/>
          </w:tcPr>
          <w:p w14:paraId="17AF4D52" w14:textId="25686DB4" w:rsidR="00806753" w:rsidRPr="00806753" w:rsidRDefault="00806753" w:rsidP="00443352">
            <w:pPr>
              <w:pStyle w:val="CLDNormal"/>
              <w:spacing w:after="0"/>
              <w:jc w:val="left"/>
              <w:rPr>
                <w:sz w:val="20"/>
                <w:lang w:val="en-US"/>
              </w:rPr>
            </w:pPr>
            <w:r>
              <w:rPr>
                <w:sz w:val="20"/>
                <w:lang w:val="en-US"/>
              </w:rPr>
              <w:t>71</w:t>
            </w:r>
          </w:p>
        </w:tc>
        <w:tc>
          <w:tcPr>
            <w:tcW w:w="1514" w:type="dxa"/>
          </w:tcPr>
          <w:p w14:paraId="6E4AB5FF" w14:textId="27EF17CE" w:rsidR="00806753" w:rsidRPr="00806753" w:rsidRDefault="00806753" w:rsidP="00443352">
            <w:pPr>
              <w:pStyle w:val="CLDNormal"/>
              <w:spacing w:after="0"/>
              <w:jc w:val="left"/>
              <w:rPr>
                <w:sz w:val="20"/>
                <w:lang w:val="en-US"/>
              </w:rPr>
            </w:pPr>
            <w:r>
              <w:rPr>
                <w:sz w:val="20"/>
                <w:lang w:val="en-US"/>
              </w:rPr>
              <w:t>NR</w:t>
            </w:r>
          </w:p>
        </w:tc>
      </w:tr>
      <w:tr w:rsidR="00806753" w:rsidRPr="00E34B82" w14:paraId="70CE9FE0" w14:textId="77777777" w:rsidTr="00F07F07">
        <w:tc>
          <w:tcPr>
            <w:tcW w:w="3026" w:type="dxa"/>
          </w:tcPr>
          <w:p w14:paraId="74CDE347" w14:textId="399CDED4" w:rsidR="00806753" w:rsidRPr="00806753" w:rsidRDefault="00806753" w:rsidP="00443352">
            <w:pPr>
              <w:pStyle w:val="CLDNormal"/>
              <w:spacing w:after="0"/>
              <w:jc w:val="left"/>
              <w:rPr>
                <w:sz w:val="20"/>
                <w:lang w:val="en-US"/>
              </w:rPr>
            </w:pPr>
            <w:r w:rsidRPr="00806753">
              <w:rPr>
                <w:sz w:val="20"/>
                <w:lang w:val="en-US"/>
              </w:rPr>
              <w:t>p value (stratified log-rank test)</w:t>
            </w:r>
          </w:p>
        </w:tc>
        <w:tc>
          <w:tcPr>
            <w:tcW w:w="3027" w:type="dxa"/>
            <w:gridSpan w:val="2"/>
          </w:tcPr>
          <w:p w14:paraId="061FF27F" w14:textId="4111C686" w:rsidR="00806753" w:rsidRDefault="00806753" w:rsidP="00443352">
            <w:pPr>
              <w:pStyle w:val="CLDNormal"/>
              <w:spacing w:after="0"/>
              <w:jc w:val="left"/>
              <w:rPr>
                <w:sz w:val="20"/>
                <w:lang w:val="en-US"/>
              </w:rPr>
            </w:pPr>
            <w:r w:rsidRPr="00806753">
              <w:rPr>
                <w:sz w:val="20"/>
                <w:lang w:val="en-US"/>
              </w:rPr>
              <w:t>p = 0.0003</w:t>
            </w:r>
          </w:p>
        </w:tc>
        <w:tc>
          <w:tcPr>
            <w:tcW w:w="3027" w:type="dxa"/>
            <w:gridSpan w:val="2"/>
          </w:tcPr>
          <w:p w14:paraId="1E9C64AA" w14:textId="0996D51C" w:rsidR="00806753" w:rsidRDefault="00806753" w:rsidP="00443352">
            <w:pPr>
              <w:pStyle w:val="CLDNormal"/>
              <w:spacing w:after="0"/>
              <w:jc w:val="left"/>
              <w:rPr>
                <w:sz w:val="20"/>
                <w:lang w:val="en-US"/>
              </w:rPr>
            </w:pPr>
            <w:r w:rsidRPr="00806753">
              <w:rPr>
                <w:sz w:val="20"/>
                <w:lang w:val="en-US"/>
              </w:rPr>
              <w:t xml:space="preserve">p </w:t>
            </w:r>
            <w:r>
              <w:rPr>
                <w:sz w:val="20"/>
                <w:lang w:val="en-US"/>
              </w:rPr>
              <w:t xml:space="preserve">&lt; </w:t>
            </w:r>
            <w:r w:rsidRPr="00806753">
              <w:rPr>
                <w:sz w:val="20"/>
                <w:lang w:val="en-US"/>
              </w:rPr>
              <w:t>0.0001</w:t>
            </w:r>
          </w:p>
        </w:tc>
      </w:tr>
      <w:tr w:rsidR="00806753" w:rsidRPr="00E34B82" w14:paraId="2D17A41F" w14:textId="77777777" w:rsidTr="00F07F07">
        <w:tc>
          <w:tcPr>
            <w:tcW w:w="3026" w:type="dxa"/>
          </w:tcPr>
          <w:p w14:paraId="03B8FFAF" w14:textId="7BD389E3" w:rsidR="00806753" w:rsidRPr="00806753" w:rsidRDefault="00806753" w:rsidP="00443352">
            <w:pPr>
              <w:pStyle w:val="CLDNormal"/>
              <w:spacing w:after="0"/>
              <w:jc w:val="left"/>
              <w:rPr>
                <w:sz w:val="20"/>
                <w:lang w:val="en-US"/>
              </w:rPr>
            </w:pPr>
            <w:r w:rsidRPr="00806753">
              <w:rPr>
                <w:sz w:val="20"/>
                <w:lang w:val="en-US"/>
              </w:rPr>
              <w:t>HR [95% CI] (stratified)</w:t>
            </w:r>
          </w:p>
        </w:tc>
        <w:tc>
          <w:tcPr>
            <w:tcW w:w="3027" w:type="dxa"/>
            <w:gridSpan w:val="2"/>
          </w:tcPr>
          <w:p w14:paraId="6B359AFD" w14:textId="6B9967DF" w:rsidR="00806753" w:rsidRPr="00806753" w:rsidRDefault="00806753" w:rsidP="00443352">
            <w:pPr>
              <w:pStyle w:val="CLDNormal"/>
              <w:spacing w:after="0"/>
              <w:jc w:val="left"/>
              <w:rPr>
                <w:sz w:val="20"/>
                <w:lang w:val="en-US"/>
              </w:rPr>
            </w:pPr>
            <w:r w:rsidRPr="00806753">
              <w:rPr>
                <w:sz w:val="20"/>
                <w:lang w:val="en-US"/>
              </w:rPr>
              <w:t>0.61 [0.46;0.80]</w:t>
            </w:r>
          </w:p>
        </w:tc>
        <w:tc>
          <w:tcPr>
            <w:tcW w:w="3027" w:type="dxa"/>
            <w:gridSpan w:val="2"/>
          </w:tcPr>
          <w:p w14:paraId="0287C184" w14:textId="72F9995D" w:rsidR="00806753" w:rsidRPr="00806753" w:rsidRDefault="00806753" w:rsidP="00443352">
            <w:pPr>
              <w:pStyle w:val="CLDNormal"/>
              <w:spacing w:after="0"/>
              <w:jc w:val="left"/>
              <w:rPr>
                <w:sz w:val="20"/>
                <w:lang w:val="en-US"/>
              </w:rPr>
            </w:pPr>
            <w:r w:rsidRPr="00806753">
              <w:rPr>
                <w:sz w:val="20"/>
                <w:lang w:val="en-US"/>
              </w:rPr>
              <w:t>0.63 [0.52;0.76]</w:t>
            </w:r>
          </w:p>
        </w:tc>
      </w:tr>
      <w:tr w:rsidR="00806753" w:rsidRPr="00E34B82" w14:paraId="38561F79" w14:textId="77777777" w:rsidTr="00F07F07">
        <w:tc>
          <w:tcPr>
            <w:tcW w:w="3026" w:type="dxa"/>
          </w:tcPr>
          <w:p w14:paraId="1AEED1A0" w14:textId="76D619C0" w:rsidR="00806753" w:rsidRPr="00806753" w:rsidRDefault="00806753" w:rsidP="00443352">
            <w:pPr>
              <w:pStyle w:val="CLDNormal"/>
              <w:spacing w:after="0"/>
              <w:jc w:val="left"/>
              <w:rPr>
                <w:sz w:val="20"/>
                <w:lang w:val="en-US"/>
              </w:rPr>
            </w:pPr>
            <w:r w:rsidRPr="00806753">
              <w:rPr>
                <w:sz w:val="20"/>
                <w:lang w:val="en-US"/>
              </w:rPr>
              <w:t>Time to Next Chemotherapy Treatment</w:t>
            </w:r>
          </w:p>
        </w:tc>
        <w:tc>
          <w:tcPr>
            <w:tcW w:w="3027" w:type="dxa"/>
            <w:gridSpan w:val="2"/>
          </w:tcPr>
          <w:p w14:paraId="56EC96B4" w14:textId="77777777" w:rsidR="00806753" w:rsidRPr="00806753" w:rsidRDefault="00806753" w:rsidP="00443352">
            <w:pPr>
              <w:pStyle w:val="CLDNormal"/>
              <w:spacing w:after="0"/>
              <w:jc w:val="left"/>
              <w:rPr>
                <w:sz w:val="20"/>
                <w:lang w:val="en-US"/>
              </w:rPr>
            </w:pPr>
          </w:p>
        </w:tc>
        <w:tc>
          <w:tcPr>
            <w:tcW w:w="3027" w:type="dxa"/>
            <w:gridSpan w:val="2"/>
          </w:tcPr>
          <w:p w14:paraId="4D5E5E57" w14:textId="77777777" w:rsidR="00806753" w:rsidRPr="00806753" w:rsidRDefault="00806753" w:rsidP="00443352">
            <w:pPr>
              <w:pStyle w:val="CLDNormal"/>
              <w:spacing w:after="0"/>
              <w:jc w:val="left"/>
              <w:rPr>
                <w:sz w:val="20"/>
                <w:lang w:val="en-US"/>
              </w:rPr>
            </w:pPr>
          </w:p>
        </w:tc>
      </w:tr>
      <w:tr w:rsidR="00806753" w:rsidRPr="00E34B82" w14:paraId="2F02333E" w14:textId="77777777" w:rsidTr="00F07F07">
        <w:tc>
          <w:tcPr>
            <w:tcW w:w="3026" w:type="dxa"/>
          </w:tcPr>
          <w:p w14:paraId="4EC6EA62" w14:textId="2C874F29" w:rsidR="00806753" w:rsidRPr="00806753" w:rsidRDefault="00806753" w:rsidP="00443352">
            <w:pPr>
              <w:pStyle w:val="CLDNormal"/>
              <w:spacing w:after="0"/>
              <w:jc w:val="left"/>
              <w:rPr>
                <w:sz w:val="20"/>
                <w:lang w:val="en-US"/>
              </w:rPr>
            </w:pPr>
            <w:r w:rsidRPr="00806753">
              <w:rPr>
                <w:sz w:val="20"/>
                <w:lang w:val="en-US"/>
              </w:rPr>
              <w:t>Median time to event (months)</w:t>
            </w:r>
          </w:p>
        </w:tc>
        <w:tc>
          <w:tcPr>
            <w:tcW w:w="1513" w:type="dxa"/>
          </w:tcPr>
          <w:p w14:paraId="0D9E5EB4" w14:textId="6644408B" w:rsidR="00806753" w:rsidRPr="00806753" w:rsidRDefault="00806753" w:rsidP="00443352">
            <w:pPr>
              <w:pStyle w:val="CLDNormal"/>
              <w:spacing w:after="0"/>
              <w:jc w:val="left"/>
              <w:rPr>
                <w:sz w:val="20"/>
                <w:lang w:val="en-US"/>
              </w:rPr>
            </w:pPr>
            <w:r>
              <w:rPr>
                <w:sz w:val="20"/>
                <w:lang w:val="en-US"/>
              </w:rPr>
              <w:t>NR</w:t>
            </w:r>
          </w:p>
        </w:tc>
        <w:tc>
          <w:tcPr>
            <w:tcW w:w="1514" w:type="dxa"/>
          </w:tcPr>
          <w:p w14:paraId="401A93E8" w14:textId="65FD1F88" w:rsidR="00806753" w:rsidRPr="00806753" w:rsidRDefault="00806753" w:rsidP="00443352">
            <w:pPr>
              <w:pStyle w:val="CLDNormal"/>
              <w:spacing w:after="0"/>
              <w:jc w:val="left"/>
              <w:rPr>
                <w:sz w:val="20"/>
                <w:lang w:val="en-US"/>
              </w:rPr>
            </w:pPr>
            <w:r>
              <w:rPr>
                <w:sz w:val="20"/>
                <w:lang w:val="en-US"/>
              </w:rPr>
              <w:t>NR</w:t>
            </w:r>
          </w:p>
        </w:tc>
        <w:tc>
          <w:tcPr>
            <w:tcW w:w="1513" w:type="dxa"/>
          </w:tcPr>
          <w:p w14:paraId="114AD70F" w14:textId="7C9EA51F" w:rsidR="00806753" w:rsidRPr="00806753" w:rsidRDefault="00806753" w:rsidP="00443352">
            <w:pPr>
              <w:pStyle w:val="CLDNormal"/>
              <w:spacing w:after="0"/>
              <w:jc w:val="left"/>
              <w:rPr>
                <w:sz w:val="20"/>
                <w:lang w:val="en-US"/>
              </w:rPr>
            </w:pPr>
            <w:r>
              <w:rPr>
                <w:sz w:val="20"/>
                <w:lang w:val="en-US"/>
              </w:rPr>
              <w:t>85</w:t>
            </w:r>
          </w:p>
        </w:tc>
        <w:tc>
          <w:tcPr>
            <w:tcW w:w="1514" w:type="dxa"/>
          </w:tcPr>
          <w:p w14:paraId="56A9111C" w14:textId="1FD6C277" w:rsidR="00806753" w:rsidRPr="00806753" w:rsidRDefault="00806753" w:rsidP="00443352">
            <w:pPr>
              <w:pStyle w:val="CLDNormal"/>
              <w:spacing w:after="0"/>
              <w:jc w:val="left"/>
              <w:rPr>
                <w:sz w:val="20"/>
                <w:lang w:val="en-US"/>
              </w:rPr>
            </w:pPr>
            <w:r>
              <w:rPr>
                <w:sz w:val="20"/>
                <w:lang w:val="en-US"/>
              </w:rPr>
              <w:t>NR</w:t>
            </w:r>
          </w:p>
        </w:tc>
      </w:tr>
      <w:tr w:rsidR="00806753" w:rsidRPr="00E34B82" w14:paraId="18E76C51" w14:textId="77777777" w:rsidTr="00F07F07">
        <w:tc>
          <w:tcPr>
            <w:tcW w:w="3026" w:type="dxa"/>
          </w:tcPr>
          <w:p w14:paraId="50753EC3" w14:textId="3FBC140F" w:rsidR="00806753" w:rsidRPr="00806753" w:rsidRDefault="00806753" w:rsidP="00443352">
            <w:pPr>
              <w:pStyle w:val="CLDNormal"/>
              <w:spacing w:after="0"/>
              <w:jc w:val="left"/>
              <w:rPr>
                <w:sz w:val="20"/>
                <w:lang w:val="en-US"/>
              </w:rPr>
            </w:pPr>
            <w:r w:rsidRPr="00806753">
              <w:rPr>
                <w:sz w:val="20"/>
                <w:lang w:val="en-US"/>
              </w:rPr>
              <w:t>p value (stratified log-rank test)</w:t>
            </w:r>
          </w:p>
        </w:tc>
        <w:tc>
          <w:tcPr>
            <w:tcW w:w="3027" w:type="dxa"/>
            <w:gridSpan w:val="2"/>
          </w:tcPr>
          <w:p w14:paraId="33B2EB1C" w14:textId="273EA1F3" w:rsidR="00806753" w:rsidRDefault="00806753" w:rsidP="00443352">
            <w:pPr>
              <w:pStyle w:val="CLDNormal"/>
              <w:spacing w:after="0"/>
              <w:jc w:val="left"/>
              <w:rPr>
                <w:sz w:val="20"/>
                <w:lang w:val="en-US"/>
              </w:rPr>
            </w:pPr>
            <w:r w:rsidRPr="00806753">
              <w:rPr>
                <w:sz w:val="20"/>
                <w:lang w:val="en-US"/>
              </w:rPr>
              <w:t>p = 0.0011</w:t>
            </w:r>
          </w:p>
        </w:tc>
        <w:tc>
          <w:tcPr>
            <w:tcW w:w="3027" w:type="dxa"/>
            <w:gridSpan w:val="2"/>
          </w:tcPr>
          <w:p w14:paraId="7AE0B0B1" w14:textId="7737577B" w:rsidR="00806753" w:rsidRDefault="00806753" w:rsidP="00443352">
            <w:pPr>
              <w:pStyle w:val="CLDNormal"/>
              <w:spacing w:after="0"/>
              <w:jc w:val="left"/>
              <w:rPr>
                <w:sz w:val="20"/>
                <w:lang w:val="en-US"/>
              </w:rPr>
            </w:pPr>
            <w:r w:rsidRPr="00806753">
              <w:rPr>
                <w:sz w:val="20"/>
                <w:lang w:val="en-US"/>
              </w:rPr>
              <w:t>p = 0.0006</w:t>
            </w:r>
          </w:p>
        </w:tc>
      </w:tr>
      <w:tr w:rsidR="00806753" w:rsidRPr="00E34B82" w14:paraId="71B1099D" w14:textId="77777777" w:rsidTr="00F07F07">
        <w:tc>
          <w:tcPr>
            <w:tcW w:w="3026" w:type="dxa"/>
          </w:tcPr>
          <w:p w14:paraId="4B374233" w14:textId="582E9F90" w:rsidR="00806753" w:rsidRPr="00806753" w:rsidRDefault="00806753" w:rsidP="00443352">
            <w:pPr>
              <w:pStyle w:val="CLDNormal"/>
              <w:spacing w:after="0"/>
              <w:jc w:val="left"/>
              <w:rPr>
                <w:sz w:val="20"/>
                <w:lang w:val="en-US"/>
              </w:rPr>
            </w:pPr>
            <w:r w:rsidRPr="00806753">
              <w:rPr>
                <w:sz w:val="20"/>
                <w:lang w:val="en-US"/>
              </w:rPr>
              <w:t>HR [95% CI] (stratified)</w:t>
            </w:r>
          </w:p>
        </w:tc>
        <w:tc>
          <w:tcPr>
            <w:tcW w:w="3027" w:type="dxa"/>
            <w:gridSpan w:val="2"/>
          </w:tcPr>
          <w:p w14:paraId="21F37A77" w14:textId="312E5CC3" w:rsidR="00806753" w:rsidRPr="00806753" w:rsidRDefault="00806753" w:rsidP="00443352">
            <w:pPr>
              <w:pStyle w:val="CLDNormal"/>
              <w:spacing w:after="0"/>
              <w:jc w:val="left"/>
              <w:rPr>
                <w:sz w:val="20"/>
                <w:lang w:val="en-US"/>
              </w:rPr>
            </w:pPr>
            <w:r w:rsidRPr="00806753">
              <w:rPr>
                <w:sz w:val="20"/>
                <w:lang w:val="en-US"/>
              </w:rPr>
              <w:t>0.60 [0.44;0.82]</w:t>
            </w:r>
          </w:p>
        </w:tc>
        <w:tc>
          <w:tcPr>
            <w:tcW w:w="3027" w:type="dxa"/>
            <w:gridSpan w:val="2"/>
          </w:tcPr>
          <w:p w14:paraId="14ADFC34" w14:textId="6DF624F1" w:rsidR="00806753" w:rsidRPr="00806753" w:rsidRDefault="00806753" w:rsidP="00443352">
            <w:pPr>
              <w:pStyle w:val="CLDNormal"/>
              <w:spacing w:after="0"/>
              <w:jc w:val="left"/>
              <w:rPr>
                <w:sz w:val="20"/>
                <w:lang w:val="en-US"/>
              </w:rPr>
            </w:pPr>
            <w:r w:rsidRPr="00806753">
              <w:rPr>
                <w:sz w:val="20"/>
                <w:lang w:val="en-US"/>
              </w:rPr>
              <w:t>0.70 [0.57;0.86]</w:t>
            </w:r>
          </w:p>
        </w:tc>
      </w:tr>
      <w:tr w:rsidR="00806753" w:rsidRPr="00E34B82" w14:paraId="6565B582" w14:textId="77777777" w:rsidTr="00F07F07">
        <w:tc>
          <w:tcPr>
            <w:tcW w:w="3026" w:type="dxa"/>
          </w:tcPr>
          <w:p w14:paraId="15C5904A" w14:textId="0EC0E5C8" w:rsidR="00806753" w:rsidRPr="00806753" w:rsidRDefault="00806753" w:rsidP="00443352">
            <w:pPr>
              <w:pStyle w:val="CLDNormal"/>
              <w:spacing w:after="0"/>
              <w:jc w:val="left"/>
              <w:rPr>
                <w:sz w:val="20"/>
                <w:lang w:val="en-US"/>
              </w:rPr>
            </w:pPr>
            <w:r w:rsidRPr="00806753">
              <w:rPr>
                <w:sz w:val="20"/>
                <w:lang w:val="en-US"/>
              </w:rPr>
              <w:t>Transformation Rate at First Progression</w:t>
            </w:r>
          </w:p>
        </w:tc>
        <w:tc>
          <w:tcPr>
            <w:tcW w:w="3027" w:type="dxa"/>
            <w:gridSpan w:val="2"/>
          </w:tcPr>
          <w:p w14:paraId="573D3003" w14:textId="77777777" w:rsidR="00806753" w:rsidRPr="00806753" w:rsidRDefault="00806753" w:rsidP="00443352">
            <w:pPr>
              <w:pStyle w:val="CLDNormal"/>
              <w:spacing w:after="0"/>
              <w:jc w:val="left"/>
              <w:rPr>
                <w:sz w:val="20"/>
                <w:lang w:val="en-US"/>
              </w:rPr>
            </w:pPr>
          </w:p>
        </w:tc>
        <w:tc>
          <w:tcPr>
            <w:tcW w:w="3027" w:type="dxa"/>
            <w:gridSpan w:val="2"/>
          </w:tcPr>
          <w:p w14:paraId="6167C7B8" w14:textId="77777777" w:rsidR="00806753" w:rsidRPr="00806753" w:rsidRDefault="00806753" w:rsidP="00443352">
            <w:pPr>
              <w:pStyle w:val="CLDNormal"/>
              <w:spacing w:after="0"/>
              <w:jc w:val="left"/>
              <w:rPr>
                <w:sz w:val="20"/>
                <w:lang w:val="en-US"/>
              </w:rPr>
            </w:pPr>
          </w:p>
        </w:tc>
      </w:tr>
      <w:tr w:rsidR="00806753" w:rsidRPr="00E34B82" w14:paraId="7D39CAC1" w14:textId="77777777" w:rsidTr="00F07F07">
        <w:tc>
          <w:tcPr>
            <w:tcW w:w="3026" w:type="dxa"/>
          </w:tcPr>
          <w:p w14:paraId="7BCEF4D2" w14:textId="326BA584" w:rsidR="00806753" w:rsidRPr="00806753" w:rsidRDefault="00806753" w:rsidP="00443352">
            <w:pPr>
              <w:pStyle w:val="CLDNormal"/>
              <w:spacing w:after="0"/>
              <w:jc w:val="left"/>
              <w:rPr>
                <w:sz w:val="20"/>
                <w:lang w:val="en-US"/>
              </w:rPr>
            </w:pPr>
            <w:r w:rsidRPr="00806753">
              <w:rPr>
                <w:sz w:val="20"/>
                <w:lang w:val="en-US"/>
              </w:rPr>
              <w:t>Patients with progression</w:t>
            </w:r>
          </w:p>
        </w:tc>
        <w:tc>
          <w:tcPr>
            <w:tcW w:w="1513" w:type="dxa"/>
          </w:tcPr>
          <w:p w14:paraId="2FE007AF" w14:textId="0AE07BCD" w:rsidR="00806753" w:rsidRPr="00806753" w:rsidRDefault="00806753" w:rsidP="00443352">
            <w:pPr>
              <w:pStyle w:val="CLDNormal"/>
              <w:spacing w:after="0"/>
              <w:jc w:val="left"/>
              <w:rPr>
                <w:sz w:val="20"/>
                <w:lang w:val="en-US"/>
              </w:rPr>
            </w:pPr>
            <w:r w:rsidRPr="00806753">
              <w:rPr>
                <w:sz w:val="20"/>
                <w:lang w:val="en-US"/>
              </w:rPr>
              <w:t>173</w:t>
            </w:r>
          </w:p>
        </w:tc>
        <w:tc>
          <w:tcPr>
            <w:tcW w:w="1514" w:type="dxa"/>
          </w:tcPr>
          <w:p w14:paraId="4D93088F" w14:textId="426AE34E" w:rsidR="00806753" w:rsidRPr="00806753" w:rsidRDefault="00806753" w:rsidP="00443352">
            <w:pPr>
              <w:pStyle w:val="CLDNormal"/>
              <w:spacing w:after="0"/>
              <w:jc w:val="left"/>
              <w:rPr>
                <w:sz w:val="20"/>
                <w:lang w:val="en-US"/>
              </w:rPr>
            </w:pPr>
            <w:r>
              <w:rPr>
                <w:sz w:val="20"/>
                <w:lang w:val="en-US"/>
              </w:rPr>
              <w:t>91</w:t>
            </w:r>
          </w:p>
        </w:tc>
        <w:tc>
          <w:tcPr>
            <w:tcW w:w="1513" w:type="dxa"/>
          </w:tcPr>
          <w:p w14:paraId="05227771" w14:textId="322A7739" w:rsidR="00806753" w:rsidRPr="00806753" w:rsidRDefault="00806753" w:rsidP="00443352">
            <w:pPr>
              <w:pStyle w:val="CLDNormal"/>
              <w:spacing w:after="0"/>
              <w:jc w:val="left"/>
              <w:rPr>
                <w:sz w:val="20"/>
                <w:lang w:val="en-US"/>
              </w:rPr>
            </w:pPr>
            <w:r>
              <w:rPr>
                <w:sz w:val="20"/>
                <w:lang w:val="en-US"/>
              </w:rPr>
              <w:t>278</w:t>
            </w:r>
          </w:p>
        </w:tc>
        <w:tc>
          <w:tcPr>
            <w:tcW w:w="1514" w:type="dxa"/>
          </w:tcPr>
          <w:p w14:paraId="1CBC41EC" w14:textId="25B13289" w:rsidR="00806753" w:rsidRPr="00806753" w:rsidRDefault="00806753" w:rsidP="00443352">
            <w:pPr>
              <w:pStyle w:val="CLDNormal"/>
              <w:spacing w:after="0"/>
              <w:jc w:val="left"/>
              <w:rPr>
                <w:sz w:val="20"/>
                <w:lang w:val="en-US"/>
              </w:rPr>
            </w:pPr>
            <w:r>
              <w:rPr>
                <w:sz w:val="20"/>
                <w:lang w:val="en-US"/>
              </w:rPr>
              <w:t>186</w:t>
            </w:r>
          </w:p>
        </w:tc>
      </w:tr>
      <w:tr w:rsidR="00806753" w:rsidRPr="00E34B82" w14:paraId="151B16E1" w14:textId="77777777" w:rsidTr="00F07F07">
        <w:tc>
          <w:tcPr>
            <w:tcW w:w="3026" w:type="dxa"/>
          </w:tcPr>
          <w:p w14:paraId="04779F68" w14:textId="039504D8" w:rsidR="00806753" w:rsidRPr="00806753" w:rsidRDefault="00806753" w:rsidP="00443352">
            <w:pPr>
              <w:pStyle w:val="CLDNormal"/>
              <w:spacing w:after="0"/>
              <w:jc w:val="left"/>
              <w:rPr>
                <w:sz w:val="20"/>
                <w:lang w:val="en-US"/>
              </w:rPr>
            </w:pPr>
            <w:r w:rsidRPr="00806753">
              <w:rPr>
                <w:sz w:val="20"/>
                <w:lang w:val="en-US"/>
              </w:rPr>
              <w:t>Patients with transformation</w:t>
            </w:r>
          </w:p>
        </w:tc>
        <w:tc>
          <w:tcPr>
            <w:tcW w:w="1513" w:type="dxa"/>
          </w:tcPr>
          <w:p w14:paraId="7C2AFC4B" w14:textId="2C2BF00D" w:rsidR="00806753" w:rsidRPr="00806753" w:rsidRDefault="00806753" w:rsidP="00443352">
            <w:pPr>
              <w:pStyle w:val="CLDNormal"/>
              <w:spacing w:after="0"/>
              <w:jc w:val="left"/>
              <w:rPr>
                <w:sz w:val="20"/>
                <w:lang w:val="en-US"/>
              </w:rPr>
            </w:pPr>
            <w:r w:rsidRPr="00806753">
              <w:rPr>
                <w:sz w:val="20"/>
                <w:lang w:val="en-US"/>
              </w:rPr>
              <w:t>19/513 (4%)</w:t>
            </w:r>
          </w:p>
        </w:tc>
        <w:tc>
          <w:tcPr>
            <w:tcW w:w="1514" w:type="dxa"/>
          </w:tcPr>
          <w:p w14:paraId="181DCD33" w14:textId="3CBA95C8" w:rsidR="00806753" w:rsidRDefault="00806753" w:rsidP="00443352">
            <w:pPr>
              <w:pStyle w:val="CLDNormal"/>
              <w:spacing w:after="0"/>
              <w:jc w:val="left"/>
              <w:rPr>
                <w:sz w:val="20"/>
                <w:lang w:val="en-US"/>
              </w:rPr>
            </w:pPr>
            <w:r w:rsidRPr="00806753">
              <w:rPr>
                <w:sz w:val="20"/>
                <w:lang w:val="en-US"/>
              </w:rPr>
              <w:t>11/505 (2%)</w:t>
            </w:r>
          </w:p>
        </w:tc>
        <w:tc>
          <w:tcPr>
            <w:tcW w:w="1513" w:type="dxa"/>
          </w:tcPr>
          <w:p w14:paraId="4A55CC0F" w14:textId="2ADA2C49" w:rsidR="00806753" w:rsidRDefault="00806753" w:rsidP="00443352">
            <w:pPr>
              <w:pStyle w:val="CLDNormal"/>
              <w:spacing w:after="0"/>
              <w:jc w:val="left"/>
              <w:rPr>
                <w:sz w:val="20"/>
                <w:lang w:val="en-US"/>
              </w:rPr>
            </w:pPr>
            <w:r w:rsidRPr="00806753">
              <w:rPr>
                <w:sz w:val="20"/>
                <w:lang w:val="en-US"/>
              </w:rPr>
              <w:t>24/114 (21%)</w:t>
            </w:r>
          </w:p>
        </w:tc>
        <w:tc>
          <w:tcPr>
            <w:tcW w:w="1514" w:type="dxa"/>
          </w:tcPr>
          <w:p w14:paraId="58822D92" w14:textId="35E0DABB" w:rsidR="00806753" w:rsidRDefault="00806753" w:rsidP="00443352">
            <w:pPr>
              <w:pStyle w:val="CLDNormal"/>
              <w:spacing w:after="0"/>
              <w:jc w:val="left"/>
              <w:rPr>
                <w:sz w:val="20"/>
                <w:lang w:val="en-US"/>
              </w:rPr>
            </w:pPr>
            <w:r w:rsidRPr="00806753">
              <w:rPr>
                <w:sz w:val="20"/>
                <w:lang w:val="en-US"/>
              </w:rPr>
              <w:t>16/80 (20%)</w:t>
            </w:r>
          </w:p>
        </w:tc>
      </w:tr>
    </w:tbl>
    <w:p w14:paraId="4139E82C" w14:textId="77777777" w:rsidR="00806753" w:rsidRPr="00806753" w:rsidRDefault="00806753" w:rsidP="00443352">
      <w:pPr>
        <w:pStyle w:val="CLDNormal"/>
        <w:spacing w:after="0"/>
        <w:jc w:val="left"/>
        <w:rPr>
          <w:sz w:val="20"/>
          <w:lang w:val="en-US"/>
        </w:rPr>
      </w:pPr>
      <w:r w:rsidRPr="00806753">
        <w:rPr>
          <w:sz w:val="20"/>
          <w:lang w:val="en-US"/>
        </w:rPr>
        <w:t>HR: hazard ratio; NR: not reached. 1 month = 30.4375 days (</w:t>
      </w:r>
      <w:proofErr w:type="spellStart"/>
      <w:r w:rsidRPr="00806753">
        <w:rPr>
          <w:sz w:val="20"/>
          <w:lang w:val="en-US"/>
        </w:rPr>
        <w:t>ie</w:t>
      </w:r>
      <w:proofErr w:type="spellEnd"/>
      <w:r w:rsidRPr="00806753">
        <w:rPr>
          <w:sz w:val="20"/>
          <w:lang w:val="en-US"/>
        </w:rPr>
        <w:t>, 365.25 days/12 months).</w:t>
      </w:r>
    </w:p>
    <w:p w14:paraId="658CA7B0" w14:textId="636CD59A" w:rsidR="00806753" w:rsidRPr="00806753" w:rsidRDefault="00806753" w:rsidP="00443352">
      <w:pPr>
        <w:pStyle w:val="CLDNormal"/>
        <w:spacing w:after="0"/>
        <w:jc w:val="left"/>
        <w:rPr>
          <w:sz w:val="20"/>
          <w:lang w:val="en-US"/>
        </w:rPr>
      </w:pPr>
      <w:r w:rsidRPr="00806753">
        <w:rPr>
          <w:sz w:val="20"/>
          <w:lang w:val="en-US"/>
        </w:rPr>
        <w:t xml:space="preserve">p values and hazard ratios for time-to-event endpoints were calculated using the stratified log-rank test and stratified Cox regression, respectively. Stratification factors were induction treatment received and response to induction treatment. p values for response rates were calculated using the </w:t>
      </w:r>
      <w:r w:rsidR="00B176F7">
        <w:rPr>
          <w:sz w:val="20"/>
          <w:lang w:val="en-US"/>
        </w:rPr>
        <w:t>α</w:t>
      </w:r>
      <w:r w:rsidRPr="00B176F7">
        <w:rPr>
          <w:sz w:val="20"/>
          <w:vertAlign w:val="superscript"/>
          <w:lang w:val="en-US"/>
        </w:rPr>
        <w:t>2</w:t>
      </w:r>
      <w:r w:rsidRPr="00806753">
        <w:rPr>
          <w:sz w:val="20"/>
          <w:lang w:val="en-US"/>
        </w:rPr>
        <w:t xml:space="preserve"> test, and odds ratios were calculated using logistic regression (response rate analyses were unadjusted).</w:t>
      </w:r>
    </w:p>
    <w:p w14:paraId="600A049F" w14:textId="77777777" w:rsidR="00806753" w:rsidRPr="00806753" w:rsidRDefault="00806753" w:rsidP="00443352">
      <w:pPr>
        <w:pStyle w:val="CLDNormal"/>
        <w:spacing w:after="0"/>
        <w:jc w:val="left"/>
        <w:rPr>
          <w:sz w:val="20"/>
          <w:lang w:val="en-US"/>
        </w:rPr>
      </w:pPr>
      <w:r w:rsidRPr="00B176F7">
        <w:rPr>
          <w:sz w:val="20"/>
          <w:vertAlign w:val="superscript"/>
          <w:lang w:val="en-US"/>
        </w:rPr>
        <w:t>a</w:t>
      </w:r>
      <w:r w:rsidRPr="00806753">
        <w:rPr>
          <w:sz w:val="20"/>
          <w:lang w:val="en-US"/>
        </w:rPr>
        <w:t xml:space="preserve"> Clinical cut-off: January 14, 2009. Median observation time: 25.5 months.</w:t>
      </w:r>
    </w:p>
    <w:p w14:paraId="7B6020FF" w14:textId="77777777" w:rsidR="00806753" w:rsidRPr="00806753" w:rsidRDefault="00806753" w:rsidP="00443352">
      <w:pPr>
        <w:pStyle w:val="CLDNormal"/>
        <w:spacing w:after="0"/>
        <w:jc w:val="left"/>
        <w:rPr>
          <w:sz w:val="20"/>
          <w:lang w:val="en-US"/>
        </w:rPr>
      </w:pPr>
      <w:r w:rsidRPr="00B176F7">
        <w:rPr>
          <w:sz w:val="20"/>
          <w:vertAlign w:val="superscript"/>
          <w:lang w:val="en-US"/>
        </w:rPr>
        <w:t>b</w:t>
      </w:r>
      <w:r w:rsidRPr="00806753">
        <w:rPr>
          <w:sz w:val="20"/>
          <w:lang w:val="en-US"/>
        </w:rPr>
        <w:t xml:space="preserve"> Clinical cut-off: January 31, 2013. Median observation time: 73 months.</w:t>
      </w:r>
    </w:p>
    <w:p w14:paraId="7DDCF322" w14:textId="4ED051D0" w:rsidR="00806753" w:rsidRPr="00806753" w:rsidRDefault="00806753" w:rsidP="00443352">
      <w:pPr>
        <w:pStyle w:val="CLDNormal"/>
        <w:spacing w:after="0"/>
        <w:jc w:val="left"/>
        <w:rPr>
          <w:sz w:val="20"/>
          <w:lang w:val="en-US"/>
        </w:rPr>
      </w:pPr>
      <w:r w:rsidRPr="00B176F7">
        <w:rPr>
          <w:sz w:val="20"/>
          <w:vertAlign w:val="superscript"/>
          <w:lang w:val="en-US"/>
        </w:rPr>
        <w:t>c</w:t>
      </w:r>
      <w:r w:rsidRPr="00806753">
        <w:rPr>
          <w:sz w:val="20"/>
          <w:lang w:val="en-US"/>
        </w:rPr>
        <w:t xml:space="preserve"> Based on investigator assessments</w:t>
      </w:r>
    </w:p>
    <w:p w14:paraId="28DF71BB" w14:textId="77777777" w:rsidR="00806753" w:rsidRDefault="00806753" w:rsidP="00443352">
      <w:pPr>
        <w:pStyle w:val="CLDNormal"/>
        <w:spacing w:after="0"/>
        <w:jc w:val="left"/>
        <w:rPr>
          <w:lang w:val="en-US"/>
        </w:rPr>
      </w:pPr>
    </w:p>
    <w:p w14:paraId="3901CF26" w14:textId="3C06DDF2" w:rsidR="00612E2C" w:rsidRDefault="0071280B" w:rsidP="00443352">
      <w:pPr>
        <w:pStyle w:val="CLDNormal"/>
        <w:jc w:val="left"/>
        <w:rPr>
          <w:lang w:val="en-US"/>
        </w:rPr>
      </w:pPr>
      <w:r>
        <w:rPr>
          <w:lang w:val="en-US"/>
        </w:rPr>
        <w:t>Rituximab</w:t>
      </w:r>
      <w:r w:rsidR="00612E2C" w:rsidRPr="00612E2C">
        <w:rPr>
          <w:lang w:val="en-US"/>
        </w:rPr>
        <w:t xml:space="preserve"> maintenance treatment provided consistent benefit in all subgroups tested: gender (male, female), age (&lt;60 years, &gt;= 60 years), FLIPI score (1, 2 or 3), induction therapy (R-CHOP, R-CVP or R-FCM) and regardless of the quality of response to induction treatment (CR or PR). </w:t>
      </w:r>
    </w:p>
    <w:p w14:paraId="1574B1FC" w14:textId="77777777" w:rsidR="00612E2C" w:rsidRPr="00612E2C" w:rsidRDefault="00612E2C" w:rsidP="00443352">
      <w:pPr>
        <w:pStyle w:val="CLDNormal"/>
        <w:jc w:val="left"/>
        <w:rPr>
          <w:lang w:val="en-US"/>
        </w:rPr>
      </w:pPr>
      <w:r w:rsidRPr="00612E2C">
        <w:rPr>
          <w:lang w:val="en-US"/>
        </w:rPr>
        <w:t>There are currently no data to support superior efficacy for maintenance treatment given every 2 months over maintenance therapy given every 3 months, in either the relapsed/refractory or previously untreated setting.</w:t>
      </w:r>
    </w:p>
    <w:p w14:paraId="38DCC778" w14:textId="77777777" w:rsidR="00612E2C" w:rsidRPr="006A1EF8" w:rsidRDefault="00612E2C" w:rsidP="00443352">
      <w:pPr>
        <w:pStyle w:val="CLDHeading4"/>
        <w:jc w:val="left"/>
        <w:rPr>
          <w:rFonts w:eastAsiaTheme="minorEastAsia"/>
          <w:lang w:val="en-US"/>
        </w:rPr>
      </w:pPr>
      <w:r w:rsidRPr="006A1EF8">
        <w:rPr>
          <w:rFonts w:eastAsiaTheme="minorEastAsia"/>
          <w:lang w:val="en-US"/>
        </w:rPr>
        <w:t>Diffuse Large B-cell non-Hodgkin’s Lymphoma</w:t>
      </w:r>
    </w:p>
    <w:p w14:paraId="08DD25E8" w14:textId="588BD1EF" w:rsidR="00612E2C" w:rsidRDefault="00612E2C" w:rsidP="00443352">
      <w:pPr>
        <w:pStyle w:val="CLDNormal"/>
        <w:jc w:val="left"/>
        <w:rPr>
          <w:lang w:val="en-US"/>
        </w:rPr>
      </w:pPr>
      <w:r w:rsidRPr="00612E2C">
        <w:rPr>
          <w:lang w:val="en-US"/>
        </w:rPr>
        <w:t xml:space="preserve">In a </w:t>
      </w:r>
      <w:proofErr w:type="spellStart"/>
      <w:r w:rsidRPr="00612E2C">
        <w:rPr>
          <w:lang w:val="en-US"/>
        </w:rPr>
        <w:t>randomised</w:t>
      </w:r>
      <w:proofErr w:type="spellEnd"/>
      <w:r w:rsidRPr="00612E2C">
        <w:rPr>
          <w:lang w:val="en-US"/>
        </w:rPr>
        <w:t>, Phase III, open-label trial, a total of 399 previously untreated elderly ambulatory patients (age 60 to 80 years, ECOG performance status 0-2) with moderate to advanced (Ann Arbor stage II-IV) diffuse large B-cell lymphoma received standard CHOP chemotherapy (cyclophosphamide 750 mg/m</w:t>
      </w:r>
      <w:r w:rsidRPr="0071280B">
        <w:rPr>
          <w:vertAlign w:val="superscript"/>
          <w:lang w:val="en-US"/>
        </w:rPr>
        <w:t>2</w:t>
      </w:r>
      <w:r w:rsidRPr="00612E2C">
        <w:rPr>
          <w:lang w:val="en-US"/>
        </w:rPr>
        <w:t>, doxorubicin 50 mg/m</w:t>
      </w:r>
      <w:r w:rsidRPr="0071280B">
        <w:rPr>
          <w:vertAlign w:val="superscript"/>
          <w:lang w:val="en-US"/>
        </w:rPr>
        <w:t>2</w:t>
      </w:r>
      <w:r w:rsidRPr="00612E2C">
        <w:rPr>
          <w:lang w:val="en-US"/>
        </w:rPr>
        <w:t>, vincristine 1.4 mg/m</w:t>
      </w:r>
      <w:r w:rsidRPr="0071280B">
        <w:rPr>
          <w:vertAlign w:val="superscript"/>
          <w:lang w:val="en-US"/>
        </w:rPr>
        <w:t>2</w:t>
      </w:r>
      <w:r w:rsidRPr="00612E2C">
        <w:rPr>
          <w:lang w:val="en-US"/>
        </w:rPr>
        <w:t xml:space="preserve"> up to a maximum of 2 mg on day 1, and prednisone 40 mg/m</w:t>
      </w:r>
      <w:r w:rsidRPr="0071280B">
        <w:rPr>
          <w:vertAlign w:val="superscript"/>
          <w:lang w:val="en-US"/>
        </w:rPr>
        <w:t>2</w:t>
      </w:r>
      <w:r w:rsidRPr="00612E2C">
        <w:rPr>
          <w:lang w:val="en-US"/>
        </w:rPr>
        <w:t xml:space="preserve">/day on days 1-5) every 3 weeks for eight cycles, or </w:t>
      </w:r>
      <w:r w:rsidR="0071280B" w:rsidRPr="0071280B">
        <w:rPr>
          <w:lang w:val="en-US"/>
        </w:rPr>
        <w:t>rituximab</w:t>
      </w:r>
      <w:r w:rsidRPr="00612E2C">
        <w:rPr>
          <w:lang w:val="en-US"/>
        </w:rPr>
        <w:t xml:space="preserve"> 375 mg/m</w:t>
      </w:r>
      <w:r w:rsidRPr="0071280B">
        <w:rPr>
          <w:vertAlign w:val="superscript"/>
          <w:lang w:val="en-US"/>
        </w:rPr>
        <w:t>2</w:t>
      </w:r>
      <w:r w:rsidRPr="00612E2C">
        <w:rPr>
          <w:lang w:val="en-US"/>
        </w:rPr>
        <w:t xml:space="preserve"> administered as an intravenous infusion plus CHOP (R-CHOP). </w:t>
      </w:r>
      <w:r w:rsidR="0071280B">
        <w:rPr>
          <w:lang w:val="en-US"/>
        </w:rPr>
        <w:t>R</w:t>
      </w:r>
      <w:r w:rsidR="0071280B" w:rsidRPr="0071280B">
        <w:rPr>
          <w:lang w:val="en-US"/>
        </w:rPr>
        <w:t>ituximab</w:t>
      </w:r>
      <w:r w:rsidRPr="00612E2C">
        <w:rPr>
          <w:lang w:val="en-US"/>
        </w:rPr>
        <w:t xml:space="preserve"> was administered on the first day of the treatment cycle.</w:t>
      </w:r>
    </w:p>
    <w:p w14:paraId="2703EA8F" w14:textId="77777777" w:rsidR="00612E2C" w:rsidRPr="00612E2C" w:rsidRDefault="00612E2C" w:rsidP="00443352">
      <w:pPr>
        <w:pStyle w:val="CLDNormal"/>
        <w:jc w:val="left"/>
        <w:rPr>
          <w:lang w:val="en-US"/>
        </w:rPr>
      </w:pPr>
      <w:r w:rsidRPr="00612E2C">
        <w:rPr>
          <w:lang w:val="en-US"/>
        </w:rPr>
        <w:t xml:space="preserve">The final efficacy analysis included all </w:t>
      </w:r>
      <w:proofErr w:type="spellStart"/>
      <w:r w:rsidRPr="00612E2C">
        <w:rPr>
          <w:lang w:val="en-US"/>
        </w:rPr>
        <w:t>randomised</w:t>
      </w:r>
      <w:proofErr w:type="spellEnd"/>
      <w:r w:rsidRPr="00612E2C">
        <w:rPr>
          <w:lang w:val="en-US"/>
        </w:rPr>
        <w:t xml:space="preserve"> patients (197 CHOP, 202 R-CHOP), and had a median follow-up duration of approximately 31 months. The two treatment groups were well balanced in baseline characteristics and disease status. The final analysis confirmed that R-CHOP significantly increased the duration of event-free survival (the primary efficacy parameter, where events were death, relapse or progression of lymphoma, or institution of a new anti-lymphoma treatment) (p=0.0001). Kaplan Meier estimates of the</w:t>
      </w:r>
      <w:r>
        <w:rPr>
          <w:lang w:val="en-US"/>
        </w:rPr>
        <w:t xml:space="preserve"> </w:t>
      </w:r>
      <w:r w:rsidRPr="00612E2C">
        <w:rPr>
          <w:lang w:val="en-US"/>
        </w:rPr>
        <w:t>median duration of event-free survival were 35 months in the R-CHOP arm compared to 13 months in the CHOP arm, representing a risk reduction of 41%. At 24 months, estimates for overall survival were 68.2% in the R-CHOP arm compared to 57.4% in the CHOP arm. A subsequent analysis of the duration of overall survival, carried out with a median follow-up duration of 38 months, confirmed the benefit of R-CHOP over CHOP treatment (p=0.0094), representing a risk reduction of 33%.</w:t>
      </w:r>
    </w:p>
    <w:p w14:paraId="5C4A290B" w14:textId="77777777" w:rsidR="00612E2C" w:rsidRDefault="00612E2C" w:rsidP="00443352">
      <w:pPr>
        <w:pStyle w:val="CLDNormal"/>
        <w:jc w:val="left"/>
        <w:rPr>
          <w:lang w:val="en-US"/>
        </w:rPr>
      </w:pPr>
      <w:r w:rsidRPr="00612E2C">
        <w:rPr>
          <w:lang w:val="en-US"/>
        </w:rPr>
        <w:t>The analysis of all secondary parameters (response rates, progression-free survival, disease-free survival, duration of response) verified the treatment effect of R-CHOP compared to CHOP. The complete response rate after cycle 8 was 76.2% in the R-CHOP group and 62.4% in the CHOP group (p=0.0028). The risk of disease progression was reduced by 46% and the risk of relapse by 51%.</w:t>
      </w:r>
    </w:p>
    <w:p w14:paraId="24157492" w14:textId="77777777" w:rsidR="00612E2C" w:rsidRPr="00612E2C" w:rsidRDefault="00612E2C" w:rsidP="00443352">
      <w:pPr>
        <w:pStyle w:val="CLDNormal"/>
        <w:jc w:val="left"/>
        <w:rPr>
          <w:lang w:val="en-US"/>
        </w:rPr>
      </w:pPr>
      <w:r w:rsidRPr="00612E2C">
        <w:rPr>
          <w:lang w:val="en-US"/>
        </w:rPr>
        <w:t xml:space="preserve">In all patient subgroups (gender, age, age-adjusted IPI, Ann Arbor stage, ECOG, Beta 2 </w:t>
      </w:r>
      <w:proofErr w:type="spellStart"/>
      <w:r w:rsidRPr="00612E2C">
        <w:rPr>
          <w:lang w:val="en-US"/>
        </w:rPr>
        <w:t>Microglobulin</w:t>
      </w:r>
      <w:proofErr w:type="spellEnd"/>
      <w:r w:rsidRPr="00612E2C">
        <w:rPr>
          <w:lang w:val="en-US"/>
        </w:rPr>
        <w:t xml:space="preserve">, LDH, Albumin, B-symptoms, Bulky disease, </w:t>
      </w:r>
      <w:proofErr w:type="spellStart"/>
      <w:r w:rsidRPr="00612E2C">
        <w:rPr>
          <w:lang w:val="en-US"/>
        </w:rPr>
        <w:t>extranodal</w:t>
      </w:r>
      <w:proofErr w:type="spellEnd"/>
      <w:r w:rsidRPr="00612E2C">
        <w:rPr>
          <w:lang w:val="en-US"/>
        </w:rPr>
        <w:t xml:space="preserve"> sites, bone marrow involvement), the risk ratios for event-free survival and overall survival (R-CHOP compared with CHOP) were less than 0.83 and 0.95 respectively, although the benefit with R-CHOP was not always statistically significant.</w:t>
      </w:r>
    </w:p>
    <w:p w14:paraId="6625DC41" w14:textId="77777777" w:rsidR="00612E2C" w:rsidRDefault="00612E2C" w:rsidP="00443352">
      <w:pPr>
        <w:pStyle w:val="CLDNormal"/>
        <w:jc w:val="left"/>
        <w:rPr>
          <w:lang w:val="en-US"/>
        </w:rPr>
      </w:pPr>
      <w:r w:rsidRPr="00612E2C">
        <w:rPr>
          <w:lang w:val="en-US"/>
        </w:rPr>
        <w:t>A subsequent analysis of the duration of overall survival, carried out with a median follow-up duration of 60 months, confirmed the benefit of R-CHOP over CHOP treatment (p=0.0071), representing a risk reduction of 32%.</w:t>
      </w:r>
    </w:p>
    <w:p w14:paraId="557F93EF" w14:textId="20C4960B" w:rsidR="00612E2C" w:rsidRPr="006A1EF8" w:rsidRDefault="00612E2C" w:rsidP="00443352">
      <w:pPr>
        <w:pStyle w:val="CLDHeading4"/>
        <w:jc w:val="left"/>
        <w:rPr>
          <w:rFonts w:eastAsiaTheme="minorEastAsia"/>
          <w:lang w:val="en-US"/>
        </w:rPr>
      </w:pPr>
      <w:r w:rsidRPr="006A1EF8">
        <w:rPr>
          <w:rFonts w:eastAsiaTheme="minorEastAsia"/>
          <w:lang w:val="en-US"/>
        </w:rPr>
        <w:t xml:space="preserve">Chronic Lymphocytic </w:t>
      </w:r>
      <w:proofErr w:type="spellStart"/>
      <w:r w:rsidRPr="006A1EF8">
        <w:rPr>
          <w:rFonts w:eastAsiaTheme="minorEastAsia"/>
          <w:lang w:val="en-US"/>
        </w:rPr>
        <w:t>Leukaemia</w:t>
      </w:r>
      <w:proofErr w:type="spellEnd"/>
      <w:r w:rsidRPr="006A1EF8">
        <w:rPr>
          <w:rFonts w:eastAsiaTheme="minorEastAsia"/>
          <w:lang w:val="en-US"/>
        </w:rPr>
        <w:t xml:space="preserve"> (CLL)</w:t>
      </w:r>
    </w:p>
    <w:p w14:paraId="1A5B2E5D" w14:textId="670C796C" w:rsidR="00612E2C" w:rsidRPr="00612E2C" w:rsidRDefault="00612E2C" w:rsidP="00443352">
      <w:pPr>
        <w:pStyle w:val="CLDNormal"/>
        <w:jc w:val="left"/>
        <w:rPr>
          <w:lang w:val="en-US"/>
        </w:rPr>
      </w:pPr>
      <w:r w:rsidRPr="00612E2C">
        <w:rPr>
          <w:lang w:val="en-US"/>
        </w:rPr>
        <w:t xml:space="preserve">In two open-label </w:t>
      </w:r>
      <w:proofErr w:type="spellStart"/>
      <w:r w:rsidRPr="00612E2C">
        <w:rPr>
          <w:lang w:val="en-US"/>
        </w:rPr>
        <w:t>randomised</w:t>
      </w:r>
      <w:proofErr w:type="spellEnd"/>
      <w:r w:rsidRPr="00612E2C">
        <w:rPr>
          <w:lang w:val="en-US"/>
        </w:rPr>
        <w:t xml:space="preserve"> studies, a total of 817 previously untreated patients and 552 patients with relapsed/refractory CLL were </w:t>
      </w:r>
      <w:proofErr w:type="spellStart"/>
      <w:r w:rsidRPr="00612E2C">
        <w:rPr>
          <w:lang w:val="en-US"/>
        </w:rPr>
        <w:t>randomised</w:t>
      </w:r>
      <w:proofErr w:type="spellEnd"/>
      <w:r w:rsidRPr="00612E2C">
        <w:rPr>
          <w:lang w:val="en-US"/>
        </w:rPr>
        <w:t xml:space="preserve"> to receive either </w:t>
      </w:r>
      <w:proofErr w:type="spellStart"/>
      <w:r w:rsidRPr="00612E2C">
        <w:rPr>
          <w:lang w:val="en-US"/>
        </w:rPr>
        <w:t>fludarabine</w:t>
      </w:r>
      <w:proofErr w:type="spellEnd"/>
      <w:r w:rsidRPr="00612E2C">
        <w:rPr>
          <w:lang w:val="en-US"/>
        </w:rPr>
        <w:t xml:space="preserve"> and cyclophosphamide (FC) chemotherapy (</w:t>
      </w:r>
      <w:proofErr w:type="spellStart"/>
      <w:r w:rsidRPr="00612E2C">
        <w:rPr>
          <w:lang w:val="en-US"/>
        </w:rPr>
        <w:t>fludarabine</w:t>
      </w:r>
      <w:proofErr w:type="spellEnd"/>
      <w:r w:rsidRPr="00612E2C">
        <w:rPr>
          <w:lang w:val="en-US"/>
        </w:rPr>
        <w:t xml:space="preserve"> 25 mg/m</w:t>
      </w:r>
      <w:r w:rsidRPr="0071280B">
        <w:rPr>
          <w:vertAlign w:val="superscript"/>
          <w:lang w:val="en-US"/>
        </w:rPr>
        <w:t>2</w:t>
      </w:r>
      <w:r w:rsidRPr="00612E2C">
        <w:rPr>
          <w:lang w:val="en-US"/>
        </w:rPr>
        <w:t>, cyclophosphamide 250 mg/m</w:t>
      </w:r>
      <w:r w:rsidRPr="0071280B">
        <w:rPr>
          <w:vertAlign w:val="superscript"/>
          <w:lang w:val="en-US"/>
        </w:rPr>
        <w:t>2</w:t>
      </w:r>
      <w:r w:rsidRPr="00612E2C">
        <w:rPr>
          <w:lang w:val="en-US"/>
        </w:rPr>
        <w:t xml:space="preserve">, days 1-3) every 4 weeks for 6 cycles or </w:t>
      </w:r>
      <w:r w:rsidR="006467E9" w:rsidRPr="006467E9">
        <w:rPr>
          <w:lang w:val="en-US"/>
        </w:rPr>
        <w:t>rituximab</w:t>
      </w:r>
      <w:r w:rsidRPr="00612E2C">
        <w:rPr>
          <w:lang w:val="en-US"/>
        </w:rPr>
        <w:t xml:space="preserve"> in combination with FC (R-FC). </w:t>
      </w:r>
      <w:r w:rsidR="006467E9">
        <w:rPr>
          <w:lang w:val="en-US"/>
        </w:rPr>
        <w:t>R</w:t>
      </w:r>
      <w:r w:rsidR="006467E9" w:rsidRPr="006467E9">
        <w:rPr>
          <w:lang w:val="en-US"/>
        </w:rPr>
        <w:t>ituximab</w:t>
      </w:r>
      <w:r w:rsidRPr="00612E2C">
        <w:rPr>
          <w:lang w:val="en-US"/>
        </w:rPr>
        <w:t xml:space="preserve"> was administered at a dosage of 375 mg/m</w:t>
      </w:r>
      <w:r w:rsidRPr="006467E9">
        <w:rPr>
          <w:vertAlign w:val="superscript"/>
          <w:lang w:val="en-US"/>
        </w:rPr>
        <w:t>2</w:t>
      </w:r>
      <w:r w:rsidRPr="00612E2C">
        <w:rPr>
          <w:lang w:val="en-US"/>
        </w:rPr>
        <w:t xml:space="preserve"> during the first cycle one day prior to chemotherapy and at a dosage of 500 mg/m</w:t>
      </w:r>
      <w:r w:rsidRPr="006467E9">
        <w:rPr>
          <w:vertAlign w:val="superscript"/>
          <w:lang w:val="en-US"/>
        </w:rPr>
        <w:t>2</w:t>
      </w:r>
      <w:r w:rsidRPr="00612E2C">
        <w:rPr>
          <w:lang w:val="en-US"/>
        </w:rPr>
        <w:t xml:space="preserve"> on day 1 of cycles 2-6. A total of 810 patients (403 R-FC, 407 FC) from the first-line study (Table 10) and 552 patients (276 R-FC, 276 FC) for the relapsed/refractory study (Table 12) were </w:t>
      </w:r>
      <w:proofErr w:type="spellStart"/>
      <w:r w:rsidRPr="00612E2C">
        <w:rPr>
          <w:lang w:val="en-US"/>
        </w:rPr>
        <w:t>analysed</w:t>
      </w:r>
      <w:proofErr w:type="spellEnd"/>
      <w:r w:rsidRPr="00612E2C">
        <w:rPr>
          <w:lang w:val="en-US"/>
        </w:rPr>
        <w:t xml:space="preserve"> for efficacy.</w:t>
      </w:r>
    </w:p>
    <w:p w14:paraId="370E66E6" w14:textId="77777777" w:rsidR="00612E2C" w:rsidRDefault="00612E2C" w:rsidP="00443352">
      <w:pPr>
        <w:pStyle w:val="CLDNormal"/>
        <w:jc w:val="left"/>
        <w:rPr>
          <w:lang w:val="en-US"/>
        </w:rPr>
      </w:pPr>
      <w:r w:rsidRPr="00612E2C">
        <w:rPr>
          <w:lang w:val="en-US"/>
        </w:rPr>
        <w:t xml:space="preserve">In the first-line study, after a median observation time of 20.7 months, the primary endpoint of progression-free survival (PFS) was a median of 40 months in the R-FC group and a median of 32 months in the FC group (p&lt;0.0001, log-rank test). The analysis of overall survival demonstrated improved survival in </w:t>
      </w:r>
      <w:proofErr w:type="spellStart"/>
      <w:r w:rsidRPr="00612E2C">
        <w:rPr>
          <w:lang w:val="en-US"/>
        </w:rPr>
        <w:t>favour</w:t>
      </w:r>
      <w:proofErr w:type="spellEnd"/>
      <w:r w:rsidRPr="00612E2C">
        <w:rPr>
          <w:lang w:val="en-US"/>
        </w:rPr>
        <w:t xml:space="preserve"> of the R-FC arm (p=0.0427). These results were confirmed with longer follow-up: after a median observation time of 48.1 months, the median PFS was 55 months in the R-FC group and 33 months in the FC group (p &lt; 0.0001, log-rank test) and overall survival analyses continued to show a significant benefit of R-FC treatment over FC chemotherapy alone (p = 0.0319, log-rank test). The benefit in terms of PFS was consistently observed in most patient subgroups </w:t>
      </w:r>
      <w:proofErr w:type="spellStart"/>
      <w:r w:rsidRPr="00612E2C">
        <w:rPr>
          <w:lang w:val="en-US"/>
        </w:rPr>
        <w:t>analysed</w:t>
      </w:r>
      <w:proofErr w:type="spellEnd"/>
      <w:r w:rsidRPr="00612E2C">
        <w:rPr>
          <w:lang w:val="en-US"/>
        </w:rPr>
        <w:t xml:space="preserve"> according to disease risk at baseline (i.e. </w:t>
      </w:r>
      <w:proofErr w:type="spellStart"/>
      <w:r w:rsidRPr="00612E2C">
        <w:rPr>
          <w:lang w:val="en-US"/>
        </w:rPr>
        <w:t>Binet</w:t>
      </w:r>
      <w:proofErr w:type="spellEnd"/>
      <w:r w:rsidRPr="00612E2C">
        <w:rPr>
          <w:lang w:val="en-US"/>
        </w:rPr>
        <w:t xml:space="preserve"> stages A-C) and was confirmed with longer follow-up (Table 11).</w:t>
      </w:r>
    </w:p>
    <w:p w14:paraId="3E8E597A" w14:textId="649B154D" w:rsidR="00612E2C" w:rsidRPr="006467E9" w:rsidRDefault="00612E2C" w:rsidP="00443352">
      <w:pPr>
        <w:pStyle w:val="CLDNormal"/>
        <w:pageBreakBefore/>
        <w:jc w:val="left"/>
        <w:rPr>
          <w:b/>
          <w:sz w:val="22"/>
          <w:szCs w:val="22"/>
          <w:lang w:val="en-US"/>
        </w:rPr>
      </w:pPr>
      <w:r w:rsidRPr="006467E9">
        <w:rPr>
          <w:b/>
          <w:sz w:val="22"/>
          <w:szCs w:val="22"/>
          <w:lang w:val="en-US"/>
        </w:rPr>
        <w:t xml:space="preserve">Table 10: First-line treatment of Chronic Lymphocytic </w:t>
      </w:r>
      <w:proofErr w:type="spellStart"/>
      <w:r w:rsidRPr="006467E9">
        <w:rPr>
          <w:b/>
          <w:sz w:val="22"/>
          <w:szCs w:val="22"/>
          <w:lang w:val="en-US"/>
        </w:rPr>
        <w:t>Leukaemia</w:t>
      </w:r>
      <w:proofErr w:type="spellEnd"/>
      <w:r w:rsidRPr="006467E9">
        <w:rPr>
          <w:b/>
          <w:sz w:val="22"/>
          <w:szCs w:val="22"/>
          <w:lang w:val="en-US"/>
        </w:rPr>
        <w:t xml:space="preserve"> - overview of efficacy results for </w:t>
      </w:r>
      <w:r w:rsidR="006A3BF0">
        <w:rPr>
          <w:b/>
          <w:sz w:val="22"/>
          <w:szCs w:val="22"/>
          <w:lang w:val="en-US"/>
        </w:rPr>
        <w:t>r</w:t>
      </w:r>
      <w:r w:rsidR="006467E9" w:rsidRPr="006467E9">
        <w:rPr>
          <w:b/>
          <w:sz w:val="22"/>
          <w:szCs w:val="22"/>
          <w:lang w:val="en-US"/>
        </w:rPr>
        <w:t>ituximab</w:t>
      </w:r>
      <w:r w:rsidRPr="006467E9">
        <w:rPr>
          <w:b/>
          <w:sz w:val="22"/>
          <w:szCs w:val="22"/>
          <w:lang w:val="en-US"/>
        </w:rPr>
        <w:t xml:space="preserve"> plus FC vs. FC alone (20.7 and 48.1 months median observation time)</w:t>
      </w:r>
    </w:p>
    <w:tbl>
      <w:tblPr>
        <w:tblW w:w="9016" w:type="dxa"/>
        <w:tblInd w:w="94" w:type="dxa"/>
        <w:tblLayout w:type="fixed"/>
        <w:tblCellMar>
          <w:left w:w="0" w:type="dxa"/>
          <w:right w:w="0" w:type="dxa"/>
        </w:tblCellMar>
        <w:tblLook w:val="0000" w:firstRow="0" w:lastRow="0" w:firstColumn="0" w:lastColumn="0" w:noHBand="0" w:noVBand="0"/>
      </w:tblPr>
      <w:tblGrid>
        <w:gridCol w:w="2081"/>
        <w:gridCol w:w="1249"/>
        <w:gridCol w:w="1248"/>
        <w:gridCol w:w="1666"/>
        <w:gridCol w:w="1246"/>
        <w:gridCol w:w="1526"/>
      </w:tblGrid>
      <w:tr w:rsidR="00612E2C" w:rsidRPr="00612E2C" w14:paraId="0BE6BD51" w14:textId="77777777" w:rsidTr="00A83012">
        <w:trPr>
          <w:trHeight w:hRule="exact" w:val="566"/>
        </w:trPr>
        <w:tc>
          <w:tcPr>
            <w:tcW w:w="2081" w:type="dxa"/>
            <w:vMerge w:val="restart"/>
            <w:tcBorders>
              <w:top w:val="single" w:sz="6" w:space="0" w:color="000000"/>
              <w:left w:val="single" w:sz="4" w:space="0" w:color="000000"/>
              <w:bottom w:val="single" w:sz="6" w:space="0" w:color="000000"/>
              <w:right w:val="single" w:sz="6" w:space="0" w:color="000000"/>
            </w:tcBorders>
          </w:tcPr>
          <w:p w14:paraId="760B6194" w14:textId="77777777" w:rsidR="00612E2C" w:rsidRPr="00612E2C" w:rsidRDefault="00612E2C" w:rsidP="00443352">
            <w:pPr>
              <w:kinsoku w:val="0"/>
              <w:overflowPunct w:val="0"/>
              <w:autoSpaceDE w:val="0"/>
              <w:autoSpaceDN w:val="0"/>
              <w:adjustRightInd w:val="0"/>
              <w:spacing w:after="0"/>
              <w:ind w:right="485"/>
              <w:jc w:val="left"/>
              <w:rPr>
                <w:sz w:val="20"/>
                <w:lang w:val="en-AU"/>
              </w:rPr>
            </w:pPr>
            <w:r w:rsidRPr="00612E2C">
              <w:rPr>
                <w:b/>
                <w:bCs/>
                <w:spacing w:val="-1"/>
                <w:sz w:val="20"/>
                <w:lang w:val="en-AU"/>
              </w:rPr>
              <w:t>Efficacy</w:t>
            </w:r>
            <w:r w:rsidRPr="00612E2C">
              <w:rPr>
                <w:b/>
                <w:bCs/>
                <w:spacing w:val="24"/>
                <w:sz w:val="20"/>
                <w:lang w:val="en-AU"/>
              </w:rPr>
              <w:t xml:space="preserve"> </w:t>
            </w:r>
            <w:r w:rsidRPr="00612E2C">
              <w:rPr>
                <w:b/>
                <w:bCs/>
                <w:spacing w:val="-1"/>
                <w:sz w:val="20"/>
                <w:lang w:val="en-AU"/>
              </w:rPr>
              <w:t>Parameter</w:t>
            </w:r>
          </w:p>
        </w:tc>
        <w:tc>
          <w:tcPr>
            <w:tcW w:w="4163" w:type="dxa"/>
            <w:gridSpan w:val="3"/>
            <w:tcBorders>
              <w:top w:val="single" w:sz="6" w:space="0" w:color="000000"/>
              <w:left w:val="single" w:sz="6" w:space="0" w:color="000000"/>
              <w:bottom w:val="single" w:sz="6" w:space="0" w:color="000000"/>
              <w:right w:val="single" w:sz="6" w:space="0" w:color="000000"/>
            </w:tcBorders>
          </w:tcPr>
          <w:p w14:paraId="2DAB56D0" w14:textId="77777777" w:rsidR="00612E2C" w:rsidRPr="00612E2C" w:rsidRDefault="00612E2C" w:rsidP="00443352">
            <w:pPr>
              <w:kinsoku w:val="0"/>
              <w:overflowPunct w:val="0"/>
              <w:autoSpaceDE w:val="0"/>
              <w:autoSpaceDN w:val="0"/>
              <w:adjustRightInd w:val="0"/>
              <w:spacing w:after="0"/>
              <w:ind w:left="731" w:right="422"/>
              <w:jc w:val="left"/>
              <w:rPr>
                <w:sz w:val="20"/>
                <w:lang w:val="en-AU"/>
              </w:rPr>
            </w:pPr>
            <w:r w:rsidRPr="00612E2C">
              <w:rPr>
                <w:b/>
                <w:bCs/>
                <w:spacing w:val="-1"/>
                <w:sz w:val="20"/>
                <w:lang w:val="en-AU"/>
              </w:rPr>
              <w:t>Kaplan-Meier</w:t>
            </w:r>
            <w:r w:rsidRPr="00612E2C">
              <w:rPr>
                <w:b/>
                <w:bCs/>
                <w:spacing w:val="-2"/>
                <w:sz w:val="20"/>
                <w:lang w:val="en-AU"/>
              </w:rPr>
              <w:t xml:space="preserve"> </w:t>
            </w:r>
            <w:r w:rsidRPr="00612E2C">
              <w:rPr>
                <w:b/>
                <w:bCs/>
                <w:sz w:val="20"/>
                <w:lang w:val="en-AU"/>
              </w:rPr>
              <w:t>Estimate</w:t>
            </w:r>
            <w:r w:rsidRPr="00612E2C">
              <w:rPr>
                <w:b/>
                <w:bCs/>
                <w:spacing w:val="-2"/>
                <w:sz w:val="20"/>
                <w:lang w:val="en-AU"/>
              </w:rPr>
              <w:t xml:space="preserve"> </w:t>
            </w:r>
            <w:r w:rsidRPr="00612E2C">
              <w:rPr>
                <w:b/>
                <w:bCs/>
                <w:sz w:val="20"/>
                <w:lang w:val="en-AU"/>
              </w:rPr>
              <w:t>of</w:t>
            </w:r>
            <w:r w:rsidRPr="00612E2C">
              <w:rPr>
                <w:b/>
                <w:bCs/>
                <w:spacing w:val="24"/>
                <w:sz w:val="20"/>
                <w:lang w:val="en-AU"/>
              </w:rPr>
              <w:t xml:space="preserve"> </w:t>
            </w:r>
            <w:r w:rsidRPr="00612E2C">
              <w:rPr>
                <w:b/>
                <w:bCs/>
                <w:spacing w:val="-1"/>
                <w:sz w:val="20"/>
                <w:lang w:val="en-AU"/>
              </w:rPr>
              <w:t>Median</w:t>
            </w:r>
            <w:r w:rsidRPr="00612E2C">
              <w:rPr>
                <w:b/>
                <w:bCs/>
                <w:spacing w:val="1"/>
                <w:sz w:val="20"/>
                <w:lang w:val="en-AU"/>
              </w:rPr>
              <w:t xml:space="preserve"> </w:t>
            </w:r>
            <w:r w:rsidRPr="00612E2C">
              <w:rPr>
                <w:b/>
                <w:bCs/>
                <w:sz w:val="20"/>
                <w:lang w:val="en-AU"/>
              </w:rPr>
              <w:t>Time</w:t>
            </w:r>
            <w:r w:rsidRPr="00612E2C">
              <w:rPr>
                <w:b/>
                <w:bCs/>
                <w:spacing w:val="-1"/>
                <w:sz w:val="20"/>
                <w:lang w:val="en-AU"/>
              </w:rPr>
              <w:t xml:space="preserve"> </w:t>
            </w:r>
            <w:r w:rsidRPr="00612E2C">
              <w:rPr>
                <w:b/>
                <w:bCs/>
                <w:sz w:val="20"/>
                <w:lang w:val="en-AU"/>
              </w:rPr>
              <w:t xml:space="preserve">to </w:t>
            </w:r>
            <w:r w:rsidRPr="00612E2C">
              <w:rPr>
                <w:b/>
                <w:bCs/>
                <w:spacing w:val="-1"/>
                <w:sz w:val="20"/>
                <w:lang w:val="en-AU"/>
              </w:rPr>
              <w:t>Event</w:t>
            </w:r>
            <w:r w:rsidRPr="00612E2C">
              <w:rPr>
                <w:b/>
                <w:bCs/>
                <w:sz w:val="20"/>
                <w:lang w:val="en-AU"/>
              </w:rPr>
              <w:t xml:space="preserve"> </w:t>
            </w:r>
            <w:r w:rsidRPr="00612E2C">
              <w:rPr>
                <w:b/>
                <w:bCs/>
                <w:spacing w:val="-1"/>
                <w:sz w:val="20"/>
                <w:lang w:val="en-AU"/>
              </w:rPr>
              <w:t>(Months)</w:t>
            </w:r>
          </w:p>
        </w:tc>
        <w:tc>
          <w:tcPr>
            <w:tcW w:w="1246" w:type="dxa"/>
            <w:vMerge w:val="restart"/>
            <w:tcBorders>
              <w:top w:val="single" w:sz="6" w:space="0" w:color="000000"/>
              <w:left w:val="single" w:sz="6" w:space="0" w:color="000000"/>
              <w:bottom w:val="single" w:sz="6" w:space="0" w:color="000000"/>
              <w:right w:val="single" w:sz="6" w:space="0" w:color="000000"/>
            </w:tcBorders>
          </w:tcPr>
          <w:p w14:paraId="212E40B5" w14:textId="77777777" w:rsidR="00612E2C" w:rsidRPr="00612E2C" w:rsidRDefault="00612E2C" w:rsidP="00443352">
            <w:pPr>
              <w:kinsoku w:val="0"/>
              <w:overflowPunct w:val="0"/>
              <w:autoSpaceDE w:val="0"/>
              <w:autoSpaceDN w:val="0"/>
              <w:adjustRightInd w:val="0"/>
              <w:spacing w:after="0"/>
              <w:ind w:left="140" w:right="139"/>
              <w:jc w:val="left"/>
              <w:rPr>
                <w:sz w:val="20"/>
                <w:lang w:val="en-AU"/>
              </w:rPr>
            </w:pPr>
            <w:r w:rsidRPr="00612E2C">
              <w:rPr>
                <w:b/>
                <w:bCs/>
                <w:spacing w:val="-1"/>
                <w:sz w:val="20"/>
                <w:lang w:val="en-AU"/>
              </w:rPr>
              <w:t>Median</w:t>
            </w:r>
            <w:r w:rsidRPr="00612E2C">
              <w:rPr>
                <w:b/>
                <w:bCs/>
                <w:spacing w:val="24"/>
                <w:sz w:val="20"/>
                <w:lang w:val="en-AU"/>
              </w:rPr>
              <w:t xml:space="preserve"> </w:t>
            </w:r>
            <w:r w:rsidRPr="00612E2C">
              <w:rPr>
                <w:b/>
                <w:bCs/>
                <w:spacing w:val="-1"/>
                <w:sz w:val="20"/>
                <w:lang w:val="en-AU"/>
              </w:rPr>
              <w:t>Follow-</w:t>
            </w:r>
            <w:r w:rsidRPr="00612E2C">
              <w:rPr>
                <w:b/>
                <w:bCs/>
                <w:spacing w:val="26"/>
                <w:sz w:val="20"/>
                <w:lang w:val="en-AU"/>
              </w:rPr>
              <w:t xml:space="preserve"> </w:t>
            </w:r>
            <w:r w:rsidRPr="00612E2C">
              <w:rPr>
                <w:b/>
                <w:bCs/>
                <w:sz w:val="20"/>
                <w:lang w:val="en-AU"/>
              </w:rPr>
              <w:t xml:space="preserve">Up </w:t>
            </w:r>
            <w:r w:rsidRPr="00612E2C">
              <w:rPr>
                <w:b/>
                <w:bCs/>
                <w:spacing w:val="-1"/>
                <w:sz w:val="20"/>
                <w:lang w:val="en-AU"/>
              </w:rPr>
              <w:t>(Months)</w:t>
            </w:r>
          </w:p>
        </w:tc>
        <w:tc>
          <w:tcPr>
            <w:tcW w:w="1526" w:type="dxa"/>
            <w:vMerge w:val="restart"/>
            <w:tcBorders>
              <w:top w:val="single" w:sz="6" w:space="0" w:color="000000"/>
              <w:left w:val="single" w:sz="6" w:space="0" w:color="000000"/>
              <w:bottom w:val="single" w:sz="6" w:space="0" w:color="000000"/>
              <w:right w:val="single" w:sz="6" w:space="0" w:color="000000"/>
            </w:tcBorders>
          </w:tcPr>
          <w:p w14:paraId="06751CC0" w14:textId="77777777" w:rsidR="00612E2C" w:rsidRPr="00612E2C" w:rsidRDefault="00612E2C" w:rsidP="00443352">
            <w:pPr>
              <w:kinsoku w:val="0"/>
              <w:overflowPunct w:val="0"/>
              <w:autoSpaceDE w:val="0"/>
              <w:autoSpaceDN w:val="0"/>
              <w:adjustRightInd w:val="0"/>
              <w:spacing w:after="0"/>
              <w:ind w:left="366" w:right="369"/>
              <w:jc w:val="left"/>
              <w:rPr>
                <w:sz w:val="20"/>
                <w:lang w:val="en-AU"/>
              </w:rPr>
            </w:pPr>
            <w:r w:rsidRPr="00612E2C">
              <w:rPr>
                <w:b/>
                <w:bCs/>
                <w:spacing w:val="-1"/>
                <w:sz w:val="20"/>
                <w:lang w:val="en-AU"/>
              </w:rPr>
              <w:t>Hazard</w:t>
            </w:r>
            <w:r w:rsidRPr="00612E2C">
              <w:rPr>
                <w:b/>
                <w:bCs/>
                <w:spacing w:val="24"/>
                <w:sz w:val="20"/>
                <w:lang w:val="en-AU"/>
              </w:rPr>
              <w:t xml:space="preserve"> </w:t>
            </w:r>
            <w:r w:rsidRPr="00612E2C">
              <w:rPr>
                <w:b/>
                <w:bCs/>
                <w:spacing w:val="-1"/>
                <w:sz w:val="20"/>
                <w:lang w:val="en-AU"/>
              </w:rPr>
              <w:t>Ratio</w:t>
            </w:r>
          </w:p>
          <w:p w14:paraId="55DC9FAE" w14:textId="77777777" w:rsidR="00612E2C" w:rsidRPr="00612E2C" w:rsidRDefault="00612E2C" w:rsidP="00443352">
            <w:pPr>
              <w:kinsoku w:val="0"/>
              <w:overflowPunct w:val="0"/>
              <w:autoSpaceDE w:val="0"/>
              <w:autoSpaceDN w:val="0"/>
              <w:adjustRightInd w:val="0"/>
              <w:spacing w:after="0"/>
              <w:ind w:left="109" w:right="114"/>
              <w:jc w:val="left"/>
              <w:rPr>
                <w:sz w:val="20"/>
                <w:lang w:val="en-AU"/>
              </w:rPr>
            </w:pPr>
            <w:r w:rsidRPr="00612E2C">
              <w:rPr>
                <w:b/>
                <w:bCs/>
                <w:spacing w:val="-1"/>
                <w:sz w:val="20"/>
                <w:lang w:val="en-AU"/>
              </w:rPr>
              <w:t xml:space="preserve">R-FC </w:t>
            </w:r>
            <w:r w:rsidRPr="00612E2C">
              <w:rPr>
                <w:b/>
                <w:bCs/>
                <w:sz w:val="20"/>
                <w:lang w:val="en-AU"/>
              </w:rPr>
              <w:t>vs. FC</w:t>
            </w:r>
            <w:r w:rsidRPr="00612E2C">
              <w:rPr>
                <w:b/>
                <w:bCs/>
                <w:spacing w:val="22"/>
                <w:sz w:val="20"/>
                <w:lang w:val="en-AU"/>
              </w:rPr>
              <w:t xml:space="preserve"> </w:t>
            </w:r>
            <w:r w:rsidRPr="00612E2C">
              <w:rPr>
                <w:b/>
                <w:bCs/>
                <w:sz w:val="20"/>
                <w:lang w:val="en-AU"/>
              </w:rPr>
              <w:t>[95%</w:t>
            </w:r>
            <w:r w:rsidRPr="00612E2C">
              <w:rPr>
                <w:b/>
                <w:bCs/>
                <w:spacing w:val="-1"/>
                <w:sz w:val="20"/>
                <w:lang w:val="en-AU"/>
              </w:rPr>
              <w:t xml:space="preserve"> CI]</w:t>
            </w:r>
          </w:p>
        </w:tc>
      </w:tr>
      <w:tr w:rsidR="00612E2C" w:rsidRPr="00612E2C" w14:paraId="1CB0C0B5" w14:textId="77777777" w:rsidTr="006467E9">
        <w:trPr>
          <w:trHeight w:hRule="exact" w:val="682"/>
        </w:trPr>
        <w:tc>
          <w:tcPr>
            <w:tcW w:w="2081" w:type="dxa"/>
            <w:vMerge/>
            <w:tcBorders>
              <w:top w:val="single" w:sz="6" w:space="0" w:color="000000"/>
              <w:left w:val="single" w:sz="4" w:space="0" w:color="000000"/>
              <w:bottom w:val="single" w:sz="6" w:space="0" w:color="000000"/>
              <w:right w:val="single" w:sz="6" w:space="0" w:color="000000"/>
            </w:tcBorders>
          </w:tcPr>
          <w:p w14:paraId="2DF97D81" w14:textId="77777777" w:rsidR="00612E2C" w:rsidRPr="00612E2C" w:rsidRDefault="00612E2C" w:rsidP="00443352">
            <w:pPr>
              <w:kinsoku w:val="0"/>
              <w:overflowPunct w:val="0"/>
              <w:autoSpaceDE w:val="0"/>
              <w:autoSpaceDN w:val="0"/>
              <w:adjustRightInd w:val="0"/>
              <w:spacing w:after="0"/>
              <w:ind w:left="109" w:right="114"/>
              <w:jc w:val="left"/>
              <w:rPr>
                <w:sz w:val="20"/>
                <w:lang w:val="en-AU"/>
              </w:rPr>
            </w:pPr>
          </w:p>
        </w:tc>
        <w:tc>
          <w:tcPr>
            <w:tcW w:w="1249" w:type="dxa"/>
            <w:tcBorders>
              <w:top w:val="single" w:sz="6" w:space="0" w:color="000000"/>
              <w:left w:val="single" w:sz="6" w:space="0" w:color="000000"/>
              <w:bottom w:val="single" w:sz="6" w:space="0" w:color="000000"/>
              <w:right w:val="single" w:sz="6" w:space="0" w:color="000000"/>
            </w:tcBorders>
          </w:tcPr>
          <w:p w14:paraId="575096BA" w14:textId="77777777" w:rsidR="006467E9" w:rsidRDefault="00612E2C" w:rsidP="00443352">
            <w:pPr>
              <w:kinsoku w:val="0"/>
              <w:overflowPunct w:val="0"/>
              <w:autoSpaceDE w:val="0"/>
              <w:autoSpaceDN w:val="0"/>
              <w:adjustRightInd w:val="0"/>
              <w:spacing w:after="0"/>
              <w:ind w:right="200"/>
              <w:jc w:val="left"/>
              <w:rPr>
                <w:b/>
                <w:bCs/>
                <w:spacing w:val="19"/>
                <w:sz w:val="20"/>
                <w:lang w:val="en-AU"/>
              </w:rPr>
            </w:pPr>
            <w:r w:rsidRPr="00612E2C">
              <w:rPr>
                <w:b/>
                <w:bCs/>
                <w:spacing w:val="-1"/>
                <w:sz w:val="20"/>
                <w:lang w:val="en-AU"/>
              </w:rPr>
              <w:t>FC</w:t>
            </w:r>
          </w:p>
          <w:p w14:paraId="49B347BE" w14:textId="77777777" w:rsidR="00612E2C" w:rsidRPr="00612E2C" w:rsidRDefault="00612E2C" w:rsidP="00443352">
            <w:pPr>
              <w:kinsoku w:val="0"/>
              <w:overflowPunct w:val="0"/>
              <w:autoSpaceDE w:val="0"/>
              <w:autoSpaceDN w:val="0"/>
              <w:adjustRightInd w:val="0"/>
              <w:spacing w:after="0"/>
              <w:ind w:right="200"/>
              <w:jc w:val="left"/>
              <w:rPr>
                <w:sz w:val="20"/>
                <w:lang w:val="en-AU"/>
              </w:rPr>
            </w:pPr>
            <w:r w:rsidRPr="00612E2C">
              <w:rPr>
                <w:b/>
                <w:bCs/>
                <w:spacing w:val="-1"/>
                <w:sz w:val="20"/>
                <w:lang w:val="en-AU"/>
              </w:rPr>
              <w:t>(N=407)</w:t>
            </w:r>
          </w:p>
        </w:tc>
        <w:tc>
          <w:tcPr>
            <w:tcW w:w="1248" w:type="dxa"/>
            <w:tcBorders>
              <w:top w:val="single" w:sz="6" w:space="0" w:color="000000"/>
              <w:left w:val="single" w:sz="6" w:space="0" w:color="000000"/>
              <w:bottom w:val="single" w:sz="6" w:space="0" w:color="000000"/>
              <w:right w:val="single" w:sz="6" w:space="0" w:color="000000"/>
            </w:tcBorders>
          </w:tcPr>
          <w:p w14:paraId="7DD42C9F" w14:textId="77777777" w:rsidR="00612E2C" w:rsidRPr="00612E2C" w:rsidRDefault="00612E2C" w:rsidP="00443352">
            <w:pPr>
              <w:kinsoku w:val="0"/>
              <w:overflowPunct w:val="0"/>
              <w:autoSpaceDE w:val="0"/>
              <w:autoSpaceDN w:val="0"/>
              <w:adjustRightInd w:val="0"/>
              <w:spacing w:after="0"/>
              <w:ind w:left="327" w:right="200"/>
              <w:jc w:val="left"/>
              <w:rPr>
                <w:sz w:val="20"/>
                <w:lang w:val="en-AU"/>
              </w:rPr>
            </w:pPr>
            <w:r w:rsidRPr="00612E2C">
              <w:rPr>
                <w:b/>
                <w:bCs/>
                <w:spacing w:val="-1"/>
                <w:sz w:val="20"/>
                <w:lang w:val="en-AU"/>
              </w:rPr>
              <w:t>R-FC</w:t>
            </w:r>
            <w:r w:rsidRPr="00612E2C">
              <w:rPr>
                <w:b/>
                <w:bCs/>
                <w:spacing w:val="19"/>
                <w:sz w:val="20"/>
                <w:lang w:val="en-AU"/>
              </w:rPr>
              <w:t xml:space="preserve"> </w:t>
            </w:r>
            <w:r w:rsidRPr="00612E2C">
              <w:rPr>
                <w:b/>
                <w:bCs/>
                <w:spacing w:val="-1"/>
                <w:sz w:val="20"/>
                <w:lang w:val="en-AU"/>
              </w:rPr>
              <w:t>(N=403)</w:t>
            </w:r>
          </w:p>
        </w:tc>
        <w:tc>
          <w:tcPr>
            <w:tcW w:w="1666" w:type="dxa"/>
            <w:tcBorders>
              <w:top w:val="single" w:sz="6" w:space="0" w:color="000000"/>
              <w:left w:val="single" w:sz="6" w:space="0" w:color="000000"/>
              <w:bottom w:val="single" w:sz="6" w:space="0" w:color="000000"/>
              <w:right w:val="single" w:sz="6" w:space="0" w:color="000000"/>
            </w:tcBorders>
          </w:tcPr>
          <w:p w14:paraId="4FC0BF7B" w14:textId="77777777" w:rsidR="00612E2C" w:rsidRPr="00612E2C" w:rsidRDefault="00612E2C" w:rsidP="00443352">
            <w:pPr>
              <w:kinsoku w:val="0"/>
              <w:overflowPunct w:val="0"/>
              <w:autoSpaceDE w:val="0"/>
              <w:autoSpaceDN w:val="0"/>
              <w:adjustRightInd w:val="0"/>
              <w:spacing w:after="0"/>
              <w:ind w:left="300" w:right="305"/>
              <w:jc w:val="left"/>
              <w:rPr>
                <w:sz w:val="20"/>
                <w:lang w:val="en-AU"/>
              </w:rPr>
            </w:pPr>
            <w:r w:rsidRPr="00612E2C">
              <w:rPr>
                <w:b/>
                <w:bCs/>
                <w:spacing w:val="-1"/>
                <w:sz w:val="20"/>
                <w:lang w:val="en-AU"/>
              </w:rPr>
              <w:t>Log-Rank</w:t>
            </w:r>
            <w:r w:rsidRPr="00612E2C">
              <w:rPr>
                <w:b/>
                <w:bCs/>
                <w:spacing w:val="27"/>
                <w:sz w:val="20"/>
                <w:lang w:val="en-AU"/>
              </w:rPr>
              <w:t xml:space="preserve"> </w:t>
            </w:r>
            <w:r w:rsidRPr="00612E2C">
              <w:rPr>
                <w:b/>
                <w:bCs/>
                <w:sz w:val="20"/>
                <w:lang w:val="en-AU"/>
              </w:rPr>
              <w:t>p value</w:t>
            </w:r>
          </w:p>
        </w:tc>
        <w:tc>
          <w:tcPr>
            <w:tcW w:w="1246" w:type="dxa"/>
            <w:vMerge/>
            <w:tcBorders>
              <w:top w:val="single" w:sz="6" w:space="0" w:color="000000"/>
              <w:left w:val="single" w:sz="6" w:space="0" w:color="000000"/>
              <w:bottom w:val="single" w:sz="6" w:space="0" w:color="000000"/>
              <w:right w:val="single" w:sz="6" w:space="0" w:color="000000"/>
            </w:tcBorders>
          </w:tcPr>
          <w:p w14:paraId="307EA4EE" w14:textId="77777777" w:rsidR="00612E2C" w:rsidRPr="00612E2C" w:rsidRDefault="00612E2C" w:rsidP="00443352">
            <w:pPr>
              <w:kinsoku w:val="0"/>
              <w:overflowPunct w:val="0"/>
              <w:autoSpaceDE w:val="0"/>
              <w:autoSpaceDN w:val="0"/>
              <w:adjustRightInd w:val="0"/>
              <w:spacing w:after="0"/>
              <w:ind w:left="300" w:right="305"/>
              <w:jc w:val="left"/>
              <w:rPr>
                <w:sz w:val="20"/>
                <w:lang w:val="en-AU"/>
              </w:rPr>
            </w:pPr>
          </w:p>
        </w:tc>
        <w:tc>
          <w:tcPr>
            <w:tcW w:w="1526" w:type="dxa"/>
            <w:vMerge/>
            <w:tcBorders>
              <w:top w:val="single" w:sz="6" w:space="0" w:color="000000"/>
              <w:left w:val="single" w:sz="6" w:space="0" w:color="000000"/>
              <w:bottom w:val="single" w:sz="6" w:space="0" w:color="000000"/>
              <w:right w:val="single" w:sz="6" w:space="0" w:color="000000"/>
            </w:tcBorders>
          </w:tcPr>
          <w:p w14:paraId="058A10BC" w14:textId="77777777" w:rsidR="00612E2C" w:rsidRPr="00612E2C" w:rsidRDefault="00612E2C" w:rsidP="00443352">
            <w:pPr>
              <w:kinsoku w:val="0"/>
              <w:overflowPunct w:val="0"/>
              <w:autoSpaceDE w:val="0"/>
              <w:autoSpaceDN w:val="0"/>
              <w:adjustRightInd w:val="0"/>
              <w:spacing w:after="0"/>
              <w:ind w:left="300" w:right="305"/>
              <w:jc w:val="left"/>
              <w:rPr>
                <w:sz w:val="20"/>
                <w:lang w:val="en-AU"/>
              </w:rPr>
            </w:pPr>
          </w:p>
        </w:tc>
      </w:tr>
      <w:tr w:rsidR="00612E2C" w:rsidRPr="00612E2C" w14:paraId="193B277C" w14:textId="77777777" w:rsidTr="006467E9">
        <w:trPr>
          <w:trHeight w:hRule="exact" w:val="298"/>
        </w:trPr>
        <w:tc>
          <w:tcPr>
            <w:tcW w:w="2081" w:type="dxa"/>
            <w:tcBorders>
              <w:top w:val="single" w:sz="6" w:space="0" w:color="000000"/>
              <w:left w:val="single" w:sz="4" w:space="0" w:color="000000"/>
              <w:right w:val="single" w:sz="4" w:space="0" w:color="auto"/>
            </w:tcBorders>
          </w:tcPr>
          <w:p w14:paraId="43DDB360" w14:textId="77777777" w:rsidR="00612E2C" w:rsidRPr="00612E2C" w:rsidRDefault="00612E2C" w:rsidP="00443352">
            <w:pPr>
              <w:kinsoku w:val="0"/>
              <w:overflowPunct w:val="0"/>
              <w:autoSpaceDE w:val="0"/>
              <w:autoSpaceDN w:val="0"/>
              <w:adjustRightInd w:val="0"/>
              <w:spacing w:after="0"/>
              <w:ind w:left="102"/>
              <w:jc w:val="left"/>
              <w:rPr>
                <w:sz w:val="20"/>
                <w:lang w:val="en-AU"/>
              </w:rPr>
            </w:pPr>
            <w:r w:rsidRPr="00612E2C">
              <w:rPr>
                <w:spacing w:val="-1"/>
                <w:sz w:val="20"/>
                <w:lang w:val="en-AU"/>
              </w:rPr>
              <w:t>Progression-free</w:t>
            </w:r>
          </w:p>
        </w:tc>
        <w:tc>
          <w:tcPr>
            <w:tcW w:w="1249" w:type="dxa"/>
            <w:tcBorders>
              <w:top w:val="single" w:sz="6" w:space="0" w:color="000000"/>
              <w:left w:val="single" w:sz="4" w:space="0" w:color="auto"/>
              <w:right w:val="single" w:sz="4" w:space="0" w:color="auto"/>
            </w:tcBorders>
          </w:tcPr>
          <w:p w14:paraId="2B3738A0" w14:textId="77777777" w:rsidR="00612E2C" w:rsidRPr="00612E2C" w:rsidRDefault="00612E2C" w:rsidP="00443352">
            <w:pPr>
              <w:kinsoku w:val="0"/>
              <w:overflowPunct w:val="0"/>
              <w:autoSpaceDE w:val="0"/>
              <w:autoSpaceDN w:val="0"/>
              <w:adjustRightInd w:val="0"/>
              <w:spacing w:after="0"/>
              <w:ind w:left="405"/>
              <w:jc w:val="left"/>
              <w:rPr>
                <w:sz w:val="20"/>
                <w:lang w:val="en-AU"/>
              </w:rPr>
            </w:pPr>
            <w:r w:rsidRPr="00612E2C">
              <w:rPr>
                <w:sz w:val="20"/>
                <w:lang w:val="en-AU"/>
              </w:rPr>
              <w:t>32.2</w:t>
            </w:r>
          </w:p>
        </w:tc>
        <w:tc>
          <w:tcPr>
            <w:tcW w:w="1248" w:type="dxa"/>
            <w:tcBorders>
              <w:top w:val="single" w:sz="6" w:space="0" w:color="000000"/>
              <w:left w:val="single" w:sz="4" w:space="0" w:color="auto"/>
              <w:right w:val="single" w:sz="4" w:space="0" w:color="auto"/>
            </w:tcBorders>
          </w:tcPr>
          <w:p w14:paraId="0084284C" w14:textId="77777777" w:rsidR="00612E2C" w:rsidRPr="00612E2C" w:rsidRDefault="00612E2C" w:rsidP="00443352">
            <w:pPr>
              <w:kinsoku w:val="0"/>
              <w:overflowPunct w:val="0"/>
              <w:autoSpaceDE w:val="0"/>
              <w:autoSpaceDN w:val="0"/>
              <w:adjustRightInd w:val="0"/>
              <w:spacing w:after="0"/>
              <w:ind w:left="404"/>
              <w:jc w:val="left"/>
              <w:rPr>
                <w:sz w:val="20"/>
                <w:lang w:val="en-AU"/>
              </w:rPr>
            </w:pPr>
            <w:r w:rsidRPr="00612E2C">
              <w:rPr>
                <w:sz w:val="20"/>
                <w:lang w:val="en-AU"/>
              </w:rPr>
              <w:t>39.8</w:t>
            </w:r>
          </w:p>
        </w:tc>
        <w:tc>
          <w:tcPr>
            <w:tcW w:w="1666" w:type="dxa"/>
            <w:tcBorders>
              <w:top w:val="single" w:sz="6" w:space="0" w:color="000000"/>
              <w:left w:val="single" w:sz="4" w:space="0" w:color="auto"/>
              <w:right w:val="single" w:sz="4" w:space="0" w:color="auto"/>
            </w:tcBorders>
          </w:tcPr>
          <w:p w14:paraId="690A9ABD" w14:textId="77777777" w:rsidR="00612E2C" w:rsidRPr="00612E2C" w:rsidRDefault="00612E2C" w:rsidP="00443352">
            <w:pPr>
              <w:kinsoku w:val="0"/>
              <w:overflowPunct w:val="0"/>
              <w:autoSpaceDE w:val="0"/>
              <w:autoSpaceDN w:val="0"/>
              <w:adjustRightInd w:val="0"/>
              <w:spacing w:after="0"/>
              <w:ind w:left="426"/>
              <w:jc w:val="left"/>
              <w:rPr>
                <w:sz w:val="20"/>
                <w:lang w:val="en-AU"/>
              </w:rPr>
            </w:pPr>
            <w:r w:rsidRPr="00612E2C">
              <w:rPr>
                <w:spacing w:val="-1"/>
                <w:sz w:val="20"/>
                <w:lang w:val="en-AU"/>
              </w:rPr>
              <w:t>&lt;0.0001</w:t>
            </w:r>
          </w:p>
        </w:tc>
        <w:tc>
          <w:tcPr>
            <w:tcW w:w="1246" w:type="dxa"/>
            <w:tcBorders>
              <w:top w:val="single" w:sz="6" w:space="0" w:color="000000"/>
              <w:left w:val="single" w:sz="4" w:space="0" w:color="auto"/>
              <w:right w:val="single" w:sz="4" w:space="0" w:color="auto"/>
            </w:tcBorders>
          </w:tcPr>
          <w:p w14:paraId="56DF282A" w14:textId="77777777" w:rsidR="00612E2C" w:rsidRPr="00612E2C" w:rsidRDefault="00612E2C" w:rsidP="00443352">
            <w:pPr>
              <w:kinsoku w:val="0"/>
              <w:overflowPunct w:val="0"/>
              <w:autoSpaceDE w:val="0"/>
              <w:autoSpaceDN w:val="0"/>
              <w:adjustRightInd w:val="0"/>
              <w:spacing w:after="0"/>
              <w:ind w:left="404"/>
              <w:jc w:val="left"/>
              <w:rPr>
                <w:sz w:val="20"/>
                <w:lang w:val="en-AU"/>
              </w:rPr>
            </w:pPr>
            <w:r w:rsidRPr="00612E2C">
              <w:rPr>
                <w:sz w:val="20"/>
                <w:lang w:val="en-AU"/>
              </w:rPr>
              <w:t>20.7</w:t>
            </w:r>
          </w:p>
        </w:tc>
        <w:tc>
          <w:tcPr>
            <w:tcW w:w="1526" w:type="dxa"/>
            <w:tcBorders>
              <w:top w:val="single" w:sz="6" w:space="0" w:color="000000"/>
              <w:left w:val="single" w:sz="4" w:space="0" w:color="auto"/>
              <w:right w:val="single" w:sz="6" w:space="0" w:color="000000"/>
            </w:tcBorders>
          </w:tcPr>
          <w:p w14:paraId="4A14C0F4" w14:textId="77777777" w:rsidR="00612E2C" w:rsidRPr="00612E2C" w:rsidRDefault="00612E2C" w:rsidP="00443352">
            <w:pPr>
              <w:kinsoku w:val="0"/>
              <w:overflowPunct w:val="0"/>
              <w:autoSpaceDE w:val="0"/>
              <w:autoSpaceDN w:val="0"/>
              <w:adjustRightInd w:val="0"/>
              <w:spacing w:after="0"/>
              <w:jc w:val="left"/>
              <w:rPr>
                <w:sz w:val="20"/>
                <w:lang w:val="en-AU"/>
              </w:rPr>
            </w:pPr>
            <w:r w:rsidRPr="00612E2C">
              <w:rPr>
                <w:sz w:val="20"/>
                <w:lang w:val="en-AU"/>
              </w:rPr>
              <w:t>0.56</w:t>
            </w:r>
          </w:p>
        </w:tc>
      </w:tr>
      <w:tr w:rsidR="00612E2C" w:rsidRPr="00612E2C" w14:paraId="63F399A5" w14:textId="77777777" w:rsidTr="006467E9">
        <w:trPr>
          <w:trHeight w:hRule="exact" w:val="276"/>
        </w:trPr>
        <w:tc>
          <w:tcPr>
            <w:tcW w:w="2081" w:type="dxa"/>
            <w:vMerge w:val="restart"/>
            <w:tcBorders>
              <w:left w:val="single" w:sz="4" w:space="0" w:color="000000"/>
              <w:right w:val="single" w:sz="4" w:space="0" w:color="auto"/>
            </w:tcBorders>
          </w:tcPr>
          <w:p w14:paraId="0D668788" w14:textId="77777777" w:rsidR="00612E2C" w:rsidRPr="00612E2C" w:rsidRDefault="00612E2C" w:rsidP="00443352">
            <w:pPr>
              <w:kinsoku w:val="0"/>
              <w:overflowPunct w:val="0"/>
              <w:autoSpaceDE w:val="0"/>
              <w:autoSpaceDN w:val="0"/>
              <w:adjustRightInd w:val="0"/>
              <w:spacing w:after="0" w:line="263" w:lineRule="exact"/>
              <w:ind w:left="102"/>
              <w:jc w:val="left"/>
              <w:rPr>
                <w:sz w:val="20"/>
                <w:lang w:val="en-AU"/>
              </w:rPr>
            </w:pPr>
            <w:r w:rsidRPr="00612E2C">
              <w:rPr>
                <w:spacing w:val="-1"/>
                <w:sz w:val="20"/>
                <w:lang w:val="en-AU"/>
              </w:rPr>
              <w:t>survival</w:t>
            </w:r>
          </w:p>
        </w:tc>
        <w:tc>
          <w:tcPr>
            <w:tcW w:w="1249" w:type="dxa"/>
            <w:tcBorders>
              <w:left w:val="single" w:sz="4" w:space="0" w:color="auto"/>
              <w:right w:val="single" w:sz="4" w:space="0" w:color="auto"/>
            </w:tcBorders>
          </w:tcPr>
          <w:p w14:paraId="316A2AD3" w14:textId="77777777" w:rsidR="00612E2C" w:rsidRPr="00612E2C" w:rsidRDefault="00612E2C" w:rsidP="00443352">
            <w:pPr>
              <w:autoSpaceDE w:val="0"/>
              <w:autoSpaceDN w:val="0"/>
              <w:adjustRightInd w:val="0"/>
              <w:spacing w:after="0"/>
              <w:jc w:val="left"/>
              <w:rPr>
                <w:sz w:val="20"/>
                <w:lang w:val="en-AU"/>
              </w:rPr>
            </w:pPr>
          </w:p>
        </w:tc>
        <w:tc>
          <w:tcPr>
            <w:tcW w:w="1248" w:type="dxa"/>
            <w:tcBorders>
              <w:left w:val="single" w:sz="4" w:space="0" w:color="auto"/>
              <w:right w:val="single" w:sz="4" w:space="0" w:color="auto"/>
            </w:tcBorders>
          </w:tcPr>
          <w:p w14:paraId="50F99FE4" w14:textId="77777777" w:rsidR="00612E2C" w:rsidRPr="00612E2C" w:rsidRDefault="00612E2C" w:rsidP="00443352">
            <w:pPr>
              <w:autoSpaceDE w:val="0"/>
              <w:autoSpaceDN w:val="0"/>
              <w:adjustRightInd w:val="0"/>
              <w:spacing w:after="0"/>
              <w:jc w:val="left"/>
              <w:rPr>
                <w:sz w:val="20"/>
                <w:lang w:val="en-AU"/>
              </w:rPr>
            </w:pPr>
          </w:p>
        </w:tc>
        <w:tc>
          <w:tcPr>
            <w:tcW w:w="1666" w:type="dxa"/>
            <w:tcBorders>
              <w:left w:val="single" w:sz="4" w:space="0" w:color="auto"/>
              <w:right w:val="single" w:sz="4" w:space="0" w:color="auto"/>
            </w:tcBorders>
          </w:tcPr>
          <w:p w14:paraId="1377D35C" w14:textId="77777777" w:rsidR="00612E2C" w:rsidRPr="00612E2C" w:rsidRDefault="00612E2C" w:rsidP="00443352">
            <w:pPr>
              <w:autoSpaceDE w:val="0"/>
              <w:autoSpaceDN w:val="0"/>
              <w:adjustRightInd w:val="0"/>
              <w:spacing w:after="0"/>
              <w:jc w:val="left"/>
              <w:rPr>
                <w:sz w:val="20"/>
                <w:lang w:val="en-AU"/>
              </w:rPr>
            </w:pPr>
          </w:p>
        </w:tc>
        <w:tc>
          <w:tcPr>
            <w:tcW w:w="1246" w:type="dxa"/>
            <w:tcBorders>
              <w:left w:val="single" w:sz="4" w:space="0" w:color="auto"/>
              <w:right w:val="single" w:sz="4" w:space="0" w:color="auto"/>
            </w:tcBorders>
          </w:tcPr>
          <w:p w14:paraId="76F4289D" w14:textId="77777777" w:rsidR="00612E2C" w:rsidRPr="00612E2C" w:rsidRDefault="00612E2C" w:rsidP="00443352">
            <w:pPr>
              <w:autoSpaceDE w:val="0"/>
              <w:autoSpaceDN w:val="0"/>
              <w:adjustRightInd w:val="0"/>
              <w:spacing w:after="0"/>
              <w:jc w:val="left"/>
              <w:rPr>
                <w:sz w:val="20"/>
                <w:lang w:val="en-AU"/>
              </w:rPr>
            </w:pPr>
          </w:p>
        </w:tc>
        <w:tc>
          <w:tcPr>
            <w:tcW w:w="1526" w:type="dxa"/>
            <w:tcBorders>
              <w:left w:val="single" w:sz="4" w:space="0" w:color="auto"/>
              <w:right w:val="single" w:sz="6" w:space="0" w:color="000000"/>
            </w:tcBorders>
          </w:tcPr>
          <w:p w14:paraId="0FC71815"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r w:rsidRPr="00612E2C">
              <w:rPr>
                <w:spacing w:val="-1"/>
                <w:sz w:val="20"/>
                <w:lang w:val="en-AU"/>
              </w:rPr>
              <w:t>[0.43,</w:t>
            </w:r>
            <w:r w:rsidRPr="00612E2C">
              <w:rPr>
                <w:sz w:val="20"/>
                <w:lang w:val="en-AU"/>
              </w:rPr>
              <w:t xml:space="preserve"> 0.72]</w:t>
            </w:r>
          </w:p>
        </w:tc>
      </w:tr>
      <w:tr w:rsidR="00612E2C" w:rsidRPr="00612E2C" w14:paraId="042D6AEF" w14:textId="77777777" w:rsidTr="006467E9">
        <w:trPr>
          <w:trHeight w:hRule="exact" w:val="276"/>
        </w:trPr>
        <w:tc>
          <w:tcPr>
            <w:tcW w:w="2081" w:type="dxa"/>
            <w:vMerge/>
            <w:tcBorders>
              <w:left w:val="single" w:sz="4" w:space="0" w:color="000000"/>
              <w:right w:val="single" w:sz="4" w:space="0" w:color="auto"/>
            </w:tcBorders>
          </w:tcPr>
          <w:p w14:paraId="135A3BBE"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p>
        </w:tc>
        <w:tc>
          <w:tcPr>
            <w:tcW w:w="1249" w:type="dxa"/>
            <w:vMerge w:val="restart"/>
            <w:tcBorders>
              <w:left w:val="single" w:sz="4" w:space="0" w:color="auto"/>
              <w:right w:val="single" w:sz="4" w:space="0" w:color="auto"/>
            </w:tcBorders>
          </w:tcPr>
          <w:p w14:paraId="07B2919D" w14:textId="77777777" w:rsidR="00612E2C" w:rsidRPr="00612E2C" w:rsidRDefault="00612E2C" w:rsidP="00443352">
            <w:pPr>
              <w:kinsoku w:val="0"/>
              <w:overflowPunct w:val="0"/>
              <w:autoSpaceDE w:val="0"/>
              <w:autoSpaceDN w:val="0"/>
              <w:adjustRightInd w:val="0"/>
              <w:spacing w:after="0" w:line="263" w:lineRule="exact"/>
              <w:ind w:left="405"/>
              <w:jc w:val="left"/>
              <w:rPr>
                <w:sz w:val="20"/>
                <w:lang w:val="en-AU"/>
              </w:rPr>
            </w:pPr>
            <w:r w:rsidRPr="00612E2C">
              <w:rPr>
                <w:sz w:val="20"/>
                <w:lang w:val="en-AU"/>
              </w:rPr>
              <w:t>32.8</w:t>
            </w:r>
          </w:p>
        </w:tc>
        <w:tc>
          <w:tcPr>
            <w:tcW w:w="1248" w:type="dxa"/>
            <w:vMerge w:val="restart"/>
            <w:tcBorders>
              <w:left w:val="single" w:sz="4" w:space="0" w:color="auto"/>
              <w:right w:val="single" w:sz="4" w:space="0" w:color="auto"/>
            </w:tcBorders>
          </w:tcPr>
          <w:p w14:paraId="6888E03E" w14:textId="77777777" w:rsidR="00612E2C" w:rsidRPr="00612E2C" w:rsidRDefault="00612E2C" w:rsidP="00443352">
            <w:pPr>
              <w:kinsoku w:val="0"/>
              <w:overflowPunct w:val="0"/>
              <w:autoSpaceDE w:val="0"/>
              <w:autoSpaceDN w:val="0"/>
              <w:adjustRightInd w:val="0"/>
              <w:spacing w:after="0" w:line="263" w:lineRule="exact"/>
              <w:ind w:left="404"/>
              <w:jc w:val="left"/>
              <w:rPr>
                <w:sz w:val="20"/>
                <w:lang w:val="en-AU"/>
              </w:rPr>
            </w:pPr>
            <w:r w:rsidRPr="00612E2C">
              <w:rPr>
                <w:sz w:val="20"/>
                <w:lang w:val="en-AU"/>
              </w:rPr>
              <w:t>55.3</w:t>
            </w:r>
          </w:p>
        </w:tc>
        <w:tc>
          <w:tcPr>
            <w:tcW w:w="1666" w:type="dxa"/>
            <w:vMerge w:val="restart"/>
            <w:tcBorders>
              <w:left w:val="single" w:sz="4" w:space="0" w:color="auto"/>
              <w:right w:val="single" w:sz="4" w:space="0" w:color="auto"/>
            </w:tcBorders>
          </w:tcPr>
          <w:p w14:paraId="660F8ACE" w14:textId="77777777" w:rsidR="00612E2C" w:rsidRPr="00612E2C" w:rsidRDefault="00612E2C" w:rsidP="00443352">
            <w:pPr>
              <w:kinsoku w:val="0"/>
              <w:overflowPunct w:val="0"/>
              <w:autoSpaceDE w:val="0"/>
              <w:autoSpaceDN w:val="0"/>
              <w:adjustRightInd w:val="0"/>
              <w:spacing w:after="0" w:line="263" w:lineRule="exact"/>
              <w:ind w:left="426"/>
              <w:jc w:val="left"/>
              <w:rPr>
                <w:sz w:val="20"/>
                <w:lang w:val="en-AU"/>
              </w:rPr>
            </w:pPr>
            <w:r w:rsidRPr="00612E2C">
              <w:rPr>
                <w:spacing w:val="-1"/>
                <w:sz w:val="20"/>
                <w:lang w:val="en-AU"/>
              </w:rPr>
              <w:t>&lt;0.0001</w:t>
            </w:r>
          </w:p>
        </w:tc>
        <w:tc>
          <w:tcPr>
            <w:tcW w:w="1246" w:type="dxa"/>
            <w:vMerge w:val="restart"/>
            <w:tcBorders>
              <w:left w:val="single" w:sz="4" w:space="0" w:color="auto"/>
              <w:right w:val="single" w:sz="4" w:space="0" w:color="auto"/>
            </w:tcBorders>
          </w:tcPr>
          <w:p w14:paraId="7D4CEA55" w14:textId="77777777" w:rsidR="00612E2C" w:rsidRPr="00612E2C" w:rsidRDefault="00612E2C" w:rsidP="00443352">
            <w:pPr>
              <w:kinsoku w:val="0"/>
              <w:overflowPunct w:val="0"/>
              <w:autoSpaceDE w:val="0"/>
              <w:autoSpaceDN w:val="0"/>
              <w:adjustRightInd w:val="0"/>
              <w:spacing w:after="0" w:line="263" w:lineRule="exact"/>
              <w:ind w:left="224"/>
              <w:jc w:val="left"/>
              <w:rPr>
                <w:sz w:val="20"/>
                <w:lang w:val="en-AU"/>
              </w:rPr>
            </w:pPr>
            <w:r w:rsidRPr="00612E2C">
              <w:rPr>
                <w:sz w:val="20"/>
                <w:lang w:val="en-AU"/>
              </w:rPr>
              <w:t>48.1***</w:t>
            </w:r>
          </w:p>
        </w:tc>
        <w:tc>
          <w:tcPr>
            <w:tcW w:w="1526" w:type="dxa"/>
            <w:tcBorders>
              <w:left w:val="single" w:sz="4" w:space="0" w:color="auto"/>
              <w:right w:val="single" w:sz="6" w:space="0" w:color="000000"/>
            </w:tcBorders>
          </w:tcPr>
          <w:p w14:paraId="0AC6B57E"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r w:rsidRPr="00612E2C">
              <w:rPr>
                <w:sz w:val="20"/>
                <w:lang w:val="en-AU"/>
              </w:rPr>
              <w:t>0.55</w:t>
            </w:r>
          </w:p>
        </w:tc>
      </w:tr>
      <w:tr w:rsidR="00612E2C" w:rsidRPr="00612E2C" w14:paraId="6A72D978" w14:textId="77777777" w:rsidTr="006467E9">
        <w:trPr>
          <w:trHeight w:hRule="exact" w:val="269"/>
        </w:trPr>
        <w:tc>
          <w:tcPr>
            <w:tcW w:w="2081" w:type="dxa"/>
            <w:vMerge/>
            <w:tcBorders>
              <w:left w:val="single" w:sz="4" w:space="0" w:color="000000"/>
              <w:bottom w:val="single" w:sz="4" w:space="0" w:color="000000"/>
              <w:right w:val="single" w:sz="4" w:space="0" w:color="auto"/>
            </w:tcBorders>
          </w:tcPr>
          <w:p w14:paraId="5D6C033A"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249" w:type="dxa"/>
            <w:vMerge/>
            <w:tcBorders>
              <w:left w:val="single" w:sz="4" w:space="0" w:color="auto"/>
              <w:bottom w:val="single" w:sz="4" w:space="0" w:color="000000"/>
              <w:right w:val="single" w:sz="4" w:space="0" w:color="auto"/>
            </w:tcBorders>
          </w:tcPr>
          <w:p w14:paraId="13C4AEF3"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248" w:type="dxa"/>
            <w:vMerge/>
            <w:tcBorders>
              <w:left w:val="single" w:sz="4" w:space="0" w:color="auto"/>
              <w:bottom w:val="single" w:sz="4" w:space="0" w:color="000000"/>
              <w:right w:val="single" w:sz="4" w:space="0" w:color="auto"/>
            </w:tcBorders>
          </w:tcPr>
          <w:p w14:paraId="7B7862CF"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666" w:type="dxa"/>
            <w:vMerge/>
            <w:tcBorders>
              <w:left w:val="single" w:sz="4" w:space="0" w:color="auto"/>
              <w:bottom w:val="single" w:sz="4" w:space="0" w:color="000000"/>
              <w:right w:val="single" w:sz="4" w:space="0" w:color="auto"/>
            </w:tcBorders>
          </w:tcPr>
          <w:p w14:paraId="5473AACA"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246" w:type="dxa"/>
            <w:vMerge/>
            <w:tcBorders>
              <w:left w:val="single" w:sz="4" w:space="0" w:color="auto"/>
              <w:bottom w:val="single" w:sz="4" w:space="0" w:color="000000"/>
              <w:right w:val="single" w:sz="4" w:space="0" w:color="auto"/>
            </w:tcBorders>
          </w:tcPr>
          <w:p w14:paraId="746BF081"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526" w:type="dxa"/>
            <w:tcBorders>
              <w:left w:val="single" w:sz="4" w:space="0" w:color="auto"/>
              <w:bottom w:val="single" w:sz="4" w:space="0" w:color="000000"/>
              <w:right w:val="single" w:sz="6" w:space="0" w:color="000000"/>
            </w:tcBorders>
          </w:tcPr>
          <w:p w14:paraId="6BF67EFE"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r w:rsidRPr="00612E2C">
              <w:rPr>
                <w:spacing w:val="-1"/>
                <w:sz w:val="20"/>
                <w:lang w:val="en-AU"/>
              </w:rPr>
              <w:t>[0.45,</w:t>
            </w:r>
            <w:r w:rsidRPr="00612E2C">
              <w:rPr>
                <w:sz w:val="20"/>
                <w:lang w:val="en-AU"/>
              </w:rPr>
              <w:t xml:space="preserve"> 0.66]</w:t>
            </w:r>
          </w:p>
        </w:tc>
      </w:tr>
      <w:tr w:rsidR="00612E2C" w:rsidRPr="00612E2C" w14:paraId="0213307F" w14:textId="77777777" w:rsidTr="00A83012">
        <w:trPr>
          <w:trHeight w:hRule="exact" w:val="293"/>
        </w:trPr>
        <w:tc>
          <w:tcPr>
            <w:tcW w:w="2081" w:type="dxa"/>
            <w:vMerge w:val="restart"/>
            <w:tcBorders>
              <w:top w:val="single" w:sz="4" w:space="0" w:color="000000"/>
              <w:left w:val="single" w:sz="4" w:space="0" w:color="000000"/>
              <w:bottom w:val="single" w:sz="4" w:space="0" w:color="000000"/>
              <w:right w:val="single" w:sz="6" w:space="0" w:color="000000"/>
            </w:tcBorders>
          </w:tcPr>
          <w:p w14:paraId="530DD2E5" w14:textId="77777777" w:rsidR="00612E2C" w:rsidRPr="00612E2C" w:rsidRDefault="00612E2C" w:rsidP="00443352">
            <w:pPr>
              <w:kinsoku w:val="0"/>
              <w:overflowPunct w:val="0"/>
              <w:autoSpaceDE w:val="0"/>
              <w:autoSpaceDN w:val="0"/>
              <w:adjustRightInd w:val="0"/>
              <w:spacing w:after="0" w:line="274" w:lineRule="exact"/>
              <w:ind w:left="102"/>
              <w:jc w:val="left"/>
              <w:rPr>
                <w:sz w:val="20"/>
                <w:lang w:val="en-AU"/>
              </w:rPr>
            </w:pPr>
            <w:r w:rsidRPr="00612E2C">
              <w:rPr>
                <w:spacing w:val="-1"/>
                <w:sz w:val="20"/>
                <w:lang w:val="en-AU"/>
              </w:rPr>
              <w:t>Overall</w:t>
            </w:r>
            <w:r w:rsidRPr="00612E2C">
              <w:rPr>
                <w:sz w:val="20"/>
                <w:lang w:val="en-AU"/>
              </w:rPr>
              <w:t xml:space="preserve"> </w:t>
            </w:r>
            <w:r w:rsidRPr="00612E2C">
              <w:rPr>
                <w:spacing w:val="-1"/>
                <w:sz w:val="20"/>
                <w:lang w:val="en-AU"/>
              </w:rPr>
              <w:t>Survival</w:t>
            </w:r>
          </w:p>
        </w:tc>
        <w:tc>
          <w:tcPr>
            <w:tcW w:w="1249" w:type="dxa"/>
            <w:tcBorders>
              <w:top w:val="single" w:sz="4" w:space="0" w:color="000000"/>
              <w:left w:val="single" w:sz="6" w:space="0" w:color="000000"/>
              <w:bottom w:val="nil"/>
              <w:right w:val="single" w:sz="6" w:space="0" w:color="000000"/>
            </w:tcBorders>
          </w:tcPr>
          <w:p w14:paraId="54607029" w14:textId="77777777" w:rsidR="00612E2C" w:rsidRPr="00612E2C" w:rsidRDefault="00612E2C" w:rsidP="00443352">
            <w:pPr>
              <w:kinsoku w:val="0"/>
              <w:overflowPunct w:val="0"/>
              <w:autoSpaceDE w:val="0"/>
              <w:autoSpaceDN w:val="0"/>
              <w:adjustRightInd w:val="0"/>
              <w:spacing w:after="0" w:line="274" w:lineRule="exact"/>
              <w:ind w:right="2"/>
              <w:jc w:val="left"/>
              <w:rPr>
                <w:sz w:val="20"/>
                <w:lang w:val="en-AU"/>
              </w:rPr>
            </w:pPr>
            <w:r w:rsidRPr="00612E2C">
              <w:rPr>
                <w:spacing w:val="-1"/>
                <w:sz w:val="20"/>
                <w:lang w:val="en-AU"/>
              </w:rPr>
              <w:t>NR</w:t>
            </w:r>
          </w:p>
        </w:tc>
        <w:tc>
          <w:tcPr>
            <w:tcW w:w="1248" w:type="dxa"/>
            <w:tcBorders>
              <w:top w:val="single" w:sz="4" w:space="0" w:color="000000"/>
              <w:left w:val="single" w:sz="6" w:space="0" w:color="000000"/>
              <w:bottom w:val="nil"/>
              <w:right w:val="single" w:sz="6" w:space="0" w:color="000000"/>
            </w:tcBorders>
          </w:tcPr>
          <w:p w14:paraId="12BBADFD" w14:textId="77777777" w:rsidR="00612E2C" w:rsidRPr="00612E2C" w:rsidRDefault="00612E2C" w:rsidP="00443352">
            <w:pPr>
              <w:kinsoku w:val="0"/>
              <w:overflowPunct w:val="0"/>
              <w:autoSpaceDE w:val="0"/>
              <w:autoSpaceDN w:val="0"/>
              <w:adjustRightInd w:val="0"/>
              <w:spacing w:after="0" w:line="274" w:lineRule="exact"/>
              <w:ind w:right="1"/>
              <w:jc w:val="left"/>
              <w:rPr>
                <w:sz w:val="20"/>
                <w:lang w:val="en-AU"/>
              </w:rPr>
            </w:pPr>
            <w:r w:rsidRPr="00612E2C">
              <w:rPr>
                <w:spacing w:val="-1"/>
                <w:sz w:val="20"/>
                <w:lang w:val="en-AU"/>
              </w:rPr>
              <w:t>NR</w:t>
            </w:r>
          </w:p>
        </w:tc>
        <w:tc>
          <w:tcPr>
            <w:tcW w:w="1666" w:type="dxa"/>
            <w:tcBorders>
              <w:top w:val="single" w:sz="4" w:space="0" w:color="000000"/>
              <w:left w:val="single" w:sz="6" w:space="0" w:color="000000"/>
              <w:bottom w:val="nil"/>
              <w:right w:val="single" w:sz="6" w:space="0" w:color="000000"/>
            </w:tcBorders>
          </w:tcPr>
          <w:p w14:paraId="450E7543" w14:textId="77777777" w:rsidR="00612E2C" w:rsidRPr="00612E2C" w:rsidRDefault="00612E2C" w:rsidP="00443352">
            <w:pPr>
              <w:kinsoku w:val="0"/>
              <w:overflowPunct w:val="0"/>
              <w:autoSpaceDE w:val="0"/>
              <w:autoSpaceDN w:val="0"/>
              <w:adjustRightInd w:val="0"/>
              <w:spacing w:after="0" w:line="274" w:lineRule="exact"/>
              <w:ind w:left="493"/>
              <w:jc w:val="left"/>
              <w:rPr>
                <w:sz w:val="20"/>
                <w:lang w:val="en-AU"/>
              </w:rPr>
            </w:pPr>
            <w:r w:rsidRPr="00612E2C">
              <w:rPr>
                <w:sz w:val="20"/>
                <w:lang w:val="en-AU"/>
              </w:rPr>
              <w:t>0.0427</w:t>
            </w:r>
          </w:p>
        </w:tc>
        <w:tc>
          <w:tcPr>
            <w:tcW w:w="1246" w:type="dxa"/>
            <w:tcBorders>
              <w:top w:val="single" w:sz="4" w:space="0" w:color="000000"/>
              <w:left w:val="single" w:sz="6" w:space="0" w:color="000000"/>
              <w:bottom w:val="nil"/>
              <w:right w:val="single" w:sz="6" w:space="0" w:color="000000"/>
            </w:tcBorders>
          </w:tcPr>
          <w:p w14:paraId="56B56793" w14:textId="77777777" w:rsidR="00612E2C" w:rsidRPr="00612E2C" w:rsidRDefault="00612E2C" w:rsidP="00443352">
            <w:pPr>
              <w:kinsoku w:val="0"/>
              <w:overflowPunct w:val="0"/>
              <w:autoSpaceDE w:val="0"/>
              <w:autoSpaceDN w:val="0"/>
              <w:adjustRightInd w:val="0"/>
              <w:spacing w:after="0" w:line="274" w:lineRule="exact"/>
              <w:ind w:left="404"/>
              <w:jc w:val="left"/>
              <w:rPr>
                <w:sz w:val="20"/>
                <w:lang w:val="en-AU"/>
              </w:rPr>
            </w:pPr>
            <w:r w:rsidRPr="00612E2C">
              <w:rPr>
                <w:sz w:val="20"/>
                <w:lang w:val="en-AU"/>
              </w:rPr>
              <w:t>20.7</w:t>
            </w:r>
          </w:p>
        </w:tc>
        <w:tc>
          <w:tcPr>
            <w:tcW w:w="1526" w:type="dxa"/>
            <w:tcBorders>
              <w:top w:val="single" w:sz="4" w:space="0" w:color="000000"/>
              <w:left w:val="single" w:sz="6" w:space="0" w:color="000000"/>
              <w:bottom w:val="nil"/>
              <w:right w:val="single" w:sz="6" w:space="0" w:color="000000"/>
            </w:tcBorders>
          </w:tcPr>
          <w:p w14:paraId="08536340" w14:textId="77777777" w:rsidR="00612E2C" w:rsidRPr="00612E2C" w:rsidRDefault="00612E2C" w:rsidP="00443352">
            <w:pPr>
              <w:kinsoku w:val="0"/>
              <w:overflowPunct w:val="0"/>
              <w:autoSpaceDE w:val="0"/>
              <w:autoSpaceDN w:val="0"/>
              <w:adjustRightInd w:val="0"/>
              <w:spacing w:after="0" w:line="274" w:lineRule="exact"/>
              <w:jc w:val="left"/>
              <w:rPr>
                <w:sz w:val="20"/>
                <w:lang w:val="en-AU"/>
              </w:rPr>
            </w:pPr>
            <w:r w:rsidRPr="00612E2C">
              <w:rPr>
                <w:sz w:val="20"/>
                <w:lang w:val="en-AU"/>
              </w:rPr>
              <w:t>0.64</w:t>
            </w:r>
          </w:p>
        </w:tc>
      </w:tr>
      <w:tr w:rsidR="00612E2C" w:rsidRPr="00612E2C" w14:paraId="2099E1A2" w14:textId="77777777" w:rsidTr="00A83012">
        <w:trPr>
          <w:trHeight w:hRule="exact" w:val="276"/>
        </w:trPr>
        <w:tc>
          <w:tcPr>
            <w:tcW w:w="2081" w:type="dxa"/>
            <w:vMerge/>
            <w:tcBorders>
              <w:top w:val="single" w:sz="4" w:space="0" w:color="000000"/>
              <w:left w:val="single" w:sz="4" w:space="0" w:color="000000"/>
              <w:bottom w:val="single" w:sz="4" w:space="0" w:color="000000"/>
              <w:right w:val="single" w:sz="6" w:space="0" w:color="000000"/>
            </w:tcBorders>
          </w:tcPr>
          <w:p w14:paraId="35382BFD" w14:textId="77777777" w:rsidR="00612E2C" w:rsidRPr="00612E2C" w:rsidRDefault="00612E2C" w:rsidP="00443352">
            <w:pPr>
              <w:kinsoku w:val="0"/>
              <w:overflowPunct w:val="0"/>
              <w:autoSpaceDE w:val="0"/>
              <w:autoSpaceDN w:val="0"/>
              <w:adjustRightInd w:val="0"/>
              <w:spacing w:after="0" w:line="274" w:lineRule="exact"/>
              <w:jc w:val="left"/>
              <w:rPr>
                <w:sz w:val="20"/>
                <w:lang w:val="en-AU"/>
              </w:rPr>
            </w:pPr>
          </w:p>
        </w:tc>
        <w:tc>
          <w:tcPr>
            <w:tcW w:w="1249" w:type="dxa"/>
            <w:tcBorders>
              <w:top w:val="nil"/>
              <w:left w:val="single" w:sz="6" w:space="0" w:color="000000"/>
              <w:bottom w:val="nil"/>
              <w:right w:val="single" w:sz="6" w:space="0" w:color="000000"/>
            </w:tcBorders>
          </w:tcPr>
          <w:p w14:paraId="46FC5710" w14:textId="77777777" w:rsidR="00612E2C" w:rsidRPr="00612E2C" w:rsidRDefault="00612E2C" w:rsidP="00443352">
            <w:pPr>
              <w:autoSpaceDE w:val="0"/>
              <w:autoSpaceDN w:val="0"/>
              <w:adjustRightInd w:val="0"/>
              <w:spacing w:after="0"/>
              <w:jc w:val="left"/>
              <w:rPr>
                <w:sz w:val="20"/>
                <w:lang w:val="en-AU"/>
              </w:rPr>
            </w:pPr>
          </w:p>
        </w:tc>
        <w:tc>
          <w:tcPr>
            <w:tcW w:w="1248" w:type="dxa"/>
            <w:tcBorders>
              <w:top w:val="nil"/>
              <w:left w:val="single" w:sz="6" w:space="0" w:color="000000"/>
              <w:bottom w:val="nil"/>
              <w:right w:val="single" w:sz="6" w:space="0" w:color="000000"/>
            </w:tcBorders>
          </w:tcPr>
          <w:p w14:paraId="59A4DC99" w14:textId="77777777" w:rsidR="00612E2C" w:rsidRPr="00612E2C" w:rsidRDefault="00612E2C" w:rsidP="00443352">
            <w:pPr>
              <w:autoSpaceDE w:val="0"/>
              <w:autoSpaceDN w:val="0"/>
              <w:adjustRightInd w:val="0"/>
              <w:spacing w:after="0"/>
              <w:jc w:val="left"/>
              <w:rPr>
                <w:sz w:val="20"/>
                <w:lang w:val="en-AU"/>
              </w:rPr>
            </w:pPr>
          </w:p>
        </w:tc>
        <w:tc>
          <w:tcPr>
            <w:tcW w:w="1666" w:type="dxa"/>
            <w:tcBorders>
              <w:top w:val="nil"/>
              <w:left w:val="single" w:sz="6" w:space="0" w:color="000000"/>
              <w:bottom w:val="nil"/>
              <w:right w:val="single" w:sz="6" w:space="0" w:color="000000"/>
            </w:tcBorders>
          </w:tcPr>
          <w:p w14:paraId="24AFC6FB" w14:textId="77777777" w:rsidR="00612E2C" w:rsidRPr="00612E2C" w:rsidRDefault="00612E2C" w:rsidP="00443352">
            <w:pPr>
              <w:autoSpaceDE w:val="0"/>
              <w:autoSpaceDN w:val="0"/>
              <w:adjustRightInd w:val="0"/>
              <w:spacing w:after="0"/>
              <w:jc w:val="left"/>
              <w:rPr>
                <w:sz w:val="20"/>
                <w:lang w:val="en-AU"/>
              </w:rPr>
            </w:pPr>
          </w:p>
        </w:tc>
        <w:tc>
          <w:tcPr>
            <w:tcW w:w="1246" w:type="dxa"/>
            <w:tcBorders>
              <w:top w:val="nil"/>
              <w:left w:val="single" w:sz="6" w:space="0" w:color="000000"/>
              <w:bottom w:val="nil"/>
              <w:right w:val="single" w:sz="6" w:space="0" w:color="000000"/>
            </w:tcBorders>
          </w:tcPr>
          <w:p w14:paraId="06714628" w14:textId="77777777" w:rsidR="00612E2C" w:rsidRPr="00612E2C" w:rsidRDefault="00612E2C" w:rsidP="00443352">
            <w:pPr>
              <w:autoSpaceDE w:val="0"/>
              <w:autoSpaceDN w:val="0"/>
              <w:adjustRightInd w:val="0"/>
              <w:spacing w:after="0"/>
              <w:jc w:val="left"/>
              <w:rPr>
                <w:sz w:val="20"/>
                <w:lang w:val="en-AU"/>
              </w:rPr>
            </w:pPr>
          </w:p>
        </w:tc>
        <w:tc>
          <w:tcPr>
            <w:tcW w:w="1526" w:type="dxa"/>
            <w:tcBorders>
              <w:top w:val="nil"/>
              <w:left w:val="single" w:sz="6" w:space="0" w:color="000000"/>
              <w:bottom w:val="nil"/>
              <w:right w:val="single" w:sz="6" w:space="0" w:color="000000"/>
            </w:tcBorders>
          </w:tcPr>
          <w:p w14:paraId="429D1E22"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r w:rsidRPr="00612E2C">
              <w:rPr>
                <w:spacing w:val="-1"/>
                <w:sz w:val="20"/>
                <w:lang w:val="en-AU"/>
              </w:rPr>
              <w:t>[0.41,</w:t>
            </w:r>
            <w:r w:rsidRPr="00612E2C">
              <w:rPr>
                <w:sz w:val="20"/>
                <w:lang w:val="en-AU"/>
              </w:rPr>
              <w:t xml:space="preserve"> 1.00]</w:t>
            </w:r>
          </w:p>
        </w:tc>
      </w:tr>
      <w:tr w:rsidR="00612E2C" w:rsidRPr="00612E2C" w14:paraId="637D24BC" w14:textId="77777777" w:rsidTr="00A83012">
        <w:trPr>
          <w:trHeight w:hRule="exact" w:val="276"/>
        </w:trPr>
        <w:tc>
          <w:tcPr>
            <w:tcW w:w="2081" w:type="dxa"/>
            <w:vMerge/>
            <w:tcBorders>
              <w:top w:val="single" w:sz="4" w:space="0" w:color="000000"/>
              <w:left w:val="single" w:sz="4" w:space="0" w:color="000000"/>
              <w:bottom w:val="single" w:sz="4" w:space="0" w:color="000000"/>
              <w:right w:val="single" w:sz="6" w:space="0" w:color="000000"/>
            </w:tcBorders>
          </w:tcPr>
          <w:p w14:paraId="4A71D12D"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p>
        </w:tc>
        <w:tc>
          <w:tcPr>
            <w:tcW w:w="1249" w:type="dxa"/>
            <w:vMerge w:val="restart"/>
            <w:tcBorders>
              <w:top w:val="nil"/>
              <w:left w:val="single" w:sz="6" w:space="0" w:color="000000"/>
              <w:bottom w:val="single" w:sz="4" w:space="0" w:color="000000"/>
              <w:right w:val="single" w:sz="6" w:space="0" w:color="000000"/>
            </w:tcBorders>
          </w:tcPr>
          <w:p w14:paraId="0B729693" w14:textId="77777777" w:rsidR="00612E2C" w:rsidRPr="00612E2C" w:rsidRDefault="00612E2C" w:rsidP="00443352">
            <w:pPr>
              <w:kinsoku w:val="0"/>
              <w:overflowPunct w:val="0"/>
              <w:autoSpaceDE w:val="0"/>
              <w:autoSpaceDN w:val="0"/>
              <w:adjustRightInd w:val="0"/>
              <w:spacing w:after="0" w:line="263" w:lineRule="exact"/>
              <w:ind w:right="2"/>
              <w:jc w:val="left"/>
              <w:rPr>
                <w:sz w:val="20"/>
                <w:lang w:val="en-AU"/>
              </w:rPr>
            </w:pPr>
            <w:r w:rsidRPr="00612E2C">
              <w:rPr>
                <w:spacing w:val="-1"/>
                <w:sz w:val="20"/>
                <w:lang w:val="en-AU"/>
              </w:rPr>
              <w:t>NR</w:t>
            </w:r>
          </w:p>
        </w:tc>
        <w:tc>
          <w:tcPr>
            <w:tcW w:w="1248" w:type="dxa"/>
            <w:vMerge w:val="restart"/>
            <w:tcBorders>
              <w:top w:val="nil"/>
              <w:left w:val="single" w:sz="6" w:space="0" w:color="000000"/>
              <w:bottom w:val="single" w:sz="4" w:space="0" w:color="000000"/>
              <w:right w:val="single" w:sz="6" w:space="0" w:color="000000"/>
            </w:tcBorders>
          </w:tcPr>
          <w:p w14:paraId="4607361B" w14:textId="77777777" w:rsidR="00612E2C" w:rsidRPr="00612E2C" w:rsidRDefault="00612E2C" w:rsidP="00443352">
            <w:pPr>
              <w:kinsoku w:val="0"/>
              <w:overflowPunct w:val="0"/>
              <w:autoSpaceDE w:val="0"/>
              <w:autoSpaceDN w:val="0"/>
              <w:adjustRightInd w:val="0"/>
              <w:spacing w:after="0" w:line="263" w:lineRule="exact"/>
              <w:ind w:right="1"/>
              <w:jc w:val="left"/>
              <w:rPr>
                <w:sz w:val="20"/>
                <w:lang w:val="en-AU"/>
              </w:rPr>
            </w:pPr>
            <w:r w:rsidRPr="00612E2C">
              <w:rPr>
                <w:spacing w:val="-1"/>
                <w:sz w:val="20"/>
                <w:lang w:val="en-AU"/>
              </w:rPr>
              <w:t>NR</w:t>
            </w:r>
          </w:p>
        </w:tc>
        <w:tc>
          <w:tcPr>
            <w:tcW w:w="1666" w:type="dxa"/>
            <w:vMerge w:val="restart"/>
            <w:tcBorders>
              <w:top w:val="nil"/>
              <w:left w:val="single" w:sz="6" w:space="0" w:color="000000"/>
              <w:bottom w:val="single" w:sz="4" w:space="0" w:color="000000"/>
              <w:right w:val="single" w:sz="6" w:space="0" w:color="000000"/>
            </w:tcBorders>
          </w:tcPr>
          <w:p w14:paraId="1DB38633" w14:textId="77777777" w:rsidR="00612E2C" w:rsidRPr="00612E2C" w:rsidRDefault="00612E2C" w:rsidP="00443352">
            <w:pPr>
              <w:kinsoku w:val="0"/>
              <w:overflowPunct w:val="0"/>
              <w:autoSpaceDE w:val="0"/>
              <w:autoSpaceDN w:val="0"/>
              <w:adjustRightInd w:val="0"/>
              <w:spacing w:after="0" w:line="263" w:lineRule="exact"/>
              <w:ind w:left="493"/>
              <w:jc w:val="left"/>
              <w:rPr>
                <w:sz w:val="20"/>
                <w:lang w:val="en-AU"/>
              </w:rPr>
            </w:pPr>
            <w:r w:rsidRPr="00612E2C">
              <w:rPr>
                <w:sz w:val="20"/>
                <w:lang w:val="en-AU"/>
              </w:rPr>
              <w:t>0.0319</w:t>
            </w:r>
          </w:p>
        </w:tc>
        <w:tc>
          <w:tcPr>
            <w:tcW w:w="1246" w:type="dxa"/>
            <w:vMerge w:val="restart"/>
            <w:tcBorders>
              <w:top w:val="nil"/>
              <w:left w:val="single" w:sz="6" w:space="0" w:color="000000"/>
              <w:bottom w:val="single" w:sz="4" w:space="0" w:color="000000"/>
              <w:right w:val="single" w:sz="6" w:space="0" w:color="000000"/>
            </w:tcBorders>
          </w:tcPr>
          <w:p w14:paraId="0B300495" w14:textId="77777777" w:rsidR="00612E2C" w:rsidRPr="00612E2C" w:rsidRDefault="00612E2C" w:rsidP="00443352">
            <w:pPr>
              <w:kinsoku w:val="0"/>
              <w:overflowPunct w:val="0"/>
              <w:autoSpaceDE w:val="0"/>
              <w:autoSpaceDN w:val="0"/>
              <w:adjustRightInd w:val="0"/>
              <w:spacing w:after="0" w:line="263" w:lineRule="exact"/>
              <w:ind w:left="224"/>
              <w:jc w:val="left"/>
              <w:rPr>
                <w:sz w:val="20"/>
                <w:lang w:val="en-AU"/>
              </w:rPr>
            </w:pPr>
            <w:r w:rsidRPr="00612E2C">
              <w:rPr>
                <w:sz w:val="20"/>
                <w:lang w:val="en-AU"/>
              </w:rPr>
              <w:t>48.1***</w:t>
            </w:r>
          </w:p>
        </w:tc>
        <w:tc>
          <w:tcPr>
            <w:tcW w:w="1526" w:type="dxa"/>
            <w:tcBorders>
              <w:top w:val="nil"/>
              <w:left w:val="single" w:sz="6" w:space="0" w:color="000000"/>
              <w:bottom w:val="nil"/>
              <w:right w:val="single" w:sz="6" w:space="0" w:color="000000"/>
            </w:tcBorders>
          </w:tcPr>
          <w:p w14:paraId="4C2C887E"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r w:rsidRPr="00612E2C">
              <w:rPr>
                <w:sz w:val="20"/>
                <w:lang w:val="en-AU"/>
              </w:rPr>
              <w:t>0.73</w:t>
            </w:r>
          </w:p>
        </w:tc>
      </w:tr>
      <w:tr w:rsidR="00612E2C" w:rsidRPr="00612E2C" w14:paraId="6C2F6839" w14:textId="77777777" w:rsidTr="00A83012">
        <w:trPr>
          <w:trHeight w:hRule="exact" w:val="269"/>
        </w:trPr>
        <w:tc>
          <w:tcPr>
            <w:tcW w:w="2081" w:type="dxa"/>
            <w:vMerge/>
            <w:tcBorders>
              <w:top w:val="single" w:sz="4" w:space="0" w:color="000000"/>
              <w:left w:val="single" w:sz="4" w:space="0" w:color="000000"/>
              <w:bottom w:val="single" w:sz="4" w:space="0" w:color="000000"/>
              <w:right w:val="single" w:sz="6" w:space="0" w:color="000000"/>
            </w:tcBorders>
          </w:tcPr>
          <w:p w14:paraId="52F72DC4"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249" w:type="dxa"/>
            <w:vMerge/>
            <w:tcBorders>
              <w:top w:val="nil"/>
              <w:left w:val="single" w:sz="6" w:space="0" w:color="000000"/>
              <w:bottom w:val="single" w:sz="4" w:space="0" w:color="000000"/>
              <w:right w:val="single" w:sz="6" w:space="0" w:color="000000"/>
            </w:tcBorders>
          </w:tcPr>
          <w:p w14:paraId="6FA3A080"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248" w:type="dxa"/>
            <w:vMerge/>
            <w:tcBorders>
              <w:top w:val="nil"/>
              <w:left w:val="single" w:sz="6" w:space="0" w:color="000000"/>
              <w:bottom w:val="single" w:sz="4" w:space="0" w:color="000000"/>
              <w:right w:val="single" w:sz="6" w:space="0" w:color="000000"/>
            </w:tcBorders>
          </w:tcPr>
          <w:p w14:paraId="735148B5"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666" w:type="dxa"/>
            <w:vMerge/>
            <w:tcBorders>
              <w:top w:val="nil"/>
              <w:left w:val="single" w:sz="6" w:space="0" w:color="000000"/>
              <w:bottom w:val="single" w:sz="4" w:space="0" w:color="000000"/>
              <w:right w:val="single" w:sz="6" w:space="0" w:color="000000"/>
            </w:tcBorders>
          </w:tcPr>
          <w:p w14:paraId="105F2B7D"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246" w:type="dxa"/>
            <w:vMerge/>
            <w:tcBorders>
              <w:top w:val="nil"/>
              <w:left w:val="single" w:sz="6" w:space="0" w:color="000000"/>
              <w:bottom w:val="single" w:sz="4" w:space="0" w:color="000000"/>
              <w:right w:val="single" w:sz="6" w:space="0" w:color="000000"/>
            </w:tcBorders>
          </w:tcPr>
          <w:p w14:paraId="2E1404E5"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526" w:type="dxa"/>
            <w:tcBorders>
              <w:top w:val="nil"/>
              <w:left w:val="single" w:sz="6" w:space="0" w:color="000000"/>
              <w:bottom w:val="single" w:sz="4" w:space="0" w:color="000000"/>
              <w:right w:val="single" w:sz="6" w:space="0" w:color="000000"/>
            </w:tcBorders>
          </w:tcPr>
          <w:p w14:paraId="510C9EA8"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r w:rsidRPr="00612E2C">
              <w:rPr>
                <w:spacing w:val="-1"/>
                <w:sz w:val="20"/>
                <w:lang w:val="en-AU"/>
              </w:rPr>
              <w:t>[0.54,</w:t>
            </w:r>
            <w:r w:rsidRPr="00612E2C">
              <w:rPr>
                <w:sz w:val="20"/>
                <w:lang w:val="en-AU"/>
              </w:rPr>
              <w:t xml:space="preserve"> 0.97]</w:t>
            </w:r>
          </w:p>
        </w:tc>
      </w:tr>
      <w:tr w:rsidR="00612E2C" w:rsidRPr="00612E2C" w14:paraId="5BC1E2D6" w14:textId="77777777" w:rsidTr="00A83012">
        <w:trPr>
          <w:trHeight w:hRule="exact" w:val="293"/>
        </w:trPr>
        <w:tc>
          <w:tcPr>
            <w:tcW w:w="2081" w:type="dxa"/>
            <w:tcBorders>
              <w:top w:val="single" w:sz="4" w:space="0" w:color="000000"/>
              <w:left w:val="single" w:sz="4" w:space="0" w:color="000000"/>
              <w:bottom w:val="nil"/>
              <w:right w:val="single" w:sz="6" w:space="0" w:color="000000"/>
            </w:tcBorders>
          </w:tcPr>
          <w:p w14:paraId="71BE40B3" w14:textId="77777777" w:rsidR="00612E2C" w:rsidRPr="00612E2C" w:rsidRDefault="00612E2C" w:rsidP="00443352">
            <w:pPr>
              <w:kinsoku w:val="0"/>
              <w:overflowPunct w:val="0"/>
              <w:autoSpaceDE w:val="0"/>
              <w:autoSpaceDN w:val="0"/>
              <w:adjustRightInd w:val="0"/>
              <w:spacing w:after="0" w:line="274" w:lineRule="exact"/>
              <w:ind w:left="102"/>
              <w:jc w:val="left"/>
              <w:rPr>
                <w:sz w:val="20"/>
                <w:lang w:val="en-AU"/>
              </w:rPr>
            </w:pPr>
            <w:r w:rsidRPr="00612E2C">
              <w:rPr>
                <w:spacing w:val="-1"/>
                <w:sz w:val="20"/>
                <w:lang w:val="en-AU"/>
              </w:rPr>
              <w:t>Event</w:t>
            </w:r>
            <w:r w:rsidRPr="00612E2C">
              <w:rPr>
                <w:sz w:val="20"/>
                <w:lang w:val="en-AU"/>
              </w:rPr>
              <w:t xml:space="preserve"> </w:t>
            </w:r>
            <w:r w:rsidRPr="00612E2C">
              <w:rPr>
                <w:spacing w:val="-1"/>
                <w:sz w:val="20"/>
                <w:lang w:val="en-AU"/>
              </w:rPr>
              <w:t>Free</w:t>
            </w:r>
          </w:p>
        </w:tc>
        <w:tc>
          <w:tcPr>
            <w:tcW w:w="1249" w:type="dxa"/>
            <w:tcBorders>
              <w:top w:val="single" w:sz="4" w:space="0" w:color="000000"/>
              <w:left w:val="single" w:sz="6" w:space="0" w:color="000000"/>
              <w:bottom w:val="nil"/>
              <w:right w:val="single" w:sz="6" w:space="0" w:color="000000"/>
            </w:tcBorders>
          </w:tcPr>
          <w:p w14:paraId="2AC505BF" w14:textId="77777777" w:rsidR="00612E2C" w:rsidRPr="00612E2C" w:rsidRDefault="00612E2C" w:rsidP="00443352">
            <w:pPr>
              <w:kinsoku w:val="0"/>
              <w:overflowPunct w:val="0"/>
              <w:autoSpaceDE w:val="0"/>
              <w:autoSpaceDN w:val="0"/>
              <w:adjustRightInd w:val="0"/>
              <w:spacing w:after="0" w:line="274" w:lineRule="exact"/>
              <w:ind w:left="405"/>
              <w:jc w:val="left"/>
              <w:rPr>
                <w:sz w:val="20"/>
                <w:lang w:val="en-AU"/>
              </w:rPr>
            </w:pPr>
            <w:r w:rsidRPr="00612E2C">
              <w:rPr>
                <w:sz w:val="20"/>
                <w:lang w:val="en-AU"/>
              </w:rPr>
              <w:t>31.1</w:t>
            </w:r>
          </w:p>
        </w:tc>
        <w:tc>
          <w:tcPr>
            <w:tcW w:w="1248" w:type="dxa"/>
            <w:tcBorders>
              <w:top w:val="single" w:sz="4" w:space="0" w:color="000000"/>
              <w:left w:val="single" w:sz="6" w:space="0" w:color="000000"/>
              <w:bottom w:val="nil"/>
              <w:right w:val="single" w:sz="6" w:space="0" w:color="000000"/>
            </w:tcBorders>
          </w:tcPr>
          <w:p w14:paraId="637A2775" w14:textId="77777777" w:rsidR="00612E2C" w:rsidRPr="00612E2C" w:rsidRDefault="00612E2C" w:rsidP="00443352">
            <w:pPr>
              <w:kinsoku w:val="0"/>
              <w:overflowPunct w:val="0"/>
              <w:autoSpaceDE w:val="0"/>
              <w:autoSpaceDN w:val="0"/>
              <w:adjustRightInd w:val="0"/>
              <w:spacing w:after="0" w:line="274" w:lineRule="exact"/>
              <w:ind w:left="404"/>
              <w:jc w:val="left"/>
              <w:rPr>
                <w:sz w:val="20"/>
                <w:lang w:val="en-AU"/>
              </w:rPr>
            </w:pPr>
            <w:r w:rsidRPr="00612E2C">
              <w:rPr>
                <w:sz w:val="20"/>
                <w:lang w:val="en-AU"/>
              </w:rPr>
              <w:t>39.8</w:t>
            </w:r>
          </w:p>
        </w:tc>
        <w:tc>
          <w:tcPr>
            <w:tcW w:w="1666" w:type="dxa"/>
            <w:tcBorders>
              <w:top w:val="single" w:sz="4" w:space="0" w:color="000000"/>
              <w:left w:val="single" w:sz="6" w:space="0" w:color="000000"/>
              <w:bottom w:val="nil"/>
              <w:right w:val="single" w:sz="6" w:space="0" w:color="000000"/>
            </w:tcBorders>
          </w:tcPr>
          <w:p w14:paraId="6048A0BF" w14:textId="77777777" w:rsidR="00612E2C" w:rsidRPr="00612E2C" w:rsidRDefault="00612E2C" w:rsidP="00443352">
            <w:pPr>
              <w:kinsoku w:val="0"/>
              <w:overflowPunct w:val="0"/>
              <w:autoSpaceDE w:val="0"/>
              <w:autoSpaceDN w:val="0"/>
              <w:adjustRightInd w:val="0"/>
              <w:spacing w:after="0" w:line="274" w:lineRule="exact"/>
              <w:ind w:left="426"/>
              <w:jc w:val="left"/>
              <w:rPr>
                <w:sz w:val="20"/>
                <w:lang w:val="en-AU"/>
              </w:rPr>
            </w:pPr>
            <w:r w:rsidRPr="00612E2C">
              <w:rPr>
                <w:spacing w:val="-1"/>
                <w:sz w:val="20"/>
                <w:lang w:val="en-AU"/>
              </w:rPr>
              <w:t>&lt;0.0001</w:t>
            </w:r>
          </w:p>
        </w:tc>
        <w:tc>
          <w:tcPr>
            <w:tcW w:w="1246" w:type="dxa"/>
            <w:tcBorders>
              <w:top w:val="single" w:sz="4" w:space="0" w:color="000000"/>
              <w:left w:val="single" w:sz="6" w:space="0" w:color="000000"/>
              <w:bottom w:val="nil"/>
              <w:right w:val="single" w:sz="6" w:space="0" w:color="000000"/>
            </w:tcBorders>
          </w:tcPr>
          <w:p w14:paraId="5D4BB925" w14:textId="77777777" w:rsidR="00612E2C" w:rsidRPr="00612E2C" w:rsidRDefault="00612E2C" w:rsidP="00443352">
            <w:pPr>
              <w:kinsoku w:val="0"/>
              <w:overflowPunct w:val="0"/>
              <w:autoSpaceDE w:val="0"/>
              <w:autoSpaceDN w:val="0"/>
              <w:adjustRightInd w:val="0"/>
              <w:spacing w:after="0" w:line="274" w:lineRule="exact"/>
              <w:ind w:left="404"/>
              <w:jc w:val="left"/>
              <w:rPr>
                <w:sz w:val="20"/>
                <w:lang w:val="en-AU"/>
              </w:rPr>
            </w:pPr>
            <w:r w:rsidRPr="00612E2C">
              <w:rPr>
                <w:sz w:val="20"/>
                <w:lang w:val="en-AU"/>
              </w:rPr>
              <w:t>20.7</w:t>
            </w:r>
          </w:p>
        </w:tc>
        <w:tc>
          <w:tcPr>
            <w:tcW w:w="1526" w:type="dxa"/>
            <w:tcBorders>
              <w:top w:val="single" w:sz="4" w:space="0" w:color="000000"/>
              <w:left w:val="single" w:sz="6" w:space="0" w:color="000000"/>
              <w:bottom w:val="nil"/>
              <w:right w:val="single" w:sz="6" w:space="0" w:color="000000"/>
            </w:tcBorders>
          </w:tcPr>
          <w:p w14:paraId="3D0AA0A6" w14:textId="77777777" w:rsidR="00612E2C" w:rsidRPr="00612E2C" w:rsidRDefault="00612E2C" w:rsidP="00443352">
            <w:pPr>
              <w:kinsoku w:val="0"/>
              <w:overflowPunct w:val="0"/>
              <w:autoSpaceDE w:val="0"/>
              <w:autoSpaceDN w:val="0"/>
              <w:adjustRightInd w:val="0"/>
              <w:spacing w:after="0" w:line="274" w:lineRule="exact"/>
              <w:jc w:val="left"/>
              <w:rPr>
                <w:sz w:val="20"/>
                <w:lang w:val="en-AU"/>
              </w:rPr>
            </w:pPr>
            <w:r w:rsidRPr="00612E2C">
              <w:rPr>
                <w:sz w:val="20"/>
                <w:lang w:val="en-AU"/>
              </w:rPr>
              <w:t>0.55</w:t>
            </w:r>
          </w:p>
        </w:tc>
      </w:tr>
      <w:tr w:rsidR="00612E2C" w:rsidRPr="00612E2C" w14:paraId="35C2D886" w14:textId="77777777" w:rsidTr="00A83012">
        <w:trPr>
          <w:trHeight w:hRule="exact" w:val="276"/>
        </w:trPr>
        <w:tc>
          <w:tcPr>
            <w:tcW w:w="2081" w:type="dxa"/>
            <w:vMerge w:val="restart"/>
            <w:tcBorders>
              <w:top w:val="nil"/>
              <w:left w:val="single" w:sz="4" w:space="0" w:color="000000"/>
              <w:bottom w:val="single" w:sz="6" w:space="0" w:color="000000"/>
              <w:right w:val="single" w:sz="6" w:space="0" w:color="000000"/>
            </w:tcBorders>
          </w:tcPr>
          <w:p w14:paraId="3828001D" w14:textId="77777777" w:rsidR="00612E2C" w:rsidRPr="00612E2C" w:rsidRDefault="00612E2C" w:rsidP="00443352">
            <w:pPr>
              <w:kinsoku w:val="0"/>
              <w:overflowPunct w:val="0"/>
              <w:autoSpaceDE w:val="0"/>
              <w:autoSpaceDN w:val="0"/>
              <w:adjustRightInd w:val="0"/>
              <w:spacing w:after="0" w:line="263" w:lineRule="exact"/>
              <w:ind w:left="102"/>
              <w:jc w:val="left"/>
              <w:rPr>
                <w:sz w:val="20"/>
                <w:lang w:val="en-AU"/>
              </w:rPr>
            </w:pPr>
            <w:r w:rsidRPr="00612E2C">
              <w:rPr>
                <w:spacing w:val="-1"/>
                <w:sz w:val="20"/>
                <w:lang w:val="en-AU"/>
              </w:rPr>
              <w:t>Survival</w:t>
            </w:r>
          </w:p>
        </w:tc>
        <w:tc>
          <w:tcPr>
            <w:tcW w:w="1249" w:type="dxa"/>
            <w:tcBorders>
              <w:top w:val="nil"/>
              <w:left w:val="single" w:sz="6" w:space="0" w:color="000000"/>
              <w:bottom w:val="nil"/>
              <w:right w:val="single" w:sz="6" w:space="0" w:color="000000"/>
            </w:tcBorders>
          </w:tcPr>
          <w:p w14:paraId="7199203D" w14:textId="77777777" w:rsidR="00612E2C" w:rsidRPr="00612E2C" w:rsidRDefault="00612E2C" w:rsidP="00443352">
            <w:pPr>
              <w:autoSpaceDE w:val="0"/>
              <w:autoSpaceDN w:val="0"/>
              <w:adjustRightInd w:val="0"/>
              <w:spacing w:after="0"/>
              <w:jc w:val="left"/>
              <w:rPr>
                <w:sz w:val="20"/>
                <w:lang w:val="en-AU"/>
              </w:rPr>
            </w:pPr>
          </w:p>
        </w:tc>
        <w:tc>
          <w:tcPr>
            <w:tcW w:w="1248" w:type="dxa"/>
            <w:tcBorders>
              <w:top w:val="nil"/>
              <w:left w:val="single" w:sz="6" w:space="0" w:color="000000"/>
              <w:bottom w:val="nil"/>
              <w:right w:val="single" w:sz="6" w:space="0" w:color="000000"/>
            </w:tcBorders>
          </w:tcPr>
          <w:p w14:paraId="1A76BDD9" w14:textId="77777777" w:rsidR="00612E2C" w:rsidRPr="00612E2C" w:rsidRDefault="00612E2C" w:rsidP="00443352">
            <w:pPr>
              <w:autoSpaceDE w:val="0"/>
              <w:autoSpaceDN w:val="0"/>
              <w:adjustRightInd w:val="0"/>
              <w:spacing w:after="0"/>
              <w:jc w:val="left"/>
              <w:rPr>
                <w:sz w:val="20"/>
                <w:lang w:val="en-AU"/>
              </w:rPr>
            </w:pPr>
          </w:p>
        </w:tc>
        <w:tc>
          <w:tcPr>
            <w:tcW w:w="1666" w:type="dxa"/>
            <w:tcBorders>
              <w:top w:val="nil"/>
              <w:left w:val="single" w:sz="6" w:space="0" w:color="000000"/>
              <w:bottom w:val="nil"/>
              <w:right w:val="single" w:sz="6" w:space="0" w:color="000000"/>
            </w:tcBorders>
          </w:tcPr>
          <w:p w14:paraId="585DE0B5" w14:textId="77777777" w:rsidR="00612E2C" w:rsidRPr="00612E2C" w:rsidRDefault="00612E2C" w:rsidP="00443352">
            <w:pPr>
              <w:autoSpaceDE w:val="0"/>
              <w:autoSpaceDN w:val="0"/>
              <w:adjustRightInd w:val="0"/>
              <w:spacing w:after="0"/>
              <w:jc w:val="left"/>
              <w:rPr>
                <w:sz w:val="20"/>
                <w:lang w:val="en-AU"/>
              </w:rPr>
            </w:pPr>
          </w:p>
        </w:tc>
        <w:tc>
          <w:tcPr>
            <w:tcW w:w="1246" w:type="dxa"/>
            <w:tcBorders>
              <w:top w:val="nil"/>
              <w:left w:val="single" w:sz="6" w:space="0" w:color="000000"/>
              <w:bottom w:val="nil"/>
              <w:right w:val="single" w:sz="6" w:space="0" w:color="000000"/>
            </w:tcBorders>
          </w:tcPr>
          <w:p w14:paraId="24826668" w14:textId="77777777" w:rsidR="00612E2C" w:rsidRPr="00612E2C" w:rsidRDefault="00612E2C" w:rsidP="00443352">
            <w:pPr>
              <w:autoSpaceDE w:val="0"/>
              <w:autoSpaceDN w:val="0"/>
              <w:adjustRightInd w:val="0"/>
              <w:spacing w:after="0"/>
              <w:jc w:val="left"/>
              <w:rPr>
                <w:sz w:val="20"/>
                <w:lang w:val="en-AU"/>
              </w:rPr>
            </w:pPr>
          </w:p>
        </w:tc>
        <w:tc>
          <w:tcPr>
            <w:tcW w:w="1526" w:type="dxa"/>
            <w:tcBorders>
              <w:top w:val="nil"/>
              <w:left w:val="single" w:sz="6" w:space="0" w:color="000000"/>
              <w:bottom w:val="nil"/>
              <w:right w:val="single" w:sz="6" w:space="0" w:color="000000"/>
            </w:tcBorders>
          </w:tcPr>
          <w:p w14:paraId="399F77C7"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r w:rsidRPr="00612E2C">
              <w:rPr>
                <w:spacing w:val="-1"/>
                <w:sz w:val="20"/>
                <w:lang w:val="en-AU"/>
              </w:rPr>
              <w:t>[0.43,</w:t>
            </w:r>
            <w:r w:rsidRPr="00612E2C">
              <w:rPr>
                <w:sz w:val="20"/>
                <w:lang w:val="en-AU"/>
              </w:rPr>
              <w:t xml:space="preserve"> 0.70]</w:t>
            </w:r>
          </w:p>
        </w:tc>
      </w:tr>
      <w:tr w:rsidR="00612E2C" w:rsidRPr="00612E2C" w14:paraId="3E4FE931" w14:textId="77777777" w:rsidTr="00A83012">
        <w:trPr>
          <w:trHeight w:hRule="exact" w:val="276"/>
        </w:trPr>
        <w:tc>
          <w:tcPr>
            <w:tcW w:w="2081" w:type="dxa"/>
            <w:vMerge/>
            <w:tcBorders>
              <w:top w:val="nil"/>
              <w:left w:val="single" w:sz="4" w:space="0" w:color="000000"/>
              <w:bottom w:val="single" w:sz="6" w:space="0" w:color="000000"/>
              <w:right w:val="single" w:sz="6" w:space="0" w:color="000000"/>
            </w:tcBorders>
          </w:tcPr>
          <w:p w14:paraId="0EF94E3F"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p>
        </w:tc>
        <w:tc>
          <w:tcPr>
            <w:tcW w:w="1249" w:type="dxa"/>
            <w:vMerge w:val="restart"/>
            <w:tcBorders>
              <w:top w:val="nil"/>
              <w:left w:val="single" w:sz="6" w:space="0" w:color="000000"/>
              <w:bottom w:val="single" w:sz="6" w:space="0" w:color="000000"/>
              <w:right w:val="single" w:sz="6" w:space="0" w:color="000000"/>
            </w:tcBorders>
          </w:tcPr>
          <w:p w14:paraId="0D3B77E5" w14:textId="77777777" w:rsidR="00612E2C" w:rsidRPr="00612E2C" w:rsidRDefault="00612E2C" w:rsidP="00443352">
            <w:pPr>
              <w:kinsoku w:val="0"/>
              <w:overflowPunct w:val="0"/>
              <w:autoSpaceDE w:val="0"/>
              <w:autoSpaceDN w:val="0"/>
              <w:adjustRightInd w:val="0"/>
              <w:spacing w:after="0" w:line="263" w:lineRule="exact"/>
              <w:ind w:left="405"/>
              <w:jc w:val="left"/>
              <w:rPr>
                <w:sz w:val="20"/>
                <w:lang w:val="en-AU"/>
              </w:rPr>
            </w:pPr>
            <w:r w:rsidRPr="00612E2C">
              <w:rPr>
                <w:sz w:val="20"/>
                <w:lang w:val="en-AU"/>
              </w:rPr>
              <w:t>31.3</w:t>
            </w:r>
          </w:p>
        </w:tc>
        <w:tc>
          <w:tcPr>
            <w:tcW w:w="1248" w:type="dxa"/>
            <w:vMerge w:val="restart"/>
            <w:tcBorders>
              <w:top w:val="nil"/>
              <w:left w:val="single" w:sz="6" w:space="0" w:color="000000"/>
              <w:bottom w:val="single" w:sz="6" w:space="0" w:color="000000"/>
              <w:right w:val="single" w:sz="6" w:space="0" w:color="000000"/>
            </w:tcBorders>
          </w:tcPr>
          <w:p w14:paraId="3D7337BA" w14:textId="77777777" w:rsidR="00612E2C" w:rsidRPr="00612E2C" w:rsidRDefault="00612E2C" w:rsidP="00443352">
            <w:pPr>
              <w:kinsoku w:val="0"/>
              <w:overflowPunct w:val="0"/>
              <w:autoSpaceDE w:val="0"/>
              <w:autoSpaceDN w:val="0"/>
              <w:adjustRightInd w:val="0"/>
              <w:spacing w:after="0" w:line="263" w:lineRule="exact"/>
              <w:ind w:left="404"/>
              <w:jc w:val="left"/>
              <w:rPr>
                <w:sz w:val="20"/>
                <w:lang w:val="en-AU"/>
              </w:rPr>
            </w:pPr>
            <w:r w:rsidRPr="00612E2C">
              <w:rPr>
                <w:sz w:val="20"/>
                <w:lang w:val="en-AU"/>
              </w:rPr>
              <w:t>51.8</w:t>
            </w:r>
          </w:p>
        </w:tc>
        <w:tc>
          <w:tcPr>
            <w:tcW w:w="1666" w:type="dxa"/>
            <w:vMerge w:val="restart"/>
            <w:tcBorders>
              <w:top w:val="nil"/>
              <w:left w:val="single" w:sz="6" w:space="0" w:color="000000"/>
              <w:bottom w:val="single" w:sz="6" w:space="0" w:color="000000"/>
              <w:right w:val="single" w:sz="6" w:space="0" w:color="000000"/>
            </w:tcBorders>
          </w:tcPr>
          <w:p w14:paraId="082DA281" w14:textId="77777777" w:rsidR="00612E2C" w:rsidRPr="00612E2C" w:rsidRDefault="00612E2C" w:rsidP="00443352">
            <w:pPr>
              <w:kinsoku w:val="0"/>
              <w:overflowPunct w:val="0"/>
              <w:autoSpaceDE w:val="0"/>
              <w:autoSpaceDN w:val="0"/>
              <w:adjustRightInd w:val="0"/>
              <w:spacing w:after="0" w:line="263" w:lineRule="exact"/>
              <w:ind w:left="426"/>
              <w:jc w:val="left"/>
              <w:rPr>
                <w:sz w:val="20"/>
                <w:lang w:val="en-AU"/>
              </w:rPr>
            </w:pPr>
            <w:r w:rsidRPr="00612E2C">
              <w:rPr>
                <w:spacing w:val="-1"/>
                <w:sz w:val="20"/>
                <w:lang w:val="en-AU"/>
              </w:rPr>
              <w:t>&lt;0.0001</w:t>
            </w:r>
          </w:p>
        </w:tc>
        <w:tc>
          <w:tcPr>
            <w:tcW w:w="1246" w:type="dxa"/>
            <w:vMerge w:val="restart"/>
            <w:tcBorders>
              <w:top w:val="nil"/>
              <w:left w:val="single" w:sz="6" w:space="0" w:color="000000"/>
              <w:bottom w:val="single" w:sz="6" w:space="0" w:color="000000"/>
              <w:right w:val="single" w:sz="6" w:space="0" w:color="000000"/>
            </w:tcBorders>
          </w:tcPr>
          <w:p w14:paraId="59BFF0B9" w14:textId="77777777" w:rsidR="00612E2C" w:rsidRPr="00612E2C" w:rsidRDefault="00612E2C" w:rsidP="00443352">
            <w:pPr>
              <w:kinsoku w:val="0"/>
              <w:overflowPunct w:val="0"/>
              <w:autoSpaceDE w:val="0"/>
              <w:autoSpaceDN w:val="0"/>
              <w:adjustRightInd w:val="0"/>
              <w:spacing w:after="0" w:line="263" w:lineRule="exact"/>
              <w:ind w:left="224"/>
              <w:jc w:val="left"/>
              <w:rPr>
                <w:sz w:val="20"/>
                <w:lang w:val="en-AU"/>
              </w:rPr>
            </w:pPr>
            <w:r w:rsidRPr="00612E2C">
              <w:rPr>
                <w:sz w:val="20"/>
                <w:lang w:val="en-AU"/>
              </w:rPr>
              <w:t>48.1***</w:t>
            </w:r>
          </w:p>
        </w:tc>
        <w:tc>
          <w:tcPr>
            <w:tcW w:w="1526" w:type="dxa"/>
            <w:tcBorders>
              <w:top w:val="nil"/>
              <w:left w:val="single" w:sz="6" w:space="0" w:color="000000"/>
              <w:bottom w:val="nil"/>
              <w:right w:val="single" w:sz="6" w:space="0" w:color="000000"/>
            </w:tcBorders>
          </w:tcPr>
          <w:p w14:paraId="3382DC73"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r w:rsidRPr="00612E2C">
              <w:rPr>
                <w:sz w:val="20"/>
                <w:lang w:val="en-AU"/>
              </w:rPr>
              <w:t>0.56</w:t>
            </w:r>
          </w:p>
        </w:tc>
      </w:tr>
      <w:tr w:rsidR="00612E2C" w:rsidRPr="00612E2C" w14:paraId="2E09DC70" w14:textId="77777777" w:rsidTr="00A83012">
        <w:trPr>
          <w:trHeight w:hRule="exact" w:val="271"/>
        </w:trPr>
        <w:tc>
          <w:tcPr>
            <w:tcW w:w="2081" w:type="dxa"/>
            <w:vMerge/>
            <w:tcBorders>
              <w:top w:val="nil"/>
              <w:left w:val="single" w:sz="4" w:space="0" w:color="000000"/>
              <w:bottom w:val="single" w:sz="6" w:space="0" w:color="000000"/>
              <w:right w:val="single" w:sz="6" w:space="0" w:color="000000"/>
            </w:tcBorders>
          </w:tcPr>
          <w:p w14:paraId="1AB1C63C"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249" w:type="dxa"/>
            <w:vMerge/>
            <w:tcBorders>
              <w:top w:val="nil"/>
              <w:left w:val="single" w:sz="6" w:space="0" w:color="000000"/>
              <w:bottom w:val="single" w:sz="6" w:space="0" w:color="000000"/>
              <w:right w:val="single" w:sz="6" w:space="0" w:color="000000"/>
            </w:tcBorders>
          </w:tcPr>
          <w:p w14:paraId="310E9F93"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248" w:type="dxa"/>
            <w:vMerge/>
            <w:tcBorders>
              <w:top w:val="nil"/>
              <w:left w:val="single" w:sz="6" w:space="0" w:color="000000"/>
              <w:bottom w:val="single" w:sz="6" w:space="0" w:color="000000"/>
              <w:right w:val="single" w:sz="6" w:space="0" w:color="000000"/>
            </w:tcBorders>
          </w:tcPr>
          <w:p w14:paraId="190C9196"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666" w:type="dxa"/>
            <w:vMerge/>
            <w:tcBorders>
              <w:top w:val="nil"/>
              <w:left w:val="single" w:sz="6" w:space="0" w:color="000000"/>
              <w:bottom w:val="single" w:sz="6" w:space="0" w:color="000000"/>
              <w:right w:val="single" w:sz="6" w:space="0" w:color="000000"/>
            </w:tcBorders>
          </w:tcPr>
          <w:p w14:paraId="1239F067"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246" w:type="dxa"/>
            <w:vMerge/>
            <w:tcBorders>
              <w:top w:val="nil"/>
              <w:left w:val="single" w:sz="6" w:space="0" w:color="000000"/>
              <w:bottom w:val="single" w:sz="6" w:space="0" w:color="000000"/>
              <w:right w:val="single" w:sz="6" w:space="0" w:color="000000"/>
            </w:tcBorders>
          </w:tcPr>
          <w:p w14:paraId="53C848C7"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526" w:type="dxa"/>
            <w:tcBorders>
              <w:top w:val="nil"/>
              <w:left w:val="single" w:sz="6" w:space="0" w:color="000000"/>
              <w:bottom w:val="single" w:sz="6" w:space="0" w:color="000000"/>
              <w:right w:val="single" w:sz="6" w:space="0" w:color="000000"/>
            </w:tcBorders>
          </w:tcPr>
          <w:p w14:paraId="459CDE52"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r w:rsidRPr="00612E2C">
              <w:rPr>
                <w:spacing w:val="-1"/>
                <w:sz w:val="20"/>
                <w:lang w:val="en-AU"/>
              </w:rPr>
              <w:t>[0.46,</w:t>
            </w:r>
            <w:r w:rsidRPr="00612E2C">
              <w:rPr>
                <w:sz w:val="20"/>
                <w:lang w:val="en-AU"/>
              </w:rPr>
              <w:t xml:space="preserve"> 0.67]</w:t>
            </w:r>
          </w:p>
        </w:tc>
      </w:tr>
      <w:tr w:rsidR="00612E2C" w:rsidRPr="00612E2C" w14:paraId="57D4F250" w14:textId="77777777" w:rsidTr="00A83012">
        <w:trPr>
          <w:trHeight w:hRule="exact" w:val="295"/>
        </w:trPr>
        <w:tc>
          <w:tcPr>
            <w:tcW w:w="2081" w:type="dxa"/>
            <w:tcBorders>
              <w:top w:val="single" w:sz="6" w:space="0" w:color="000000"/>
              <w:left w:val="single" w:sz="4" w:space="0" w:color="000000"/>
              <w:bottom w:val="nil"/>
              <w:right w:val="single" w:sz="6" w:space="0" w:color="000000"/>
            </w:tcBorders>
          </w:tcPr>
          <w:p w14:paraId="4B5A76B3" w14:textId="77777777" w:rsidR="00612E2C" w:rsidRPr="00612E2C" w:rsidRDefault="00612E2C" w:rsidP="00443352">
            <w:pPr>
              <w:kinsoku w:val="0"/>
              <w:overflowPunct w:val="0"/>
              <w:autoSpaceDE w:val="0"/>
              <w:autoSpaceDN w:val="0"/>
              <w:adjustRightInd w:val="0"/>
              <w:spacing w:after="0" w:line="274" w:lineRule="exact"/>
              <w:ind w:left="102"/>
              <w:jc w:val="left"/>
              <w:rPr>
                <w:sz w:val="20"/>
                <w:lang w:val="en-AU"/>
              </w:rPr>
            </w:pPr>
            <w:r w:rsidRPr="00612E2C">
              <w:rPr>
                <w:spacing w:val="-1"/>
                <w:sz w:val="20"/>
                <w:lang w:val="en-AU"/>
              </w:rPr>
              <w:t>Response</w:t>
            </w:r>
            <w:r w:rsidRPr="00612E2C">
              <w:rPr>
                <w:sz w:val="20"/>
                <w:lang w:val="en-AU"/>
              </w:rPr>
              <w:t xml:space="preserve"> </w:t>
            </w:r>
            <w:r w:rsidRPr="00612E2C">
              <w:rPr>
                <w:spacing w:val="-1"/>
                <w:sz w:val="20"/>
                <w:lang w:val="en-AU"/>
              </w:rPr>
              <w:t>rate</w:t>
            </w:r>
            <w:r w:rsidRPr="00612E2C">
              <w:rPr>
                <w:spacing w:val="1"/>
                <w:sz w:val="20"/>
                <w:lang w:val="en-AU"/>
              </w:rPr>
              <w:t xml:space="preserve"> </w:t>
            </w:r>
            <w:r w:rsidRPr="00612E2C">
              <w:rPr>
                <w:sz w:val="20"/>
                <w:lang w:val="en-AU"/>
              </w:rPr>
              <w:t>(CR,</w:t>
            </w:r>
          </w:p>
        </w:tc>
        <w:tc>
          <w:tcPr>
            <w:tcW w:w="1249" w:type="dxa"/>
            <w:tcBorders>
              <w:top w:val="single" w:sz="6" w:space="0" w:color="000000"/>
              <w:left w:val="single" w:sz="6" w:space="0" w:color="000000"/>
              <w:bottom w:val="nil"/>
              <w:right w:val="single" w:sz="6" w:space="0" w:color="000000"/>
            </w:tcBorders>
          </w:tcPr>
          <w:p w14:paraId="68888BD7" w14:textId="77777777" w:rsidR="00612E2C" w:rsidRPr="00612E2C" w:rsidRDefault="00612E2C" w:rsidP="00443352">
            <w:pPr>
              <w:kinsoku w:val="0"/>
              <w:overflowPunct w:val="0"/>
              <w:autoSpaceDE w:val="0"/>
              <w:autoSpaceDN w:val="0"/>
              <w:adjustRightInd w:val="0"/>
              <w:spacing w:after="0" w:line="274" w:lineRule="exact"/>
              <w:ind w:left="306"/>
              <w:jc w:val="left"/>
              <w:rPr>
                <w:sz w:val="20"/>
                <w:lang w:val="en-AU"/>
              </w:rPr>
            </w:pPr>
            <w:r w:rsidRPr="00612E2C">
              <w:rPr>
                <w:sz w:val="20"/>
                <w:lang w:val="en-AU"/>
              </w:rPr>
              <w:t>72.7%</w:t>
            </w:r>
          </w:p>
        </w:tc>
        <w:tc>
          <w:tcPr>
            <w:tcW w:w="1248" w:type="dxa"/>
            <w:tcBorders>
              <w:top w:val="single" w:sz="6" w:space="0" w:color="000000"/>
              <w:left w:val="single" w:sz="6" w:space="0" w:color="000000"/>
              <w:bottom w:val="nil"/>
              <w:right w:val="single" w:sz="6" w:space="0" w:color="000000"/>
            </w:tcBorders>
          </w:tcPr>
          <w:p w14:paraId="596996A3" w14:textId="77777777" w:rsidR="00612E2C" w:rsidRPr="00612E2C" w:rsidRDefault="00612E2C" w:rsidP="00443352">
            <w:pPr>
              <w:kinsoku w:val="0"/>
              <w:overflowPunct w:val="0"/>
              <w:autoSpaceDE w:val="0"/>
              <w:autoSpaceDN w:val="0"/>
              <w:adjustRightInd w:val="0"/>
              <w:spacing w:after="0" w:line="274" w:lineRule="exact"/>
              <w:ind w:left="306"/>
              <w:jc w:val="left"/>
              <w:rPr>
                <w:sz w:val="20"/>
                <w:lang w:val="en-AU"/>
              </w:rPr>
            </w:pPr>
            <w:r w:rsidRPr="00612E2C">
              <w:rPr>
                <w:sz w:val="20"/>
                <w:lang w:val="en-AU"/>
              </w:rPr>
              <w:t>86.1%</w:t>
            </w:r>
          </w:p>
        </w:tc>
        <w:tc>
          <w:tcPr>
            <w:tcW w:w="1666" w:type="dxa"/>
            <w:tcBorders>
              <w:top w:val="single" w:sz="6" w:space="0" w:color="000000"/>
              <w:left w:val="single" w:sz="6" w:space="0" w:color="000000"/>
              <w:bottom w:val="nil"/>
              <w:right w:val="single" w:sz="6" w:space="0" w:color="000000"/>
            </w:tcBorders>
          </w:tcPr>
          <w:p w14:paraId="42C4DBC2" w14:textId="77777777" w:rsidR="00612E2C" w:rsidRPr="00612E2C" w:rsidRDefault="00612E2C" w:rsidP="00443352">
            <w:pPr>
              <w:kinsoku w:val="0"/>
              <w:overflowPunct w:val="0"/>
              <w:autoSpaceDE w:val="0"/>
              <w:autoSpaceDN w:val="0"/>
              <w:adjustRightInd w:val="0"/>
              <w:spacing w:after="0" w:line="274" w:lineRule="exact"/>
              <w:ind w:left="426"/>
              <w:jc w:val="left"/>
              <w:rPr>
                <w:sz w:val="20"/>
                <w:lang w:val="en-AU"/>
              </w:rPr>
            </w:pPr>
            <w:r w:rsidRPr="00612E2C">
              <w:rPr>
                <w:spacing w:val="-1"/>
                <w:sz w:val="20"/>
                <w:lang w:val="en-AU"/>
              </w:rPr>
              <w:t>&lt;0.0001</w:t>
            </w:r>
          </w:p>
        </w:tc>
        <w:tc>
          <w:tcPr>
            <w:tcW w:w="1246" w:type="dxa"/>
            <w:tcBorders>
              <w:top w:val="single" w:sz="6" w:space="0" w:color="000000"/>
              <w:left w:val="single" w:sz="6" w:space="0" w:color="000000"/>
              <w:bottom w:val="nil"/>
              <w:right w:val="single" w:sz="6" w:space="0" w:color="000000"/>
            </w:tcBorders>
          </w:tcPr>
          <w:p w14:paraId="152F7493" w14:textId="77777777" w:rsidR="00612E2C" w:rsidRPr="00612E2C" w:rsidRDefault="00612E2C" w:rsidP="00443352">
            <w:pPr>
              <w:kinsoku w:val="0"/>
              <w:overflowPunct w:val="0"/>
              <w:autoSpaceDE w:val="0"/>
              <w:autoSpaceDN w:val="0"/>
              <w:adjustRightInd w:val="0"/>
              <w:spacing w:after="0" w:line="274" w:lineRule="exact"/>
              <w:ind w:left="404"/>
              <w:jc w:val="left"/>
              <w:rPr>
                <w:sz w:val="20"/>
                <w:lang w:val="en-AU"/>
              </w:rPr>
            </w:pPr>
            <w:r w:rsidRPr="00612E2C">
              <w:rPr>
                <w:sz w:val="20"/>
                <w:lang w:val="en-AU"/>
              </w:rPr>
              <w:t>20.7</w:t>
            </w:r>
          </w:p>
        </w:tc>
        <w:tc>
          <w:tcPr>
            <w:tcW w:w="1526" w:type="dxa"/>
            <w:tcBorders>
              <w:top w:val="single" w:sz="6" w:space="0" w:color="000000"/>
              <w:left w:val="single" w:sz="6" w:space="0" w:color="000000"/>
              <w:bottom w:val="nil"/>
              <w:right w:val="single" w:sz="6" w:space="0" w:color="000000"/>
            </w:tcBorders>
          </w:tcPr>
          <w:p w14:paraId="5897EFBC" w14:textId="77777777" w:rsidR="00612E2C" w:rsidRPr="00612E2C" w:rsidRDefault="00612E2C" w:rsidP="00443352">
            <w:pPr>
              <w:kinsoku w:val="0"/>
              <w:overflowPunct w:val="0"/>
              <w:autoSpaceDE w:val="0"/>
              <w:autoSpaceDN w:val="0"/>
              <w:adjustRightInd w:val="0"/>
              <w:spacing w:after="0" w:line="274" w:lineRule="exact"/>
              <w:ind w:right="2"/>
              <w:jc w:val="left"/>
              <w:rPr>
                <w:sz w:val="20"/>
                <w:lang w:val="en-AU"/>
              </w:rPr>
            </w:pPr>
            <w:r w:rsidRPr="00612E2C">
              <w:rPr>
                <w:spacing w:val="-1"/>
                <w:sz w:val="20"/>
                <w:lang w:val="en-AU"/>
              </w:rPr>
              <w:t>NA</w:t>
            </w:r>
          </w:p>
        </w:tc>
      </w:tr>
      <w:tr w:rsidR="00612E2C" w:rsidRPr="00612E2C" w14:paraId="6E7AC083" w14:textId="77777777" w:rsidTr="00A83012">
        <w:trPr>
          <w:trHeight w:hRule="exact" w:val="414"/>
        </w:trPr>
        <w:tc>
          <w:tcPr>
            <w:tcW w:w="2081" w:type="dxa"/>
            <w:tcBorders>
              <w:top w:val="nil"/>
              <w:left w:val="single" w:sz="4" w:space="0" w:color="000000"/>
              <w:bottom w:val="nil"/>
              <w:right w:val="single" w:sz="6" w:space="0" w:color="000000"/>
            </w:tcBorders>
          </w:tcPr>
          <w:p w14:paraId="1F60B9EF" w14:textId="77777777" w:rsidR="00612E2C" w:rsidRPr="00612E2C" w:rsidRDefault="00612E2C" w:rsidP="00443352">
            <w:pPr>
              <w:kinsoku w:val="0"/>
              <w:overflowPunct w:val="0"/>
              <w:autoSpaceDE w:val="0"/>
              <w:autoSpaceDN w:val="0"/>
              <w:adjustRightInd w:val="0"/>
              <w:spacing w:after="0" w:line="263" w:lineRule="exact"/>
              <w:ind w:left="102"/>
              <w:jc w:val="left"/>
              <w:rPr>
                <w:sz w:val="20"/>
                <w:lang w:val="en-AU"/>
              </w:rPr>
            </w:pPr>
            <w:proofErr w:type="spellStart"/>
            <w:r w:rsidRPr="00612E2C">
              <w:rPr>
                <w:sz w:val="20"/>
                <w:lang w:val="en-AU"/>
              </w:rPr>
              <w:t>nPR</w:t>
            </w:r>
            <w:proofErr w:type="spellEnd"/>
            <w:r w:rsidRPr="00612E2C">
              <w:rPr>
                <w:sz w:val="20"/>
                <w:lang w:val="en-AU"/>
              </w:rPr>
              <w:t>, or PR)</w:t>
            </w:r>
          </w:p>
        </w:tc>
        <w:tc>
          <w:tcPr>
            <w:tcW w:w="1249" w:type="dxa"/>
            <w:tcBorders>
              <w:top w:val="nil"/>
              <w:left w:val="single" w:sz="6" w:space="0" w:color="000000"/>
              <w:bottom w:val="nil"/>
              <w:right w:val="single" w:sz="6" w:space="0" w:color="000000"/>
            </w:tcBorders>
          </w:tcPr>
          <w:p w14:paraId="5CC9DB9E" w14:textId="77777777" w:rsidR="00612E2C" w:rsidRPr="00612E2C" w:rsidRDefault="00612E2C" w:rsidP="00443352">
            <w:pPr>
              <w:kinsoku w:val="0"/>
              <w:overflowPunct w:val="0"/>
              <w:autoSpaceDE w:val="0"/>
              <w:autoSpaceDN w:val="0"/>
              <w:adjustRightInd w:val="0"/>
              <w:spacing w:after="0" w:line="263" w:lineRule="exact"/>
              <w:ind w:left="306"/>
              <w:jc w:val="left"/>
              <w:rPr>
                <w:sz w:val="20"/>
                <w:lang w:val="en-AU"/>
              </w:rPr>
            </w:pPr>
            <w:r w:rsidRPr="00612E2C">
              <w:rPr>
                <w:sz w:val="20"/>
                <w:lang w:val="en-AU"/>
              </w:rPr>
              <w:t>72.6%</w:t>
            </w:r>
          </w:p>
        </w:tc>
        <w:tc>
          <w:tcPr>
            <w:tcW w:w="1248" w:type="dxa"/>
            <w:tcBorders>
              <w:top w:val="nil"/>
              <w:left w:val="single" w:sz="6" w:space="0" w:color="000000"/>
              <w:bottom w:val="nil"/>
              <w:right w:val="single" w:sz="6" w:space="0" w:color="000000"/>
            </w:tcBorders>
          </w:tcPr>
          <w:p w14:paraId="46FB156A" w14:textId="77777777" w:rsidR="00612E2C" w:rsidRPr="00612E2C" w:rsidRDefault="00612E2C" w:rsidP="00443352">
            <w:pPr>
              <w:kinsoku w:val="0"/>
              <w:overflowPunct w:val="0"/>
              <w:autoSpaceDE w:val="0"/>
              <w:autoSpaceDN w:val="0"/>
              <w:adjustRightInd w:val="0"/>
              <w:spacing w:after="0" w:line="263" w:lineRule="exact"/>
              <w:ind w:left="306"/>
              <w:jc w:val="left"/>
              <w:rPr>
                <w:sz w:val="20"/>
                <w:lang w:val="en-AU"/>
              </w:rPr>
            </w:pPr>
            <w:r w:rsidRPr="00612E2C">
              <w:rPr>
                <w:sz w:val="20"/>
                <w:lang w:val="en-AU"/>
              </w:rPr>
              <w:t>85.8%</w:t>
            </w:r>
          </w:p>
        </w:tc>
        <w:tc>
          <w:tcPr>
            <w:tcW w:w="1666" w:type="dxa"/>
            <w:tcBorders>
              <w:top w:val="nil"/>
              <w:left w:val="single" w:sz="6" w:space="0" w:color="000000"/>
              <w:bottom w:val="nil"/>
              <w:right w:val="single" w:sz="6" w:space="0" w:color="000000"/>
            </w:tcBorders>
          </w:tcPr>
          <w:p w14:paraId="29715542" w14:textId="77777777" w:rsidR="00612E2C" w:rsidRPr="00612E2C" w:rsidRDefault="00612E2C" w:rsidP="00443352">
            <w:pPr>
              <w:kinsoku w:val="0"/>
              <w:overflowPunct w:val="0"/>
              <w:autoSpaceDE w:val="0"/>
              <w:autoSpaceDN w:val="0"/>
              <w:adjustRightInd w:val="0"/>
              <w:spacing w:after="0" w:line="263" w:lineRule="exact"/>
              <w:ind w:left="426"/>
              <w:jc w:val="left"/>
              <w:rPr>
                <w:sz w:val="20"/>
                <w:lang w:val="en-AU"/>
              </w:rPr>
            </w:pPr>
            <w:r w:rsidRPr="00612E2C">
              <w:rPr>
                <w:spacing w:val="-1"/>
                <w:sz w:val="20"/>
                <w:lang w:val="en-AU"/>
              </w:rPr>
              <w:t>&lt;0.0001</w:t>
            </w:r>
          </w:p>
        </w:tc>
        <w:tc>
          <w:tcPr>
            <w:tcW w:w="1246" w:type="dxa"/>
            <w:tcBorders>
              <w:top w:val="nil"/>
              <w:left w:val="single" w:sz="6" w:space="0" w:color="000000"/>
              <w:bottom w:val="nil"/>
              <w:right w:val="single" w:sz="6" w:space="0" w:color="000000"/>
            </w:tcBorders>
          </w:tcPr>
          <w:p w14:paraId="7BE07EF8" w14:textId="77777777" w:rsidR="00612E2C" w:rsidRPr="00612E2C" w:rsidRDefault="00612E2C" w:rsidP="00443352">
            <w:pPr>
              <w:kinsoku w:val="0"/>
              <w:overflowPunct w:val="0"/>
              <w:autoSpaceDE w:val="0"/>
              <w:autoSpaceDN w:val="0"/>
              <w:adjustRightInd w:val="0"/>
              <w:spacing w:after="0" w:line="263" w:lineRule="exact"/>
              <w:ind w:left="224"/>
              <w:jc w:val="left"/>
              <w:rPr>
                <w:sz w:val="20"/>
                <w:lang w:val="en-AU"/>
              </w:rPr>
            </w:pPr>
            <w:r w:rsidRPr="00612E2C">
              <w:rPr>
                <w:sz w:val="20"/>
                <w:lang w:val="en-AU"/>
              </w:rPr>
              <w:t>48.1***</w:t>
            </w:r>
          </w:p>
        </w:tc>
        <w:tc>
          <w:tcPr>
            <w:tcW w:w="1526" w:type="dxa"/>
            <w:tcBorders>
              <w:top w:val="nil"/>
              <w:left w:val="single" w:sz="6" w:space="0" w:color="000000"/>
              <w:bottom w:val="nil"/>
              <w:right w:val="single" w:sz="6" w:space="0" w:color="000000"/>
            </w:tcBorders>
          </w:tcPr>
          <w:p w14:paraId="6E73E08F" w14:textId="77777777" w:rsidR="00612E2C" w:rsidRPr="00612E2C" w:rsidRDefault="00612E2C" w:rsidP="00443352">
            <w:pPr>
              <w:kinsoku w:val="0"/>
              <w:overflowPunct w:val="0"/>
              <w:autoSpaceDE w:val="0"/>
              <w:autoSpaceDN w:val="0"/>
              <w:adjustRightInd w:val="0"/>
              <w:spacing w:after="0" w:line="263" w:lineRule="exact"/>
              <w:ind w:right="2"/>
              <w:jc w:val="left"/>
              <w:rPr>
                <w:sz w:val="20"/>
                <w:lang w:val="en-AU"/>
              </w:rPr>
            </w:pPr>
            <w:r w:rsidRPr="00612E2C">
              <w:rPr>
                <w:spacing w:val="-1"/>
                <w:sz w:val="20"/>
                <w:lang w:val="en-AU"/>
              </w:rPr>
              <w:t>NA</w:t>
            </w:r>
          </w:p>
        </w:tc>
      </w:tr>
      <w:tr w:rsidR="00612E2C" w:rsidRPr="00612E2C" w14:paraId="0F1AE9E7" w14:textId="77777777" w:rsidTr="00A83012">
        <w:trPr>
          <w:trHeight w:hRule="exact" w:val="414"/>
        </w:trPr>
        <w:tc>
          <w:tcPr>
            <w:tcW w:w="2081" w:type="dxa"/>
            <w:tcBorders>
              <w:top w:val="nil"/>
              <w:left w:val="single" w:sz="4" w:space="0" w:color="000000"/>
              <w:bottom w:val="nil"/>
              <w:right w:val="single" w:sz="6" w:space="0" w:color="000000"/>
            </w:tcBorders>
          </w:tcPr>
          <w:p w14:paraId="76385773" w14:textId="77777777" w:rsidR="00612E2C" w:rsidRPr="00612E2C" w:rsidRDefault="00612E2C" w:rsidP="00443352">
            <w:pPr>
              <w:kinsoku w:val="0"/>
              <w:overflowPunct w:val="0"/>
              <w:autoSpaceDE w:val="0"/>
              <w:autoSpaceDN w:val="0"/>
              <w:adjustRightInd w:val="0"/>
              <w:spacing w:before="125" w:after="0"/>
              <w:ind w:left="102"/>
              <w:jc w:val="left"/>
              <w:rPr>
                <w:sz w:val="20"/>
                <w:lang w:val="en-AU"/>
              </w:rPr>
            </w:pPr>
            <w:r w:rsidRPr="00612E2C">
              <w:rPr>
                <w:sz w:val="20"/>
                <w:lang w:val="en-AU"/>
              </w:rPr>
              <w:t xml:space="preserve">CR </w:t>
            </w:r>
            <w:r w:rsidRPr="00612E2C">
              <w:rPr>
                <w:spacing w:val="-1"/>
                <w:sz w:val="20"/>
                <w:lang w:val="en-AU"/>
              </w:rPr>
              <w:t>rates</w:t>
            </w:r>
          </w:p>
        </w:tc>
        <w:tc>
          <w:tcPr>
            <w:tcW w:w="1249" w:type="dxa"/>
            <w:tcBorders>
              <w:top w:val="nil"/>
              <w:left w:val="single" w:sz="6" w:space="0" w:color="000000"/>
              <w:bottom w:val="nil"/>
              <w:right w:val="single" w:sz="6" w:space="0" w:color="000000"/>
            </w:tcBorders>
          </w:tcPr>
          <w:p w14:paraId="6A7FCC56" w14:textId="77777777" w:rsidR="00612E2C" w:rsidRPr="00612E2C" w:rsidRDefault="00612E2C" w:rsidP="00443352">
            <w:pPr>
              <w:kinsoku w:val="0"/>
              <w:overflowPunct w:val="0"/>
              <w:autoSpaceDE w:val="0"/>
              <w:autoSpaceDN w:val="0"/>
              <w:adjustRightInd w:val="0"/>
              <w:spacing w:before="125" w:after="0"/>
              <w:ind w:left="306"/>
              <w:jc w:val="left"/>
              <w:rPr>
                <w:sz w:val="20"/>
                <w:lang w:val="en-AU"/>
              </w:rPr>
            </w:pPr>
            <w:r w:rsidRPr="00612E2C">
              <w:rPr>
                <w:sz w:val="20"/>
                <w:lang w:val="en-AU"/>
              </w:rPr>
              <w:t>17.2%</w:t>
            </w:r>
          </w:p>
        </w:tc>
        <w:tc>
          <w:tcPr>
            <w:tcW w:w="1248" w:type="dxa"/>
            <w:tcBorders>
              <w:top w:val="nil"/>
              <w:left w:val="single" w:sz="6" w:space="0" w:color="000000"/>
              <w:bottom w:val="nil"/>
              <w:right w:val="single" w:sz="6" w:space="0" w:color="000000"/>
            </w:tcBorders>
          </w:tcPr>
          <w:p w14:paraId="43CEFF4B" w14:textId="77777777" w:rsidR="00612E2C" w:rsidRPr="00612E2C" w:rsidRDefault="00612E2C" w:rsidP="00443352">
            <w:pPr>
              <w:kinsoku w:val="0"/>
              <w:overflowPunct w:val="0"/>
              <w:autoSpaceDE w:val="0"/>
              <w:autoSpaceDN w:val="0"/>
              <w:adjustRightInd w:val="0"/>
              <w:spacing w:before="125" w:after="0"/>
              <w:ind w:left="306"/>
              <w:jc w:val="left"/>
              <w:rPr>
                <w:sz w:val="20"/>
                <w:lang w:val="en-AU"/>
              </w:rPr>
            </w:pPr>
            <w:r w:rsidRPr="00612E2C">
              <w:rPr>
                <w:sz w:val="20"/>
                <w:lang w:val="en-AU"/>
              </w:rPr>
              <w:t>36.0%</w:t>
            </w:r>
          </w:p>
        </w:tc>
        <w:tc>
          <w:tcPr>
            <w:tcW w:w="1666" w:type="dxa"/>
            <w:tcBorders>
              <w:top w:val="nil"/>
              <w:left w:val="single" w:sz="6" w:space="0" w:color="000000"/>
              <w:bottom w:val="nil"/>
              <w:right w:val="single" w:sz="6" w:space="0" w:color="000000"/>
            </w:tcBorders>
          </w:tcPr>
          <w:p w14:paraId="7724CA57" w14:textId="77777777" w:rsidR="00612E2C" w:rsidRPr="00612E2C" w:rsidRDefault="00612E2C" w:rsidP="00443352">
            <w:pPr>
              <w:kinsoku w:val="0"/>
              <w:overflowPunct w:val="0"/>
              <w:autoSpaceDE w:val="0"/>
              <w:autoSpaceDN w:val="0"/>
              <w:adjustRightInd w:val="0"/>
              <w:spacing w:before="125" w:after="0"/>
              <w:ind w:left="426"/>
              <w:jc w:val="left"/>
              <w:rPr>
                <w:sz w:val="20"/>
                <w:lang w:val="en-AU"/>
              </w:rPr>
            </w:pPr>
            <w:r w:rsidRPr="00612E2C">
              <w:rPr>
                <w:spacing w:val="-1"/>
                <w:sz w:val="20"/>
                <w:lang w:val="en-AU"/>
              </w:rPr>
              <w:t>&lt;0.0001</w:t>
            </w:r>
          </w:p>
        </w:tc>
        <w:tc>
          <w:tcPr>
            <w:tcW w:w="1246" w:type="dxa"/>
            <w:tcBorders>
              <w:top w:val="nil"/>
              <w:left w:val="single" w:sz="6" w:space="0" w:color="000000"/>
              <w:bottom w:val="nil"/>
              <w:right w:val="single" w:sz="6" w:space="0" w:color="000000"/>
            </w:tcBorders>
          </w:tcPr>
          <w:p w14:paraId="59737399" w14:textId="77777777" w:rsidR="00612E2C" w:rsidRPr="00612E2C" w:rsidRDefault="00612E2C" w:rsidP="00443352">
            <w:pPr>
              <w:kinsoku w:val="0"/>
              <w:overflowPunct w:val="0"/>
              <w:autoSpaceDE w:val="0"/>
              <w:autoSpaceDN w:val="0"/>
              <w:adjustRightInd w:val="0"/>
              <w:spacing w:before="125" w:after="0"/>
              <w:ind w:left="404"/>
              <w:jc w:val="left"/>
              <w:rPr>
                <w:sz w:val="20"/>
                <w:lang w:val="en-AU"/>
              </w:rPr>
            </w:pPr>
            <w:r w:rsidRPr="00612E2C">
              <w:rPr>
                <w:sz w:val="20"/>
                <w:lang w:val="en-AU"/>
              </w:rPr>
              <w:t>20.7</w:t>
            </w:r>
          </w:p>
        </w:tc>
        <w:tc>
          <w:tcPr>
            <w:tcW w:w="1526" w:type="dxa"/>
            <w:tcBorders>
              <w:top w:val="nil"/>
              <w:left w:val="single" w:sz="6" w:space="0" w:color="000000"/>
              <w:bottom w:val="nil"/>
              <w:right w:val="single" w:sz="6" w:space="0" w:color="000000"/>
            </w:tcBorders>
          </w:tcPr>
          <w:p w14:paraId="3D26A87F" w14:textId="77777777" w:rsidR="00612E2C" w:rsidRPr="00612E2C" w:rsidRDefault="00612E2C" w:rsidP="00443352">
            <w:pPr>
              <w:kinsoku w:val="0"/>
              <w:overflowPunct w:val="0"/>
              <w:autoSpaceDE w:val="0"/>
              <w:autoSpaceDN w:val="0"/>
              <w:adjustRightInd w:val="0"/>
              <w:spacing w:before="125" w:after="0"/>
              <w:ind w:right="2"/>
              <w:jc w:val="left"/>
              <w:rPr>
                <w:sz w:val="20"/>
                <w:lang w:val="en-AU"/>
              </w:rPr>
            </w:pPr>
            <w:r w:rsidRPr="00612E2C">
              <w:rPr>
                <w:spacing w:val="-1"/>
                <w:sz w:val="20"/>
                <w:lang w:val="en-AU"/>
              </w:rPr>
              <w:t>NA</w:t>
            </w:r>
          </w:p>
        </w:tc>
      </w:tr>
      <w:tr w:rsidR="00612E2C" w:rsidRPr="00612E2C" w14:paraId="1CA30EBE" w14:textId="77777777" w:rsidTr="00A83012">
        <w:trPr>
          <w:trHeight w:hRule="exact" w:val="281"/>
        </w:trPr>
        <w:tc>
          <w:tcPr>
            <w:tcW w:w="2081" w:type="dxa"/>
            <w:tcBorders>
              <w:top w:val="nil"/>
              <w:left w:val="single" w:sz="4" w:space="0" w:color="000000"/>
              <w:bottom w:val="nil"/>
              <w:right w:val="single" w:sz="6" w:space="0" w:color="000000"/>
            </w:tcBorders>
          </w:tcPr>
          <w:p w14:paraId="168C0DA0" w14:textId="77777777" w:rsidR="00612E2C" w:rsidRDefault="00612E2C" w:rsidP="00443352">
            <w:pPr>
              <w:autoSpaceDE w:val="0"/>
              <w:autoSpaceDN w:val="0"/>
              <w:adjustRightInd w:val="0"/>
              <w:spacing w:after="0"/>
              <w:jc w:val="left"/>
              <w:rPr>
                <w:sz w:val="20"/>
                <w:lang w:val="en-AU"/>
              </w:rPr>
            </w:pPr>
          </w:p>
          <w:p w14:paraId="15F36A46" w14:textId="77777777" w:rsidR="00612E2C" w:rsidRDefault="00612E2C" w:rsidP="00443352">
            <w:pPr>
              <w:autoSpaceDE w:val="0"/>
              <w:autoSpaceDN w:val="0"/>
              <w:adjustRightInd w:val="0"/>
              <w:spacing w:after="0"/>
              <w:jc w:val="left"/>
              <w:rPr>
                <w:sz w:val="20"/>
                <w:lang w:val="en-AU"/>
              </w:rPr>
            </w:pPr>
          </w:p>
          <w:p w14:paraId="3640CD48" w14:textId="77777777" w:rsidR="00612E2C" w:rsidRDefault="00612E2C" w:rsidP="00443352">
            <w:pPr>
              <w:autoSpaceDE w:val="0"/>
              <w:autoSpaceDN w:val="0"/>
              <w:adjustRightInd w:val="0"/>
              <w:spacing w:after="0"/>
              <w:jc w:val="left"/>
              <w:rPr>
                <w:sz w:val="20"/>
                <w:lang w:val="en-AU"/>
              </w:rPr>
            </w:pPr>
          </w:p>
          <w:p w14:paraId="6F10126E" w14:textId="77777777" w:rsidR="00612E2C" w:rsidRPr="00612E2C" w:rsidRDefault="00612E2C" w:rsidP="00443352">
            <w:pPr>
              <w:autoSpaceDE w:val="0"/>
              <w:autoSpaceDN w:val="0"/>
              <w:adjustRightInd w:val="0"/>
              <w:spacing w:after="0"/>
              <w:jc w:val="left"/>
              <w:rPr>
                <w:sz w:val="20"/>
                <w:lang w:val="en-AU"/>
              </w:rPr>
            </w:pPr>
          </w:p>
        </w:tc>
        <w:tc>
          <w:tcPr>
            <w:tcW w:w="1249" w:type="dxa"/>
            <w:tcBorders>
              <w:top w:val="nil"/>
              <w:left w:val="single" w:sz="6" w:space="0" w:color="000000"/>
              <w:bottom w:val="nil"/>
              <w:right w:val="single" w:sz="6" w:space="0" w:color="000000"/>
            </w:tcBorders>
          </w:tcPr>
          <w:p w14:paraId="569FE68B" w14:textId="77777777" w:rsidR="00612E2C" w:rsidRPr="00612E2C" w:rsidRDefault="00612E2C" w:rsidP="00443352">
            <w:pPr>
              <w:kinsoku w:val="0"/>
              <w:overflowPunct w:val="0"/>
              <w:autoSpaceDE w:val="0"/>
              <w:autoSpaceDN w:val="0"/>
              <w:adjustRightInd w:val="0"/>
              <w:spacing w:after="0" w:line="263" w:lineRule="exact"/>
              <w:ind w:left="306"/>
              <w:jc w:val="left"/>
              <w:rPr>
                <w:sz w:val="20"/>
                <w:lang w:val="en-AU"/>
              </w:rPr>
            </w:pPr>
            <w:r w:rsidRPr="00612E2C">
              <w:rPr>
                <w:sz w:val="20"/>
                <w:lang w:val="en-AU"/>
              </w:rPr>
              <w:t>16.9%</w:t>
            </w:r>
          </w:p>
        </w:tc>
        <w:tc>
          <w:tcPr>
            <w:tcW w:w="1248" w:type="dxa"/>
            <w:tcBorders>
              <w:top w:val="nil"/>
              <w:left w:val="single" w:sz="6" w:space="0" w:color="000000"/>
              <w:bottom w:val="nil"/>
              <w:right w:val="single" w:sz="6" w:space="0" w:color="000000"/>
            </w:tcBorders>
          </w:tcPr>
          <w:p w14:paraId="4F5C4194" w14:textId="77777777" w:rsidR="00612E2C" w:rsidRPr="00612E2C" w:rsidRDefault="00612E2C" w:rsidP="00443352">
            <w:pPr>
              <w:kinsoku w:val="0"/>
              <w:overflowPunct w:val="0"/>
              <w:autoSpaceDE w:val="0"/>
              <w:autoSpaceDN w:val="0"/>
              <w:adjustRightInd w:val="0"/>
              <w:spacing w:after="0" w:line="263" w:lineRule="exact"/>
              <w:ind w:left="306"/>
              <w:jc w:val="left"/>
              <w:rPr>
                <w:sz w:val="20"/>
                <w:lang w:val="en-AU"/>
              </w:rPr>
            </w:pPr>
            <w:r w:rsidRPr="00612E2C">
              <w:rPr>
                <w:sz w:val="20"/>
                <w:lang w:val="en-AU"/>
              </w:rPr>
              <w:t>36.0%</w:t>
            </w:r>
          </w:p>
        </w:tc>
        <w:tc>
          <w:tcPr>
            <w:tcW w:w="1666" w:type="dxa"/>
            <w:tcBorders>
              <w:top w:val="nil"/>
              <w:left w:val="single" w:sz="6" w:space="0" w:color="000000"/>
              <w:bottom w:val="nil"/>
              <w:right w:val="single" w:sz="6" w:space="0" w:color="000000"/>
            </w:tcBorders>
          </w:tcPr>
          <w:p w14:paraId="214CB7DD" w14:textId="77777777" w:rsidR="00612E2C" w:rsidRPr="00612E2C" w:rsidRDefault="00612E2C" w:rsidP="00443352">
            <w:pPr>
              <w:kinsoku w:val="0"/>
              <w:overflowPunct w:val="0"/>
              <w:autoSpaceDE w:val="0"/>
              <w:autoSpaceDN w:val="0"/>
              <w:adjustRightInd w:val="0"/>
              <w:spacing w:after="0" w:line="263" w:lineRule="exact"/>
              <w:ind w:left="426"/>
              <w:jc w:val="left"/>
              <w:rPr>
                <w:sz w:val="20"/>
                <w:lang w:val="en-AU"/>
              </w:rPr>
            </w:pPr>
            <w:r w:rsidRPr="00612E2C">
              <w:rPr>
                <w:spacing w:val="-1"/>
                <w:sz w:val="20"/>
                <w:lang w:val="en-AU"/>
              </w:rPr>
              <w:t>&lt;0.0001</w:t>
            </w:r>
          </w:p>
        </w:tc>
        <w:tc>
          <w:tcPr>
            <w:tcW w:w="1246" w:type="dxa"/>
            <w:tcBorders>
              <w:top w:val="nil"/>
              <w:left w:val="single" w:sz="6" w:space="0" w:color="000000"/>
              <w:bottom w:val="nil"/>
              <w:right w:val="single" w:sz="6" w:space="0" w:color="000000"/>
            </w:tcBorders>
          </w:tcPr>
          <w:p w14:paraId="17365EBF" w14:textId="77777777" w:rsidR="00612E2C" w:rsidRPr="00612E2C" w:rsidRDefault="00612E2C" w:rsidP="00443352">
            <w:pPr>
              <w:kinsoku w:val="0"/>
              <w:overflowPunct w:val="0"/>
              <w:autoSpaceDE w:val="0"/>
              <w:autoSpaceDN w:val="0"/>
              <w:adjustRightInd w:val="0"/>
              <w:spacing w:after="0" w:line="263" w:lineRule="exact"/>
              <w:ind w:left="224"/>
              <w:jc w:val="left"/>
              <w:rPr>
                <w:sz w:val="20"/>
                <w:lang w:val="en-AU"/>
              </w:rPr>
            </w:pPr>
            <w:r w:rsidRPr="00612E2C">
              <w:rPr>
                <w:sz w:val="20"/>
                <w:lang w:val="en-AU"/>
              </w:rPr>
              <w:t>48.1***</w:t>
            </w:r>
          </w:p>
        </w:tc>
        <w:tc>
          <w:tcPr>
            <w:tcW w:w="1526" w:type="dxa"/>
            <w:tcBorders>
              <w:top w:val="nil"/>
              <w:left w:val="single" w:sz="6" w:space="0" w:color="000000"/>
              <w:bottom w:val="nil"/>
              <w:right w:val="single" w:sz="6" w:space="0" w:color="000000"/>
            </w:tcBorders>
          </w:tcPr>
          <w:p w14:paraId="1BDD877A" w14:textId="77777777" w:rsidR="00612E2C" w:rsidRPr="00612E2C" w:rsidRDefault="00612E2C" w:rsidP="00443352">
            <w:pPr>
              <w:kinsoku w:val="0"/>
              <w:overflowPunct w:val="0"/>
              <w:autoSpaceDE w:val="0"/>
              <w:autoSpaceDN w:val="0"/>
              <w:adjustRightInd w:val="0"/>
              <w:spacing w:after="0" w:line="263" w:lineRule="exact"/>
              <w:ind w:right="2"/>
              <w:jc w:val="left"/>
              <w:rPr>
                <w:sz w:val="20"/>
                <w:lang w:val="en-AU"/>
              </w:rPr>
            </w:pPr>
            <w:r w:rsidRPr="00612E2C">
              <w:rPr>
                <w:spacing w:val="-1"/>
                <w:sz w:val="20"/>
                <w:lang w:val="en-AU"/>
              </w:rPr>
              <w:t>NA</w:t>
            </w:r>
          </w:p>
        </w:tc>
      </w:tr>
      <w:tr w:rsidR="00A83012" w:rsidRPr="00612E2C" w14:paraId="28E64A11" w14:textId="77777777" w:rsidTr="00A83012">
        <w:trPr>
          <w:trHeight w:hRule="exact" w:val="281"/>
        </w:trPr>
        <w:tc>
          <w:tcPr>
            <w:tcW w:w="2081" w:type="dxa"/>
            <w:tcBorders>
              <w:top w:val="nil"/>
              <w:left w:val="single" w:sz="4" w:space="0" w:color="000000"/>
              <w:bottom w:val="nil"/>
              <w:right w:val="single" w:sz="6" w:space="0" w:color="000000"/>
            </w:tcBorders>
          </w:tcPr>
          <w:p w14:paraId="36794413" w14:textId="77777777" w:rsidR="00A83012" w:rsidRPr="00612E2C" w:rsidRDefault="00A83012" w:rsidP="00443352">
            <w:pPr>
              <w:kinsoku w:val="0"/>
              <w:overflowPunct w:val="0"/>
              <w:autoSpaceDE w:val="0"/>
              <w:autoSpaceDN w:val="0"/>
              <w:adjustRightInd w:val="0"/>
              <w:spacing w:after="0" w:line="268" w:lineRule="exact"/>
              <w:ind w:left="102"/>
              <w:jc w:val="left"/>
              <w:rPr>
                <w:spacing w:val="-1"/>
                <w:sz w:val="20"/>
                <w:lang w:val="en-AU"/>
              </w:rPr>
            </w:pPr>
          </w:p>
        </w:tc>
        <w:tc>
          <w:tcPr>
            <w:tcW w:w="1249" w:type="dxa"/>
            <w:tcBorders>
              <w:top w:val="nil"/>
              <w:left w:val="single" w:sz="6" w:space="0" w:color="000000"/>
              <w:bottom w:val="nil"/>
              <w:right w:val="single" w:sz="6" w:space="0" w:color="000000"/>
            </w:tcBorders>
          </w:tcPr>
          <w:p w14:paraId="65355774" w14:textId="77777777" w:rsidR="00A83012" w:rsidRPr="00612E2C" w:rsidRDefault="00A83012" w:rsidP="00443352">
            <w:pPr>
              <w:kinsoku w:val="0"/>
              <w:overflowPunct w:val="0"/>
              <w:autoSpaceDE w:val="0"/>
              <w:autoSpaceDN w:val="0"/>
              <w:adjustRightInd w:val="0"/>
              <w:spacing w:after="0" w:line="268" w:lineRule="exact"/>
              <w:ind w:left="405"/>
              <w:jc w:val="left"/>
              <w:rPr>
                <w:sz w:val="20"/>
                <w:lang w:val="en-AU"/>
              </w:rPr>
            </w:pPr>
          </w:p>
        </w:tc>
        <w:tc>
          <w:tcPr>
            <w:tcW w:w="1248" w:type="dxa"/>
            <w:tcBorders>
              <w:top w:val="nil"/>
              <w:left w:val="single" w:sz="6" w:space="0" w:color="000000"/>
              <w:bottom w:val="nil"/>
              <w:right w:val="single" w:sz="6" w:space="0" w:color="000000"/>
            </w:tcBorders>
          </w:tcPr>
          <w:p w14:paraId="4A68F314" w14:textId="77777777" w:rsidR="00A83012" w:rsidRPr="00612E2C" w:rsidRDefault="00A83012" w:rsidP="00443352">
            <w:pPr>
              <w:kinsoku w:val="0"/>
              <w:overflowPunct w:val="0"/>
              <w:autoSpaceDE w:val="0"/>
              <w:autoSpaceDN w:val="0"/>
              <w:adjustRightInd w:val="0"/>
              <w:spacing w:after="0" w:line="268" w:lineRule="exact"/>
              <w:ind w:left="404"/>
              <w:jc w:val="left"/>
              <w:rPr>
                <w:sz w:val="20"/>
                <w:lang w:val="en-AU"/>
              </w:rPr>
            </w:pPr>
          </w:p>
        </w:tc>
        <w:tc>
          <w:tcPr>
            <w:tcW w:w="1666" w:type="dxa"/>
            <w:tcBorders>
              <w:top w:val="nil"/>
              <w:left w:val="single" w:sz="6" w:space="0" w:color="000000"/>
              <w:bottom w:val="nil"/>
              <w:right w:val="single" w:sz="6" w:space="0" w:color="000000"/>
            </w:tcBorders>
          </w:tcPr>
          <w:p w14:paraId="37421C5C" w14:textId="77777777" w:rsidR="00A83012" w:rsidRPr="00612E2C" w:rsidRDefault="00A83012" w:rsidP="00443352">
            <w:pPr>
              <w:kinsoku w:val="0"/>
              <w:overflowPunct w:val="0"/>
              <w:autoSpaceDE w:val="0"/>
              <w:autoSpaceDN w:val="0"/>
              <w:adjustRightInd w:val="0"/>
              <w:spacing w:after="0" w:line="268" w:lineRule="exact"/>
              <w:ind w:left="493"/>
              <w:jc w:val="left"/>
              <w:rPr>
                <w:sz w:val="20"/>
                <w:lang w:val="en-AU"/>
              </w:rPr>
            </w:pPr>
          </w:p>
        </w:tc>
        <w:tc>
          <w:tcPr>
            <w:tcW w:w="1246" w:type="dxa"/>
            <w:tcBorders>
              <w:top w:val="nil"/>
              <w:left w:val="single" w:sz="6" w:space="0" w:color="000000"/>
              <w:bottom w:val="nil"/>
              <w:right w:val="single" w:sz="6" w:space="0" w:color="000000"/>
            </w:tcBorders>
          </w:tcPr>
          <w:p w14:paraId="7E46C3F1" w14:textId="77777777" w:rsidR="00A83012" w:rsidRPr="00612E2C" w:rsidRDefault="00A83012" w:rsidP="00443352">
            <w:pPr>
              <w:kinsoku w:val="0"/>
              <w:overflowPunct w:val="0"/>
              <w:autoSpaceDE w:val="0"/>
              <w:autoSpaceDN w:val="0"/>
              <w:adjustRightInd w:val="0"/>
              <w:spacing w:after="0" w:line="268" w:lineRule="exact"/>
              <w:ind w:left="404"/>
              <w:jc w:val="left"/>
              <w:rPr>
                <w:sz w:val="20"/>
                <w:lang w:val="en-AU"/>
              </w:rPr>
            </w:pPr>
          </w:p>
        </w:tc>
        <w:tc>
          <w:tcPr>
            <w:tcW w:w="1526" w:type="dxa"/>
            <w:tcBorders>
              <w:top w:val="nil"/>
              <w:left w:val="single" w:sz="6" w:space="0" w:color="000000"/>
              <w:bottom w:val="nil"/>
              <w:right w:val="single" w:sz="6" w:space="0" w:color="000000"/>
            </w:tcBorders>
          </w:tcPr>
          <w:p w14:paraId="7BD80289" w14:textId="77777777" w:rsidR="00A83012" w:rsidRPr="00612E2C" w:rsidRDefault="00A83012" w:rsidP="00443352">
            <w:pPr>
              <w:kinsoku w:val="0"/>
              <w:overflowPunct w:val="0"/>
              <w:autoSpaceDE w:val="0"/>
              <w:autoSpaceDN w:val="0"/>
              <w:adjustRightInd w:val="0"/>
              <w:spacing w:after="0" w:line="268" w:lineRule="exact"/>
              <w:jc w:val="left"/>
              <w:rPr>
                <w:sz w:val="20"/>
                <w:lang w:val="en-AU"/>
              </w:rPr>
            </w:pPr>
          </w:p>
        </w:tc>
      </w:tr>
      <w:tr w:rsidR="00612E2C" w:rsidRPr="00612E2C" w14:paraId="466121D5" w14:textId="77777777" w:rsidTr="00A83012">
        <w:trPr>
          <w:trHeight w:hRule="exact" w:val="281"/>
        </w:trPr>
        <w:tc>
          <w:tcPr>
            <w:tcW w:w="2081" w:type="dxa"/>
            <w:tcBorders>
              <w:top w:val="nil"/>
              <w:left w:val="single" w:sz="4" w:space="0" w:color="000000"/>
              <w:bottom w:val="nil"/>
              <w:right w:val="single" w:sz="6" w:space="0" w:color="000000"/>
            </w:tcBorders>
          </w:tcPr>
          <w:p w14:paraId="25B4313D" w14:textId="77777777" w:rsidR="00612E2C" w:rsidRPr="00612E2C" w:rsidRDefault="00612E2C" w:rsidP="00443352">
            <w:pPr>
              <w:kinsoku w:val="0"/>
              <w:overflowPunct w:val="0"/>
              <w:autoSpaceDE w:val="0"/>
              <w:autoSpaceDN w:val="0"/>
              <w:adjustRightInd w:val="0"/>
              <w:spacing w:after="0" w:line="268" w:lineRule="exact"/>
              <w:ind w:left="102"/>
              <w:jc w:val="left"/>
              <w:rPr>
                <w:sz w:val="20"/>
                <w:lang w:val="en-AU"/>
              </w:rPr>
            </w:pPr>
            <w:r w:rsidRPr="00612E2C">
              <w:rPr>
                <w:spacing w:val="-1"/>
                <w:sz w:val="20"/>
                <w:lang w:val="en-AU"/>
              </w:rPr>
              <w:t>Duration</w:t>
            </w:r>
            <w:r w:rsidRPr="00612E2C">
              <w:rPr>
                <w:sz w:val="20"/>
                <w:lang w:val="en-AU"/>
              </w:rPr>
              <w:t xml:space="preserve"> of</w:t>
            </w:r>
          </w:p>
        </w:tc>
        <w:tc>
          <w:tcPr>
            <w:tcW w:w="1249" w:type="dxa"/>
            <w:tcBorders>
              <w:top w:val="nil"/>
              <w:left w:val="single" w:sz="6" w:space="0" w:color="000000"/>
              <w:bottom w:val="nil"/>
              <w:right w:val="single" w:sz="6" w:space="0" w:color="000000"/>
            </w:tcBorders>
          </w:tcPr>
          <w:p w14:paraId="0CD1BA72" w14:textId="77777777" w:rsidR="00612E2C" w:rsidRPr="00612E2C" w:rsidRDefault="00612E2C" w:rsidP="00443352">
            <w:pPr>
              <w:kinsoku w:val="0"/>
              <w:overflowPunct w:val="0"/>
              <w:autoSpaceDE w:val="0"/>
              <w:autoSpaceDN w:val="0"/>
              <w:adjustRightInd w:val="0"/>
              <w:spacing w:after="0" w:line="268" w:lineRule="exact"/>
              <w:ind w:left="405"/>
              <w:jc w:val="left"/>
              <w:rPr>
                <w:sz w:val="20"/>
                <w:lang w:val="en-AU"/>
              </w:rPr>
            </w:pPr>
            <w:r w:rsidRPr="00612E2C">
              <w:rPr>
                <w:sz w:val="20"/>
                <w:lang w:val="en-AU"/>
              </w:rPr>
              <w:t>34.7</w:t>
            </w:r>
          </w:p>
        </w:tc>
        <w:tc>
          <w:tcPr>
            <w:tcW w:w="1248" w:type="dxa"/>
            <w:tcBorders>
              <w:top w:val="nil"/>
              <w:left w:val="single" w:sz="6" w:space="0" w:color="000000"/>
              <w:bottom w:val="nil"/>
              <w:right w:val="single" w:sz="6" w:space="0" w:color="000000"/>
            </w:tcBorders>
          </w:tcPr>
          <w:p w14:paraId="64EA4D40" w14:textId="77777777" w:rsidR="00612E2C" w:rsidRPr="00612E2C" w:rsidRDefault="00612E2C" w:rsidP="00443352">
            <w:pPr>
              <w:kinsoku w:val="0"/>
              <w:overflowPunct w:val="0"/>
              <w:autoSpaceDE w:val="0"/>
              <w:autoSpaceDN w:val="0"/>
              <w:adjustRightInd w:val="0"/>
              <w:spacing w:after="0" w:line="268" w:lineRule="exact"/>
              <w:ind w:left="404"/>
              <w:jc w:val="left"/>
              <w:rPr>
                <w:sz w:val="20"/>
                <w:lang w:val="en-AU"/>
              </w:rPr>
            </w:pPr>
            <w:r w:rsidRPr="00612E2C">
              <w:rPr>
                <w:sz w:val="20"/>
                <w:lang w:val="en-AU"/>
              </w:rPr>
              <w:t>40.2</w:t>
            </w:r>
          </w:p>
        </w:tc>
        <w:tc>
          <w:tcPr>
            <w:tcW w:w="1666" w:type="dxa"/>
            <w:tcBorders>
              <w:top w:val="nil"/>
              <w:left w:val="single" w:sz="6" w:space="0" w:color="000000"/>
              <w:bottom w:val="nil"/>
              <w:right w:val="single" w:sz="6" w:space="0" w:color="000000"/>
            </w:tcBorders>
          </w:tcPr>
          <w:p w14:paraId="0BA2860A" w14:textId="77777777" w:rsidR="00612E2C" w:rsidRPr="00612E2C" w:rsidRDefault="00612E2C" w:rsidP="00443352">
            <w:pPr>
              <w:kinsoku w:val="0"/>
              <w:overflowPunct w:val="0"/>
              <w:autoSpaceDE w:val="0"/>
              <w:autoSpaceDN w:val="0"/>
              <w:adjustRightInd w:val="0"/>
              <w:spacing w:after="0" w:line="268" w:lineRule="exact"/>
              <w:ind w:left="493"/>
              <w:jc w:val="left"/>
              <w:rPr>
                <w:sz w:val="20"/>
                <w:lang w:val="en-AU"/>
              </w:rPr>
            </w:pPr>
            <w:r w:rsidRPr="00612E2C">
              <w:rPr>
                <w:sz w:val="20"/>
                <w:lang w:val="en-AU"/>
              </w:rPr>
              <w:t>0.0040</w:t>
            </w:r>
          </w:p>
        </w:tc>
        <w:tc>
          <w:tcPr>
            <w:tcW w:w="1246" w:type="dxa"/>
            <w:tcBorders>
              <w:top w:val="nil"/>
              <w:left w:val="single" w:sz="6" w:space="0" w:color="000000"/>
              <w:bottom w:val="nil"/>
              <w:right w:val="single" w:sz="6" w:space="0" w:color="000000"/>
            </w:tcBorders>
          </w:tcPr>
          <w:p w14:paraId="74FCF5C9" w14:textId="77777777" w:rsidR="00612E2C" w:rsidRPr="00612E2C" w:rsidRDefault="00612E2C" w:rsidP="00443352">
            <w:pPr>
              <w:kinsoku w:val="0"/>
              <w:overflowPunct w:val="0"/>
              <w:autoSpaceDE w:val="0"/>
              <w:autoSpaceDN w:val="0"/>
              <w:adjustRightInd w:val="0"/>
              <w:spacing w:after="0" w:line="268" w:lineRule="exact"/>
              <w:ind w:left="404"/>
              <w:jc w:val="left"/>
              <w:rPr>
                <w:sz w:val="20"/>
                <w:lang w:val="en-AU"/>
              </w:rPr>
            </w:pPr>
            <w:r w:rsidRPr="00612E2C">
              <w:rPr>
                <w:sz w:val="20"/>
                <w:lang w:val="en-AU"/>
              </w:rPr>
              <w:t>20.7</w:t>
            </w:r>
          </w:p>
        </w:tc>
        <w:tc>
          <w:tcPr>
            <w:tcW w:w="1526" w:type="dxa"/>
            <w:tcBorders>
              <w:top w:val="nil"/>
              <w:left w:val="single" w:sz="6" w:space="0" w:color="000000"/>
              <w:bottom w:val="nil"/>
              <w:right w:val="single" w:sz="6" w:space="0" w:color="000000"/>
            </w:tcBorders>
          </w:tcPr>
          <w:p w14:paraId="276E1D27" w14:textId="77777777" w:rsidR="00612E2C" w:rsidRPr="00612E2C" w:rsidRDefault="00612E2C" w:rsidP="00443352">
            <w:pPr>
              <w:kinsoku w:val="0"/>
              <w:overflowPunct w:val="0"/>
              <w:autoSpaceDE w:val="0"/>
              <w:autoSpaceDN w:val="0"/>
              <w:adjustRightInd w:val="0"/>
              <w:spacing w:after="0" w:line="268" w:lineRule="exact"/>
              <w:jc w:val="left"/>
              <w:rPr>
                <w:sz w:val="20"/>
                <w:lang w:val="en-AU"/>
              </w:rPr>
            </w:pPr>
            <w:r w:rsidRPr="00612E2C">
              <w:rPr>
                <w:sz w:val="20"/>
                <w:lang w:val="en-AU"/>
              </w:rPr>
              <w:t>0.61</w:t>
            </w:r>
          </w:p>
        </w:tc>
      </w:tr>
      <w:tr w:rsidR="00612E2C" w:rsidRPr="00612E2C" w14:paraId="6F8CAC68" w14:textId="77777777" w:rsidTr="00A83012">
        <w:trPr>
          <w:trHeight w:hRule="exact" w:val="276"/>
        </w:trPr>
        <w:tc>
          <w:tcPr>
            <w:tcW w:w="2081" w:type="dxa"/>
            <w:tcBorders>
              <w:top w:val="nil"/>
              <w:left w:val="single" w:sz="4" w:space="0" w:color="000000"/>
              <w:bottom w:val="nil"/>
              <w:right w:val="single" w:sz="6" w:space="0" w:color="000000"/>
            </w:tcBorders>
          </w:tcPr>
          <w:p w14:paraId="175BB8DB" w14:textId="77777777" w:rsidR="00612E2C" w:rsidRPr="00612E2C" w:rsidRDefault="00612E2C" w:rsidP="00443352">
            <w:pPr>
              <w:kinsoku w:val="0"/>
              <w:overflowPunct w:val="0"/>
              <w:autoSpaceDE w:val="0"/>
              <w:autoSpaceDN w:val="0"/>
              <w:adjustRightInd w:val="0"/>
              <w:spacing w:after="0" w:line="263" w:lineRule="exact"/>
              <w:ind w:left="102"/>
              <w:jc w:val="left"/>
              <w:rPr>
                <w:sz w:val="20"/>
                <w:lang w:val="en-AU"/>
              </w:rPr>
            </w:pPr>
            <w:r w:rsidRPr="00612E2C">
              <w:rPr>
                <w:spacing w:val="-1"/>
                <w:sz w:val="20"/>
                <w:lang w:val="en-AU"/>
              </w:rPr>
              <w:t>response*</w:t>
            </w:r>
          </w:p>
        </w:tc>
        <w:tc>
          <w:tcPr>
            <w:tcW w:w="1249" w:type="dxa"/>
            <w:tcBorders>
              <w:top w:val="nil"/>
              <w:left w:val="single" w:sz="6" w:space="0" w:color="000000"/>
              <w:bottom w:val="nil"/>
              <w:right w:val="single" w:sz="6" w:space="0" w:color="000000"/>
            </w:tcBorders>
          </w:tcPr>
          <w:p w14:paraId="34CF602F" w14:textId="77777777" w:rsidR="00612E2C" w:rsidRPr="00612E2C" w:rsidRDefault="00612E2C" w:rsidP="00443352">
            <w:pPr>
              <w:autoSpaceDE w:val="0"/>
              <w:autoSpaceDN w:val="0"/>
              <w:adjustRightInd w:val="0"/>
              <w:spacing w:after="0"/>
              <w:jc w:val="left"/>
              <w:rPr>
                <w:sz w:val="20"/>
                <w:lang w:val="en-AU"/>
              </w:rPr>
            </w:pPr>
          </w:p>
        </w:tc>
        <w:tc>
          <w:tcPr>
            <w:tcW w:w="1248" w:type="dxa"/>
            <w:tcBorders>
              <w:top w:val="nil"/>
              <w:left w:val="single" w:sz="6" w:space="0" w:color="000000"/>
              <w:bottom w:val="nil"/>
              <w:right w:val="single" w:sz="6" w:space="0" w:color="000000"/>
            </w:tcBorders>
          </w:tcPr>
          <w:p w14:paraId="12A9AE83" w14:textId="77777777" w:rsidR="00612E2C" w:rsidRPr="00612E2C" w:rsidRDefault="00612E2C" w:rsidP="00443352">
            <w:pPr>
              <w:autoSpaceDE w:val="0"/>
              <w:autoSpaceDN w:val="0"/>
              <w:adjustRightInd w:val="0"/>
              <w:spacing w:after="0"/>
              <w:jc w:val="left"/>
              <w:rPr>
                <w:sz w:val="20"/>
                <w:lang w:val="en-AU"/>
              </w:rPr>
            </w:pPr>
          </w:p>
        </w:tc>
        <w:tc>
          <w:tcPr>
            <w:tcW w:w="1666" w:type="dxa"/>
            <w:tcBorders>
              <w:top w:val="nil"/>
              <w:left w:val="single" w:sz="6" w:space="0" w:color="000000"/>
              <w:bottom w:val="nil"/>
              <w:right w:val="single" w:sz="6" w:space="0" w:color="000000"/>
            </w:tcBorders>
          </w:tcPr>
          <w:p w14:paraId="12989D5A" w14:textId="77777777" w:rsidR="00612E2C" w:rsidRPr="00612E2C" w:rsidRDefault="00612E2C" w:rsidP="00443352">
            <w:pPr>
              <w:autoSpaceDE w:val="0"/>
              <w:autoSpaceDN w:val="0"/>
              <w:adjustRightInd w:val="0"/>
              <w:spacing w:after="0"/>
              <w:jc w:val="left"/>
              <w:rPr>
                <w:sz w:val="20"/>
                <w:lang w:val="en-AU"/>
              </w:rPr>
            </w:pPr>
          </w:p>
        </w:tc>
        <w:tc>
          <w:tcPr>
            <w:tcW w:w="1246" w:type="dxa"/>
            <w:tcBorders>
              <w:top w:val="nil"/>
              <w:left w:val="single" w:sz="6" w:space="0" w:color="000000"/>
              <w:bottom w:val="nil"/>
              <w:right w:val="single" w:sz="6" w:space="0" w:color="000000"/>
            </w:tcBorders>
          </w:tcPr>
          <w:p w14:paraId="03D93D4C" w14:textId="77777777" w:rsidR="00612E2C" w:rsidRPr="00612E2C" w:rsidRDefault="00612E2C" w:rsidP="00443352">
            <w:pPr>
              <w:autoSpaceDE w:val="0"/>
              <w:autoSpaceDN w:val="0"/>
              <w:adjustRightInd w:val="0"/>
              <w:spacing w:after="0"/>
              <w:jc w:val="left"/>
              <w:rPr>
                <w:sz w:val="20"/>
                <w:lang w:val="en-AU"/>
              </w:rPr>
            </w:pPr>
          </w:p>
        </w:tc>
        <w:tc>
          <w:tcPr>
            <w:tcW w:w="1526" w:type="dxa"/>
            <w:tcBorders>
              <w:top w:val="nil"/>
              <w:left w:val="single" w:sz="6" w:space="0" w:color="000000"/>
              <w:bottom w:val="nil"/>
              <w:right w:val="single" w:sz="6" w:space="0" w:color="000000"/>
            </w:tcBorders>
          </w:tcPr>
          <w:p w14:paraId="4011378B"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r w:rsidRPr="00612E2C">
              <w:rPr>
                <w:spacing w:val="-1"/>
                <w:sz w:val="20"/>
                <w:lang w:val="en-AU"/>
              </w:rPr>
              <w:t>[0.43,</w:t>
            </w:r>
            <w:r w:rsidRPr="00612E2C">
              <w:rPr>
                <w:sz w:val="20"/>
                <w:lang w:val="en-AU"/>
              </w:rPr>
              <w:t xml:space="preserve"> 0.85]</w:t>
            </w:r>
          </w:p>
        </w:tc>
      </w:tr>
      <w:tr w:rsidR="00612E2C" w:rsidRPr="00612E2C" w14:paraId="1F750EBE" w14:textId="77777777" w:rsidTr="00A83012">
        <w:trPr>
          <w:trHeight w:hRule="exact" w:val="276"/>
        </w:trPr>
        <w:tc>
          <w:tcPr>
            <w:tcW w:w="2081" w:type="dxa"/>
            <w:tcBorders>
              <w:top w:val="nil"/>
              <w:left w:val="single" w:sz="4" w:space="0" w:color="000000"/>
              <w:bottom w:val="nil"/>
              <w:right w:val="single" w:sz="6" w:space="0" w:color="000000"/>
            </w:tcBorders>
          </w:tcPr>
          <w:p w14:paraId="02BEF49E" w14:textId="77777777" w:rsidR="00612E2C" w:rsidRPr="00612E2C" w:rsidRDefault="00612E2C" w:rsidP="00443352">
            <w:pPr>
              <w:autoSpaceDE w:val="0"/>
              <w:autoSpaceDN w:val="0"/>
              <w:adjustRightInd w:val="0"/>
              <w:spacing w:after="0"/>
              <w:jc w:val="left"/>
              <w:rPr>
                <w:sz w:val="20"/>
                <w:lang w:val="en-AU"/>
              </w:rPr>
            </w:pPr>
          </w:p>
        </w:tc>
        <w:tc>
          <w:tcPr>
            <w:tcW w:w="1249" w:type="dxa"/>
            <w:tcBorders>
              <w:top w:val="nil"/>
              <w:left w:val="single" w:sz="6" w:space="0" w:color="000000"/>
              <w:bottom w:val="nil"/>
              <w:right w:val="single" w:sz="6" w:space="0" w:color="000000"/>
            </w:tcBorders>
          </w:tcPr>
          <w:p w14:paraId="72BAF4FD" w14:textId="77777777" w:rsidR="00612E2C" w:rsidRPr="00612E2C" w:rsidRDefault="00612E2C" w:rsidP="00443352">
            <w:pPr>
              <w:kinsoku w:val="0"/>
              <w:overflowPunct w:val="0"/>
              <w:autoSpaceDE w:val="0"/>
              <w:autoSpaceDN w:val="0"/>
              <w:adjustRightInd w:val="0"/>
              <w:spacing w:after="0" w:line="263" w:lineRule="exact"/>
              <w:ind w:left="405"/>
              <w:jc w:val="left"/>
              <w:rPr>
                <w:sz w:val="20"/>
                <w:lang w:val="en-AU"/>
              </w:rPr>
            </w:pPr>
            <w:r w:rsidRPr="00612E2C">
              <w:rPr>
                <w:sz w:val="20"/>
                <w:lang w:val="en-AU"/>
              </w:rPr>
              <w:t>36.2</w:t>
            </w:r>
          </w:p>
        </w:tc>
        <w:tc>
          <w:tcPr>
            <w:tcW w:w="1248" w:type="dxa"/>
            <w:tcBorders>
              <w:top w:val="nil"/>
              <w:left w:val="single" w:sz="6" w:space="0" w:color="000000"/>
              <w:bottom w:val="nil"/>
              <w:right w:val="single" w:sz="6" w:space="0" w:color="000000"/>
            </w:tcBorders>
          </w:tcPr>
          <w:p w14:paraId="09557278" w14:textId="77777777" w:rsidR="00612E2C" w:rsidRPr="00612E2C" w:rsidRDefault="00612E2C" w:rsidP="00443352">
            <w:pPr>
              <w:kinsoku w:val="0"/>
              <w:overflowPunct w:val="0"/>
              <w:autoSpaceDE w:val="0"/>
              <w:autoSpaceDN w:val="0"/>
              <w:adjustRightInd w:val="0"/>
              <w:spacing w:after="0" w:line="263" w:lineRule="exact"/>
              <w:ind w:left="404"/>
              <w:jc w:val="left"/>
              <w:rPr>
                <w:sz w:val="20"/>
                <w:lang w:val="en-AU"/>
              </w:rPr>
            </w:pPr>
            <w:r w:rsidRPr="00612E2C">
              <w:rPr>
                <w:sz w:val="20"/>
                <w:lang w:val="en-AU"/>
              </w:rPr>
              <w:t>57.3</w:t>
            </w:r>
          </w:p>
        </w:tc>
        <w:tc>
          <w:tcPr>
            <w:tcW w:w="1666" w:type="dxa"/>
            <w:tcBorders>
              <w:top w:val="nil"/>
              <w:left w:val="single" w:sz="6" w:space="0" w:color="000000"/>
              <w:bottom w:val="nil"/>
              <w:right w:val="single" w:sz="6" w:space="0" w:color="000000"/>
            </w:tcBorders>
          </w:tcPr>
          <w:p w14:paraId="2E152702" w14:textId="77777777" w:rsidR="00612E2C" w:rsidRPr="00612E2C" w:rsidRDefault="00612E2C" w:rsidP="00443352">
            <w:pPr>
              <w:kinsoku w:val="0"/>
              <w:overflowPunct w:val="0"/>
              <w:autoSpaceDE w:val="0"/>
              <w:autoSpaceDN w:val="0"/>
              <w:adjustRightInd w:val="0"/>
              <w:spacing w:after="0" w:line="263" w:lineRule="exact"/>
              <w:ind w:left="426"/>
              <w:jc w:val="left"/>
              <w:rPr>
                <w:sz w:val="20"/>
                <w:lang w:val="en-AU"/>
              </w:rPr>
            </w:pPr>
            <w:r w:rsidRPr="00612E2C">
              <w:rPr>
                <w:spacing w:val="-1"/>
                <w:sz w:val="20"/>
                <w:lang w:val="en-AU"/>
              </w:rPr>
              <w:t>&lt;0.0001</w:t>
            </w:r>
          </w:p>
        </w:tc>
        <w:tc>
          <w:tcPr>
            <w:tcW w:w="1246" w:type="dxa"/>
            <w:tcBorders>
              <w:top w:val="nil"/>
              <w:left w:val="single" w:sz="6" w:space="0" w:color="000000"/>
              <w:bottom w:val="nil"/>
              <w:right w:val="single" w:sz="6" w:space="0" w:color="000000"/>
            </w:tcBorders>
          </w:tcPr>
          <w:p w14:paraId="7C864127" w14:textId="77777777" w:rsidR="00612E2C" w:rsidRPr="00612E2C" w:rsidRDefault="00612E2C" w:rsidP="00443352">
            <w:pPr>
              <w:kinsoku w:val="0"/>
              <w:overflowPunct w:val="0"/>
              <w:autoSpaceDE w:val="0"/>
              <w:autoSpaceDN w:val="0"/>
              <w:adjustRightInd w:val="0"/>
              <w:spacing w:after="0" w:line="263" w:lineRule="exact"/>
              <w:ind w:left="224"/>
              <w:jc w:val="left"/>
              <w:rPr>
                <w:sz w:val="20"/>
                <w:lang w:val="en-AU"/>
              </w:rPr>
            </w:pPr>
            <w:r w:rsidRPr="00612E2C">
              <w:rPr>
                <w:sz w:val="20"/>
                <w:lang w:val="en-AU"/>
              </w:rPr>
              <w:t>48.1***</w:t>
            </w:r>
          </w:p>
        </w:tc>
        <w:tc>
          <w:tcPr>
            <w:tcW w:w="1526" w:type="dxa"/>
            <w:tcBorders>
              <w:top w:val="nil"/>
              <w:left w:val="single" w:sz="6" w:space="0" w:color="000000"/>
              <w:bottom w:val="nil"/>
              <w:right w:val="single" w:sz="6" w:space="0" w:color="000000"/>
            </w:tcBorders>
          </w:tcPr>
          <w:p w14:paraId="457E75AC"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r w:rsidRPr="00612E2C">
              <w:rPr>
                <w:sz w:val="20"/>
                <w:lang w:val="en-AU"/>
              </w:rPr>
              <w:t>0.56</w:t>
            </w:r>
          </w:p>
        </w:tc>
      </w:tr>
      <w:tr w:rsidR="00612E2C" w:rsidRPr="00612E2C" w14:paraId="51250149" w14:textId="77777777" w:rsidTr="00A83012">
        <w:trPr>
          <w:trHeight w:hRule="exact" w:val="276"/>
        </w:trPr>
        <w:tc>
          <w:tcPr>
            <w:tcW w:w="2081" w:type="dxa"/>
            <w:tcBorders>
              <w:top w:val="nil"/>
              <w:left w:val="single" w:sz="4" w:space="0" w:color="000000"/>
              <w:bottom w:val="nil"/>
              <w:right w:val="single" w:sz="6" w:space="0" w:color="000000"/>
            </w:tcBorders>
          </w:tcPr>
          <w:p w14:paraId="68C35EE5" w14:textId="77777777" w:rsidR="00612E2C" w:rsidRPr="00612E2C" w:rsidRDefault="00612E2C" w:rsidP="00443352">
            <w:pPr>
              <w:autoSpaceDE w:val="0"/>
              <w:autoSpaceDN w:val="0"/>
              <w:adjustRightInd w:val="0"/>
              <w:spacing w:after="0"/>
              <w:jc w:val="left"/>
              <w:rPr>
                <w:sz w:val="20"/>
                <w:lang w:val="en-AU"/>
              </w:rPr>
            </w:pPr>
          </w:p>
        </w:tc>
        <w:tc>
          <w:tcPr>
            <w:tcW w:w="1249" w:type="dxa"/>
            <w:tcBorders>
              <w:top w:val="nil"/>
              <w:left w:val="single" w:sz="6" w:space="0" w:color="000000"/>
              <w:bottom w:val="nil"/>
              <w:right w:val="single" w:sz="6" w:space="0" w:color="000000"/>
            </w:tcBorders>
          </w:tcPr>
          <w:p w14:paraId="2A1C6929" w14:textId="77777777" w:rsidR="00612E2C" w:rsidRPr="00612E2C" w:rsidRDefault="00612E2C" w:rsidP="00443352">
            <w:pPr>
              <w:autoSpaceDE w:val="0"/>
              <w:autoSpaceDN w:val="0"/>
              <w:adjustRightInd w:val="0"/>
              <w:spacing w:after="0"/>
              <w:jc w:val="left"/>
              <w:rPr>
                <w:sz w:val="20"/>
                <w:lang w:val="en-AU"/>
              </w:rPr>
            </w:pPr>
          </w:p>
        </w:tc>
        <w:tc>
          <w:tcPr>
            <w:tcW w:w="1248" w:type="dxa"/>
            <w:tcBorders>
              <w:top w:val="nil"/>
              <w:left w:val="single" w:sz="6" w:space="0" w:color="000000"/>
              <w:bottom w:val="nil"/>
              <w:right w:val="single" w:sz="6" w:space="0" w:color="000000"/>
            </w:tcBorders>
          </w:tcPr>
          <w:p w14:paraId="1EFB07F0" w14:textId="77777777" w:rsidR="00612E2C" w:rsidRPr="00612E2C" w:rsidRDefault="00612E2C" w:rsidP="00443352">
            <w:pPr>
              <w:autoSpaceDE w:val="0"/>
              <w:autoSpaceDN w:val="0"/>
              <w:adjustRightInd w:val="0"/>
              <w:spacing w:after="0"/>
              <w:jc w:val="left"/>
              <w:rPr>
                <w:sz w:val="20"/>
                <w:lang w:val="en-AU"/>
              </w:rPr>
            </w:pPr>
          </w:p>
        </w:tc>
        <w:tc>
          <w:tcPr>
            <w:tcW w:w="1666" w:type="dxa"/>
            <w:tcBorders>
              <w:top w:val="nil"/>
              <w:left w:val="single" w:sz="6" w:space="0" w:color="000000"/>
              <w:bottom w:val="nil"/>
              <w:right w:val="single" w:sz="6" w:space="0" w:color="000000"/>
            </w:tcBorders>
          </w:tcPr>
          <w:p w14:paraId="1F6C44F3" w14:textId="77777777" w:rsidR="00612E2C" w:rsidRPr="00612E2C" w:rsidRDefault="00612E2C" w:rsidP="00443352">
            <w:pPr>
              <w:autoSpaceDE w:val="0"/>
              <w:autoSpaceDN w:val="0"/>
              <w:adjustRightInd w:val="0"/>
              <w:spacing w:after="0"/>
              <w:jc w:val="left"/>
              <w:rPr>
                <w:sz w:val="20"/>
                <w:lang w:val="en-AU"/>
              </w:rPr>
            </w:pPr>
          </w:p>
        </w:tc>
        <w:tc>
          <w:tcPr>
            <w:tcW w:w="1246" w:type="dxa"/>
            <w:tcBorders>
              <w:top w:val="nil"/>
              <w:left w:val="single" w:sz="6" w:space="0" w:color="000000"/>
              <w:bottom w:val="nil"/>
              <w:right w:val="single" w:sz="6" w:space="0" w:color="000000"/>
            </w:tcBorders>
          </w:tcPr>
          <w:p w14:paraId="179DF20D" w14:textId="77777777" w:rsidR="00612E2C" w:rsidRPr="00612E2C" w:rsidRDefault="00612E2C" w:rsidP="00443352">
            <w:pPr>
              <w:autoSpaceDE w:val="0"/>
              <w:autoSpaceDN w:val="0"/>
              <w:adjustRightInd w:val="0"/>
              <w:spacing w:after="0"/>
              <w:jc w:val="left"/>
              <w:rPr>
                <w:sz w:val="20"/>
                <w:lang w:val="en-AU"/>
              </w:rPr>
            </w:pPr>
          </w:p>
        </w:tc>
        <w:tc>
          <w:tcPr>
            <w:tcW w:w="1526" w:type="dxa"/>
            <w:tcBorders>
              <w:top w:val="nil"/>
              <w:left w:val="single" w:sz="6" w:space="0" w:color="000000"/>
              <w:bottom w:val="nil"/>
              <w:right w:val="single" w:sz="6" w:space="0" w:color="000000"/>
            </w:tcBorders>
          </w:tcPr>
          <w:p w14:paraId="215B930C"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r w:rsidRPr="00612E2C">
              <w:rPr>
                <w:spacing w:val="-1"/>
                <w:sz w:val="20"/>
                <w:lang w:val="en-AU"/>
              </w:rPr>
              <w:t>[0.45,</w:t>
            </w:r>
            <w:r w:rsidRPr="00612E2C">
              <w:rPr>
                <w:sz w:val="20"/>
                <w:lang w:val="en-AU"/>
              </w:rPr>
              <w:t xml:space="preserve"> 0.70]</w:t>
            </w:r>
          </w:p>
        </w:tc>
      </w:tr>
      <w:tr w:rsidR="00612E2C" w:rsidRPr="00612E2C" w14:paraId="16D098D2" w14:textId="77777777" w:rsidTr="00A83012">
        <w:trPr>
          <w:trHeight w:hRule="exact" w:val="276"/>
        </w:trPr>
        <w:tc>
          <w:tcPr>
            <w:tcW w:w="2081" w:type="dxa"/>
            <w:tcBorders>
              <w:top w:val="nil"/>
              <w:left w:val="single" w:sz="4" w:space="0" w:color="000000"/>
              <w:bottom w:val="nil"/>
              <w:right w:val="single" w:sz="6" w:space="0" w:color="000000"/>
            </w:tcBorders>
          </w:tcPr>
          <w:p w14:paraId="13AF23C4" w14:textId="77777777" w:rsidR="00612E2C" w:rsidRPr="00612E2C" w:rsidRDefault="00612E2C" w:rsidP="00443352">
            <w:pPr>
              <w:kinsoku w:val="0"/>
              <w:overflowPunct w:val="0"/>
              <w:autoSpaceDE w:val="0"/>
              <w:autoSpaceDN w:val="0"/>
              <w:adjustRightInd w:val="0"/>
              <w:spacing w:after="0" w:line="263" w:lineRule="exact"/>
              <w:ind w:left="102"/>
              <w:jc w:val="left"/>
              <w:rPr>
                <w:sz w:val="20"/>
                <w:lang w:val="en-AU"/>
              </w:rPr>
            </w:pPr>
            <w:r w:rsidRPr="00612E2C">
              <w:rPr>
                <w:spacing w:val="-1"/>
                <w:sz w:val="20"/>
                <w:lang w:val="en-AU"/>
              </w:rPr>
              <w:t>Disease free</w:t>
            </w:r>
          </w:p>
        </w:tc>
        <w:tc>
          <w:tcPr>
            <w:tcW w:w="1249" w:type="dxa"/>
            <w:tcBorders>
              <w:top w:val="nil"/>
              <w:left w:val="single" w:sz="6" w:space="0" w:color="000000"/>
              <w:bottom w:val="nil"/>
              <w:right w:val="single" w:sz="6" w:space="0" w:color="000000"/>
            </w:tcBorders>
          </w:tcPr>
          <w:p w14:paraId="40FBCC4D" w14:textId="77777777" w:rsidR="00612E2C" w:rsidRPr="00612E2C" w:rsidRDefault="00612E2C" w:rsidP="00443352">
            <w:pPr>
              <w:kinsoku w:val="0"/>
              <w:overflowPunct w:val="0"/>
              <w:autoSpaceDE w:val="0"/>
              <w:autoSpaceDN w:val="0"/>
              <w:adjustRightInd w:val="0"/>
              <w:spacing w:after="0" w:line="263" w:lineRule="exact"/>
              <w:ind w:right="2"/>
              <w:jc w:val="left"/>
              <w:rPr>
                <w:sz w:val="20"/>
                <w:lang w:val="en-AU"/>
              </w:rPr>
            </w:pPr>
            <w:r w:rsidRPr="00612E2C">
              <w:rPr>
                <w:spacing w:val="-1"/>
                <w:sz w:val="20"/>
                <w:lang w:val="en-AU"/>
              </w:rPr>
              <w:t>NR</w:t>
            </w:r>
          </w:p>
        </w:tc>
        <w:tc>
          <w:tcPr>
            <w:tcW w:w="1248" w:type="dxa"/>
            <w:tcBorders>
              <w:top w:val="nil"/>
              <w:left w:val="single" w:sz="6" w:space="0" w:color="000000"/>
              <w:bottom w:val="nil"/>
              <w:right w:val="single" w:sz="6" w:space="0" w:color="000000"/>
            </w:tcBorders>
          </w:tcPr>
          <w:p w14:paraId="16D9855C" w14:textId="77777777" w:rsidR="00612E2C" w:rsidRPr="00612E2C" w:rsidRDefault="00612E2C" w:rsidP="00443352">
            <w:pPr>
              <w:kinsoku w:val="0"/>
              <w:overflowPunct w:val="0"/>
              <w:autoSpaceDE w:val="0"/>
              <w:autoSpaceDN w:val="0"/>
              <w:adjustRightInd w:val="0"/>
              <w:spacing w:after="0" w:line="263" w:lineRule="exact"/>
              <w:ind w:right="1"/>
              <w:jc w:val="left"/>
              <w:rPr>
                <w:sz w:val="20"/>
                <w:lang w:val="en-AU"/>
              </w:rPr>
            </w:pPr>
            <w:r w:rsidRPr="00612E2C">
              <w:rPr>
                <w:spacing w:val="-1"/>
                <w:sz w:val="20"/>
                <w:lang w:val="en-AU"/>
              </w:rPr>
              <w:t>NR</w:t>
            </w:r>
          </w:p>
        </w:tc>
        <w:tc>
          <w:tcPr>
            <w:tcW w:w="1666" w:type="dxa"/>
            <w:tcBorders>
              <w:top w:val="nil"/>
              <w:left w:val="single" w:sz="6" w:space="0" w:color="000000"/>
              <w:bottom w:val="nil"/>
              <w:right w:val="single" w:sz="6" w:space="0" w:color="000000"/>
            </w:tcBorders>
          </w:tcPr>
          <w:p w14:paraId="31DDD6AA" w14:textId="77777777" w:rsidR="00612E2C" w:rsidRPr="00612E2C" w:rsidRDefault="00612E2C" w:rsidP="00443352">
            <w:pPr>
              <w:kinsoku w:val="0"/>
              <w:overflowPunct w:val="0"/>
              <w:autoSpaceDE w:val="0"/>
              <w:autoSpaceDN w:val="0"/>
              <w:adjustRightInd w:val="0"/>
              <w:spacing w:after="0" w:line="263" w:lineRule="exact"/>
              <w:ind w:left="493"/>
              <w:jc w:val="left"/>
              <w:rPr>
                <w:sz w:val="20"/>
                <w:lang w:val="en-AU"/>
              </w:rPr>
            </w:pPr>
            <w:r w:rsidRPr="00612E2C">
              <w:rPr>
                <w:sz w:val="20"/>
                <w:lang w:val="en-AU"/>
              </w:rPr>
              <w:t>0.7882</w:t>
            </w:r>
          </w:p>
        </w:tc>
        <w:tc>
          <w:tcPr>
            <w:tcW w:w="1246" w:type="dxa"/>
            <w:tcBorders>
              <w:top w:val="nil"/>
              <w:left w:val="single" w:sz="6" w:space="0" w:color="000000"/>
              <w:bottom w:val="nil"/>
              <w:right w:val="single" w:sz="6" w:space="0" w:color="000000"/>
            </w:tcBorders>
          </w:tcPr>
          <w:p w14:paraId="26811319" w14:textId="77777777" w:rsidR="00612E2C" w:rsidRPr="00612E2C" w:rsidRDefault="00612E2C" w:rsidP="00443352">
            <w:pPr>
              <w:kinsoku w:val="0"/>
              <w:overflowPunct w:val="0"/>
              <w:autoSpaceDE w:val="0"/>
              <w:autoSpaceDN w:val="0"/>
              <w:adjustRightInd w:val="0"/>
              <w:spacing w:after="0" w:line="263" w:lineRule="exact"/>
              <w:ind w:left="404"/>
              <w:jc w:val="left"/>
              <w:rPr>
                <w:sz w:val="20"/>
                <w:lang w:val="en-AU"/>
              </w:rPr>
            </w:pPr>
            <w:r w:rsidRPr="00612E2C">
              <w:rPr>
                <w:sz w:val="20"/>
                <w:lang w:val="en-AU"/>
              </w:rPr>
              <w:t>20.7</w:t>
            </w:r>
          </w:p>
        </w:tc>
        <w:tc>
          <w:tcPr>
            <w:tcW w:w="1526" w:type="dxa"/>
            <w:tcBorders>
              <w:top w:val="nil"/>
              <w:left w:val="single" w:sz="6" w:space="0" w:color="000000"/>
              <w:bottom w:val="nil"/>
              <w:right w:val="single" w:sz="6" w:space="0" w:color="000000"/>
            </w:tcBorders>
          </w:tcPr>
          <w:p w14:paraId="40C669AB"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r w:rsidRPr="00612E2C">
              <w:rPr>
                <w:sz w:val="20"/>
                <w:lang w:val="en-AU"/>
              </w:rPr>
              <w:t>0.93</w:t>
            </w:r>
          </w:p>
        </w:tc>
      </w:tr>
      <w:tr w:rsidR="00612E2C" w:rsidRPr="00612E2C" w14:paraId="7015BDE4" w14:textId="77777777" w:rsidTr="00A83012">
        <w:trPr>
          <w:trHeight w:hRule="exact" w:val="276"/>
        </w:trPr>
        <w:tc>
          <w:tcPr>
            <w:tcW w:w="2081" w:type="dxa"/>
            <w:tcBorders>
              <w:top w:val="nil"/>
              <w:left w:val="single" w:sz="4" w:space="0" w:color="000000"/>
              <w:bottom w:val="nil"/>
              <w:right w:val="single" w:sz="6" w:space="0" w:color="000000"/>
            </w:tcBorders>
          </w:tcPr>
          <w:p w14:paraId="5B835FA4" w14:textId="77777777" w:rsidR="00612E2C" w:rsidRPr="00612E2C" w:rsidRDefault="00612E2C" w:rsidP="00443352">
            <w:pPr>
              <w:kinsoku w:val="0"/>
              <w:overflowPunct w:val="0"/>
              <w:autoSpaceDE w:val="0"/>
              <w:autoSpaceDN w:val="0"/>
              <w:adjustRightInd w:val="0"/>
              <w:spacing w:after="0" w:line="263" w:lineRule="exact"/>
              <w:ind w:left="102"/>
              <w:jc w:val="left"/>
              <w:rPr>
                <w:sz w:val="20"/>
                <w:lang w:val="en-AU"/>
              </w:rPr>
            </w:pPr>
            <w:r w:rsidRPr="00612E2C">
              <w:rPr>
                <w:spacing w:val="-1"/>
                <w:sz w:val="20"/>
                <w:lang w:val="en-AU"/>
              </w:rPr>
              <w:t>survival**</w:t>
            </w:r>
          </w:p>
        </w:tc>
        <w:tc>
          <w:tcPr>
            <w:tcW w:w="1249" w:type="dxa"/>
            <w:tcBorders>
              <w:top w:val="nil"/>
              <w:left w:val="single" w:sz="6" w:space="0" w:color="000000"/>
              <w:bottom w:val="nil"/>
              <w:right w:val="single" w:sz="6" w:space="0" w:color="000000"/>
            </w:tcBorders>
          </w:tcPr>
          <w:p w14:paraId="59F90EFD" w14:textId="77777777" w:rsidR="00612E2C" w:rsidRPr="00612E2C" w:rsidRDefault="00612E2C" w:rsidP="00443352">
            <w:pPr>
              <w:autoSpaceDE w:val="0"/>
              <w:autoSpaceDN w:val="0"/>
              <w:adjustRightInd w:val="0"/>
              <w:spacing w:after="0"/>
              <w:jc w:val="left"/>
              <w:rPr>
                <w:sz w:val="20"/>
                <w:lang w:val="en-AU"/>
              </w:rPr>
            </w:pPr>
          </w:p>
        </w:tc>
        <w:tc>
          <w:tcPr>
            <w:tcW w:w="1248" w:type="dxa"/>
            <w:tcBorders>
              <w:top w:val="nil"/>
              <w:left w:val="single" w:sz="6" w:space="0" w:color="000000"/>
              <w:bottom w:val="nil"/>
              <w:right w:val="single" w:sz="6" w:space="0" w:color="000000"/>
            </w:tcBorders>
          </w:tcPr>
          <w:p w14:paraId="42C0D5C7" w14:textId="77777777" w:rsidR="00612E2C" w:rsidRPr="00612E2C" w:rsidRDefault="00612E2C" w:rsidP="00443352">
            <w:pPr>
              <w:autoSpaceDE w:val="0"/>
              <w:autoSpaceDN w:val="0"/>
              <w:adjustRightInd w:val="0"/>
              <w:spacing w:after="0"/>
              <w:jc w:val="left"/>
              <w:rPr>
                <w:sz w:val="20"/>
                <w:lang w:val="en-AU"/>
              </w:rPr>
            </w:pPr>
          </w:p>
        </w:tc>
        <w:tc>
          <w:tcPr>
            <w:tcW w:w="1666" w:type="dxa"/>
            <w:tcBorders>
              <w:top w:val="nil"/>
              <w:left w:val="single" w:sz="6" w:space="0" w:color="000000"/>
              <w:bottom w:val="nil"/>
              <w:right w:val="single" w:sz="6" w:space="0" w:color="000000"/>
            </w:tcBorders>
          </w:tcPr>
          <w:p w14:paraId="7AD61346" w14:textId="77777777" w:rsidR="00612E2C" w:rsidRPr="00612E2C" w:rsidRDefault="00612E2C" w:rsidP="00443352">
            <w:pPr>
              <w:autoSpaceDE w:val="0"/>
              <w:autoSpaceDN w:val="0"/>
              <w:adjustRightInd w:val="0"/>
              <w:spacing w:after="0"/>
              <w:jc w:val="left"/>
              <w:rPr>
                <w:sz w:val="20"/>
                <w:lang w:val="en-AU"/>
              </w:rPr>
            </w:pPr>
          </w:p>
        </w:tc>
        <w:tc>
          <w:tcPr>
            <w:tcW w:w="1246" w:type="dxa"/>
            <w:tcBorders>
              <w:top w:val="nil"/>
              <w:left w:val="single" w:sz="6" w:space="0" w:color="000000"/>
              <w:bottom w:val="nil"/>
              <w:right w:val="single" w:sz="6" w:space="0" w:color="000000"/>
            </w:tcBorders>
          </w:tcPr>
          <w:p w14:paraId="01AE586C" w14:textId="77777777" w:rsidR="00612E2C" w:rsidRPr="00612E2C" w:rsidRDefault="00612E2C" w:rsidP="00443352">
            <w:pPr>
              <w:autoSpaceDE w:val="0"/>
              <w:autoSpaceDN w:val="0"/>
              <w:adjustRightInd w:val="0"/>
              <w:spacing w:after="0"/>
              <w:jc w:val="left"/>
              <w:rPr>
                <w:sz w:val="20"/>
                <w:lang w:val="en-AU"/>
              </w:rPr>
            </w:pPr>
          </w:p>
        </w:tc>
        <w:tc>
          <w:tcPr>
            <w:tcW w:w="1526" w:type="dxa"/>
            <w:tcBorders>
              <w:top w:val="nil"/>
              <w:left w:val="single" w:sz="6" w:space="0" w:color="000000"/>
              <w:bottom w:val="nil"/>
              <w:right w:val="single" w:sz="6" w:space="0" w:color="000000"/>
            </w:tcBorders>
          </w:tcPr>
          <w:p w14:paraId="1882E19B"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r w:rsidRPr="00612E2C">
              <w:rPr>
                <w:spacing w:val="-1"/>
                <w:sz w:val="20"/>
                <w:lang w:val="en-AU"/>
              </w:rPr>
              <w:t>[0.44,</w:t>
            </w:r>
            <w:r w:rsidRPr="00612E2C">
              <w:rPr>
                <w:sz w:val="20"/>
                <w:lang w:val="en-AU"/>
              </w:rPr>
              <w:t xml:space="preserve"> 1.96]</w:t>
            </w:r>
          </w:p>
        </w:tc>
      </w:tr>
      <w:tr w:rsidR="00612E2C" w:rsidRPr="00612E2C" w14:paraId="2F6AE5B5" w14:textId="77777777" w:rsidTr="00A83012">
        <w:trPr>
          <w:trHeight w:hRule="exact" w:val="276"/>
        </w:trPr>
        <w:tc>
          <w:tcPr>
            <w:tcW w:w="2081" w:type="dxa"/>
            <w:tcBorders>
              <w:top w:val="nil"/>
              <w:left w:val="single" w:sz="4" w:space="0" w:color="000000"/>
              <w:bottom w:val="nil"/>
              <w:right w:val="single" w:sz="6" w:space="0" w:color="000000"/>
            </w:tcBorders>
          </w:tcPr>
          <w:p w14:paraId="0D22C8B8" w14:textId="77777777" w:rsidR="00612E2C" w:rsidRPr="00612E2C" w:rsidRDefault="00612E2C" w:rsidP="00443352">
            <w:pPr>
              <w:autoSpaceDE w:val="0"/>
              <w:autoSpaceDN w:val="0"/>
              <w:adjustRightInd w:val="0"/>
              <w:spacing w:after="0"/>
              <w:jc w:val="left"/>
              <w:rPr>
                <w:sz w:val="20"/>
                <w:lang w:val="en-AU"/>
              </w:rPr>
            </w:pPr>
          </w:p>
        </w:tc>
        <w:tc>
          <w:tcPr>
            <w:tcW w:w="1249" w:type="dxa"/>
            <w:tcBorders>
              <w:top w:val="nil"/>
              <w:left w:val="single" w:sz="6" w:space="0" w:color="000000"/>
              <w:bottom w:val="nil"/>
              <w:right w:val="single" w:sz="6" w:space="0" w:color="000000"/>
            </w:tcBorders>
          </w:tcPr>
          <w:p w14:paraId="0A7AFC1C" w14:textId="77777777" w:rsidR="00612E2C" w:rsidRPr="00612E2C" w:rsidRDefault="00612E2C" w:rsidP="00443352">
            <w:pPr>
              <w:kinsoku w:val="0"/>
              <w:overflowPunct w:val="0"/>
              <w:autoSpaceDE w:val="0"/>
              <w:autoSpaceDN w:val="0"/>
              <w:adjustRightInd w:val="0"/>
              <w:spacing w:after="0" w:line="263" w:lineRule="exact"/>
              <w:ind w:left="405"/>
              <w:jc w:val="left"/>
              <w:rPr>
                <w:sz w:val="20"/>
                <w:lang w:val="en-AU"/>
              </w:rPr>
            </w:pPr>
            <w:r w:rsidRPr="00612E2C">
              <w:rPr>
                <w:sz w:val="20"/>
                <w:lang w:val="en-AU"/>
              </w:rPr>
              <w:t>48.9</w:t>
            </w:r>
          </w:p>
        </w:tc>
        <w:tc>
          <w:tcPr>
            <w:tcW w:w="1248" w:type="dxa"/>
            <w:tcBorders>
              <w:top w:val="nil"/>
              <w:left w:val="single" w:sz="6" w:space="0" w:color="000000"/>
              <w:bottom w:val="nil"/>
              <w:right w:val="single" w:sz="6" w:space="0" w:color="000000"/>
            </w:tcBorders>
          </w:tcPr>
          <w:p w14:paraId="2B2679AB" w14:textId="77777777" w:rsidR="00612E2C" w:rsidRPr="00612E2C" w:rsidRDefault="00612E2C" w:rsidP="00443352">
            <w:pPr>
              <w:kinsoku w:val="0"/>
              <w:overflowPunct w:val="0"/>
              <w:autoSpaceDE w:val="0"/>
              <w:autoSpaceDN w:val="0"/>
              <w:adjustRightInd w:val="0"/>
              <w:spacing w:after="0" w:line="263" w:lineRule="exact"/>
              <w:ind w:left="404"/>
              <w:jc w:val="left"/>
              <w:rPr>
                <w:sz w:val="20"/>
                <w:lang w:val="en-AU"/>
              </w:rPr>
            </w:pPr>
            <w:r w:rsidRPr="00612E2C">
              <w:rPr>
                <w:sz w:val="20"/>
                <w:lang w:val="en-AU"/>
              </w:rPr>
              <w:t>60.3</w:t>
            </w:r>
          </w:p>
        </w:tc>
        <w:tc>
          <w:tcPr>
            <w:tcW w:w="1666" w:type="dxa"/>
            <w:tcBorders>
              <w:top w:val="nil"/>
              <w:left w:val="single" w:sz="6" w:space="0" w:color="000000"/>
              <w:bottom w:val="nil"/>
              <w:right w:val="single" w:sz="6" w:space="0" w:color="000000"/>
            </w:tcBorders>
          </w:tcPr>
          <w:p w14:paraId="7E165123" w14:textId="77777777" w:rsidR="00612E2C" w:rsidRPr="00612E2C" w:rsidRDefault="00612E2C" w:rsidP="00443352">
            <w:pPr>
              <w:kinsoku w:val="0"/>
              <w:overflowPunct w:val="0"/>
              <w:autoSpaceDE w:val="0"/>
              <w:autoSpaceDN w:val="0"/>
              <w:adjustRightInd w:val="0"/>
              <w:spacing w:after="0" w:line="263" w:lineRule="exact"/>
              <w:ind w:left="493"/>
              <w:jc w:val="left"/>
              <w:rPr>
                <w:sz w:val="20"/>
                <w:lang w:val="en-AU"/>
              </w:rPr>
            </w:pPr>
            <w:r w:rsidRPr="00612E2C">
              <w:rPr>
                <w:sz w:val="20"/>
                <w:lang w:val="en-AU"/>
              </w:rPr>
              <w:t>0.0520</w:t>
            </w:r>
          </w:p>
        </w:tc>
        <w:tc>
          <w:tcPr>
            <w:tcW w:w="1246" w:type="dxa"/>
            <w:tcBorders>
              <w:top w:val="nil"/>
              <w:left w:val="single" w:sz="6" w:space="0" w:color="000000"/>
              <w:bottom w:val="nil"/>
              <w:right w:val="single" w:sz="6" w:space="0" w:color="000000"/>
            </w:tcBorders>
          </w:tcPr>
          <w:p w14:paraId="39339883" w14:textId="77777777" w:rsidR="00612E2C" w:rsidRPr="00612E2C" w:rsidRDefault="00612E2C" w:rsidP="00443352">
            <w:pPr>
              <w:kinsoku w:val="0"/>
              <w:overflowPunct w:val="0"/>
              <w:autoSpaceDE w:val="0"/>
              <w:autoSpaceDN w:val="0"/>
              <w:adjustRightInd w:val="0"/>
              <w:spacing w:after="0" w:line="263" w:lineRule="exact"/>
              <w:ind w:left="224"/>
              <w:jc w:val="left"/>
              <w:rPr>
                <w:sz w:val="20"/>
                <w:lang w:val="en-AU"/>
              </w:rPr>
            </w:pPr>
            <w:r w:rsidRPr="00612E2C">
              <w:rPr>
                <w:sz w:val="20"/>
                <w:lang w:val="en-AU"/>
              </w:rPr>
              <w:t>48.1***</w:t>
            </w:r>
          </w:p>
        </w:tc>
        <w:tc>
          <w:tcPr>
            <w:tcW w:w="1526" w:type="dxa"/>
            <w:tcBorders>
              <w:top w:val="nil"/>
              <w:left w:val="single" w:sz="6" w:space="0" w:color="000000"/>
              <w:bottom w:val="nil"/>
              <w:right w:val="single" w:sz="6" w:space="0" w:color="000000"/>
            </w:tcBorders>
          </w:tcPr>
          <w:p w14:paraId="0B6EA98B"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r w:rsidRPr="00612E2C">
              <w:rPr>
                <w:sz w:val="20"/>
                <w:lang w:val="en-AU"/>
              </w:rPr>
              <w:t>0.69</w:t>
            </w:r>
          </w:p>
        </w:tc>
      </w:tr>
      <w:tr w:rsidR="00612E2C" w:rsidRPr="00612E2C" w14:paraId="2965EF4B" w14:textId="77777777" w:rsidTr="00A83012">
        <w:trPr>
          <w:trHeight w:hRule="exact" w:val="276"/>
        </w:trPr>
        <w:tc>
          <w:tcPr>
            <w:tcW w:w="2081" w:type="dxa"/>
            <w:tcBorders>
              <w:top w:val="nil"/>
              <w:left w:val="single" w:sz="4" w:space="0" w:color="000000"/>
              <w:bottom w:val="nil"/>
              <w:right w:val="single" w:sz="6" w:space="0" w:color="000000"/>
            </w:tcBorders>
          </w:tcPr>
          <w:p w14:paraId="32FB0AAD" w14:textId="77777777" w:rsidR="00612E2C" w:rsidRPr="00612E2C" w:rsidRDefault="00612E2C" w:rsidP="00443352">
            <w:pPr>
              <w:autoSpaceDE w:val="0"/>
              <w:autoSpaceDN w:val="0"/>
              <w:adjustRightInd w:val="0"/>
              <w:spacing w:after="0"/>
              <w:jc w:val="left"/>
              <w:rPr>
                <w:sz w:val="20"/>
                <w:lang w:val="en-AU"/>
              </w:rPr>
            </w:pPr>
          </w:p>
        </w:tc>
        <w:tc>
          <w:tcPr>
            <w:tcW w:w="1249" w:type="dxa"/>
            <w:tcBorders>
              <w:top w:val="nil"/>
              <w:left w:val="single" w:sz="6" w:space="0" w:color="000000"/>
              <w:bottom w:val="nil"/>
              <w:right w:val="single" w:sz="6" w:space="0" w:color="000000"/>
            </w:tcBorders>
          </w:tcPr>
          <w:p w14:paraId="63D551FB" w14:textId="77777777" w:rsidR="00612E2C" w:rsidRPr="00612E2C" w:rsidRDefault="00612E2C" w:rsidP="00443352">
            <w:pPr>
              <w:autoSpaceDE w:val="0"/>
              <w:autoSpaceDN w:val="0"/>
              <w:adjustRightInd w:val="0"/>
              <w:spacing w:after="0"/>
              <w:jc w:val="left"/>
              <w:rPr>
                <w:sz w:val="20"/>
                <w:lang w:val="en-AU"/>
              </w:rPr>
            </w:pPr>
          </w:p>
        </w:tc>
        <w:tc>
          <w:tcPr>
            <w:tcW w:w="1248" w:type="dxa"/>
            <w:tcBorders>
              <w:top w:val="nil"/>
              <w:left w:val="single" w:sz="6" w:space="0" w:color="000000"/>
              <w:bottom w:val="nil"/>
              <w:right w:val="single" w:sz="6" w:space="0" w:color="000000"/>
            </w:tcBorders>
          </w:tcPr>
          <w:p w14:paraId="09B700CC" w14:textId="77777777" w:rsidR="00612E2C" w:rsidRPr="00612E2C" w:rsidRDefault="00612E2C" w:rsidP="00443352">
            <w:pPr>
              <w:autoSpaceDE w:val="0"/>
              <w:autoSpaceDN w:val="0"/>
              <w:adjustRightInd w:val="0"/>
              <w:spacing w:after="0"/>
              <w:jc w:val="left"/>
              <w:rPr>
                <w:sz w:val="20"/>
                <w:lang w:val="en-AU"/>
              </w:rPr>
            </w:pPr>
          </w:p>
        </w:tc>
        <w:tc>
          <w:tcPr>
            <w:tcW w:w="1666" w:type="dxa"/>
            <w:tcBorders>
              <w:top w:val="nil"/>
              <w:left w:val="single" w:sz="6" w:space="0" w:color="000000"/>
              <w:bottom w:val="nil"/>
              <w:right w:val="single" w:sz="6" w:space="0" w:color="000000"/>
            </w:tcBorders>
          </w:tcPr>
          <w:p w14:paraId="4CA65A31" w14:textId="77777777" w:rsidR="00612E2C" w:rsidRPr="00612E2C" w:rsidRDefault="00612E2C" w:rsidP="00443352">
            <w:pPr>
              <w:autoSpaceDE w:val="0"/>
              <w:autoSpaceDN w:val="0"/>
              <w:adjustRightInd w:val="0"/>
              <w:spacing w:after="0"/>
              <w:jc w:val="left"/>
              <w:rPr>
                <w:sz w:val="20"/>
                <w:lang w:val="en-AU"/>
              </w:rPr>
            </w:pPr>
          </w:p>
        </w:tc>
        <w:tc>
          <w:tcPr>
            <w:tcW w:w="1246" w:type="dxa"/>
            <w:tcBorders>
              <w:top w:val="nil"/>
              <w:left w:val="single" w:sz="6" w:space="0" w:color="000000"/>
              <w:bottom w:val="nil"/>
              <w:right w:val="single" w:sz="6" w:space="0" w:color="000000"/>
            </w:tcBorders>
          </w:tcPr>
          <w:p w14:paraId="24DED99A" w14:textId="77777777" w:rsidR="00612E2C" w:rsidRPr="00612E2C" w:rsidRDefault="00612E2C" w:rsidP="00443352">
            <w:pPr>
              <w:autoSpaceDE w:val="0"/>
              <w:autoSpaceDN w:val="0"/>
              <w:adjustRightInd w:val="0"/>
              <w:spacing w:after="0"/>
              <w:jc w:val="left"/>
              <w:rPr>
                <w:sz w:val="20"/>
                <w:lang w:val="en-AU"/>
              </w:rPr>
            </w:pPr>
          </w:p>
        </w:tc>
        <w:tc>
          <w:tcPr>
            <w:tcW w:w="1526" w:type="dxa"/>
            <w:tcBorders>
              <w:top w:val="nil"/>
              <w:left w:val="single" w:sz="6" w:space="0" w:color="000000"/>
              <w:bottom w:val="nil"/>
              <w:right w:val="single" w:sz="6" w:space="0" w:color="000000"/>
            </w:tcBorders>
          </w:tcPr>
          <w:p w14:paraId="144EAD95"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r w:rsidRPr="00612E2C">
              <w:rPr>
                <w:spacing w:val="-1"/>
                <w:sz w:val="20"/>
                <w:lang w:val="en-AU"/>
              </w:rPr>
              <w:t>[0.47,</w:t>
            </w:r>
            <w:r w:rsidRPr="00612E2C">
              <w:rPr>
                <w:sz w:val="20"/>
                <w:lang w:val="en-AU"/>
              </w:rPr>
              <w:t xml:space="preserve"> 1.01]</w:t>
            </w:r>
          </w:p>
        </w:tc>
      </w:tr>
      <w:tr w:rsidR="00612E2C" w:rsidRPr="00612E2C" w14:paraId="481BD420" w14:textId="77777777" w:rsidTr="00A83012">
        <w:trPr>
          <w:trHeight w:hRule="exact" w:val="276"/>
        </w:trPr>
        <w:tc>
          <w:tcPr>
            <w:tcW w:w="2081" w:type="dxa"/>
            <w:tcBorders>
              <w:top w:val="nil"/>
              <w:left w:val="single" w:sz="4" w:space="0" w:color="000000"/>
              <w:bottom w:val="nil"/>
              <w:right w:val="single" w:sz="6" w:space="0" w:color="000000"/>
            </w:tcBorders>
          </w:tcPr>
          <w:p w14:paraId="4699D2A2" w14:textId="77777777" w:rsidR="00612E2C" w:rsidRPr="00612E2C" w:rsidRDefault="00612E2C" w:rsidP="00443352">
            <w:pPr>
              <w:kinsoku w:val="0"/>
              <w:overflowPunct w:val="0"/>
              <w:autoSpaceDE w:val="0"/>
              <w:autoSpaceDN w:val="0"/>
              <w:adjustRightInd w:val="0"/>
              <w:spacing w:after="0" w:line="263" w:lineRule="exact"/>
              <w:ind w:left="102"/>
              <w:jc w:val="left"/>
              <w:rPr>
                <w:sz w:val="20"/>
                <w:lang w:val="en-AU"/>
              </w:rPr>
            </w:pPr>
            <w:r w:rsidRPr="00612E2C">
              <w:rPr>
                <w:sz w:val="20"/>
                <w:lang w:val="en-AU"/>
              </w:rPr>
              <w:t xml:space="preserve">Time to </w:t>
            </w:r>
            <w:r w:rsidRPr="00612E2C">
              <w:rPr>
                <w:spacing w:val="-1"/>
                <w:sz w:val="20"/>
                <w:lang w:val="en-AU"/>
              </w:rPr>
              <w:t>new</w:t>
            </w:r>
          </w:p>
        </w:tc>
        <w:tc>
          <w:tcPr>
            <w:tcW w:w="1249" w:type="dxa"/>
            <w:tcBorders>
              <w:top w:val="nil"/>
              <w:left w:val="single" w:sz="6" w:space="0" w:color="000000"/>
              <w:bottom w:val="nil"/>
              <w:right w:val="single" w:sz="6" w:space="0" w:color="000000"/>
            </w:tcBorders>
          </w:tcPr>
          <w:p w14:paraId="16326825" w14:textId="77777777" w:rsidR="00612E2C" w:rsidRPr="00612E2C" w:rsidRDefault="00612E2C" w:rsidP="00443352">
            <w:pPr>
              <w:kinsoku w:val="0"/>
              <w:overflowPunct w:val="0"/>
              <w:autoSpaceDE w:val="0"/>
              <w:autoSpaceDN w:val="0"/>
              <w:adjustRightInd w:val="0"/>
              <w:spacing w:after="0" w:line="263" w:lineRule="exact"/>
              <w:ind w:right="2"/>
              <w:jc w:val="left"/>
              <w:rPr>
                <w:sz w:val="20"/>
                <w:lang w:val="en-AU"/>
              </w:rPr>
            </w:pPr>
            <w:r w:rsidRPr="00612E2C">
              <w:rPr>
                <w:spacing w:val="-1"/>
                <w:sz w:val="20"/>
                <w:lang w:val="en-AU"/>
              </w:rPr>
              <w:t>NR</w:t>
            </w:r>
          </w:p>
        </w:tc>
        <w:tc>
          <w:tcPr>
            <w:tcW w:w="1248" w:type="dxa"/>
            <w:tcBorders>
              <w:top w:val="nil"/>
              <w:left w:val="single" w:sz="6" w:space="0" w:color="000000"/>
              <w:bottom w:val="nil"/>
              <w:right w:val="single" w:sz="6" w:space="0" w:color="000000"/>
            </w:tcBorders>
          </w:tcPr>
          <w:p w14:paraId="26D21E5F" w14:textId="77777777" w:rsidR="00612E2C" w:rsidRPr="00612E2C" w:rsidRDefault="00612E2C" w:rsidP="00443352">
            <w:pPr>
              <w:kinsoku w:val="0"/>
              <w:overflowPunct w:val="0"/>
              <w:autoSpaceDE w:val="0"/>
              <w:autoSpaceDN w:val="0"/>
              <w:adjustRightInd w:val="0"/>
              <w:spacing w:after="0" w:line="263" w:lineRule="exact"/>
              <w:ind w:right="1"/>
              <w:jc w:val="left"/>
              <w:rPr>
                <w:sz w:val="20"/>
                <w:lang w:val="en-AU"/>
              </w:rPr>
            </w:pPr>
            <w:r w:rsidRPr="00612E2C">
              <w:rPr>
                <w:spacing w:val="-1"/>
                <w:sz w:val="20"/>
                <w:lang w:val="en-AU"/>
              </w:rPr>
              <w:t>NR</w:t>
            </w:r>
          </w:p>
        </w:tc>
        <w:tc>
          <w:tcPr>
            <w:tcW w:w="1666" w:type="dxa"/>
            <w:tcBorders>
              <w:top w:val="nil"/>
              <w:left w:val="single" w:sz="6" w:space="0" w:color="000000"/>
              <w:bottom w:val="nil"/>
              <w:right w:val="single" w:sz="6" w:space="0" w:color="000000"/>
            </w:tcBorders>
          </w:tcPr>
          <w:p w14:paraId="65E3EE90" w14:textId="77777777" w:rsidR="00612E2C" w:rsidRPr="00612E2C" w:rsidRDefault="00612E2C" w:rsidP="00443352">
            <w:pPr>
              <w:kinsoku w:val="0"/>
              <w:overflowPunct w:val="0"/>
              <w:autoSpaceDE w:val="0"/>
              <w:autoSpaceDN w:val="0"/>
              <w:adjustRightInd w:val="0"/>
              <w:spacing w:after="0" w:line="263" w:lineRule="exact"/>
              <w:ind w:left="493"/>
              <w:jc w:val="left"/>
              <w:rPr>
                <w:sz w:val="20"/>
                <w:lang w:val="en-AU"/>
              </w:rPr>
            </w:pPr>
            <w:r w:rsidRPr="00612E2C">
              <w:rPr>
                <w:sz w:val="20"/>
                <w:lang w:val="en-AU"/>
              </w:rPr>
              <w:t>0.0052</w:t>
            </w:r>
          </w:p>
        </w:tc>
        <w:tc>
          <w:tcPr>
            <w:tcW w:w="1246" w:type="dxa"/>
            <w:tcBorders>
              <w:top w:val="nil"/>
              <w:left w:val="single" w:sz="6" w:space="0" w:color="000000"/>
              <w:bottom w:val="nil"/>
              <w:right w:val="single" w:sz="6" w:space="0" w:color="000000"/>
            </w:tcBorders>
          </w:tcPr>
          <w:p w14:paraId="7443F229" w14:textId="77777777" w:rsidR="00612E2C" w:rsidRPr="00612E2C" w:rsidRDefault="00612E2C" w:rsidP="00443352">
            <w:pPr>
              <w:kinsoku w:val="0"/>
              <w:overflowPunct w:val="0"/>
              <w:autoSpaceDE w:val="0"/>
              <w:autoSpaceDN w:val="0"/>
              <w:adjustRightInd w:val="0"/>
              <w:spacing w:after="0" w:line="263" w:lineRule="exact"/>
              <w:ind w:left="404"/>
              <w:jc w:val="left"/>
              <w:rPr>
                <w:sz w:val="20"/>
                <w:lang w:val="en-AU"/>
              </w:rPr>
            </w:pPr>
            <w:r w:rsidRPr="00612E2C">
              <w:rPr>
                <w:sz w:val="20"/>
                <w:lang w:val="en-AU"/>
              </w:rPr>
              <w:t>20.7</w:t>
            </w:r>
          </w:p>
        </w:tc>
        <w:tc>
          <w:tcPr>
            <w:tcW w:w="1526" w:type="dxa"/>
            <w:tcBorders>
              <w:top w:val="nil"/>
              <w:left w:val="single" w:sz="6" w:space="0" w:color="000000"/>
              <w:bottom w:val="nil"/>
              <w:right w:val="single" w:sz="6" w:space="0" w:color="000000"/>
            </w:tcBorders>
          </w:tcPr>
          <w:p w14:paraId="6DAE05A7"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r w:rsidRPr="00612E2C">
              <w:rPr>
                <w:sz w:val="20"/>
                <w:lang w:val="en-AU"/>
              </w:rPr>
              <w:t>0.65</w:t>
            </w:r>
          </w:p>
        </w:tc>
      </w:tr>
      <w:tr w:rsidR="00612E2C" w:rsidRPr="00612E2C" w14:paraId="545BADB2" w14:textId="77777777" w:rsidTr="00A83012">
        <w:trPr>
          <w:trHeight w:hRule="exact" w:val="276"/>
        </w:trPr>
        <w:tc>
          <w:tcPr>
            <w:tcW w:w="2081" w:type="dxa"/>
            <w:vMerge w:val="restart"/>
            <w:tcBorders>
              <w:top w:val="nil"/>
              <w:left w:val="single" w:sz="4" w:space="0" w:color="000000"/>
              <w:bottom w:val="single" w:sz="6" w:space="0" w:color="000000"/>
              <w:right w:val="single" w:sz="6" w:space="0" w:color="000000"/>
            </w:tcBorders>
          </w:tcPr>
          <w:p w14:paraId="6EA59E39" w14:textId="77777777" w:rsidR="00612E2C" w:rsidRPr="00612E2C" w:rsidRDefault="00612E2C" w:rsidP="00443352">
            <w:pPr>
              <w:kinsoku w:val="0"/>
              <w:overflowPunct w:val="0"/>
              <w:autoSpaceDE w:val="0"/>
              <w:autoSpaceDN w:val="0"/>
              <w:adjustRightInd w:val="0"/>
              <w:spacing w:after="0" w:line="263" w:lineRule="exact"/>
              <w:ind w:left="102"/>
              <w:jc w:val="left"/>
              <w:rPr>
                <w:sz w:val="20"/>
                <w:lang w:val="en-AU"/>
              </w:rPr>
            </w:pPr>
            <w:r w:rsidRPr="00612E2C">
              <w:rPr>
                <w:sz w:val="20"/>
                <w:lang w:val="en-AU"/>
              </w:rPr>
              <w:t xml:space="preserve">CLL </w:t>
            </w:r>
            <w:r w:rsidRPr="00612E2C">
              <w:rPr>
                <w:spacing w:val="-1"/>
                <w:sz w:val="20"/>
                <w:lang w:val="en-AU"/>
              </w:rPr>
              <w:t>treatment</w:t>
            </w:r>
          </w:p>
        </w:tc>
        <w:tc>
          <w:tcPr>
            <w:tcW w:w="1249" w:type="dxa"/>
            <w:tcBorders>
              <w:top w:val="nil"/>
              <w:left w:val="single" w:sz="6" w:space="0" w:color="000000"/>
              <w:bottom w:val="nil"/>
              <w:right w:val="single" w:sz="6" w:space="0" w:color="000000"/>
            </w:tcBorders>
          </w:tcPr>
          <w:p w14:paraId="62B3DF4D" w14:textId="77777777" w:rsidR="00612E2C" w:rsidRPr="00612E2C" w:rsidRDefault="00612E2C" w:rsidP="00443352">
            <w:pPr>
              <w:autoSpaceDE w:val="0"/>
              <w:autoSpaceDN w:val="0"/>
              <w:adjustRightInd w:val="0"/>
              <w:spacing w:after="0"/>
              <w:jc w:val="left"/>
              <w:rPr>
                <w:sz w:val="20"/>
                <w:lang w:val="en-AU"/>
              </w:rPr>
            </w:pPr>
          </w:p>
        </w:tc>
        <w:tc>
          <w:tcPr>
            <w:tcW w:w="1248" w:type="dxa"/>
            <w:tcBorders>
              <w:top w:val="nil"/>
              <w:left w:val="single" w:sz="6" w:space="0" w:color="000000"/>
              <w:bottom w:val="nil"/>
              <w:right w:val="single" w:sz="6" w:space="0" w:color="000000"/>
            </w:tcBorders>
          </w:tcPr>
          <w:p w14:paraId="298A6AB6" w14:textId="77777777" w:rsidR="00612E2C" w:rsidRPr="00612E2C" w:rsidRDefault="00612E2C" w:rsidP="00443352">
            <w:pPr>
              <w:autoSpaceDE w:val="0"/>
              <w:autoSpaceDN w:val="0"/>
              <w:adjustRightInd w:val="0"/>
              <w:spacing w:after="0"/>
              <w:jc w:val="left"/>
              <w:rPr>
                <w:sz w:val="20"/>
                <w:lang w:val="en-AU"/>
              </w:rPr>
            </w:pPr>
          </w:p>
        </w:tc>
        <w:tc>
          <w:tcPr>
            <w:tcW w:w="1666" w:type="dxa"/>
            <w:tcBorders>
              <w:top w:val="nil"/>
              <w:left w:val="single" w:sz="6" w:space="0" w:color="000000"/>
              <w:bottom w:val="nil"/>
              <w:right w:val="single" w:sz="6" w:space="0" w:color="000000"/>
            </w:tcBorders>
          </w:tcPr>
          <w:p w14:paraId="3E2C8483" w14:textId="77777777" w:rsidR="00612E2C" w:rsidRPr="00612E2C" w:rsidRDefault="00612E2C" w:rsidP="00443352">
            <w:pPr>
              <w:autoSpaceDE w:val="0"/>
              <w:autoSpaceDN w:val="0"/>
              <w:adjustRightInd w:val="0"/>
              <w:spacing w:after="0"/>
              <w:jc w:val="left"/>
              <w:rPr>
                <w:sz w:val="20"/>
                <w:lang w:val="en-AU"/>
              </w:rPr>
            </w:pPr>
          </w:p>
        </w:tc>
        <w:tc>
          <w:tcPr>
            <w:tcW w:w="1246" w:type="dxa"/>
            <w:tcBorders>
              <w:top w:val="nil"/>
              <w:left w:val="single" w:sz="6" w:space="0" w:color="000000"/>
              <w:bottom w:val="nil"/>
              <w:right w:val="single" w:sz="6" w:space="0" w:color="000000"/>
            </w:tcBorders>
          </w:tcPr>
          <w:p w14:paraId="4CE45880" w14:textId="77777777" w:rsidR="00612E2C" w:rsidRPr="00612E2C" w:rsidRDefault="00612E2C" w:rsidP="00443352">
            <w:pPr>
              <w:autoSpaceDE w:val="0"/>
              <w:autoSpaceDN w:val="0"/>
              <w:adjustRightInd w:val="0"/>
              <w:spacing w:after="0"/>
              <w:jc w:val="left"/>
              <w:rPr>
                <w:sz w:val="20"/>
                <w:lang w:val="en-AU"/>
              </w:rPr>
            </w:pPr>
          </w:p>
        </w:tc>
        <w:tc>
          <w:tcPr>
            <w:tcW w:w="1526" w:type="dxa"/>
            <w:tcBorders>
              <w:top w:val="nil"/>
              <w:left w:val="single" w:sz="6" w:space="0" w:color="000000"/>
              <w:bottom w:val="nil"/>
              <w:right w:val="single" w:sz="6" w:space="0" w:color="000000"/>
            </w:tcBorders>
          </w:tcPr>
          <w:p w14:paraId="6F240834"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r w:rsidRPr="00612E2C">
              <w:rPr>
                <w:spacing w:val="-1"/>
                <w:sz w:val="20"/>
                <w:lang w:val="en-AU"/>
              </w:rPr>
              <w:t>[0.47,</w:t>
            </w:r>
            <w:r w:rsidRPr="00612E2C">
              <w:rPr>
                <w:sz w:val="20"/>
                <w:lang w:val="en-AU"/>
              </w:rPr>
              <w:t xml:space="preserve"> 0.90]</w:t>
            </w:r>
          </w:p>
        </w:tc>
      </w:tr>
      <w:tr w:rsidR="00612E2C" w:rsidRPr="00612E2C" w14:paraId="54666411" w14:textId="77777777" w:rsidTr="00A83012">
        <w:trPr>
          <w:trHeight w:hRule="exact" w:val="276"/>
        </w:trPr>
        <w:tc>
          <w:tcPr>
            <w:tcW w:w="2081" w:type="dxa"/>
            <w:vMerge/>
            <w:tcBorders>
              <w:top w:val="nil"/>
              <w:left w:val="single" w:sz="4" w:space="0" w:color="000000"/>
              <w:bottom w:val="single" w:sz="6" w:space="0" w:color="000000"/>
              <w:right w:val="single" w:sz="6" w:space="0" w:color="000000"/>
            </w:tcBorders>
          </w:tcPr>
          <w:p w14:paraId="5C237AC7"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p>
        </w:tc>
        <w:tc>
          <w:tcPr>
            <w:tcW w:w="1249" w:type="dxa"/>
            <w:vMerge w:val="restart"/>
            <w:tcBorders>
              <w:top w:val="nil"/>
              <w:left w:val="single" w:sz="6" w:space="0" w:color="000000"/>
              <w:bottom w:val="single" w:sz="6" w:space="0" w:color="000000"/>
              <w:right w:val="single" w:sz="6" w:space="0" w:color="000000"/>
            </w:tcBorders>
          </w:tcPr>
          <w:p w14:paraId="5829FA76" w14:textId="77777777" w:rsidR="00612E2C" w:rsidRPr="00612E2C" w:rsidRDefault="00612E2C" w:rsidP="00443352">
            <w:pPr>
              <w:kinsoku w:val="0"/>
              <w:overflowPunct w:val="0"/>
              <w:autoSpaceDE w:val="0"/>
              <w:autoSpaceDN w:val="0"/>
              <w:adjustRightInd w:val="0"/>
              <w:spacing w:after="0" w:line="263" w:lineRule="exact"/>
              <w:ind w:left="405"/>
              <w:jc w:val="left"/>
              <w:rPr>
                <w:sz w:val="20"/>
                <w:lang w:val="en-AU"/>
              </w:rPr>
            </w:pPr>
            <w:r w:rsidRPr="00612E2C">
              <w:rPr>
                <w:sz w:val="20"/>
                <w:lang w:val="en-AU"/>
              </w:rPr>
              <w:t>47.2</w:t>
            </w:r>
          </w:p>
        </w:tc>
        <w:tc>
          <w:tcPr>
            <w:tcW w:w="1248" w:type="dxa"/>
            <w:vMerge w:val="restart"/>
            <w:tcBorders>
              <w:top w:val="nil"/>
              <w:left w:val="single" w:sz="6" w:space="0" w:color="000000"/>
              <w:bottom w:val="single" w:sz="6" w:space="0" w:color="000000"/>
              <w:right w:val="single" w:sz="6" w:space="0" w:color="000000"/>
            </w:tcBorders>
          </w:tcPr>
          <w:p w14:paraId="5D7A565C" w14:textId="77777777" w:rsidR="00612E2C" w:rsidRPr="00612E2C" w:rsidRDefault="00612E2C" w:rsidP="00443352">
            <w:pPr>
              <w:kinsoku w:val="0"/>
              <w:overflowPunct w:val="0"/>
              <w:autoSpaceDE w:val="0"/>
              <w:autoSpaceDN w:val="0"/>
              <w:adjustRightInd w:val="0"/>
              <w:spacing w:after="0" w:line="263" w:lineRule="exact"/>
              <w:ind w:left="404"/>
              <w:jc w:val="left"/>
              <w:rPr>
                <w:sz w:val="20"/>
                <w:lang w:val="en-AU"/>
              </w:rPr>
            </w:pPr>
            <w:r w:rsidRPr="00612E2C">
              <w:rPr>
                <w:sz w:val="20"/>
                <w:lang w:val="en-AU"/>
              </w:rPr>
              <w:t>69.7</w:t>
            </w:r>
          </w:p>
        </w:tc>
        <w:tc>
          <w:tcPr>
            <w:tcW w:w="1666" w:type="dxa"/>
            <w:vMerge w:val="restart"/>
            <w:tcBorders>
              <w:top w:val="nil"/>
              <w:left w:val="single" w:sz="6" w:space="0" w:color="000000"/>
              <w:bottom w:val="single" w:sz="6" w:space="0" w:color="000000"/>
              <w:right w:val="single" w:sz="6" w:space="0" w:color="000000"/>
            </w:tcBorders>
          </w:tcPr>
          <w:p w14:paraId="394FEAED" w14:textId="77777777" w:rsidR="00612E2C" w:rsidRPr="00612E2C" w:rsidRDefault="00612E2C" w:rsidP="00443352">
            <w:pPr>
              <w:kinsoku w:val="0"/>
              <w:overflowPunct w:val="0"/>
              <w:autoSpaceDE w:val="0"/>
              <w:autoSpaceDN w:val="0"/>
              <w:adjustRightInd w:val="0"/>
              <w:spacing w:after="0" w:line="263" w:lineRule="exact"/>
              <w:ind w:left="426"/>
              <w:jc w:val="left"/>
              <w:rPr>
                <w:sz w:val="20"/>
                <w:lang w:val="en-AU"/>
              </w:rPr>
            </w:pPr>
            <w:r w:rsidRPr="00612E2C">
              <w:rPr>
                <w:spacing w:val="-1"/>
                <w:sz w:val="20"/>
                <w:lang w:val="en-AU"/>
              </w:rPr>
              <w:t>&lt;0.0001</w:t>
            </w:r>
          </w:p>
        </w:tc>
        <w:tc>
          <w:tcPr>
            <w:tcW w:w="1246" w:type="dxa"/>
            <w:vMerge w:val="restart"/>
            <w:tcBorders>
              <w:top w:val="nil"/>
              <w:left w:val="single" w:sz="6" w:space="0" w:color="000000"/>
              <w:bottom w:val="single" w:sz="6" w:space="0" w:color="000000"/>
              <w:right w:val="single" w:sz="6" w:space="0" w:color="000000"/>
            </w:tcBorders>
          </w:tcPr>
          <w:p w14:paraId="49F46854" w14:textId="77777777" w:rsidR="00612E2C" w:rsidRPr="00612E2C" w:rsidRDefault="00612E2C" w:rsidP="00443352">
            <w:pPr>
              <w:kinsoku w:val="0"/>
              <w:overflowPunct w:val="0"/>
              <w:autoSpaceDE w:val="0"/>
              <w:autoSpaceDN w:val="0"/>
              <w:adjustRightInd w:val="0"/>
              <w:spacing w:after="0" w:line="263" w:lineRule="exact"/>
              <w:ind w:left="224"/>
              <w:jc w:val="left"/>
              <w:rPr>
                <w:sz w:val="20"/>
                <w:lang w:val="en-AU"/>
              </w:rPr>
            </w:pPr>
            <w:r w:rsidRPr="00612E2C">
              <w:rPr>
                <w:sz w:val="20"/>
                <w:lang w:val="en-AU"/>
              </w:rPr>
              <w:t>48.1***</w:t>
            </w:r>
          </w:p>
        </w:tc>
        <w:tc>
          <w:tcPr>
            <w:tcW w:w="1526" w:type="dxa"/>
            <w:tcBorders>
              <w:top w:val="nil"/>
              <w:left w:val="single" w:sz="6" w:space="0" w:color="000000"/>
              <w:bottom w:val="nil"/>
              <w:right w:val="single" w:sz="6" w:space="0" w:color="000000"/>
            </w:tcBorders>
          </w:tcPr>
          <w:p w14:paraId="40533D60"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r w:rsidRPr="00612E2C">
              <w:rPr>
                <w:sz w:val="20"/>
                <w:lang w:val="en-AU"/>
              </w:rPr>
              <w:t>0.58</w:t>
            </w:r>
          </w:p>
        </w:tc>
      </w:tr>
      <w:tr w:rsidR="00612E2C" w:rsidRPr="00612E2C" w14:paraId="1D81F97C" w14:textId="77777777" w:rsidTr="00A83012">
        <w:trPr>
          <w:trHeight w:hRule="exact" w:val="271"/>
        </w:trPr>
        <w:tc>
          <w:tcPr>
            <w:tcW w:w="2081" w:type="dxa"/>
            <w:vMerge/>
            <w:tcBorders>
              <w:top w:val="nil"/>
              <w:left w:val="single" w:sz="4" w:space="0" w:color="000000"/>
              <w:bottom w:val="single" w:sz="6" w:space="0" w:color="000000"/>
              <w:right w:val="single" w:sz="6" w:space="0" w:color="000000"/>
            </w:tcBorders>
          </w:tcPr>
          <w:p w14:paraId="7719B1FF"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249" w:type="dxa"/>
            <w:vMerge/>
            <w:tcBorders>
              <w:top w:val="nil"/>
              <w:left w:val="single" w:sz="6" w:space="0" w:color="000000"/>
              <w:bottom w:val="single" w:sz="6" w:space="0" w:color="000000"/>
              <w:right w:val="single" w:sz="6" w:space="0" w:color="000000"/>
            </w:tcBorders>
          </w:tcPr>
          <w:p w14:paraId="2FCE6AF7"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248" w:type="dxa"/>
            <w:vMerge/>
            <w:tcBorders>
              <w:top w:val="nil"/>
              <w:left w:val="single" w:sz="6" w:space="0" w:color="000000"/>
              <w:bottom w:val="single" w:sz="6" w:space="0" w:color="000000"/>
              <w:right w:val="single" w:sz="6" w:space="0" w:color="000000"/>
            </w:tcBorders>
          </w:tcPr>
          <w:p w14:paraId="1CEA4BCA"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666" w:type="dxa"/>
            <w:vMerge/>
            <w:tcBorders>
              <w:top w:val="nil"/>
              <w:left w:val="single" w:sz="6" w:space="0" w:color="000000"/>
              <w:bottom w:val="single" w:sz="6" w:space="0" w:color="000000"/>
              <w:right w:val="single" w:sz="6" w:space="0" w:color="000000"/>
            </w:tcBorders>
          </w:tcPr>
          <w:p w14:paraId="636A57DA"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246" w:type="dxa"/>
            <w:vMerge/>
            <w:tcBorders>
              <w:top w:val="nil"/>
              <w:left w:val="single" w:sz="6" w:space="0" w:color="000000"/>
              <w:bottom w:val="single" w:sz="6" w:space="0" w:color="000000"/>
              <w:right w:val="single" w:sz="6" w:space="0" w:color="000000"/>
            </w:tcBorders>
          </w:tcPr>
          <w:p w14:paraId="01B92D60" w14:textId="77777777" w:rsidR="00612E2C" w:rsidRPr="00612E2C" w:rsidRDefault="00612E2C" w:rsidP="00443352">
            <w:pPr>
              <w:kinsoku w:val="0"/>
              <w:overflowPunct w:val="0"/>
              <w:autoSpaceDE w:val="0"/>
              <w:autoSpaceDN w:val="0"/>
              <w:adjustRightInd w:val="0"/>
              <w:spacing w:after="0" w:line="263" w:lineRule="exact"/>
              <w:jc w:val="left"/>
              <w:rPr>
                <w:sz w:val="20"/>
                <w:lang w:val="en-AU"/>
              </w:rPr>
            </w:pPr>
          </w:p>
        </w:tc>
        <w:tc>
          <w:tcPr>
            <w:tcW w:w="1526" w:type="dxa"/>
            <w:tcBorders>
              <w:top w:val="nil"/>
              <w:left w:val="single" w:sz="6" w:space="0" w:color="000000"/>
              <w:bottom w:val="single" w:sz="6" w:space="0" w:color="000000"/>
              <w:right w:val="single" w:sz="6" w:space="0" w:color="000000"/>
            </w:tcBorders>
          </w:tcPr>
          <w:p w14:paraId="380E73EC" w14:textId="77777777" w:rsidR="00612E2C" w:rsidRPr="00612E2C" w:rsidRDefault="00612E2C" w:rsidP="00443352">
            <w:pPr>
              <w:kinsoku w:val="0"/>
              <w:overflowPunct w:val="0"/>
              <w:autoSpaceDE w:val="0"/>
              <w:autoSpaceDN w:val="0"/>
              <w:adjustRightInd w:val="0"/>
              <w:spacing w:after="0" w:line="263" w:lineRule="exact"/>
              <w:ind w:left="193"/>
              <w:jc w:val="left"/>
              <w:rPr>
                <w:sz w:val="20"/>
                <w:lang w:val="en-AU"/>
              </w:rPr>
            </w:pPr>
            <w:r w:rsidRPr="00612E2C">
              <w:rPr>
                <w:spacing w:val="-1"/>
                <w:sz w:val="20"/>
                <w:lang w:val="en-AU"/>
              </w:rPr>
              <w:t>[0.47,</w:t>
            </w:r>
            <w:r w:rsidRPr="00612E2C">
              <w:rPr>
                <w:sz w:val="20"/>
                <w:lang w:val="en-AU"/>
              </w:rPr>
              <w:t xml:space="preserve"> 0.72]</w:t>
            </w:r>
          </w:p>
        </w:tc>
      </w:tr>
    </w:tbl>
    <w:p w14:paraId="1E4CBEE0" w14:textId="77777777" w:rsidR="00A83012" w:rsidRPr="00A83012" w:rsidRDefault="00A83012" w:rsidP="00443352">
      <w:pPr>
        <w:autoSpaceDE w:val="0"/>
        <w:autoSpaceDN w:val="0"/>
        <w:adjustRightInd w:val="0"/>
        <w:spacing w:after="0"/>
        <w:jc w:val="left"/>
        <w:rPr>
          <w:color w:val="000000"/>
          <w:sz w:val="20"/>
          <w:lang w:val="en-AU"/>
        </w:rPr>
      </w:pPr>
      <w:r w:rsidRPr="00A83012">
        <w:rPr>
          <w:color w:val="000000"/>
          <w:sz w:val="20"/>
          <w:lang w:val="en-AU"/>
        </w:rPr>
        <w:t xml:space="preserve">Response rate and CR rates analysed using Chi-squared Test. </w:t>
      </w:r>
    </w:p>
    <w:p w14:paraId="01434D07" w14:textId="77777777" w:rsidR="00A83012" w:rsidRPr="00A83012" w:rsidRDefault="00A83012" w:rsidP="00443352">
      <w:pPr>
        <w:autoSpaceDE w:val="0"/>
        <w:autoSpaceDN w:val="0"/>
        <w:adjustRightInd w:val="0"/>
        <w:spacing w:after="0"/>
        <w:jc w:val="left"/>
        <w:rPr>
          <w:color w:val="000000"/>
          <w:sz w:val="20"/>
          <w:lang w:val="en-AU"/>
        </w:rPr>
      </w:pPr>
      <w:r w:rsidRPr="00A83012">
        <w:rPr>
          <w:color w:val="000000"/>
          <w:sz w:val="20"/>
          <w:lang w:val="en-AU"/>
        </w:rPr>
        <w:t xml:space="preserve">* only applicable to patients with CR, </w:t>
      </w:r>
      <w:proofErr w:type="spellStart"/>
      <w:r w:rsidRPr="00A83012">
        <w:rPr>
          <w:color w:val="000000"/>
          <w:sz w:val="20"/>
          <w:lang w:val="en-AU"/>
        </w:rPr>
        <w:t>nPR</w:t>
      </w:r>
      <w:proofErr w:type="spellEnd"/>
      <w:r w:rsidRPr="00A83012">
        <w:rPr>
          <w:color w:val="000000"/>
          <w:sz w:val="20"/>
          <w:lang w:val="en-AU"/>
        </w:rPr>
        <w:t xml:space="preserve"> or PR as end-of-treatment response </w:t>
      </w:r>
    </w:p>
    <w:p w14:paraId="0DEEBB1F" w14:textId="77777777" w:rsidR="00A83012" w:rsidRPr="00A83012" w:rsidRDefault="00A83012" w:rsidP="00443352">
      <w:pPr>
        <w:autoSpaceDE w:val="0"/>
        <w:autoSpaceDN w:val="0"/>
        <w:adjustRightInd w:val="0"/>
        <w:spacing w:after="0"/>
        <w:jc w:val="left"/>
        <w:rPr>
          <w:color w:val="000000"/>
          <w:sz w:val="20"/>
          <w:lang w:val="en-AU"/>
        </w:rPr>
      </w:pPr>
      <w:r w:rsidRPr="00A83012">
        <w:rPr>
          <w:color w:val="000000"/>
          <w:sz w:val="20"/>
          <w:lang w:val="en-AU"/>
        </w:rPr>
        <w:t xml:space="preserve">** only applicable to patients with CR as end-of-treatment response </w:t>
      </w:r>
    </w:p>
    <w:p w14:paraId="1A8D42DF" w14:textId="77777777" w:rsidR="00A83012" w:rsidRPr="00A83012" w:rsidRDefault="00A83012" w:rsidP="00443352">
      <w:pPr>
        <w:autoSpaceDE w:val="0"/>
        <w:autoSpaceDN w:val="0"/>
        <w:adjustRightInd w:val="0"/>
        <w:spacing w:after="0"/>
        <w:jc w:val="left"/>
        <w:rPr>
          <w:color w:val="000000"/>
          <w:sz w:val="20"/>
          <w:lang w:val="en-AU"/>
        </w:rPr>
      </w:pPr>
      <w:r w:rsidRPr="00A83012">
        <w:rPr>
          <w:color w:val="000000"/>
          <w:sz w:val="20"/>
          <w:lang w:val="en-AU"/>
        </w:rPr>
        <w:t xml:space="preserve">*** ITT population: 409 FC, 408 R-FC </w:t>
      </w:r>
    </w:p>
    <w:p w14:paraId="384B233E" w14:textId="77777777" w:rsidR="00A83012" w:rsidRPr="00A83012" w:rsidRDefault="00A83012" w:rsidP="00443352">
      <w:pPr>
        <w:autoSpaceDE w:val="0"/>
        <w:autoSpaceDN w:val="0"/>
        <w:adjustRightInd w:val="0"/>
        <w:spacing w:after="0"/>
        <w:jc w:val="left"/>
        <w:rPr>
          <w:color w:val="000000"/>
          <w:sz w:val="20"/>
          <w:lang w:val="en-AU"/>
        </w:rPr>
      </w:pPr>
      <w:r w:rsidRPr="00A83012">
        <w:rPr>
          <w:color w:val="000000"/>
          <w:sz w:val="20"/>
          <w:lang w:val="en-AU"/>
        </w:rPr>
        <w:t xml:space="preserve">Abbreviations: CR: complete response; </w:t>
      </w:r>
      <w:proofErr w:type="spellStart"/>
      <w:r w:rsidRPr="00A83012">
        <w:rPr>
          <w:color w:val="000000"/>
          <w:sz w:val="20"/>
          <w:lang w:val="en-AU"/>
        </w:rPr>
        <w:t>nPR</w:t>
      </w:r>
      <w:proofErr w:type="spellEnd"/>
      <w:r w:rsidRPr="00A83012">
        <w:rPr>
          <w:color w:val="000000"/>
          <w:sz w:val="20"/>
          <w:lang w:val="en-AU"/>
        </w:rPr>
        <w:t xml:space="preserve">: nodular partial response; PR: partial response; NA: not available; NR: not reached </w:t>
      </w:r>
    </w:p>
    <w:p w14:paraId="3593C286" w14:textId="77777777" w:rsidR="00612E2C" w:rsidRPr="00A83012" w:rsidRDefault="00A83012" w:rsidP="00443352">
      <w:pPr>
        <w:pStyle w:val="CLDNormal"/>
        <w:jc w:val="left"/>
        <w:rPr>
          <w:sz w:val="20"/>
          <w:lang w:val="en-US"/>
        </w:rPr>
      </w:pPr>
      <w:r w:rsidRPr="00A83012">
        <w:rPr>
          <w:color w:val="000000"/>
          <w:sz w:val="20"/>
          <w:lang w:val="en-AU"/>
        </w:rPr>
        <w:t>Standard definitions and assessments for response were used in accordance with the National Cancer Institute-sponsored Working Group guidelines for CLL.</w:t>
      </w:r>
    </w:p>
    <w:p w14:paraId="009A6B4C" w14:textId="77777777" w:rsidR="00A83012" w:rsidRPr="006467E9" w:rsidRDefault="00A83012" w:rsidP="00443352">
      <w:pPr>
        <w:pStyle w:val="CLDNormal"/>
        <w:pageBreakBefore/>
        <w:jc w:val="left"/>
        <w:rPr>
          <w:sz w:val="22"/>
          <w:szCs w:val="22"/>
          <w:lang w:val="en-AU"/>
        </w:rPr>
      </w:pPr>
      <w:r w:rsidRPr="006467E9">
        <w:rPr>
          <w:b/>
          <w:sz w:val="22"/>
          <w:szCs w:val="22"/>
          <w:lang w:val="en-US"/>
        </w:rPr>
        <w:t xml:space="preserve">Table 11: Hazard ratios of PFS according to </w:t>
      </w:r>
      <w:proofErr w:type="spellStart"/>
      <w:r w:rsidRPr="006467E9">
        <w:rPr>
          <w:b/>
          <w:sz w:val="22"/>
          <w:szCs w:val="22"/>
          <w:lang w:val="en-US"/>
        </w:rPr>
        <w:t>Binet</w:t>
      </w:r>
      <w:proofErr w:type="spellEnd"/>
      <w:r w:rsidRPr="006467E9">
        <w:rPr>
          <w:b/>
          <w:sz w:val="22"/>
          <w:szCs w:val="22"/>
          <w:lang w:val="en-US"/>
        </w:rPr>
        <w:t xml:space="preserve"> stage (ITT) (20.7 and 48.1 months median observation time)</w:t>
      </w:r>
      <w:r w:rsidR="006E3A6E" w:rsidRPr="006467E9">
        <w:rPr>
          <w:b/>
          <w:sz w:val="22"/>
          <w:szCs w:val="22"/>
          <w:lang w:val="en-US"/>
        </w:rPr>
        <w:t xml:space="preserve"> </w:t>
      </w:r>
    </w:p>
    <w:tbl>
      <w:tblPr>
        <w:tblW w:w="9019" w:type="dxa"/>
        <w:tblInd w:w="94" w:type="dxa"/>
        <w:tblLayout w:type="fixed"/>
        <w:tblCellMar>
          <w:left w:w="0" w:type="dxa"/>
          <w:right w:w="0" w:type="dxa"/>
        </w:tblCellMar>
        <w:tblLook w:val="0000" w:firstRow="0" w:lastRow="0" w:firstColumn="0" w:lastColumn="0" w:noHBand="0" w:noVBand="0"/>
      </w:tblPr>
      <w:tblGrid>
        <w:gridCol w:w="1930"/>
        <w:gridCol w:w="1244"/>
        <w:gridCol w:w="1245"/>
        <w:gridCol w:w="1388"/>
        <w:gridCol w:w="1753"/>
        <w:gridCol w:w="1459"/>
      </w:tblGrid>
      <w:tr w:rsidR="00A83012" w:rsidRPr="00A83012" w14:paraId="3B8801F9" w14:textId="77777777" w:rsidTr="006E3A6E">
        <w:trPr>
          <w:trHeight w:hRule="exact" w:val="286"/>
        </w:trPr>
        <w:tc>
          <w:tcPr>
            <w:tcW w:w="1930" w:type="dxa"/>
            <w:vMerge w:val="restart"/>
            <w:tcBorders>
              <w:top w:val="single" w:sz="4" w:space="0" w:color="000000"/>
              <w:left w:val="single" w:sz="4" w:space="0" w:color="000000"/>
              <w:bottom w:val="single" w:sz="4" w:space="0" w:color="000000"/>
              <w:right w:val="single" w:sz="4" w:space="0" w:color="000000"/>
            </w:tcBorders>
          </w:tcPr>
          <w:p w14:paraId="3F12E334" w14:textId="77777777" w:rsidR="00A83012" w:rsidRPr="00A83012" w:rsidRDefault="00A83012" w:rsidP="00443352">
            <w:pPr>
              <w:pStyle w:val="CLDNormal"/>
              <w:ind w:left="360"/>
              <w:jc w:val="left"/>
              <w:rPr>
                <w:sz w:val="20"/>
                <w:lang w:val="en-AU"/>
              </w:rPr>
            </w:pPr>
            <w:r w:rsidRPr="00A83012">
              <w:rPr>
                <w:b/>
                <w:bCs/>
                <w:sz w:val="20"/>
                <w:lang w:val="en-AU"/>
              </w:rPr>
              <w:t>Progression-free survival</w:t>
            </w:r>
          </w:p>
        </w:tc>
        <w:tc>
          <w:tcPr>
            <w:tcW w:w="2489" w:type="dxa"/>
            <w:gridSpan w:val="2"/>
            <w:tcBorders>
              <w:top w:val="single" w:sz="4" w:space="0" w:color="000000"/>
              <w:left w:val="single" w:sz="4" w:space="0" w:color="000000"/>
              <w:bottom w:val="single" w:sz="4" w:space="0" w:color="000000"/>
              <w:right w:val="single" w:sz="4" w:space="0" w:color="000000"/>
            </w:tcBorders>
          </w:tcPr>
          <w:p w14:paraId="52A31C41" w14:textId="77777777" w:rsidR="00A83012" w:rsidRPr="00A83012" w:rsidRDefault="00A83012" w:rsidP="00443352">
            <w:pPr>
              <w:pStyle w:val="CLDNormal"/>
              <w:ind w:left="360"/>
              <w:jc w:val="left"/>
              <w:rPr>
                <w:sz w:val="20"/>
                <w:lang w:val="en-AU"/>
              </w:rPr>
            </w:pPr>
            <w:r w:rsidRPr="00A83012">
              <w:rPr>
                <w:b/>
                <w:bCs/>
                <w:sz w:val="20"/>
                <w:lang w:val="en-AU"/>
              </w:rPr>
              <w:t>Number of patients</w:t>
            </w:r>
          </w:p>
        </w:tc>
        <w:tc>
          <w:tcPr>
            <w:tcW w:w="1388" w:type="dxa"/>
            <w:vMerge w:val="restart"/>
            <w:tcBorders>
              <w:top w:val="single" w:sz="4" w:space="0" w:color="000000"/>
              <w:left w:val="single" w:sz="4" w:space="0" w:color="000000"/>
              <w:bottom w:val="single" w:sz="4" w:space="0" w:color="000000"/>
              <w:right w:val="single" w:sz="4" w:space="0" w:color="000000"/>
            </w:tcBorders>
          </w:tcPr>
          <w:p w14:paraId="567FD12A" w14:textId="77777777" w:rsidR="00A83012" w:rsidRPr="00A83012" w:rsidRDefault="00A83012" w:rsidP="00443352">
            <w:pPr>
              <w:pStyle w:val="CLDNormal"/>
              <w:ind w:left="360"/>
              <w:jc w:val="left"/>
              <w:rPr>
                <w:sz w:val="20"/>
                <w:lang w:val="en-AU"/>
              </w:rPr>
            </w:pPr>
            <w:r w:rsidRPr="00A83012">
              <w:rPr>
                <w:b/>
                <w:bCs/>
                <w:sz w:val="20"/>
                <w:lang w:val="en-AU"/>
              </w:rPr>
              <w:t>Median Follow-Up (Months)</w:t>
            </w:r>
          </w:p>
        </w:tc>
        <w:tc>
          <w:tcPr>
            <w:tcW w:w="1753" w:type="dxa"/>
            <w:vMerge w:val="restart"/>
            <w:tcBorders>
              <w:top w:val="single" w:sz="4" w:space="0" w:color="000000"/>
              <w:left w:val="single" w:sz="4" w:space="0" w:color="000000"/>
              <w:bottom w:val="single" w:sz="4" w:space="0" w:color="000000"/>
              <w:right w:val="single" w:sz="4" w:space="0" w:color="000000"/>
            </w:tcBorders>
          </w:tcPr>
          <w:p w14:paraId="00881326" w14:textId="77777777" w:rsidR="00A83012" w:rsidRPr="00A83012" w:rsidRDefault="00A83012" w:rsidP="00443352">
            <w:pPr>
              <w:pStyle w:val="CLDNormal"/>
              <w:ind w:left="360"/>
              <w:jc w:val="left"/>
              <w:rPr>
                <w:sz w:val="20"/>
                <w:lang w:val="en-AU"/>
              </w:rPr>
            </w:pPr>
            <w:r w:rsidRPr="00A83012">
              <w:rPr>
                <w:b/>
                <w:bCs/>
                <w:sz w:val="20"/>
                <w:lang w:val="en-AU"/>
              </w:rPr>
              <w:t>Hazard Ratio R-FC vs. FC (95% CI)</w:t>
            </w:r>
          </w:p>
        </w:tc>
        <w:tc>
          <w:tcPr>
            <w:tcW w:w="1459" w:type="dxa"/>
            <w:vMerge w:val="restart"/>
            <w:tcBorders>
              <w:top w:val="single" w:sz="4" w:space="0" w:color="000000"/>
              <w:left w:val="single" w:sz="4" w:space="0" w:color="000000"/>
              <w:bottom w:val="single" w:sz="4" w:space="0" w:color="000000"/>
              <w:right w:val="single" w:sz="4" w:space="0" w:color="000000"/>
            </w:tcBorders>
          </w:tcPr>
          <w:p w14:paraId="7F5358F1" w14:textId="77777777" w:rsidR="00A83012" w:rsidRPr="00A83012" w:rsidRDefault="00A83012" w:rsidP="00443352">
            <w:pPr>
              <w:pStyle w:val="CLDNormal"/>
              <w:ind w:left="360"/>
              <w:jc w:val="left"/>
              <w:rPr>
                <w:sz w:val="20"/>
                <w:lang w:val="en-AU"/>
              </w:rPr>
            </w:pPr>
            <w:r w:rsidRPr="00A83012">
              <w:rPr>
                <w:b/>
                <w:bCs/>
                <w:sz w:val="20"/>
                <w:lang w:val="en-AU"/>
              </w:rPr>
              <w:t>Log-Rank p value</w:t>
            </w:r>
          </w:p>
        </w:tc>
      </w:tr>
      <w:tr w:rsidR="00A83012" w:rsidRPr="00A83012" w14:paraId="21B6897B" w14:textId="77777777" w:rsidTr="006E3A6E">
        <w:trPr>
          <w:trHeight w:hRule="exact" w:val="552"/>
        </w:trPr>
        <w:tc>
          <w:tcPr>
            <w:tcW w:w="1930" w:type="dxa"/>
            <w:vMerge/>
            <w:tcBorders>
              <w:top w:val="single" w:sz="4" w:space="0" w:color="000000"/>
              <w:left w:val="single" w:sz="4" w:space="0" w:color="000000"/>
              <w:bottom w:val="single" w:sz="4" w:space="0" w:color="000000"/>
              <w:right w:val="single" w:sz="4" w:space="0" w:color="000000"/>
            </w:tcBorders>
          </w:tcPr>
          <w:p w14:paraId="6BC08C8A" w14:textId="77777777" w:rsidR="00A83012" w:rsidRPr="00A83012" w:rsidRDefault="00A83012" w:rsidP="00443352">
            <w:pPr>
              <w:pStyle w:val="CLDNormal"/>
              <w:ind w:left="360"/>
              <w:jc w:val="left"/>
              <w:rPr>
                <w:sz w:val="20"/>
                <w:lang w:val="en-AU"/>
              </w:rPr>
            </w:pPr>
          </w:p>
        </w:tc>
        <w:tc>
          <w:tcPr>
            <w:tcW w:w="1244" w:type="dxa"/>
            <w:tcBorders>
              <w:top w:val="single" w:sz="4" w:space="0" w:color="000000"/>
              <w:left w:val="single" w:sz="4" w:space="0" w:color="000000"/>
              <w:bottom w:val="single" w:sz="4" w:space="0" w:color="000000"/>
              <w:right w:val="single" w:sz="4" w:space="0" w:color="000000"/>
            </w:tcBorders>
          </w:tcPr>
          <w:p w14:paraId="54DC773A" w14:textId="77777777" w:rsidR="00A83012" w:rsidRPr="00A83012" w:rsidRDefault="00A83012" w:rsidP="00443352">
            <w:pPr>
              <w:pStyle w:val="CLDNormal"/>
              <w:ind w:left="360"/>
              <w:jc w:val="left"/>
              <w:rPr>
                <w:sz w:val="20"/>
                <w:lang w:val="en-AU"/>
              </w:rPr>
            </w:pPr>
            <w:r w:rsidRPr="00A83012">
              <w:rPr>
                <w:b/>
                <w:bCs/>
                <w:sz w:val="20"/>
                <w:lang w:val="en-AU"/>
              </w:rPr>
              <w:t>FC</w:t>
            </w:r>
          </w:p>
        </w:tc>
        <w:tc>
          <w:tcPr>
            <w:tcW w:w="1245" w:type="dxa"/>
            <w:tcBorders>
              <w:top w:val="single" w:sz="4" w:space="0" w:color="000000"/>
              <w:left w:val="single" w:sz="4" w:space="0" w:color="000000"/>
              <w:bottom w:val="single" w:sz="4" w:space="0" w:color="000000"/>
              <w:right w:val="single" w:sz="4" w:space="0" w:color="000000"/>
            </w:tcBorders>
          </w:tcPr>
          <w:p w14:paraId="28D6D7E5" w14:textId="77777777" w:rsidR="00A83012" w:rsidRPr="00A83012" w:rsidRDefault="00A83012" w:rsidP="00443352">
            <w:pPr>
              <w:pStyle w:val="CLDNormal"/>
              <w:ind w:left="360"/>
              <w:jc w:val="left"/>
              <w:rPr>
                <w:sz w:val="20"/>
                <w:lang w:val="en-AU"/>
              </w:rPr>
            </w:pPr>
            <w:r w:rsidRPr="00A83012">
              <w:rPr>
                <w:b/>
                <w:bCs/>
                <w:sz w:val="20"/>
                <w:lang w:val="en-AU"/>
              </w:rPr>
              <w:t>R-FC</w:t>
            </w:r>
          </w:p>
        </w:tc>
        <w:tc>
          <w:tcPr>
            <w:tcW w:w="1388" w:type="dxa"/>
            <w:vMerge/>
            <w:tcBorders>
              <w:top w:val="single" w:sz="4" w:space="0" w:color="000000"/>
              <w:left w:val="single" w:sz="4" w:space="0" w:color="000000"/>
              <w:bottom w:val="single" w:sz="4" w:space="0" w:color="000000"/>
              <w:right w:val="single" w:sz="4" w:space="0" w:color="000000"/>
            </w:tcBorders>
          </w:tcPr>
          <w:p w14:paraId="55252E47" w14:textId="77777777" w:rsidR="00A83012" w:rsidRPr="00A83012" w:rsidRDefault="00A83012" w:rsidP="00443352">
            <w:pPr>
              <w:pStyle w:val="CLDNormal"/>
              <w:ind w:left="360"/>
              <w:jc w:val="left"/>
              <w:rPr>
                <w:sz w:val="20"/>
                <w:lang w:val="en-AU"/>
              </w:rPr>
            </w:pPr>
          </w:p>
        </w:tc>
        <w:tc>
          <w:tcPr>
            <w:tcW w:w="1753" w:type="dxa"/>
            <w:vMerge/>
            <w:tcBorders>
              <w:top w:val="single" w:sz="4" w:space="0" w:color="000000"/>
              <w:left w:val="single" w:sz="4" w:space="0" w:color="000000"/>
              <w:bottom w:val="single" w:sz="4" w:space="0" w:color="000000"/>
              <w:right w:val="single" w:sz="4" w:space="0" w:color="000000"/>
            </w:tcBorders>
          </w:tcPr>
          <w:p w14:paraId="0E6D3B94" w14:textId="77777777" w:rsidR="00A83012" w:rsidRPr="00A83012" w:rsidRDefault="00A83012" w:rsidP="00443352">
            <w:pPr>
              <w:pStyle w:val="CLDNormal"/>
              <w:ind w:left="360"/>
              <w:jc w:val="left"/>
              <w:rPr>
                <w:sz w:val="20"/>
                <w:lang w:val="en-AU"/>
              </w:rPr>
            </w:pPr>
          </w:p>
        </w:tc>
        <w:tc>
          <w:tcPr>
            <w:tcW w:w="1459" w:type="dxa"/>
            <w:vMerge/>
            <w:tcBorders>
              <w:top w:val="single" w:sz="4" w:space="0" w:color="000000"/>
              <w:left w:val="single" w:sz="4" w:space="0" w:color="000000"/>
              <w:bottom w:val="single" w:sz="4" w:space="0" w:color="000000"/>
              <w:right w:val="single" w:sz="4" w:space="0" w:color="000000"/>
            </w:tcBorders>
          </w:tcPr>
          <w:p w14:paraId="0F9351D1" w14:textId="77777777" w:rsidR="00A83012" w:rsidRPr="00A83012" w:rsidRDefault="00A83012" w:rsidP="00443352">
            <w:pPr>
              <w:pStyle w:val="CLDNormal"/>
              <w:ind w:left="360"/>
              <w:jc w:val="left"/>
              <w:rPr>
                <w:sz w:val="20"/>
                <w:lang w:val="en-AU"/>
              </w:rPr>
            </w:pPr>
          </w:p>
        </w:tc>
      </w:tr>
      <w:tr w:rsidR="00A83012" w:rsidRPr="00A83012" w14:paraId="73323C8A" w14:textId="77777777" w:rsidTr="006E3A6E">
        <w:trPr>
          <w:trHeight w:hRule="exact" w:val="293"/>
        </w:trPr>
        <w:tc>
          <w:tcPr>
            <w:tcW w:w="1930" w:type="dxa"/>
            <w:vMerge w:val="restart"/>
            <w:tcBorders>
              <w:top w:val="single" w:sz="4" w:space="0" w:color="000000"/>
              <w:left w:val="single" w:sz="4" w:space="0" w:color="000000"/>
              <w:bottom w:val="single" w:sz="4" w:space="0" w:color="000000"/>
              <w:right w:val="single" w:sz="4" w:space="0" w:color="000000"/>
            </w:tcBorders>
          </w:tcPr>
          <w:p w14:paraId="72C50341" w14:textId="77777777" w:rsidR="00A83012" w:rsidRPr="00A83012" w:rsidRDefault="00A83012" w:rsidP="00443352">
            <w:pPr>
              <w:pStyle w:val="CLDNormal"/>
              <w:ind w:left="360"/>
              <w:jc w:val="left"/>
              <w:rPr>
                <w:sz w:val="20"/>
                <w:lang w:val="en-AU"/>
              </w:rPr>
            </w:pPr>
            <w:proofErr w:type="spellStart"/>
            <w:r w:rsidRPr="00A83012">
              <w:rPr>
                <w:sz w:val="20"/>
                <w:lang w:val="en-AU"/>
              </w:rPr>
              <w:t>Binet</w:t>
            </w:r>
            <w:proofErr w:type="spellEnd"/>
            <w:r w:rsidRPr="00A83012">
              <w:rPr>
                <w:sz w:val="20"/>
                <w:lang w:val="en-AU"/>
              </w:rPr>
              <w:t xml:space="preserve"> Stage A</w:t>
            </w:r>
          </w:p>
        </w:tc>
        <w:tc>
          <w:tcPr>
            <w:tcW w:w="1244" w:type="dxa"/>
            <w:tcBorders>
              <w:top w:val="single" w:sz="4" w:space="0" w:color="000000"/>
              <w:left w:val="single" w:sz="4" w:space="0" w:color="000000"/>
              <w:bottom w:val="nil"/>
              <w:right w:val="single" w:sz="4" w:space="0" w:color="000000"/>
            </w:tcBorders>
          </w:tcPr>
          <w:p w14:paraId="0B1AD113" w14:textId="77777777" w:rsidR="00A83012" w:rsidRPr="00A83012" w:rsidRDefault="00A83012" w:rsidP="00443352">
            <w:pPr>
              <w:pStyle w:val="CLDNormal"/>
              <w:ind w:left="360"/>
              <w:jc w:val="left"/>
              <w:rPr>
                <w:sz w:val="20"/>
                <w:lang w:val="en-AU"/>
              </w:rPr>
            </w:pPr>
            <w:r w:rsidRPr="00A83012">
              <w:rPr>
                <w:sz w:val="20"/>
                <w:lang w:val="en-AU"/>
              </w:rPr>
              <w:t>22</w:t>
            </w:r>
          </w:p>
        </w:tc>
        <w:tc>
          <w:tcPr>
            <w:tcW w:w="1245" w:type="dxa"/>
            <w:tcBorders>
              <w:top w:val="single" w:sz="4" w:space="0" w:color="000000"/>
              <w:left w:val="single" w:sz="4" w:space="0" w:color="000000"/>
              <w:bottom w:val="nil"/>
              <w:right w:val="single" w:sz="4" w:space="0" w:color="000000"/>
            </w:tcBorders>
          </w:tcPr>
          <w:p w14:paraId="1ED36E24" w14:textId="77777777" w:rsidR="00A83012" w:rsidRPr="00A83012" w:rsidRDefault="00A83012" w:rsidP="00443352">
            <w:pPr>
              <w:pStyle w:val="CLDNormal"/>
              <w:ind w:left="360"/>
              <w:jc w:val="left"/>
              <w:rPr>
                <w:sz w:val="20"/>
                <w:lang w:val="en-AU"/>
              </w:rPr>
            </w:pPr>
            <w:r w:rsidRPr="00A83012">
              <w:rPr>
                <w:sz w:val="20"/>
                <w:lang w:val="en-AU"/>
              </w:rPr>
              <w:t>18</w:t>
            </w:r>
          </w:p>
        </w:tc>
        <w:tc>
          <w:tcPr>
            <w:tcW w:w="1388" w:type="dxa"/>
            <w:tcBorders>
              <w:top w:val="single" w:sz="4" w:space="0" w:color="000000"/>
              <w:left w:val="single" w:sz="4" w:space="0" w:color="000000"/>
              <w:bottom w:val="nil"/>
              <w:right w:val="single" w:sz="4" w:space="0" w:color="000000"/>
            </w:tcBorders>
          </w:tcPr>
          <w:p w14:paraId="3035234F" w14:textId="77777777" w:rsidR="00A83012" w:rsidRPr="00A83012" w:rsidRDefault="00A83012" w:rsidP="00443352">
            <w:pPr>
              <w:pStyle w:val="CLDNormal"/>
              <w:ind w:left="360"/>
              <w:jc w:val="left"/>
              <w:rPr>
                <w:sz w:val="20"/>
                <w:lang w:val="en-AU"/>
              </w:rPr>
            </w:pPr>
            <w:r w:rsidRPr="00A83012">
              <w:rPr>
                <w:sz w:val="20"/>
                <w:lang w:val="en-AU"/>
              </w:rPr>
              <w:t>20.7</w:t>
            </w:r>
          </w:p>
        </w:tc>
        <w:tc>
          <w:tcPr>
            <w:tcW w:w="1753" w:type="dxa"/>
            <w:tcBorders>
              <w:top w:val="single" w:sz="4" w:space="0" w:color="000000"/>
              <w:left w:val="single" w:sz="4" w:space="0" w:color="000000"/>
              <w:bottom w:val="nil"/>
              <w:right w:val="single" w:sz="4" w:space="0" w:color="000000"/>
            </w:tcBorders>
          </w:tcPr>
          <w:p w14:paraId="01986B70" w14:textId="77777777" w:rsidR="00A83012" w:rsidRPr="00A83012" w:rsidRDefault="00A83012" w:rsidP="00443352">
            <w:pPr>
              <w:pStyle w:val="CLDNormal"/>
              <w:ind w:left="360"/>
              <w:jc w:val="left"/>
              <w:rPr>
                <w:sz w:val="20"/>
                <w:lang w:val="en-AU"/>
              </w:rPr>
            </w:pPr>
            <w:r w:rsidRPr="00A83012">
              <w:rPr>
                <w:sz w:val="20"/>
                <w:lang w:val="en-AU"/>
              </w:rPr>
              <w:t>0.13</w:t>
            </w:r>
          </w:p>
        </w:tc>
        <w:tc>
          <w:tcPr>
            <w:tcW w:w="1459" w:type="dxa"/>
            <w:tcBorders>
              <w:top w:val="single" w:sz="4" w:space="0" w:color="000000"/>
              <w:left w:val="single" w:sz="4" w:space="0" w:color="000000"/>
              <w:bottom w:val="nil"/>
              <w:right w:val="single" w:sz="4" w:space="0" w:color="000000"/>
            </w:tcBorders>
          </w:tcPr>
          <w:p w14:paraId="4F5E6414" w14:textId="77777777" w:rsidR="00A83012" w:rsidRPr="00A83012" w:rsidRDefault="00A83012" w:rsidP="00443352">
            <w:pPr>
              <w:pStyle w:val="CLDNormal"/>
              <w:ind w:left="360"/>
              <w:jc w:val="left"/>
              <w:rPr>
                <w:sz w:val="20"/>
                <w:lang w:val="en-AU"/>
              </w:rPr>
            </w:pPr>
            <w:r w:rsidRPr="00A83012">
              <w:rPr>
                <w:sz w:val="20"/>
                <w:lang w:val="en-AU"/>
              </w:rPr>
              <w:t>0.0025</w:t>
            </w:r>
          </w:p>
        </w:tc>
      </w:tr>
      <w:tr w:rsidR="00A83012" w:rsidRPr="00A83012" w14:paraId="67E37651" w14:textId="77777777" w:rsidTr="006E3A6E">
        <w:trPr>
          <w:trHeight w:hRule="exact" w:val="276"/>
        </w:trPr>
        <w:tc>
          <w:tcPr>
            <w:tcW w:w="1930" w:type="dxa"/>
            <w:vMerge/>
            <w:tcBorders>
              <w:top w:val="single" w:sz="4" w:space="0" w:color="000000"/>
              <w:left w:val="single" w:sz="4" w:space="0" w:color="000000"/>
              <w:bottom w:val="single" w:sz="4" w:space="0" w:color="000000"/>
              <w:right w:val="single" w:sz="4" w:space="0" w:color="000000"/>
            </w:tcBorders>
          </w:tcPr>
          <w:p w14:paraId="6949674D" w14:textId="77777777" w:rsidR="00A83012" w:rsidRPr="00A83012" w:rsidRDefault="00A83012" w:rsidP="00443352">
            <w:pPr>
              <w:pStyle w:val="CLDNormal"/>
              <w:ind w:left="360"/>
              <w:jc w:val="left"/>
              <w:rPr>
                <w:sz w:val="20"/>
                <w:lang w:val="en-AU"/>
              </w:rPr>
            </w:pPr>
          </w:p>
        </w:tc>
        <w:tc>
          <w:tcPr>
            <w:tcW w:w="1244" w:type="dxa"/>
            <w:tcBorders>
              <w:top w:val="nil"/>
              <w:left w:val="single" w:sz="4" w:space="0" w:color="000000"/>
              <w:bottom w:val="nil"/>
              <w:right w:val="single" w:sz="4" w:space="0" w:color="000000"/>
            </w:tcBorders>
          </w:tcPr>
          <w:p w14:paraId="400CE7D7" w14:textId="77777777" w:rsidR="00A83012" w:rsidRPr="00A83012" w:rsidRDefault="00A83012" w:rsidP="00443352">
            <w:pPr>
              <w:pStyle w:val="CLDNormal"/>
              <w:ind w:left="360"/>
              <w:jc w:val="left"/>
              <w:rPr>
                <w:sz w:val="20"/>
                <w:lang w:val="en-AU"/>
              </w:rPr>
            </w:pPr>
          </w:p>
        </w:tc>
        <w:tc>
          <w:tcPr>
            <w:tcW w:w="1245" w:type="dxa"/>
            <w:tcBorders>
              <w:top w:val="nil"/>
              <w:left w:val="single" w:sz="4" w:space="0" w:color="000000"/>
              <w:bottom w:val="nil"/>
              <w:right w:val="single" w:sz="4" w:space="0" w:color="000000"/>
            </w:tcBorders>
          </w:tcPr>
          <w:p w14:paraId="4A26E80A" w14:textId="77777777" w:rsidR="00A83012" w:rsidRPr="00A83012" w:rsidRDefault="00A83012" w:rsidP="00443352">
            <w:pPr>
              <w:pStyle w:val="CLDNormal"/>
              <w:ind w:left="360"/>
              <w:jc w:val="left"/>
              <w:rPr>
                <w:sz w:val="20"/>
                <w:lang w:val="en-AU"/>
              </w:rPr>
            </w:pPr>
          </w:p>
        </w:tc>
        <w:tc>
          <w:tcPr>
            <w:tcW w:w="1388" w:type="dxa"/>
            <w:tcBorders>
              <w:top w:val="nil"/>
              <w:left w:val="single" w:sz="4" w:space="0" w:color="000000"/>
              <w:bottom w:val="nil"/>
              <w:right w:val="single" w:sz="4" w:space="0" w:color="000000"/>
            </w:tcBorders>
          </w:tcPr>
          <w:p w14:paraId="51A0A5AB" w14:textId="77777777" w:rsidR="00A83012" w:rsidRPr="00A83012" w:rsidRDefault="00A83012" w:rsidP="00443352">
            <w:pPr>
              <w:pStyle w:val="CLDNormal"/>
              <w:ind w:left="360"/>
              <w:jc w:val="left"/>
              <w:rPr>
                <w:sz w:val="20"/>
                <w:lang w:val="en-AU"/>
              </w:rPr>
            </w:pPr>
          </w:p>
        </w:tc>
        <w:tc>
          <w:tcPr>
            <w:tcW w:w="1753" w:type="dxa"/>
            <w:tcBorders>
              <w:top w:val="nil"/>
              <w:left w:val="single" w:sz="4" w:space="0" w:color="000000"/>
              <w:bottom w:val="nil"/>
              <w:right w:val="single" w:sz="4" w:space="0" w:color="000000"/>
            </w:tcBorders>
          </w:tcPr>
          <w:p w14:paraId="1B006964" w14:textId="77777777" w:rsidR="00A83012" w:rsidRPr="00A83012" w:rsidRDefault="00A83012" w:rsidP="00443352">
            <w:pPr>
              <w:pStyle w:val="CLDNormal"/>
              <w:ind w:left="360"/>
              <w:jc w:val="left"/>
              <w:rPr>
                <w:sz w:val="20"/>
                <w:lang w:val="en-AU"/>
              </w:rPr>
            </w:pPr>
            <w:r w:rsidRPr="00A83012">
              <w:rPr>
                <w:sz w:val="20"/>
                <w:lang w:val="en-AU"/>
              </w:rPr>
              <w:t>[0.03, 0.61]</w:t>
            </w:r>
          </w:p>
        </w:tc>
        <w:tc>
          <w:tcPr>
            <w:tcW w:w="1459" w:type="dxa"/>
            <w:tcBorders>
              <w:top w:val="nil"/>
              <w:left w:val="single" w:sz="4" w:space="0" w:color="000000"/>
              <w:bottom w:val="nil"/>
              <w:right w:val="single" w:sz="4" w:space="0" w:color="000000"/>
            </w:tcBorders>
          </w:tcPr>
          <w:p w14:paraId="79D7D3C0" w14:textId="77777777" w:rsidR="00A83012" w:rsidRPr="00A83012" w:rsidRDefault="00A83012" w:rsidP="00443352">
            <w:pPr>
              <w:pStyle w:val="CLDNormal"/>
              <w:ind w:left="360"/>
              <w:jc w:val="left"/>
              <w:rPr>
                <w:sz w:val="20"/>
                <w:lang w:val="en-AU"/>
              </w:rPr>
            </w:pPr>
          </w:p>
        </w:tc>
      </w:tr>
      <w:tr w:rsidR="00A83012" w:rsidRPr="00A83012" w14:paraId="42DED8CF" w14:textId="77777777" w:rsidTr="006E3A6E">
        <w:trPr>
          <w:trHeight w:hRule="exact" w:val="276"/>
        </w:trPr>
        <w:tc>
          <w:tcPr>
            <w:tcW w:w="1930" w:type="dxa"/>
            <w:vMerge/>
            <w:tcBorders>
              <w:top w:val="single" w:sz="4" w:space="0" w:color="000000"/>
              <w:left w:val="single" w:sz="4" w:space="0" w:color="000000"/>
              <w:bottom w:val="single" w:sz="4" w:space="0" w:color="000000"/>
              <w:right w:val="single" w:sz="4" w:space="0" w:color="000000"/>
            </w:tcBorders>
          </w:tcPr>
          <w:p w14:paraId="1C3EEE26" w14:textId="77777777" w:rsidR="00A83012" w:rsidRPr="00A83012" w:rsidRDefault="00A83012" w:rsidP="00443352">
            <w:pPr>
              <w:pStyle w:val="CLDNormal"/>
              <w:ind w:left="360"/>
              <w:jc w:val="left"/>
              <w:rPr>
                <w:sz w:val="20"/>
                <w:lang w:val="en-AU"/>
              </w:rPr>
            </w:pPr>
          </w:p>
        </w:tc>
        <w:tc>
          <w:tcPr>
            <w:tcW w:w="1244" w:type="dxa"/>
            <w:vMerge w:val="restart"/>
            <w:tcBorders>
              <w:top w:val="nil"/>
              <w:left w:val="single" w:sz="4" w:space="0" w:color="000000"/>
              <w:bottom w:val="single" w:sz="4" w:space="0" w:color="000000"/>
              <w:right w:val="single" w:sz="4" w:space="0" w:color="000000"/>
            </w:tcBorders>
          </w:tcPr>
          <w:p w14:paraId="3542F0C9" w14:textId="77777777" w:rsidR="00A83012" w:rsidRPr="00A83012" w:rsidRDefault="00A83012" w:rsidP="00443352">
            <w:pPr>
              <w:pStyle w:val="CLDNormal"/>
              <w:ind w:left="360"/>
              <w:jc w:val="left"/>
              <w:rPr>
                <w:sz w:val="20"/>
                <w:lang w:val="en-AU"/>
              </w:rPr>
            </w:pPr>
            <w:r w:rsidRPr="00A83012">
              <w:rPr>
                <w:sz w:val="20"/>
                <w:lang w:val="en-AU"/>
              </w:rPr>
              <w:t>22</w:t>
            </w:r>
          </w:p>
        </w:tc>
        <w:tc>
          <w:tcPr>
            <w:tcW w:w="1245" w:type="dxa"/>
            <w:vMerge w:val="restart"/>
            <w:tcBorders>
              <w:top w:val="nil"/>
              <w:left w:val="single" w:sz="4" w:space="0" w:color="000000"/>
              <w:bottom w:val="single" w:sz="4" w:space="0" w:color="000000"/>
              <w:right w:val="single" w:sz="4" w:space="0" w:color="000000"/>
            </w:tcBorders>
          </w:tcPr>
          <w:p w14:paraId="641C25B6" w14:textId="77777777" w:rsidR="00A83012" w:rsidRPr="00A83012" w:rsidRDefault="00A83012" w:rsidP="00443352">
            <w:pPr>
              <w:pStyle w:val="CLDNormal"/>
              <w:ind w:left="360"/>
              <w:jc w:val="left"/>
              <w:rPr>
                <w:sz w:val="20"/>
                <w:lang w:val="en-AU"/>
              </w:rPr>
            </w:pPr>
            <w:r w:rsidRPr="00A83012">
              <w:rPr>
                <w:sz w:val="20"/>
                <w:lang w:val="en-AU"/>
              </w:rPr>
              <w:t>18</w:t>
            </w:r>
          </w:p>
        </w:tc>
        <w:tc>
          <w:tcPr>
            <w:tcW w:w="1388" w:type="dxa"/>
            <w:vMerge w:val="restart"/>
            <w:tcBorders>
              <w:top w:val="nil"/>
              <w:left w:val="single" w:sz="4" w:space="0" w:color="000000"/>
              <w:bottom w:val="single" w:sz="4" w:space="0" w:color="000000"/>
              <w:right w:val="single" w:sz="4" w:space="0" w:color="000000"/>
            </w:tcBorders>
          </w:tcPr>
          <w:p w14:paraId="26DF9707" w14:textId="77777777" w:rsidR="00A83012" w:rsidRPr="00A83012" w:rsidRDefault="00A83012" w:rsidP="00443352">
            <w:pPr>
              <w:pStyle w:val="CLDNormal"/>
              <w:ind w:left="360"/>
              <w:jc w:val="left"/>
              <w:rPr>
                <w:sz w:val="20"/>
                <w:lang w:val="en-AU"/>
              </w:rPr>
            </w:pPr>
            <w:r w:rsidRPr="00A83012">
              <w:rPr>
                <w:sz w:val="20"/>
                <w:lang w:val="en-AU"/>
              </w:rPr>
              <w:t>48.1*</w:t>
            </w:r>
          </w:p>
        </w:tc>
        <w:tc>
          <w:tcPr>
            <w:tcW w:w="1753" w:type="dxa"/>
            <w:tcBorders>
              <w:top w:val="nil"/>
              <w:left w:val="single" w:sz="4" w:space="0" w:color="000000"/>
              <w:bottom w:val="nil"/>
              <w:right w:val="single" w:sz="4" w:space="0" w:color="000000"/>
            </w:tcBorders>
          </w:tcPr>
          <w:p w14:paraId="6AB1AE33" w14:textId="77777777" w:rsidR="00A83012" w:rsidRPr="00A83012" w:rsidRDefault="00A83012" w:rsidP="00443352">
            <w:pPr>
              <w:pStyle w:val="CLDNormal"/>
              <w:ind w:left="360"/>
              <w:jc w:val="left"/>
              <w:rPr>
                <w:sz w:val="20"/>
                <w:lang w:val="en-AU"/>
              </w:rPr>
            </w:pPr>
            <w:r w:rsidRPr="00A83012">
              <w:rPr>
                <w:sz w:val="20"/>
                <w:lang w:val="en-AU"/>
              </w:rPr>
              <w:t>0.39</w:t>
            </w:r>
          </w:p>
        </w:tc>
        <w:tc>
          <w:tcPr>
            <w:tcW w:w="1459" w:type="dxa"/>
            <w:vMerge w:val="restart"/>
            <w:tcBorders>
              <w:top w:val="nil"/>
              <w:left w:val="single" w:sz="4" w:space="0" w:color="000000"/>
              <w:bottom w:val="single" w:sz="4" w:space="0" w:color="000000"/>
              <w:right w:val="single" w:sz="4" w:space="0" w:color="000000"/>
            </w:tcBorders>
          </w:tcPr>
          <w:p w14:paraId="3D74BF62" w14:textId="77777777" w:rsidR="00A83012" w:rsidRPr="00A83012" w:rsidRDefault="00A83012" w:rsidP="00443352">
            <w:pPr>
              <w:pStyle w:val="CLDNormal"/>
              <w:ind w:left="360"/>
              <w:jc w:val="left"/>
              <w:rPr>
                <w:sz w:val="20"/>
                <w:lang w:val="en-AU"/>
              </w:rPr>
            </w:pPr>
            <w:r w:rsidRPr="00A83012">
              <w:rPr>
                <w:sz w:val="20"/>
                <w:lang w:val="en-AU"/>
              </w:rPr>
              <w:t>0.0370</w:t>
            </w:r>
          </w:p>
        </w:tc>
      </w:tr>
      <w:tr w:rsidR="00A83012" w:rsidRPr="00A83012" w14:paraId="27492F10" w14:textId="77777777" w:rsidTr="006E3A6E">
        <w:trPr>
          <w:trHeight w:hRule="exact" w:val="269"/>
        </w:trPr>
        <w:tc>
          <w:tcPr>
            <w:tcW w:w="1930" w:type="dxa"/>
            <w:vMerge/>
            <w:tcBorders>
              <w:top w:val="single" w:sz="4" w:space="0" w:color="000000"/>
              <w:left w:val="single" w:sz="4" w:space="0" w:color="000000"/>
              <w:bottom w:val="single" w:sz="4" w:space="0" w:color="000000"/>
              <w:right w:val="single" w:sz="4" w:space="0" w:color="000000"/>
            </w:tcBorders>
          </w:tcPr>
          <w:p w14:paraId="7A305E9A" w14:textId="77777777" w:rsidR="00A83012" w:rsidRPr="00A83012" w:rsidRDefault="00A83012" w:rsidP="00443352">
            <w:pPr>
              <w:pStyle w:val="CLDNormal"/>
              <w:ind w:left="360"/>
              <w:jc w:val="left"/>
              <w:rPr>
                <w:sz w:val="20"/>
                <w:lang w:val="en-AU"/>
              </w:rPr>
            </w:pPr>
          </w:p>
        </w:tc>
        <w:tc>
          <w:tcPr>
            <w:tcW w:w="1244" w:type="dxa"/>
            <w:vMerge/>
            <w:tcBorders>
              <w:top w:val="nil"/>
              <w:left w:val="single" w:sz="4" w:space="0" w:color="000000"/>
              <w:bottom w:val="single" w:sz="4" w:space="0" w:color="000000"/>
              <w:right w:val="single" w:sz="4" w:space="0" w:color="000000"/>
            </w:tcBorders>
          </w:tcPr>
          <w:p w14:paraId="2CAA3F3F" w14:textId="77777777" w:rsidR="00A83012" w:rsidRPr="00A83012" w:rsidRDefault="00A83012" w:rsidP="00443352">
            <w:pPr>
              <w:pStyle w:val="CLDNormal"/>
              <w:ind w:left="360"/>
              <w:jc w:val="left"/>
              <w:rPr>
                <w:sz w:val="20"/>
                <w:lang w:val="en-AU"/>
              </w:rPr>
            </w:pPr>
          </w:p>
        </w:tc>
        <w:tc>
          <w:tcPr>
            <w:tcW w:w="1245" w:type="dxa"/>
            <w:vMerge/>
            <w:tcBorders>
              <w:top w:val="nil"/>
              <w:left w:val="single" w:sz="4" w:space="0" w:color="000000"/>
              <w:bottom w:val="single" w:sz="4" w:space="0" w:color="000000"/>
              <w:right w:val="single" w:sz="4" w:space="0" w:color="000000"/>
            </w:tcBorders>
          </w:tcPr>
          <w:p w14:paraId="1A490CC3" w14:textId="77777777" w:rsidR="00A83012" w:rsidRPr="00A83012" w:rsidRDefault="00A83012" w:rsidP="00443352">
            <w:pPr>
              <w:pStyle w:val="CLDNormal"/>
              <w:ind w:left="360"/>
              <w:jc w:val="left"/>
              <w:rPr>
                <w:sz w:val="20"/>
                <w:lang w:val="en-AU"/>
              </w:rPr>
            </w:pPr>
          </w:p>
        </w:tc>
        <w:tc>
          <w:tcPr>
            <w:tcW w:w="1388" w:type="dxa"/>
            <w:vMerge/>
            <w:tcBorders>
              <w:top w:val="nil"/>
              <w:left w:val="single" w:sz="4" w:space="0" w:color="000000"/>
              <w:bottom w:val="single" w:sz="4" w:space="0" w:color="000000"/>
              <w:right w:val="single" w:sz="4" w:space="0" w:color="000000"/>
            </w:tcBorders>
          </w:tcPr>
          <w:p w14:paraId="7F7B4324" w14:textId="77777777" w:rsidR="00A83012" w:rsidRPr="00A83012" w:rsidRDefault="00A83012" w:rsidP="00443352">
            <w:pPr>
              <w:pStyle w:val="CLDNormal"/>
              <w:ind w:left="360"/>
              <w:jc w:val="left"/>
              <w:rPr>
                <w:sz w:val="20"/>
                <w:lang w:val="en-AU"/>
              </w:rPr>
            </w:pPr>
          </w:p>
        </w:tc>
        <w:tc>
          <w:tcPr>
            <w:tcW w:w="1753" w:type="dxa"/>
            <w:tcBorders>
              <w:top w:val="nil"/>
              <w:left w:val="single" w:sz="4" w:space="0" w:color="000000"/>
              <w:bottom w:val="single" w:sz="4" w:space="0" w:color="000000"/>
              <w:right w:val="single" w:sz="4" w:space="0" w:color="000000"/>
            </w:tcBorders>
          </w:tcPr>
          <w:p w14:paraId="36CBC606" w14:textId="77777777" w:rsidR="00A83012" w:rsidRPr="00A83012" w:rsidRDefault="00A83012" w:rsidP="00443352">
            <w:pPr>
              <w:pStyle w:val="CLDNormal"/>
              <w:ind w:left="360"/>
              <w:jc w:val="left"/>
              <w:rPr>
                <w:sz w:val="20"/>
                <w:lang w:val="en-AU"/>
              </w:rPr>
            </w:pPr>
            <w:r w:rsidRPr="00A83012">
              <w:rPr>
                <w:sz w:val="20"/>
                <w:lang w:val="en-AU"/>
              </w:rPr>
              <w:t>[0.15, 0.98)</w:t>
            </w:r>
          </w:p>
        </w:tc>
        <w:tc>
          <w:tcPr>
            <w:tcW w:w="1459" w:type="dxa"/>
            <w:vMerge/>
            <w:tcBorders>
              <w:top w:val="nil"/>
              <w:left w:val="single" w:sz="4" w:space="0" w:color="000000"/>
              <w:bottom w:val="single" w:sz="4" w:space="0" w:color="000000"/>
              <w:right w:val="single" w:sz="4" w:space="0" w:color="000000"/>
            </w:tcBorders>
          </w:tcPr>
          <w:p w14:paraId="42789717" w14:textId="77777777" w:rsidR="00A83012" w:rsidRPr="00A83012" w:rsidRDefault="00A83012" w:rsidP="00443352">
            <w:pPr>
              <w:pStyle w:val="CLDNormal"/>
              <w:ind w:left="360"/>
              <w:jc w:val="left"/>
              <w:rPr>
                <w:sz w:val="20"/>
                <w:lang w:val="en-AU"/>
              </w:rPr>
            </w:pPr>
          </w:p>
        </w:tc>
      </w:tr>
      <w:tr w:rsidR="00A83012" w:rsidRPr="00A83012" w14:paraId="0A76BF96" w14:textId="77777777" w:rsidTr="006E3A6E">
        <w:trPr>
          <w:trHeight w:hRule="exact" w:val="293"/>
        </w:trPr>
        <w:tc>
          <w:tcPr>
            <w:tcW w:w="1930" w:type="dxa"/>
            <w:vMerge w:val="restart"/>
            <w:tcBorders>
              <w:top w:val="single" w:sz="4" w:space="0" w:color="000000"/>
              <w:left w:val="single" w:sz="4" w:space="0" w:color="000000"/>
              <w:bottom w:val="single" w:sz="4" w:space="0" w:color="000000"/>
              <w:right w:val="single" w:sz="4" w:space="0" w:color="000000"/>
            </w:tcBorders>
          </w:tcPr>
          <w:p w14:paraId="3D9F4D42" w14:textId="77777777" w:rsidR="00A83012" w:rsidRPr="00A83012" w:rsidRDefault="00A83012" w:rsidP="00443352">
            <w:pPr>
              <w:pStyle w:val="CLDNormal"/>
              <w:ind w:left="360"/>
              <w:jc w:val="left"/>
              <w:rPr>
                <w:sz w:val="20"/>
                <w:lang w:val="en-AU"/>
              </w:rPr>
            </w:pPr>
            <w:proofErr w:type="spellStart"/>
            <w:r w:rsidRPr="00A83012">
              <w:rPr>
                <w:sz w:val="20"/>
                <w:lang w:val="en-AU"/>
              </w:rPr>
              <w:t>Binet</w:t>
            </w:r>
            <w:proofErr w:type="spellEnd"/>
            <w:r w:rsidRPr="00A83012">
              <w:rPr>
                <w:sz w:val="20"/>
                <w:lang w:val="en-AU"/>
              </w:rPr>
              <w:t xml:space="preserve"> Stage B</w:t>
            </w:r>
          </w:p>
        </w:tc>
        <w:tc>
          <w:tcPr>
            <w:tcW w:w="1244" w:type="dxa"/>
            <w:tcBorders>
              <w:top w:val="single" w:sz="4" w:space="0" w:color="000000"/>
              <w:left w:val="single" w:sz="4" w:space="0" w:color="000000"/>
              <w:bottom w:val="nil"/>
              <w:right w:val="single" w:sz="4" w:space="0" w:color="000000"/>
            </w:tcBorders>
          </w:tcPr>
          <w:p w14:paraId="2363ABA7" w14:textId="77777777" w:rsidR="00A83012" w:rsidRPr="00A83012" w:rsidRDefault="00A83012" w:rsidP="00443352">
            <w:pPr>
              <w:pStyle w:val="CLDNormal"/>
              <w:ind w:left="360"/>
              <w:jc w:val="left"/>
              <w:rPr>
                <w:sz w:val="20"/>
                <w:lang w:val="en-AU"/>
              </w:rPr>
            </w:pPr>
            <w:r w:rsidRPr="00A83012">
              <w:rPr>
                <w:sz w:val="20"/>
                <w:lang w:val="en-AU"/>
              </w:rPr>
              <w:t>257</w:t>
            </w:r>
          </w:p>
        </w:tc>
        <w:tc>
          <w:tcPr>
            <w:tcW w:w="1245" w:type="dxa"/>
            <w:tcBorders>
              <w:top w:val="single" w:sz="4" w:space="0" w:color="000000"/>
              <w:left w:val="single" w:sz="4" w:space="0" w:color="000000"/>
              <w:bottom w:val="nil"/>
              <w:right w:val="single" w:sz="4" w:space="0" w:color="000000"/>
            </w:tcBorders>
          </w:tcPr>
          <w:p w14:paraId="41BCF4DE" w14:textId="77777777" w:rsidR="00A83012" w:rsidRPr="00A83012" w:rsidRDefault="00A83012" w:rsidP="00443352">
            <w:pPr>
              <w:pStyle w:val="CLDNormal"/>
              <w:ind w:left="360"/>
              <w:jc w:val="left"/>
              <w:rPr>
                <w:sz w:val="20"/>
                <w:lang w:val="en-AU"/>
              </w:rPr>
            </w:pPr>
            <w:r w:rsidRPr="00A83012">
              <w:rPr>
                <w:sz w:val="20"/>
                <w:lang w:val="en-AU"/>
              </w:rPr>
              <w:t>259</w:t>
            </w:r>
          </w:p>
        </w:tc>
        <w:tc>
          <w:tcPr>
            <w:tcW w:w="1388" w:type="dxa"/>
            <w:tcBorders>
              <w:top w:val="single" w:sz="4" w:space="0" w:color="000000"/>
              <w:left w:val="single" w:sz="4" w:space="0" w:color="000000"/>
              <w:bottom w:val="nil"/>
              <w:right w:val="single" w:sz="4" w:space="0" w:color="000000"/>
            </w:tcBorders>
          </w:tcPr>
          <w:p w14:paraId="090AC244" w14:textId="77777777" w:rsidR="00A83012" w:rsidRPr="00A83012" w:rsidRDefault="00A83012" w:rsidP="00443352">
            <w:pPr>
              <w:pStyle w:val="CLDNormal"/>
              <w:ind w:left="360"/>
              <w:jc w:val="left"/>
              <w:rPr>
                <w:sz w:val="20"/>
                <w:lang w:val="en-AU"/>
              </w:rPr>
            </w:pPr>
            <w:r w:rsidRPr="00A83012">
              <w:rPr>
                <w:sz w:val="20"/>
                <w:lang w:val="en-AU"/>
              </w:rPr>
              <w:t>20.7</w:t>
            </w:r>
          </w:p>
        </w:tc>
        <w:tc>
          <w:tcPr>
            <w:tcW w:w="1753" w:type="dxa"/>
            <w:tcBorders>
              <w:top w:val="single" w:sz="4" w:space="0" w:color="000000"/>
              <w:left w:val="single" w:sz="4" w:space="0" w:color="000000"/>
              <w:bottom w:val="nil"/>
              <w:right w:val="single" w:sz="4" w:space="0" w:color="000000"/>
            </w:tcBorders>
          </w:tcPr>
          <w:p w14:paraId="7CCB6777" w14:textId="77777777" w:rsidR="00A83012" w:rsidRPr="00A83012" w:rsidRDefault="00A83012" w:rsidP="00443352">
            <w:pPr>
              <w:pStyle w:val="CLDNormal"/>
              <w:ind w:left="360"/>
              <w:jc w:val="left"/>
              <w:rPr>
                <w:sz w:val="20"/>
                <w:lang w:val="en-AU"/>
              </w:rPr>
            </w:pPr>
            <w:r w:rsidRPr="00A83012">
              <w:rPr>
                <w:sz w:val="20"/>
                <w:lang w:val="en-AU"/>
              </w:rPr>
              <w:t>0.45</w:t>
            </w:r>
          </w:p>
        </w:tc>
        <w:tc>
          <w:tcPr>
            <w:tcW w:w="1459" w:type="dxa"/>
            <w:tcBorders>
              <w:top w:val="single" w:sz="4" w:space="0" w:color="000000"/>
              <w:left w:val="single" w:sz="4" w:space="0" w:color="000000"/>
              <w:bottom w:val="nil"/>
              <w:right w:val="single" w:sz="4" w:space="0" w:color="000000"/>
            </w:tcBorders>
          </w:tcPr>
          <w:p w14:paraId="224D4C59" w14:textId="77777777" w:rsidR="00A83012" w:rsidRPr="00A83012" w:rsidRDefault="00A83012" w:rsidP="00443352">
            <w:pPr>
              <w:pStyle w:val="CLDNormal"/>
              <w:ind w:left="360"/>
              <w:jc w:val="left"/>
              <w:rPr>
                <w:sz w:val="20"/>
                <w:lang w:val="en-AU"/>
              </w:rPr>
            </w:pPr>
            <w:r w:rsidRPr="00A83012">
              <w:rPr>
                <w:sz w:val="20"/>
                <w:lang w:val="en-AU"/>
              </w:rPr>
              <w:t>&lt;0.0001</w:t>
            </w:r>
          </w:p>
        </w:tc>
      </w:tr>
      <w:tr w:rsidR="00A83012" w:rsidRPr="00A83012" w14:paraId="3E6705EF" w14:textId="77777777" w:rsidTr="006E3A6E">
        <w:trPr>
          <w:trHeight w:hRule="exact" w:val="276"/>
        </w:trPr>
        <w:tc>
          <w:tcPr>
            <w:tcW w:w="1930" w:type="dxa"/>
            <w:vMerge/>
            <w:tcBorders>
              <w:top w:val="single" w:sz="4" w:space="0" w:color="000000"/>
              <w:left w:val="single" w:sz="4" w:space="0" w:color="000000"/>
              <w:bottom w:val="single" w:sz="4" w:space="0" w:color="000000"/>
              <w:right w:val="single" w:sz="4" w:space="0" w:color="000000"/>
            </w:tcBorders>
          </w:tcPr>
          <w:p w14:paraId="08A09B63" w14:textId="77777777" w:rsidR="00A83012" w:rsidRPr="00A83012" w:rsidRDefault="00A83012" w:rsidP="00443352">
            <w:pPr>
              <w:pStyle w:val="CLDNormal"/>
              <w:ind w:left="360"/>
              <w:jc w:val="left"/>
              <w:rPr>
                <w:sz w:val="20"/>
                <w:lang w:val="en-AU"/>
              </w:rPr>
            </w:pPr>
          </w:p>
        </w:tc>
        <w:tc>
          <w:tcPr>
            <w:tcW w:w="1244" w:type="dxa"/>
            <w:tcBorders>
              <w:top w:val="nil"/>
              <w:left w:val="single" w:sz="4" w:space="0" w:color="000000"/>
              <w:bottom w:val="nil"/>
              <w:right w:val="single" w:sz="4" w:space="0" w:color="000000"/>
            </w:tcBorders>
          </w:tcPr>
          <w:p w14:paraId="1475D9CB" w14:textId="77777777" w:rsidR="00A83012" w:rsidRPr="00A83012" w:rsidRDefault="00A83012" w:rsidP="00443352">
            <w:pPr>
              <w:pStyle w:val="CLDNormal"/>
              <w:ind w:left="360"/>
              <w:jc w:val="left"/>
              <w:rPr>
                <w:sz w:val="20"/>
                <w:lang w:val="en-AU"/>
              </w:rPr>
            </w:pPr>
          </w:p>
        </w:tc>
        <w:tc>
          <w:tcPr>
            <w:tcW w:w="1245" w:type="dxa"/>
            <w:tcBorders>
              <w:top w:val="nil"/>
              <w:left w:val="single" w:sz="4" w:space="0" w:color="000000"/>
              <w:bottom w:val="nil"/>
              <w:right w:val="single" w:sz="4" w:space="0" w:color="000000"/>
            </w:tcBorders>
          </w:tcPr>
          <w:p w14:paraId="0830F666" w14:textId="77777777" w:rsidR="00A83012" w:rsidRPr="00A83012" w:rsidRDefault="00A83012" w:rsidP="00443352">
            <w:pPr>
              <w:pStyle w:val="CLDNormal"/>
              <w:ind w:left="360"/>
              <w:jc w:val="left"/>
              <w:rPr>
                <w:sz w:val="20"/>
                <w:lang w:val="en-AU"/>
              </w:rPr>
            </w:pPr>
          </w:p>
        </w:tc>
        <w:tc>
          <w:tcPr>
            <w:tcW w:w="1388" w:type="dxa"/>
            <w:tcBorders>
              <w:top w:val="nil"/>
              <w:left w:val="single" w:sz="4" w:space="0" w:color="000000"/>
              <w:bottom w:val="nil"/>
              <w:right w:val="single" w:sz="4" w:space="0" w:color="000000"/>
            </w:tcBorders>
          </w:tcPr>
          <w:p w14:paraId="59695CA1" w14:textId="77777777" w:rsidR="00A83012" w:rsidRPr="00A83012" w:rsidRDefault="00A83012" w:rsidP="00443352">
            <w:pPr>
              <w:pStyle w:val="CLDNormal"/>
              <w:ind w:left="360"/>
              <w:jc w:val="left"/>
              <w:rPr>
                <w:sz w:val="20"/>
                <w:lang w:val="en-AU"/>
              </w:rPr>
            </w:pPr>
          </w:p>
        </w:tc>
        <w:tc>
          <w:tcPr>
            <w:tcW w:w="1753" w:type="dxa"/>
            <w:tcBorders>
              <w:top w:val="nil"/>
              <w:left w:val="single" w:sz="4" w:space="0" w:color="000000"/>
              <w:bottom w:val="nil"/>
              <w:right w:val="single" w:sz="4" w:space="0" w:color="000000"/>
            </w:tcBorders>
          </w:tcPr>
          <w:p w14:paraId="3A136175" w14:textId="77777777" w:rsidR="00A83012" w:rsidRPr="00A83012" w:rsidRDefault="00A83012" w:rsidP="00443352">
            <w:pPr>
              <w:pStyle w:val="CLDNormal"/>
              <w:ind w:left="360"/>
              <w:jc w:val="left"/>
              <w:rPr>
                <w:sz w:val="20"/>
                <w:lang w:val="en-AU"/>
              </w:rPr>
            </w:pPr>
            <w:r w:rsidRPr="00A83012">
              <w:rPr>
                <w:sz w:val="20"/>
                <w:lang w:val="en-AU"/>
              </w:rPr>
              <w:t>[0.32, 0.63)</w:t>
            </w:r>
          </w:p>
        </w:tc>
        <w:tc>
          <w:tcPr>
            <w:tcW w:w="1459" w:type="dxa"/>
            <w:tcBorders>
              <w:top w:val="nil"/>
              <w:left w:val="single" w:sz="4" w:space="0" w:color="000000"/>
              <w:bottom w:val="nil"/>
              <w:right w:val="single" w:sz="4" w:space="0" w:color="000000"/>
            </w:tcBorders>
          </w:tcPr>
          <w:p w14:paraId="148E9E99" w14:textId="77777777" w:rsidR="00A83012" w:rsidRPr="00A83012" w:rsidRDefault="00A83012" w:rsidP="00443352">
            <w:pPr>
              <w:pStyle w:val="CLDNormal"/>
              <w:ind w:left="360"/>
              <w:jc w:val="left"/>
              <w:rPr>
                <w:sz w:val="20"/>
                <w:lang w:val="en-AU"/>
              </w:rPr>
            </w:pPr>
          </w:p>
        </w:tc>
      </w:tr>
      <w:tr w:rsidR="00A83012" w:rsidRPr="00A83012" w14:paraId="4F7290FE" w14:textId="77777777" w:rsidTr="006E3A6E">
        <w:trPr>
          <w:trHeight w:hRule="exact" w:val="276"/>
        </w:trPr>
        <w:tc>
          <w:tcPr>
            <w:tcW w:w="1930" w:type="dxa"/>
            <w:vMerge/>
            <w:tcBorders>
              <w:top w:val="single" w:sz="4" w:space="0" w:color="000000"/>
              <w:left w:val="single" w:sz="4" w:space="0" w:color="000000"/>
              <w:bottom w:val="single" w:sz="4" w:space="0" w:color="000000"/>
              <w:right w:val="single" w:sz="4" w:space="0" w:color="000000"/>
            </w:tcBorders>
          </w:tcPr>
          <w:p w14:paraId="115B7E10" w14:textId="77777777" w:rsidR="00A83012" w:rsidRPr="00A83012" w:rsidRDefault="00A83012" w:rsidP="00443352">
            <w:pPr>
              <w:pStyle w:val="CLDNormal"/>
              <w:ind w:left="360"/>
              <w:jc w:val="left"/>
              <w:rPr>
                <w:sz w:val="20"/>
                <w:lang w:val="en-AU"/>
              </w:rPr>
            </w:pPr>
          </w:p>
        </w:tc>
        <w:tc>
          <w:tcPr>
            <w:tcW w:w="1244" w:type="dxa"/>
            <w:vMerge w:val="restart"/>
            <w:tcBorders>
              <w:top w:val="nil"/>
              <w:left w:val="single" w:sz="4" w:space="0" w:color="000000"/>
              <w:bottom w:val="single" w:sz="4" w:space="0" w:color="000000"/>
              <w:right w:val="single" w:sz="4" w:space="0" w:color="000000"/>
            </w:tcBorders>
          </w:tcPr>
          <w:p w14:paraId="7DFFF64A" w14:textId="77777777" w:rsidR="00A83012" w:rsidRPr="00A83012" w:rsidRDefault="00A83012" w:rsidP="00443352">
            <w:pPr>
              <w:pStyle w:val="CLDNormal"/>
              <w:ind w:left="360"/>
              <w:jc w:val="left"/>
              <w:rPr>
                <w:sz w:val="20"/>
                <w:lang w:val="en-AU"/>
              </w:rPr>
            </w:pPr>
            <w:r w:rsidRPr="00A83012">
              <w:rPr>
                <w:sz w:val="20"/>
                <w:lang w:val="en-AU"/>
              </w:rPr>
              <w:t>259</w:t>
            </w:r>
          </w:p>
        </w:tc>
        <w:tc>
          <w:tcPr>
            <w:tcW w:w="1245" w:type="dxa"/>
            <w:vMerge w:val="restart"/>
            <w:tcBorders>
              <w:top w:val="nil"/>
              <w:left w:val="single" w:sz="4" w:space="0" w:color="000000"/>
              <w:bottom w:val="single" w:sz="4" w:space="0" w:color="000000"/>
              <w:right w:val="single" w:sz="4" w:space="0" w:color="000000"/>
            </w:tcBorders>
          </w:tcPr>
          <w:p w14:paraId="5F9863DA" w14:textId="77777777" w:rsidR="00A83012" w:rsidRPr="00A83012" w:rsidRDefault="00A83012" w:rsidP="00443352">
            <w:pPr>
              <w:pStyle w:val="CLDNormal"/>
              <w:ind w:left="360"/>
              <w:jc w:val="left"/>
              <w:rPr>
                <w:sz w:val="20"/>
                <w:lang w:val="en-AU"/>
              </w:rPr>
            </w:pPr>
            <w:r w:rsidRPr="00A83012">
              <w:rPr>
                <w:sz w:val="20"/>
                <w:lang w:val="en-AU"/>
              </w:rPr>
              <w:t>263</w:t>
            </w:r>
          </w:p>
        </w:tc>
        <w:tc>
          <w:tcPr>
            <w:tcW w:w="1388" w:type="dxa"/>
            <w:vMerge w:val="restart"/>
            <w:tcBorders>
              <w:top w:val="nil"/>
              <w:left w:val="single" w:sz="4" w:space="0" w:color="000000"/>
              <w:bottom w:val="single" w:sz="4" w:space="0" w:color="000000"/>
              <w:right w:val="single" w:sz="4" w:space="0" w:color="000000"/>
            </w:tcBorders>
          </w:tcPr>
          <w:p w14:paraId="743B7C7B" w14:textId="77777777" w:rsidR="00A83012" w:rsidRPr="00A83012" w:rsidRDefault="00A83012" w:rsidP="00443352">
            <w:pPr>
              <w:pStyle w:val="CLDNormal"/>
              <w:ind w:left="360"/>
              <w:jc w:val="left"/>
              <w:rPr>
                <w:sz w:val="20"/>
                <w:lang w:val="en-AU"/>
              </w:rPr>
            </w:pPr>
            <w:r w:rsidRPr="00A83012">
              <w:rPr>
                <w:sz w:val="20"/>
                <w:lang w:val="en-AU"/>
              </w:rPr>
              <w:t>48.1*</w:t>
            </w:r>
          </w:p>
        </w:tc>
        <w:tc>
          <w:tcPr>
            <w:tcW w:w="1753" w:type="dxa"/>
            <w:tcBorders>
              <w:top w:val="nil"/>
              <w:left w:val="single" w:sz="4" w:space="0" w:color="000000"/>
              <w:bottom w:val="nil"/>
              <w:right w:val="single" w:sz="4" w:space="0" w:color="000000"/>
            </w:tcBorders>
          </w:tcPr>
          <w:p w14:paraId="2923762B" w14:textId="77777777" w:rsidR="00A83012" w:rsidRPr="00A83012" w:rsidRDefault="00A83012" w:rsidP="00443352">
            <w:pPr>
              <w:pStyle w:val="CLDNormal"/>
              <w:ind w:left="360"/>
              <w:jc w:val="left"/>
              <w:rPr>
                <w:sz w:val="20"/>
                <w:lang w:val="en-AU"/>
              </w:rPr>
            </w:pPr>
            <w:r w:rsidRPr="00A83012">
              <w:rPr>
                <w:sz w:val="20"/>
                <w:lang w:val="en-AU"/>
              </w:rPr>
              <w:t>0.52</w:t>
            </w:r>
          </w:p>
        </w:tc>
        <w:tc>
          <w:tcPr>
            <w:tcW w:w="1459" w:type="dxa"/>
            <w:vMerge w:val="restart"/>
            <w:tcBorders>
              <w:top w:val="nil"/>
              <w:left w:val="single" w:sz="4" w:space="0" w:color="000000"/>
              <w:bottom w:val="single" w:sz="4" w:space="0" w:color="000000"/>
              <w:right w:val="single" w:sz="4" w:space="0" w:color="000000"/>
            </w:tcBorders>
          </w:tcPr>
          <w:p w14:paraId="50791049" w14:textId="77777777" w:rsidR="00A83012" w:rsidRPr="00A83012" w:rsidRDefault="00A83012" w:rsidP="00443352">
            <w:pPr>
              <w:pStyle w:val="CLDNormal"/>
              <w:ind w:left="360"/>
              <w:jc w:val="left"/>
              <w:rPr>
                <w:sz w:val="20"/>
                <w:lang w:val="en-AU"/>
              </w:rPr>
            </w:pPr>
            <w:r w:rsidRPr="00A83012">
              <w:rPr>
                <w:sz w:val="20"/>
                <w:lang w:val="en-AU"/>
              </w:rPr>
              <w:t>&lt;0.0001</w:t>
            </w:r>
          </w:p>
        </w:tc>
      </w:tr>
      <w:tr w:rsidR="00A83012" w:rsidRPr="00A83012" w14:paraId="02A3DB84" w14:textId="77777777" w:rsidTr="006E3A6E">
        <w:trPr>
          <w:trHeight w:hRule="exact" w:val="269"/>
        </w:trPr>
        <w:tc>
          <w:tcPr>
            <w:tcW w:w="1930" w:type="dxa"/>
            <w:vMerge/>
            <w:tcBorders>
              <w:top w:val="single" w:sz="4" w:space="0" w:color="000000"/>
              <w:left w:val="single" w:sz="4" w:space="0" w:color="000000"/>
              <w:bottom w:val="single" w:sz="4" w:space="0" w:color="000000"/>
              <w:right w:val="single" w:sz="4" w:space="0" w:color="000000"/>
            </w:tcBorders>
          </w:tcPr>
          <w:p w14:paraId="79313D42" w14:textId="77777777" w:rsidR="00A83012" w:rsidRPr="00A83012" w:rsidRDefault="00A83012" w:rsidP="00443352">
            <w:pPr>
              <w:pStyle w:val="CLDNormal"/>
              <w:ind w:left="360"/>
              <w:jc w:val="left"/>
              <w:rPr>
                <w:sz w:val="20"/>
                <w:lang w:val="en-AU"/>
              </w:rPr>
            </w:pPr>
          </w:p>
        </w:tc>
        <w:tc>
          <w:tcPr>
            <w:tcW w:w="1244" w:type="dxa"/>
            <w:vMerge/>
            <w:tcBorders>
              <w:top w:val="nil"/>
              <w:left w:val="single" w:sz="4" w:space="0" w:color="000000"/>
              <w:bottom w:val="single" w:sz="4" w:space="0" w:color="000000"/>
              <w:right w:val="single" w:sz="4" w:space="0" w:color="000000"/>
            </w:tcBorders>
          </w:tcPr>
          <w:p w14:paraId="7107F6C6" w14:textId="77777777" w:rsidR="00A83012" w:rsidRPr="00A83012" w:rsidRDefault="00A83012" w:rsidP="00443352">
            <w:pPr>
              <w:pStyle w:val="CLDNormal"/>
              <w:ind w:left="360"/>
              <w:jc w:val="left"/>
              <w:rPr>
                <w:sz w:val="20"/>
                <w:lang w:val="en-AU"/>
              </w:rPr>
            </w:pPr>
          </w:p>
        </w:tc>
        <w:tc>
          <w:tcPr>
            <w:tcW w:w="1245" w:type="dxa"/>
            <w:vMerge/>
            <w:tcBorders>
              <w:top w:val="nil"/>
              <w:left w:val="single" w:sz="4" w:space="0" w:color="000000"/>
              <w:bottom w:val="single" w:sz="4" w:space="0" w:color="000000"/>
              <w:right w:val="single" w:sz="4" w:space="0" w:color="000000"/>
            </w:tcBorders>
          </w:tcPr>
          <w:p w14:paraId="5992F60D" w14:textId="77777777" w:rsidR="00A83012" w:rsidRPr="00A83012" w:rsidRDefault="00A83012" w:rsidP="00443352">
            <w:pPr>
              <w:pStyle w:val="CLDNormal"/>
              <w:ind w:left="360"/>
              <w:jc w:val="left"/>
              <w:rPr>
                <w:sz w:val="20"/>
                <w:lang w:val="en-AU"/>
              </w:rPr>
            </w:pPr>
          </w:p>
        </w:tc>
        <w:tc>
          <w:tcPr>
            <w:tcW w:w="1388" w:type="dxa"/>
            <w:vMerge/>
            <w:tcBorders>
              <w:top w:val="nil"/>
              <w:left w:val="single" w:sz="4" w:space="0" w:color="000000"/>
              <w:bottom w:val="single" w:sz="4" w:space="0" w:color="000000"/>
              <w:right w:val="single" w:sz="4" w:space="0" w:color="000000"/>
            </w:tcBorders>
          </w:tcPr>
          <w:p w14:paraId="75F62EC1" w14:textId="77777777" w:rsidR="00A83012" w:rsidRPr="00A83012" w:rsidRDefault="00A83012" w:rsidP="00443352">
            <w:pPr>
              <w:pStyle w:val="CLDNormal"/>
              <w:ind w:left="360"/>
              <w:jc w:val="left"/>
              <w:rPr>
                <w:sz w:val="20"/>
                <w:lang w:val="en-AU"/>
              </w:rPr>
            </w:pPr>
          </w:p>
        </w:tc>
        <w:tc>
          <w:tcPr>
            <w:tcW w:w="1753" w:type="dxa"/>
            <w:tcBorders>
              <w:top w:val="nil"/>
              <w:left w:val="single" w:sz="4" w:space="0" w:color="000000"/>
              <w:bottom w:val="single" w:sz="4" w:space="0" w:color="000000"/>
              <w:right w:val="single" w:sz="4" w:space="0" w:color="000000"/>
            </w:tcBorders>
          </w:tcPr>
          <w:p w14:paraId="006CA0BF" w14:textId="77777777" w:rsidR="00A83012" w:rsidRPr="00A83012" w:rsidRDefault="00A83012" w:rsidP="00443352">
            <w:pPr>
              <w:pStyle w:val="CLDNormal"/>
              <w:ind w:left="360"/>
              <w:jc w:val="left"/>
              <w:rPr>
                <w:sz w:val="20"/>
                <w:lang w:val="en-AU"/>
              </w:rPr>
            </w:pPr>
            <w:r w:rsidRPr="00A83012">
              <w:rPr>
                <w:sz w:val="20"/>
                <w:lang w:val="en-AU"/>
              </w:rPr>
              <w:t>[0.41, 0.66)</w:t>
            </w:r>
          </w:p>
        </w:tc>
        <w:tc>
          <w:tcPr>
            <w:tcW w:w="1459" w:type="dxa"/>
            <w:vMerge/>
            <w:tcBorders>
              <w:top w:val="nil"/>
              <w:left w:val="single" w:sz="4" w:space="0" w:color="000000"/>
              <w:bottom w:val="single" w:sz="4" w:space="0" w:color="000000"/>
              <w:right w:val="single" w:sz="4" w:space="0" w:color="000000"/>
            </w:tcBorders>
          </w:tcPr>
          <w:p w14:paraId="625F71F6" w14:textId="77777777" w:rsidR="00A83012" w:rsidRPr="00A83012" w:rsidRDefault="00A83012" w:rsidP="00443352">
            <w:pPr>
              <w:pStyle w:val="CLDNormal"/>
              <w:ind w:left="360"/>
              <w:jc w:val="left"/>
              <w:rPr>
                <w:sz w:val="20"/>
                <w:lang w:val="en-AU"/>
              </w:rPr>
            </w:pPr>
          </w:p>
        </w:tc>
      </w:tr>
      <w:tr w:rsidR="00A83012" w:rsidRPr="00A83012" w14:paraId="414CA589" w14:textId="77777777" w:rsidTr="006E3A6E">
        <w:trPr>
          <w:trHeight w:hRule="exact" w:val="296"/>
        </w:trPr>
        <w:tc>
          <w:tcPr>
            <w:tcW w:w="1930" w:type="dxa"/>
            <w:vMerge w:val="restart"/>
            <w:tcBorders>
              <w:top w:val="single" w:sz="4" w:space="0" w:color="000000"/>
              <w:left w:val="single" w:sz="4" w:space="0" w:color="000000"/>
              <w:bottom w:val="single" w:sz="4" w:space="0" w:color="000000"/>
              <w:right w:val="single" w:sz="4" w:space="0" w:color="000000"/>
            </w:tcBorders>
          </w:tcPr>
          <w:p w14:paraId="6328FA2B" w14:textId="77777777" w:rsidR="00A83012" w:rsidRPr="00A83012" w:rsidRDefault="00A83012" w:rsidP="00443352">
            <w:pPr>
              <w:pStyle w:val="CLDNormal"/>
              <w:ind w:left="360"/>
              <w:jc w:val="left"/>
              <w:rPr>
                <w:sz w:val="20"/>
                <w:lang w:val="en-AU"/>
              </w:rPr>
            </w:pPr>
            <w:proofErr w:type="spellStart"/>
            <w:r w:rsidRPr="00A83012">
              <w:rPr>
                <w:sz w:val="20"/>
                <w:lang w:val="en-AU"/>
              </w:rPr>
              <w:t>Binet</w:t>
            </w:r>
            <w:proofErr w:type="spellEnd"/>
            <w:r w:rsidRPr="00A83012">
              <w:rPr>
                <w:sz w:val="20"/>
                <w:lang w:val="en-AU"/>
              </w:rPr>
              <w:t xml:space="preserve"> Stage C</w:t>
            </w:r>
          </w:p>
        </w:tc>
        <w:tc>
          <w:tcPr>
            <w:tcW w:w="1244" w:type="dxa"/>
            <w:tcBorders>
              <w:top w:val="single" w:sz="4" w:space="0" w:color="000000"/>
              <w:left w:val="single" w:sz="4" w:space="0" w:color="000000"/>
              <w:bottom w:val="nil"/>
              <w:right w:val="single" w:sz="4" w:space="0" w:color="000000"/>
            </w:tcBorders>
          </w:tcPr>
          <w:p w14:paraId="36122BB3" w14:textId="77777777" w:rsidR="00A83012" w:rsidRPr="00A83012" w:rsidRDefault="00A83012" w:rsidP="00443352">
            <w:pPr>
              <w:pStyle w:val="CLDNormal"/>
              <w:ind w:left="360"/>
              <w:jc w:val="left"/>
              <w:rPr>
                <w:sz w:val="20"/>
                <w:lang w:val="en-AU"/>
              </w:rPr>
            </w:pPr>
            <w:r w:rsidRPr="00A83012">
              <w:rPr>
                <w:sz w:val="20"/>
                <w:lang w:val="en-AU"/>
              </w:rPr>
              <w:t>126</w:t>
            </w:r>
          </w:p>
        </w:tc>
        <w:tc>
          <w:tcPr>
            <w:tcW w:w="1245" w:type="dxa"/>
            <w:tcBorders>
              <w:top w:val="single" w:sz="4" w:space="0" w:color="000000"/>
              <w:left w:val="single" w:sz="4" w:space="0" w:color="000000"/>
              <w:bottom w:val="nil"/>
              <w:right w:val="single" w:sz="4" w:space="0" w:color="000000"/>
            </w:tcBorders>
          </w:tcPr>
          <w:p w14:paraId="722347F8" w14:textId="77777777" w:rsidR="00A83012" w:rsidRPr="00A83012" w:rsidRDefault="00A83012" w:rsidP="00443352">
            <w:pPr>
              <w:pStyle w:val="CLDNormal"/>
              <w:ind w:left="360"/>
              <w:jc w:val="left"/>
              <w:rPr>
                <w:sz w:val="20"/>
                <w:lang w:val="en-AU"/>
              </w:rPr>
            </w:pPr>
            <w:r w:rsidRPr="00A83012">
              <w:rPr>
                <w:sz w:val="20"/>
                <w:lang w:val="en-AU"/>
              </w:rPr>
              <w:t>125</w:t>
            </w:r>
          </w:p>
        </w:tc>
        <w:tc>
          <w:tcPr>
            <w:tcW w:w="1388" w:type="dxa"/>
            <w:tcBorders>
              <w:top w:val="single" w:sz="4" w:space="0" w:color="000000"/>
              <w:left w:val="single" w:sz="4" w:space="0" w:color="000000"/>
              <w:bottom w:val="nil"/>
              <w:right w:val="single" w:sz="4" w:space="0" w:color="000000"/>
            </w:tcBorders>
          </w:tcPr>
          <w:p w14:paraId="4E8CDC0B" w14:textId="77777777" w:rsidR="00A83012" w:rsidRPr="00A83012" w:rsidRDefault="00A83012" w:rsidP="00443352">
            <w:pPr>
              <w:pStyle w:val="CLDNormal"/>
              <w:ind w:left="360"/>
              <w:jc w:val="left"/>
              <w:rPr>
                <w:sz w:val="20"/>
                <w:lang w:val="en-AU"/>
              </w:rPr>
            </w:pPr>
            <w:r w:rsidRPr="00A83012">
              <w:rPr>
                <w:sz w:val="20"/>
                <w:lang w:val="en-AU"/>
              </w:rPr>
              <w:t>20.7</w:t>
            </w:r>
          </w:p>
        </w:tc>
        <w:tc>
          <w:tcPr>
            <w:tcW w:w="1753" w:type="dxa"/>
            <w:tcBorders>
              <w:top w:val="single" w:sz="4" w:space="0" w:color="000000"/>
              <w:left w:val="single" w:sz="4" w:space="0" w:color="000000"/>
              <w:bottom w:val="nil"/>
              <w:right w:val="single" w:sz="4" w:space="0" w:color="000000"/>
            </w:tcBorders>
          </w:tcPr>
          <w:p w14:paraId="0CE28204" w14:textId="77777777" w:rsidR="00A83012" w:rsidRPr="00A83012" w:rsidRDefault="00A83012" w:rsidP="00443352">
            <w:pPr>
              <w:pStyle w:val="CLDNormal"/>
              <w:ind w:left="360"/>
              <w:jc w:val="left"/>
              <w:rPr>
                <w:sz w:val="20"/>
                <w:lang w:val="en-AU"/>
              </w:rPr>
            </w:pPr>
            <w:r w:rsidRPr="00A83012">
              <w:rPr>
                <w:sz w:val="20"/>
                <w:lang w:val="en-AU"/>
              </w:rPr>
              <w:t>0.88</w:t>
            </w:r>
          </w:p>
        </w:tc>
        <w:tc>
          <w:tcPr>
            <w:tcW w:w="1459" w:type="dxa"/>
            <w:tcBorders>
              <w:top w:val="single" w:sz="4" w:space="0" w:color="000000"/>
              <w:left w:val="single" w:sz="4" w:space="0" w:color="000000"/>
              <w:bottom w:val="nil"/>
              <w:right w:val="single" w:sz="4" w:space="0" w:color="000000"/>
            </w:tcBorders>
          </w:tcPr>
          <w:p w14:paraId="68A29C22" w14:textId="77777777" w:rsidR="00A83012" w:rsidRPr="00A83012" w:rsidRDefault="00A83012" w:rsidP="00443352">
            <w:pPr>
              <w:pStyle w:val="CLDNormal"/>
              <w:ind w:left="360"/>
              <w:jc w:val="left"/>
              <w:rPr>
                <w:sz w:val="20"/>
                <w:lang w:val="en-AU"/>
              </w:rPr>
            </w:pPr>
            <w:r w:rsidRPr="00A83012">
              <w:rPr>
                <w:sz w:val="20"/>
                <w:lang w:val="en-AU"/>
              </w:rPr>
              <w:t>0.5341</w:t>
            </w:r>
          </w:p>
        </w:tc>
      </w:tr>
      <w:tr w:rsidR="00A83012" w:rsidRPr="00A83012" w14:paraId="078A78E5" w14:textId="77777777" w:rsidTr="006E3A6E">
        <w:trPr>
          <w:trHeight w:hRule="exact" w:val="276"/>
        </w:trPr>
        <w:tc>
          <w:tcPr>
            <w:tcW w:w="1930" w:type="dxa"/>
            <w:vMerge/>
            <w:tcBorders>
              <w:top w:val="single" w:sz="4" w:space="0" w:color="000000"/>
              <w:left w:val="single" w:sz="4" w:space="0" w:color="000000"/>
              <w:bottom w:val="single" w:sz="4" w:space="0" w:color="000000"/>
              <w:right w:val="single" w:sz="4" w:space="0" w:color="000000"/>
            </w:tcBorders>
          </w:tcPr>
          <w:p w14:paraId="347742CD" w14:textId="77777777" w:rsidR="00A83012" w:rsidRPr="00A83012" w:rsidRDefault="00A83012" w:rsidP="00443352">
            <w:pPr>
              <w:pStyle w:val="CLDNormal"/>
              <w:ind w:left="360"/>
              <w:jc w:val="left"/>
              <w:rPr>
                <w:sz w:val="20"/>
                <w:lang w:val="en-AU"/>
              </w:rPr>
            </w:pPr>
          </w:p>
        </w:tc>
        <w:tc>
          <w:tcPr>
            <w:tcW w:w="1244" w:type="dxa"/>
            <w:tcBorders>
              <w:top w:val="nil"/>
              <w:left w:val="single" w:sz="4" w:space="0" w:color="000000"/>
              <w:bottom w:val="nil"/>
              <w:right w:val="single" w:sz="4" w:space="0" w:color="000000"/>
            </w:tcBorders>
          </w:tcPr>
          <w:p w14:paraId="5E4A77A1" w14:textId="77777777" w:rsidR="00A83012" w:rsidRPr="00A83012" w:rsidRDefault="00A83012" w:rsidP="00443352">
            <w:pPr>
              <w:pStyle w:val="CLDNormal"/>
              <w:ind w:left="360"/>
              <w:jc w:val="left"/>
              <w:rPr>
                <w:sz w:val="20"/>
                <w:lang w:val="en-AU"/>
              </w:rPr>
            </w:pPr>
          </w:p>
        </w:tc>
        <w:tc>
          <w:tcPr>
            <w:tcW w:w="1245" w:type="dxa"/>
            <w:tcBorders>
              <w:top w:val="nil"/>
              <w:left w:val="single" w:sz="4" w:space="0" w:color="000000"/>
              <w:bottom w:val="nil"/>
              <w:right w:val="single" w:sz="4" w:space="0" w:color="000000"/>
            </w:tcBorders>
          </w:tcPr>
          <w:p w14:paraId="69DC4E6D" w14:textId="77777777" w:rsidR="00A83012" w:rsidRPr="00A83012" w:rsidRDefault="00A83012" w:rsidP="00443352">
            <w:pPr>
              <w:pStyle w:val="CLDNormal"/>
              <w:ind w:left="360"/>
              <w:jc w:val="left"/>
              <w:rPr>
                <w:sz w:val="20"/>
                <w:lang w:val="en-AU"/>
              </w:rPr>
            </w:pPr>
          </w:p>
        </w:tc>
        <w:tc>
          <w:tcPr>
            <w:tcW w:w="1388" w:type="dxa"/>
            <w:tcBorders>
              <w:top w:val="nil"/>
              <w:left w:val="single" w:sz="4" w:space="0" w:color="000000"/>
              <w:bottom w:val="nil"/>
              <w:right w:val="single" w:sz="4" w:space="0" w:color="000000"/>
            </w:tcBorders>
          </w:tcPr>
          <w:p w14:paraId="43B99DDD" w14:textId="77777777" w:rsidR="00A83012" w:rsidRPr="00A83012" w:rsidRDefault="00A83012" w:rsidP="00443352">
            <w:pPr>
              <w:pStyle w:val="CLDNormal"/>
              <w:ind w:left="360"/>
              <w:jc w:val="left"/>
              <w:rPr>
                <w:sz w:val="20"/>
                <w:lang w:val="en-AU"/>
              </w:rPr>
            </w:pPr>
          </w:p>
        </w:tc>
        <w:tc>
          <w:tcPr>
            <w:tcW w:w="1753" w:type="dxa"/>
            <w:tcBorders>
              <w:top w:val="nil"/>
              <w:left w:val="single" w:sz="4" w:space="0" w:color="000000"/>
              <w:bottom w:val="nil"/>
              <w:right w:val="single" w:sz="4" w:space="0" w:color="000000"/>
            </w:tcBorders>
          </w:tcPr>
          <w:p w14:paraId="42EA0133" w14:textId="77777777" w:rsidR="00A83012" w:rsidRPr="00A83012" w:rsidRDefault="00A83012" w:rsidP="00443352">
            <w:pPr>
              <w:pStyle w:val="CLDNormal"/>
              <w:ind w:left="360"/>
              <w:jc w:val="left"/>
              <w:rPr>
                <w:sz w:val="20"/>
                <w:lang w:val="en-AU"/>
              </w:rPr>
            </w:pPr>
            <w:r w:rsidRPr="00A83012">
              <w:rPr>
                <w:sz w:val="20"/>
                <w:lang w:val="en-AU"/>
              </w:rPr>
              <w:t>[0.58, 1.33]</w:t>
            </w:r>
          </w:p>
        </w:tc>
        <w:tc>
          <w:tcPr>
            <w:tcW w:w="1459" w:type="dxa"/>
            <w:tcBorders>
              <w:top w:val="nil"/>
              <w:left w:val="single" w:sz="4" w:space="0" w:color="000000"/>
              <w:bottom w:val="nil"/>
              <w:right w:val="single" w:sz="4" w:space="0" w:color="000000"/>
            </w:tcBorders>
          </w:tcPr>
          <w:p w14:paraId="263CDA2B" w14:textId="77777777" w:rsidR="00A83012" w:rsidRPr="00A83012" w:rsidRDefault="00A83012" w:rsidP="00443352">
            <w:pPr>
              <w:pStyle w:val="CLDNormal"/>
              <w:ind w:left="360"/>
              <w:jc w:val="left"/>
              <w:rPr>
                <w:sz w:val="20"/>
                <w:lang w:val="en-AU"/>
              </w:rPr>
            </w:pPr>
          </w:p>
        </w:tc>
      </w:tr>
      <w:tr w:rsidR="00A83012" w:rsidRPr="00A83012" w14:paraId="7347ADC6" w14:textId="77777777" w:rsidTr="006E3A6E">
        <w:trPr>
          <w:trHeight w:hRule="exact" w:val="276"/>
        </w:trPr>
        <w:tc>
          <w:tcPr>
            <w:tcW w:w="1930" w:type="dxa"/>
            <w:vMerge/>
            <w:tcBorders>
              <w:top w:val="single" w:sz="4" w:space="0" w:color="000000"/>
              <w:left w:val="single" w:sz="4" w:space="0" w:color="000000"/>
              <w:bottom w:val="single" w:sz="4" w:space="0" w:color="000000"/>
              <w:right w:val="single" w:sz="4" w:space="0" w:color="000000"/>
            </w:tcBorders>
          </w:tcPr>
          <w:p w14:paraId="664C916D" w14:textId="77777777" w:rsidR="00A83012" w:rsidRPr="00A83012" w:rsidRDefault="00A83012" w:rsidP="00443352">
            <w:pPr>
              <w:pStyle w:val="CLDNormal"/>
              <w:ind w:left="360"/>
              <w:jc w:val="left"/>
              <w:rPr>
                <w:sz w:val="20"/>
                <w:lang w:val="en-AU"/>
              </w:rPr>
            </w:pPr>
          </w:p>
        </w:tc>
        <w:tc>
          <w:tcPr>
            <w:tcW w:w="1244" w:type="dxa"/>
            <w:vMerge w:val="restart"/>
            <w:tcBorders>
              <w:top w:val="nil"/>
              <w:left w:val="single" w:sz="4" w:space="0" w:color="000000"/>
              <w:bottom w:val="single" w:sz="4" w:space="0" w:color="000000"/>
              <w:right w:val="single" w:sz="4" w:space="0" w:color="000000"/>
            </w:tcBorders>
          </w:tcPr>
          <w:p w14:paraId="2273F132" w14:textId="77777777" w:rsidR="00A83012" w:rsidRPr="00A83012" w:rsidRDefault="00A83012" w:rsidP="00443352">
            <w:pPr>
              <w:pStyle w:val="CLDNormal"/>
              <w:ind w:left="360"/>
              <w:jc w:val="left"/>
              <w:rPr>
                <w:sz w:val="20"/>
                <w:lang w:val="en-AU"/>
              </w:rPr>
            </w:pPr>
            <w:r w:rsidRPr="00A83012">
              <w:rPr>
                <w:sz w:val="20"/>
                <w:lang w:val="en-AU"/>
              </w:rPr>
              <w:t>126</w:t>
            </w:r>
          </w:p>
        </w:tc>
        <w:tc>
          <w:tcPr>
            <w:tcW w:w="1245" w:type="dxa"/>
            <w:vMerge w:val="restart"/>
            <w:tcBorders>
              <w:top w:val="nil"/>
              <w:left w:val="single" w:sz="4" w:space="0" w:color="000000"/>
              <w:bottom w:val="single" w:sz="4" w:space="0" w:color="000000"/>
              <w:right w:val="single" w:sz="4" w:space="0" w:color="000000"/>
            </w:tcBorders>
          </w:tcPr>
          <w:p w14:paraId="54F8C289" w14:textId="77777777" w:rsidR="00A83012" w:rsidRPr="00A83012" w:rsidRDefault="00A83012" w:rsidP="00443352">
            <w:pPr>
              <w:pStyle w:val="CLDNormal"/>
              <w:ind w:left="360"/>
              <w:jc w:val="left"/>
              <w:rPr>
                <w:sz w:val="20"/>
                <w:lang w:val="en-AU"/>
              </w:rPr>
            </w:pPr>
            <w:r w:rsidRPr="00A83012">
              <w:rPr>
                <w:sz w:val="20"/>
                <w:lang w:val="en-AU"/>
              </w:rPr>
              <w:t>126</w:t>
            </w:r>
          </w:p>
        </w:tc>
        <w:tc>
          <w:tcPr>
            <w:tcW w:w="1388" w:type="dxa"/>
            <w:vMerge w:val="restart"/>
            <w:tcBorders>
              <w:top w:val="nil"/>
              <w:left w:val="single" w:sz="4" w:space="0" w:color="000000"/>
              <w:bottom w:val="single" w:sz="4" w:space="0" w:color="000000"/>
              <w:right w:val="single" w:sz="4" w:space="0" w:color="000000"/>
            </w:tcBorders>
          </w:tcPr>
          <w:p w14:paraId="664BE486" w14:textId="77777777" w:rsidR="00A83012" w:rsidRPr="00A83012" w:rsidRDefault="00A83012" w:rsidP="00443352">
            <w:pPr>
              <w:pStyle w:val="CLDNormal"/>
              <w:ind w:left="360"/>
              <w:jc w:val="left"/>
              <w:rPr>
                <w:sz w:val="20"/>
                <w:lang w:val="en-AU"/>
              </w:rPr>
            </w:pPr>
            <w:r w:rsidRPr="00A83012">
              <w:rPr>
                <w:sz w:val="20"/>
                <w:lang w:val="en-AU"/>
              </w:rPr>
              <w:t>48.1*</w:t>
            </w:r>
          </w:p>
        </w:tc>
        <w:tc>
          <w:tcPr>
            <w:tcW w:w="1753" w:type="dxa"/>
            <w:tcBorders>
              <w:top w:val="nil"/>
              <w:left w:val="single" w:sz="4" w:space="0" w:color="000000"/>
              <w:bottom w:val="nil"/>
              <w:right w:val="single" w:sz="4" w:space="0" w:color="000000"/>
            </w:tcBorders>
          </w:tcPr>
          <w:p w14:paraId="088AD1F5" w14:textId="77777777" w:rsidR="00A83012" w:rsidRPr="00A83012" w:rsidRDefault="00A83012" w:rsidP="00443352">
            <w:pPr>
              <w:pStyle w:val="CLDNormal"/>
              <w:ind w:left="360"/>
              <w:jc w:val="left"/>
              <w:rPr>
                <w:sz w:val="20"/>
                <w:lang w:val="en-AU"/>
              </w:rPr>
            </w:pPr>
            <w:r w:rsidRPr="00A83012">
              <w:rPr>
                <w:sz w:val="20"/>
                <w:lang w:val="en-AU"/>
              </w:rPr>
              <w:t>0.68</w:t>
            </w:r>
          </w:p>
        </w:tc>
        <w:tc>
          <w:tcPr>
            <w:tcW w:w="1459" w:type="dxa"/>
            <w:vMerge w:val="restart"/>
            <w:tcBorders>
              <w:top w:val="nil"/>
              <w:left w:val="single" w:sz="4" w:space="0" w:color="000000"/>
              <w:bottom w:val="single" w:sz="4" w:space="0" w:color="000000"/>
              <w:right w:val="single" w:sz="4" w:space="0" w:color="000000"/>
            </w:tcBorders>
          </w:tcPr>
          <w:p w14:paraId="50A55F59" w14:textId="77777777" w:rsidR="00A83012" w:rsidRPr="00A83012" w:rsidRDefault="00A83012" w:rsidP="00443352">
            <w:pPr>
              <w:pStyle w:val="CLDNormal"/>
              <w:ind w:left="360"/>
              <w:jc w:val="left"/>
              <w:rPr>
                <w:sz w:val="20"/>
                <w:lang w:val="en-AU"/>
              </w:rPr>
            </w:pPr>
            <w:r w:rsidRPr="00A83012">
              <w:rPr>
                <w:sz w:val="20"/>
                <w:lang w:val="en-AU"/>
              </w:rPr>
              <w:t>0.0215</w:t>
            </w:r>
          </w:p>
        </w:tc>
      </w:tr>
      <w:tr w:rsidR="00A83012" w:rsidRPr="00A83012" w14:paraId="0580575E" w14:textId="77777777" w:rsidTr="006E3A6E">
        <w:trPr>
          <w:trHeight w:hRule="exact" w:val="269"/>
        </w:trPr>
        <w:tc>
          <w:tcPr>
            <w:tcW w:w="1930" w:type="dxa"/>
            <w:vMerge/>
            <w:tcBorders>
              <w:top w:val="single" w:sz="4" w:space="0" w:color="000000"/>
              <w:left w:val="single" w:sz="4" w:space="0" w:color="000000"/>
              <w:bottom w:val="single" w:sz="4" w:space="0" w:color="000000"/>
              <w:right w:val="single" w:sz="4" w:space="0" w:color="000000"/>
            </w:tcBorders>
          </w:tcPr>
          <w:p w14:paraId="1FE279F8" w14:textId="77777777" w:rsidR="00A83012" w:rsidRPr="00A83012" w:rsidRDefault="00A83012" w:rsidP="00443352">
            <w:pPr>
              <w:pStyle w:val="CLDNormal"/>
              <w:ind w:left="360"/>
              <w:jc w:val="left"/>
              <w:rPr>
                <w:sz w:val="20"/>
                <w:lang w:val="en-AU"/>
              </w:rPr>
            </w:pPr>
          </w:p>
        </w:tc>
        <w:tc>
          <w:tcPr>
            <w:tcW w:w="1244" w:type="dxa"/>
            <w:vMerge/>
            <w:tcBorders>
              <w:top w:val="nil"/>
              <w:left w:val="single" w:sz="4" w:space="0" w:color="000000"/>
              <w:bottom w:val="single" w:sz="4" w:space="0" w:color="000000"/>
              <w:right w:val="single" w:sz="4" w:space="0" w:color="000000"/>
            </w:tcBorders>
          </w:tcPr>
          <w:p w14:paraId="4E6DEE71" w14:textId="77777777" w:rsidR="00A83012" w:rsidRPr="00A83012" w:rsidRDefault="00A83012" w:rsidP="00443352">
            <w:pPr>
              <w:pStyle w:val="CLDNormal"/>
              <w:ind w:left="360"/>
              <w:jc w:val="left"/>
              <w:rPr>
                <w:sz w:val="20"/>
                <w:lang w:val="en-AU"/>
              </w:rPr>
            </w:pPr>
          </w:p>
        </w:tc>
        <w:tc>
          <w:tcPr>
            <w:tcW w:w="1245" w:type="dxa"/>
            <w:vMerge/>
            <w:tcBorders>
              <w:top w:val="nil"/>
              <w:left w:val="single" w:sz="4" w:space="0" w:color="000000"/>
              <w:bottom w:val="single" w:sz="4" w:space="0" w:color="000000"/>
              <w:right w:val="single" w:sz="4" w:space="0" w:color="000000"/>
            </w:tcBorders>
          </w:tcPr>
          <w:p w14:paraId="6A614C99" w14:textId="77777777" w:rsidR="00A83012" w:rsidRPr="00A83012" w:rsidRDefault="00A83012" w:rsidP="00443352">
            <w:pPr>
              <w:pStyle w:val="CLDNormal"/>
              <w:ind w:left="360"/>
              <w:jc w:val="left"/>
              <w:rPr>
                <w:sz w:val="20"/>
                <w:lang w:val="en-AU"/>
              </w:rPr>
            </w:pPr>
          </w:p>
        </w:tc>
        <w:tc>
          <w:tcPr>
            <w:tcW w:w="1388" w:type="dxa"/>
            <w:vMerge/>
            <w:tcBorders>
              <w:top w:val="nil"/>
              <w:left w:val="single" w:sz="4" w:space="0" w:color="000000"/>
              <w:bottom w:val="single" w:sz="4" w:space="0" w:color="000000"/>
              <w:right w:val="single" w:sz="4" w:space="0" w:color="000000"/>
            </w:tcBorders>
          </w:tcPr>
          <w:p w14:paraId="31C48AD6" w14:textId="77777777" w:rsidR="00A83012" w:rsidRPr="00A83012" w:rsidRDefault="00A83012" w:rsidP="00443352">
            <w:pPr>
              <w:pStyle w:val="CLDNormal"/>
              <w:ind w:left="360"/>
              <w:jc w:val="left"/>
              <w:rPr>
                <w:sz w:val="20"/>
                <w:lang w:val="en-AU"/>
              </w:rPr>
            </w:pPr>
          </w:p>
        </w:tc>
        <w:tc>
          <w:tcPr>
            <w:tcW w:w="1753" w:type="dxa"/>
            <w:tcBorders>
              <w:top w:val="nil"/>
              <w:left w:val="single" w:sz="4" w:space="0" w:color="000000"/>
              <w:bottom w:val="single" w:sz="4" w:space="0" w:color="000000"/>
              <w:right w:val="single" w:sz="4" w:space="0" w:color="000000"/>
            </w:tcBorders>
          </w:tcPr>
          <w:p w14:paraId="5C0EF3E1" w14:textId="77777777" w:rsidR="00A83012" w:rsidRPr="00A83012" w:rsidRDefault="00A83012" w:rsidP="00443352">
            <w:pPr>
              <w:pStyle w:val="CLDNormal"/>
              <w:ind w:left="360"/>
              <w:jc w:val="left"/>
              <w:rPr>
                <w:sz w:val="20"/>
                <w:lang w:val="en-AU"/>
              </w:rPr>
            </w:pPr>
            <w:r w:rsidRPr="00A83012">
              <w:rPr>
                <w:sz w:val="20"/>
                <w:lang w:val="en-AU"/>
              </w:rPr>
              <w:t>[0.49; 0.95]</w:t>
            </w:r>
          </w:p>
        </w:tc>
        <w:tc>
          <w:tcPr>
            <w:tcW w:w="1459" w:type="dxa"/>
            <w:vMerge/>
            <w:tcBorders>
              <w:top w:val="nil"/>
              <w:left w:val="single" w:sz="4" w:space="0" w:color="000000"/>
              <w:bottom w:val="single" w:sz="4" w:space="0" w:color="000000"/>
              <w:right w:val="single" w:sz="4" w:space="0" w:color="000000"/>
            </w:tcBorders>
          </w:tcPr>
          <w:p w14:paraId="44AEEB29" w14:textId="77777777" w:rsidR="00A83012" w:rsidRPr="00A83012" w:rsidRDefault="00A83012" w:rsidP="00443352">
            <w:pPr>
              <w:pStyle w:val="CLDNormal"/>
              <w:ind w:left="360"/>
              <w:jc w:val="left"/>
              <w:rPr>
                <w:sz w:val="20"/>
                <w:lang w:val="en-AU"/>
              </w:rPr>
            </w:pPr>
          </w:p>
        </w:tc>
      </w:tr>
    </w:tbl>
    <w:p w14:paraId="27A471F7" w14:textId="77777777" w:rsidR="00612E2C" w:rsidRPr="00A83012" w:rsidRDefault="006E3A6E" w:rsidP="00443352">
      <w:pPr>
        <w:pStyle w:val="CLDNormal"/>
        <w:jc w:val="left"/>
        <w:rPr>
          <w:sz w:val="20"/>
          <w:lang w:val="en-US"/>
        </w:rPr>
      </w:pPr>
      <w:r w:rsidRPr="006E3A6E">
        <w:rPr>
          <w:sz w:val="20"/>
          <w:lang w:val="en-US"/>
        </w:rPr>
        <w:t>* ITT population: 409 FC, 408 R-FC</w:t>
      </w:r>
    </w:p>
    <w:p w14:paraId="6AB4C8C6" w14:textId="2FC528D5" w:rsidR="006E3A6E" w:rsidRPr="006E3A6E" w:rsidRDefault="006E3A6E" w:rsidP="00443352">
      <w:pPr>
        <w:pStyle w:val="CLDNormal"/>
        <w:jc w:val="left"/>
        <w:rPr>
          <w:lang w:val="en-US"/>
        </w:rPr>
      </w:pPr>
      <w:r w:rsidRPr="006E3A6E">
        <w:rPr>
          <w:lang w:val="en-US"/>
        </w:rPr>
        <w:t xml:space="preserve">In a case series of 30 previously untreated patients with CLL, an overall response rate of 97% was achieved with </w:t>
      </w:r>
      <w:proofErr w:type="spellStart"/>
      <w:r w:rsidR="006467E9" w:rsidRPr="006467E9">
        <w:rPr>
          <w:lang w:val="en-US"/>
        </w:rPr>
        <w:t>rituximab</w:t>
      </w:r>
      <w:r w:rsidRPr="006E3A6E">
        <w:rPr>
          <w:lang w:val="en-US"/>
        </w:rPr>
        <w:t>in</w:t>
      </w:r>
      <w:proofErr w:type="spellEnd"/>
      <w:r w:rsidRPr="006E3A6E">
        <w:rPr>
          <w:lang w:val="en-US"/>
        </w:rPr>
        <w:t xml:space="preserve"> combination with </w:t>
      </w:r>
      <w:proofErr w:type="spellStart"/>
      <w:r w:rsidRPr="006E3A6E">
        <w:rPr>
          <w:lang w:val="en-US"/>
        </w:rPr>
        <w:t>fludarabine</w:t>
      </w:r>
      <w:proofErr w:type="spellEnd"/>
      <w:r w:rsidRPr="006E3A6E">
        <w:rPr>
          <w:lang w:val="en-US"/>
        </w:rPr>
        <w:t xml:space="preserve">, cyclophosphamide and </w:t>
      </w:r>
      <w:proofErr w:type="spellStart"/>
      <w:r w:rsidRPr="006E3A6E">
        <w:rPr>
          <w:lang w:val="en-US"/>
        </w:rPr>
        <w:t>mitoxantrone</w:t>
      </w:r>
      <w:proofErr w:type="spellEnd"/>
      <w:r w:rsidRPr="006E3A6E">
        <w:rPr>
          <w:lang w:val="en-US"/>
        </w:rPr>
        <w:t xml:space="preserve"> (FCM). Survival was not reported. In another case series of 64 previously untreated patients with CLL, an overall response rate of 91% and a median PFS of 32.6 months were achieved with </w:t>
      </w:r>
      <w:r w:rsidR="00391A90" w:rsidRPr="00391A90">
        <w:rPr>
          <w:lang w:val="en-US"/>
        </w:rPr>
        <w:t>rituximab</w:t>
      </w:r>
      <w:r w:rsidRPr="006E3A6E">
        <w:rPr>
          <w:lang w:val="en-US"/>
        </w:rPr>
        <w:t xml:space="preserve"> in combination with </w:t>
      </w:r>
      <w:proofErr w:type="spellStart"/>
      <w:r w:rsidRPr="006E3A6E">
        <w:rPr>
          <w:lang w:val="en-US"/>
        </w:rPr>
        <w:t>pentostatin</w:t>
      </w:r>
      <w:proofErr w:type="spellEnd"/>
      <w:r w:rsidRPr="006E3A6E">
        <w:rPr>
          <w:lang w:val="en-US"/>
        </w:rPr>
        <w:t xml:space="preserve"> and cyclophosphamide (PC).</w:t>
      </w:r>
    </w:p>
    <w:p w14:paraId="34874F0A" w14:textId="77777777" w:rsidR="00612E2C" w:rsidRDefault="006E3A6E" w:rsidP="00443352">
      <w:pPr>
        <w:pStyle w:val="CLDNormal"/>
        <w:jc w:val="left"/>
        <w:rPr>
          <w:lang w:val="en-US"/>
        </w:rPr>
      </w:pPr>
      <w:r w:rsidRPr="006E3A6E">
        <w:rPr>
          <w:lang w:val="en-US"/>
        </w:rPr>
        <w:t xml:space="preserve">In the relapsed/refractory study, the median PFS (primary endpoint) was 30.6 months in the R-FC group and 20.6 months in the FC group (p=0.0002, log-rank test). The benefit in terms of PFS was observed in almost all patient subgroups </w:t>
      </w:r>
      <w:proofErr w:type="spellStart"/>
      <w:r w:rsidRPr="006E3A6E">
        <w:rPr>
          <w:lang w:val="en-US"/>
        </w:rPr>
        <w:t>analysed</w:t>
      </w:r>
      <w:proofErr w:type="spellEnd"/>
      <w:r w:rsidRPr="006E3A6E">
        <w:rPr>
          <w:lang w:val="en-US"/>
        </w:rPr>
        <w:t xml:space="preserve"> according to disease risk at baseline. A non-significant trend towards improvement in overall survival was reported in the R-FC arm compared to the FC arm.</w:t>
      </w:r>
    </w:p>
    <w:p w14:paraId="45EFF6D1" w14:textId="39BC2D99" w:rsidR="006E3A6E" w:rsidRPr="00CB27F2" w:rsidRDefault="006E3A6E" w:rsidP="00443352">
      <w:pPr>
        <w:pStyle w:val="CLDNormal"/>
        <w:jc w:val="left"/>
        <w:rPr>
          <w:sz w:val="22"/>
          <w:szCs w:val="22"/>
          <w:lang w:val="en-AU"/>
        </w:rPr>
      </w:pPr>
      <w:r w:rsidRPr="00CB27F2">
        <w:rPr>
          <w:b/>
          <w:bCs/>
          <w:sz w:val="22"/>
          <w:szCs w:val="22"/>
          <w:lang w:val="en-AU"/>
        </w:rPr>
        <w:t xml:space="preserve">Table 12: Treatment of relapsed/refractory Chronic Lymphocytic Leukaemia – overview of efficacy results for </w:t>
      </w:r>
      <w:r w:rsidR="009D2C58" w:rsidRPr="009D2C58">
        <w:rPr>
          <w:b/>
          <w:bCs/>
          <w:sz w:val="22"/>
          <w:szCs w:val="22"/>
          <w:lang w:val="en-US"/>
        </w:rPr>
        <w:t>rituximab</w:t>
      </w:r>
      <w:r w:rsidRPr="00CB27F2">
        <w:rPr>
          <w:b/>
          <w:bCs/>
          <w:sz w:val="22"/>
          <w:szCs w:val="22"/>
          <w:lang w:val="en-AU"/>
        </w:rPr>
        <w:t xml:space="preserve"> plus FC vs. FC alone (25.3 months median observation time)</w:t>
      </w:r>
    </w:p>
    <w:tbl>
      <w:tblPr>
        <w:tblW w:w="9016" w:type="dxa"/>
        <w:tblInd w:w="94" w:type="dxa"/>
        <w:tblLayout w:type="fixed"/>
        <w:tblCellMar>
          <w:left w:w="0" w:type="dxa"/>
          <w:right w:w="0" w:type="dxa"/>
        </w:tblCellMar>
        <w:tblLook w:val="0000" w:firstRow="0" w:lastRow="0" w:firstColumn="0" w:lastColumn="0" w:noHBand="0" w:noVBand="0"/>
      </w:tblPr>
      <w:tblGrid>
        <w:gridCol w:w="3253"/>
        <w:gridCol w:w="1507"/>
        <w:gridCol w:w="1436"/>
        <w:gridCol w:w="1337"/>
        <w:gridCol w:w="1483"/>
      </w:tblGrid>
      <w:tr w:rsidR="006E3A6E" w:rsidRPr="006E3A6E" w14:paraId="67D80734" w14:textId="77777777" w:rsidTr="006E3A6E">
        <w:trPr>
          <w:trHeight w:hRule="exact" w:val="566"/>
        </w:trPr>
        <w:tc>
          <w:tcPr>
            <w:tcW w:w="3253" w:type="dxa"/>
            <w:vMerge w:val="restart"/>
            <w:tcBorders>
              <w:top w:val="single" w:sz="6" w:space="0" w:color="000000"/>
              <w:left w:val="single" w:sz="4" w:space="0" w:color="000000"/>
              <w:bottom w:val="single" w:sz="6" w:space="0" w:color="000000"/>
              <w:right w:val="single" w:sz="6" w:space="0" w:color="000000"/>
            </w:tcBorders>
          </w:tcPr>
          <w:p w14:paraId="21DC9502" w14:textId="77777777" w:rsidR="006E3A6E" w:rsidRPr="006E3A6E" w:rsidRDefault="006E3A6E" w:rsidP="00443352">
            <w:pPr>
              <w:pStyle w:val="CLDNormal"/>
              <w:spacing w:after="0"/>
              <w:jc w:val="left"/>
              <w:rPr>
                <w:sz w:val="20"/>
                <w:lang w:val="en-AU"/>
              </w:rPr>
            </w:pPr>
            <w:r w:rsidRPr="006E3A6E">
              <w:rPr>
                <w:b/>
                <w:bCs/>
                <w:sz w:val="20"/>
                <w:lang w:val="en-AU"/>
              </w:rPr>
              <w:t>Efficacy Parameter</w:t>
            </w:r>
          </w:p>
        </w:tc>
        <w:tc>
          <w:tcPr>
            <w:tcW w:w="4280" w:type="dxa"/>
            <w:gridSpan w:val="3"/>
            <w:tcBorders>
              <w:top w:val="single" w:sz="6" w:space="0" w:color="000000"/>
              <w:left w:val="single" w:sz="6" w:space="0" w:color="000000"/>
              <w:bottom w:val="single" w:sz="6" w:space="0" w:color="000000"/>
              <w:right w:val="single" w:sz="6" w:space="0" w:color="000000"/>
            </w:tcBorders>
          </w:tcPr>
          <w:p w14:paraId="264D227A" w14:textId="77777777" w:rsidR="006E3A6E" w:rsidRDefault="006E3A6E" w:rsidP="00443352">
            <w:pPr>
              <w:pStyle w:val="CLDNormal"/>
              <w:spacing w:after="0"/>
              <w:jc w:val="left"/>
              <w:rPr>
                <w:b/>
                <w:bCs/>
                <w:sz w:val="20"/>
                <w:lang w:val="en-AU"/>
              </w:rPr>
            </w:pPr>
            <w:r w:rsidRPr="006E3A6E">
              <w:rPr>
                <w:b/>
                <w:bCs/>
                <w:sz w:val="20"/>
                <w:lang w:val="en-AU"/>
              </w:rPr>
              <w:t xml:space="preserve">Kaplan-Meier Estimate of </w:t>
            </w:r>
          </w:p>
          <w:p w14:paraId="7830775C" w14:textId="77777777" w:rsidR="006E3A6E" w:rsidRPr="006E3A6E" w:rsidRDefault="006E3A6E" w:rsidP="00443352">
            <w:pPr>
              <w:pStyle w:val="CLDNormal"/>
              <w:spacing w:after="0"/>
              <w:jc w:val="left"/>
              <w:rPr>
                <w:sz w:val="20"/>
                <w:lang w:val="en-AU"/>
              </w:rPr>
            </w:pPr>
            <w:r w:rsidRPr="006E3A6E">
              <w:rPr>
                <w:b/>
                <w:bCs/>
                <w:sz w:val="20"/>
                <w:lang w:val="en-AU"/>
              </w:rPr>
              <w:t>Median Time to Event (Months)</w:t>
            </w:r>
          </w:p>
        </w:tc>
        <w:tc>
          <w:tcPr>
            <w:tcW w:w="1483" w:type="dxa"/>
            <w:vMerge w:val="restart"/>
            <w:tcBorders>
              <w:top w:val="single" w:sz="6" w:space="0" w:color="000000"/>
              <w:left w:val="single" w:sz="6" w:space="0" w:color="000000"/>
              <w:bottom w:val="single" w:sz="6" w:space="0" w:color="000000"/>
              <w:right w:val="single" w:sz="6" w:space="0" w:color="000000"/>
            </w:tcBorders>
          </w:tcPr>
          <w:p w14:paraId="76600AD7" w14:textId="77777777" w:rsidR="006E3A6E" w:rsidRPr="006E3A6E" w:rsidRDefault="006E3A6E" w:rsidP="00443352">
            <w:pPr>
              <w:pStyle w:val="CLDNormal"/>
              <w:spacing w:after="0"/>
              <w:jc w:val="left"/>
              <w:rPr>
                <w:sz w:val="20"/>
                <w:lang w:val="en-AU"/>
              </w:rPr>
            </w:pPr>
            <w:r w:rsidRPr="006E3A6E">
              <w:rPr>
                <w:b/>
                <w:bCs/>
                <w:sz w:val="20"/>
                <w:lang w:val="en-AU"/>
              </w:rPr>
              <w:t>Hazard Ratio</w:t>
            </w:r>
          </w:p>
          <w:p w14:paraId="5D8CD536" w14:textId="77777777" w:rsidR="006E3A6E" w:rsidRPr="006E3A6E" w:rsidRDefault="006E3A6E" w:rsidP="00443352">
            <w:pPr>
              <w:pStyle w:val="CLDNormal"/>
              <w:spacing w:after="0"/>
              <w:jc w:val="left"/>
              <w:rPr>
                <w:sz w:val="20"/>
                <w:lang w:val="en-AU"/>
              </w:rPr>
            </w:pPr>
            <w:r w:rsidRPr="006E3A6E">
              <w:rPr>
                <w:b/>
                <w:bCs/>
                <w:sz w:val="20"/>
                <w:lang w:val="en-AU"/>
              </w:rPr>
              <w:t>R-FC vs.</w:t>
            </w:r>
          </w:p>
          <w:p w14:paraId="7EDC633D" w14:textId="77777777" w:rsidR="006E3A6E" w:rsidRPr="006E3A6E" w:rsidRDefault="006E3A6E" w:rsidP="00443352">
            <w:pPr>
              <w:pStyle w:val="CLDNormal"/>
              <w:spacing w:after="0"/>
              <w:jc w:val="left"/>
              <w:rPr>
                <w:sz w:val="20"/>
                <w:lang w:val="en-AU"/>
              </w:rPr>
            </w:pPr>
            <w:r w:rsidRPr="006E3A6E">
              <w:rPr>
                <w:b/>
                <w:bCs/>
                <w:sz w:val="20"/>
                <w:lang w:val="en-AU"/>
              </w:rPr>
              <w:t>FC [95% CI]</w:t>
            </w:r>
          </w:p>
        </w:tc>
      </w:tr>
      <w:tr w:rsidR="006E3A6E" w:rsidRPr="006E3A6E" w14:paraId="11EA070C" w14:textId="77777777" w:rsidTr="006E3A6E">
        <w:trPr>
          <w:trHeight w:hRule="exact" w:val="567"/>
        </w:trPr>
        <w:tc>
          <w:tcPr>
            <w:tcW w:w="3253" w:type="dxa"/>
            <w:vMerge/>
            <w:tcBorders>
              <w:top w:val="single" w:sz="6" w:space="0" w:color="000000"/>
              <w:left w:val="single" w:sz="4" w:space="0" w:color="000000"/>
              <w:bottom w:val="single" w:sz="6" w:space="0" w:color="000000"/>
              <w:right w:val="single" w:sz="6" w:space="0" w:color="000000"/>
            </w:tcBorders>
          </w:tcPr>
          <w:p w14:paraId="65995365" w14:textId="77777777" w:rsidR="006E3A6E" w:rsidRPr="006E3A6E" w:rsidRDefault="006E3A6E" w:rsidP="00443352">
            <w:pPr>
              <w:pStyle w:val="CLDNormal"/>
              <w:spacing w:after="0"/>
              <w:jc w:val="left"/>
              <w:rPr>
                <w:sz w:val="20"/>
                <w:lang w:val="en-AU"/>
              </w:rPr>
            </w:pPr>
          </w:p>
        </w:tc>
        <w:tc>
          <w:tcPr>
            <w:tcW w:w="1507" w:type="dxa"/>
            <w:tcBorders>
              <w:top w:val="single" w:sz="6" w:space="0" w:color="000000"/>
              <w:left w:val="single" w:sz="6" w:space="0" w:color="000000"/>
              <w:bottom w:val="single" w:sz="6" w:space="0" w:color="000000"/>
              <w:right w:val="single" w:sz="6" w:space="0" w:color="000000"/>
            </w:tcBorders>
          </w:tcPr>
          <w:p w14:paraId="46212D0C" w14:textId="77777777" w:rsidR="006E3A6E" w:rsidRDefault="006E3A6E" w:rsidP="00443352">
            <w:pPr>
              <w:pStyle w:val="CLDNormal"/>
              <w:spacing w:after="0"/>
              <w:jc w:val="left"/>
              <w:rPr>
                <w:b/>
                <w:bCs/>
                <w:sz w:val="20"/>
                <w:lang w:val="en-AU"/>
              </w:rPr>
            </w:pPr>
            <w:r w:rsidRPr="006E3A6E">
              <w:rPr>
                <w:b/>
                <w:bCs/>
                <w:sz w:val="20"/>
                <w:lang w:val="en-AU"/>
              </w:rPr>
              <w:t xml:space="preserve">FC </w:t>
            </w:r>
          </w:p>
          <w:p w14:paraId="01C9F9A8" w14:textId="77777777" w:rsidR="006E3A6E" w:rsidRPr="006E3A6E" w:rsidRDefault="006E3A6E" w:rsidP="00443352">
            <w:pPr>
              <w:pStyle w:val="CLDNormal"/>
              <w:spacing w:after="0"/>
              <w:jc w:val="left"/>
              <w:rPr>
                <w:sz w:val="20"/>
                <w:lang w:val="en-AU"/>
              </w:rPr>
            </w:pPr>
            <w:r w:rsidRPr="006E3A6E">
              <w:rPr>
                <w:b/>
                <w:bCs/>
                <w:sz w:val="20"/>
                <w:lang w:val="en-AU"/>
              </w:rPr>
              <w:t>(N=276)</w:t>
            </w:r>
          </w:p>
        </w:tc>
        <w:tc>
          <w:tcPr>
            <w:tcW w:w="1436" w:type="dxa"/>
            <w:tcBorders>
              <w:top w:val="single" w:sz="6" w:space="0" w:color="000000"/>
              <w:left w:val="single" w:sz="6" w:space="0" w:color="000000"/>
              <w:bottom w:val="single" w:sz="6" w:space="0" w:color="000000"/>
              <w:right w:val="single" w:sz="6" w:space="0" w:color="000000"/>
            </w:tcBorders>
          </w:tcPr>
          <w:p w14:paraId="3C7B62C5" w14:textId="77777777" w:rsidR="006E3A6E" w:rsidRDefault="006E3A6E" w:rsidP="00443352">
            <w:pPr>
              <w:pStyle w:val="CLDNormal"/>
              <w:spacing w:after="0"/>
              <w:jc w:val="left"/>
              <w:rPr>
                <w:b/>
                <w:bCs/>
                <w:sz w:val="20"/>
                <w:lang w:val="en-AU"/>
              </w:rPr>
            </w:pPr>
            <w:r w:rsidRPr="006E3A6E">
              <w:rPr>
                <w:b/>
                <w:bCs/>
                <w:sz w:val="20"/>
                <w:lang w:val="en-AU"/>
              </w:rPr>
              <w:t xml:space="preserve">R-FC </w:t>
            </w:r>
          </w:p>
          <w:p w14:paraId="6488F702" w14:textId="77777777" w:rsidR="006E3A6E" w:rsidRPr="006E3A6E" w:rsidRDefault="006E3A6E" w:rsidP="00443352">
            <w:pPr>
              <w:pStyle w:val="CLDNormal"/>
              <w:spacing w:after="0"/>
              <w:jc w:val="left"/>
              <w:rPr>
                <w:sz w:val="20"/>
                <w:lang w:val="en-AU"/>
              </w:rPr>
            </w:pPr>
            <w:r w:rsidRPr="006E3A6E">
              <w:rPr>
                <w:b/>
                <w:bCs/>
                <w:sz w:val="20"/>
                <w:lang w:val="en-AU"/>
              </w:rPr>
              <w:t>(N=276)</w:t>
            </w:r>
          </w:p>
        </w:tc>
        <w:tc>
          <w:tcPr>
            <w:tcW w:w="1337" w:type="dxa"/>
            <w:tcBorders>
              <w:top w:val="single" w:sz="6" w:space="0" w:color="000000"/>
              <w:left w:val="single" w:sz="6" w:space="0" w:color="000000"/>
              <w:bottom w:val="single" w:sz="6" w:space="0" w:color="000000"/>
              <w:right w:val="single" w:sz="6" w:space="0" w:color="000000"/>
            </w:tcBorders>
          </w:tcPr>
          <w:p w14:paraId="7578F797" w14:textId="77777777" w:rsidR="006E3A6E" w:rsidRDefault="006E3A6E" w:rsidP="00443352">
            <w:pPr>
              <w:pStyle w:val="CLDNormal"/>
              <w:spacing w:after="0"/>
              <w:jc w:val="left"/>
              <w:rPr>
                <w:b/>
                <w:bCs/>
                <w:sz w:val="20"/>
                <w:lang w:val="en-AU"/>
              </w:rPr>
            </w:pPr>
            <w:r w:rsidRPr="006E3A6E">
              <w:rPr>
                <w:b/>
                <w:bCs/>
                <w:sz w:val="20"/>
                <w:lang w:val="en-AU"/>
              </w:rPr>
              <w:t xml:space="preserve">Log-Rank </w:t>
            </w:r>
          </w:p>
          <w:p w14:paraId="3CBF6354" w14:textId="77777777" w:rsidR="006E3A6E" w:rsidRPr="006E3A6E" w:rsidRDefault="006E3A6E" w:rsidP="00443352">
            <w:pPr>
              <w:pStyle w:val="CLDNormal"/>
              <w:spacing w:after="0"/>
              <w:jc w:val="left"/>
              <w:rPr>
                <w:sz w:val="20"/>
                <w:lang w:val="en-AU"/>
              </w:rPr>
            </w:pPr>
            <w:r w:rsidRPr="006E3A6E">
              <w:rPr>
                <w:b/>
                <w:bCs/>
                <w:sz w:val="20"/>
                <w:lang w:val="en-AU"/>
              </w:rPr>
              <w:t>p value</w:t>
            </w:r>
          </w:p>
        </w:tc>
        <w:tc>
          <w:tcPr>
            <w:tcW w:w="1483" w:type="dxa"/>
            <w:vMerge/>
            <w:tcBorders>
              <w:top w:val="single" w:sz="6" w:space="0" w:color="000000"/>
              <w:left w:val="single" w:sz="6" w:space="0" w:color="000000"/>
              <w:bottom w:val="single" w:sz="6" w:space="0" w:color="000000"/>
              <w:right w:val="single" w:sz="6" w:space="0" w:color="000000"/>
            </w:tcBorders>
          </w:tcPr>
          <w:p w14:paraId="15525094" w14:textId="77777777" w:rsidR="006E3A6E" w:rsidRPr="006E3A6E" w:rsidRDefault="006E3A6E" w:rsidP="00443352">
            <w:pPr>
              <w:pStyle w:val="CLDNormal"/>
              <w:spacing w:after="0"/>
              <w:jc w:val="left"/>
              <w:rPr>
                <w:sz w:val="20"/>
                <w:lang w:val="en-AU"/>
              </w:rPr>
            </w:pPr>
          </w:p>
        </w:tc>
      </w:tr>
      <w:tr w:rsidR="006E3A6E" w:rsidRPr="006E3A6E" w14:paraId="3FF45DC4" w14:textId="77777777" w:rsidTr="006E3A6E">
        <w:trPr>
          <w:trHeight w:val="567"/>
        </w:trPr>
        <w:tc>
          <w:tcPr>
            <w:tcW w:w="3253" w:type="dxa"/>
            <w:tcBorders>
              <w:top w:val="single" w:sz="6" w:space="0" w:color="000000"/>
              <w:left w:val="single" w:sz="4" w:space="0" w:color="000000"/>
              <w:bottom w:val="single" w:sz="4" w:space="0" w:color="000000"/>
              <w:right w:val="single" w:sz="6" w:space="0" w:color="000000"/>
            </w:tcBorders>
          </w:tcPr>
          <w:p w14:paraId="5A1D238F" w14:textId="77777777" w:rsidR="006E3A6E" w:rsidRPr="006E3A6E" w:rsidRDefault="006E3A6E" w:rsidP="00443352">
            <w:pPr>
              <w:pStyle w:val="CLDNormal"/>
              <w:spacing w:after="0"/>
              <w:jc w:val="left"/>
              <w:rPr>
                <w:sz w:val="20"/>
                <w:lang w:val="en-AU"/>
              </w:rPr>
            </w:pPr>
            <w:r w:rsidRPr="006E3A6E">
              <w:rPr>
                <w:sz w:val="20"/>
                <w:lang w:val="en-AU"/>
              </w:rPr>
              <w:t>Progression-free survival</w:t>
            </w:r>
          </w:p>
        </w:tc>
        <w:tc>
          <w:tcPr>
            <w:tcW w:w="1507" w:type="dxa"/>
            <w:tcBorders>
              <w:top w:val="single" w:sz="6" w:space="0" w:color="000000"/>
              <w:left w:val="single" w:sz="6" w:space="0" w:color="000000"/>
              <w:bottom w:val="single" w:sz="4" w:space="0" w:color="000000"/>
              <w:right w:val="single" w:sz="6" w:space="0" w:color="000000"/>
            </w:tcBorders>
          </w:tcPr>
          <w:p w14:paraId="2AEA1ABD" w14:textId="77777777" w:rsidR="006E3A6E" w:rsidRPr="006E3A6E" w:rsidRDefault="006E3A6E" w:rsidP="00443352">
            <w:pPr>
              <w:pStyle w:val="CLDNormal"/>
              <w:spacing w:after="0"/>
              <w:jc w:val="left"/>
              <w:rPr>
                <w:sz w:val="20"/>
                <w:lang w:val="en-AU"/>
              </w:rPr>
            </w:pPr>
            <w:r w:rsidRPr="006E3A6E">
              <w:rPr>
                <w:sz w:val="20"/>
                <w:lang w:val="en-AU"/>
              </w:rPr>
              <w:t>20.6</w:t>
            </w:r>
          </w:p>
        </w:tc>
        <w:tc>
          <w:tcPr>
            <w:tcW w:w="1436" w:type="dxa"/>
            <w:tcBorders>
              <w:top w:val="single" w:sz="6" w:space="0" w:color="000000"/>
              <w:left w:val="single" w:sz="6" w:space="0" w:color="000000"/>
              <w:bottom w:val="single" w:sz="4" w:space="0" w:color="000000"/>
              <w:right w:val="single" w:sz="6" w:space="0" w:color="000000"/>
            </w:tcBorders>
          </w:tcPr>
          <w:p w14:paraId="72108CD0" w14:textId="77777777" w:rsidR="006E3A6E" w:rsidRPr="006E3A6E" w:rsidRDefault="006E3A6E" w:rsidP="00443352">
            <w:pPr>
              <w:pStyle w:val="CLDNormal"/>
              <w:spacing w:after="0"/>
              <w:jc w:val="left"/>
              <w:rPr>
                <w:sz w:val="20"/>
                <w:lang w:val="en-AU"/>
              </w:rPr>
            </w:pPr>
            <w:r w:rsidRPr="006E3A6E">
              <w:rPr>
                <w:sz w:val="20"/>
                <w:lang w:val="en-AU"/>
              </w:rPr>
              <w:t>30.6</w:t>
            </w:r>
          </w:p>
        </w:tc>
        <w:tc>
          <w:tcPr>
            <w:tcW w:w="1337" w:type="dxa"/>
            <w:tcBorders>
              <w:top w:val="single" w:sz="6" w:space="0" w:color="000000"/>
              <w:left w:val="single" w:sz="6" w:space="0" w:color="000000"/>
              <w:bottom w:val="single" w:sz="4" w:space="0" w:color="000000"/>
              <w:right w:val="single" w:sz="6" w:space="0" w:color="000000"/>
            </w:tcBorders>
          </w:tcPr>
          <w:p w14:paraId="7FF704B0" w14:textId="77777777" w:rsidR="006E3A6E" w:rsidRPr="006E3A6E" w:rsidRDefault="006E3A6E" w:rsidP="00443352">
            <w:pPr>
              <w:pStyle w:val="CLDNormal"/>
              <w:spacing w:after="0"/>
              <w:jc w:val="left"/>
              <w:rPr>
                <w:sz w:val="20"/>
                <w:lang w:val="en-AU"/>
              </w:rPr>
            </w:pPr>
            <w:r w:rsidRPr="006E3A6E">
              <w:rPr>
                <w:sz w:val="20"/>
                <w:lang w:val="en-AU"/>
              </w:rPr>
              <w:t>0.0002</w:t>
            </w:r>
          </w:p>
        </w:tc>
        <w:tc>
          <w:tcPr>
            <w:tcW w:w="1483" w:type="dxa"/>
            <w:tcBorders>
              <w:top w:val="single" w:sz="6" w:space="0" w:color="000000"/>
              <w:left w:val="single" w:sz="6" w:space="0" w:color="000000"/>
              <w:bottom w:val="single" w:sz="4" w:space="0" w:color="000000"/>
              <w:right w:val="single" w:sz="6" w:space="0" w:color="000000"/>
            </w:tcBorders>
          </w:tcPr>
          <w:p w14:paraId="427BE154" w14:textId="77777777" w:rsidR="006E3A6E" w:rsidRDefault="006E3A6E" w:rsidP="00443352">
            <w:pPr>
              <w:pStyle w:val="CLDNormal"/>
              <w:spacing w:after="0"/>
              <w:jc w:val="left"/>
              <w:rPr>
                <w:sz w:val="20"/>
                <w:lang w:val="en-AU"/>
              </w:rPr>
            </w:pPr>
            <w:r w:rsidRPr="006E3A6E">
              <w:rPr>
                <w:sz w:val="20"/>
                <w:lang w:val="en-AU"/>
              </w:rPr>
              <w:t>0.65</w:t>
            </w:r>
          </w:p>
          <w:p w14:paraId="25802411" w14:textId="77777777" w:rsidR="006E3A6E" w:rsidRPr="006E3A6E" w:rsidRDefault="006E3A6E" w:rsidP="00443352">
            <w:pPr>
              <w:pStyle w:val="CLDNormal"/>
              <w:spacing w:after="0"/>
              <w:jc w:val="left"/>
              <w:rPr>
                <w:sz w:val="20"/>
                <w:lang w:val="en-AU"/>
              </w:rPr>
            </w:pPr>
            <w:r w:rsidRPr="006E3A6E">
              <w:rPr>
                <w:sz w:val="20"/>
                <w:lang w:val="en-AU"/>
              </w:rPr>
              <w:t>[0.51, 0.82]</w:t>
            </w:r>
          </w:p>
        </w:tc>
      </w:tr>
      <w:tr w:rsidR="006E3A6E" w:rsidRPr="006E3A6E" w14:paraId="031C97A9" w14:textId="77777777" w:rsidTr="006E3A6E">
        <w:trPr>
          <w:trHeight w:val="567"/>
        </w:trPr>
        <w:tc>
          <w:tcPr>
            <w:tcW w:w="3253" w:type="dxa"/>
            <w:tcBorders>
              <w:top w:val="single" w:sz="4" w:space="0" w:color="000000"/>
              <w:left w:val="single" w:sz="4" w:space="0" w:color="000000"/>
              <w:bottom w:val="single" w:sz="4" w:space="0" w:color="000000"/>
              <w:right w:val="single" w:sz="6" w:space="0" w:color="000000"/>
            </w:tcBorders>
          </w:tcPr>
          <w:p w14:paraId="1CBE0DE2" w14:textId="77777777" w:rsidR="006E3A6E" w:rsidRPr="006E3A6E" w:rsidRDefault="006E3A6E" w:rsidP="00443352">
            <w:pPr>
              <w:pStyle w:val="CLDNormal"/>
              <w:spacing w:after="0"/>
              <w:jc w:val="left"/>
              <w:rPr>
                <w:sz w:val="20"/>
                <w:lang w:val="en-AU"/>
              </w:rPr>
            </w:pPr>
            <w:r w:rsidRPr="006E3A6E">
              <w:rPr>
                <w:sz w:val="20"/>
                <w:lang w:val="en-AU"/>
              </w:rPr>
              <w:t>Overall Survival</w:t>
            </w:r>
          </w:p>
        </w:tc>
        <w:tc>
          <w:tcPr>
            <w:tcW w:w="1507" w:type="dxa"/>
            <w:tcBorders>
              <w:top w:val="single" w:sz="4" w:space="0" w:color="000000"/>
              <w:left w:val="single" w:sz="6" w:space="0" w:color="000000"/>
              <w:bottom w:val="single" w:sz="4" w:space="0" w:color="000000"/>
              <w:right w:val="single" w:sz="6" w:space="0" w:color="000000"/>
            </w:tcBorders>
          </w:tcPr>
          <w:p w14:paraId="42275D3C" w14:textId="77777777" w:rsidR="006E3A6E" w:rsidRPr="006E3A6E" w:rsidRDefault="006E3A6E" w:rsidP="00443352">
            <w:pPr>
              <w:pStyle w:val="CLDNormal"/>
              <w:spacing w:after="0"/>
              <w:jc w:val="left"/>
              <w:rPr>
                <w:sz w:val="20"/>
                <w:lang w:val="en-AU"/>
              </w:rPr>
            </w:pPr>
            <w:r w:rsidRPr="006E3A6E">
              <w:rPr>
                <w:sz w:val="20"/>
                <w:lang w:val="en-AU"/>
              </w:rPr>
              <w:t>51.9</w:t>
            </w:r>
          </w:p>
        </w:tc>
        <w:tc>
          <w:tcPr>
            <w:tcW w:w="1436" w:type="dxa"/>
            <w:tcBorders>
              <w:top w:val="single" w:sz="4" w:space="0" w:color="000000"/>
              <w:left w:val="single" w:sz="6" w:space="0" w:color="000000"/>
              <w:bottom w:val="single" w:sz="4" w:space="0" w:color="000000"/>
              <w:right w:val="single" w:sz="6" w:space="0" w:color="000000"/>
            </w:tcBorders>
          </w:tcPr>
          <w:p w14:paraId="7B30A13B" w14:textId="77777777" w:rsidR="006E3A6E" w:rsidRPr="006E3A6E" w:rsidRDefault="006E3A6E" w:rsidP="00443352">
            <w:pPr>
              <w:pStyle w:val="CLDNormal"/>
              <w:spacing w:after="0"/>
              <w:jc w:val="left"/>
              <w:rPr>
                <w:sz w:val="20"/>
                <w:lang w:val="en-AU"/>
              </w:rPr>
            </w:pPr>
            <w:r w:rsidRPr="006E3A6E">
              <w:rPr>
                <w:sz w:val="20"/>
                <w:lang w:val="en-AU"/>
              </w:rPr>
              <w:t>NR</w:t>
            </w:r>
          </w:p>
        </w:tc>
        <w:tc>
          <w:tcPr>
            <w:tcW w:w="1337" w:type="dxa"/>
            <w:tcBorders>
              <w:top w:val="single" w:sz="4" w:space="0" w:color="000000"/>
              <w:left w:val="single" w:sz="6" w:space="0" w:color="000000"/>
              <w:bottom w:val="single" w:sz="4" w:space="0" w:color="000000"/>
              <w:right w:val="single" w:sz="6" w:space="0" w:color="000000"/>
            </w:tcBorders>
          </w:tcPr>
          <w:p w14:paraId="13A65DDB" w14:textId="77777777" w:rsidR="006E3A6E" w:rsidRPr="006E3A6E" w:rsidRDefault="006E3A6E" w:rsidP="00443352">
            <w:pPr>
              <w:pStyle w:val="CLDNormal"/>
              <w:spacing w:after="0"/>
              <w:jc w:val="left"/>
              <w:rPr>
                <w:sz w:val="20"/>
                <w:lang w:val="en-AU"/>
              </w:rPr>
            </w:pPr>
            <w:r w:rsidRPr="006E3A6E">
              <w:rPr>
                <w:sz w:val="20"/>
                <w:lang w:val="en-AU"/>
              </w:rPr>
              <w:t>0.2874</w:t>
            </w:r>
          </w:p>
        </w:tc>
        <w:tc>
          <w:tcPr>
            <w:tcW w:w="1483" w:type="dxa"/>
            <w:tcBorders>
              <w:top w:val="single" w:sz="4" w:space="0" w:color="000000"/>
              <w:left w:val="single" w:sz="6" w:space="0" w:color="000000"/>
              <w:bottom w:val="single" w:sz="4" w:space="0" w:color="000000"/>
              <w:right w:val="single" w:sz="6" w:space="0" w:color="000000"/>
            </w:tcBorders>
          </w:tcPr>
          <w:p w14:paraId="706B5320" w14:textId="77777777" w:rsidR="006E3A6E" w:rsidRPr="006E3A6E" w:rsidRDefault="006E3A6E" w:rsidP="00443352">
            <w:pPr>
              <w:pStyle w:val="CLDNormal"/>
              <w:spacing w:after="0"/>
              <w:jc w:val="left"/>
              <w:rPr>
                <w:sz w:val="20"/>
                <w:lang w:val="en-AU"/>
              </w:rPr>
            </w:pPr>
            <w:r w:rsidRPr="006E3A6E">
              <w:rPr>
                <w:sz w:val="20"/>
                <w:lang w:val="en-AU"/>
              </w:rPr>
              <w:t>0.83</w:t>
            </w:r>
          </w:p>
          <w:p w14:paraId="6060F825" w14:textId="77777777" w:rsidR="006E3A6E" w:rsidRPr="006E3A6E" w:rsidRDefault="006E3A6E" w:rsidP="00443352">
            <w:pPr>
              <w:pStyle w:val="CLDNormal"/>
              <w:spacing w:after="0"/>
              <w:jc w:val="left"/>
              <w:rPr>
                <w:sz w:val="20"/>
                <w:lang w:val="en-AU"/>
              </w:rPr>
            </w:pPr>
            <w:r w:rsidRPr="006E3A6E">
              <w:rPr>
                <w:sz w:val="20"/>
                <w:lang w:val="en-AU"/>
              </w:rPr>
              <w:t>[0.59, 1.17]</w:t>
            </w:r>
          </w:p>
        </w:tc>
      </w:tr>
      <w:tr w:rsidR="006E3A6E" w:rsidRPr="006E3A6E" w14:paraId="31EE93C1" w14:textId="77777777" w:rsidTr="006E3A6E">
        <w:trPr>
          <w:trHeight w:hRule="exact" w:val="851"/>
        </w:trPr>
        <w:tc>
          <w:tcPr>
            <w:tcW w:w="3253" w:type="dxa"/>
            <w:tcBorders>
              <w:top w:val="single" w:sz="4" w:space="0" w:color="000000"/>
              <w:left w:val="single" w:sz="4" w:space="0" w:color="000000"/>
              <w:bottom w:val="single" w:sz="6" w:space="0" w:color="000000"/>
              <w:right w:val="single" w:sz="6" w:space="0" w:color="000000"/>
            </w:tcBorders>
          </w:tcPr>
          <w:p w14:paraId="7AF2D74D" w14:textId="77777777" w:rsidR="006E3A6E" w:rsidRDefault="006E3A6E" w:rsidP="00443352">
            <w:pPr>
              <w:pStyle w:val="CLDNormal"/>
              <w:spacing w:after="0"/>
              <w:jc w:val="left"/>
              <w:rPr>
                <w:sz w:val="20"/>
                <w:lang w:val="en-AU"/>
              </w:rPr>
            </w:pPr>
            <w:r w:rsidRPr="006E3A6E">
              <w:rPr>
                <w:sz w:val="20"/>
                <w:lang w:val="en-AU"/>
              </w:rPr>
              <w:t xml:space="preserve">Response rate (CR, </w:t>
            </w:r>
            <w:proofErr w:type="spellStart"/>
            <w:r w:rsidRPr="006E3A6E">
              <w:rPr>
                <w:sz w:val="20"/>
                <w:lang w:val="en-AU"/>
              </w:rPr>
              <w:t>nPR</w:t>
            </w:r>
            <w:proofErr w:type="spellEnd"/>
            <w:r w:rsidRPr="006E3A6E">
              <w:rPr>
                <w:sz w:val="20"/>
                <w:lang w:val="en-AU"/>
              </w:rPr>
              <w:t xml:space="preserve">, or PR) </w:t>
            </w:r>
          </w:p>
          <w:p w14:paraId="513AABEC" w14:textId="77777777" w:rsidR="006E3A6E" w:rsidRDefault="006E3A6E" w:rsidP="00443352">
            <w:pPr>
              <w:pStyle w:val="CLDNormal"/>
              <w:spacing w:after="0"/>
              <w:jc w:val="left"/>
              <w:rPr>
                <w:sz w:val="20"/>
                <w:lang w:val="en-AU"/>
              </w:rPr>
            </w:pPr>
          </w:p>
          <w:p w14:paraId="52E24C62" w14:textId="77777777" w:rsidR="006E3A6E" w:rsidRPr="006E3A6E" w:rsidRDefault="006E3A6E" w:rsidP="00443352">
            <w:pPr>
              <w:pStyle w:val="CLDNormal"/>
              <w:spacing w:after="0"/>
              <w:jc w:val="left"/>
              <w:rPr>
                <w:sz w:val="20"/>
                <w:lang w:val="en-AU"/>
              </w:rPr>
            </w:pPr>
            <w:r w:rsidRPr="006E3A6E">
              <w:rPr>
                <w:sz w:val="20"/>
                <w:lang w:val="en-AU"/>
              </w:rPr>
              <w:t>CR rates</w:t>
            </w:r>
          </w:p>
        </w:tc>
        <w:tc>
          <w:tcPr>
            <w:tcW w:w="1507" w:type="dxa"/>
            <w:tcBorders>
              <w:top w:val="single" w:sz="4" w:space="0" w:color="000000"/>
              <w:left w:val="single" w:sz="6" w:space="0" w:color="000000"/>
              <w:bottom w:val="single" w:sz="6" w:space="0" w:color="000000"/>
              <w:right w:val="single" w:sz="6" w:space="0" w:color="000000"/>
            </w:tcBorders>
          </w:tcPr>
          <w:p w14:paraId="4E9928A9" w14:textId="77777777" w:rsidR="006E3A6E" w:rsidRPr="006E3A6E" w:rsidRDefault="006E3A6E" w:rsidP="00443352">
            <w:pPr>
              <w:pStyle w:val="CLDNormal"/>
              <w:spacing w:after="0"/>
              <w:jc w:val="left"/>
              <w:rPr>
                <w:sz w:val="20"/>
                <w:lang w:val="en-AU"/>
              </w:rPr>
            </w:pPr>
            <w:r w:rsidRPr="006E3A6E">
              <w:rPr>
                <w:sz w:val="20"/>
                <w:lang w:val="en-AU"/>
              </w:rPr>
              <w:t>58.0%</w:t>
            </w:r>
          </w:p>
          <w:p w14:paraId="64B9CC29" w14:textId="77777777" w:rsidR="006E3A6E" w:rsidRPr="006E3A6E" w:rsidRDefault="006E3A6E" w:rsidP="00443352">
            <w:pPr>
              <w:pStyle w:val="CLDNormal"/>
              <w:spacing w:after="0"/>
              <w:jc w:val="left"/>
              <w:rPr>
                <w:sz w:val="20"/>
                <w:lang w:val="en-AU"/>
              </w:rPr>
            </w:pPr>
          </w:p>
          <w:p w14:paraId="46DA28E5" w14:textId="77777777" w:rsidR="006E3A6E" w:rsidRPr="006E3A6E" w:rsidRDefault="006E3A6E" w:rsidP="00443352">
            <w:pPr>
              <w:pStyle w:val="CLDNormal"/>
              <w:spacing w:after="0"/>
              <w:jc w:val="left"/>
              <w:rPr>
                <w:sz w:val="20"/>
                <w:lang w:val="en-AU"/>
              </w:rPr>
            </w:pPr>
            <w:r w:rsidRPr="006E3A6E">
              <w:rPr>
                <w:sz w:val="20"/>
                <w:lang w:val="en-AU"/>
              </w:rPr>
              <w:t>13.0%</w:t>
            </w:r>
          </w:p>
        </w:tc>
        <w:tc>
          <w:tcPr>
            <w:tcW w:w="1436" w:type="dxa"/>
            <w:tcBorders>
              <w:top w:val="single" w:sz="4" w:space="0" w:color="000000"/>
              <w:left w:val="single" w:sz="6" w:space="0" w:color="000000"/>
              <w:bottom w:val="single" w:sz="6" w:space="0" w:color="000000"/>
              <w:right w:val="single" w:sz="6" w:space="0" w:color="000000"/>
            </w:tcBorders>
          </w:tcPr>
          <w:p w14:paraId="3A5FB787" w14:textId="77777777" w:rsidR="006E3A6E" w:rsidRPr="006E3A6E" w:rsidRDefault="006E3A6E" w:rsidP="00443352">
            <w:pPr>
              <w:pStyle w:val="CLDNormal"/>
              <w:spacing w:after="0"/>
              <w:jc w:val="left"/>
              <w:rPr>
                <w:sz w:val="20"/>
                <w:lang w:val="en-AU"/>
              </w:rPr>
            </w:pPr>
            <w:r w:rsidRPr="006E3A6E">
              <w:rPr>
                <w:sz w:val="20"/>
                <w:lang w:val="en-AU"/>
              </w:rPr>
              <w:t>69.9%</w:t>
            </w:r>
          </w:p>
          <w:p w14:paraId="051083D3" w14:textId="77777777" w:rsidR="006E3A6E" w:rsidRPr="006E3A6E" w:rsidRDefault="006E3A6E" w:rsidP="00443352">
            <w:pPr>
              <w:pStyle w:val="CLDNormal"/>
              <w:spacing w:after="0"/>
              <w:jc w:val="left"/>
              <w:rPr>
                <w:sz w:val="20"/>
                <w:lang w:val="en-AU"/>
              </w:rPr>
            </w:pPr>
          </w:p>
          <w:p w14:paraId="659DD798" w14:textId="77777777" w:rsidR="006E3A6E" w:rsidRPr="006E3A6E" w:rsidRDefault="006E3A6E" w:rsidP="00443352">
            <w:pPr>
              <w:pStyle w:val="CLDNormal"/>
              <w:spacing w:after="0"/>
              <w:jc w:val="left"/>
              <w:rPr>
                <w:sz w:val="20"/>
                <w:lang w:val="en-AU"/>
              </w:rPr>
            </w:pPr>
            <w:r w:rsidRPr="006E3A6E">
              <w:rPr>
                <w:sz w:val="20"/>
                <w:lang w:val="en-AU"/>
              </w:rPr>
              <w:t>24.3%</w:t>
            </w:r>
          </w:p>
        </w:tc>
        <w:tc>
          <w:tcPr>
            <w:tcW w:w="1337" w:type="dxa"/>
            <w:tcBorders>
              <w:top w:val="single" w:sz="4" w:space="0" w:color="000000"/>
              <w:left w:val="single" w:sz="6" w:space="0" w:color="000000"/>
              <w:bottom w:val="single" w:sz="6" w:space="0" w:color="000000"/>
              <w:right w:val="single" w:sz="6" w:space="0" w:color="000000"/>
            </w:tcBorders>
          </w:tcPr>
          <w:p w14:paraId="7364C6EB" w14:textId="77777777" w:rsidR="006E3A6E" w:rsidRPr="006E3A6E" w:rsidRDefault="006E3A6E" w:rsidP="00443352">
            <w:pPr>
              <w:pStyle w:val="CLDNormal"/>
              <w:spacing w:after="0"/>
              <w:jc w:val="left"/>
              <w:rPr>
                <w:sz w:val="20"/>
                <w:lang w:val="en-AU"/>
              </w:rPr>
            </w:pPr>
            <w:r w:rsidRPr="006E3A6E">
              <w:rPr>
                <w:sz w:val="20"/>
                <w:lang w:val="en-AU"/>
              </w:rPr>
              <w:t>0.0034</w:t>
            </w:r>
          </w:p>
          <w:p w14:paraId="7C302A5E" w14:textId="77777777" w:rsidR="006E3A6E" w:rsidRPr="006E3A6E" w:rsidRDefault="006E3A6E" w:rsidP="00443352">
            <w:pPr>
              <w:pStyle w:val="CLDNormal"/>
              <w:spacing w:after="0"/>
              <w:jc w:val="left"/>
              <w:rPr>
                <w:sz w:val="20"/>
                <w:lang w:val="en-AU"/>
              </w:rPr>
            </w:pPr>
          </w:p>
          <w:p w14:paraId="5ED641DF" w14:textId="77777777" w:rsidR="006E3A6E" w:rsidRPr="006E3A6E" w:rsidRDefault="006E3A6E" w:rsidP="00443352">
            <w:pPr>
              <w:pStyle w:val="CLDNormal"/>
              <w:spacing w:after="0"/>
              <w:jc w:val="left"/>
              <w:rPr>
                <w:sz w:val="20"/>
                <w:lang w:val="en-AU"/>
              </w:rPr>
            </w:pPr>
            <w:r w:rsidRPr="006E3A6E">
              <w:rPr>
                <w:sz w:val="20"/>
                <w:lang w:val="en-AU"/>
              </w:rPr>
              <w:t>0.0007</w:t>
            </w:r>
          </w:p>
        </w:tc>
        <w:tc>
          <w:tcPr>
            <w:tcW w:w="1483" w:type="dxa"/>
            <w:tcBorders>
              <w:top w:val="single" w:sz="4" w:space="0" w:color="000000"/>
              <w:left w:val="single" w:sz="6" w:space="0" w:color="000000"/>
              <w:bottom w:val="single" w:sz="6" w:space="0" w:color="000000"/>
              <w:right w:val="single" w:sz="6" w:space="0" w:color="000000"/>
            </w:tcBorders>
          </w:tcPr>
          <w:p w14:paraId="5CA9ED3D" w14:textId="77777777" w:rsidR="006E3A6E" w:rsidRDefault="006E3A6E" w:rsidP="00443352">
            <w:pPr>
              <w:pStyle w:val="CLDNormal"/>
              <w:spacing w:after="0"/>
              <w:jc w:val="left"/>
              <w:rPr>
                <w:sz w:val="20"/>
                <w:lang w:val="en-AU"/>
              </w:rPr>
            </w:pPr>
            <w:r w:rsidRPr="006E3A6E">
              <w:rPr>
                <w:sz w:val="20"/>
                <w:lang w:val="en-AU"/>
              </w:rPr>
              <w:t>NA</w:t>
            </w:r>
          </w:p>
          <w:p w14:paraId="7DFF2635" w14:textId="77777777" w:rsidR="006E3A6E" w:rsidRDefault="006E3A6E" w:rsidP="00443352">
            <w:pPr>
              <w:pStyle w:val="CLDNormal"/>
              <w:spacing w:after="0"/>
              <w:jc w:val="left"/>
              <w:rPr>
                <w:sz w:val="20"/>
                <w:lang w:val="en-AU"/>
              </w:rPr>
            </w:pPr>
          </w:p>
          <w:p w14:paraId="4069B26B" w14:textId="77777777" w:rsidR="006E3A6E" w:rsidRPr="006E3A6E" w:rsidRDefault="006E3A6E" w:rsidP="00443352">
            <w:pPr>
              <w:pStyle w:val="CLDNormal"/>
              <w:spacing w:after="0"/>
              <w:jc w:val="left"/>
              <w:rPr>
                <w:sz w:val="20"/>
                <w:lang w:val="en-AU"/>
              </w:rPr>
            </w:pPr>
            <w:r w:rsidRPr="006E3A6E">
              <w:rPr>
                <w:sz w:val="20"/>
                <w:lang w:val="en-AU"/>
              </w:rPr>
              <w:t>NA</w:t>
            </w:r>
          </w:p>
        </w:tc>
      </w:tr>
    </w:tbl>
    <w:p w14:paraId="28A727A2" w14:textId="77777777" w:rsidR="00612E2C" w:rsidRDefault="006E3A6E" w:rsidP="00443352">
      <w:pPr>
        <w:pStyle w:val="CLDNormal"/>
        <w:spacing w:after="0"/>
        <w:jc w:val="left"/>
        <w:rPr>
          <w:sz w:val="20"/>
          <w:lang w:val="en-US"/>
        </w:rPr>
      </w:pPr>
      <w:r w:rsidRPr="006E3A6E">
        <w:rPr>
          <w:sz w:val="20"/>
          <w:lang w:val="en-US"/>
        </w:rPr>
        <w:t xml:space="preserve">Response rate and CR rates </w:t>
      </w:r>
      <w:proofErr w:type="spellStart"/>
      <w:r w:rsidRPr="006E3A6E">
        <w:rPr>
          <w:sz w:val="20"/>
          <w:lang w:val="en-US"/>
        </w:rPr>
        <w:t>analysed</w:t>
      </w:r>
      <w:proofErr w:type="spellEnd"/>
      <w:r w:rsidRPr="006E3A6E">
        <w:rPr>
          <w:sz w:val="20"/>
          <w:lang w:val="en-US"/>
        </w:rPr>
        <w:t xml:space="preserve"> using Chi-squared Test.</w:t>
      </w:r>
    </w:p>
    <w:p w14:paraId="2FA8477F" w14:textId="77777777" w:rsidR="006E3A6E" w:rsidRPr="006E3A6E" w:rsidRDefault="006E3A6E" w:rsidP="00443352">
      <w:pPr>
        <w:pStyle w:val="CLDNormal"/>
        <w:spacing w:after="0"/>
        <w:jc w:val="left"/>
        <w:rPr>
          <w:sz w:val="20"/>
          <w:lang w:val="en-US"/>
        </w:rPr>
      </w:pPr>
      <w:r w:rsidRPr="006E3A6E">
        <w:rPr>
          <w:sz w:val="20"/>
          <w:lang w:val="en-US"/>
        </w:rPr>
        <w:t xml:space="preserve">Abbreviations: CR: complete response; </w:t>
      </w:r>
      <w:proofErr w:type="spellStart"/>
      <w:r w:rsidRPr="006E3A6E">
        <w:rPr>
          <w:sz w:val="20"/>
          <w:lang w:val="en-US"/>
        </w:rPr>
        <w:t>nPR</w:t>
      </w:r>
      <w:proofErr w:type="spellEnd"/>
      <w:r w:rsidRPr="006E3A6E">
        <w:rPr>
          <w:sz w:val="20"/>
          <w:lang w:val="en-US"/>
        </w:rPr>
        <w:t>: nodular partial response; PR: partial response; NA: not available; NR: not reached</w:t>
      </w:r>
    </w:p>
    <w:p w14:paraId="65CB9E36" w14:textId="77777777" w:rsidR="006E3A6E" w:rsidRPr="006E3A6E" w:rsidRDefault="006E3A6E" w:rsidP="00443352">
      <w:pPr>
        <w:pStyle w:val="CLDNormal"/>
        <w:spacing w:after="0"/>
        <w:jc w:val="left"/>
        <w:rPr>
          <w:sz w:val="20"/>
          <w:lang w:val="en-US"/>
        </w:rPr>
      </w:pPr>
      <w:r w:rsidRPr="006E3A6E">
        <w:rPr>
          <w:sz w:val="20"/>
          <w:lang w:val="en-US"/>
        </w:rPr>
        <w:t>Standard definitions and assessments for response were used in accordance with the National Cancer Institute-sponsored Working Group guidelines for CLL.</w:t>
      </w:r>
    </w:p>
    <w:p w14:paraId="4F817DF8" w14:textId="77777777" w:rsidR="00612E2C" w:rsidRDefault="00612E2C" w:rsidP="00443352">
      <w:pPr>
        <w:pStyle w:val="CLDNormal"/>
        <w:jc w:val="left"/>
        <w:rPr>
          <w:lang w:val="en-US"/>
        </w:rPr>
      </w:pPr>
    </w:p>
    <w:p w14:paraId="35CA72B4" w14:textId="032E2598" w:rsidR="006E3A6E" w:rsidRPr="006E3A6E" w:rsidRDefault="006E3A6E" w:rsidP="00443352">
      <w:pPr>
        <w:pStyle w:val="CLDNormal"/>
        <w:jc w:val="left"/>
        <w:rPr>
          <w:lang w:val="en-US"/>
        </w:rPr>
      </w:pPr>
      <w:r w:rsidRPr="006E3A6E">
        <w:rPr>
          <w:lang w:val="en-US"/>
        </w:rPr>
        <w:t xml:space="preserve">In relapsed/refractory CLL patients, response rates of 70% or greater have been reported in small studies of the following chemotherapy regimens with </w:t>
      </w:r>
      <w:r w:rsidR="009D2C58" w:rsidRPr="009D2C58">
        <w:rPr>
          <w:lang w:val="en-US"/>
        </w:rPr>
        <w:t>rituximab</w:t>
      </w:r>
      <w:r w:rsidRPr="006E3A6E">
        <w:rPr>
          <w:lang w:val="en-US"/>
        </w:rPr>
        <w:t>: FCM (</w:t>
      </w:r>
      <w:proofErr w:type="spellStart"/>
      <w:r w:rsidRPr="006E3A6E">
        <w:rPr>
          <w:lang w:val="en-US"/>
        </w:rPr>
        <w:t>fludarabine</w:t>
      </w:r>
      <w:proofErr w:type="spellEnd"/>
      <w:r w:rsidRPr="006E3A6E">
        <w:rPr>
          <w:lang w:val="en-US"/>
        </w:rPr>
        <w:t xml:space="preserve">, cyclophosphamide, </w:t>
      </w:r>
      <w:proofErr w:type="spellStart"/>
      <w:r w:rsidRPr="006E3A6E">
        <w:rPr>
          <w:lang w:val="en-US"/>
        </w:rPr>
        <w:t>mitoxantrone</w:t>
      </w:r>
      <w:proofErr w:type="spellEnd"/>
      <w:r w:rsidRPr="006E3A6E">
        <w:rPr>
          <w:lang w:val="en-US"/>
        </w:rPr>
        <w:t>), PC (</w:t>
      </w:r>
      <w:proofErr w:type="spellStart"/>
      <w:r w:rsidRPr="006E3A6E">
        <w:rPr>
          <w:lang w:val="en-US"/>
        </w:rPr>
        <w:t>pentostatin</w:t>
      </w:r>
      <w:proofErr w:type="spellEnd"/>
      <w:r w:rsidRPr="006E3A6E">
        <w:rPr>
          <w:lang w:val="en-US"/>
        </w:rPr>
        <w:t>, cyclophosphamide), PCM (</w:t>
      </w:r>
      <w:proofErr w:type="spellStart"/>
      <w:r w:rsidRPr="006E3A6E">
        <w:rPr>
          <w:lang w:val="en-US"/>
        </w:rPr>
        <w:t>pentostatin</w:t>
      </w:r>
      <w:proofErr w:type="spellEnd"/>
      <w:r w:rsidRPr="006E3A6E">
        <w:rPr>
          <w:lang w:val="en-US"/>
        </w:rPr>
        <w:t xml:space="preserve">, cyclophosphamide, </w:t>
      </w:r>
      <w:proofErr w:type="spellStart"/>
      <w:r w:rsidRPr="006E3A6E">
        <w:rPr>
          <w:lang w:val="en-US"/>
        </w:rPr>
        <w:t>mitoxantrone</w:t>
      </w:r>
      <w:proofErr w:type="spellEnd"/>
      <w:r w:rsidRPr="006E3A6E">
        <w:rPr>
          <w:lang w:val="en-US"/>
        </w:rPr>
        <w:t xml:space="preserve">), CHOP (cyclophosphamide, doxorubicin, vincristine, prednisolone), </w:t>
      </w:r>
      <w:proofErr w:type="spellStart"/>
      <w:r w:rsidRPr="006E3A6E">
        <w:rPr>
          <w:lang w:val="en-US"/>
        </w:rPr>
        <w:t>bendamustine</w:t>
      </w:r>
      <w:proofErr w:type="spellEnd"/>
      <w:r w:rsidRPr="006E3A6E">
        <w:rPr>
          <w:lang w:val="en-US"/>
        </w:rPr>
        <w:t xml:space="preserve"> and </w:t>
      </w:r>
      <w:proofErr w:type="spellStart"/>
      <w:r w:rsidRPr="006E3A6E">
        <w:rPr>
          <w:lang w:val="en-US"/>
        </w:rPr>
        <w:t>cladribine</w:t>
      </w:r>
      <w:proofErr w:type="spellEnd"/>
      <w:r w:rsidRPr="006E3A6E">
        <w:rPr>
          <w:lang w:val="en-US"/>
        </w:rPr>
        <w:t>.</w:t>
      </w:r>
    </w:p>
    <w:p w14:paraId="329F348A" w14:textId="77777777" w:rsidR="006E3A6E" w:rsidRPr="006E3A6E" w:rsidRDefault="006E3A6E" w:rsidP="00443352">
      <w:pPr>
        <w:pStyle w:val="CLDHeading4"/>
        <w:jc w:val="left"/>
        <w:rPr>
          <w:lang w:val="en-US"/>
        </w:rPr>
      </w:pPr>
      <w:r w:rsidRPr="006E3A6E">
        <w:rPr>
          <w:lang w:val="en-US"/>
        </w:rPr>
        <w:t>Rheumatoid Arthritis</w:t>
      </w:r>
    </w:p>
    <w:p w14:paraId="20AF611C" w14:textId="1C64F7FC" w:rsidR="006E3A6E" w:rsidRPr="006E3A6E" w:rsidRDefault="006E3A6E" w:rsidP="00443352">
      <w:pPr>
        <w:pStyle w:val="CLDNormal"/>
        <w:jc w:val="left"/>
        <w:rPr>
          <w:lang w:val="en-US"/>
        </w:rPr>
      </w:pPr>
      <w:r w:rsidRPr="006E3A6E">
        <w:rPr>
          <w:lang w:val="en-US"/>
        </w:rPr>
        <w:t xml:space="preserve">The efficacy and safety of </w:t>
      </w:r>
      <w:r w:rsidR="009D2C58" w:rsidRPr="009D2C58">
        <w:rPr>
          <w:lang w:val="en-US"/>
        </w:rPr>
        <w:t>rituximab</w:t>
      </w:r>
      <w:r w:rsidRPr="006E3A6E">
        <w:rPr>
          <w:lang w:val="en-US"/>
        </w:rPr>
        <w:t xml:space="preserve"> in alleviating the symptoms and signs of RA was demonstrated in three </w:t>
      </w:r>
      <w:proofErr w:type="spellStart"/>
      <w:r w:rsidRPr="006E3A6E">
        <w:rPr>
          <w:lang w:val="en-US"/>
        </w:rPr>
        <w:t>randomised</w:t>
      </w:r>
      <w:proofErr w:type="spellEnd"/>
      <w:r w:rsidRPr="006E3A6E">
        <w:rPr>
          <w:lang w:val="en-US"/>
        </w:rPr>
        <w:t xml:space="preserve">, controlled, double-blind, </w:t>
      </w:r>
      <w:proofErr w:type="spellStart"/>
      <w:r w:rsidRPr="006E3A6E">
        <w:rPr>
          <w:lang w:val="en-US"/>
        </w:rPr>
        <w:t>multicentre</w:t>
      </w:r>
      <w:proofErr w:type="spellEnd"/>
      <w:r w:rsidRPr="006E3A6E">
        <w:rPr>
          <w:lang w:val="en-US"/>
        </w:rPr>
        <w:t xml:space="preserve"> studies.</w:t>
      </w:r>
    </w:p>
    <w:p w14:paraId="032D33E3" w14:textId="1BFDF2B5" w:rsidR="006E3A6E" w:rsidRDefault="006E3A6E" w:rsidP="00443352">
      <w:pPr>
        <w:pStyle w:val="CLDNormal"/>
        <w:jc w:val="left"/>
        <w:rPr>
          <w:lang w:val="en-US"/>
        </w:rPr>
      </w:pPr>
      <w:r w:rsidRPr="006E3A6E">
        <w:rPr>
          <w:lang w:val="en-US"/>
        </w:rPr>
        <w:t xml:space="preserve">Study 1, WA17042 (REFLEX), was a double blind comparative study which included 517 patients that had experienced an inadequate response or intolerance to one or more TNF inhibitor therapies. Eligible patients had severe active RA, diagnosed according to the criteria of the American College of Rheumatology (ACR). The study population was comprised of adult patients aged ≥ 18 years with RA for at least 6 months who had experienced an inadequate response to previous treatment with an anti-TNF therapy. The primary endpoint was the percent of patients who achieved an ACR20 response at week 24. Patients received 2 x 1000 mg IV infusions of </w:t>
      </w:r>
      <w:r w:rsidR="009D2C58" w:rsidRPr="009D2C58">
        <w:rPr>
          <w:lang w:val="en-US"/>
        </w:rPr>
        <w:t>rituximab</w:t>
      </w:r>
      <w:r w:rsidRPr="006E3A6E">
        <w:rPr>
          <w:lang w:val="en-US"/>
        </w:rPr>
        <w:t xml:space="preserve">, each following an IV infusion of 100 mg </w:t>
      </w:r>
      <w:proofErr w:type="spellStart"/>
      <w:r w:rsidRPr="006E3A6E">
        <w:rPr>
          <w:lang w:val="en-US"/>
        </w:rPr>
        <w:t>methylprednisone</w:t>
      </w:r>
      <w:proofErr w:type="spellEnd"/>
      <w:r w:rsidRPr="006E3A6E">
        <w:rPr>
          <w:lang w:val="en-US"/>
        </w:rPr>
        <w:t xml:space="preserve"> and separated by an interval of 15 days. All patients received concomitant oral methotrexate (MTX) (10-25 mg/week) and 60 mg oral prednisone on days 2-7 and 30 mg on days 8-14 following the first infusion. Patients were followed beyond week 24 for long term endpoints, including radiographic assessment at 56 weeks. During this time patients could receive further courses of </w:t>
      </w:r>
      <w:r w:rsidR="009D2C58" w:rsidRPr="009D2C58">
        <w:rPr>
          <w:lang w:val="en-US"/>
        </w:rPr>
        <w:t>rituximab</w:t>
      </w:r>
      <w:r w:rsidRPr="006E3A6E">
        <w:rPr>
          <w:lang w:val="en-US"/>
        </w:rPr>
        <w:t xml:space="preserve"> under an open label extension study protocol (see Radiographic Response).</w:t>
      </w:r>
    </w:p>
    <w:p w14:paraId="782C2E3A" w14:textId="7854BFA0" w:rsidR="006E3A6E" w:rsidRPr="006E3A6E" w:rsidRDefault="006E3A6E" w:rsidP="00443352">
      <w:pPr>
        <w:pStyle w:val="CLDNormal"/>
        <w:jc w:val="left"/>
        <w:rPr>
          <w:lang w:val="en-US"/>
        </w:rPr>
      </w:pPr>
      <w:r w:rsidRPr="006E3A6E">
        <w:rPr>
          <w:lang w:val="en-US"/>
        </w:rPr>
        <w:t xml:space="preserve">Study 2, WA17043 (DANCER), was a </w:t>
      </w:r>
      <w:proofErr w:type="spellStart"/>
      <w:r w:rsidRPr="006E3A6E">
        <w:rPr>
          <w:lang w:val="en-US"/>
        </w:rPr>
        <w:t>randomised</w:t>
      </w:r>
      <w:proofErr w:type="spellEnd"/>
      <w:r w:rsidRPr="006E3A6E">
        <w:rPr>
          <w:lang w:val="en-US"/>
        </w:rPr>
        <w:t xml:space="preserve">, double-blind, double-dummy, controlled, 3 x 3 multifactorial study which compared two different dose levels of </w:t>
      </w:r>
      <w:r w:rsidR="009D2C58" w:rsidRPr="009D2C58">
        <w:rPr>
          <w:lang w:val="en-US"/>
        </w:rPr>
        <w:t>rituximab</w:t>
      </w:r>
      <w:r w:rsidRPr="006E3A6E">
        <w:rPr>
          <w:lang w:val="en-US"/>
        </w:rPr>
        <w:t xml:space="preserve"> (2 x 1000 mg or 2 x 500 mg) given with or without one of two corticosteroid infusion regimens in combination with weekly MTX. All patients received concomitant oral methotrexate. The primary endpoint was the proportion of RF (Rheumatoid Factor) positive patients with an ACR20 response at week 24. The study population was comprised of adult patients aged ≥ 18 years with RA who had previously failed 1-5 DMARDs and who currently had an inadequate response to MTX.</w:t>
      </w:r>
    </w:p>
    <w:p w14:paraId="51F67210" w14:textId="7EE3EBD8" w:rsidR="006E3A6E" w:rsidRPr="006E3A6E" w:rsidRDefault="006E3A6E" w:rsidP="00443352">
      <w:pPr>
        <w:pStyle w:val="CLDNormal"/>
        <w:jc w:val="left"/>
        <w:rPr>
          <w:lang w:val="en-US"/>
        </w:rPr>
      </w:pPr>
      <w:r w:rsidRPr="006E3A6E">
        <w:rPr>
          <w:lang w:val="en-US"/>
        </w:rPr>
        <w:t xml:space="preserve">Study 3 was a double-blind, double-dummy, controlled study evaluating </w:t>
      </w:r>
      <w:r w:rsidR="009D2C58" w:rsidRPr="009D2C58">
        <w:rPr>
          <w:lang w:val="en-US"/>
        </w:rPr>
        <w:t>rituximab</w:t>
      </w:r>
      <w:r w:rsidRPr="006E3A6E">
        <w:rPr>
          <w:lang w:val="en-US"/>
        </w:rPr>
        <w:t xml:space="preserve"> monotherapy, and </w:t>
      </w:r>
      <w:r w:rsidR="009D2C58" w:rsidRPr="009D2C58">
        <w:rPr>
          <w:lang w:val="en-US"/>
        </w:rPr>
        <w:t>rituximab</w:t>
      </w:r>
      <w:r w:rsidRPr="006E3A6E">
        <w:rPr>
          <w:lang w:val="en-US"/>
        </w:rPr>
        <w:t xml:space="preserve"> in combination with either cyclophosphamide or MTX in patients with active RA who had not responded to one or more prior DMARDs. The primary endpoint was the proportion of patients with an ACR50 response at week 24. The study population was comprised of adult patients aged ≥ 21 years with RA who had failed 1-5 DMARDs, were RF seropositive at screening, and who currently had a partial clinical response to MTX monotherapy.</w:t>
      </w:r>
    </w:p>
    <w:p w14:paraId="7682BE7B" w14:textId="77777777" w:rsidR="006E3A6E" w:rsidRDefault="006E3A6E" w:rsidP="00443352">
      <w:pPr>
        <w:pStyle w:val="CLDNormal"/>
        <w:jc w:val="left"/>
        <w:rPr>
          <w:lang w:val="en-US"/>
        </w:rPr>
      </w:pPr>
      <w:r w:rsidRPr="006E3A6E">
        <w:rPr>
          <w:lang w:val="en-US"/>
        </w:rPr>
        <w:t>An ACR20 response was defined as at least a 20% improvement, compared to baseline, in both swollen and tender joint counts (SJC and TJC), as well as in 3 out of 5 additional parameters: physician’s global assessment of disease activity, patient’s global assessment of disease activity, patient’s assessment of pain, Health Assessment Questionnaire Disability Index (HAQ-DI) and C-reactive protein (CRP).</w:t>
      </w:r>
    </w:p>
    <w:p w14:paraId="10D25964" w14:textId="77777777" w:rsidR="006E3A6E" w:rsidRPr="006E3A6E" w:rsidRDefault="006E3A6E" w:rsidP="00443352">
      <w:pPr>
        <w:pStyle w:val="CLDNormal"/>
        <w:jc w:val="left"/>
        <w:rPr>
          <w:lang w:val="en-US"/>
        </w:rPr>
      </w:pPr>
      <w:r w:rsidRPr="006E3A6E">
        <w:rPr>
          <w:lang w:val="en-US"/>
        </w:rPr>
        <w:t>The comparator drug in all three studies was weekly MTX (10-25 mg weekly).</w:t>
      </w:r>
    </w:p>
    <w:p w14:paraId="70BC0999" w14:textId="77777777" w:rsidR="006E3A6E" w:rsidRPr="00CB27F2" w:rsidRDefault="006E3A6E" w:rsidP="00443352">
      <w:pPr>
        <w:pStyle w:val="CLDNormal"/>
        <w:jc w:val="left"/>
        <w:rPr>
          <w:rFonts w:eastAsiaTheme="minorEastAsia"/>
          <w:i/>
          <w:szCs w:val="24"/>
          <w:lang w:val="en-US"/>
        </w:rPr>
      </w:pPr>
      <w:r w:rsidRPr="00CB27F2">
        <w:rPr>
          <w:rFonts w:eastAsiaTheme="minorEastAsia"/>
          <w:i/>
          <w:szCs w:val="24"/>
          <w:lang w:val="en-US"/>
        </w:rPr>
        <w:t>Disease Activity Outcomes</w:t>
      </w:r>
    </w:p>
    <w:p w14:paraId="78C91C3A" w14:textId="08DBCBFC" w:rsidR="006E3A6E" w:rsidRPr="006E3A6E" w:rsidRDefault="006E3A6E" w:rsidP="00443352">
      <w:pPr>
        <w:pStyle w:val="CLDNormal"/>
        <w:jc w:val="left"/>
        <w:rPr>
          <w:lang w:val="en-US"/>
        </w:rPr>
      </w:pPr>
      <w:r w:rsidRPr="006E3A6E">
        <w:rPr>
          <w:lang w:val="en-US"/>
        </w:rPr>
        <w:t xml:space="preserve">In all three studies, </w:t>
      </w:r>
      <w:bookmarkStart w:id="6" w:name="_Hlk24031809"/>
      <w:r w:rsidR="009D2C58" w:rsidRPr="009D2C58">
        <w:rPr>
          <w:lang w:val="en-US"/>
        </w:rPr>
        <w:t>rituximab</w:t>
      </w:r>
      <w:bookmarkEnd w:id="6"/>
      <w:r w:rsidRPr="006E3A6E">
        <w:rPr>
          <w:lang w:val="en-US"/>
        </w:rPr>
        <w:t xml:space="preserve"> 2 x 1000 mg + MTX significantly increased the proportion of patients achieving at least a 20% improvement in ACR score compared with patients treated with MTX alone (Table 13). The treatment effect was similar in patients independent of age, gender, body surface area, race, number of prior treatments or disease status.</w:t>
      </w:r>
    </w:p>
    <w:p w14:paraId="564CE1C4" w14:textId="77777777" w:rsidR="006E3A6E" w:rsidRDefault="006E3A6E" w:rsidP="00443352">
      <w:pPr>
        <w:pStyle w:val="CLDNormal"/>
        <w:jc w:val="left"/>
        <w:rPr>
          <w:lang w:val="en-US"/>
        </w:rPr>
      </w:pPr>
      <w:r w:rsidRPr="006E3A6E">
        <w:rPr>
          <w:lang w:val="en-US"/>
        </w:rPr>
        <w:t>Clinically and statistically significant improvement was also noted on all individual components of the ACR response (tender and swollen joint counts, patient and physician global assessment, disability index scores (HAQ), pain assessment and CRP (mg/</w:t>
      </w:r>
      <w:proofErr w:type="spellStart"/>
      <w:r w:rsidRPr="006E3A6E">
        <w:rPr>
          <w:lang w:val="en-US"/>
        </w:rPr>
        <w:t>dL</w:t>
      </w:r>
      <w:proofErr w:type="spellEnd"/>
      <w:r w:rsidRPr="006E3A6E">
        <w:rPr>
          <w:lang w:val="en-US"/>
        </w:rPr>
        <w:t>).</w:t>
      </w:r>
    </w:p>
    <w:p w14:paraId="5E7E106A" w14:textId="77777777" w:rsidR="006E3A6E" w:rsidRPr="00CB27F2" w:rsidRDefault="006E3A6E" w:rsidP="00443352">
      <w:pPr>
        <w:pStyle w:val="CLDNormal"/>
        <w:jc w:val="left"/>
        <w:rPr>
          <w:b/>
          <w:bCs/>
          <w:sz w:val="22"/>
          <w:szCs w:val="22"/>
          <w:lang w:val="en-AU"/>
        </w:rPr>
      </w:pPr>
      <w:r w:rsidRPr="00CB27F2">
        <w:rPr>
          <w:b/>
          <w:bCs/>
          <w:sz w:val="22"/>
          <w:szCs w:val="22"/>
          <w:lang w:val="en-AU"/>
        </w:rPr>
        <w:t>Table 13 Cross-study comparison of ACR responses at Week 24 (ITT Population)</w:t>
      </w:r>
    </w:p>
    <w:tbl>
      <w:tblPr>
        <w:tblStyle w:val="TableGrid"/>
        <w:tblW w:w="0" w:type="auto"/>
        <w:tblLook w:val="04A0" w:firstRow="1" w:lastRow="0" w:firstColumn="1" w:lastColumn="0" w:noHBand="0" w:noVBand="1"/>
      </w:tblPr>
      <w:tblGrid>
        <w:gridCol w:w="2270"/>
        <w:gridCol w:w="2270"/>
        <w:gridCol w:w="2270"/>
        <w:gridCol w:w="2270"/>
      </w:tblGrid>
      <w:tr w:rsidR="00044034" w:rsidRPr="00044034" w14:paraId="6BBED054" w14:textId="77777777" w:rsidTr="00044034">
        <w:trPr>
          <w:trHeight w:val="58"/>
        </w:trPr>
        <w:tc>
          <w:tcPr>
            <w:tcW w:w="2270" w:type="dxa"/>
          </w:tcPr>
          <w:p w14:paraId="2548A826" w14:textId="77777777" w:rsidR="00044034" w:rsidRPr="00044034" w:rsidRDefault="00044034" w:rsidP="00443352">
            <w:pPr>
              <w:pStyle w:val="CLDNormal"/>
              <w:spacing w:after="0"/>
              <w:jc w:val="left"/>
              <w:rPr>
                <w:b/>
                <w:sz w:val="20"/>
                <w:lang w:val="en-US"/>
              </w:rPr>
            </w:pPr>
            <w:bookmarkStart w:id="7" w:name="Disease_Activity_Outcomes"/>
            <w:bookmarkEnd w:id="7"/>
          </w:p>
        </w:tc>
        <w:tc>
          <w:tcPr>
            <w:tcW w:w="2270" w:type="dxa"/>
          </w:tcPr>
          <w:p w14:paraId="6F677405" w14:textId="77777777" w:rsidR="00044034" w:rsidRPr="00044034" w:rsidRDefault="00044034" w:rsidP="00443352">
            <w:pPr>
              <w:pStyle w:val="CLDNormal"/>
              <w:spacing w:after="0"/>
              <w:jc w:val="left"/>
              <w:rPr>
                <w:b/>
                <w:sz w:val="20"/>
                <w:lang w:val="en-US"/>
              </w:rPr>
            </w:pPr>
            <w:r w:rsidRPr="00044034">
              <w:rPr>
                <w:b/>
                <w:sz w:val="20"/>
                <w:lang w:val="en-US"/>
              </w:rPr>
              <w:t>ACR Response</w:t>
            </w:r>
          </w:p>
        </w:tc>
        <w:tc>
          <w:tcPr>
            <w:tcW w:w="2270" w:type="dxa"/>
          </w:tcPr>
          <w:p w14:paraId="6EDAE930" w14:textId="77777777" w:rsidR="00044034" w:rsidRPr="00044034" w:rsidRDefault="00044034" w:rsidP="00443352">
            <w:pPr>
              <w:pStyle w:val="CLDNormal"/>
              <w:spacing w:after="0"/>
              <w:jc w:val="left"/>
              <w:rPr>
                <w:b/>
                <w:sz w:val="20"/>
                <w:lang w:val="en-US"/>
              </w:rPr>
            </w:pPr>
            <w:proofErr w:type="spellStart"/>
            <w:r w:rsidRPr="00044034">
              <w:rPr>
                <w:b/>
                <w:sz w:val="20"/>
                <w:lang w:val="en-US"/>
              </w:rPr>
              <w:t>Pacebo+MTX</w:t>
            </w:r>
            <w:proofErr w:type="spellEnd"/>
          </w:p>
        </w:tc>
        <w:tc>
          <w:tcPr>
            <w:tcW w:w="2270" w:type="dxa"/>
          </w:tcPr>
          <w:p w14:paraId="5F30BC90" w14:textId="19A0D1C4" w:rsidR="00044034" w:rsidRPr="00044034" w:rsidRDefault="00F94C85" w:rsidP="00443352">
            <w:pPr>
              <w:pStyle w:val="CLDNormal"/>
              <w:spacing w:after="0"/>
              <w:jc w:val="left"/>
              <w:rPr>
                <w:b/>
                <w:sz w:val="20"/>
                <w:lang w:val="en-US"/>
              </w:rPr>
            </w:pPr>
            <w:proofErr w:type="spellStart"/>
            <w:r>
              <w:rPr>
                <w:b/>
                <w:sz w:val="20"/>
                <w:lang w:val="en-US"/>
              </w:rPr>
              <w:t>R</w:t>
            </w:r>
            <w:r w:rsidR="00DE597A">
              <w:rPr>
                <w:b/>
                <w:sz w:val="20"/>
                <w:lang w:val="en-US"/>
              </w:rPr>
              <w:t>ituximab</w:t>
            </w:r>
            <w:r w:rsidR="00044034" w:rsidRPr="00044034">
              <w:rPr>
                <w:b/>
                <w:sz w:val="20"/>
                <w:lang w:val="en-US"/>
              </w:rPr>
              <w:t>+MTX</w:t>
            </w:r>
            <w:proofErr w:type="spellEnd"/>
          </w:p>
        </w:tc>
      </w:tr>
      <w:tr w:rsidR="00044034" w:rsidRPr="00AF7858" w14:paraId="5035C283" w14:textId="77777777" w:rsidTr="00044034">
        <w:trPr>
          <w:trHeight w:val="58"/>
        </w:trPr>
        <w:tc>
          <w:tcPr>
            <w:tcW w:w="2270" w:type="dxa"/>
          </w:tcPr>
          <w:p w14:paraId="124B1590" w14:textId="77777777" w:rsidR="00044034" w:rsidRPr="00AF7858" w:rsidRDefault="00044034" w:rsidP="00443352">
            <w:pPr>
              <w:pStyle w:val="CLDNormal"/>
              <w:spacing w:after="0"/>
              <w:jc w:val="left"/>
              <w:rPr>
                <w:i/>
                <w:sz w:val="20"/>
                <w:lang w:val="en-US"/>
              </w:rPr>
            </w:pPr>
            <w:r w:rsidRPr="00AF7858">
              <w:rPr>
                <w:i/>
                <w:sz w:val="20"/>
                <w:lang w:val="en-US"/>
              </w:rPr>
              <w:t>Study 1</w:t>
            </w:r>
          </w:p>
          <w:p w14:paraId="6586F047" w14:textId="77777777" w:rsidR="00044034" w:rsidRPr="00AF7858" w:rsidRDefault="00044034" w:rsidP="00443352">
            <w:pPr>
              <w:pStyle w:val="CLDNormal"/>
              <w:spacing w:after="0"/>
              <w:jc w:val="left"/>
              <w:rPr>
                <w:sz w:val="20"/>
                <w:lang w:val="en-US"/>
              </w:rPr>
            </w:pPr>
            <w:r w:rsidRPr="00AF7858">
              <w:rPr>
                <w:i/>
                <w:sz w:val="20"/>
                <w:lang w:val="en-US"/>
              </w:rPr>
              <w:t>REFLEX</w:t>
            </w:r>
          </w:p>
        </w:tc>
        <w:tc>
          <w:tcPr>
            <w:tcW w:w="2270" w:type="dxa"/>
          </w:tcPr>
          <w:p w14:paraId="04BCD220" w14:textId="77777777" w:rsidR="00044034" w:rsidRPr="00AF7858" w:rsidRDefault="00044034" w:rsidP="00443352">
            <w:pPr>
              <w:pStyle w:val="CLDNormal"/>
              <w:spacing w:after="0"/>
              <w:jc w:val="left"/>
              <w:rPr>
                <w:sz w:val="20"/>
                <w:lang w:val="en-US"/>
              </w:rPr>
            </w:pPr>
          </w:p>
        </w:tc>
        <w:tc>
          <w:tcPr>
            <w:tcW w:w="2270" w:type="dxa"/>
          </w:tcPr>
          <w:p w14:paraId="5AD5D28A" w14:textId="77777777" w:rsidR="00044034" w:rsidRPr="00AF7858" w:rsidRDefault="00AF7858" w:rsidP="00443352">
            <w:pPr>
              <w:pStyle w:val="CLDNormal"/>
              <w:spacing w:after="0"/>
              <w:jc w:val="left"/>
              <w:rPr>
                <w:sz w:val="20"/>
                <w:lang w:val="en-US"/>
              </w:rPr>
            </w:pPr>
            <w:r w:rsidRPr="00AF7858">
              <w:rPr>
                <w:sz w:val="20"/>
                <w:lang w:val="en-US"/>
              </w:rPr>
              <w:t>(N=201)</w:t>
            </w:r>
          </w:p>
        </w:tc>
        <w:tc>
          <w:tcPr>
            <w:tcW w:w="2270" w:type="dxa"/>
          </w:tcPr>
          <w:p w14:paraId="57FAEBD2" w14:textId="77777777" w:rsidR="00044034" w:rsidRPr="00AF7858" w:rsidRDefault="00AF7858" w:rsidP="00443352">
            <w:pPr>
              <w:pStyle w:val="CLDNormal"/>
              <w:spacing w:after="0"/>
              <w:jc w:val="left"/>
              <w:rPr>
                <w:sz w:val="20"/>
                <w:lang w:val="en-US"/>
              </w:rPr>
            </w:pPr>
            <w:r w:rsidRPr="00AF7858">
              <w:rPr>
                <w:sz w:val="20"/>
                <w:lang w:val="en-US"/>
              </w:rPr>
              <w:t>(N=298)</w:t>
            </w:r>
          </w:p>
        </w:tc>
      </w:tr>
      <w:tr w:rsidR="00044034" w:rsidRPr="00044034" w14:paraId="39FBA960" w14:textId="77777777" w:rsidTr="00044034">
        <w:trPr>
          <w:trHeight w:val="58"/>
        </w:trPr>
        <w:tc>
          <w:tcPr>
            <w:tcW w:w="2270" w:type="dxa"/>
          </w:tcPr>
          <w:p w14:paraId="3973F2A8" w14:textId="77777777" w:rsidR="00044034" w:rsidRPr="00044034" w:rsidRDefault="00044034" w:rsidP="00443352">
            <w:pPr>
              <w:pStyle w:val="CLDNormal"/>
              <w:spacing w:after="0"/>
              <w:jc w:val="left"/>
              <w:rPr>
                <w:sz w:val="20"/>
                <w:lang w:val="en-US"/>
              </w:rPr>
            </w:pPr>
          </w:p>
        </w:tc>
        <w:tc>
          <w:tcPr>
            <w:tcW w:w="2270" w:type="dxa"/>
          </w:tcPr>
          <w:p w14:paraId="3030F36B" w14:textId="77777777" w:rsidR="00044034" w:rsidRPr="00044034" w:rsidRDefault="00044034" w:rsidP="00443352">
            <w:pPr>
              <w:pStyle w:val="CLDNormal"/>
              <w:spacing w:after="0"/>
              <w:jc w:val="left"/>
              <w:rPr>
                <w:sz w:val="20"/>
                <w:lang w:val="en-US"/>
              </w:rPr>
            </w:pPr>
            <w:r w:rsidRPr="00044034">
              <w:rPr>
                <w:sz w:val="20"/>
                <w:lang w:val="en-US"/>
              </w:rPr>
              <w:t>ACR20</w:t>
            </w:r>
          </w:p>
          <w:p w14:paraId="60F72849" w14:textId="77777777" w:rsidR="00044034" w:rsidRPr="00044034" w:rsidRDefault="00044034" w:rsidP="00443352">
            <w:pPr>
              <w:pStyle w:val="CLDNormal"/>
              <w:spacing w:after="0"/>
              <w:jc w:val="left"/>
              <w:rPr>
                <w:sz w:val="20"/>
                <w:lang w:val="en-US"/>
              </w:rPr>
            </w:pPr>
            <w:r w:rsidRPr="00044034">
              <w:rPr>
                <w:sz w:val="20"/>
                <w:lang w:val="en-US"/>
              </w:rPr>
              <w:t>ACR50</w:t>
            </w:r>
          </w:p>
          <w:p w14:paraId="04D15F40" w14:textId="77777777" w:rsidR="00044034" w:rsidRPr="00044034" w:rsidRDefault="00044034" w:rsidP="00443352">
            <w:pPr>
              <w:pStyle w:val="CLDNormal"/>
              <w:spacing w:after="0"/>
              <w:jc w:val="left"/>
              <w:rPr>
                <w:sz w:val="20"/>
                <w:lang w:val="en-US"/>
              </w:rPr>
            </w:pPr>
            <w:r w:rsidRPr="00044034">
              <w:rPr>
                <w:sz w:val="20"/>
                <w:lang w:val="en-US"/>
              </w:rPr>
              <w:t>ACR70</w:t>
            </w:r>
          </w:p>
        </w:tc>
        <w:tc>
          <w:tcPr>
            <w:tcW w:w="2270" w:type="dxa"/>
          </w:tcPr>
          <w:p w14:paraId="6F3FCED9" w14:textId="77777777" w:rsidR="00044034" w:rsidRPr="00044034" w:rsidRDefault="00044034" w:rsidP="00443352">
            <w:pPr>
              <w:pStyle w:val="CLDNormal"/>
              <w:spacing w:after="0"/>
              <w:jc w:val="left"/>
              <w:rPr>
                <w:sz w:val="20"/>
                <w:lang w:val="en-US"/>
              </w:rPr>
            </w:pPr>
            <w:r w:rsidRPr="00044034">
              <w:rPr>
                <w:sz w:val="20"/>
                <w:lang w:val="en-US"/>
              </w:rPr>
              <w:t>36 (18%)</w:t>
            </w:r>
          </w:p>
          <w:p w14:paraId="7DEF484C" w14:textId="77777777" w:rsidR="00044034" w:rsidRPr="00044034" w:rsidRDefault="00044034" w:rsidP="00443352">
            <w:pPr>
              <w:pStyle w:val="CLDNormal"/>
              <w:spacing w:after="0"/>
              <w:jc w:val="left"/>
              <w:rPr>
                <w:sz w:val="20"/>
                <w:lang w:val="en-US"/>
              </w:rPr>
            </w:pPr>
            <w:r w:rsidRPr="00044034">
              <w:rPr>
                <w:sz w:val="20"/>
                <w:lang w:val="en-US"/>
              </w:rPr>
              <w:t>11 (5%)</w:t>
            </w:r>
          </w:p>
          <w:p w14:paraId="5FB59A59" w14:textId="77777777" w:rsidR="00044034" w:rsidRPr="00044034" w:rsidRDefault="00044034" w:rsidP="00443352">
            <w:pPr>
              <w:pStyle w:val="CLDNormal"/>
              <w:spacing w:after="0"/>
              <w:jc w:val="left"/>
              <w:rPr>
                <w:sz w:val="20"/>
                <w:lang w:val="en-US"/>
              </w:rPr>
            </w:pPr>
            <w:r w:rsidRPr="00044034">
              <w:rPr>
                <w:sz w:val="20"/>
                <w:lang w:val="en-US"/>
              </w:rPr>
              <w:t>3 (1%)</w:t>
            </w:r>
          </w:p>
        </w:tc>
        <w:tc>
          <w:tcPr>
            <w:tcW w:w="2270" w:type="dxa"/>
          </w:tcPr>
          <w:p w14:paraId="54EF2338" w14:textId="77777777" w:rsidR="00044034" w:rsidRPr="00044034" w:rsidRDefault="00044034" w:rsidP="00443352">
            <w:pPr>
              <w:pStyle w:val="CLDNormal"/>
              <w:spacing w:after="0"/>
              <w:jc w:val="left"/>
              <w:rPr>
                <w:sz w:val="20"/>
                <w:lang w:val="en-US"/>
              </w:rPr>
            </w:pPr>
            <w:r w:rsidRPr="00044034">
              <w:rPr>
                <w:sz w:val="20"/>
                <w:lang w:val="en-US"/>
              </w:rPr>
              <w:t>153 (51%)</w:t>
            </w:r>
            <w:r w:rsidRPr="00044034">
              <w:rPr>
                <w:sz w:val="20"/>
                <w:vertAlign w:val="superscript"/>
                <w:lang w:val="en-US"/>
              </w:rPr>
              <w:t>1</w:t>
            </w:r>
          </w:p>
          <w:p w14:paraId="752701D8" w14:textId="77777777" w:rsidR="00044034" w:rsidRPr="00044034" w:rsidRDefault="00044034" w:rsidP="00443352">
            <w:pPr>
              <w:pStyle w:val="CLDNormal"/>
              <w:spacing w:after="0"/>
              <w:jc w:val="left"/>
              <w:rPr>
                <w:sz w:val="20"/>
                <w:lang w:val="en-US"/>
              </w:rPr>
            </w:pPr>
            <w:r w:rsidRPr="00044034">
              <w:rPr>
                <w:sz w:val="20"/>
                <w:lang w:val="en-US"/>
              </w:rPr>
              <w:t>80 (27%)</w:t>
            </w:r>
            <w:r w:rsidRPr="00044034">
              <w:rPr>
                <w:sz w:val="20"/>
                <w:vertAlign w:val="superscript"/>
                <w:lang w:val="en-US"/>
              </w:rPr>
              <w:t>1</w:t>
            </w:r>
          </w:p>
          <w:p w14:paraId="747EA7E3" w14:textId="77777777" w:rsidR="00044034" w:rsidRPr="00044034" w:rsidRDefault="00044034" w:rsidP="00443352">
            <w:pPr>
              <w:pStyle w:val="CLDNormal"/>
              <w:spacing w:after="0"/>
              <w:jc w:val="left"/>
              <w:rPr>
                <w:sz w:val="20"/>
                <w:lang w:val="en-US"/>
              </w:rPr>
            </w:pPr>
            <w:r w:rsidRPr="00044034">
              <w:rPr>
                <w:sz w:val="20"/>
                <w:lang w:val="en-US"/>
              </w:rPr>
              <w:t>37 (12%)</w:t>
            </w:r>
            <w:r w:rsidRPr="00044034">
              <w:rPr>
                <w:sz w:val="20"/>
                <w:vertAlign w:val="superscript"/>
                <w:lang w:val="en-US"/>
              </w:rPr>
              <w:t>1</w:t>
            </w:r>
          </w:p>
        </w:tc>
      </w:tr>
      <w:tr w:rsidR="00044034" w:rsidRPr="00044034" w14:paraId="419055E1" w14:textId="77777777" w:rsidTr="00044034">
        <w:trPr>
          <w:trHeight w:val="58"/>
        </w:trPr>
        <w:tc>
          <w:tcPr>
            <w:tcW w:w="2270" w:type="dxa"/>
          </w:tcPr>
          <w:p w14:paraId="069D8FBC" w14:textId="77777777" w:rsidR="00044034" w:rsidRPr="00044034" w:rsidRDefault="00044034" w:rsidP="00443352">
            <w:pPr>
              <w:pStyle w:val="CLDNormal"/>
              <w:spacing w:after="0"/>
              <w:jc w:val="left"/>
              <w:rPr>
                <w:i/>
                <w:sz w:val="20"/>
                <w:lang w:val="en-US"/>
              </w:rPr>
            </w:pPr>
            <w:r w:rsidRPr="00044034">
              <w:rPr>
                <w:i/>
                <w:sz w:val="20"/>
                <w:lang w:val="en-US"/>
              </w:rPr>
              <w:t>Study 2</w:t>
            </w:r>
          </w:p>
          <w:p w14:paraId="659FDA30" w14:textId="77777777" w:rsidR="00044034" w:rsidRPr="00044034" w:rsidRDefault="00044034" w:rsidP="00443352">
            <w:pPr>
              <w:pStyle w:val="CLDNormal"/>
              <w:spacing w:after="0"/>
              <w:jc w:val="left"/>
              <w:rPr>
                <w:sz w:val="20"/>
                <w:lang w:val="en-US"/>
              </w:rPr>
            </w:pPr>
            <w:r w:rsidRPr="00044034">
              <w:rPr>
                <w:i/>
                <w:sz w:val="20"/>
                <w:lang w:val="en-US"/>
              </w:rPr>
              <w:t>DANCER</w:t>
            </w:r>
          </w:p>
        </w:tc>
        <w:tc>
          <w:tcPr>
            <w:tcW w:w="2270" w:type="dxa"/>
          </w:tcPr>
          <w:p w14:paraId="40825ACC" w14:textId="77777777" w:rsidR="00044034" w:rsidRPr="00044034" w:rsidRDefault="00044034" w:rsidP="00443352">
            <w:pPr>
              <w:pStyle w:val="CLDNormal"/>
              <w:spacing w:after="0"/>
              <w:jc w:val="left"/>
              <w:rPr>
                <w:sz w:val="20"/>
                <w:lang w:val="en-US"/>
              </w:rPr>
            </w:pPr>
          </w:p>
        </w:tc>
        <w:tc>
          <w:tcPr>
            <w:tcW w:w="2270" w:type="dxa"/>
          </w:tcPr>
          <w:p w14:paraId="63E22B82" w14:textId="77777777" w:rsidR="00044034" w:rsidRPr="00044034" w:rsidRDefault="00AF7858" w:rsidP="00443352">
            <w:pPr>
              <w:pStyle w:val="CLDNormal"/>
              <w:spacing w:after="0"/>
              <w:jc w:val="left"/>
              <w:rPr>
                <w:sz w:val="20"/>
                <w:lang w:val="en-US"/>
              </w:rPr>
            </w:pPr>
            <w:r>
              <w:rPr>
                <w:sz w:val="20"/>
                <w:lang w:val="en-US"/>
              </w:rPr>
              <w:t>(N=143)</w:t>
            </w:r>
          </w:p>
        </w:tc>
        <w:tc>
          <w:tcPr>
            <w:tcW w:w="2270" w:type="dxa"/>
          </w:tcPr>
          <w:p w14:paraId="76AC0D8A" w14:textId="77777777" w:rsidR="00044034" w:rsidRPr="00044034" w:rsidRDefault="00AF7858" w:rsidP="00443352">
            <w:pPr>
              <w:pStyle w:val="CLDNormal"/>
              <w:spacing w:after="0"/>
              <w:jc w:val="left"/>
              <w:rPr>
                <w:sz w:val="20"/>
                <w:lang w:val="en-US"/>
              </w:rPr>
            </w:pPr>
            <w:r>
              <w:rPr>
                <w:sz w:val="20"/>
                <w:lang w:val="en-US"/>
              </w:rPr>
              <w:t>(N=185)</w:t>
            </w:r>
          </w:p>
        </w:tc>
      </w:tr>
      <w:tr w:rsidR="00044034" w:rsidRPr="00044034" w14:paraId="111933DF" w14:textId="77777777" w:rsidTr="00044034">
        <w:trPr>
          <w:trHeight w:val="58"/>
        </w:trPr>
        <w:tc>
          <w:tcPr>
            <w:tcW w:w="2270" w:type="dxa"/>
          </w:tcPr>
          <w:p w14:paraId="593B5E32" w14:textId="77777777" w:rsidR="00044034" w:rsidRPr="00044034" w:rsidRDefault="00044034" w:rsidP="00443352">
            <w:pPr>
              <w:pStyle w:val="CLDNormal"/>
              <w:spacing w:after="0"/>
              <w:jc w:val="left"/>
              <w:rPr>
                <w:i/>
                <w:sz w:val="20"/>
                <w:lang w:val="en-US"/>
              </w:rPr>
            </w:pPr>
          </w:p>
        </w:tc>
        <w:tc>
          <w:tcPr>
            <w:tcW w:w="2270" w:type="dxa"/>
          </w:tcPr>
          <w:p w14:paraId="55998C9D" w14:textId="77777777" w:rsidR="00044034" w:rsidRPr="00044034" w:rsidRDefault="00044034" w:rsidP="00443352">
            <w:pPr>
              <w:pStyle w:val="CLDNormal"/>
              <w:spacing w:after="0"/>
              <w:jc w:val="left"/>
              <w:rPr>
                <w:sz w:val="20"/>
                <w:lang w:val="en-US"/>
              </w:rPr>
            </w:pPr>
            <w:r w:rsidRPr="00044034">
              <w:rPr>
                <w:sz w:val="20"/>
                <w:lang w:val="en-US"/>
              </w:rPr>
              <w:t>ACR20</w:t>
            </w:r>
          </w:p>
          <w:p w14:paraId="7EB444D0" w14:textId="77777777" w:rsidR="00044034" w:rsidRPr="00044034" w:rsidRDefault="00044034" w:rsidP="00443352">
            <w:pPr>
              <w:pStyle w:val="CLDNormal"/>
              <w:spacing w:after="0"/>
              <w:jc w:val="left"/>
              <w:rPr>
                <w:sz w:val="20"/>
                <w:lang w:val="en-US"/>
              </w:rPr>
            </w:pPr>
            <w:r w:rsidRPr="00044034">
              <w:rPr>
                <w:sz w:val="20"/>
                <w:lang w:val="en-US"/>
              </w:rPr>
              <w:t>ACR50</w:t>
            </w:r>
          </w:p>
          <w:p w14:paraId="64C0E156" w14:textId="77777777" w:rsidR="00044034" w:rsidRPr="00044034" w:rsidRDefault="00044034" w:rsidP="00443352">
            <w:pPr>
              <w:pStyle w:val="CLDNormal"/>
              <w:spacing w:after="0"/>
              <w:jc w:val="left"/>
              <w:rPr>
                <w:sz w:val="20"/>
                <w:lang w:val="en-US"/>
              </w:rPr>
            </w:pPr>
            <w:r w:rsidRPr="00044034">
              <w:rPr>
                <w:sz w:val="20"/>
                <w:lang w:val="en-US"/>
              </w:rPr>
              <w:t>ACR70</w:t>
            </w:r>
          </w:p>
        </w:tc>
        <w:tc>
          <w:tcPr>
            <w:tcW w:w="2270" w:type="dxa"/>
          </w:tcPr>
          <w:p w14:paraId="56919128" w14:textId="77777777" w:rsidR="00044034" w:rsidRDefault="00044034" w:rsidP="00443352">
            <w:pPr>
              <w:pStyle w:val="CLDNormal"/>
              <w:spacing w:after="0"/>
              <w:jc w:val="left"/>
              <w:rPr>
                <w:sz w:val="20"/>
                <w:lang w:val="en-US"/>
              </w:rPr>
            </w:pPr>
            <w:r>
              <w:rPr>
                <w:sz w:val="20"/>
                <w:lang w:val="en-US"/>
              </w:rPr>
              <w:t>45 (31%)</w:t>
            </w:r>
          </w:p>
          <w:p w14:paraId="297AA178" w14:textId="77777777" w:rsidR="00044034" w:rsidRDefault="00044034" w:rsidP="00443352">
            <w:pPr>
              <w:pStyle w:val="CLDNormal"/>
              <w:spacing w:after="0"/>
              <w:jc w:val="left"/>
              <w:rPr>
                <w:sz w:val="20"/>
                <w:lang w:val="en-US"/>
              </w:rPr>
            </w:pPr>
            <w:r>
              <w:rPr>
                <w:sz w:val="20"/>
                <w:lang w:val="en-US"/>
              </w:rPr>
              <w:t>19 (13%)</w:t>
            </w:r>
          </w:p>
          <w:p w14:paraId="60914EAF" w14:textId="77777777" w:rsidR="00044034" w:rsidRPr="00044034" w:rsidRDefault="00AF7858" w:rsidP="00443352">
            <w:pPr>
              <w:pStyle w:val="CLDNormal"/>
              <w:spacing w:after="0"/>
              <w:jc w:val="left"/>
              <w:rPr>
                <w:sz w:val="20"/>
                <w:lang w:val="en-US"/>
              </w:rPr>
            </w:pPr>
            <w:r>
              <w:rPr>
                <w:sz w:val="20"/>
                <w:lang w:val="en-US"/>
              </w:rPr>
              <w:t>6 (4%)</w:t>
            </w:r>
          </w:p>
        </w:tc>
        <w:tc>
          <w:tcPr>
            <w:tcW w:w="2270" w:type="dxa"/>
          </w:tcPr>
          <w:p w14:paraId="41848476" w14:textId="77777777" w:rsidR="00044034" w:rsidRDefault="00AF7858" w:rsidP="00443352">
            <w:pPr>
              <w:pStyle w:val="CLDNormal"/>
              <w:spacing w:after="0"/>
              <w:jc w:val="left"/>
              <w:rPr>
                <w:sz w:val="20"/>
                <w:lang w:val="en-US"/>
              </w:rPr>
            </w:pPr>
            <w:r>
              <w:rPr>
                <w:sz w:val="20"/>
                <w:lang w:val="en-US"/>
              </w:rPr>
              <w:t>96 (52%)</w:t>
            </w:r>
            <w:r w:rsidRPr="00AF7858">
              <w:rPr>
                <w:sz w:val="20"/>
                <w:vertAlign w:val="superscript"/>
                <w:lang w:val="en-US"/>
              </w:rPr>
              <w:t>2</w:t>
            </w:r>
          </w:p>
          <w:p w14:paraId="13DA8A7F" w14:textId="77777777" w:rsidR="00AF7858" w:rsidRDefault="00AF7858" w:rsidP="00443352">
            <w:pPr>
              <w:pStyle w:val="CLDNormal"/>
              <w:spacing w:after="0"/>
              <w:jc w:val="left"/>
              <w:rPr>
                <w:sz w:val="20"/>
                <w:lang w:val="en-US"/>
              </w:rPr>
            </w:pPr>
            <w:r>
              <w:rPr>
                <w:sz w:val="20"/>
                <w:lang w:val="en-US"/>
              </w:rPr>
              <w:t>61 (33%)</w:t>
            </w:r>
            <w:r w:rsidRPr="00AF7858">
              <w:rPr>
                <w:sz w:val="20"/>
                <w:vertAlign w:val="superscript"/>
                <w:lang w:val="en-US"/>
              </w:rPr>
              <w:t>2</w:t>
            </w:r>
          </w:p>
          <w:p w14:paraId="41FFE5A1" w14:textId="77777777" w:rsidR="00AF7858" w:rsidRPr="00044034" w:rsidRDefault="00AF7858" w:rsidP="00443352">
            <w:pPr>
              <w:pStyle w:val="CLDNormal"/>
              <w:spacing w:after="0"/>
              <w:jc w:val="left"/>
              <w:rPr>
                <w:sz w:val="20"/>
                <w:lang w:val="en-US"/>
              </w:rPr>
            </w:pPr>
            <w:r>
              <w:rPr>
                <w:sz w:val="20"/>
                <w:lang w:val="en-US"/>
              </w:rPr>
              <w:t>28 (15%)</w:t>
            </w:r>
            <w:r w:rsidRPr="00AF7858">
              <w:rPr>
                <w:sz w:val="20"/>
                <w:vertAlign w:val="superscript"/>
                <w:lang w:val="en-US"/>
              </w:rPr>
              <w:t>2</w:t>
            </w:r>
          </w:p>
        </w:tc>
      </w:tr>
      <w:tr w:rsidR="00AF7858" w:rsidRPr="00044034" w14:paraId="321C8D2E" w14:textId="77777777" w:rsidTr="00044034">
        <w:trPr>
          <w:trHeight w:val="58"/>
        </w:trPr>
        <w:tc>
          <w:tcPr>
            <w:tcW w:w="2270" w:type="dxa"/>
          </w:tcPr>
          <w:p w14:paraId="0EE7B873" w14:textId="77777777" w:rsidR="00AF7858" w:rsidRPr="00044034" w:rsidRDefault="00AF7858" w:rsidP="00443352">
            <w:pPr>
              <w:pStyle w:val="CLDNormal"/>
              <w:spacing w:after="0"/>
              <w:jc w:val="left"/>
              <w:rPr>
                <w:i/>
                <w:sz w:val="20"/>
                <w:lang w:val="en-US"/>
              </w:rPr>
            </w:pPr>
            <w:r>
              <w:rPr>
                <w:i/>
                <w:sz w:val="20"/>
                <w:lang w:val="en-US"/>
              </w:rPr>
              <w:t>Study 3</w:t>
            </w:r>
          </w:p>
        </w:tc>
        <w:tc>
          <w:tcPr>
            <w:tcW w:w="2270" w:type="dxa"/>
          </w:tcPr>
          <w:p w14:paraId="6A9BBD5C" w14:textId="77777777" w:rsidR="00AF7858" w:rsidRPr="00044034" w:rsidRDefault="00AF7858" w:rsidP="00443352">
            <w:pPr>
              <w:pStyle w:val="CLDNormal"/>
              <w:spacing w:after="0"/>
              <w:jc w:val="left"/>
              <w:rPr>
                <w:sz w:val="20"/>
                <w:lang w:val="en-US"/>
              </w:rPr>
            </w:pPr>
          </w:p>
        </w:tc>
        <w:tc>
          <w:tcPr>
            <w:tcW w:w="2270" w:type="dxa"/>
          </w:tcPr>
          <w:p w14:paraId="73BC6B5A" w14:textId="77777777" w:rsidR="00AF7858" w:rsidRDefault="00AF7858" w:rsidP="00443352">
            <w:pPr>
              <w:pStyle w:val="CLDNormal"/>
              <w:spacing w:after="0"/>
              <w:jc w:val="left"/>
              <w:rPr>
                <w:sz w:val="20"/>
                <w:lang w:val="en-US"/>
              </w:rPr>
            </w:pPr>
            <w:r>
              <w:rPr>
                <w:sz w:val="20"/>
                <w:lang w:val="en-US"/>
              </w:rPr>
              <w:t>(N=40)</w:t>
            </w:r>
          </w:p>
        </w:tc>
        <w:tc>
          <w:tcPr>
            <w:tcW w:w="2270" w:type="dxa"/>
          </w:tcPr>
          <w:p w14:paraId="1E6F6258" w14:textId="77777777" w:rsidR="00AF7858" w:rsidRDefault="00AF7858" w:rsidP="00443352">
            <w:pPr>
              <w:pStyle w:val="CLDNormal"/>
              <w:spacing w:after="0"/>
              <w:jc w:val="left"/>
              <w:rPr>
                <w:sz w:val="20"/>
                <w:lang w:val="en-US"/>
              </w:rPr>
            </w:pPr>
            <w:r w:rsidRPr="00AF7858">
              <w:rPr>
                <w:sz w:val="20"/>
                <w:lang w:val="en-US"/>
              </w:rPr>
              <w:t>(N=40)</w:t>
            </w:r>
          </w:p>
        </w:tc>
      </w:tr>
      <w:tr w:rsidR="00AF7858" w:rsidRPr="00044034" w14:paraId="7C3B990A" w14:textId="77777777" w:rsidTr="00044034">
        <w:trPr>
          <w:trHeight w:val="58"/>
        </w:trPr>
        <w:tc>
          <w:tcPr>
            <w:tcW w:w="2270" w:type="dxa"/>
          </w:tcPr>
          <w:p w14:paraId="0C60F4EE" w14:textId="77777777" w:rsidR="00AF7858" w:rsidRDefault="00AF7858" w:rsidP="00443352">
            <w:pPr>
              <w:pStyle w:val="CLDNormal"/>
              <w:spacing w:after="0"/>
              <w:jc w:val="left"/>
              <w:rPr>
                <w:i/>
                <w:sz w:val="20"/>
                <w:lang w:val="en-US"/>
              </w:rPr>
            </w:pPr>
          </w:p>
        </w:tc>
        <w:tc>
          <w:tcPr>
            <w:tcW w:w="2270" w:type="dxa"/>
          </w:tcPr>
          <w:p w14:paraId="7EA1126B" w14:textId="77777777" w:rsidR="00AF7858" w:rsidRPr="00AF7858" w:rsidRDefault="00AF7858" w:rsidP="00443352">
            <w:pPr>
              <w:pStyle w:val="CLDNormal"/>
              <w:spacing w:after="0"/>
              <w:jc w:val="left"/>
              <w:rPr>
                <w:sz w:val="20"/>
                <w:lang w:val="en-US"/>
              </w:rPr>
            </w:pPr>
            <w:r w:rsidRPr="00AF7858">
              <w:rPr>
                <w:sz w:val="20"/>
                <w:lang w:val="en-US"/>
              </w:rPr>
              <w:t>ACR20</w:t>
            </w:r>
          </w:p>
          <w:p w14:paraId="044C8969" w14:textId="77777777" w:rsidR="00AF7858" w:rsidRPr="00AF7858" w:rsidRDefault="00AF7858" w:rsidP="00443352">
            <w:pPr>
              <w:pStyle w:val="CLDNormal"/>
              <w:spacing w:after="0"/>
              <w:jc w:val="left"/>
              <w:rPr>
                <w:sz w:val="20"/>
                <w:lang w:val="en-US"/>
              </w:rPr>
            </w:pPr>
            <w:r w:rsidRPr="00AF7858">
              <w:rPr>
                <w:sz w:val="20"/>
                <w:lang w:val="en-US"/>
              </w:rPr>
              <w:t>ACR50</w:t>
            </w:r>
          </w:p>
          <w:p w14:paraId="07404269" w14:textId="77777777" w:rsidR="00AF7858" w:rsidRPr="00044034" w:rsidRDefault="00AF7858" w:rsidP="00443352">
            <w:pPr>
              <w:pStyle w:val="CLDNormal"/>
              <w:spacing w:after="0"/>
              <w:jc w:val="left"/>
              <w:rPr>
                <w:sz w:val="20"/>
                <w:lang w:val="en-US"/>
              </w:rPr>
            </w:pPr>
            <w:r w:rsidRPr="00AF7858">
              <w:rPr>
                <w:sz w:val="20"/>
                <w:lang w:val="en-US"/>
              </w:rPr>
              <w:t>ACR70</w:t>
            </w:r>
          </w:p>
        </w:tc>
        <w:tc>
          <w:tcPr>
            <w:tcW w:w="2270" w:type="dxa"/>
          </w:tcPr>
          <w:p w14:paraId="474071A3" w14:textId="77777777" w:rsidR="00AF7858" w:rsidRDefault="00AF7858" w:rsidP="00443352">
            <w:pPr>
              <w:pStyle w:val="CLDNormal"/>
              <w:spacing w:after="0"/>
              <w:jc w:val="left"/>
              <w:rPr>
                <w:sz w:val="20"/>
                <w:lang w:val="en-US"/>
              </w:rPr>
            </w:pPr>
            <w:r>
              <w:rPr>
                <w:sz w:val="20"/>
                <w:lang w:val="en-US"/>
              </w:rPr>
              <w:t>15 (38%)</w:t>
            </w:r>
          </w:p>
          <w:p w14:paraId="0E545C99" w14:textId="77777777" w:rsidR="00AF7858" w:rsidRDefault="00AF7858" w:rsidP="00443352">
            <w:pPr>
              <w:pStyle w:val="CLDNormal"/>
              <w:spacing w:after="0"/>
              <w:jc w:val="left"/>
              <w:rPr>
                <w:sz w:val="20"/>
                <w:lang w:val="en-US"/>
              </w:rPr>
            </w:pPr>
            <w:r>
              <w:rPr>
                <w:sz w:val="20"/>
                <w:lang w:val="en-US"/>
              </w:rPr>
              <w:t>5 (13%)</w:t>
            </w:r>
          </w:p>
          <w:p w14:paraId="55712003" w14:textId="77777777" w:rsidR="00AF7858" w:rsidRDefault="00AF7858" w:rsidP="00443352">
            <w:pPr>
              <w:pStyle w:val="CLDNormal"/>
              <w:spacing w:after="0"/>
              <w:jc w:val="left"/>
              <w:rPr>
                <w:sz w:val="20"/>
                <w:lang w:val="en-US"/>
              </w:rPr>
            </w:pPr>
            <w:r>
              <w:rPr>
                <w:sz w:val="20"/>
                <w:lang w:val="en-US"/>
              </w:rPr>
              <w:t>2 (5%)</w:t>
            </w:r>
          </w:p>
        </w:tc>
        <w:tc>
          <w:tcPr>
            <w:tcW w:w="2270" w:type="dxa"/>
          </w:tcPr>
          <w:p w14:paraId="6FE60966" w14:textId="77777777" w:rsidR="00AF7858" w:rsidRDefault="00AF7858" w:rsidP="00443352">
            <w:pPr>
              <w:pStyle w:val="CLDNormal"/>
              <w:spacing w:after="0"/>
              <w:jc w:val="left"/>
              <w:rPr>
                <w:sz w:val="20"/>
                <w:lang w:val="en-US"/>
              </w:rPr>
            </w:pPr>
            <w:r>
              <w:rPr>
                <w:sz w:val="20"/>
                <w:lang w:val="en-US"/>
              </w:rPr>
              <w:t>28 (70%)</w:t>
            </w:r>
            <w:r w:rsidRPr="00AF7858">
              <w:rPr>
                <w:sz w:val="20"/>
                <w:vertAlign w:val="superscript"/>
                <w:lang w:val="en-US"/>
              </w:rPr>
              <w:t>3</w:t>
            </w:r>
          </w:p>
          <w:p w14:paraId="670386FD" w14:textId="77777777" w:rsidR="00AF7858" w:rsidRDefault="00AF7858" w:rsidP="00443352">
            <w:pPr>
              <w:pStyle w:val="CLDNormal"/>
              <w:spacing w:after="0"/>
              <w:jc w:val="left"/>
              <w:rPr>
                <w:sz w:val="20"/>
                <w:lang w:val="en-US"/>
              </w:rPr>
            </w:pPr>
            <w:r>
              <w:rPr>
                <w:sz w:val="20"/>
                <w:lang w:val="en-US"/>
              </w:rPr>
              <w:t>17 (43%)</w:t>
            </w:r>
            <w:r w:rsidRPr="00AF7858">
              <w:rPr>
                <w:sz w:val="20"/>
                <w:vertAlign w:val="superscript"/>
                <w:lang w:val="en-US"/>
              </w:rPr>
              <w:t>3</w:t>
            </w:r>
          </w:p>
          <w:p w14:paraId="0D5E7859" w14:textId="77777777" w:rsidR="00AF7858" w:rsidRPr="00AF7858" w:rsidRDefault="00AF7858" w:rsidP="00443352">
            <w:pPr>
              <w:pStyle w:val="CLDNormal"/>
              <w:spacing w:after="0"/>
              <w:jc w:val="left"/>
              <w:rPr>
                <w:sz w:val="20"/>
                <w:lang w:val="en-US"/>
              </w:rPr>
            </w:pPr>
            <w:r>
              <w:rPr>
                <w:sz w:val="20"/>
                <w:lang w:val="en-US"/>
              </w:rPr>
              <w:t>9 (23%)</w:t>
            </w:r>
            <w:r w:rsidRPr="00AF7858">
              <w:rPr>
                <w:sz w:val="20"/>
                <w:vertAlign w:val="superscript"/>
                <w:lang w:val="en-US"/>
              </w:rPr>
              <w:t>3</w:t>
            </w:r>
          </w:p>
        </w:tc>
      </w:tr>
    </w:tbl>
    <w:p w14:paraId="156B0301" w14:textId="77777777" w:rsidR="00612E2C" w:rsidRPr="00AF7858" w:rsidRDefault="00AF7858" w:rsidP="00443352">
      <w:pPr>
        <w:pStyle w:val="CLDNormal"/>
        <w:jc w:val="left"/>
        <w:rPr>
          <w:sz w:val="20"/>
          <w:lang w:val="en-US"/>
        </w:rPr>
      </w:pPr>
      <w:r w:rsidRPr="00AF7858">
        <w:rPr>
          <w:sz w:val="20"/>
          <w:vertAlign w:val="superscript"/>
          <w:lang w:val="en-US"/>
        </w:rPr>
        <w:t>1</w:t>
      </w:r>
      <w:r w:rsidRPr="00AF7858">
        <w:rPr>
          <w:sz w:val="20"/>
          <w:lang w:val="en-US"/>
        </w:rPr>
        <w:t xml:space="preserve">p </w:t>
      </w:r>
      <w:r>
        <w:rPr>
          <w:sz w:val="20"/>
          <w:lang w:val="en-US"/>
        </w:rPr>
        <w:t>≤</w:t>
      </w:r>
      <w:r w:rsidRPr="00AF7858">
        <w:rPr>
          <w:sz w:val="20"/>
          <w:lang w:val="en-US"/>
        </w:rPr>
        <w:t xml:space="preserve"> 0.0001; </w:t>
      </w:r>
      <w:r w:rsidRPr="00AF7858">
        <w:rPr>
          <w:sz w:val="20"/>
          <w:vertAlign w:val="superscript"/>
          <w:lang w:val="en-US"/>
        </w:rPr>
        <w:t>2</w:t>
      </w:r>
      <w:r w:rsidRPr="00AF7858">
        <w:rPr>
          <w:sz w:val="20"/>
          <w:lang w:val="en-US"/>
        </w:rPr>
        <w:t xml:space="preserve">p </w:t>
      </w:r>
      <w:r>
        <w:rPr>
          <w:sz w:val="20"/>
          <w:lang w:val="en-US"/>
        </w:rPr>
        <w:t>≤</w:t>
      </w:r>
      <w:r w:rsidRPr="00AF7858">
        <w:rPr>
          <w:sz w:val="20"/>
          <w:lang w:val="en-US"/>
        </w:rPr>
        <w:t xml:space="preserve"> 0.001; </w:t>
      </w:r>
      <w:r w:rsidRPr="00AF7858">
        <w:rPr>
          <w:sz w:val="20"/>
          <w:vertAlign w:val="superscript"/>
          <w:lang w:val="en-US"/>
        </w:rPr>
        <w:t>3</w:t>
      </w:r>
      <w:r w:rsidRPr="00AF7858">
        <w:rPr>
          <w:sz w:val="20"/>
          <w:lang w:val="en-US"/>
        </w:rPr>
        <w:t>p &lt;0.05</w:t>
      </w:r>
    </w:p>
    <w:p w14:paraId="455F0645" w14:textId="154CEC5F" w:rsidR="00612E2C" w:rsidRDefault="00DE597A" w:rsidP="00443352">
      <w:pPr>
        <w:pStyle w:val="CLDNormal"/>
        <w:jc w:val="left"/>
        <w:rPr>
          <w:lang w:val="en-US"/>
        </w:rPr>
      </w:pPr>
      <w:r>
        <w:rPr>
          <w:lang w:val="en-US"/>
        </w:rPr>
        <w:t>R</w:t>
      </w:r>
      <w:r w:rsidRPr="00DE597A">
        <w:rPr>
          <w:lang w:val="en-US"/>
        </w:rPr>
        <w:t>ituximab</w:t>
      </w:r>
      <w:r w:rsidR="00AF7858" w:rsidRPr="00AF7858">
        <w:rPr>
          <w:lang w:val="en-US"/>
        </w:rPr>
        <w:t xml:space="preserve"> + MTX treated patients had a significantly greater reduction in disease activity score (DAS28) than patients treated with MTX alone. A good to moderate EULAR response was achieved by significantly more </w:t>
      </w:r>
      <w:r w:rsidRPr="00DE597A">
        <w:rPr>
          <w:lang w:val="en-US"/>
        </w:rPr>
        <w:t>rituximab</w:t>
      </w:r>
      <w:r w:rsidR="00AF7858" w:rsidRPr="00AF7858">
        <w:rPr>
          <w:lang w:val="en-US"/>
        </w:rPr>
        <w:t xml:space="preserve"> + MTX treated patients compared to patients treated with MTX alone (Table 14).</w:t>
      </w:r>
    </w:p>
    <w:p w14:paraId="698054CA" w14:textId="1D187F1D" w:rsidR="00AF7858" w:rsidRPr="00DE597A" w:rsidRDefault="00AF7858" w:rsidP="00443352">
      <w:pPr>
        <w:pStyle w:val="CLDNormal"/>
        <w:jc w:val="left"/>
        <w:rPr>
          <w:b/>
          <w:sz w:val="22"/>
          <w:szCs w:val="22"/>
          <w:lang w:val="en-US"/>
        </w:rPr>
      </w:pPr>
      <w:r w:rsidRPr="00DE597A">
        <w:rPr>
          <w:b/>
          <w:sz w:val="22"/>
          <w:szCs w:val="22"/>
          <w:lang w:val="en-US"/>
        </w:rPr>
        <w:t>Table 14: Cross-Study Comparison of DAS and EULAR Responses at Week 24 (ITT Population)</w:t>
      </w:r>
    </w:p>
    <w:tbl>
      <w:tblPr>
        <w:tblStyle w:val="TableGrid"/>
        <w:tblW w:w="0" w:type="auto"/>
        <w:tblLook w:val="04A0" w:firstRow="1" w:lastRow="0" w:firstColumn="1" w:lastColumn="0" w:noHBand="0" w:noVBand="1"/>
      </w:tblPr>
      <w:tblGrid>
        <w:gridCol w:w="3026"/>
        <w:gridCol w:w="3027"/>
        <w:gridCol w:w="3027"/>
      </w:tblGrid>
      <w:tr w:rsidR="008C743E" w:rsidRPr="008C743E" w14:paraId="6735BD32" w14:textId="77777777" w:rsidTr="00443352">
        <w:trPr>
          <w:tblHeader/>
        </w:trPr>
        <w:tc>
          <w:tcPr>
            <w:tcW w:w="3026" w:type="dxa"/>
          </w:tcPr>
          <w:p w14:paraId="7B41AD69" w14:textId="77777777" w:rsidR="008C743E" w:rsidRPr="008C743E" w:rsidRDefault="008C743E" w:rsidP="00443352">
            <w:pPr>
              <w:pStyle w:val="CLDNormal"/>
              <w:spacing w:after="0"/>
              <w:jc w:val="left"/>
              <w:rPr>
                <w:b/>
                <w:sz w:val="20"/>
                <w:lang w:val="en-US"/>
              </w:rPr>
            </w:pPr>
          </w:p>
        </w:tc>
        <w:tc>
          <w:tcPr>
            <w:tcW w:w="3027" w:type="dxa"/>
          </w:tcPr>
          <w:p w14:paraId="21A681CB" w14:textId="77777777" w:rsidR="008C743E" w:rsidRPr="008C743E" w:rsidRDefault="008C743E" w:rsidP="00443352">
            <w:pPr>
              <w:pStyle w:val="CLDNormal"/>
              <w:spacing w:after="0"/>
              <w:jc w:val="left"/>
              <w:rPr>
                <w:b/>
                <w:sz w:val="20"/>
                <w:lang w:val="en-US"/>
              </w:rPr>
            </w:pPr>
            <w:r w:rsidRPr="008C743E">
              <w:rPr>
                <w:b/>
                <w:sz w:val="20"/>
                <w:lang w:val="en-US"/>
              </w:rPr>
              <w:t>Placebo + MTX</w:t>
            </w:r>
          </w:p>
        </w:tc>
        <w:tc>
          <w:tcPr>
            <w:tcW w:w="3027" w:type="dxa"/>
          </w:tcPr>
          <w:p w14:paraId="0BCE0AE9" w14:textId="4314B55B" w:rsidR="008C743E" w:rsidRPr="008C743E" w:rsidRDefault="00DE597A" w:rsidP="00443352">
            <w:pPr>
              <w:pStyle w:val="CLDNormal"/>
              <w:spacing w:after="0"/>
              <w:jc w:val="left"/>
              <w:rPr>
                <w:b/>
                <w:sz w:val="20"/>
                <w:lang w:val="en-US"/>
              </w:rPr>
            </w:pPr>
            <w:r>
              <w:rPr>
                <w:b/>
                <w:sz w:val="20"/>
                <w:lang w:val="en-US"/>
              </w:rPr>
              <w:t>R</w:t>
            </w:r>
            <w:r w:rsidRPr="00DE597A">
              <w:rPr>
                <w:b/>
                <w:sz w:val="20"/>
                <w:lang w:val="en-US"/>
              </w:rPr>
              <w:t>ituximab</w:t>
            </w:r>
            <w:r w:rsidR="008C743E" w:rsidRPr="008C743E">
              <w:rPr>
                <w:b/>
                <w:sz w:val="20"/>
                <w:lang w:val="en-US"/>
              </w:rPr>
              <w:t xml:space="preserve"> + MTX</w:t>
            </w:r>
          </w:p>
          <w:p w14:paraId="7A854F07" w14:textId="77777777" w:rsidR="008C743E" w:rsidRPr="008C743E" w:rsidRDefault="008C743E" w:rsidP="00443352">
            <w:pPr>
              <w:pStyle w:val="CLDNormal"/>
              <w:spacing w:after="0"/>
              <w:jc w:val="left"/>
              <w:rPr>
                <w:b/>
                <w:sz w:val="20"/>
                <w:lang w:val="en-US"/>
              </w:rPr>
            </w:pPr>
            <w:r w:rsidRPr="008C743E">
              <w:rPr>
                <w:b/>
                <w:sz w:val="20"/>
                <w:lang w:val="en-US"/>
              </w:rPr>
              <w:t>2 x 1 g</w:t>
            </w:r>
          </w:p>
        </w:tc>
      </w:tr>
      <w:tr w:rsidR="008C743E" w:rsidRPr="008C743E" w14:paraId="64AB6849" w14:textId="77777777" w:rsidTr="008C743E">
        <w:tc>
          <w:tcPr>
            <w:tcW w:w="3026" w:type="dxa"/>
          </w:tcPr>
          <w:p w14:paraId="13A81889" w14:textId="77777777" w:rsidR="008C743E" w:rsidRPr="00354A27" w:rsidRDefault="008C743E" w:rsidP="00443352">
            <w:pPr>
              <w:pStyle w:val="CLDNormal"/>
              <w:spacing w:after="0"/>
              <w:jc w:val="left"/>
              <w:rPr>
                <w:i/>
                <w:sz w:val="20"/>
                <w:lang w:val="en-US"/>
              </w:rPr>
            </w:pPr>
            <w:r w:rsidRPr="00354A27">
              <w:rPr>
                <w:i/>
                <w:sz w:val="20"/>
                <w:lang w:val="en-US"/>
              </w:rPr>
              <w:t>Study 1</w:t>
            </w:r>
          </w:p>
        </w:tc>
        <w:tc>
          <w:tcPr>
            <w:tcW w:w="3027" w:type="dxa"/>
          </w:tcPr>
          <w:p w14:paraId="32C1EC6E" w14:textId="77777777" w:rsidR="008C743E" w:rsidRPr="008C743E" w:rsidRDefault="008C743E" w:rsidP="00443352">
            <w:pPr>
              <w:pStyle w:val="CLDNormal"/>
              <w:spacing w:after="0"/>
              <w:jc w:val="left"/>
              <w:rPr>
                <w:sz w:val="20"/>
                <w:lang w:val="en-US"/>
              </w:rPr>
            </w:pPr>
            <w:r>
              <w:rPr>
                <w:sz w:val="20"/>
                <w:lang w:val="en-US"/>
              </w:rPr>
              <w:t>(N=201)</w:t>
            </w:r>
          </w:p>
        </w:tc>
        <w:tc>
          <w:tcPr>
            <w:tcW w:w="3027" w:type="dxa"/>
          </w:tcPr>
          <w:p w14:paraId="5497F554" w14:textId="77777777" w:rsidR="008C743E" w:rsidRPr="008C743E" w:rsidRDefault="008C743E" w:rsidP="00443352">
            <w:pPr>
              <w:pStyle w:val="CLDNormal"/>
              <w:spacing w:after="0"/>
              <w:jc w:val="left"/>
              <w:rPr>
                <w:sz w:val="20"/>
                <w:lang w:val="en-US"/>
              </w:rPr>
            </w:pPr>
            <w:r>
              <w:rPr>
                <w:sz w:val="20"/>
                <w:lang w:val="en-US"/>
              </w:rPr>
              <w:t>(N=</w:t>
            </w:r>
            <w:r w:rsidR="00354A27">
              <w:rPr>
                <w:sz w:val="20"/>
                <w:lang w:val="en-US"/>
              </w:rPr>
              <w:t>298)</w:t>
            </w:r>
          </w:p>
        </w:tc>
      </w:tr>
      <w:tr w:rsidR="00354A27" w:rsidRPr="008C743E" w14:paraId="09C1AB59" w14:textId="77777777" w:rsidTr="008C743E">
        <w:tc>
          <w:tcPr>
            <w:tcW w:w="3026" w:type="dxa"/>
          </w:tcPr>
          <w:p w14:paraId="1ECCB162" w14:textId="77777777" w:rsidR="00354A27" w:rsidRPr="008C743E" w:rsidRDefault="00354A27" w:rsidP="00443352">
            <w:pPr>
              <w:pStyle w:val="CLDNormal"/>
              <w:spacing w:after="0"/>
              <w:jc w:val="left"/>
              <w:rPr>
                <w:sz w:val="20"/>
                <w:lang w:val="en-US"/>
              </w:rPr>
            </w:pPr>
            <w:r w:rsidRPr="00354A27">
              <w:rPr>
                <w:sz w:val="20"/>
                <w:lang w:val="en-US"/>
              </w:rPr>
              <w:t>Change in DAS28 [Mean (SD)]</w:t>
            </w:r>
          </w:p>
        </w:tc>
        <w:tc>
          <w:tcPr>
            <w:tcW w:w="3027" w:type="dxa"/>
          </w:tcPr>
          <w:p w14:paraId="2DBDAF8E" w14:textId="77777777" w:rsidR="00354A27" w:rsidRDefault="00354A27" w:rsidP="00443352">
            <w:pPr>
              <w:pStyle w:val="CLDNormal"/>
              <w:spacing w:after="0"/>
              <w:jc w:val="left"/>
              <w:rPr>
                <w:sz w:val="20"/>
                <w:lang w:val="en-US"/>
              </w:rPr>
            </w:pPr>
            <w:r w:rsidRPr="00354A27">
              <w:rPr>
                <w:sz w:val="20"/>
                <w:lang w:val="en-US"/>
              </w:rPr>
              <w:t>-0.4 (1.2)</w:t>
            </w:r>
          </w:p>
        </w:tc>
        <w:tc>
          <w:tcPr>
            <w:tcW w:w="3027" w:type="dxa"/>
          </w:tcPr>
          <w:p w14:paraId="6104A1D7" w14:textId="77777777" w:rsidR="00354A27" w:rsidRDefault="00354A27" w:rsidP="00443352">
            <w:pPr>
              <w:pStyle w:val="CLDNormal"/>
              <w:spacing w:after="0"/>
              <w:jc w:val="left"/>
              <w:rPr>
                <w:sz w:val="20"/>
                <w:lang w:val="en-US"/>
              </w:rPr>
            </w:pPr>
            <w:r w:rsidRPr="00354A27">
              <w:rPr>
                <w:sz w:val="20"/>
                <w:lang w:val="en-US"/>
              </w:rPr>
              <w:t>-1.9 (1.6)*</w:t>
            </w:r>
          </w:p>
        </w:tc>
      </w:tr>
      <w:tr w:rsidR="00354A27" w:rsidRPr="008C743E" w14:paraId="19DE4CE3" w14:textId="77777777" w:rsidTr="008C743E">
        <w:tc>
          <w:tcPr>
            <w:tcW w:w="3026" w:type="dxa"/>
          </w:tcPr>
          <w:p w14:paraId="65D71A92" w14:textId="77777777" w:rsidR="00354A27" w:rsidRPr="00354A27" w:rsidRDefault="00354A27" w:rsidP="00443352">
            <w:pPr>
              <w:pStyle w:val="CLDNormal"/>
              <w:spacing w:after="0"/>
              <w:jc w:val="left"/>
              <w:rPr>
                <w:sz w:val="20"/>
                <w:lang w:val="en-US"/>
              </w:rPr>
            </w:pPr>
            <w:r w:rsidRPr="00354A27">
              <w:rPr>
                <w:sz w:val="20"/>
                <w:lang w:val="en-US"/>
              </w:rPr>
              <w:t>EULAR Response (%)</w:t>
            </w:r>
          </w:p>
          <w:p w14:paraId="08233772" w14:textId="77777777" w:rsidR="00354A27" w:rsidRPr="00354A27" w:rsidRDefault="00354A27" w:rsidP="00443352">
            <w:pPr>
              <w:pStyle w:val="CLDNormal"/>
              <w:spacing w:after="0"/>
              <w:jc w:val="left"/>
              <w:rPr>
                <w:sz w:val="20"/>
                <w:lang w:val="en-US"/>
              </w:rPr>
            </w:pPr>
            <w:r w:rsidRPr="00354A27">
              <w:rPr>
                <w:sz w:val="20"/>
                <w:lang w:val="en-US"/>
              </w:rPr>
              <w:t>None</w:t>
            </w:r>
          </w:p>
          <w:p w14:paraId="4A12D32D" w14:textId="77777777" w:rsidR="00354A27" w:rsidRPr="00354A27" w:rsidRDefault="00354A27" w:rsidP="00443352">
            <w:pPr>
              <w:pStyle w:val="CLDNormal"/>
              <w:spacing w:after="0"/>
              <w:jc w:val="left"/>
              <w:rPr>
                <w:sz w:val="20"/>
                <w:lang w:val="en-US"/>
              </w:rPr>
            </w:pPr>
            <w:r w:rsidRPr="00354A27">
              <w:rPr>
                <w:sz w:val="20"/>
                <w:lang w:val="en-US"/>
              </w:rPr>
              <w:t>Moderate</w:t>
            </w:r>
          </w:p>
          <w:p w14:paraId="4F3C391E" w14:textId="77777777" w:rsidR="00354A27" w:rsidRPr="00354A27" w:rsidRDefault="00354A27" w:rsidP="00443352">
            <w:pPr>
              <w:pStyle w:val="CLDNormal"/>
              <w:spacing w:after="0"/>
              <w:jc w:val="left"/>
              <w:rPr>
                <w:sz w:val="20"/>
                <w:lang w:val="en-US"/>
              </w:rPr>
            </w:pPr>
            <w:r w:rsidRPr="00354A27">
              <w:rPr>
                <w:sz w:val="20"/>
                <w:lang w:val="en-US"/>
              </w:rPr>
              <w:t>Good</w:t>
            </w:r>
          </w:p>
        </w:tc>
        <w:tc>
          <w:tcPr>
            <w:tcW w:w="3027" w:type="dxa"/>
          </w:tcPr>
          <w:p w14:paraId="54681095" w14:textId="77777777" w:rsidR="00354A27" w:rsidRDefault="00354A27" w:rsidP="00443352">
            <w:pPr>
              <w:pStyle w:val="CLDNormal"/>
              <w:spacing w:after="0"/>
              <w:jc w:val="left"/>
              <w:rPr>
                <w:sz w:val="20"/>
                <w:lang w:val="en-US"/>
              </w:rPr>
            </w:pPr>
          </w:p>
          <w:p w14:paraId="3751186B" w14:textId="77777777" w:rsidR="00354A27" w:rsidRPr="00354A27" w:rsidRDefault="00354A27" w:rsidP="00443352">
            <w:pPr>
              <w:pStyle w:val="CLDNormal"/>
              <w:spacing w:after="0"/>
              <w:jc w:val="left"/>
              <w:rPr>
                <w:sz w:val="20"/>
                <w:lang w:val="en-US"/>
              </w:rPr>
            </w:pPr>
            <w:r w:rsidRPr="00354A27">
              <w:rPr>
                <w:sz w:val="20"/>
                <w:lang w:val="en-US"/>
              </w:rPr>
              <w:t>78%</w:t>
            </w:r>
          </w:p>
          <w:p w14:paraId="3D22971D" w14:textId="77777777" w:rsidR="00354A27" w:rsidRPr="00354A27" w:rsidRDefault="00354A27" w:rsidP="00443352">
            <w:pPr>
              <w:pStyle w:val="CLDNormal"/>
              <w:spacing w:after="0"/>
              <w:jc w:val="left"/>
              <w:rPr>
                <w:sz w:val="20"/>
                <w:lang w:val="en-US"/>
              </w:rPr>
            </w:pPr>
            <w:r w:rsidRPr="00354A27">
              <w:rPr>
                <w:sz w:val="20"/>
                <w:lang w:val="en-US"/>
              </w:rPr>
              <w:t>20%</w:t>
            </w:r>
          </w:p>
          <w:p w14:paraId="730C0FFE" w14:textId="77777777" w:rsidR="00354A27" w:rsidRPr="00354A27" w:rsidRDefault="00354A27" w:rsidP="00443352">
            <w:pPr>
              <w:pStyle w:val="CLDNormal"/>
              <w:spacing w:after="0"/>
              <w:jc w:val="left"/>
              <w:rPr>
                <w:sz w:val="20"/>
                <w:lang w:val="en-US"/>
              </w:rPr>
            </w:pPr>
            <w:r w:rsidRPr="00354A27">
              <w:rPr>
                <w:sz w:val="20"/>
                <w:lang w:val="en-US"/>
              </w:rPr>
              <w:t>2%</w:t>
            </w:r>
          </w:p>
        </w:tc>
        <w:tc>
          <w:tcPr>
            <w:tcW w:w="3027" w:type="dxa"/>
          </w:tcPr>
          <w:p w14:paraId="30CE8906" w14:textId="77777777" w:rsidR="00354A27" w:rsidRDefault="00354A27" w:rsidP="00443352">
            <w:pPr>
              <w:pStyle w:val="CLDNormal"/>
              <w:spacing w:after="0"/>
              <w:jc w:val="left"/>
              <w:rPr>
                <w:sz w:val="20"/>
                <w:lang w:val="en-US"/>
              </w:rPr>
            </w:pPr>
          </w:p>
          <w:p w14:paraId="7E6B677E" w14:textId="77777777" w:rsidR="00354A27" w:rsidRPr="00354A27" w:rsidRDefault="00354A27" w:rsidP="00443352">
            <w:pPr>
              <w:pStyle w:val="CLDNormal"/>
              <w:spacing w:after="0"/>
              <w:jc w:val="left"/>
              <w:rPr>
                <w:sz w:val="20"/>
                <w:lang w:val="en-US"/>
              </w:rPr>
            </w:pPr>
            <w:r w:rsidRPr="00354A27">
              <w:rPr>
                <w:sz w:val="20"/>
                <w:lang w:val="en-US"/>
              </w:rPr>
              <w:t>35%</w:t>
            </w:r>
          </w:p>
          <w:p w14:paraId="796E5571" w14:textId="77777777" w:rsidR="00354A27" w:rsidRPr="00354A27" w:rsidRDefault="00354A27" w:rsidP="00443352">
            <w:pPr>
              <w:pStyle w:val="CLDNormal"/>
              <w:spacing w:after="0"/>
              <w:jc w:val="left"/>
              <w:rPr>
                <w:sz w:val="20"/>
                <w:lang w:val="en-US"/>
              </w:rPr>
            </w:pPr>
            <w:r w:rsidRPr="00354A27">
              <w:rPr>
                <w:sz w:val="20"/>
                <w:lang w:val="en-US"/>
              </w:rPr>
              <w:t>50%*</w:t>
            </w:r>
          </w:p>
          <w:p w14:paraId="18D0B5E2" w14:textId="77777777" w:rsidR="00354A27" w:rsidRPr="00354A27" w:rsidRDefault="00354A27" w:rsidP="00443352">
            <w:pPr>
              <w:pStyle w:val="CLDNormal"/>
              <w:spacing w:after="0"/>
              <w:jc w:val="left"/>
              <w:rPr>
                <w:sz w:val="20"/>
                <w:lang w:val="en-US"/>
              </w:rPr>
            </w:pPr>
            <w:r w:rsidRPr="00354A27">
              <w:rPr>
                <w:sz w:val="20"/>
                <w:lang w:val="en-US"/>
              </w:rPr>
              <w:t>15%</w:t>
            </w:r>
          </w:p>
        </w:tc>
      </w:tr>
      <w:tr w:rsidR="00354A27" w:rsidRPr="008C743E" w14:paraId="36CF63DC" w14:textId="77777777" w:rsidTr="008C743E">
        <w:tc>
          <w:tcPr>
            <w:tcW w:w="3026" w:type="dxa"/>
          </w:tcPr>
          <w:p w14:paraId="00385345" w14:textId="77777777" w:rsidR="00354A27" w:rsidRPr="00354A27" w:rsidRDefault="00354A27" w:rsidP="00443352">
            <w:pPr>
              <w:pStyle w:val="CLDNormal"/>
              <w:spacing w:after="0"/>
              <w:jc w:val="left"/>
              <w:rPr>
                <w:i/>
                <w:sz w:val="20"/>
                <w:lang w:val="en-US"/>
              </w:rPr>
            </w:pPr>
            <w:r w:rsidRPr="00354A27">
              <w:rPr>
                <w:i/>
                <w:sz w:val="20"/>
                <w:lang w:val="en-US"/>
              </w:rPr>
              <w:t>Study 2</w:t>
            </w:r>
          </w:p>
        </w:tc>
        <w:tc>
          <w:tcPr>
            <w:tcW w:w="3027" w:type="dxa"/>
          </w:tcPr>
          <w:p w14:paraId="0BDF3764" w14:textId="77777777" w:rsidR="00354A27" w:rsidRDefault="00354A27" w:rsidP="00443352">
            <w:pPr>
              <w:pStyle w:val="CLDNormal"/>
              <w:spacing w:after="0"/>
              <w:jc w:val="left"/>
              <w:rPr>
                <w:sz w:val="20"/>
                <w:lang w:val="en-US"/>
              </w:rPr>
            </w:pPr>
            <w:r w:rsidRPr="00354A27">
              <w:rPr>
                <w:sz w:val="20"/>
                <w:lang w:val="en-US"/>
              </w:rPr>
              <w:t>(N=143)</w:t>
            </w:r>
          </w:p>
        </w:tc>
        <w:tc>
          <w:tcPr>
            <w:tcW w:w="3027" w:type="dxa"/>
          </w:tcPr>
          <w:p w14:paraId="0D5CA916" w14:textId="77777777" w:rsidR="00354A27" w:rsidRDefault="00354A27" w:rsidP="00443352">
            <w:pPr>
              <w:pStyle w:val="CLDNormal"/>
              <w:spacing w:after="0"/>
              <w:jc w:val="left"/>
              <w:rPr>
                <w:sz w:val="20"/>
                <w:lang w:val="en-US"/>
              </w:rPr>
            </w:pPr>
            <w:r w:rsidRPr="00354A27">
              <w:rPr>
                <w:sz w:val="20"/>
                <w:lang w:val="en-US"/>
              </w:rPr>
              <w:t>(N=185)</w:t>
            </w:r>
          </w:p>
        </w:tc>
      </w:tr>
      <w:tr w:rsidR="00354A27" w:rsidRPr="00354A27" w14:paraId="4DC385C3" w14:textId="77777777" w:rsidTr="008C743E">
        <w:tc>
          <w:tcPr>
            <w:tcW w:w="3026" w:type="dxa"/>
          </w:tcPr>
          <w:p w14:paraId="4D36C653" w14:textId="77777777" w:rsidR="00354A27" w:rsidRPr="00354A27" w:rsidRDefault="00354A27" w:rsidP="00443352">
            <w:pPr>
              <w:pStyle w:val="CLDNormal"/>
              <w:spacing w:after="0"/>
              <w:jc w:val="left"/>
              <w:rPr>
                <w:sz w:val="20"/>
                <w:lang w:val="en-US"/>
              </w:rPr>
            </w:pPr>
            <w:r w:rsidRPr="00354A27">
              <w:rPr>
                <w:sz w:val="20"/>
                <w:lang w:val="en-US"/>
              </w:rPr>
              <w:t>Mean change in DAS28 (SD)</w:t>
            </w:r>
          </w:p>
        </w:tc>
        <w:tc>
          <w:tcPr>
            <w:tcW w:w="3027" w:type="dxa"/>
          </w:tcPr>
          <w:p w14:paraId="496346C1" w14:textId="77777777" w:rsidR="00354A27" w:rsidRPr="00354A27" w:rsidRDefault="00354A27" w:rsidP="00443352">
            <w:pPr>
              <w:pStyle w:val="CLDNormal"/>
              <w:spacing w:after="0"/>
              <w:jc w:val="left"/>
              <w:rPr>
                <w:sz w:val="20"/>
                <w:lang w:val="en-US"/>
              </w:rPr>
            </w:pPr>
            <w:r w:rsidRPr="00354A27">
              <w:rPr>
                <w:sz w:val="20"/>
                <w:lang w:val="en-US"/>
              </w:rPr>
              <w:t>–0.8 (1.4)</w:t>
            </w:r>
          </w:p>
        </w:tc>
        <w:tc>
          <w:tcPr>
            <w:tcW w:w="3027" w:type="dxa"/>
          </w:tcPr>
          <w:p w14:paraId="009E2379" w14:textId="77777777" w:rsidR="00354A27" w:rsidRPr="00354A27" w:rsidRDefault="00354A27" w:rsidP="00443352">
            <w:pPr>
              <w:pStyle w:val="CLDNormal"/>
              <w:spacing w:after="0"/>
              <w:jc w:val="left"/>
              <w:rPr>
                <w:sz w:val="20"/>
                <w:lang w:val="en-US"/>
              </w:rPr>
            </w:pPr>
            <w:r w:rsidRPr="00354A27">
              <w:rPr>
                <w:sz w:val="20"/>
                <w:lang w:val="en-US"/>
              </w:rPr>
              <w:t>–2.0 (1.6)</w:t>
            </w:r>
          </w:p>
        </w:tc>
      </w:tr>
      <w:tr w:rsidR="00354A27" w:rsidRPr="00354A27" w14:paraId="305E3BDC" w14:textId="77777777" w:rsidTr="008C743E">
        <w:tc>
          <w:tcPr>
            <w:tcW w:w="3026" w:type="dxa"/>
          </w:tcPr>
          <w:p w14:paraId="60EF7B81" w14:textId="77777777" w:rsidR="00354A27" w:rsidRPr="00354A27" w:rsidRDefault="00354A27" w:rsidP="00443352">
            <w:pPr>
              <w:pStyle w:val="CLDNormal"/>
              <w:spacing w:after="0"/>
              <w:jc w:val="left"/>
              <w:rPr>
                <w:sz w:val="20"/>
                <w:lang w:val="en-US"/>
              </w:rPr>
            </w:pPr>
            <w:r w:rsidRPr="00354A27">
              <w:rPr>
                <w:sz w:val="20"/>
                <w:lang w:val="en-US"/>
              </w:rPr>
              <w:t>EULAR Response (%)</w:t>
            </w:r>
          </w:p>
          <w:p w14:paraId="5E61FE38" w14:textId="77777777" w:rsidR="00354A27" w:rsidRPr="00354A27" w:rsidRDefault="00354A27" w:rsidP="00443352">
            <w:pPr>
              <w:pStyle w:val="CLDNormal"/>
              <w:spacing w:after="0"/>
              <w:jc w:val="left"/>
              <w:rPr>
                <w:sz w:val="20"/>
                <w:lang w:val="en-US"/>
              </w:rPr>
            </w:pPr>
            <w:r w:rsidRPr="00354A27">
              <w:rPr>
                <w:sz w:val="20"/>
                <w:lang w:val="en-US"/>
              </w:rPr>
              <w:t>None</w:t>
            </w:r>
          </w:p>
          <w:p w14:paraId="70629BEF" w14:textId="77777777" w:rsidR="00354A27" w:rsidRPr="00354A27" w:rsidRDefault="00354A27" w:rsidP="00443352">
            <w:pPr>
              <w:pStyle w:val="CLDNormal"/>
              <w:spacing w:after="0"/>
              <w:jc w:val="left"/>
              <w:rPr>
                <w:sz w:val="20"/>
                <w:lang w:val="en-US"/>
              </w:rPr>
            </w:pPr>
            <w:r w:rsidRPr="00354A27">
              <w:rPr>
                <w:sz w:val="20"/>
                <w:lang w:val="en-US"/>
              </w:rPr>
              <w:t>Moderate</w:t>
            </w:r>
          </w:p>
          <w:p w14:paraId="120507C1" w14:textId="77777777" w:rsidR="00354A27" w:rsidRPr="00354A27" w:rsidRDefault="00354A27" w:rsidP="00443352">
            <w:pPr>
              <w:pStyle w:val="CLDNormal"/>
              <w:spacing w:after="0"/>
              <w:jc w:val="left"/>
              <w:rPr>
                <w:sz w:val="20"/>
                <w:lang w:val="en-US"/>
              </w:rPr>
            </w:pPr>
            <w:r w:rsidRPr="00354A27">
              <w:rPr>
                <w:sz w:val="20"/>
                <w:lang w:val="en-US"/>
              </w:rPr>
              <w:t>Good</w:t>
            </w:r>
          </w:p>
        </w:tc>
        <w:tc>
          <w:tcPr>
            <w:tcW w:w="3027" w:type="dxa"/>
          </w:tcPr>
          <w:p w14:paraId="66072830" w14:textId="77777777" w:rsidR="00354A27" w:rsidRDefault="00354A27" w:rsidP="00443352">
            <w:pPr>
              <w:pStyle w:val="CLDNormal"/>
              <w:spacing w:after="0"/>
              <w:jc w:val="left"/>
              <w:rPr>
                <w:sz w:val="20"/>
                <w:lang w:val="en-US"/>
              </w:rPr>
            </w:pPr>
          </w:p>
          <w:p w14:paraId="3B9DB8AB" w14:textId="77777777" w:rsidR="00354A27" w:rsidRDefault="00354A27" w:rsidP="00443352">
            <w:pPr>
              <w:pStyle w:val="CLDNormal"/>
              <w:spacing w:after="0"/>
              <w:jc w:val="left"/>
              <w:rPr>
                <w:sz w:val="20"/>
                <w:lang w:val="en-US"/>
              </w:rPr>
            </w:pPr>
            <w:r>
              <w:rPr>
                <w:sz w:val="20"/>
                <w:lang w:val="en-US"/>
              </w:rPr>
              <w:t>61%</w:t>
            </w:r>
          </w:p>
          <w:p w14:paraId="2CC23BEF" w14:textId="77777777" w:rsidR="00354A27" w:rsidRDefault="00354A27" w:rsidP="00443352">
            <w:pPr>
              <w:pStyle w:val="CLDNormal"/>
              <w:spacing w:after="0"/>
              <w:jc w:val="left"/>
              <w:rPr>
                <w:sz w:val="20"/>
                <w:lang w:val="en-US"/>
              </w:rPr>
            </w:pPr>
            <w:r>
              <w:rPr>
                <w:sz w:val="20"/>
                <w:lang w:val="en-US"/>
              </w:rPr>
              <w:t>35%</w:t>
            </w:r>
          </w:p>
          <w:p w14:paraId="32820210" w14:textId="77777777" w:rsidR="00354A27" w:rsidRPr="00354A27" w:rsidRDefault="00354A27" w:rsidP="00443352">
            <w:pPr>
              <w:pStyle w:val="CLDNormal"/>
              <w:spacing w:after="0"/>
              <w:jc w:val="left"/>
              <w:rPr>
                <w:sz w:val="20"/>
                <w:lang w:val="en-US"/>
              </w:rPr>
            </w:pPr>
            <w:r>
              <w:rPr>
                <w:sz w:val="20"/>
                <w:lang w:val="en-US"/>
              </w:rPr>
              <w:t>4%</w:t>
            </w:r>
          </w:p>
        </w:tc>
        <w:tc>
          <w:tcPr>
            <w:tcW w:w="3027" w:type="dxa"/>
          </w:tcPr>
          <w:p w14:paraId="4095E92B" w14:textId="77777777" w:rsidR="00354A27" w:rsidRDefault="00354A27" w:rsidP="00443352">
            <w:pPr>
              <w:pStyle w:val="CLDNormal"/>
              <w:spacing w:after="0"/>
              <w:jc w:val="left"/>
              <w:rPr>
                <w:sz w:val="20"/>
                <w:lang w:val="en-US"/>
              </w:rPr>
            </w:pPr>
          </w:p>
          <w:p w14:paraId="521EE9CA" w14:textId="77777777" w:rsidR="00354A27" w:rsidRDefault="00354A27" w:rsidP="00443352">
            <w:pPr>
              <w:pStyle w:val="CLDNormal"/>
              <w:spacing w:after="0"/>
              <w:jc w:val="left"/>
              <w:rPr>
                <w:sz w:val="20"/>
                <w:lang w:val="en-US"/>
              </w:rPr>
            </w:pPr>
            <w:r>
              <w:rPr>
                <w:sz w:val="20"/>
                <w:lang w:val="en-US"/>
              </w:rPr>
              <w:t>37%</w:t>
            </w:r>
          </w:p>
          <w:p w14:paraId="06FBDC0E" w14:textId="77777777" w:rsidR="00354A27" w:rsidRDefault="00354A27" w:rsidP="00443352">
            <w:pPr>
              <w:pStyle w:val="CLDNormal"/>
              <w:spacing w:after="0"/>
              <w:jc w:val="left"/>
              <w:rPr>
                <w:sz w:val="20"/>
                <w:lang w:val="en-US"/>
              </w:rPr>
            </w:pPr>
            <w:r>
              <w:rPr>
                <w:sz w:val="20"/>
                <w:lang w:val="en-US"/>
              </w:rPr>
              <w:t>40%</w:t>
            </w:r>
          </w:p>
          <w:p w14:paraId="0735A742" w14:textId="77777777" w:rsidR="00354A27" w:rsidRPr="00354A27" w:rsidRDefault="00354A27" w:rsidP="00443352">
            <w:pPr>
              <w:pStyle w:val="CLDNormal"/>
              <w:spacing w:after="0"/>
              <w:jc w:val="left"/>
              <w:rPr>
                <w:sz w:val="20"/>
                <w:lang w:val="en-US"/>
              </w:rPr>
            </w:pPr>
            <w:r>
              <w:rPr>
                <w:sz w:val="20"/>
                <w:lang w:val="en-US"/>
              </w:rPr>
              <w:t>23%</w:t>
            </w:r>
          </w:p>
        </w:tc>
      </w:tr>
      <w:tr w:rsidR="00354A27" w:rsidRPr="00354A27" w14:paraId="2B3B32EE" w14:textId="77777777" w:rsidTr="008C743E">
        <w:tc>
          <w:tcPr>
            <w:tcW w:w="3026" w:type="dxa"/>
          </w:tcPr>
          <w:p w14:paraId="2A2B3932" w14:textId="77777777" w:rsidR="00354A27" w:rsidRPr="00354A27" w:rsidRDefault="00354A27" w:rsidP="00443352">
            <w:pPr>
              <w:pStyle w:val="CLDNormal"/>
              <w:spacing w:after="0"/>
              <w:jc w:val="left"/>
              <w:rPr>
                <w:i/>
                <w:sz w:val="20"/>
                <w:lang w:val="en-US"/>
              </w:rPr>
            </w:pPr>
            <w:r w:rsidRPr="00354A27">
              <w:rPr>
                <w:i/>
                <w:sz w:val="20"/>
                <w:lang w:val="en-US"/>
              </w:rPr>
              <w:t>Study 3</w:t>
            </w:r>
          </w:p>
        </w:tc>
        <w:tc>
          <w:tcPr>
            <w:tcW w:w="3027" w:type="dxa"/>
          </w:tcPr>
          <w:p w14:paraId="573DF793" w14:textId="77777777" w:rsidR="00354A27" w:rsidRDefault="00354A27" w:rsidP="00443352">
            <w:pPr>
              <w:pStyle w:val="CLDNormal"/>
              <w:spacing w:after="0"/>
              <w:jc w:val="left"/>
              <w:rPr>
                <w:sz w:val="20"/>
                <w:lang w:val="en-US"/>
              </w:rPr>
            </w:pPr>
            <w:r>
              <w:rPr>
                <w:sz w:val="20"/>
                <w:lang w:val="en-US"/>
              </w:rPr>
              <w:t>(N=40)</w:t>
            </w:r>
          </w:p>
        </w:tc>
        <w:tc>
          <w:tcPr>
            <w:tcW w:w="3027" w:type="dxa"/>
          </w:tcPr>
          <w:p w14:paraId="7F4F9605" w14:textId="77777777" w:rsidR="00354A27" w:rsidRDefault="00354A27" w:rsidP="00443352">
            <w:pPr>
              <w:pStyle w:val="CLDNormal"/>
              <w:spacing w:after="0"/>
              <w:jc w:val="left"/>
              <w:rPr>
                <w:sz w:val="20"/>
                <w:lang w:val="en-US"/>
              </w:rPr>
            </w:pPr>
            <w:r w:rsidRPr="00354A27">
              <w:rPr>
                <w:sz w:val="20"/>
                <w:lang w:val="en-US"/>
              </w:rPr>
              <w:t>(N=40)</w:t>
            </w:r>
          </w:p>
        </w:tc>
      </w:tr>
      <w:tr w:rsidR="00354A27" w:rsidRPr="00354A27" w14:paraId="2B15C15F" w14:textId="77777777" w:rsidTr="008C743E">
        <w:tc>
          <w:tcPr>
            <w:tcW w:w="3026" w:type="dxa"/>
          </w:tcPr>
          <w:p w14:paraId="191DAAB5" w14:textId="77777777" w:rsidR="00354A27" w:rsidRPr="00354A27" w:rsidRDefault="00354A27" w:rsidP="00443352">
            <w:pPr>
              <w:pStyle w:val="CLDNormal"/>
              <w:spacing w:after="0"/>
              <w:jc w:val="left"/>
              <w:rPr>
                <w:sz w:val="20"/>
                <w:lang w:val="en-US"/>
              </w:rPr>
            </w:pPr>
            <w:r w:rsidRPr="00354A27">
              <w:rPr>
                <w:sz w:val="20"/>
                <w:lang w:val="en-US"/>
              </w:rPr>
              <w:t>Change in DAS [Mean (SD)]</w:t>
            </w:r>
          </w:p>
        </w:tc>
        <w:tc>
          <w:tcPr>
            <w:tcW w:w="3027" w:type="dxa"/>
          </w:tcPr>
          <w:p w14:paraId="222A97DB" w14:textId="77777777" w:rsidR="00354A27" w:rsidRPr="00354A27" w:rsidRDefault="00354A27" w:rsidP="00443352">
            <w:pPr>
              <w:pStyle w:val="CLDNormal"/>
              <w:spacing w:after="0"/>
              <w:jc w:val="left"/>
              <w:rPr>
                <w:sz w:val="20"/>
                <w:lang w:val="en-US"/>
              </w:rPr>
            </w:pPr>
            <w:r w:rsidRPr="00354A27">
              <w:rPr>
                <w:sz w:val="20"/>
                <w:lang w:val="en-US"/>
              </w:rPr>
              <w:t>-1.3 (1.2)</w:t>
            </w:r>
          </w:p>
        </w:tc>
        <w:tc>
          <w:tcPr>
            <w:tcW w:w="3027" w:type="dxa"/>
          </w:tcPr>
          <w:p w14:paraId="57106594" w14:textId="77777777" w:rsidR="00354A27" w:rsidRPr="00354A27" w:rsidRDefault="00354A27" w:rsidP="00443352">
            <w:pPr>
              <w:pStyle w:val="CLDNormal"/>
              <w:spacing w:after="0"/>
              <w:jc w:val="left"/>
              <w:rPr>
                <w:sz w:val="20"/>
                <w:lang w:val="en-US"/>
              </w:rPr>
            </w:pPr>
            <w:r w:rsidRPr="00354A27">
              <w:rPr>
                <w:sz w:val="20"/>
                <w:lang w:val="en-US"/>
              </w:rPr>
              <w:t>-2.6 (1.3)</w:t>
            </w:r>
          </w:p>
        </w:tc>
      </w:tr>
      <w:tr w:rsidR="00354A27" w:rsidRPr="00354A27" w14:paraId="45D0F4B7" w14:textId="77777777" w:rsidTr="008C743E">
        <w:tc>
          <w:tcPr>
            <w:tcW w:w="3026" w:type="dxa"/>
          </w:tcPr>
          <w:p w14:paraId="7CA834D9" w14:textId="77777777" w:rsidR="00354A27" w:rsidRPr="00354A27" w:rsidRDefault="00354A27" w:rsidP="00443352">
            <w:pPr>
              <w:pStyle w:val="CLDNormal"/>
              <w:spacing w:after="0"/>
              <w:jc w:val="left"/>
              <w:rPr>
                <w:sz w:val="20"/>
                <w:lang w:val="en-US"/>
              </w:rPr>
            </w:pPr>
            <w:r w:rsidRPr="00354A27">
              <w:rPr>
                <w:sz w:val="20"/>
                <w:lang w:val="en-US"/>
              </w:rPr>
              <w:t>EULAR response</w:t>
            </w:r>
          </w:p>
          <w:p w14:paraId="5C0052C7" w14:textId="77777777" w:rsidR="00354A27" w:rsidRPr="00354A27" w:rsidRDefault="00354A27" w:rsidP="00443352">
            <w:pPr>
              <w:pStyle w:val="CLDNormal"/>
              <w:spacing w:after="0"/>
              <w:jc w:val="left"/>
              <w:rPr>
                <w:sz w:val="20"/>
                <w:lang w:val="en-US"/>
              </w:rPr>
            </w:pPr>
            <w:r w:rsidRPr="00354A27">
              <w:rPr>
                <w:sz w:val="20"/>
                <w:lang w:val="en-US"/>
              </w:rPr>
              <w:t>None</w:t>
            </w:r>
          </w:p>
          <w:p w14:paraId="13749681" w14:textId="77777777" w:rsidR="00354A27" w:rsidRPr="00354A27" w:rsidRDefault="00354A27" w:rsidP="00443352">
            <w:pPr>
              <w:pStyle w:val="CLDNormal"/>
              <w:spacing w:after="0"/>
              <w:jc w:val="left"/>
              <w:rPr>
                <w:sz w:val="20"/>
                <w:lang w:val="en-US"/>
              </w:rPr>
            </w:pPr>
            <w:r w:rsidRPr="00354A27">
              <w:rPr>
                <w:sz w:val="20"/>
                <w:lang w:val="en-US"/>
              </w:rPr>
              <w:t>Moderate</w:t>
            </w:r>
          </w:p>
          <w:p w14:paraId="7ABE9027" w14:textId="77777777" w:rsidR="00354A27" w:rsidRPr="00354A27" w:rsidRDefault="00354A27" w:rsidP="00443352">
            <w:pPr>
              <w:pStyle w:val="CLDNormal"/>
              <w:spacing w:after="0"/>
              <w:jc w:val="left"/>
              <w:rPr>
                <w:sz w:val="20"/>
                <w:lang w:val="en-US"/>
              </w:rPr>
            </w:pPr>
            <w:r w:rsidRPr="00354A27">
              <w:rPr>
                <w:sz w:val="20"/>
                <w:lang w:val="en-US"/>
              </w:rPr>
              <w:t>Good</w:t>
            </w:r>
          </w:p>
        </w:tc>
        <w:tc>
          <w:tcPr>
            <w:tcW w:w="3027" w:type="dxa"/>
          </w:tcPr>
          <w:p w14:paraId="7BAD1855" w14:textId="77777777" w:rsidR="00354A27" w:rsidRDefault="00354A27" w:rsidP="00443352">
            <w:pPr>
              <w:pStyle w:val="CLDNormal"/>
              <w:spacing w:after="0"/>
              <w:jc w:val="left"/>
              <w:rPr>
                <w:sz w:val="20"/>
                <w:lang w:val="en-US"/>
              </w:rPr>
            </w:pPr>
          </w:p>
          <w:p w14:paraId="3A8B71EF" w14:textId="77777777" w:rsidR="00354A27" w:rsidRDefault="00354A27" w:rsidP="00443352">
            <w:pPr>
              <w:pStyle w:val="CLDNormal"/>
              <w:spacing w:after="0"/>
              <w:jc w:val="left"/>
              <w:rPr>
                <w:sz w:val="20"/>
                <w:lang w:val="en-US"/>
              </w:rPr>
            </w:pPr>
            <w:r>
              <w:rPr>
                <w:sz w:val="20"/>
                <w:lang w:val="en-US"/>
              </w:rPr>
              <w:t>50%</w:t>
            </w:r>
          </w:p>
          <w:p w14:paraId="129EBDCF" w14:textId="77777777" w:rsidR="00354A27" w:rsidRDefault="00354A27" w:rsidP="00443352">
            <w:pPr>
              <w:pStyle w:val="CLDNormal"/>
              <w:spacing w:after="0"/>
              <w:jc w:val="left"/>
              <w:rPr>
                <w:sz w:val="20"/>
                <w:lang w:val="en-US"/>
              </w:rPr>
            </w:pPr>
            <w:r>
              <w:rPr>
                <w:sz w:val="20"/>
                <w:lang w:val="en-US"/>
              </w:rPr>
              <w:t>45%</w:t>
            </w:r>
          </w:p>
          <w:p w14:paraId="6EE47BD3" w14:textId="77777777" w:rsidR="00354A27" w:rsidRPr="00354A27" w:rsidRDefault="00354A27" w:rsidP="00443352">
            <w:pPr>
              <w:pStyle w:val="CLDNormal"/>
              <w:spacing w:after="0"/>
              <w:jc w:val="left"/>
              <w:rPr>
                <w:sz w:val="20"/>
                <w:lang w:val="en-US"/>
              </w:rPr>
            </w:pPr>
            <w:r>
              <w:rPr>
                <w:sz w:val="20"/>
                <w:lang w:val="en-US"/>
              </w:rPr>
              <w:t>5%</w:t>
            </w:r>
          </w:p>
        </w:tc>
        <w:tc>
          <w:tcPr>
            <w:tcW w:w="3027" w:type="dxa"/>
          </w:tcPr>
          <w:p w14:paraId="4E6F2E62" w14:textId="77777777" w:rsidR="00354A27" w:rsidRDefault="00354A27" w:rsidP="00443352">
            <w:pPr>
              <w:pStyle w:val="CLDNormal"/>
              <w:spacing w:after="0"/>
              <w:jc w:val="left"/>
              <w:rPr>
                <w:sz w:val="20"/>
                <w:lang w:val="en-US"/>
              </w:rPr>
            </w:pPr>
          </w:p>
          <w:p w14:paraId="1A5352A0" w14:textId="77777777" w:rsidR="00354A27" w:rsidRDefault="00354A27" w:rsidP="00443352">
            <w:pPr>
              <w:pStyle w:val="CLDNormal"/>
              <w:spacing w:after="0"/>
              <w:jc w:val="left"/>
              <w:rPr>
                <w:sz w:val="20"/>
                <w:lang w:val="en-US"/>
              </w:rPr>
            </w:pPr>
            <w:r>
              <w:rPr>
                <w:sz w:val="20"/>
                <w:lang w:val="en-US"/>
              </w:rPr>
              <w:t>18%</w:t>
            </w:r>
          </w:p>
          <w:p w14:paraId="0995829E" w14:textId="77777777" w:rsidR="00354A27" w:rsidRDefault="00354A27" w:rsidP="00443352">
            <w:pPr>
              <w:pStyle w:val="CLDNormal"/>
              <w:spacing w:after="0"/>
              <w:jc w:val="left"/>
              <w:rPr>
                <w:sz w:val="20"/>
                <w:lang w:val="en-US"/>
              </w:rPr>
            </w:pPr>
            <w:r>
              <w:rPr>
                <w:sz w:val="20"/>
                <w:lang w:val="en-US"/>
              </w:rPr>
              <w:t>63%</w:t>
            </w:r>
          </w:p>
          <w:p w14:paraId="47C0AD9B" w14:textId="77777777" w:rsidR="00354A27" w:rsidRPr="00354A27" w:rsidRDefault="00354A27" w:rsidP="00443352">
            <w:pPr>
              <w:pStyle w:val="CLDNormal"/>
              <w:spacing w:after="0"/>
              <w:jc w:val="left"/>
              <w:rPr>
                <w:sz w:val="20"/>
                <w:lang w:val="en-US"/>
              </w:rPr>
            </w:pPr>
            <w:r>
              <w:rPr>
                <w:sz w:val="20"/>
                <w:lang w:val="en-US"/>
              </w:rPr>
              <w:t>20%</w:t>
            </w:r>
          </w:p>
        </w:tc>
      </w:tr>
    </w:tbl>
    <w:p w14:paraId="151594AB" w14:textId="0C7E35EC" w:rsidR="00AF7858" w:rsidRDefault="00354A27" w:rsidP="00443352">
      <w:pPr>
        <w:pStyle w:val="CLDNormal"/>
        <w:spacing w:after="0"/>
        <w:jc w:val="left"/>
        <w:rPr>
          <w:lang w:val="en-US"/>
        </w:rPr>
      </w:pPr>
      <w:r w:rsidRPr="00354A27">
        <w:rPr>
          <w:sz w:val="20"/>
          <w:lang w:val="en-US"/>
        </w:rPr>
        <w:t>*p value &lt;0.0001. p values not calculated for studies 2 and 3.</w:t>
      </w:r>
    </w:p>
    <w:p w14:paraId="14BFE4E6" w14:textId="77777777" w:rsidR="004F4D7B" w:rsidRDefault="004F4D7B" w:rsidP="00443352">
      <w:pPr>
        <w:pStyle w:val="CLDNormal"/>
        <w:spacing w:after="0"/>
        <w:jc w:val="left"/>
        <w:rPr>
          <w:lang w:val="en-US"/>
        </w:rPr>
      </w:pPr>
    </w:p>
    <w:p w14:paraId="77F531F8" w14:textId="77777777" w:rsidR="00354A27" w:rsidRPr="006A1EF8" w:rsidRDefault="00354A27" w:rsidP="00443352">
      <w:pPr>
        <w:pStyle w:val="CLDNormal"/>
        <w:jc w:val="left"/>
        <w:rPr>
          <w:rFonts w:eastAsiaTheme="minorEastAsia"/>
          <w:i/>
          <w:szCs w:val="24"/>
          <w:lang w:val="en-US"/>
        </w:rPr>
      </w:pPr>
      <w:r w:rsidRPr="006A1EF8">
        <w:rPr>
          <w:rFonts w:eastAsiaTheme="minorEastAsia"/>
          <w:i/>
          <w:szCs w:val="24"/>
          <w:lang w:val="en-US"/>
        </w:rPr>
        <w:t>Radiographic Response</w:t>
      </w:r>
    </w:p>
    <w:p w14:paraId="148AECBC" w14:textId="1975F872" w:rsidR="00354A27" w:rsidRDefault="00354A27" w:rsidP="00443352">
      <w:pPr>
        <w:pStyle w:val="CLDNormal"/>
        <w:jc w:val="left"/>
        <w:rPr>
          <w:lang w:val="en-US"/>
        </w:rPr>
      </w:pPr>
      <w:r w:rsidRPr="00354A27">
        <w:rPr>
          <w:lang w:val="en-US"/>
        </w:rPr>
        <w:t xml:space="preserve">In Study WA17042 (REFLEX), structural joint damage was assessed radiographically and expressed as changes in </w:t>
      </w:r>
      <w:proofErr w:type="spellStart"/>
      <w:r w:rsidRPr="00354A27">
        <w:rPr>
          <w:lang w:val="en-US"/>
        </w:rPr>
        <w:t>Genant</w:t>
      </w:r>
      <w:proofErr w:type="spellEnd"/>
      <w:r w:rsidRPr="00354A27">
        <w:rPr>
          <w:lang w:val="en-US"/>
        </w:rPr>
        <w:t xml:space="preserve">-modified Total Sharp Score (TSS) and its components, the erosion score (ES) and the joint space narrowing (JSN) score. </w:t>
      </w:r>
      <w:r w:rsidR="00DE597A">
        <w:rPr>
          <w:lang w:val="en-US"/>
        </w:rPr>
        <w:t>R</w:t>
      </w:r>
      <w:r w:rsidR="00DE597A" w:rsidRPr="00DE597A">
        <w:rPr>
          <w:lang w:val="en-US"/>
        </w:rPr>
        <w:t>ituximab</w:t>
      </w:r>
      <w:r w:rsidRPr="00354A27">
        <w:rPr>
          <w:lang w:val="en-US"/>
        </w:rPr>
        <w:t xml:space="preserve"> + MTX slowed the progression of structural damage compared to placebo + MTX after 1 year (Table 15). 70% of patients initially </w:t>
      </w:r>
      <w:proofErr w:type="spellStart"/>
      <w:r w:rsidRPr="00354A27">
        <w:rPr>
          <w:lang w:val="en-US"/>
        </w:rPr>
        <w:t>randomised</w:t>
      </w:r>
      <w:proofErr w:type="spellEnd"/>
      <w:r w:rsidRPr="00354A27">
        <w:rPr>
          <w:lang w:val="en-US"/>
        </w:rPr>
        <w:t xml:space="preserve"> to </w:t>
      </w:r>
      <w:r w:rsidR="00DE597A" w:rsidRPr="00DE597A">
        <w:rPr>
          <w:lang w:val="en-US"/>
        </w:rPr>
        <w:t>rituximab</w:t>
      </w:r>
      <w:r w:rsidRPr="00354A27">
        <w:rPr>
          <w:lang w:val="en-US"/>
        </w:rPr>
        <w:t xml:space="preserve"> + MTX and 72% of patients initially </w:t>
      </w:r>
      <w:proofErr w:type="spellStart"/>
      <w:r w:rsidRPr="00354A27">
        <w:rPr>
          <w:lang w:val="en-US"/>
        </w:rPr>
        <w:t>randomised</w:t>
      </w:r>
      <w:proofErr w:type="spellEnd"/>
      <w:r w:rsidRPr="00354A27">
        <w:rPr>
          <w:lang w:val="en-US"/>
        </w:rPr>
        <w:t xml:space="preserve"> to placebo + MTX were evaluated radiographically at year 2. Progression of structural damage in </w:t>
      </w:r>
      <w:r w:rsidR="00DE597A" w:rsidRPr="00DE597A">
        <w:rPr>
          <w:lang w:val="en-US"/>
        </w:rPr>
        <w:t>rituximab</w:t>
      </w:r>
      <w:r w:rsidRPr="00354A27">
        <w:rPr>
          <w:lang w:val="en-US"/>
        </w:rPr>
        <w:t xml:space="preserve"> + MTX patients was further reduced in the second year of treatment (Table 15).</w:t>
      </w:r>
    </w:p>
    <w:p w14:paraId="30A8A2AB" w14:textId="77777777" w:rsidR="00354A27" w:rsidRPr="00DE597A" w:rsidRDefault="00354A27" w:rsidP="00443352">
      <w:pPr>
        <w:pStyle w:val="CLDNormal"/>
        <w:jc w:val="left"/>
        <w:rPr>
          <w:b/>
          <w:sz w:val="22"/>
          <w:szCs w:val="22"/>
          <w:lang w:val="en-US"/>
        </w:rPr>
      </w:pPr>
      <w:r w:rsidRPr="00DE597A">
        <w:rPr>
          <w:b/>
          <w:sz w:val="22"/>
          <w:szCs w:val="22"/>
          <w:lang w:val="en-US"/>
        </w:rPr>
        <w:t>Table 15 Mean radiographic change from baseline to 104 weeks</w:t>
      </w:r>
    </w:p>
    <w:tbl>
      <w:tblPr>
        <w:tblW w:w="9019" w:type="dxa"/>
        <w:tblInd w:w="94" w:type="dxa"/>
        <w:tblLayout w:type="fixed"/>
        <w:tblCellMar>
          <w:left w:w="0" w:type="dxa"/>
          <w:right w:w="0" w:type="dxa"/>
        </w:tblCellMar>
        <w:tblLook w:val="0000" w:firstRow="0" w:lastRow="0" w:firstColumn="0" w:lastColumn="0" w:noHBand="0" w:noVBand="0"/>
      </w:tblPr>
      <w:tblGrid>
        <w:gridCol w:w="1803"/>
        <w:gridCol w:w="1804"/>
        <w:gridCol w:w="1804"/>
        <w:gridCol w:w="1804"/>
        <w:gridCol w:w="1804"/>
      </w:tblGrid>
      <w:tr w:rsidR="00354A27" w:rsidRPr="00354A27" w14:paraId="3D401747" w14:textId="77777777" w:rsidTr="00637E52">
        <w:trPr>
          <w:trHeight w:hRule="exact" w:val="286"/>
        </w:trPr>
        <w:tc>
          <w:tcPr>
            <w:tcW w:w="9019" w:type="dxa"/>
            <w:gridSpan w:val="5"/>
            <w:tcBorders>
              <w:top w:val="single" w:sz="4" w:space="0" w:color="000000"/>
              <w:left w:val="single" w:sz="4" w:space="0" w:color="000000"/>
              <w:bottom w:val="single" w:sz="4" w:space="0" w:color="000000"/>
              <w:right w:val="single" w:sz="4" w:space="0" w:color="000000"/>
            </w:tcBorders>
          </w:tcPr>
          <w:p w14:paraId="507540B4" w14:textId="77777777" w:rsidR="00354A27" w:rsidRPr="00354A27" w:rsidRDefault="00354A27" w:rsidP="00443352">
            <w:pPr>
              <w:pStyle w:val="CLDNormal"/>
              <w:spacing w:after="0"/>
              <w:jc w:val="left"/>
              <w:rPr>
                <w:sz w:val="20"/>
                <w:lang w:val="en-AU"/>
              </w:rPr>
            </w:pPr>
            <w:bookmarkStart w:id="8" w:name="Radiographic_Response"/>
            <w:bookmarkEnd w:id="8"/>
            <w:r w:rsidRPr="00354A27">
              <w:rPr>
                <w:b/>
                <w:bCs/>
                <w:sz w:val="20"/>
                <w:lang w:val="en-AU"/>
              </w:rPr>
              <w:t>Inadequate Response to TNF Antagonists</w:t>
            </w:r>
          </w:p>
        </w:tc>
      </w:tr>
      <w:tr w:rsidR="00354A27" w:rsidRPr="00354A27" w14:paraId="1ECC9698" w14:textId="77777777" w:rsidTr="00637E52">
        <w:trPr>
          <w:trHeight w:hRule="exact" w:val="1114"/>
        </w:trPr>
        <w:tc>
          <w:tcPr>
            <w:tcW w:w="1803" w:type="dxa"/>
            <w:tcBorders>
              <w:top w:val="single" w:sz="4" w:space="0" w:color="000000"/>
              <w:left w:val="single" w:sz="4" w:space="0" w:color="000000"/>
              <w:bottom w:val="single" w:sz="4" w:space="0" w:color="000000"/>
              <w:right w:val="single" w:sz="4" w:space="0" w:color="000000"/>
            </w:tcBorders>
          </w:tcPr>
          <w:p w14:paraId="5EC9C91F" w14:textId="77777777" w:rsidR="00354A27" w:rsidRPr="00354A27" w:rsidRDefault="00354A27" w:rsidP="00443352">
            <w:pPr>
              <w:pStyle w:val="CLDNormal"/>
              <w:spacing w:after="0"/>
              <w:jc w:val="left"/>
              <w:rPr>
                <w:sz w:val="20"/>
                <w:lang w:val="en-AU"/>
              </w:rPr>
            </w:pPr>
          </w:p>
          <w:p w14:paraId="7E358B4A" w14:textId="77777777" w:rsidR="00354A27" w:rsidRPr="00354A27" w:rsidRDefault="00354A27" w:rsidP="00443352">
            <w:pPr>
              <w:pStyle w:val="CLDNormal"/>
              <w:spacing w:after="0"/>
              <w:jc w:val="left"/>
              <w:rPr>
                <w:sz w:val="20"/>
                <w:lang w:val="en-AU"/>
              </w:rPr>
            </w:pPr>
            <w:r w:rsidRPr="00354A27">
              <w:rPr>
                <w:b/>
                <w:bCs/>
                <w:sz w:val="20"/>
                <w:lang w:val="en-AU"/>
              </w:rPr>
              <w:t>Parameter</w:t>
            </w:r>
          </w:p>
        </w:tc>
        <w:tc>
          <w:tcPr>
            <w:tcW w:w="1804" w:type="dxa"/>
            <w:tcBorders>
              <w:top w:val="single" w:sz="4" w:space="0" w:color="000000"/>
              <w:left w:val="single" w:sz="4" w:space="0" w:color="000000"/>
              <w:bottom w:val="single" w:sz="4" w:space="0" w:color="000000"/>
              <w:right w:val="single" w:sz="4" w:space="0" w:color="000000"/>
            </w:tcBorders>
          </w:tcPr>
          <w:p w14:paraId="672D9EB3" w14:textId="00C9C116" w:rsidR="00354A27" w:rsidRPr="00354A27" w:rsidRDefault="00DE597A" w:rsidP="00443352">
            <w:pPr>
              <w:pStyle w:val="CLDNormal"/>
              <w:spacing w:after="0"/>
              <w:jc w:val="left"/>
              <w:rPr>
                <w:sz w:val="20"/>
                <w:lang w:val="en-AU"/>
              </w:rPr>
            </w:pPr>
            <w:r>
              <w:rPr>
                <w:b/>
                <w:bCs/>
                <w:sz w:val="20"/>
                <w:lang w:val="en-AU"/>
              </w:rPr>
              <w:t>Rituximab</w:t>
            </w:r>
            <w:r w:rsidR="00354A27" w:rsidRPr="00354A27">
              <w:rPr>
                <w:b/>
                <w:bCs/>
                <w:sz w:val="20"/>
                <w:lang w:val="en-AU"/>
              </w:rPr>
              <w:t>+</w:t>
            </w:r>
          </w:p>
          <w:p w14:paraId="5C2E2CF1" w14:textId="77777777" w:rsidR="00354A27" w:rsidRPr="00354A27" w:rsidRDefault="00354A27" w:rsidP="00443352">
            <w:pPr>
              <w:pStyle w:val="CLDNormal"/>
              <w:spacing w:after="0"/>
              <w:jc w:val="left"/>
              <w:rPr>
                <w:sz w:val="20"/>
                <w:lang w:val="en-AU"/>
              </w:rPr>
            </w:pPr>
            <w:proofErr w:type="spellStart"/>
            <w:r w:rsidRPr="00354A27">
              <w:rPr>
                <w:b/>
                <w:bCs/>
                <w:sz w:val="20"/>
                <w:lang w:val="en-AU"/>
              </w:rPr>
              <w:t>MTXb</w:t>
            </w:r>
            <w:proofErr w:type="spellEnd"/>
          </w:p>
          <w:p w14:paraId="727EF350" w14:textId="77777777" w:rsidR="00354A27" w:rsidRPr="00354A27" w:rsidRDefault="00354A27" w:rsidP="00443352">
            <w:pPr>
              <w:pStyle w:val="CLDNormal"/>
              <w:spacing w:after="0"/>
              <w:jc w:val="left"/>
              <w:rPr>
                <w:sz w:val="20"/>
                <w:lang w:val="en-AU"/>
              </w:rPr>
            </w:pPr>
            <w:r w:rsidRPr="00354A27">
              <w:rPr>
                <w:sz w:val="20"/>
                <w:lang w:val="en-AU"/>
              </w:rPr>
              <w:t>(2 x 1000</w:t>
            </w:r>
            <w:r>
              <w:rPr>
                <w:sz w:val="20"/>
                <w:lang w:val="en-AU"/>
              </w:rPr>
              <w:t xml:space="preserve"> </w:t>
            </w:r>
            <w:r w:rsidRPr="00354A27">
              <w:rPr>
                <w:sz w:val="20"/>
                <w:lang w:val="en-AU"/>
              </w:rPr>
              <w:t>mg)</w:t>
            </w:r>
          </w:p>
        </w:tc>
        <w:tc>
          <w:tcPr>
            <w:tcW w:w="1804" w:type="dxa"/>
            <w:tcBorders>
              <w:top w:val="single" w:sz="4" w:space="0" w:color="000000"/>
              <w:left w:val="single" w:sz="4" w:space="0" w:color="000000"/>
              <w:bottom w:val="single" w:sz="4" w:space="0" w:color="000000"/>
              <w:right w:val="single" w:sz="4" w:space="0" w:color="000000"/>
            </w:tcBorders>
          </w:tcPr>
          <w:p w14:paraId="0B493522" w14:textId="77777777" w:rsidR="00354A27" w:rsidRPr="00354A27" w:rsidRDefault="00354A27" w:rsidP="00443352">
            <w:pPr>
              <w:pStyle w:val="CLDNormal"/>
              <w:spacing w:after="0"/>
              <w:jc w:val="left"/>
              <w:rPr>
                <w:sz w:val="20"/>
                <w:lang w:val="en-AU"/>
              </w:rPr>
            </w:pPr>
          </w:p>
          <w:p w14:paraId="12881094" w14:textId="77777777" w:rsidR="00354A27" w:rsidRPr="00354A27" w:rsidRDefault="00354A27" w:rsidP="00443352">
            <w:pPr>
              <w:pStyle w:val="CLDNormal"/>
              <w:spacing w:after="0"/>
              <w:jc w:val="left"/>
              <w:rPr>
                <w:sz w:val="20"/>
                <w:lang w:val="en-AU"/>
              </w:rPr>
            </w:pPr>
            <w:r w:rsidRPr="00354A27">
              <w:rPr>
                <w:b/>
                <w:bCs/>
                <w:sz w:val="20"/>
                <w:lang w:val="en-AU"/>
              </w:rPr>
              <w:t>Placebo</w:t>
            </w:r>
          </w:p>
          <w:p w14:paraId="08F0AC3A" w14:textId="77777777" w:rsidR="00354A27" w:rsidRPr="00354A27" w:rsidRDefault="00354A27" w:rsidP="00443352">
            <w:pPr>
              <w:pStyle w:val="CLDNormal"/>
              <w:spacing w:after="0"/>
              <w:jc w:val="left"/>
              <w:rPr>
                <w:sz w:val="20"/>
                <w:lang w:val="en-AU"/>
              </w:rPr>
            </w:pPr>
            <w:r w:rsidRPr="00354A27">
              <w:rPr>
                <w:b/>
                <w:bCs/>
                <w:sz w:val="20"/>
                <w:lang w:val="en-AU"/>
              </w:rPr>
              <w:t xml:space="preserve">+ </w:t>
            </w:r>
            <w:proofErr w:type="spellStart"/>
            <w:r w:rsidRPr="00354A27">
              <w:rPr>
                <w:b/>
                <w:bCs/>
                <w:sz w:val="20"/>
                <w:lang w:val="en-AU"/>
              </w:rPr>
              <w:t>MTXc</w:t>
            </w:r>
            <w:proofErr w:type="spellEnd"/>
          </w:p>
        </w:tc>
        <w:tc>
          <w:tcPr>
            <w:tcW w:w="1804" w:type="dxa"/>
            <w:tcBorders>
              <w:top w:val="single" w:sz="4" w:space="0" w:color="000000"/>
              <w:left w:val="single" w:sz="4" w:space="0" w:color="000000"/>
              <w:bottom w:val="single" w:sz="4" w:space="0" w:color="000000"/>
              <w:right w:val="single" w:sz="4" w:space="0" w:color="000000"/>
            </w:tcBorders>
          </w:tcPr>
          <w:p w14:paraId="140BD1DD" w14:textId="570124B5" w:rsidR="00354A27" w:rsidRPr="00354A27" w:rsidRDefault="00354A27" w:rsidP="00443352">
            <w:pPr>
              <w:pStyle w:val="CLDNormal"/>
              <w:spacing w:after="0"/>
              <w:jc w:val="left"/>
              <w:rPr>
                <w:sz w:val="20"/>
                <w:lang w:val="en-AU"/>
              </w:rPr>
            </w:pPr>
            <w:r w:rsidRPr="00354A27">
              <w:rPr>
                <w:b/>
                <w:bCs/>
                <w:sz w:val="20"/>
                <w:lang w:val="en-AU"/>
              </w:rPr>
              <w:t xml:space="preserve">Treatment Difference (Placebo – </w:t>
            </w:r>
            <w:r w:rsidR="00DE597A" w:rsidRPr="00DE597A">
              <w:rPr>
                <w:b/>
                <w:bCs/>
                <w:sz w:val="20"/>
                <w:lang w:val="en-US"/>
              </w:rPr>
              <w:t>rituximab</w:t>
            </w:r>
            <w:r w:rsidRPr="00354A27">
              <w:rPr>
                <w:b/>
                <w:bCs/>
                <w:sz w:val="20"/>
                <w:lang w:val="en-AU"/>
              </w:rPr>
              <w:t>)</w:t>
            </w:r>
          </w:p>
        </w:tc>
        <w:tc>
          <w:tcPr>
            <w:tcW w:w="1804" w:type="dxa"/>
            <w:tcBorders>
              <w:top w:val="single" w:sz="4" w:space="0" w:color="000000"/>
              <w:left w:val="single" w:sz="4" w:space="0" w:color="000000"/>
              <w:bottom w:val="single" w:sz="4" w:space="0" w:color="000000"/>
              <w:right w:val="single" w:sz="4" w:space="0" w:color="000000"/>
            </w:tcBorders>
          </w:tcPr>
          <w:p w14:paraId="247EC5E2" w14:textId="77777777" w:rsidR="00354A27" w:rsidRPr="00354A27" w:rsidRDefault="00354A27" w:rsidP="00443352">
            <w:pPr>
              <w:pStyle w:val="CLDNormal"/>
              <w:spacing w:after="0"/>
              <w:jc w:val="left"/>
              <w:rPr>
                <w:sz w:val="20"/>
                <w:lang w:val="en-AU"/>
              </w:rPr>
            </w:pPr>
          </w:p>
          <w:p w14:paraId="2E7A243A" w14:textId="77777777" w:rsidR="00354A27" w:rsidRPr="00354A27" w:rsidRDefault="00354A27" w:rsidP="00443352">
            <w:pPr>
              <w:pStyle w:val="CLDNormal"/>
              <w:spacing w:after="0"/>
              <w:jc w:val="left"/>
              <w:rPr>
                <w:sz w:val="20"/>
                <w:lang w:val="en-AU"/>
              </w:rPr>
            </w:pPr>
            <w:r w:rsidRPr="00354A27">
              <w:rPr>
                <w:b/>
                <w:bCs/>
                <w:sz w:val="20"/>
                <w:lang w:val="en-AU"/>
              </w:rPr>
              <w:t>95% CI</w:t>
            </w:r>
          </w:p>
        </w:tc>
      </w:tr>
      <w:tr w:rsidR="00354A27" w:rsidRPr="00354A27" w14:paraId="4680BF0A" w14:textId="77777777" w:rsidTr="00637E52">
        <w:trPr>
          <w:trHeight w:hRule="exact" w:val="1589"/>
        </w:trPr>
        <w:tc>
          <w:tcPr>
            <w:tcW w:w="1803" w:type="dxa"/>
            <w:tcBorders>
              <w:top w:val="single" w:sz="4" w:space="0" w:color="000000"/>
              <w:left w:val="single" w:sz="4" w:space="0" w:color="000000"/>
              <w:bottom w:val="single" w:sz="4" w:space="0" w:color="000000"/>
              <w:right w:val="single" w:sz="4" w:space="0" w:color="000000"/>
            </w:tcBorders>
          </w:tcPr>
          <w:p w14:paraId="29BA10AC" w14:textId="77777777" w:rsidR="00354A27" w:rsidRPr="00354A27" w:rsidRDefault="00354A27" w:rsidP="00443352">
            <w:pPr>
              <w:pStyle w:val="CLDNormal"/>
              <w:spacing w:after="0"/>
              <w:jc w:val="left"/>
              <w:rPr>
                <w:sz w:val="20"/>
                <w:lang w:val="en-AU"/>
              </w:rPr>
            </w:pPr>
            <w:r w:rsidRPr="00354A27">
              <w:rPr>
                <w:i/>
                <w:iCs/>
                <w:sz w:val="20"/>
                <w:lang w:val="en-AU"/>
              </w:rPr>
              <w:t>Change during first year</w:t>
            </w:r>
          </w:p>
          <w:p w14:paraId="621E6CF3" w14:textId="77777777" w:rsidR="00354A27" w:rsidRPr="00354A27" w:rsidRDefault="00354A27" w:rsidP="00443352">
            <w:pPr>
              <w:pStyle w:val="CLDNormal"/>
              <w:spacing w:after="0"/>
              <w:jc w:val="left"/>
              <w:rPr>
                <w:sz w:val="20"/>
                <w:lang w:val="en-AU"/>
              </w:rPr>
            </w:pPr>
          </w:p>
          <w:p w14:paraId="444697A5" w14:textId="77777777" w:rsidR="00354A27" w:rsidRDefault="00354A27" w:rsidP="00443352">
            <w:pPr>
              <w:pStyle w:val="CLDNormal"/>
              <w:spacing w:after="0"/>
              <w:jc w:val="left"/>
              <w:rPr>
                <w:sz w:val="20"/>
                <w:lang w:val="en-AU"/>
              </w:rPr>
            </w:pPr>
            <w:r w:rsidRPr="00354A27">
              <w:rPr>
                <w:sz w:val="20"/>
                <w:lang w:val="en-AU"/>
              </w:rPr>
              <w:t xml:space="preserve">TSS </w:t>
            </w:r>
          </w:p>
          <w:p w14:paraId="633467F6" w14:textId="77777777" w:rsidR="00354A27" w:rsidRPr="00354A27" w:rsidRDefault="00354A27" w:rsidP="00443352">
            <w:pPr>
              <w:pStyle w:val="CLDNormal"/>
              <w:spacing w:after="0"/>
              <w:jc w:val="left"/>
              <w:rPr>
                <w:sz w:val="20"/>
                <w:lang w:val="en-AU"/>
              </w:rPr>
            </w:pPr>
            <w:r w:rsidRPr="00354A27">
              <w:rPr>
                <w:sz w:val="20"/>
                <w:lang w:val="en-AU"/>
              </w:rPr>
              <w:t>ES</w:t>
            </w:r>
          </w:p>
          <w:p w14:paraId="6C852C18" w14:textId="77777777" w:rsidR="00354A27" w:rsidRPr="00354A27" w:rsidRDefault="00354A27" w:rsidP="00443352">
            <w:pPr>
              <w:pStyle w:val="CLDNormal"/>
              <w:spacing w:after="0"/>
              <w:jc w:val="left"/>
              <w:rPr>
                <w:sz w:val="20"/>
                <w:lang w:val="en-AU"/>
              </w:rPr>
            </w:pPr>
            <w:r w:rsidRPr="00354A27">
              <w:rPr>
                <w:sz w:val="20"/>
                <w:lang w:val="en-AU"/>
              </w:rPr>
              <w:t>JSN score</w:t>
            </w:r>
          </w:p>
        </w:tc>
        <w:tc>
          <w:tcPr>
            <w:tcW w:w="1804" w:type="dxa"/>
            <w:tcBorders>
              <w:top w:val="single" w:sz="4" w:space="0" w:color="000000"/>
              <w:left w:val="single" w:sz="4" w:space="0" w:color="000000"/>
              <w:bottom w:val="single" w:sz="4" w:space="0" w:color="000000"/>
              <w:right w:val="single" w:sz="4" w:space="0" w:color="000000"/>
            </w:tcBorders>
          </w:tcPr>
          <w:p w14:paraId="4BF98BDB" w14:textId="77777777" w:rsidR="00354A27" w:rsidRDefault="00354A27" w:rsidP="00443352">
            <w:pPr>
              <w:pStyle w:val="CLDNormal"/>
              <w:spacing w:after="0"/>
              <w:jc w:val="left"/>
              <w:rPr>
                <w:sz w:val="20"/>
                <w:lang w:val="en-AU"/>
              </w:rPr>
            </w:pPr>
          </w:p>
          <w:p w14:paraId="3F772334" w14:textId="77777777" w:rsidR="00354A27" w:rsidRDefault="00354A27" w:rsidP="00443352">
            <w:pPr>
              <w:pStyle w:val="CLDNormal"/>
              <w:spacing w:after="0"/>
              <w:jc w:val="left"/>
              <w:rPr>
                <w:sz w:val="20"/>
                <w:lang w:val="en-AU"/>
              </w:rPr>
            </w:pPr>
          </w:p>
          <w:p w14:paraId="588E6924" w14:textId="77777777" w:rsidR="00637E52" w:rsidRPr="00354A27" w:rsidRDefault="00637E52" w:rsidP="00443352">
            <w:pPr>
              <w:pStyle w:val="CLDNormal"/>
              <w:spacing w:after="0"/>
              <w:jc w:val="left"/>
              <w:rPr>
                <w:sz w:val="20"/>
                <w:lang w:val="en-AU"/>
              </w:rPr>
            </w:pPr>
          </w:p>
          <w:p w14:paraId="6A646F74" w14:textId="77777777" w:rsidR="00354A27" w:rsidRPr="00354A27" w:rsidRDefault="00354A27" w:rsidP="00443352">
            <w:pPr>
              <w:pStyle w:val="CLDNormal"/>
              <w:spacing w:after="0"/>
              <w:jc w:val="left"/>
              <w:rPr>
                <w:sz w:val="20"/>
                <w:lang w:val="en-AU"/>
              </w:rPr>
            </w:pPr>
            <w:r w:rsidRPr="00354A27">
              <w:rPr>
                <w:sz w:val="20"/>
                <w:lang w:val="en-AU"/>
              </w:rPr>
              <w:t>0.66</w:t>
            </w:r>
          </w:p>
          <w:p w14:paraId="2A14AC21" w14:textId="77777777" w:rsidR="00354A27" w:rsidRPr="00354A27" w:rsidRDefault="00354A27" w:rsidP="00443352">
            <w:pPr>
              <w:pStyle w:val="CLDNormal"/>
              <w:spacing w:after="0"/>
              <w:jc w:val="left"/>
              <w:rPr>
                <w:sz w:val="20"/>
                <w:lang w:val="en-AU"/>
              </w:rPr>
            </w:pPr>
            <w:r w:rsidRPr="00354A27">
              <w:rPr>
                <w:sz w:val="20"/>
                <w:lang w:val="en-AU"/>
              </w:rPr>
              <w:t>0.44</w:t>
            </w:r>
          </w:p>
          <w:p w14:paraId="761C328B" w14:textId="77777777" w:rsidR="00354A27" w:rsidRPr="00354A27" w:rsidRDefault="00354A27" w:rsidP="00443352">
            <w:pPr>
              <w:pStyle w:val="CLDNormal"/>
              <w:spacing w:after="0"/>
              <w:jc w:val="left"/>
              <w:rPr>
                <w:sz w:val="20"/>
                <w:lang w:val="en-AU"/>
              </w:rPr>
            </w:pPr>
            <w:r w:rsidRPr="00354A27">
              <w:rPr>
                <w:sz w:val="20"/>
                <w:lang w:val="en-AU"/>
              </w:rPr>
              <w:t>0.22</w:t>
            </w:r>
          </w:p>
        </w:tc>
        <w:tc>
          <w:tcPr>
            <w:tcW w:w="1804" w:type="dxa"/>
            <w:tcBorders>
              <w:top w:val="single" w:sz="4" w:space="0" w:color="000000"/>
              <w:left w:val="single" w:sz="4" w:space="0" w:color="000000"/>
              <w:bottom w:val="single" w:sz="4" w:space="0" w:color="000000"/>
              <w:right w:val="single" w:sz="4" w:space="0" w:color="000000"/>
            </w:tcBorders>
          </w:tcPr>
          <w:p w14:paraId="32CC066B" w14:textId="77777777" w:rsidR="00354A27" w:rsidRDefault="00354A27" w:rsidP="00443352">
            <w:pPr>
              <w:pStyle w:val="CLDNormal"/>
              <w:spacing w:after="0"/>
              <w:jc w:val="left"/>
              <w:rPr>
                <w:sz w:val="20"/>
                <w:lang w:val="en-AU"/>
              </w:rPr>
            </w:pPr>
          </w:p>
          <w:p w14:paraId="581EFD87" w14:textId="77777777" w:rsidR="00354A27" w:rsidRDefault="00354A27" w:rsidP="00443352">
            <w:pPr>
              <w:pStyle w:val="CLDNormal"/>
              <w:spacing w:after="0"/>
              <w:jc w:val="left"/>
              <w:rPr>
                <w:sz w:val="20"/>
                <w:lang w:val="en-AU"/>
              </w:rPr>
            </w:pPr>
          </w:p>
          <w:p w14:paraId="37F108E6" w14:textId="77777777" w:rsidR="00637E52" w:rsidRPr="00354A27" w:rsidRDefault="00637E52" w:rsidP="00443352">
            <w:pPr>
              <w:pStyle w:val="CLDNormal"/>
              <w:spacing w:after="0"/>
              <w:jc w:val="left"/>
              <w:rPr>
                <w:sz w:val="20"/>
                <w:lang w:val="en-AU"/>
              </w:rPr>
            </w:pPr>
          </w:p>
          <w:p w14:paraId="34EF25C3" w14:textId="77777777" w:rsidR="00354A27" w:rsidRPr="00354A27" w:rsidRDefault="00354A27" w:rsidP="00443352">
            <w:pPr>
              <w:pStyle w:val="CLDNormal"/>
              <w:spacing w:after="0"/>
              <w:jc w:val="left"/>
              <w:rPr>
                <w:sz w:val="20"/>
                <w:lang w:val="en-AU"/>
              </w:rPr>
            </w:pPr>
            <w:r w:rsidRPr="00354A27">
              <w:rPr>
                <w:sz w:val="20"/>
                <w:lang w:val="en-AU"/>
              </w:rPr>
              <w:t>1.78</w:t>
            </w:r>
          </w:p>
          <w:p w14:paraId="55888B3F" w14:textId="77777777" w:rsidR="00354A27" w:rsidRPr="00354A27" w:rsidRDefault="00354A27" w:rsidP="00443352">
            <w:pPr>
              <w:pStyle w:val="CLDNormal"/>
              <w:spacing w:after="0"/>
              <w:jc w:val="left"/>
              <w:rPr>
                <w:sz w:val="20"/>
                <w:lang w:val="en-AU"/>
              </w:rPr>
            </w:pPr>
            <w:r w:rsidRPr="00354A27">
              <w:rPr>
                <w:sz w:val="20"/>
                <w:lang w:val="en-AU"/>
              </w:rPr>
              <w:t>1.19</w:t>
            </w:r>
          </w:p>
          <w:p w14:paraId="7252CED1" w14:textId="77777777" w:rsidR="00354A27" w:rsidRPr="00354A27" w:rsidRDefault="00354A27" w:rsidP="00443352">
            <w:pPr>
              <w:pStyle w:val="CLDNormal"/>
              <w:spacing w:after="0"/>
              <w:jc w:val="left"/>
              <w:rPr>
                <w:sz w:val="20"/>
                <w:lang w:val="en-AU"/>
              </w:rPr>
            </w:pPr>
            <w:r w:rsidRPr="00354A27">
              <w:rPr>
                <w:sz w:val="20"/>
                <w:lang w:val="en-AU"/>
              </w:rPr>
              <w:t>0.59</w:t>
            </w:r>
          </w:p>
        </w:tc>
        <w:tc>
          <w:tcPr>
            <w:tcW w:w="1804" w:type="dxa"/>
            <w:tcBorders>
              <w:top w:val="single" w:sz="4" w:space="0" w:color="000000"/>
              <w:left w:val="single" w:sz="4" w:space="0" w:color="000000"/>
              <w:bottom w:val="single" w:sz="4" w:space="0" w:color="000000"/>
              <w:right w:val="single" w:sz="4" w:space="0" w:color="000000"/>
            </w:tcBorders>
          </w:tcPr>
          <w:p w14:paraId="6DD52D72" w14:textId="77777777" w:rsidR="00354A27" w:rsidRDefault="00354A27" w:rsidP="00443352">
            <w:pPr>
              <w:pStyle w:val="CLDNormal"/>
              <w:spacing w:after="0"/>
              <w:jc w:val="left"/>
              <w:rPr>
                <w:sz w:val="20"/>
                <w:lang w:val="en-AU"/>
              </w:rPr>
            </w:pPr>
          </w:p>
          <w:p w14:paraId="263D62A1" w14:textId="77777777" w:rsidR="00637E52" w:rsidRDefault="00637E52" w:rsidP="00443352">
            <w:pPr>
              <w:pStyle w:val="CLDNormal"/>
              <w:spacing w:after="0"/>
              <w:jc w:val="left"/>
              <w:rPr>
                <w:sz w:val="20"/>
                <w:lang w:val="en-AU"/>
              </w:rPr>
            </w:pPr>
          </w:p>
          <w:p w14:paraId="1BFD89D7" w14:textId="77777777" w:rsidR="00354A27" w:rsidRPr="00354A27" w:rsidRDefault="00354A27" w:rsidP="00443352">
            <w:pPr>
              <w:pStyle w:val="CLDNormal"/>
              <w:spacing w:after="0"/>
              <w:jc w:val="left"/>
              <w:rPr>
                <w:sz w:val="20"/>
                <w:lang w:val="en-AU"/>
              </w:rPr>
            </w:pPr>
          </w:p>
          <w:p w14:paraId="689DBE4A" w14:textId="77777777" w:rsidR="00354A27" w:rsidRPr="00354A27" w:rsidRDefault="00354A27" w:rsidP="00443352">
            <w:pPr>
              <w:pStyle w:val="CLDNormal"/>
              <w:spacing w:after="0"/>
              <w:jc w:val="left"/>
              <w:rPr>
                <w:sz w:val="20"/>
                <w:lang w:val="en-AU"/>
              </w:rPr>
            </w:pPr>
            <w:r w:rsidRPr="00354A27">
              <w:rPr>
                <w:sz w:val="20"/>
                <w:lang w:val="en-AU"/>
              </w:rPr>
              <w:t>1.12</w:t>
            </w:r>
          </w:p>
          <w:p w14:paraId="069A1E23" w14:textId="77777777" w:rsidR="00354A27" w:rsidRPr="00354A27" w:rsidRDefault="00354A27" w:rsidP="00443352">
            <w:pPr>
              <w:pStyle w:val="CLDNormal"/>
              <w:spacing w:after="0"/>
              <w:jc w:val="left"/>
              <w:rPr>
                <w:sz w:val="20"/>
                <w:lang w:val="en-AU"/>
              </w:rPr>
            </w:pPr>
            <w:r w:rsidRPr="00354A27">
              <w:rPr>
                <w:sz w:val="20"/>
                <w:lang w:val="en-AU"/>
              </w:rPr>
              <w:t>0.75</w:t>
            </w:r>
          </w:p>
          <w:p w14:paraId="6182E4DA" w14:textId="77777777" w:rsidR="00354A27" w:rsidRPr="00354A27" w:rsidRDefault="00354A27" w:rsidP="00443352">
            <w:pPr>
              <w:pStyle w:val="CLDNormal"/>
              <w:spacing w:after="0"/>
              <w:jc w:val="left"/>
              <w:rPr>
                <w:sz w:val="20"/>
                <w:lang w:val="en-AU"/>
              </w:rPr>
            </w:pPr>
            <w:r w:rsidRPr="00354A27">
              <w:rPr>
                <w:sz w:val="20"/>
                <w:lang w:val="en-AU"/>
              </w:rPr>
              <w:t>0.37</w:t>
            </w:r>
          </w:p>
        </w:tc>
        <w:tc>
          <w:tcPr>
            <w:tcW w:w="1804" w:type="dxa"/>
            <w:tcBorders>
              <w:top w:val="single" w:sz="4" w:space="0" w:color="000000"/>
              <w:left w:val="single" w:sz="4" w:space="0" w:color="000000"/>
              <w:bottom w:val="single" w:sz="4" w:space="0" w:color="000000"/>
              <w:right w:val="single" w:sz="4" w:space="0" w:color="000000"/>
            </w:tcBorders>
          </w:tcPr>
          <w:p w14:paraId="75926B9D" w14:textId="77777777" w:rsidR="00354A27" w:rsidRDefault="00354A27" w:rsidP="00443352">
            <w:pPr>
              <w:pStyle w:val="CLDNormal"/>
              <w:spacing w:after="0"/>
              <w:jc w:val="left"/>
              <w:rPr>
                <w:sz w:val="20"/>
                <w:lang w:val="en-AU"/>
              </w:rPr>
            </w:pPr>
          </w:p>
          <w:p w14:paraId="0D375FDF" w14:textId="77777777" w:rsidR="00354A27" w:rsidRDefault="00354A27" w:rsidP="00443352">
            <w:pPr>
              <w:pStyle w:val="CLDNormal"/>
              <w:spacing w:after="0"/>
              <w:jc w:val="left"/>
              <w:rPr>
                <w:sz w:val="20"/>
                <w:lang w:val="en-AU"/>
              </w:rPr>
            </w:pPr>
          </w:p>
          <w:p w14:paraId="2065AEFA" w14:textId="77777777" w:rsidR="00637E52" w:rsidRPr="00354A27" w:rsidRDefault="00637E52" w:rsidP="00443352">
            <w:pPr>
              <w:pStyle w:val="CLDNormal"/>
              <w:spacing w:after="0"/>
              <w:jc w:val="left"/>
              <w:rPr>
                <w:sz w:val="20"/>
                <w:lang w:val="en-AU"/>
              </w:rPr>
            </w:pPr>
          </w:p>
          <w:p w14:paraId="77F672CD" w14:textId="77777777" w:rsidR="00354A27" w:rsidRPr="00354A27" w:rsidRDefault="00354A27" w:rsidP="00443352">
            <w:pPr>
              <w:pStyle w:val="CLDNormal"/>
              <w:spacing w:after="0"/>
              <w:jc w:val="left"/>
              <w:rPr>
                <w:sz w:val="20"/>
                <w:lang w:val="en-AU"/>
              </w:rPr>
            </w:pPr>
            <w:r w:rsidRPr="00354A27">
              <w:rPr>
                <w:sz w:val="20"/>
                <w:lang w:val="en-AU"/>
              </w:rPr>
              <w:t>(0.48, 1.76)</w:t>
            </w:r>
          </w:p>
          <w:p w14:paraId="449F1556" w14:textId="77777777" w:rsidR="00354A27" w:rsidRPr="00354A27" w:rsidRDefault="00354A27" w:rsidP="00443352">
            <w:pPr>
              <w:pStyle w:val="CLDNormal"/>
              <w:spacing w:after="0"/>
              <w:jc w:val="left"/>
              <w:rPr>
                <w:sz w:val="20"/>
                <w:lang w:val="en-AU"/>
              </w:rPr>
            </w:pPr>
            <w:r w:rsidRPr="00354A27">
              <w:rPr>
                <w:sz w:val="20"/>
                <w:lang w:val="en-AU"/>
              </w:rPr>
              <w:t>(0.32, 1.18)</w:t>
            </w:r>
          </w:p>
          <w:p w14:paraId="26026F9E" w14:textId="77777777" w:rsidR="00354A27" w:rsidRPr="00354A27" w:rsidRDefault="00354A27" w:rsidP="00443352">
            <w:pPr>
              <w:pStyle w:val="CLDNormal"/>
              <w:spacing w:after="0"/>
              <w:jc w:val="left"/>
              <w:rPr>
                <w:sz w:val="20"/>
                <w:lang w:val="en-AU"/>
              </w:rPr>
            </w:pPr>
            <w:r w:rsidRPr="00354A27">
              <w:rPr>
                <w:sz w:val="20"/>
                <w:lang w:val="en-AU"/>
              </w:rPr>
              <w:t>(0.11, 0.63)</w:t>
            </w:r>
          </w:p>
        </w:tc>
      </w:tr>
      <w:tr w:rsidR="00354A27" w:rsidRPr="00354A27" w14:paraId="2E57BD75" w14:textId="77777777" w:rsidTr="00637E52">
        <w:trPr>
          <w:trHeight w:hRule="exact" w:val="1555"/>
        </w:trPr>
        <w:tc>
          <w:tcPr>
            <w:tcW w:w="1803" w:type="dxa"/>
            <w:tcBorders>
              <w:top w:val="single" w:sz="4" w:space="0" w:color="000000"/>
              <w:left w:val="single" w:sz="4" w:space="0" w:color="000000"/>
              <w:bottom w:val="single" w:sz="4" w:space="0" w:color="000000"/>
              <w:right w:val="single" w:sz="4" w:space="0" w:color="000000"/>
            </w:tcBorders>
          </w:tcPr>
          <w:p w14:paraId="542DB6C7" w14:textId="77777777" w:rsidR="00354A27" w:rsidRPr="00354A27" w:rsidRDefault="00354A27" w:rsidP="00443352">
            <w:pPr>
              <w:pStyle w:val="CLDNormal"/>
              <w:spacing w:after="0"/>
              <w:jc w:val="left"/>
              <w:rPr>
                <w:sz w:val="20"/>
                <w:lang w:val="en-AU"/>
              </w:rPr>
            </w:pPr>
            <w:r w:rsidRPr="00354A27">
              <w:rPr>
                <w:i/>
                <w:iCs/>
                <w:sz w:val="20"/>
                <w:lang w:val="en-AU"/>
              </w:rPr>
              <w:t xml:space="preserve">Change during second </w:t>
            </w:r>
            <w:proofErr w:type="spellStart"/>
            <w:r w:rsidRPr="00354A27">
              <w:rPr>
                <w:i/>
                <w:iCs/>
                <w:sz w:val="20"/>
                <w:lang w:val="en-AU"/>
              </w:rPr>
              <w:t>year</w:t>
            </w:r>
            <w:r w:rsidRPr="00354A27">
              <w:rPr>
                <w:i/>
                <w:iCs/>
                <w:sz w:val="20"/>
                <w:vertAlign w:val="superscript"/>
                <w:lang w:val="en-AU"/>
              </w:rPr>
              <w:t>a</w:t>
            </w:r>
            <w:proofErr w:type="spellEnd"/>
          </w:p>
          <w:p w14:paraId="78C9C974" w14:textId="77777777" w:rsidR="00354A27" w:rsidRPr="00354A27" w:rsidRDefault="00354A27" w:rsidP="00443352">
            <w:pPr>
              <w:pStyle w:val="CLDNormal"/>
              <w:spacing w:after="0"/>
              <w:jc w:val="left"/>
              <w:rPr>
                <w:sz w:val="20"/>
                <w:lang w:val="en-AU"/>
              </w:rPr>
            </w:pPr>
          </w:p>
          <w:p w14:paraId="70426D2F" w14:textId="77777777" w:rsidR="00354A27" w:rsidRDefault="00354A27" w:rsidP="00443352">
            <w:pPr>
              <w:pStyle w:val="CLDNormal"/>
              <w:spacing w:after="0"/>
              <w:jc w:val="left"/>
              <w:rPr>
                <w:sz w:val="20"/>
                <w:lang w:val="en-AU"/>
              </w:rPr>
            </w:pPr>
            <w:r w:rsidRPr="00354A27">
              <w:rPr>
                <w:sz w:val="20"/>
                <w:lang w:val="en-AU"/>
              </w:rPr>
              <w:t xml:space="preserve">TSS </w:t>
            </w:r>
          </w:p>
          <w:p w14:paraId="3F63A2A1" w14:textId="77777777" w:rsidR="00354A27" w:rsidRPr="00354A27" w:rsidRDefault="00354A27" w:rsidP="00443352">
            <w:pPr>
              <w:pStyle w:val="CLDNormal"/>
              <w:spacing w:after="0"/>
              <w:jc w:val="left"/>
              <w:rPr>
                <w:sz w:val="20"/>
                <w:lang w:val="en-AU"/>
              </w:rPr>
            </w:pPr>
            <w:r w:rsidRPr="00354A27">
              <w:rPr>
                <w:sz w:val="20"/>
                <w:lang w:val="en-AU"/>
              </w:rPr>
              <w:t>ES</w:t>
            </w:r>
          </w:p>
          <w:p w14:paraId="6C62CC62" w14:textId="77777777" w:rsidR="00354A27" w:rsidRPr="00354A27" w:rsidRDefault="00354A27" w:rsidP="00443352">
            <w:pPr>
              <w:pStyle w:val="CLDNormal"/>
              <w:spacing w:after="0"/>
              <w:jc w:val="left"/>
              <w:rPr>
                <w:sz w:val="20"/>
                <w:lang w:val="en-AU"/>
              </w:rPr>
            </w:pPr>
            <w:r w:rsidRPr="00354A27">
              <w:rPr>
                <w:sz w:val="20"/>
                <w:lang w:val="en-AU"/>
              </w:rPr>
              <w:t>JSN score</w:t>
            </w:r>
          </w:p>
        </w:tc>
        <w:tc>
          <w:tcPr>
            <w:tcW w:w="1804" w:type="dxa"/>
            <w:tcBorders>
              <w:top w:val="single" w:sz="4" w:space="0" w:color="000000"/>
              <w:left w:val="single" w:sz="4" w:space="0" w:color="000000"/>
              <w:bottom w:val="single" w:sz="4" w:space="0" w:color="000000"/>
              <w:right w:val="single" w:sz="4" w:space="0" w:color="000000"/>
            </w:tcBorders>
          </w:tcPr>
          <w:p w14:paraId="2547B9E6" w14:textId="77777777" w:rsidR="00354A27" w:rsidRDefault="00354A27" w:rsidP="00443352">
            <w:pPr>
              <w:pStyle w:val="CLDNormal"/>
              <w:spacing w:after="0"/>
              <w:jc w:val="left"/>
              <w:rPr>
                <w:sz w:val="20"/>
                <w:lang w:val="en-AU"/>
              </w:rPr>
            </w:pPr>
          </w:p>
          <w:p w14:paraId="4BB36E6B" w14:textId="77777777" w:rsidR="00354A27" w:rsidRDefault="00354A27" w:rsidP="00443352">
            <w:pPr>
              <w:pStyle w:val="CLDNormal"/>
              <w:spacing w:after="0"/>
              <w:jc w:val="left"/>
              <w:rPr>
                <w:sz w:val="20"/>
                <w:lang w:val="en-AU"/>
              </w:rPr>
            </w:pPr>
          </w:p>
          <w:p w14:paraId="3D9FCBBF" w14:textId="77777777" w:rsidR="00637E52" w:rsidRPr="00354A27" w:rsidRDefault="00637E52" w:rsidP="00443352">
            <w:pPr>
              <w:pStyle w:val="CLDNormal"/>
              <w:spacing w:after="0"/>
              <w:jc w:val="left"/>
              <w:rPr>
                <w:sz w:val="20"/>
                <w:lang w:val="en-AU"/>
              </w:rPr>
            </w:pPr>
          </w:p>
          <w:p w14:paraId="3658462A" w14:textId="77777777" w:rsidR="00354A27" w:rsidRPr="00354A27" w:rsidRDefault="00354A27" w:rsidP="00443352">
            <w:pPr>
              <w:pStyle w:val="CLDNormal"/>
              <w:spacing w:after="0"/>
              <w:jc w:val="left"/>
              <w:rPr>
                <w:sz w:val="20"/>
                <w:lang w:val="en-AU"/>
              </w:rPr>
            </w:pPr>
            <w:r w:rsidRPr="00354A27">
              <w:rPr>
                <w:sz w:val="20"/>
                <w:lang w:val="en-AU"/>
              </w:rPr>
              <w:t>0.48</w:t>
            </w:r>
          </w:p>
          <w:p w14:paraId="738882AF" w14:textId="77777777" w:rsidR="00354A27" w:rsidRPr="00354A27" w:rsidRDefault="00354A27" w:rsidP="00443352">
            <w:pPr>
              <w:pStyle w:val="CLDNormal"/>
              <w:spacing w:after="0"/>
              <w:jc w:val="left"/>
              <w:rPr>
                <w:sz w:val="20"/>
                <w:lang w:val="en-AU"/>
              </w:rPr>
            </w:pPr>
            <w:r w:rsidRPr="00354A27">
              <w:rPr>
                <w:sz w:val="20"/>
                <w:lang w:val="en-AU"/>
              </w:rPr>
              <w:t>0.28</w:t>
            </w:r>
          </w:p>
          <w:p w14:paraId="570A7413" w14:textId="77777777" w:rsidR="00354A27" w:rsidRPr="00354A27" w:rsidRDefault="00354A27" w:rsidP="00443352">
            <w:pPr>
              <w:pStyle w:val="CLDNormal"/>
              <w:spacing w:after="0"/>
              <w:jc w:val="left"/>
              <w:rPr>
                <w:sz w:val="20"/>
                <w:lang w:val="en-AU"/>
              </w:rPr>
            </w:pPr>
            <w:r w:rsidRPr="00354A27">
              <w:rPr>
                <w:sz w:val="20"/>
                <w:lang w:val="en-AU"/>
              </w:rPr>
              <w:t>0.20</w:t>
            </w:r>
          </w:p>
        </w:tc>
        <w:tc>
          <w:tcPr>
            <w:tcW w:w="1804" w:type="dxa"/>
            <w:tcBorders>
              <w:top w:val="single" w:sz="4" w:space="0" w:color="000000"/>
              <w:left w:val="single" w:sz="4" w:space="0" w:color="000000"/>
              <w:bottom w:val="single" w:sz="4" w:space="0" w:color="000000"/>
              <w:right w:val="single" w:sz="4" w:space="0" w:color="000000"/>
            </w:tcBorders>
          </w:tcPr>
          <w:p w14:paraId="4713EA86" w14:textId="77777777" w:rsidR="00354A27" w:rsidRDefault="00354A27" w:rsidP="00443352">
            <w:pPr>
              <w:pStyle w:val="CLDNormal"/>
              <w:spacing w:after="0"/>
              <w:jc w:val="left"/>
              <w:rPr>
                <w:sz w:val="20"/>
                <w:lang w:val="en-AU"/>
              </w:rPr>
            </w:pPr>
          </w:p>
          <w:p w14:paraId="6218E68D" w14:textId="77777777" w:rsidR="00354A27" w:rsidRDefault="00354A27" w:rsidP="00443352">
            <w:pPr>
              <w:pStyle w:val="CLDNormal"/>
              <w:spacing w:after="0"/>
              <w:jc w:val="left"/>
              <w:rPr>
                <w:sz w:val="20"/>
                <w:lang w:val="en-AU"/>
              </w:rPr>
            </w:pPr>
          </w:p>
          <w:p w14:paraId="7051A130" w14:textId="77777777" w:rsidR="00637E52" w:rsidRPr="00354A27" w:rsidRDefault="00637E52" w:rsidP="00443352">
            <w:pPr>
              <w:pStyle w:val="CLDNormal"/>
              <w:spacing w:after="0"/>
              <w:jc w:val="left"/>
              <w:rPr>
                <w:sz w:val="20"/>
                <w:lang w:val="en-AU"/>
              </w:rPr>
            </w:pPr>
          </w:p>
          <w:p w14:paraId="06A192D8" w14:textId="77777777" w:rsidR="00354A27" w:rsidRPr="00354A27" w:rsidRDefault="00354A27" w:rsidP="00443352">
            <w:pPr>
              <w:pStyle w:val="CLDNormal"/>
              <w:spacing w:after="0"/>
              <w:jc w:val="left"/>
              <w:rPr>
                <w:sz w:val="20"/>
                <w:lang w:val="en-AU"/>
              </w:rPr>
            </w:pPr>
            <w:r w:rsidRPr="00354A27">
              <w:rPr>
                <w:sz w:val="20"/>
                <w:lang w:val="en-AU"/>
              </w:rPr>
              <w:t>1.04</w:t>
            </w:r>
          </w:p>
          <w:p w14:paraId="7F8B2B3A" w14:textId="77777777" w:rsidR="00354A27" w:rsidRPr="00354A27" w:rsidRDefault="00354A27" w:rsidP="00443352">
            <w:pPr>
              <w:pStyle w:val="CLDNormal"/>
              <w:spacing w:after="0"/>
              <w:jc w:val="left"/>
              <w:rPr>
                <w:sz w:val="20"/>
                <w:lang w:val="en-AU"/>
              </w:rPr>
            </w:pPr>
            <w:r w:rsidRPr="00354A27">
              <w:rPr>
                <w:sz w:val="20"/>
                <w:lang w:val="en-AU"/>
              </w:rPr>
              <w:t>0.62</w:t>
            </w:r>
          </w:p>
          <w:p w14:paraId="19064A35" w14:textId="77777777" w:rsidR="00354A27" w:rsidRPr="00354A27" w:rsidRDefault="00354A27" w:rsidP="00443352">
            <w:pPr>
              <w:pStyle w:val="CLDNormal"/>
              <w:spacing w:after="0"/>
              <w:jc w:val="left"/>
              <w:rPr>
                <w:sz w:val="20"/>
                <w:lang w:val="en-AU"/>
              </w:rPr>
            </w:pPr>
            <w:r w:rsidRPr="00354A27">
              <w:rPr>
                <w:sz w:val="20"/>
                <w:lang w:val="en-AU"/>
              </w:rPr>
              <w:t>0.42</w:t>
            </w:r>
          </w:p>
        </w:tc>
        <w:tc>
          <w:tcPr>
            <w:tcW w:w="1804" w:type="dxa"/>
            <w:tcBorders>
              <w:top w:val="single" w:sz="4" w:space="0" w:color="000000"/>
              <w:left w:val="single" w:sz="4" w:space="0" w:color="000000"/>
              <w:bottom w:val="single" w:sz="4" w:space="0" w:color="000000"/>
              <w:right w:val="single" w:sz="4" w:space="0" w:color="000000"/>
            </w:tcBorders>
          </w:tcPr>
          <w:p w14:paraId="215989BB" w14:textId="77777777" w:rsidR="00354A27" w:rsidRDefault="00354A27" w:rsidP="00443352">
            <w:pPr>
              <w:pStyle w:val="CLDNormal"/>
              <w:spacing w:after="0"/>
              <w:jc w:val="left"/>
              <w:rPr>
                <w:sz w:val="20"/>
                <w:lang w:val="en-AU"/>
              </w:rPr>
            </w:pPr>
          </w:p>
          <w:p w14:paraId="03058070" w14:textId="77777777" w:rsidR="00354A27" w:rsidRDefault="00354A27" w:rsidP="00443352">
            <w:pPr>
              <w:pStyle w:val="CLDNormal"/>
              <w:spacing w:after="0"/>
              <w:jc w:val="left"/>
              <w:rPr>
                <w:sz w:val="20"/>
                <w:lang w:val="en-AU"/>
              </w:rPr>
            </w:pPr>
          </w:p>
          <w:p w14:paraId="051CF054" w14:textId="77777777" w:rsidR="00637E52" w:rsidRPr="00354A27" w:rsidRDefault="00637E52" w:rsidP="00443352">
            <w:pPr>
              <w:pStyle w:val="CLDNormal"/>
              <w:spacing w:after="0"/>
              <w:jc w:val="left"/>
              <w:rPr>
                <w:sz w:val="20"/>
                <w:lang w:val="en-AU"/>
              </w:rPr>
            </w:pPr>
          </w:p>
          <w:p w14:paraId="423C7D5E" w14:textId="77777777" w:rsidR="00354A27" w:rsidRPr="00354A27" w:rsidRDefault="00354A27" w:rsidP="00443352">
            <w:pPr>
              <w:pStyle w:val="CLDNormal"/>
              <w:spacing w:after="0"/>
              <w:jc w:val="left"/>
              <w:rPr>
                <w:sz w:val="20"/>
                <w:lang w:val="en-AU"/>
              </w:rPr>
            </w:pPr>
            <w:r w:rsidRPr="00354A27">
              <w:rPr>
                <w:sz w:val="20"/>
                <w:lang w:val="en-AU"/>
              </w:rPr>
              <w:t>-</w:t>
            </w:r>
          </w:p>
          <w:p w14:paraId="25A2481F" w14:textId="77777777" w:rsidR="00354A27" w:rsidRPr="00354A27" w:rsidRDefault="00354A27" w:rsidP="00443352">
            <w:pPr>
              <w:pStyle w:val="CLDNormal"/>
              <w:spacing w:after="0"/>
              <w:jc w:val="left"/>
              <w:rPr>
                <w:sz w:val="20"/>
                <w:lang w:val="en-AU"/>
              </w:rPr>
            </w:pPr>
            <w:r w:rsidRPr="00354A27">
              <w:rPr>
                <w:sz w:val="20"/>
                <w:lang w:val="en-AU"/>
              </w:rPr>
              <w:t>-</w:t>
            </w:r>
          </w:p>
          <w:p w14:paraId="5DB594AB" w14:textId="77777777" w:rsidR="00354A27" w:rsidRPr="00354A27" w:rsidRDefault="00354A27" w:rsidP="00443352">
            <w:pPr>
              <w:pStyle w:val="CLDNormal"/>
              <w:spacing w:after="0"/>
              <w:jc w:val="left"/>
              <w:rPr>
                <w:sz w:val="20"/>
                <w:lang w:val="en-AU"/>
              </w:rPr>
            </w:pPr>
            <w:r w:rsidRPr="00354A27">
              <w:rPr>
                <w:sz w:val="20"/>
                <w:lang w:val="en-AU"/>
              </w:rPr>
              <w:t>-</w:t>
            </w:r>
          </w:p>
        </w:tc>
        <w:tc>
          <w:tcPr>
            <w:tcW w:w="1804" w:type="dxa"/>
            <w:tcBorders>
              <w:top w:val="single" w:sz="4" w:space="0" w:color="000000"/>
              <w:left w:val="single" w:sz="4" w:space="0" w:color="000000"/>
              <w:bottom w:val="single" w:sz="4" w:space="0" w:color="000000"/>
              <w:right w:val="single" w:sz="4" w:space="0" w:color="000000"/>
            </w:tcBorders>
          </w:tcPr>
          <w:p w14:paraId="1A1541EF" w14:textId="77777777" w:rsidR="00354A27" w:rsidRDefault="00354A27" w:rsidP="00443352">
            <w:pPr>
              <w:pStyle w:val="CLDNormal"/>
              <w:spacing w:after="0"/>
              <w:jc w:val="left"/>
              <w:rPr>
                <w:sz w:val="20"/>
                <w:lang w:val="en-AU"/>
              </w:rPr>
            </w:pPr>
          </w:p>
          <w:p w14:paraId="3C8F312F" w14:textId="77777777" w:rsidR="00354A27" w:rsidRDefault="00354A27" w:rsidP="00443352">
            <w:pPr>
              <w:pStyle w:val="CLDNormal"/>
              <w:spacing w:after="0"/>
              <w:jc w:val="left"/>
              <w:rPr>
                <w:sz w:val="20"/>
                <w:lang w:val="en-AU"/>
              </w:rPr>
            </w:pPr>
          </w:p>
          <w:p w14:paraId="5C5EBD3A" w14:textId="77777777" w:rsidR="00637E52" w:rsidRPr="00354A27" w:rsidRDefault="00637E52" w:rsidP="00443352">
            <w:pPr>
              <w:pStyle w:val="CLDNormal"/>
              <w:spacing w:after="0"/>
              <w:jc w:val="left"/>
              <w:rPr>
                <w:sz w:val="20"/>
                <w:lang w:val="en-AU"/>
              </w:rPr>
            </w:pPr>
          </w:p>
          <w:p w14:paraId="398E3C27" w14:textId="77777777" w:rsidR="00354A27" w:rsidRPr="00354A27" w:rsidRDefault="00354A27" w:rsidP="00443352">
            <w:pPr>
              <w:pStyle w:val="CLDNormal"/>
              <w:spacing w:after="0"/>
              <w:jc w:val="left"/>
              <w:rPr>
                <w:sz w:val="20"/>
                <w:lang w:val="en-AU"/>
              </w:rPr>
            </w:pPr>
            <w:r w:rsidRPr="00354A27">
              <w:rPr>
                <w:sz w:val="20"/>
                <w:lang w:val="en-AU"/>
              </w:rPr>
              <w:t>-</w:t>
            </w:r>
          </w:p>
          <w:p w14:paraId="20A67518" w14:textId="77777777" w:rsidR="00354A27" w:rsidRPr="00354A27" w:rsidRDefault="00354A27" w:rsidP="00443352">
            <w:pPr>
              <w:pStyle w:val="CLDNormal"/>
              <w:spacing w:after="0"/>
              <w:jc w:val="left"/>
              <w:rPr>
                <w:sz w:val="20"/>
                <w:lang w:val="en-AU"/>
              </w:rPr>
            </w:pPr>
            <w:r w:rsidRPr="00354A27">
              <w:rPr>
                <w:sz w:val="20"/>
                <w:lang w:val="en-AU"/>
              </w:rPr>
              <w:t>-</w:t>
            </w:r>
          </w:p>
          <w:p w14:paraId="2CE6D3CA" w14:textId="77777777" w:rsidR="00354A27" w:rsidRPr="00354A27" w:rsidRDefault="00354A27" w:rsidP="00443352">
            <w:pPr>
              <w:pStyle w:val="CLDNormal"/>
              <w:spacing w:after="0"/>
              <w:jc w:val="left"/>
              <w:rPr>
                <w:sz w:val="20"/>
                <w:lang w:val="en-AU"/>
              </w:rPr>
            </w:pPr>
            <w:r w:rsidRPr="00354A27">
              <w:rPr>
                <w:sz w:val="20"/>
                <w:lang w:val="en-AU"/>
              </w:rPr>
              <w:t>-</w:t>
            </w:r>
          </w:p>
        </w:tc>
      </w:tr>
    </w:tbl>
    <w:p w14:paraId="770BF982" w14:textId="77777777" w:rsidR="00637E52" w:rsidRPr="00637E52" w:rsidRDefault="00637E52" w:rsidP="00443352">
      <w:pPr>
        <w:pStyle w:val="CLDNormal"/>
        <w:spacing w:after="0"/>
        <w:jc w:val="left"/>
        <w:rPr>
          <w:sz w:val="20"/>
          <w:lang w:val="en-US"/>
        </w:rPr>
      </w:pPr>
      <w:r w:rsidRPr="00637E52">
        <w:rPr>
          <w:sz w:val="20"/>
          <w:vertAlign w:val="superscript"/>
          <w:lang w:val="en-US"/>
        </w:rPr>
        <w:t>a</w:t>
      </w:r>
      <w:r w:rsidRPr="00637E52">
        <w:rPr>
          <w:sz w:val="20"/>
          <w:lang w:val="en-US"/>
        </w:rPr>
        <w:t xml:space="preserve"> Based on radiographic scoring following 104 weeks of observation</w:t>
      </w:r>
    </w:p>
    <w:p w14:paraId="216FDF6C" w14:textId="61EA2B0A" w:rsidR="00637E52" w:rsidRPr="00637E52" w:rsidRDefault="00637E52" w:rsidP="00443352">
      <w:pPr>
        <w:pStyle w:val="CLDNormal"/>
        <w:spacing w:after="0"/>
        <w:jc w:val="left"/>
        <w:rPr>
          <w:sz w:val="20"/>
          <w:lang w:val="en-US"/>
        </w:rPr>
      </w:pPr>
      <w:r w:rsidRPr="00637E52">
        <w:rPr>
          <w:sz w:val="20"/>
          <w:vertAlign w:val="superscript"/>
          <w:lang w:val="en-US"/>
        </w:rPr>
        <w:t>b</w:t>
      </w:r>
      <w:r w:rsidRPr="00637E52">
        <w:rPr>
          <w:sz w:val="20"/>
          <w:lang w:val="en-US"/>
        </w:rPr>
        <w:t xml:space="preserve"> Patients received up to 2 years of treatment with </w:t>
      </w:r>
      <w:r w:rsidR="00DE597A">
        <w:rPr>
          <w:sz w:val="20"/>
          <w:lang w:val="en-US"/>
        </w:rPr>
        <w:t>R</w:t>
      </w:r>
      <w:r w:rsidR="00DE597A" w:rsidRPr="00DE597A">
        <w:rPr>
          <w:sz w:val="20"/>
          <w:lang w:val="en-US"/>
        </w:rPr>
        <w:t>ituximab</w:t>
      </w:r>
      <w:r w:rsidRPr="00637E52">
        <w:rPr>
          <w:sz w:val="20"/>
          <w:lang w:val="en-US"/>
        </w:rPr>
        <w:t xml:space="preserve"> + MTX</w:t>
      </w:r>
    </w:p>
    <w:p w14:paraId="5BDAFAFD" w14:textId="6F820A87" w:rsidR="00354A27" w:rsidRPr="00637E52" w:rsidRDefault="00637E52" w:rsidP="00443352">
      <w:pPr>
        <w:pStyle w:val="CLDNormal"/>
        <w:spacing w:after="0"/>
        <w:jc w:val="left"/>
        <w:rPr>
          <w:sz w:val="20"/>
          <w:lang w:val="en-US"/>
        </w:rPr>
      </w:pPr>
      <w:r w:rsidRPr="00637E52">
        <w:rPr>
          <w:sz w:val="20"/>
          <w:vertAlign w:val="superscript"/>
          <w:lang w:val="en-US"/>
        </w:rPr>
        <w:t>c</w:t>
      </w:r>
      <w:r w:rsidRPr="00637E52">
        <w:rPr>
          <w:sz w:val="20"/>
          <w:lang w:val="en-US"/>
        </w:rPr>
        <w:t xml:space="preserve"> Patients receiving placebo + MTX could receive retreatment with </w:t>
      </w:r>
      <w:r w:rsidR="00DE597A">
        <w:rPr>
          <w:sz w:val="20"/>
          <w:lang w:val="en-US"/>
        </w:rPr>
        <w:t>R</w:t>
      </w:r>
      <w:r w:rsidR="00DE597A" w:rsidRPr="00DE597A">
        <w:rPr>
          <w:sz w:val="20"/>
          <w:lang w:val="en-US"/>
        </w:rPr>
        <w:t>ituximab</w:t>
      </w:r>
      <w:r w:rsidRPr="00637E52">
        <w:rPr>
          <w:sz w:val="20"/>
          <w:lang w:val="en-US"/>
        </w:rPr>
        <w:t xml:space="preserve"> + MTX from week 16 onwards</w:t>
      </w:r>
    </w:p>
    <w:p w14:paraId="5731BFB8" w14:textId="43BCE22C" w:rsidR="00637E52" w:rsidRDefault="00637E52" w:rsidP="00443352">
      <w:pPr>
        <w:pStyle w:val="CLDNormal"/>
        <w:jc w:val="left"/>
        <w:rPr>
          <w:lang w:val="en-US"/>
        </w:rPr>
      </w:pPr>
      <w:r w:rsidRPr="00637E52">
        <w:rPr>
          <w:lang w:val="en-US"/>
        </w:rPr>
        <w:t xml:space="preserve">Following 2 years of treatment with </w:t>
      </w:r>
      <w:r w:rsidR="00DE597A" w:rsidRPr="00DE597A">
        <w:rPr>
          <w:lang w:val="en-US"/>
        </w:rPr>
        <w:t>rituximab</w:t>
      </w:r>
      <w:r w:rsidRPr="00637E52">
        <w:rPr>
          <w:lang w:val="en-US"/>
        </w:rPr>
        <w:t xml:space="preserve"> + MTX, 57% of patients had no progression of structural damage. During the first year, 60% of </w:t>
      </w:r>
      <w:r w:rsidR="00DE597A" w:rsidRPr="00DE597A">
        <w:rPr>
          <w:lang w:val="en-US"/>
        </w:rPr>
        <w:t>rituximab</w:t>
      </w:r>
      <w:r w:rsidRPr="00637E52">
        <w:rPr>
          <w:lang w:val="en-US"/>
        </w:rPr>
        <w:t xml:space="preserve"> + MTX treated patients had no progression, defined as a change in TSS of zero or less compared to baseline, compared to 46% of placebo + MTX treated patients. In their second year of treatment with </w:t>
      </w:r>
      <w:r w:rsidR="00DE597A" w:rsidRPr="00DE597A">
        <w:rPr>
          <w:lang w:val="en-US"/>
        </w:rPr>
        <w:t>rituximab</w:t>
      </w:r>
      <w:r w:rsidRPr="00637E52">
        <w:rPr>
          <w:lang w:val="en-US"/>
        </w:rPr>
        <w:t xml:space="preserve"> + MTX, more patients had no progression than in the first year (68% vs. 60%), and 87% of the </w:t>
      </w:r>
      <w:r w:rsidR="00DE597A" w:rsidRPr="00DE597A">
        <w:rPr>
          <w:lang w:val="en-US"/>
        </w:rPr>
        <w:t>rituximab</w:t>
      </w:r>
      <w:r w:rsidRPr="00637E52">
        <w:rPr>
          <w:lang w:val="en-US"/>
        </w:rPr>
        <w:t xml:space="preserve"> + MTX treated patients who had no progression in the first year also had no progression in the second year.</w:t>
      </w:r>
    </w:p>
    <w:p w14:paraId="2A94E1D1" w14:textId="77777777" w:rsidR="00637E52" w:rsidRPr="006A1EF8" w:rsidRDefault="00637E52" w:rsidP="00443352">
      <w:pPr>
        <w:pStyle w:val="CLDNormal"/>
        <w:jc w:val="left"/>
        <w:rPr>
          <w:rFonts w:eastAsiaTheme="minorEastAsia"/>
          <w:i/>
          <w:szCs w:val="24"/>
          <w:lang w:val="en-US"/>
        </w:rPr>
      </w:pPr>
      <w:r w:rsidRPr="006A1EF8">
        <w:rPr>
          <w:rFonts w:eastAsiaTheme="minorEastAsia"/>
          <w:i/>
          <w:szCs w:val="24"/>
          <w:lang w:val="en-US"/>
        </w:rPr>
        <w:t>Quality of life outcomes</w:t>
      </w:r>
    </w:p>
    <w:p w14:paraId="2CA7DEF3" w14:textId="14B9A8DC" w:rsidR="00DE597A" w:rsidRDefault="00DE597A" w:rsidP="00443352">
      <w:pPr>
        <w:pStyle w:val="CLDNormal"/>
        <w:jc w:val="left"/>
        <w:rPr>
          <w:lang w:val="en-US"/>
        </w:rPr>
      </w:pPr>
      <w:r>
        <w:rPr>
          <w:lang w:val="en-US"/>
        </w:rPr>
        <w:t>R</w:t>
      </w:r>
      <w:r w:rsidRPr="00DE597A">
        <w:rPr>
          <w:lang w:val="en-US"/>
        </w:rPr>
        <w:t>ituximab</w:t>
      </w:r>
      <w:r w:rsidR="00637E52" w:rsidRPr="00637E52">
        <w:rPr>
          <w:lang w:val="en-US"/>
        </w:rPr>
        <w:t xml:space="preserve"> + MTX treated patients reported an improvement in all patient-reported outcomes such as Health Assessment Questionnaire Disability Index (HAQ-DI), Functional Assessment of Chronic Illness Therapy-Fatigue (FACIT-F) and Short Form-36 (SF-36) questionnaires. Significant reductions in disability index (HAQ-DI), fatigue (FACIT-F) (Table 16), and improvement in both the physical health score (PHS) and mental health score (MHS) of the SF-36 were observed in patients treated with </w:t>
      </w:r>
      <w:r w:rsidRPr="00DE597A">
        <w:rPr>
          <w:lang w:val="en-US"/>
        </w:rPr>
        <w:t>rituximab</w:t>
      </w:r>
      <w:r w:rsidR="00637E52" w:rsidRPr="00637E52">
        <w:rPr>
          <w:lang w:val="en-US"/>
        </w:rPr>
        <w:t xml:space="preserve"> + MTX compared to patients treated with MTX alone.</w:t>
      </w:r>
      <w:r>
        <w:rPr>
          <w:lang w:val="en-US"/>
        </w:rPr>
        <w:t xml:space="preserve"> </w:t>
      </w:r>
    </w:p>
    <w:p w14:paraId="3F20E9D1" w14:textId="74745E39" w:rsidR="00637E52" w:rsidRPr="00637E52" w:rsidRDefault="00637E52" w:rsidP="00443352">
      <w:pPr>
        <w:pStyle w:val="CLDNormal"/>
        <w:jc w:val="left"/>
        <w:rPr>
          <w:b/>
          <w:sz w:val="20"/>
          <w:lang w:val="en-US"/>
        </w:rPr>
      </w:pPr>
      <w:r w:rsidRPr="00DE597A">
        <w:rPr>
          <w:b/>
          <w:sz w:val="22"/>
          <w:szCs w:val="22"/>
          <w:lang w:val="en-US"/>
        </w:rPr>
        <w:t>Table 16 Physical Function and Quality of Life Outcomes at Week 24 in Study 1</w:t>
      </w:r>
    </w:p>
    <w:tbl>
      <w:tblPr>
        <w:tblStyle w:val="TableGrid"/>
        <w:tblW w:w="0" w:type="auto"/>
        <w:tblLook w:val="04A0" w:firstRow="1" w:lastRow="0" w:firstColumn="1" w:lastColumn="0" w:noHBand="0" w:noVBand="1"/>
      </w:tblPr>
      <w:tblGrid>
        <w:gridCol w:w="2266"/>
        <w:gridCol w:w="2541"/>
        <w:gridCol w:w="1991"/>
        <w:gridCol w:w="2269"/>
      </w:tblGrid>
      <w:tr w:rsidR="00637E52" w:rsidRPr="00637E52" w14:paraId="34D194D6" w14:textId="77777777" w:rsidTr="00105D62">
        <w:trPr>
          <w:trHeight w:val="373"/>
        </w:trPr>
        <w:tc>
          <w:tcPr>
            <w:tcW w:w="2266" w:type="dxa"/>
          </w:tcPr>
          <w:p w14:paraId="6CB6D316" w14:textId="77777777" w:rsidR="00637E52" w:rsidRPr="00637E52" w:rsidRDefault="00637E52" w:rsidP="00443352">
            <w:pPr>
              <w:pStyle w:val="CLDNormal"/>
              <w:spacing w:after="0"/>
              <w:jc w:val="left"/>
              <w:rPr>
                <w:b/>
                <w:sz w:val="20"/>
                <w:lang w:val="en-US"/>
              </w:rPr>
            </w:pPr>
          </w:p>
        </w:tc>
        <w:tc>
          <w:tcPr>
            <w:tcW w:w="2541" w:type="dxa"/>
          </w:tcPr>
          <w:p w14:paraId="3CCCDCDE" w14:textId="77777777" w:rsidR="00637E52" w:rsidRPr="00637E52" w:rsidRDefault="00637E52" w:rsidP="00443352">
            <w:pPr>
              <w:pStyle w:val="CLDNormal"/>
              <w:spacing w:after="0"/>
              <w:jc w:val="left"/>
              <w:rPr>
                <w:b/>
                <w:sz w:val="20"/>
                <w:lang w:val="en-US"/>
              </w:rPr>
            </w:pPr>
            <w:r w:rsidRPr="00637E52">
              <w:rPr>
                <w:b/>
                <w:sz w:val="20"/>
                <w:lang w:val="en-US"/>
              </w:rPr>
              <w:t>Outcome</w:t>
            </w:r>
          </w:p>
        </w:tc>
        <w:tc>
          <w:tcPr>
            <w:tcW w:w="1991" w:type="dxa"/>
          </w:tcPr>
          <w:p w14:paraId="1A41FD74" w14:textId="77777777" w:rsidR="00637E52" w:rsidRPr="00637E52" w:rsidRDefault="00637E52" w:rsidP="00443352">
            <w:pPr>
              <w:pStyle w:val="CLDNormal"/>
              <w:spacing w:after="0"/>
              <w:jc w:val="left"/>
              <w:rPr>
                <w:b/>
                <w:sz w:val="20"/>
                <w:lang w:val="en-US"/>
              </w:rPr>
            </w:pPr>
            <w:r w:rsidRPr="00637E52">
              <w:rPr>
                <w:b/>
                <w:sz w:val="20"/>
                <w:lang w:val="en-US"/>
              </w:rPr>
              <w:t>Placebo + MTX</w:t>
            </w:r>
          </w:p>
        </w:tc>
        <w:tc>
          <w:tcPr>
            <w:tcW w:w="2269" w:type="dxa"/>
          </w:tcPr>
          <w:p w14:paraId="70A50595" w14:textId="318FCB13" w:rsidR="00637E52" w:rsidRPr="00637E52" w:rsidRDefault="00DE597A" w:rsidP="00443352">
            <w:pPr>
              <w:pStyle w:val="CLDNormal"/>
              <w:spacing w:after="0"/>
              <w:jc w:val="left"/>
              <w:rPr>
                <w:b/>
                <w:sz w:val="20"/>
                <w:lang w:val="en-US"/>
              </w:rPr>
            </w:pPr>
            <w:r>
              <w:rPr>
                <w:b/>
                <w:sz w:val="20"/>
                <w:lang w:val="en-US"/>
              </w:rPr>
              <w:t>R</w:t>
            </w:r>
            <w:r w:rsidRPr="00DE597A">
              <w:rPr>
                <w:b/>
                <w:sz w:val="20"/>
                <w:lang w:val="en-US"/>
              </w:rPr>
              <w:t>ituximab</w:t>
            </w:r>
            <w:r w:rsidR="00637E52" w:rsidRPr="00637E52">
              <w:rPr>
                <w:b/>
                <w:sz w:val="20"/>
                <w:lang w:val="en-US"/>
              </w:rPr>
              <w:t xml:space="preserve"> + MTX</w:t>
            </w:r>
          </w:p>
          <w:p w14:paraId="05D4190C" w14:textId="77777777" w:rsidR="00637E52" w:rsidRPr="00637E52" w:rsidRDefault="00637E52" w:rsidP="00443352">
            <w:pPr>
              <w:pStyle w:val="CLDNormal"/>
              <w:spacing w:after="0"/>
              <w:jc w:val="left"/>
              <w:rPr>
                <w:b/>
                <w:sz w:val="20"/>
                <w:lang w:val="en-US"/>
              </w:rPr>
            </w:pPr>
            <w:r w:rsidRPr="00637E52">
              <w:rPr>
                <w:b/>
                <w:sz w:val="20"/>
                <w:lang w:val="en-US"/>
              </w:rPr>
              <w:t>(2 x 1000 mg)</w:t>
            </w:r>
          </w:p>
        </w:tc>
      </w:tr>
      <w:tr w:rsidR="00105D62" w:rsidRPr="00637E52" w14:paraId="42EE66E6" w14:textId="77777777" w:rsidTr="00105D62">
        <w:trPr>
          <w:trHeight w:val="186"/>
        </w:trPr>
        <w:tc>
          <w:tcPr>
            <w:tcW w:w="9067" w:type="dxa"/>
            <w:gridSpan w:val="4"/>
          </w:tcPr>
          <w:p w14:paraId="6747A769" w14:textId="77777777" w:rsidR="00105D62" w:rsidRPr="00105D62" w:rsidRDefault="00105D62" w:rsidP="00443352">
            <w:pPr>
              <w:pStyle w:val="CLDNormal"/>
              <w:spacing w:after="0"/>
              <w:jc w:val="left"/>
              <w:rPr>
                <w:i/>
                <w:sz w:val="20"/>
                <w:lang w:val="en-US"/>
              </w:rPr>
            </w:pPr>
            <w:r w:rsidRPr="00105D62">
              <w:rPr>
                <w:i/>
                <w:sz w:val="20"/>
                <w:lang w:val="en-US"/>
              </w:rPr>
              <w:t>WA17042 (REFLEX; TNF-IR)</w:t>
            </w:r>
          </w:p>
        </w:tc>
      </w:tr>
      <w:tr w:rsidR="00637E52" w:rsidRPr="00637E52" w14:paraId="68924A9B" w14:textId="77777777" w:rsidTr="00105D62">
        <w:trPr>
          <w:trHeight w:val="1096"/>
        </w:trPr>
        <w:tc>
          <w:tcPr>
            <w:tcW w:w="2266" w:type="dxa"/>
          </w:tcPr>
          <w:p w14:paraId="4EEE53C7" w14:textId="77777777" w:rsidR="00637E52" w:rsidRPr="00637E52" w:rsidRDefault="00637E52" w:rsidP="00443352">
            <w:pPr>
              <w:pStyle w:val="CLDNormal"/>
              <w:spacing w:after="0"/>
              <w:jc w:val="left"/>
              <w:rPr>
                <w:sz w:val="20"/>
                <w:lang w:val="en-US"/>
              </w:rPr>
            </w:pPr>
          </w:p>
        </w:tc>
        <w:tc>
          <w:tcPr>
            <w:tcW w:w="2541" w:type="dxa"/>
          </w:tcPr>
          <w:p w14:paraId="2810EB69" w14:textId="77777777" w:rsidR="00637E52" w:rsidRDefault="00637E52" w:rsidP="00443352">
            <w:pPr>
              <w:pStyle w:val="CLDNormal"/>
              <w:spacing w:after="0"/>
              <w:jc w:val="left"/>
              <w:rPr>
                <w:sz w:val="20"/>
                <w:lang w:val="en-US"/>
              </w:rPr>
            </w:pPr>
          </w:p>
          <w:p w14:paraId="2C23E720" w14:textId="77777777" w:rsidR="00637E52" w:rsidRDefault="00637E52" w:rsidP="00443352">
            <w:pPr>
              <w:pStyle w:val="CLDNormal"/>
              <w:spacing w:after="0"/>
              <w:jc w:val="left"/>
              <w:rPr>
                <w:sz w:val="20"/>
                <w:lang w:val="en-US"/>
              </w:rPr>
            </w:pPr>
            <w:r w:rsidRPr="00637E52">
              <w:rPr>
                <w:sz w:val="20"/>
                <w:lang w:val="en-US"/>
              </w:rPr>
              <w:t>Mean change in HAQ-DI</w:t>
            </w:r>
          </w:p>
          <w:p w14:paraId="78667124" w14:textId="77777777" w:rsidR="00637E52" w:rsidRDefault="00637E52" w:rsidP="00443352">
            <w:pPr>
              <w:pStyle w:val="CLDNormal"/>
              <w:spacing w:after="0"/>
              <w:jc w:val="left"/>
              <w:rPr>
                <w:sz w:val="20"/>
                <w:lang w:val="en-US"/>
              </w:rPr>
            </w:pPr>
            <w:r w:rsidRPr="00637E52">
              <w:rPr>
                <w:sz w:val="20"/>
                <w:lang w:val="en-US"/>
              </w:rPr>
              <w:t>% HAQ-DI MCID</w:t>
            </w:r>
          </w:p>
          <w:p w14:paraId="0D0F6CF7" w14:textId="77777777" w:rsidR="00637E52" w:rsidRDefault="00637E52" w:rsidP="00443352">
            <w:pPr>
              <w:pStyle w:val="CLDNormal"/>
              <w:spacing w:after="0"/>
              <w:jc w:val="left"/>
              <w:rPr>
                <w:sz w:val="20"/>
                <w:lang w:val="en-US"/>
              </w:rPr>
            </w:pPr>
            <w:r w:rsidRPr="00637E52">
              <w:rPr>
                <w:sz w:val="20"/>
                <w:lang w:val="en-US"/>
              </w:rPr>
              <w:t>Mean change in FACIT-F</w:t>
            </w:r>
          </w:p>
          <w:p w14:paraId="23D3EF03" w14:textId="77777777" w:rsidR="00637E52" w:rsidRDefault="00637E52" w:rsidP="00443352">
            <w:pPr>
              <w:pStyle w:val="CLDNormal"/>
              <w:spacing w:after="0"/>
              <w:jc w:val="left"/>
              <w:rPr>
                <w:sz w:val="20"/>
                <w:lang w:val="en-US"/>
              </w:rPr>
            </w:pPr>
          </w:p>
          <w:p w14:paraId="1485112C" w14:textId="77777777" w:rsidR="00637E52" w:rsidRDefault="00637E52" w:rsidP="00443352">
            <w:pPr>
              <w:pStyle w:val="CLDNormal"/>
              <w:spacing w:after="0"/>
              <w:jc w:val="left"/>
              <w:rPr>
                <w:sz w:val="20"/>
                <w:lang w:val="en-US"/>
              </w:rPr>
            </w:pPr>
          </w:p>
          <w:p w14:paraId="4FF0789C" w14:textId="77777777" w:rsidR="00637E52" w:rsidRDefault="00637E52" w:rsidP="00443352">
            <w:pPr>
              <w:pStyle w:val="CLDNormal"/>
              <w:spacing w:after="0"/>
              <w:jc w:val="left"/>
              <w:rPr>
                <w:sz w:val="20"/>
                <w:lang w:val="en-US"/>
              </w:rPr>
            </w:pPr>
            <w:r w:rsidRPr="00637E52">
              <w:rPr>
                <w:sz w:val="20"/>
                <w:lang w:val="en-US"/>
              </w:rPr>
              <w:t>Mean Change in SF-36 PHS</w:t>
            </w:r>
          </w:p>
          <w:p w14:paraId="574FD847" w14:textId="77777777" w:rsidR="00D31D34" w:rsidRDefault="00D31D34" w:rsidP="00443352">
            <w:pPr>
              <w:pStyle w:val="CLDNormal"/>
              <w:spacing w:after="0"/>
              <w:jc w:val="left"/>
              <w:rPr>
                <w:sz w:val="20"/>
                <w:lang w:val="en-US"/>
              </w:rPr>
            </w:pPr>
            <w:r w:rsidRPr="00D31D34">
              <w:rPr>
                <w:sz w:val="20"/>
                <w:lang w:val="en-US"/>
              </w:rPr>
              <w:t>% SF-36 PHS MCID</w:t>
            </w:r>
          </w:p>
          <w:p w14:paraId="2D29134E" w14:textId="77777777" w:rsidR="00D31D34" w:rsidRDefault="00D31D34" w:rsidP="00443352">
            <w:pPr>
              <w:pStyle w:val="CLDNormal"/>
              <w:spacing w:after="0"/>
              <w:jc w:val="left"/>
              <w:rPr>
                <w:sz w:val="20"/>
                <w:lang w:val="en-US"/>
              </w:rPr>
            </w:pPr>
            <w:r w:rsidRPr="00D31D34">
              <w:rPr>
                <w:sz w:val="20"/>
                <w:lang w:val="en-US"/>
              </w:rPr>
              <w:t>Mean Change in SF-36 MHS</w:t>
            </w:r>
          </w:p>
          <w:p w14:paraId="1BD66650" w14:textId="77777777" w:rsidR="00D31D34" w:rsidRDefault="00D31D34" w:rsidP="00443352">
            <w:pPr>
              <w:pStyle w:val="CLDNormal"/>
              <w:spacing w:after="0"/>
              <w:jc w:val="left"/>
              <w:rPr>
                <w:sz w:val="20"/>
                <w:lang w:val="en-US"/>
              </w:rPr>
            </w:pPr>
            <w:r w:rsidRPr="00D31D34">
              <w:rPr>
                <w:sz w:val="20"/>
                <w:lang w:val="en-US"/>
              </w:rPr>
              <w:t>% SF-36 MHS MCID</w:t>
            </w:r>
          </w:p>
          <w:p w14:paraId="0B1FCFC6" w14:textId="77777777" w:rsidR="00637E52" w:rsidRDefault="00637E52" w:rsidP="00443352">
            <w:pPr>
              <w:pStyle w:val="CLDNormal"/>
              <w:spacing w:after="0"/>
              <w:jc w:val="left"/>
              <w:rPr>
                <w:sz w:val="20"/>
                <w:lang w:val="en-US"/>
              </w:rPr>
            </w:pPr>
          </w:p>
          <w:p w14:paraId="5E72A80F" w14:textId="77777777" w:rsidR="00637E52" w:rsidRPr="00637E52" w:rsidRDefault="00637E52" w:rsidP="00443352">
            <w:pPr>
              <w:pStyle w:val="CLDNormal"/>
              <w:spacing w:after="0"/>
              <w:jc w:val="left"/>
              <w:rPr>
                <w:sz w:val="20"/>
                <w:lang w:val="en-US"/>
              </w:rPr>
            </w:pPr>
          </w:p>
        </w:tc>
        <w:tc>
          <w:tcPr>
            <w:tcW w:w="1991" w:type="dxa"/>
          </w:tcPr>
          <w:p w14:paraId="6FA62C13" w14:textId="77777777" w:rsidR="00D31D34" w:rsidRDefault="00D31D34" w:rsidP="00443352">
            <w:pPr>
              <w:pStyle w:val="CLDNormal"/>
              <w:spacing w:after="0"/>
              <w:jc w:val="left"/>
              <w:rPr>
                <w:sz w:val="20"/>
                <w:lang w:val="en-US"/>
              </w:rPr>
            </w:pPr>
          </w:p>
          <w:p w14:paraId="54F5D2EE" w14:textId="77777777" w:rsidR="00637E52" w:rsidRPr="00637E52" w:rsidRDefault="00637E52" w:rsidP="00443352">
            <w:pPr>
              <w:pStyle w:val="CLDNormal"/>
              <w:spacing w:after="0"/>
              <w:jc w:val="left"/>
              <w:rPr>
                <w:sz w:val="20"/>
                <w:lang w:val="en-US"/>
              </w:rPr>
            </w:pPr>
            <w:r w:rsidRPr="00637E52">
              <w:rPr>
                <w:sz w:val="20"/>
                <w:lang w:val="en-US"/>
              </w:rPr>
              <w:t>n=201</w:t>
            </w:r>
          </w:p>
          <w:p w14:paraId="75A9E261" w14:textId="77777777" w:rsidR="00637E52" w:rsidRPr="00637E52" w:rsidRDefault="00637E52" w:rsidP="00443352">
            <w:pPr>
              <w:pStyle w:val="CLDNormal"/>
              <w:spacing w:after="0"/>
              <w:jc w:val="left"/>
              <w:rPr>
                <w:sz w:val="20"/>
                <w:lang w:val="en-US"/>
              </w:rPr>
            </w:pPr>
            <w:r w:rsidRPr="00637E52">
              <w:rPr>
                <w:sz w:val="20"/>
                <w:lang w:val="en-US"/>
              </w:rPr>
              <w:t>-0.1</w:t>
            </w:r>
          </w:p>
          <w:p w14:paraId="115E8EFD" w14:textId="77777777" w:rsidR="00637E52" w:rsidRPr="00637E52" w:rsidRDefault="00637E52" w:rsidP="00443352">
            <w:pPr>
              <w:pStyle w:val="CLDNormal"/>
              <w:spacing w:after="0"/>
              <w:jc w:val="left"/>
              <w:rPr>
                <w:sz w:val="20"/>
                <w:lang w:val="en-US"/>
              </w:rPr>
            </w:pPr>
            <w:r w:rsidRPr="00637E52">
              <w:rPr>
                <w:sz w:val="20"/>
                <w:lang w:val="en-US"/>
              </w:rPr>
              <w:t>20%</w:t>
            </w:r>
          </w:p>
          <w:p w14:paraId="73A03B2D" w14:textId="77777777" w:rsidR="00637E52" w:rsidRPr="00637E52" w:rsidRDefault="00637E52" w:rsidP="00443352">
            <w:pPr>
              <w:pStyle w:val="CLDNormal"/>
              <w:spacing w:after="0"/>
              <w:jc w:val="left"/>
              <w:rPr>
                <w:sz w:val="20"/>
                <w:lang w:val="en-US"/>
              </w:rPr>
            </w:pPr>
            <w:r w:rsidRPr="00637E52">
              <w:rPr>
                <w:sz w:val="20"/>
                <w:lang w:val="en-US"/>
              </w:rPr>
              <w:t>-0.5</w:t>
            </w:r>
          </w:p>
          <w:p w14:paraId="650B212F" w14:textId="77777777" w:rsidR="00637E52" w:rsidRDefault="00637E52" w:rsidP="00443352">
            <w:pPr>
              <w:pStyle w:val="CLDNormal"/>
              <w:spacing w:after="0"/>
              <w:jc w:val="left"/>
              <w:rPr>
                <w:sz w:val="20"/>
                <w:lang w:val="en-US"/>
              </w:rPr>
            </w:pPr>
            <w:r w:rsidRPr="00637E52">
              <w:rPr>
                <w:sz w:val="20"/>
                <w:lang w:val="en-US"/>
              </w:rPr>
              <w:t>n=197</w:t>
            </w:r>
          </w:p>
          <w:p w14:paraId="77050161" w14:textId="77777777" w:rsidR="00D31D34" w:rsidRDefault="00D31D34" w:rsidP="00443352">
            <w:pPr>
              <w:pStyle w:val="CLDNormal"/>
              <w:spacing w:after="0"/>
              <w:jc w:val="left"/>
              <w:rPr>
                <w:sz w:val="20"/>
                <w:lang w:val="en-US"/>
              </w:rPr>
            </w:pPr>
            <w:r>
              <w:rPr>
                <w:sz w:val="20"/>
                <w:lang w:val="en-US"/>
              </w:rPr>
              <w:t>0.9</w:t>
            </w:r>
          </w:p>
          <w:p w14:paraId="1612E95E" w14:textId="77777777" w:rsidR="00D31D34" w:rsidRDefault="00D31D34" w:rsidP="00443352">
            <w:pPr>
              <w:pStyle w:val="CLDNormal"/>
              <w:spacing w:after="0"/>
              <w:jc w:val="left"/>
              <w:rPr>
                <w:sz w:val="20"/>
                <w:lang w:val="en-US"/>
              </w:rPr>
            </w:pPr>
            <w:r>
              <w:rPr>
                <w:sz w:val="20"/>
                <w:lang w:val="en-US"/>
              </w:rPr>
              <w:t>13%</w:t>
            </w:r>
          </w:p>
          <w:p w14:paraId="6E8F69D4" w14:textId="77777777" w:rsidR="00D31D34" w:rsidRDefault="00D31D34" w:rsidP="00443352">
            <w:pPr>
              <w:pStyle w:val="CLDNormal"/>
              <w:spacing w:after="0"/>
              <w:jc w:val="left"/>
              <w:rPr>
                <w:sz w:val="20"/>
                <w:lang w:val="en-US"/>
              </w:rPr>
            </w:pPr>
            <w:r>
              <w:rPr>
                <w:sz w:val="20"/>
                <w:lang w:val="en-US"/>
              </w:rPr>
              <w:t>1.3</w:t>
            </w:r>
          </w:p>
          <w:p w14:paraId="0EDBCA14" w14:textId="77777777" w:rsidR="00D31D34" w:rsidRDefault="00D31D34" w:rsidP="00443352">
            <w:pPr>
              <w:pStyle w:val="CLDNormal"/>
              <w:spacing w:after="0"/>
              <w:jc w:val="left"/>
              <w:rPr>
                <w:sz w:val="20"/>
                <w:lang w:val="en-US"/>
              </w:rPr>
            </w:pPr>
            <w:r>
              <w:rPr>
                <w:sz w:val="20"/>
                <w:lang w:val="en-US"/>
              </w:rPr>
              <w:t>20%</w:t>
            </w:r>
          </w:p>
          <w:p w14:paraId="20E40FA6" w14:textId="77777777" w:rsidR="00D31D34" w:rsidRPr="00637E52" w:rsidRDefault="00D31D34" w:rsidP="00443352">
            <w:pPr>
              <w:pStyle w:val="CLDNormal"/>
              <w:spacing w:after="0"/>
              <w:jc w:val="left"/>
              <w:rPr>
                <w:sz w:val="20"/>
                <w:lang w:val="en-US"/>
              </w:rPr>
            </w:pPr>
          </w:p>
        </w:tc>
        <w:tc>
          <w:tcPr>
            <w:tcW w:w="2269" w:type="dxa"/>
          </w:tcPr>
          <w:p w14:paraId="6839177D" w14:textId="77777777" w:rsidR="00D31D34" w:rsidRDefault="00D31D34" w:rsidP="00443352">
            <w:pPr>
              <w:pStyle w:val="CLDNormal"/>
              <w:spacing w:after="0"/>
              <w:jc w:val="left"/>
              <w:rPr>
                <w:sz w:val="20"/>
                <w:lang w:val="en-US"/>
              </w:rPr>
            </w:pPr>
          </w:p>
          <w:p w14:paraId="7146FB7C" w14:textId="77777777" w:rsidR="00637E52" w:rsidRPr="00637E52" w:rsidRDefault="00637E52" w:rsidP="00443352">
            <w:pPr>
              <w:pStyle w:val="CLDNormal"/>
              <w:spacing w:after="0"/>
              <w:jc w:val="left"/>
              <w:rPr>
                <w:sz w:val="20"/>
                <w:lang w:val="en-US"/>
              </w:rPr>
            </w:pPr>
            <w:r w:rsidRPr="00637E52">
              <w:rPr>
                <w:sz w:val="20"/>
                <w:lang w:val="en-US"/>
              </w:rPr>
              <w:t>n=298</w:t>
            </w:r>
          </w:p>
          <w:p w14:paraId="4B2AC586" w14:textId="77777777" w:rsidR="00637E52" w:rsidRPr="00637E52" w:rsidRDefault="00637E52" w:rsidP="00443352">
            <w:pPr>
              <w:pStyle w:val="CLDNormal"/>
              <w:spacing w:after="0"/>
              <w:jc w:val="left"/>
              <w:rPr>
                <w:sz w:val="20"/>
                <w:lang w:val="en-US"/>
              </w:rPr>
            </w:pPr>
            <w:r w:rsidRPr="00637E52">
              <w:rPr>
                <w:sz w:val="20"/>
                <w:lang w:val="en-US"/>
              </w:rPr>
              <w:t>-0.4***</w:t>
            </w:r>
          </w:p>
          <w:p w14:paraId="42E87AB9" w14:textId="77777777" w:rsidR="00637E52" w:rsidRPr="00637E52" w:rsidRDefault="00637E52" w:rsidP="00443352">
            <w:pPr>
              <w:pStyle w:val="CLDNormal"/>
              <w:spacing w:after="0"/>
              <w:jc w:val="left"/>
              <w:rPr>
                <w:sz w:val="20"/>
                <w:lang w:val="en-US"/>
              </w:rPr>
            </w:pPr>
            <w:r w:rsidRPr="00637E52">
              <w:rPr>
                <w:sz w:val="20"/>
                <w:lang w:val="en-US"/>
              </w:rPr>
              <w:t>51%</w:t>
            </w:r>
          </w:p>
          <w:p w14:paraId="6BB8EB43" w14:textId="77777777" w:rsidR="00637E52" w:rsidRPr="00637E52" w:rsidRDefault="00637E52" w:rsidP="00443352">
            <w:pPr>
              <w:pStyle w:val="CLDNormal"/>
              <w:spacing w:after="0"/>
              <w:jc w:val="left"/>
              <w:rPr>
                <w:sz w:val="20"/>
                <w:lang w:val="en-US"/>
              </w:rPr>
            </w:pPr>
            <w:r w:rsidRPr="00637E52">
              <w:rPr>
                <w:sz w:val="20"/>
                <w:lang w:val="en-US"/>
              </w:rPr>
              <w:t>-9.1***</w:t>
            </w:r>
          </w:p>
          <w:p w14:paraId="3026644C" w14:textId="77777777" w:rsidR="00637E52" w:rsidRDefault="00637E52" w:rsidP="00443352">
            <w:pPr>
              <w:pStyle w:val="CLDNormal"/>
              <w:spacing w:after="0"/>
              <w:jc w:val="left"/>
              <w:rPr>
                <w:sz w:val="20"/>
                <w:lang w:val="en-US"/>
              </w:rPr>
            </w:pPr>
            <w:r w:rsidRPr="00637E52">
              <w:rPr>
                <w:sz w:val="20"/>
                <w:lang w:val="en-US"/>
              </w:rPr>
              <w:t>n=294</w:t>
            </w:r>
          </w:p>
          <w:p w14:paraId="4BE2944C" w14:textId="77777777" w:rsidR="00D31D34" w:rsidRDefault="00D31D34" w:rsidP="00443352">
            <w:pPr>
              <w:pStyle w:val="CLDNormal"/>
              <w:spacing w:after="0"/>
              <w:jc w:val="left"/>
              <w:rPr>
                <w:sz w:val="20"/>
                <w:lang w:val="en-US"/>
              </w:rPr>
            </w:pPr>
            <w:r>
              <w:rPr>
                <w:sz w:val="20"/>
                <w:lang w:val="en-US"/>
              </w:rPr>
              <w:t>5.8***</w:t>
            </w:r>
          </w:p>
          <w:p w14:paraId="4E5FF589" w14:textId="77777777" w:rsidR="00D31D34" w:rsidRDefault="00D31D34" w:rsidP="00443352">
            <w:pPr>
              <w:pStyle w:val="CLDNormal"/>
              <w:spacing w:after="0"/>
              <w:jc w:val="left"/>
              <w:rPr>
                <w:sz w:val="20"/>
                <w:lang w:val="en-US"/>
              </w:rPr>
            </w:pPr>
            <w:r>
              <w:rPr>
                <w:sz w:val="20"/>
                <w:lang w:val="en-US"/>
              </w:rPr>
              <w:t>48%***</w:t>
            </w:r>
          </w:p>
          <w:p w14:paraId="525B5F03" w14:textId="77777777" w:rsidR="00D31D34" w:rsidRDefault="00D31D34" w:rsidP="00443352">
            <w:pPr>
              <w:pStyle w:val="CLDNormal"/>
              <w:spacing w:after="0"/>
              <w:jc w:val="left"/>
              <w:rPr>
                <w:sz w:val="20"/>
                <w:lang w:val="en-US"/>
              </w:rPr>
            </w:pPr>
            <w:r>
              <w:rPr>
                <w:sz w:val="20"/>
                <w:lang w:val="en-US"/>
              </w:rPr>
              <w:t>4.7**</w:t>
            </w:r>
          </w:p>
          <w:p w14:paraId="1658D28E" w14:textId="77777777" w:rsidR="00D31D34" w:rsidRPr="00637E52" w:rsidRDefault="00D31D34" w:rsidP="00443352">
            <w:pPr>
              <w:pStyle w:val="CLDNormal"/>
              <w:spacing w:after="0"/>
              <w:jc w:val="left"/>
              <w:rPr>
                <w:sz w:val="20"/>
                <w:lang w:val="en-US"/>
              </w:rPr>
            </w:pPr>
            <w:r>
              <w:rPr>
                <w:sz w:val="20"/>
                <w:lang w:val="en-US"/>
              </w:rPr>
              <w:t xml:space="preserve">38%** </w:t>
            </w:r>
          </w:p>
        </w:tc>
      </w:tr>
    </w:tbl>
    <w:p w14:paraId="4F44FEEA" w14:textId="77777777" w:rsidR="00105D62" w:rsidRPr="00105D62" w:rsidRDefault="00105D62" w:rsidP="00443352">
      <w:pPr>
        <w:pStyle w:val="CLDNormal"/>
        <w:spacing w:after="0"/>
        <w:jc w:val="left"/>
        <w:rPr>
          <w:sz w:val="20"/>
          <w:lang w:val="en-US"/>
        </w:rPr>
      </w:pPr>
      <w:r w:rsidRPr="00105D62">
        <w:rPr>
          <w:sz w:val="20"/>
          <w:lang w:val="en-US"/>
        </w:rPr>
        <w:t>Significant difference from placebo at the primary time point: **p ≤ 0.001 ***p ≤ 0.0001</w:t>
      </w:r>
    </w:p>
    <w:p w14:paraId="24F43259" w14:textId="77777777" w:rsidR="00637E52" w:rsidRPr="00105D62" w:rsidRDefault="00105D62" w:rsidP="00443352">
      <w:pPr>
        <w:pStyle w:val="CLDNormal"/>
        <w:spacing w:after="0"/>
        <w:jc w:val="left"/>
        <w:rPr>
          <w:sz w:val="20"/>
          <w:lang w:val="en-US"/>
        </w:rPr>
      </w:pPr>
      <w:r w:rsidRPr="00105D62">
        <w:rPr>
          <w:sz w:val="20"/>
          <w:lang w:val="en-US"/>
        </w:rPr>
        <w:t>MCID (minimum clinically important difference): HAQ-DI ≥0.22, SF-36 PHS &gt;5.42, SF-36 MHS &gt;6.33</w:t>
      </w:r>
    </w:p>
    <w:p w14:paraId="6E066210" w14:textId="746E78DB" w:rsidR="00105D62" w:rsidRDefault="00105D62" w:rsidP="00443352">
      <w:pPr>
        <w:pStyle w:val="CLDNormal"/>
        <w:jc w:val="left"/>
        <w:rPr>
          <w:lang w:val="en-US"/>
        </w:rPr>
      </w:pPr>
      <w:r w:rsidRPr="00105D62">
        <w:rPr>
          <w:lang w:val="en-US"/>
        </w:rPr>
        <w:t xml:space="preserve">At week 24, in all three studies, the proportion of </w:t>
      </w:r>
      <w:r w:rsidR="00C403FE">
        <w:rPr>
          <w:lang w:val="en-US"/>
        </w:rPr>
        <w:t>Rituximab</w:t>
      </w:r>
      <w:r w:rsidRPr="00105D62">
        <w:rPr>
          <w:lang w:val="en-US"/>
        </w:rPr>
        <w:t xml:space="preserve"> + MTX treated patients showing a clinically relevant improvement in HAQ-DI (defined as an individual total score decrease of &gt; 0.25) was higher than among patients receiving MTX alone.</w:t>
      </w:r>
    </w:p>
    <w:p w14:paraId="05ECFBE6" w14:textId="77777777" w:rsidR="00105D62" w:rsidRPr="006A1EF8" w:rsidRDefault="00105D62" w:rsidP="00443352">
      <w:pPr>
        <w:pStyle w:val="CLDNormal"/>
        <w:jc w:val="left"/>
        <w:rPr>
          <w:rFonts w:eastAsiaTheme="minorEastAsia"/>
          <w:i/>
          <w:szCs w:val="24"/>
          <w:lang w:val="en-US"/>
        </w:rPr>
      </w:pPr>
      <w:r w:rsidRPr="006A1EF8">
        <w:rPr>
          <w:rFonts w:eastAsiaTheme="minorEastAsia"/>
          <w:i/>
          <w:szCs w:val="24"/>
          <w:lang w:val="en-US"/>
        </w:rPr>
        <w:t>Laboratory evaluations</w:t>
      </w:r>
    </w:p>
    <w:p w14:paraId="6F88523C" w14:textId="77777777" w:rsidR="00105D62" w:rsidRPr="00105D62" w:rsidRDefault="00105D62" w:rsidP="00443352">
      <w:pPr>
        <w:pStyle w:val="CLDNormal"/>
        <w:jc w:val="left"/>
        <w:rPr>
          <w:lang w:val="en-US"/>
        </w:rPr>
      </w:pPr>
      <w:r w:rsidRPr="00105D62">
        <w:rPr>
          <w:lang w:val="en-US"/>
        </w:rPr>
        <w:t>Approximately 10% of patients with RA tested positive for HACA (Human Anti-Chimeric Antibody) in clinical studies. The emergence of HACA was not associated with clinical deterioration or with an increased risk of reactions to subsequent infusions in the majority of patients. The presence of HACA may be associated with worsening of infusion or allergic reactions after the second infusion of subsequent courses, and failure to deplete B cells after receipt of further treatment courses has been observed rarely.</w:t>
      </w:r>
    </w:p>
    <w:p w14:paraId="5BC7C407" w14:textId="49686CBE" w:rsidR="00105D62" w:rsidRPr="00105D62" w:rsidRDefault="00105D62" w:rsidP="00443352">
      <w:pPr>
        <w:pStyle w:val="CLDNormal"/>
        <w:jc w:val="left"/>
        <w:rPr>
          <w:lang w:val="en-US"/>
        </w:rPr>
      </w:pPr>
      <w:r w:rsidRPr="00105D62">
        <w:rPr>
          <w:lang w:val="en-US"/>
        </w:rPr>
        <w:t xml:space="preserve">In Study 1 WA17042 (REFLEX), 15/308 (4.8%) </w:t>
      </w:r>
      <w:r w:rsidR="00C403FE" w:rsidRPr="00C403FE">
        <w:rPr>
          <w:lang w:val="en-US"/>
        </w:rPr>
        <w:t>rituximab</w:t>
      </w:r>
      <w:r w:rsidRPr="00105D62">
        <w:rPr>
          <w:lang w:val="en-US"/>
        </w:rPr>
        <w:t xml:space="preserve"> + MTX treated patients and 8/209 (3.8%) patients treated with MTX alone were anti-nuclear antibody (ANA) negative at day 1 and became ANA positive at week 16 and/or week 24. The adverse event profile in these patients did not provide any evidence of new onset autoimmune disease.</w:t>
      </w:r>
    </w:p>
    <w:p w14:paraId="19B820AE" w14:textId="46208772" w:rsidR="00105D62" w:rsidRPr="00105D62" w:rsidRDefault="00105D62" w:rsidP="00443352">
      <w:pPr>
        <w:pStyle w:val="CLDNormal"/>
        <w:jc w:val="left"/>
        <w:rPr>
          <w:lang w:val="en-US"/>
        </w:rPr>
      </w:pPr>
      <w:r w:rsidRPr="00105D62">
        <w:rPr>
          <w:lang w:val="en-US"/>
        </w:rPr>
        <w:t xml:space="preserve">In RF positive patients, marked decreases were observed in RF concentrations following treatment with </w:t>
      </w:r>
      <w:r w:rsidR="00C403FE" w:rsidRPr="00C403FE">
        <w:rPr>
          <w:lang w:val="en-US"/>
        </w:rPr>
        <w:t>rituximab</w:t>
      </w:r>
      <w:r w:rsidRPr="00105D62">
        <w:rPr>
          <w:lang w:val="en-US"/>
        </w:rPr>
        <w:t xml:space="preserve"> in all three studies (range 45-64%).</w:t>
      </w:r>
    </w:p>
    <w:p w14:paraId="47CA6869" w14:textId="68F8F2C2" w:rsidR="00105D62" w:rsidRPr="00105D62" w:rsidRDefault="00105D62" w:rsidP="00443352">
      <w:pPr>
        <w:pStyle w:val="CLDNormal"/>
        <w:jc w:val="left"/>
        <w:rPr>
          <w:lang w:val="en-US"/>
        </w:rPr>
      </w:pPr>
      <w:proofErr w:type="spellStart"/>
      <w:r w:rsidRPr="00105D62">
        <w:rPr>
          <w:lang w:val="en-US"/>
        </w:rPr>
        <w:t>Hyperuricaemia</w:t>
      </w:r>
      <w:proofErr w:type="spellEnd"/>
      <w:r w:rsidRPr="00105D62">
        <w:rPr>
          <w:lang w:val="en-US"/>
        </w:rPr>
        <w:t xml:space="preserve"> (Grade 3/4) occurred in 143/950 (15%) patients, with the majority post-infusion on days 1 and/or 15. It was not associated with any clinical symptoms, and none of these patients developed evidence of renal disease. Increases in serum uric acid are often</w:t>
      </w:r>
      <w:r>
        <w:rPr>
          <w:lang w:val="en-US"/>
        </w:rPr>
        <w:t xml:space="preserve"> </w:t>
      </w:r>
      <w:r w:rsidRPr="00105D62">
        <w:rPr>
          <w:lang w:val="en-US"/>
        </w:rPr>
        <w:t xml:space="preserve">associated with the catabolism of DNA. This finding is consistent with the destruction of B cells resulting from </w:t>
      </w:r>
      <w:r w:rsidR="00C403FE" w:rsidRPr="00C403FE">
        <w:rPr>
          <w:lang w:val="en-US"/>
        </w:rPr>
        <w:t>rituximab</w:t>
      </w:r>
      <w:r w:rsidRPr="00105D62">
        <w:rPr>
          <w:lang w:val="en-US"/>
        </w:rPr>
        <w:t xml:space="preserve"> therapy.</w:t>
      </w:r>
    </w:p>
    <w:p w14:paraId="3B145CA3" w14:textId="77777777" w:rsidR="00105D62" w:rsidRPr="00105D62" w:rsidRDefault="00105D62" w:rsidP="00443352">
      <w:pPr>
        <w:pStyle w:val="CLDNormal"/>
        <w:jc w:val="left"/>
        <w:rPr>
          <w:lang w:val="en-US"/>
        </w:rPr>
      </w:pPr>
      <w:r w:rsidRPr="00105D62">
        <w:rPr>
          <w:lang w:val="en-US"/>
        </w:rPr>
        <w:t>Hypophosphataemia (Grade 3) occurred in 193/950 (21%) patients. There was also one case of Grade 4 hypophosphataemia. Most cases occurred post-infusion, where patients received oral and/or IV corticosteroids. Low phosphate levels are associated with corticosteroid treatment and osteoporosis.</w:t>
      </w:r>
    </w:p>
    <w:p w14:paraId="1732A08D" w14:textId="6C509297" w:rsidR="00105D62" w:rsidRPr="00105D62" w:rsidRDefault="00105D62" w:rsidP="00443352">
      <w:pPr>
        <w:pStyle w:val="CLDNormal"/>
        <w:jc w:val="left"/>
        <w:rPr>
          <w:lang w:val="en-US"/>
        </w:rPr>
      </w:pPr>
      <w:r w:rsidRPr="00105D62">
        <w:rPr>
          <w:lang w:val="en-US"/>
        </w:rPr>
        <w:t xml:space="preserve">Plasma total immunoglobulin concentrations, total lymphocytes counts, and white cells generally remained within normal limits following </w:t>
      </w:r>
      <w:r w:rsidR="00C403FE" w:rsidRPr="00C403FE">
        <w:rPr>
          <w:lang w:val="en-US"/>
        </w:rPr>
        <w:t>rituximab</w:t>
      </w:r>
      <w:r w:rsidRPr="00105D62">
        <w:rPr>
          <w:lang w:val="en-US"/>
        </w:rPr>
        <w:t xml:space="preserve"> treatment, with the exception of a transient drop in white cell counts over the first four weeks following therapy. </w:t>
      </w:r>
      <w:proofErr w:type="spellStart"/>
      <w:r w:rsidRPr="00105D62">
        <w:rPr>
          <w:lang w:val="en-US"/>
        </w:rPr>
        <w:t>Lymphopenia</w:t>
      </w:r>
      <w:proofErr w:type="spellEnd"/>
      <w:r w:rsidRPr="00105D62">
        <w:rPr>
          <w:lang w:val="en-US"/>
        </w:rPr>
        <w:t xml:space="preserve"> (Grade 3/4) was experienced by 679/1003 (68%) of patients compared to 52%-54% of patients who experienced Grade 3 </w:t>
      </w:r>
      <w:proofErr w:type="spellStart"/>
      <w:r w:rsidRPr="00105D62">
        <w:rPr>
          <w:lang w:val="en-US"/>
        </w:rPr>
        <w:t>lymphopenia</w:t>
      </w:r>
      <w:proofErr w:type="spellEnd"/>
      <w:r w:rsidRPr="00105D62">
        <w:rPr>
          <w:lang w:val="en-US"/>
        </w:rPr>
        <w:t xml:space="preserve"> and 1%-3% of patients who experienced Grade 4 </w:t>
      </w:r>
      <w:proofErr w:type="spellStart"/>
      <w:r w:rsidRPr="00105D62">
        <w:rPr>
          <w:lang w:val="en-US"/>
        </w:rPr>
        <w:t>lymphopenia</w:t>
      </w:r>
      <w:proofErr w:type="spellEnd"/>
      <w:r w:rsidRPr="00105D62">
        <w:rPr>
          <w:lang w:val="en-US"/>
        </w:rPr>
        <w:t xml:space="preserve"> in the 24-week double-blind populations. Most cases occurred immediately after the first infusion, consistent with peripheral B-cell depletion, and lymphocyte numbers recovered thereafter. The majority of the Grade 4 cases were transient though 6 patients had more persistent Grade 4 </w:t>
      </w:r>
      <w:proofErr w:type="spellStart"/>
      <w:r w:rsidRPr="00105D62">
        <w:rPr>
          <w:lang w:val="en-US"/>
        </w:rPr>
        <w:t>lymphopenia</w:t>
      </w:r>
      <w:proofErr w:type="spellEnd"/>
      <w:r w:rsidRPr="00105D62">
        <w:rPr>
          <w:lang w:val="en-US"/>
        </w:rPr>
        <w:t xml:space="preserve">, one of whom had a serious infection (2 occurrences of pneumonia in a diabetic patient; both cases resolved). All 6 patients had low lymphocyte counts before exposure to </w:t>
      </w:r>
      <w:r w:rsidR="00C403FE" w:rsidRPr="00C403FE">
        <w:rPr>
          <w:lang w:val="en-US"/>
        </w:rPr>
        <w:t>rituximab</w:t>
      </w:r>
      <w:r w:rsidRPr="00105D62">
        <w:rPr>
          <w:lang w:val="en-US"/>
        </w:rPr>
        <w:t xml:space="preserve">, including 2 patients who experienced up to Grade 4 </w:t>
      </w:r>
      <w:proofErr w:type="spellStart"/>
      <w:r w:rsidRPr="00105D62">
        <w:rPr>
          <w:lang w:val="en-US"/>
        </w:rPr>
        <w:t>lymphopenia</w:t>
      </w:r>
      <w:proofErr w:type="spellEnd"/>
      <w:r w:rsidRPr="00105D62">
        <w:rPr>
          <w:lang w:val="en-US"/>
        </w:rPr>
        <w:t xml:space="preserve"> whilst on placebo. A total of 17 non serious infections were reported all of which resolved without sequelae. Neutropenia (Grade 3/4) was also observed at a higher rate in </w:t>
      </w:r>
      <w:r w:rsidR="00C403FE" w:rsidRPr="00C403FE">
        <w:rPr>
          <w:lang w:val="en-US"/>
        </w:rPr>
        <w:t>rituximab</w:t>
      </w:r>
      <w:r w:rsidRPr="00105D62">
        <w:rPr>
          <w:lang w:val="en-US"/>
        </w:rPr>
        <w:t>-treated patients compared to placebo (0.94% vs. 0.27%) (see section 4.8 Adverse effects (Undesirable effects)).</w:t>
      </w:r>
    </w:p>
    <w:p w14:paraId="0C45F1B4" w14:textId="6A14A3DD" w:rsidR="00637E52" w:rsidRDefault="00105D62" w:rsidP="00443352">
      <w:pPr>
        <w:pStyle w:val="CLDNormal"/>
        <w:jc w:val="left"/>
        <w:rPr>
          <w:lang w:val="en-US"/>
        </w:rPr>
      </w:pPr>
      <w:proofErr w:type="spellStart"/>
      <w:r w:rsidRPr="00105D62">
        <w:rPr>
          <w:lang w:val="en-US"/>
        </w:rPr>
        <w:t>Titres</w:t>
      </w:r>
      <w:proofErr w:type="spellEnd"/>
      <w:r w:rsidRPr="00105D62">
        <w:rPr>
          <w:lang w:val="en-US"/>
        </w:rPr>
        <w:t xml:space="preserve"> of IgG antigen specific antibody to mumps, rubella, varicella, tetanus toxoid, influenza and streptococcus pneumococci remained stable over 24 weeks following exposure to </w:t>
      </w:r>
      <w:r w:rsidR="00C403FE" w:rsidRPr="00C403FE">
        <w:rPr>
          <w:lang w:val="en-US"/>
        </w:rPr>
        <w:t>rituximab</w:t>
      </w:r>
      <w:r w:rsidRPr="00105D62">
        <w:rPr>
          <w:lang w:val="en-US"/>
        </w:rPr>
        <w:t xml:space="preserve"> in RA patients.</w:t>
      </w:r>
    </w:p>
    <w:p w14:paraId="72564DDF" w14:textId="64628BCC" w:rsidR="00105D62" w:rsidRPr="00105D62" w:rsidRDefault="00105D62" w:rsidP="00443352">
      <w:pPr>
        <w:pStyle w:val="CLDNormal"/>
        <w:jc w:val="left"/>
        <w:rPr>
          <w:lang w:val="en-US"/>
        </w:rPr>
      </w:pPr>
      <w:r w:rsidRPr="00105D62">
        <w:rPr>
          <w:lang w:val="en-US"/>
        </w:rPr>
        <w:t xml:space="preserve">The effect of </w:t>
      </w:r>
      <w:r w:rsidR="00C403FE" w:rsidRPr="00C403FE">
        <w:rPr>
          <w:lang w:val="en-US"/>
        </w:rPr>
        <w:t>rituximab</w:t>
      </w:r>
      <w:r w:rsidRPr="00105D62">
        <w:rPr>
          <w:lang w:val="en-US"/>
        </w:rPr>
        <w:t xml:space="preserve"> on a variety of biomarkers was evaluated in patients enrolled into Study 3. This </w:t>
      </w:r>
      <w:proofErr w:type="spellStart"/>
      <w:r w:rsidRPr="00105D62">
        <w:rPr>
          <w:lang w:val="en-US"/>
        </w:rPr>
        <w:t>substudy</w:t>
      </w:r>
      <w:proofErr w:type="spellEnd"/>
      <w:r w:rsidRPr="00105D62">
        <w:rPr>
          <w:lang w:val="en-US"/>
        </w:rPr>
        <w:t xml:space="preserve"> evaluated the impact of a single treatment course of </w:t>
      </w:r>
      <w:r w:rsidR="00C403FE" w:rsidRPr="00C403FE">
        <w:rPr>
          <w:lang w:val="en-US"/>
        </w:rPr>
        <w:t>rituximab</w:t>
      </w:r>
      <w:r w:rsidRPr="00105D62">
        <w:rPr>
          <w:lang w:val="en-US"/>
        </w:rPr>
        <w:t xml:space="preserve"> on levels of biochemical markers, including markers of inflammation [Interleukin 6, C Reactive protein, Serum amyloid type A protein, Protein S100 isotypes A8 and A9], autoantibody (RF and anti-CCP immunoglobulin) production and bone turnover [</w:t>
      </w:r>
      <w:proofErr w:type="spellStart"/>
      <w:r w:rsidRPr="00105D62">
        <w:rPr>
          <w:lang w:val="en-US"/>
        </w:rPr>
        <w:t>osteocalcin</w:t>
      </w:r>
      <w:proofErr w:type="spellEnd"/>
      <w:r w:rsidRPr="00105D62">
        <w:rPr>
          <w:lang w:val="en-US"/>
        </w:rPr>
        <w:t xml:space="preserve"> and procollagen 1 N terminal peptide (P1NP). </w:t>
      </w:r>
      <w:r w:rsidR="00C403FE">
        <w:rPr>
          <w:lang w:val="en-US"/>
        </w:rPr>
        <w:t>R</w:t>
      </w:r>
      <w:r w:rsidR="00C403FE" w:rsidRPr="00C403FE">
        <w:rPr>
          <w:lang w:val="en-US"/>
        </w:rPr>
        <w:t>ituximab</w:t>
      </w:r>
      <w:r w:rsidRPr="00105D62">
        <w:rPr>
          <w:lang w:val="en-US"/>
        </w:rPr>
        <w:t xml:space="preserve"> treatment, whether as monotherapy or in combination with MTX or cyclophosphamide reduced the levels of inflammatory markers significantly, relative to MTX alone, over the first 24 weeks of follow-up. Levels of markers of bone turnover, </w:t>
      </w:r>
      <w:proofErr w:type="spellStart"/>
      <w:r w:rsidRPr="00105D62">
        <w:rPr>
          <w:lang w:val="en-US"/>
        </w:rPr>
        <w:t>osteocalcin</w:t>
      </w:r>
      <w:proofErr w:type="spellEnd"/>
      <w:r w:rsidRPr="00105D62">
        <w:rPr>
          <w:lang w:val="en-US"/>
        </w:rPr>
        <w:t xml:space="preserve"> and P1NP, increased significantly in the </w:t>
      </w:r>
      <w:r w:rsidR="00C403FE" w:rsidRPr="00C403FE">
        <w:rPr>
          <w:lang w:val="en-US"/>
        </w:rPr>
        <w:t>rituximab</w:t>
      </w:r>
      <w:r w:rsidRPr="00105D62">
        <w:rPr>
          <w:lang w:val="en-US"/>
        </w:rPr>
        <w:t xml:space="preserve"> + MTX groups compared to MTX alone.</w:t>
      </w:r>
    </w:p>
    <w:p w14:paraId="73F648CA" w14:textId="77777777" w:rsidR="00105D62" w:rsidRPr="006A1EF8" w:rsidRDefault="00105D62" w:rsidP="00443352">
      <w:pPr>
        <w:pStyle w:val="CLDNormal"/>
        <w:jc w:val="left"/>
        <w:rPr>
          <w:rFonts w:eastAsiaTheme="minorEastAsia"/>
          <w:i/>
          <w:szCs w:val="24"/>
          <w:lang w:val="en-US"/>
        </w:rPr>
      </w:pPr>
      <w:r w:rsidRPr="006A1EF8">
        <w:rPr>
          <w:rFonts w:eastAsiaTheme="minorEastAsia"/>
          <w:i/>
          <w:szCs w:val="24"/>
          <w:lang w:val="en-US"/>
        </w:rPr>
        <w:t>Multiple Course Therapy</w:t>
      </w:r>
    </w:p>
    <w:p w14:paraId="4A53530F" w14:textId="3399F630" w:rsidR="00105D62" w:rsidRPr="00105D62" w:rsidRDefault="00105D62" w:rsidP="00443352">
      <w:pPr>
        <w:pStyle w:val="CLDNormal"/>
        <w:jc w:val="left"/>
        <w:rPr>
          <w:lang w:val="en-US"/>
        </w:rPr>
      </w:pPr>
      <w:r w:rsidRPr="00105D62">
        <w:rPr>
          <w:lang w:val="en-US"/>
        </w:rPr>
        <w:t xml:space="preserve">Following completion of the 24-week double blind comparative study period, patients were permitted to </w:t>
      </w:r>
      <w:proofErr w:type="spellStart"/>
      <w:r w:rsidRPr="00105D62">
        <w:rPr>
          <w:lang w:val="en-US"/>
        </w:rPr>
        <w:t>enrol</w:t>
      </w:r>
      <w:proofErr w:type="spellEnd"/>
      <w:r w:rsidRPr="00105D62">
        <w:rPr>
          <w:lang w:val="en-US"/>
        </w:rPr>
        <w:t xml:space="preserve"> into an open-label long term follow up study. Patients received subsequent courses of </w:t>
      </w:r>
      <w:r w:rsidR="00A417DA" w:rsidRPr="00A417DA">
        <w:rPr>
          <w:lang w:val="en-US"/>
        </w:rPr>
        <w:t>rituximab</w:t>
      </w:r>
      <w:r w:rsidRPr="00105D62">
        <w:rPr>
          <w:lang w:val="en-US"/>
        </w:rPr>
        <w:t xml:space="preserve"> as needed according to the treating clinician’s assessment of disease activity and irrespective of the peripheral B lymphocyte count.</w:t>
      </w:r>
    </w:p>
    <w:p w14:paraId="79A65304" w14:textId="23B27845" w:rsidR="00105D62" w:rsidRDefault="00105D62" w:rsidP="00443352">
      <w:pPr>
        <w:pStyle w:val="CLDNormal"/>
        <w:jc w:val="left"/>
        <w:rPr>
          <w:lang w:val="en-US"/>
        </w:rPr>
      </w:pPr>
      <w:r w:rsidRPr="00105D62">
        <w:rPr>
          <w:lang w:val="en-US"/>
        </w:rPr>
        <w:t xml:space="preserve">The all exposure population in the three double blind controlled trials (one Phase III and two Phase II trials) was 990 patients. Of these, 301 patients received a second course of </w:t>
      </w:r>
      <w:r w:rsidR="00CF2ED9" w:rsidRPr="00CF2ED9">
        <w:rPr>
          <w:lang w:val="en-US"/>
        </w:rPr>
        <w:t>rituximab</w:t>
      </w:r>
      <w:r w:rsidRPr="00105D62">
        <w:rPr>
          <w:lang w:val="en-US"/>
        </w:rPr>
        <w:t xml:space="preserve"> 2 x 1000 mg + MTX, and 46 patients received a third course of </w:t>
      </w:r>
      <w:r w:rsidR="00CF2ED9" w:rsidRPr="00CF2ED9">
        <w:rPr>
          <w:lang w:val="en-US"/>
        </w:rPr>
        <w:t>rituximab</w:t>
      </w:r>
      <w:r w:rsidRPr="00105D62">
        <w:rPr>
          <w:lang w:val="en-US"/>
        </w:rPr>
        <w:t xml:space="preserve"> 2 x 1000 mg + MTX.</w:t>
      </w:r>
    </w:p>
    <w:p w14:paraId="7CCBC838" w14:textId="10BCA8C4" w:rsidR="00105D62" w:rsidRPr="00105D62" w:rsidRDefault="00105D62" w:rsidP="00443352">
      <w:pPr>
        <w:pStyle w:val="CLDNormal"/>
        <w:jc w:val="left"/>
        <w:rPr>
          <w:lang w:val="en-US"/>
        </w:rPr>
      </w:pPr>
      <w:r w:rsidRPr="00105D62">
        <w:rPr>
          <w:lang w:val="en-US"/>
        </w:rPr>
        <w:t xml:space="preserve">At the point of data cut-off, 24.7% (193/781) of patients who had enrolled in the </w:t>
      </w:r>
      <w:r w:rsidR="00CF2ED9" w:rsidRPr="00CF2ED9">
        <w:rPr>
          <w:lang w:val="en-US"/>
        </w:rPr>
        <w:t>rituximab</w:t>
      </w:r>
      <w:r w:rsidRPr="00105D62">
        <w:rPr>
          <w:lang w:val="en-US"/>
        </w:rPr>
        <w:t xml:space="preserve"> 2 x 1000 mg + MTX arms of the Phase II and Phase III studies had been retreated (point of data cut-off was defined as the time when all patients had been followed up for at least 24 weeks). Also at the data cut-off point, the majority of patients from the double blind comparative study period had received one course of treatment in the year. Kaplan-Meier analysis of time to second treatment course (censoring patients who did not receive a second treatment course or who withdrew from the study) shows an estimated median time for retreatment in the prior anti-TNF population of 364 days (interquartile range: 245-559 days), Figure 1, and 547 days (interquartile range: 302-889 days) in the no prior anti-TNF population, Figure 2.</w:t>
      </w:r>
    </w:p>
    <w:p w14:paraId="30CD11A4" w14:textId="77777777" w:rsidR="00105D62" w:rsidRPr="00105D62" w:rsidRDefault="00105D62" w:rsidP="00443352">
      <w:pPr>
        <w:pStyle w:val="CLDNormal"/>
        <w:jc w:val="left"/>
        <w:rPr>
          <w:lang w:val="en-US"/>
        </w:rPr>
      </w:pPr>
      <w:r w:rsidRPr="00105D62">
        <w:rPr>
          <w:lang w:val="en-US"/>
        </w:rPr>
        <w:t>The time interval between courses was variable. The majority of patients, who had two treatment courses at the time of cut-off, received their second course of treatment 6 to 12 months after the first treatment course. Some patients required even less frequent retreatment. The response to further therapy was at least the same magnitude as that following the initial treatment course, as evidenced by the change from baseline DAS28 (Figure 3).</w:t>
      </w:r>
    </w:p>
    <w:p w14:paraId="31EB9204" w14:textId="30A3156F" w:rsidR="00CF2ED9" w:rsidRDefault="00105D62" w:rsidP="00443352">
      <w:pPr>
        <w:pStyle w:val="CLDNormal"/>
        <w:jc w:val="left"/>
        <w:rPr>
          <w:lang w:val="en-US"/>
        </w:rPr>
      </w:pPr>
      <w:r w:rsidRPr="00105D62">
        <w:rPr>
          <w:lang w:val="en-US"/>
        </w:rPr>
        <w:t xml:space="preserve">Since many patients in the prior anti-TNF population remain in the studies after a single course of treatment with </w:t>
      </w:r>
      <w:r w:rsidR="00CF2ED9" w:rsidRPr="00CF2ED9">
        <w:rPr>
          <w:lang w:val="en-US"/>
        </w:rPr>
        <w:t>rituximab</w:t>
      </w:r>
      <w:r w:rsidRPr="00105D62">
        <w:rPr>
          <w:lang w:val="en-US"/>
        </w:rPr>
        <w:t xml:space="preserve"> + MTX, these results are subject to change as the observation period increases.</w:t>
      </w:r>
      <w:r w:rsidR="006A3BF0">
        <w:rPr>
          <w:lang w:val="en-US"/>
        </w:rPr>
        <w:t xml:space="preserve"> </w:t>
      </w:r>
    </w:p>
    <w:p w14:paraId="354D665D" w14:textId="77777777" w:rsidR="00105D62" w:rsidRPr="00CF2ED9" w:rsidRDefault="00105D62" w:rsidP="00443352">
      <w:pPr>
        <w:pStyle w:val="CLDNormal"/>
        <w:jc w:val="left"/>
        <w:rPr>
          <w:b/>
          <w:sz w:val="22"/>
          <w:szCs w:val="22"/>
          <w:lang w:val="en-US"/>
        </w:rPr>
      </w:pPr>
      <w:r w:rsidRPr="00CF2ED9">
        <w:rPr>
          <w:b/>
          <w:sz w:val="22"/>
          <w:szCs w:val="22"/>
          <w:lang w:val="en-US"/>
        </w:rPr>
        <w:t>Figure 1: Kaplan-Meier Analysis of Time to Second Treatment Course, Prior Anti-TNF Population</w:t>
      </w:r>
    </w:p>
    <w:p w14:paraId="755CDF7D" w14:textId="77777777" w:rsidR="00105D62" w:rsidRDefault="00CD6F40" w:rsidP="00443352">
      <w:pPr>
        <w:pStyle w:val="CLDNormal"/>
        <w:jc w:val="left"/>
        <w:rPr>
          <w:lang w:val="en-US"/>
        </w:rPr>
      </w:pPr>
      <w:r w:rsidRPr="00CD6F40">
        <w:rPr>
          <w:noProof/>
          <w:lang w:val="en-AU" w:eastAsia="en-AU"/>
        </w:rPr>
        <w:drawing>
          <wp:inline distT="0" distB="0" distL="0" distR="0" wp14:anchorId="0FC6D954" wp14:editId="5A8C22F6">
            <wp:extent cx="5250180" cy="2960548"/>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9821" cy="2965984"/>
                    </a:xfrm>
                    <a:prstGeom prst="rect">
                      <a:avLst/>
                    </a:prstGeom>
                    <a:noFill/>
                    <a:ln>
                      <a:noFill/>
                    </a:ln>
                  </pic:spPr>
                </pic:pic>
              </a:graphicData>
            </a:graphic>
          </wp:inline>
        </w:drawing>
      </w:r>
    </w:p>
    <w:p w14:paraId="06F6B939" w14:textId="77777777" w:rsidR="00761D3A" w:rsidRPr="00761D3A" w:rsidRDefault="00761D3A" w:rsidP="00443352">
      <w:pPr>
        <w:pStyle w:val="CLDNormal"/>
        <w:spacing w:after="0"/>
        <w:jc w:val="left"/>
        <w:rPr>
          <w:sz w:val="20"/>
          <w:lang w:val="en-US"/>
        </w:rPr>
      </w:pPr>
      <w:r w:rsidRPr="00761D3A">
        <w:rPr>
          <w:sz w:val="20"/>
          <w:lang w:val="en-US"/>
        </w:rPr>
        <w:t>Survival function = Probability of not switching to re-treatment</w:t>
      </w:r>
    </w:p>
    <w:p w14:paraId="422C6818" w14:textId="77777777" w:rsidR="00761D3A" w:rsidRDefault="00761D3A" w:rsidP="00443352">
      <w:pPr>
        <w:pStyle w:val="CLDNormal"/>
        <w:spacing w:after="0"/>
        <w:jc w:val="left"/>
        <w:rPr>
          <w:sz w:val="20"/>
          <w:lang w:val="en-US"/>
        </w:rPr>
      </w:pPr>
      <w:r w:rsidRPr="00761D3A">
        <w:rPr>
          <w:sz w:val="20"/>
          <w:lang w:val="en-US"/>
        </w:rPr>
        <w:t>n = 525</w:t>
      </w:r>
    </w:p>
    <w:p w14:paraId="3CA236E3" w14:textId="77777777" w:rsidR="00761D3A" w:rsidRDefault="00761D3A" w:rsidP="00443352">
      <w:pPr>
        <w:pStyle w:val="CLDNormal"/>
        <w:spacing w:after="0"/>
        <w:jc w:val="left"/>
        <w:rPr>
          <w:sz w:val="20"/>
          <w:lang w:val="en-US"/>
        </w:rPr>
      </w:pPr>
    </w:p>
    <w:p w14:paraId="14BCD503" w14:textId="476CB3E4" w:rsidR="004F4D7B" w:rsidRDefault="004F4D7B" w:rsidP="00443352">
      <w:pPr>
        <w:pStyle w:val="CLDNormal"/>
        <w:spacing w:after="0"/>
        <w:jc w:val="left"/>
        <w:rPr>
          <w:sz w:val="20"/>
          <w:lang w:val="en-US"/>
        </w:rPr>
      </w:pPr>
    </w:p>
    <w:p w14:paraId="303E07FF" w14:textId="7DB4A056" w:rsidR="00443352" w:rsidRDefault="00443352" w:rsidP="00443352">
      <w:pPr>
        <w:pStyle w:val="CLDNormal"/>
        <w:spacing w:after="0"/>
        <w:jc w:val="left"/>
        <w:rPr>
          <w:sz w:val="20"/>
          <w:lang w:val="en-US"/>
        </w:rPr>
      </w:pPr>
    </w:p>
    <w:p w14:paraId="15780578" w14:textId="77777777" w:rsidR="00443352" w:rsidRPr="00761D3A" w:rsidRDefault="00443352" w:rsidP="00443352">
      <w:pPr>
        <w:pStyle w:val="CLDNormal"/>
        <w:spacing w:after="0"/>
        <w:jc w:val="left"/>
        <w:rPr>
          <w:sz w:val="20"/>
          <w:lang w:val="en-US"/>
        </w:rPr>
      </w:pPr>
    </w:p>
    <w:p w14:paraId="16A6D583" w14:textId="77777777" w:rsidR="00761D3A" w:rsidRPr="00CF2ED9" w:rsidRDefault="00761D3A" w:rsidP="00443352">
      <w:pPr>
        <w:pStyle w:val="CLDNormal"/>
        <w:jc w:val="left"/>
        <w:rPr>
          <w:sz w:val="22"/>
          <w:szCs w:val="22"/>
          <w:lang w:val="en-US"/>
        </w:rPr>
      </w:pPr>
      <w:r w:rsidRPr="00CF2ED9">
        <w:rPr>
          <w:b/>
          <w:bCs/>
          <w:sz w:val="22"/>
          <w:szCs w:val="22"/>
          <w:lang w:val="en-AU"/>
        </w:rPr>
        <w:t>Figure 2: Kaplan-Meier Analysis of Time to Second Treatment Course, No Prior Anti-TNF Population</w:t>
      </w:r>
    </w:p>
    <w:p w14:paraId="1959BE76" w14:textId="77777777" w:rsidR="00105D62" w:rsidRDefault="00761D3A" w:rsidP="00443352">
      <w:pPr>
        <w:pStyle w:val="CLDNormal"/>
        <w:jc w:val="left"/>
        <w:rPr>
          <w:lang w:val="en-US"/>
        </w:rPr>
      </w:pPr>
      <w:r w:rsidRPr="00761D3A">
        <w:rPr>
          <w:noProof/>
          <w:lang w:val="en-AU" w:eastAsia="en-AU"/>
        </w:rPr>
        <w:drawing>
          <wp:inline distT="0" distB="0" distL="0" distR="0" wp14:anchorId="4D262117" wp14:editId="4AD05482">
            <wp:extent cx="4998720" cy="2832173"/>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5151" cy="2841482"/>
                    </a:xfrm>
                    <a:prstGeom prst="rect">
                      <a:avLst/>
                    </a:prstGeom>
                    <a:noFill/>
                    <a:ln>
                      <a:noFill/>
                    </a:ln>
                  </pic:spPr>
                </pic:pic>
              </a:graphicData>
            </a:graphic>
          </wp:inline>
        </w:drawing>
      </w:r>
    </w:p>
    <w:p w14:paraId="22EC6D5D" w14:textId="77777777" w:rsidR="00761D3A" w:rsidRPr="00761D3A" w:rsidRDefault="00761D3A" w:rsidP="00443352">
      <w:pPr>
        <w:pStyle w:val="CLDNormal"/>
        <w:spacing w:after="0"/>
        <w:jc w:val="left"/>
        <w:rPr>
          <w:sz w:val="20"/>
          <w:lang w:val="en-AU"/>
        </w:rPr>
      </w:pPr>
      <w:r w:rsidRPr="00761D3A">
        <w:rPr>
          <w:sz w:val="20"/>
          <w:lang w:val="en-AU"/>
        </w:rPr>
        <w:t xml:space="preserve">Survival function = Probability of not switching to re-treatment </w:t>
      </w:r>
    </w:p>
    <w:p w14:paraId="632C60F9" w14:textId="77777777" w:rsidR="00105D62" w:rsidRPr="00761D3A" w:rsidRDefault="00761D3A" w:rsidP="00443352">
      <w:pPr>
        <w:pStyle w:val="CLDNormal"/>
        <w:jc w:val="left"/>
        <w:rPr>
          <w:sz w:val="20"/>
          <w:lang w:val="en-US"/>
        </w:rPr>
      </w:pPr>
      <w:r w:rsidRPr="00761D3A">
        <w:rPr>
          <w:sz w:val="20"/>
          <w:lang w:val="en-AU"/>
        </w:rPr>
        <w:t>n = 256</w:t>
      </w:r>
    </w:p>
    <w:p w14:paraId="056CB135" w14:textId="59DE6326" w:rsidR="00761D3A" w:rsidRPr="00CF2ED9" w:rsidRDefault="00761D3A" w:rsidP="00443352">
      <w:pPr>
        <w:pStyle w:val="CLDNormal"/>
        <w:jc w:val="left"/>
        <w:rPr>
          <w:sz w:val="22"/>
          <w:szCs w:val="22"/>
          <w:lang w:val="en-US"/>
        </w:rPr>
      </w:pPr>
      <w:r w:rsidRPr="00CF2ED9">
        <w:rPr>
          <w:b/>
          <w:bCs/>
          <w:sz w:val="22"/>
          <w:szCs w:val="22"/>
          <w:lang w:val="en-AU"/>
        </w:rPr>
        <w:t>Figure 3: Mean Change in DAS28 Over Time Following First and Second Course Therapy (Prior anti-TNF population)</w:t>
      </w:r>
    </w:p>
    <w:p w14:paraId="35D70344" w14:textId="77777777" w:rsidR="00761D3A" w:rsidRDefault="00761D3A" w:rsidP="00443352">
      <w:pPr>
        <w:pStyle w:val="CLDNormal"/>
        <w:jc w:val="left"/>
        <w:rPr>
          <w:lang w:val="en-US"/>
        </w:rPr>
      </w:pPr>
      <w:r w:rsidRPr="00761D3A">
        <w:rPr>
          <w:noProof/>
          <w:lang w:val="en-AU" w:eastAsia="en-AU"/>
        </w:rPr>
        <w:drawing>
          <wp:inline distT="0" distB="0" distL="0" distR="0" wp14:anchorId="3546E14F" wp14:editId="7B3E649E">
            <wp:extent cx="4122420" cy="3268787"/>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8883" cy="3273912"/>
                    </a:xfrm>
                    <a:prstGeom prst="rect">
                      <a:avLst/>
                    </a:prstGeom>
                    <a:noFill/>
                    <a:ln>
                      <a:noFill/>
                    </a:ln>
                  </pic:spPr>
                </pic:pic>
              </a:graphicData>
            </a:graphic>
          </wp:inline>
        </w:drawing>
      </w:r>
    </w:p>
    <w:p w14:paraId="14A50659" w14:textId="77777777" w:rsidR="00761D3A" w:rsidRDefault="00761D3A" w:rsidP="00443352">
      <w:pPr>
        <w:pStyle w:val="CLDNormal"/>
        <w:jc w:val="left"/>
        <w:rPr>
          <w:lang w:val="en-US"/>
        </w:rPr>
      </w:pPr>
      <w:r w:rsidRPr="00761D3A">
        <w:rPr>
          <w:noProof/>
          <w:lang w:val="en-AU" w:eastAsia="en-AU"/>
        </w:rPr>
        <w:drawing>
          <wp:inline distT="0" distB="0" distL="0" distR="0" wp14:anchorId="23A70832" wp14:editId="59F2374F">
            <wp:extent cx="2342154" cy="19050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5783" cy="195675"/>
                    </a:xfrm>
                    <a:prstGeom prst="rect">
                      <a:avLst/>
                    </a:prstGeom>
                    <a:noFill/>
                    <a:ln>
                      <a:noFill/>
                    </a:ln>
                  </pic:spPr>
                </pic:pic>
              </a:graphicData>
            </a:graphic>
          </wp:inline>
        </w:drawing>
      </w:r>
    </w:p>
    <w:p w14:paraId="19F1321E" w14:textId="77777777" w:rsidR="00761D3A" w:rsidRPr="006A1EF8" w:rsidRDefault="00761D3A" w:rsidP="00443352">
      <w:pPr>
        <w:pStyle w:val="CLDNormal"/>
        <w:jc w:val="left"/>
        <w:rPr>
          <w:rFonts w:eastAsiaTheme="minorEastAsia"/>
          <w:i/>
          <w:szCs w:val="24"/>
          <w:lang w:val="en-US"/>
        </w:rPr>
      </w:pPr>
      <w:r w:rsidRPr="006A1EF8">
        <w:rPr>
          <w:rFonts w:eastAsiaTheme="minorEastAsia"/>
          <w:i/>
          <w:szCs w:val="24"/>
          <w:lang w:val="en-US"/>
        </w:rPr>
        <w:t>120 Minute Infusion Rate Study (ML25641) in Rheumatoid Arthritis</w:t>
      </w:r>
    </w:p>
    <w:p w14:paraId="551C5BB3" w14:textId="74C0C2E1" w:rsidR="00761D3A" w:rsidRPr="00761D3A" w:rsidRDefault="00761D3A" w:rsidP="00443352">
      <w:pPr>
        <w:pStyle w:val="CLDNormal"/>
        <w:jc w:val="left"/>
        <w:rPr>
          <w:lang w:val="en-US"/>
        </w:rPr>
      </w:pPr>
      <w:r w:rsidRPr="00761D3A">
        <w:rPr>
          <w:lang w:val="en-US"/>
        </w:rPr>
        <w:t>Study 4, a multi-</w:t>
      </w:r>
      <w:proofErr w:type="spellStart"/>
      <w:r w:rsidRPr="00761D3A">
        <w:rPr>
          <w:lang w:val="en-US"/>
        </w:rPr>
        <w:t>centre</w:t>
      </w:r>
      <w:proofErr w:type="spellEnd"/>
      <w:r w:rsidRPr="00761D3A">
        <w:rPr>
          <w:lang w:val="en-US"/>
        </w:rPr>
        <w:t xml:space="preserve">, open-label single-arm trial, 351 patients with moderate to severe active RA, who had an inadequate response to at least one TNF inhibitor and were receiving MTX, were to receive 2 courses of </w:t>
      </w:r>
      <w:r w:rsidR="00CF2ED9" w:rsidRPr="00CF2ED9">
        <w:rPr>
          <w:lang w:val="en-US"/>
        </w:rPr>
        <w:t>rituximab</w:t>
      </w:r>
      <w:r w:rsidRPr="00761D3A">
        <w:rPr>
          <w:lang w:val="en-US"/>
        </w:rPr>
        <w:t xml:space="preserve"> treatment. Patients who were naïve to prior</w:t>
      </w:r>
      <w:r w:rsidR="00CF2ED9">
        <w:rPr>
          <w:lang w:val="en-US"/>
        </w:rPr>
        <w:t xml:space="preserve"> </w:t>
      </w:r>
      <w:r w:rsidR="00CF2ED9" w:rsidRPr="00CF2ED9">
        <w:rPr>
          <w:lang w:val="en-US"/>
        </w:rPr>
        <w:t>rituximab</w:t>
      </w:r>
      <w:r w:rsidRPr="00761D3A">
        <w:rPr>
          <w:lang w:val="en-US"/>
        </w:rPr>
        <w:t xml:space="preserve"> therapy (n=306) and those who had received 1 to 2 prior courses of </w:t>
      </w:r>
      <w:r w:rsidR="00CF2ED9" w:rsidRPr="00CF2ED9">
        <w:rPr>
          <w:lang w:val="en-US"/>
        </w:rPr>
        <w:t>rituximab</w:t>
      </w:r>
      <w:r w:rsidRPr="00761D3A">
        <w:rPr>
          <w:lang w:val="en-US"/>
        </w:rPr>
        <w:t xml:space="preserve"> 6-9 months prior to baseline (n=45) were eligible for enrollment.</w:t>
      </w:r>
    </w:p>
    <w:p w14:paraId="3BF6C1B6" w14:textId="1E878EAF" w:rsidR="00761D3A" w:rsidRPr="00761D3A" w:rsidRDefault="00761D3A" w:rsidP="00443352">
      <w:pPr>
        <w:pStyle w:val="CLDNormal"/>
        <w:jc w:val="left"/>
        <w:rPr>
          <w:lang w:val="en-US"/>
        </w:rPr>
      </w:pPr>
      <w:r w:rsidRPr="00761D3A">
        <w:rPr>
          <w:lang w:val="en-US"/>
        </w:rPr>
        <w:t xml:space="preserve">Patients received 2 courses of </w:t>
      </w:r>
      <w:r w:rsidR="00CF2ED9" w:rsidRPr="00CF2ED9">
        <w:rPr>
          <w:lang w:val="en-US"/>
        </w:rPr>
        <w:t>rituximab</w:t>
      </w:r>
      <w:r w:rsidRPr="00761D3A">
        <w:rPr>
          <w:lang w:val="en-US"/>
        </w:rPr>
        <w:t xml:space="preserve"> 2 x 1000mg + MTX treatment, the first course was administered on Days 1 and 15 and the second course 6 months later on Days 168 and 182. The first infusion of the first course (Day 1 infusion) was administered over a 4.25 hour period. The second infusion of the first course (Day 15 infusion) and both infusions in the second course (Day 168 and 182 infusions) were administered over 120 minutes. Any patient experiencing a serious infusion-related reaction with any infusion was withdrawn from the study. In this study, an infusion-related reaction (IRR) was defined as any adverse event that occurred during or within 24 hours following the infusion of </w:t>
      </w:r>
      <w:r w:rsidR="00CF2ED9" w:rsidRPr="00CF2ED9">
        <w:rPr>
          <w:lang w:val="en-US"/>
        </w:rPr>
        <w:t>rituximab</w:t>
      </w:r>
      <w:r w:rsidRPr="00761D3A">
        <w:rPr>
          <w:lang w:val="en-US"/>
        </w:rPr>
        <w:t xml:space="preserve"> and met pre-specified criteria for adverse event terms for IRRs. IRRs were defined as serious if they met one of the following seriousness criteria: fatal, life-threatening, required inpatient </w:t>
      </w:r>
      <w:proofErr w:type="spellStart"/>
      <w:r w:rsidRPr="00761D3A">
        <w:rPr>
          <w:lang w:val="en-US"/>
        </w:rPr>
        <w:t>hospitalisation</w:t>
      </w:r>
      <w:proofErr w:type="spellEnd"/>
      <w:r w:rsidRPr="00761D3A">
        <w:rPr>
          <w:lang w:val="en-US"/>
        </w:rPr>
        <w:t xml:space="preserve"> or prolongation of existing </w:t>
      </w:r>
      <w:proofErr w:type="spellStart"/>
      <w:r w:rsidRPr="00761D3A">
        <w:rPr>
          <w:lang w:val="en-US"/>
        </w:rPr>
        <w:t>hospitalisation</w:t>
      </w:r>
      <w:proofErr w:type="spellEnd"/>
      <w:r w:rsidRPr="00761D3A">
        <w:rPr>
          <w:lang w:val="en-US"/>
        </w:rPr>
        <w:t>, resulted in persistent or significant disability / incapacity, were medically significant.</w:t>
      </w:r>
    </w:p>
    <w:p w14:paraId="04723B3D" w14:textId="5179885E" w:rsidR="00761D3A" w:rsidRPr="00761D3A" w:rsidRDefault="00761D3A" w:rsidP="00443352">
      <w:pPr>
        <w:pStyle w:val="CLDNormal"/>
        <w:jc w:val="left"/>
        <w:rPr>
          <w:lang w:val="en-US"/>
        </w:rPr>
      </w:pPr>
      <w:r w:rsidRPr="00761D3A">
        <w:rPr>
          <w:lang w:val="en-US"/>
        </w:rPr>
        <w:t xml:space="preserve">The primary objective of this study was to assess the safety of administering the second infusion of the first study course of </w:t>
      </w:r>
      <w:r w:rsidR="00CF2ED9" w:rsidRPr="00CF2ED9">
        <w:rPr>
          <w:lang w:val="en-US"/>
        </w:rPr>
        <w:t>rituximab</w:t>
      </w:r>
      <w:r w:rsidRPr="00761D3A">
        <w:rPr>
          <w:lang w:val="en-US"/>
        </w:rPr>
        <w:t xml:space="preserve"> over 120 minutes in rheumatoid arthritis patients.</w:t>
      </w:r>
    </w:p>
    <w:p w14:paraId="2D5737A7" w14:textId="77777777" w:rsidR="00761D3A" w:rsidRDefault="00761D3A" w:rsidP="00443352">
      <w:pPr>
        <w:pStyle w:val="CLDNormal"/>
        <w:jc w:val="left"/>
        <w:rPr>
          <w:lang w:val="en-US"/>
        </w:rPr>
      </w:pPr>
      <w:r w:rsidRPr="00761D3A">
        <w:rPr>
          <w:lang w:val="en-US"/>
        </w:rPr>
        <w:t>The incidence of IRRs at Day 15 was 6.5% (95% CI [4.1%-9.7%]) consistent with the rate observed historically. There were no serious IRRs observed. Data observed for the infusions on Days 168 and 182 (120 minute infusion) demonstrates a low incidence of IRRs, similar to the rates observed historically, with no serious IRRs occurring (see section 4.8 Adverse effects (Undesirable effects)).</w:t>
      </w:r>
    </w:p>
    <w:p w14:paraId="05FEC6C1" w14:textId="77777777" w:rsidR="00761D3A" w:rsidRPr="00761D3A" w:rsidRDefault="00761D3A" w:rsidP="00443352">
      <w:pPr>
        <w:pStyle w:val="CLDHeading4"/>
        <w:jc w:val="left"/>
        <w:rPr>
          <w:lang w:val="en-US"/>
        </w:rPr>
      </w:pPr>
      <w:r w:rsidRPr="00761D3A">
        <w:rPr>
          <w:lang w:val="en-US"/>
        </w:rPr>
        <w:t xml:space="preserve">Granulomatosis with </w:t>
      </w:r>
      <w:proofErr w:type="spellStart"/>
      <w:r w:rsidRPr="00761D3A">
        <w:rPr>
          <w:lang w:val="en-US"/>
        </w:rPr>
        <w:t>polyangiitis</w:t>
      </w:r>
      <w:proofErr w:type="spellEnd"/>
      <w:r w:rsidRPr="00761D3A">
        <w:rPr>
          <w:lang w:val="en-US"/>
        </w:rPr>
        <w:t xml:space="preserve"> (Wegener’s) and Microscopic </w:t>
      </w:r>
      <w:proofErr w:type="spellStart"/>
      <w:r w:rsidRPr="00761D3A">
        <w:rPr>
          <w:lang w:val="en-US"/>
        </w:rPr>
        <w:t>polyangiitis</w:t>
      </w:r>
      <w:proofErr w:type="spellEnd"/>
    </w:p>
    <w:p w14:paraId="1A1B9FB9" w14:textId="77777777" w:rsidR="00761D3A" w:rsidRPr="00761D3A" w:rsidRDefault="00761D3A" w:rsidP="00443352">
      <w:pPr>
        <w:pStyle w:val="CLDNormal"/>
        <w:jc w:val="left"/>
        <w:rPr>
          <w:lang w:val="en-US"/>
        </w:rPr>
      </w:pPr>
      <w:r w:rsidRPr="00761D3A">
        <w:rPr>
          <w:lang w:val="en-US"/>
        </w:rPr>
        <w:t xml:space="preserve">A total of 197 patients with severely, active GPA and MPA were enrolled and treated in study ITN021AI (RAVE), a phase II/III, active controlled, </w:t>
      </w:r>
      <w:proofErr w:type="spellStart"/>
      <w:r w:rsidRPr="00761D3A">
        <w:rPr>
          <w:lang w:val="en-US"/>
        </w:rPr>
        <w:t>randomised</w:t>
      </w:r>
      <w:proofErr w:type="spellEnd"/>
      <w:r w:rsidRPr="00761D3A">
        <w:rPr>
          <w:lang w:val="en-US"/>
        </w:rPr>
        <w:t>, double-blind, multicenter, non-inferiority study. Patients were 15 years of age or older, diagnosed with severely, active GPA (75% of patients) or MPA (24% of patients) according to the Chapel Hill Consensus conference criteria (1% of patients had unknown GPA and MPA type).</w:t>
      </w:r>
    </w:p>
    <w:p w14:paraId="30CB4C3B" w14:textId="3E717236" w:rsidR="00761D3A" w:rsidRPr="00761D3A" w:rsidRDefault="00761D3A" w:rsidP="00443352">
      <w:pPr>
        <w:pStyle w:val="CLDNormal"/>
        <w:jc w:val="left"/>
        <w:rPr>
          <w:lang w:val="en-US"/>
        </w:rPr>
      </w:pPr>
      <w:r w:rsidRPr="00761D3A">
        <w:rPr>
          <w:lang w:val="en-US"/>
        </w:rPr>
        <w:t xml:space="preserve">Patients were </w:t>
      </w:r>
      <w:proofErr w:type="spellStart"/>
      <w:r w:rsidRPr="00761D3A">
        <w:rPr>
          <w:lang w:val="en-US"/>
        </w:rPr>
        <w:t>randomised</w:t>
      </w:r>
      <w:proofErr w:type="spellEnd"/>
      <w:r w:rsidRPr="00761D3A">
        <w:rPr>
          <w:lang w:val="en-US"/>
        </w:rPr>
        <w:t xml:space="preserve"> in a 1:1 ratio to receive either oral cyclophosphamide (CYC) daily (2mg/kg/day) for 3-6 months followed by azathioprine, or </w:t>
      </w:r>
      <w:r w:rsidR="00CF2ED9" w:rsidRPr="00CF2ED9">
        <w:rPr>
          <w:lang w:val="en-US"/>
        </w:rPr>
        <w:t>rituximab</w:t>
      </w:r>
      <w:r w:rsidRPr="00761D3A">
        <w:rPr>
          <w:lang w:val="en-US"/>
        </w:rPr>
        <w:t xml:space="preserve"> (375 mg/m</w:t>
      </w:r>
      <w:r w:rsidRPr="00CF2ED9">
        <w:rPr>
          <w:vertAlign w:val="superscript"/>
          <w:lang w:val="en-US"/>
        </w:rPr>
        <w:t>2</w:t>
      </w:r>
      <w:r w:rsidRPr="00761D3A">
        <w:rPr>
          <w:lang w:val="en-US"/>
        </w:rPr>
        <w:t xml:space="preserve">) once weekly for 4 weeks. Patients in both arms received 1000 mg of pulse IV methylprednisolone (or another equivalent-dose glucocorticoid) per day for 1 to 3 days, followed by oral prednisone (1 mg/kg/day, not exceeding 80 mg/day). Prednisone tapering was to be completed by 6 months from the start of study treatment. For prophylaxis against pneumocystis </w:t>
      </w:r>
      <w:proofErr w:type="spellStart"/>
      <w:r w:rsidRPr="00761D3A">
        <w:rPr>
          <w:lang w:val="en-US"/>
        </w:rPr>
        <w:t>jiroveci</w:t>
      </w:r>
      <w:proofErr w:type="spellEnd"/>
      <w:r w:rsidRPr="00761D3A">
        <w:rPr>
          <w:lang w:val="en-US"/>
        </w:rPr>
        <w:t xml:space="preserve"> pneumonia patients in both treatment arms received trimethoprim/ sulfamethoxazole unless contraindicated.</w:t>
      </w:r>
    </w:p>
    <w:p w14:paraId="02384CFA" w14:textId="77777777" w:rsidR="00761D3A" w:rsidRPr="00761D3A" w:rsidRDefault="00761D3A" w:rsidP="00443352">
      <w:pPr>
        <w:pStyle w:val="CLDNormal"/>
        <w:jc w:val="left"/>
        <w:rPr>
          <w:lang w:val="en-US"/>
        </w:rPr>
      </w:pPr>
      <w:r w:rsidRPr="00761D3A">
        <w:rPr>
          <w:lang w:val="en-US"/>
        </w:rPr>
        <w:t xml:space="preserve">Study exclusion criteria included diagnosis of </w:t>
      </w:r>
      <w:proofErr w:type="spellStart"/>
      <w:r w:rsidRPr="00761D3A">
        <w:rPr>
          <w:lang w:val="en-US"/>
        </w:rPr>
        <w:t>Eosinophylic</w:t>
      </w:r>
      <w:proofErr w:type="spellEnd"/>
      <w:r w:rsidRPr="00761D3A">
        <w:rPr>
          <w:lang w:val="en-US"/>
        </w:rPr>
        <w:t xml:space="preserve"> Granulomatosis with </w:t>
      </w:r>
      <w:proofErr w:type="spellStart"/>
      <w:r w:rsidRPr="00761D3A">
        <w:rPr>
          <w:lang w:val="en-US"/>
        </w:rPr>
        <w:t>polyangiitis</w:t>
      </w:r>
      <w:proofErr w:type="spellEnd"/>
      <w:r w:rsidRPr="00761D3A">
        <w:rPr>
          <w:lang w:val="en-US"/>
        </w:rPr>
        <w:t xml:space="preserve"> (</w:t>
      </w:r>
      <w:proofErr w:type="spellStart"/>
      <w:r w:rsidRPr="00761D3A">
        <w:rPr>
          <w:lang w:val="en-US"/>
        </w:rPr>
        <w:t>Churg</w:t>
      </w:r>
      <w:proofErr w:type="spellEnd"/>
      <w:r w:rsidRPr="00761D3A">
        <w:rPr>
          <w:lang w:val="en-US"/>
        </w:rPr>
        <w:t xml:space="preserve"> Strauss syndrome), active infection (including active or documented hepatitis B or C), severe hepatic impairment or significant renal impairment (serum creatinine &gt;4.0). Subjects requiring mechanical ventilation were also excluded.</w:t>
      </w:r>
    </w:p>
    <w:p w14:paraId="44EDC89E" w14:textId="7EFE4282" w:rsidR="00761D3A" w:rsidRPr="00761D3A" w:rsidRDefault="00761D3A" w:rsidP="00443352">
      <w:pPr>
        <w:pStyle w:val="CLDNormal"/>
        <w:jc w:val="left"/>
        <w:rPr>
          <w:lang w:val="en-US"/>
        </w:rPr>
      </w:pPr>
      <w:r w:rsidRPr="00761D3A">
        <w:rPr>
          <w:lang w:val="en-US"/>
        </w:rPr>
        <w:t>Patient demographic characteristics were similar between the treatment arms in terms of age at disease onset, gender, primary race, and ethnicity. The median patient age was 52.0 years with a range of 15 to 92 years. At baseline disease assessment the majority of patients in each arm had pulmonary, systemic, or ear/nose/throat involvement. 65/99 patients in the</w:t>
      </w:r>
      <w:r>
        <w:rPr>
          <w:lang w:val="en-US"/>
        </w:rPr>
        <w:t xml:space="preserve"> </w:t>
      </w:r>
      <w:r w:rsidR="00CF2ED9" w:rsidRPr="00CF2ED9">
        <w:rPr>
          <w:lang w:val="en-US"/>
        </w:rPr>
        <w:t>rituximab</w:t>
      </w:r>
      <w:r w:rsidRPr="00761D3A">
        <w:rPr>
          <w:lang w:val="en-US"/>
        </w:rPr>
        <w:t xml:space="preserve"> arm and 65/98 patients in the CYC arm had renal involvement. Other disease characteristics were generally balanced between the two treatment arms with the exception of estimated creatinine clearance. Mean (SD) creatinine clearance (estimated by Cockcroft-Gault formula) was 76.51 (46.27) and 91.40 (49.24) mL/min for the </w:t>
      </w:r>
      <w:r w:rsidR="00CF2ED9" w:rsidRPr="00CF2ED9">
        <w:rPr>
          <w:lang w:val="en-US"/>
        </w:rPr>
        <w:t>rituximab</w:t>
      </w:r>
      <w:r w:rsidRPr="00761D3A">
        <w:rPr>
          <w:lang w:val="en-US"/>
        </w:rPr>
        <w:t xml:space="preserve"> and CYC arms, respectively. The median values were also lower in the </w:t>
      </w:r>
      <w:r w:rsidR="00CF2ED9" w:rsidRPr="00CF2ED9">
        <w:rPr>
          <w:lang w:val="en-US"/>
        </w:rPr>
        <w:t>rituximab</w:t>
      </w:r>
      <w:r w:rsidRPr="00761D3A">
        <w:rPr>
          <w:lang w:val="en-US"/>
        </w:rPr>
        <w:t xml:space="preserve"> arm compared with the CYC arm (67.61 vs. 87.47 mL/min, respectively).</w:t>
      </w:r>
    </w:p>
    <w:p w14:paraId="71363F46" w14:textId="6FADAF8E" w:rsidR="00761D3A" w:rsidRDefault="00761D3A" w:rsidP="00443352">
      <w:pPr>
        <w:pStyle w:val="CLDNormal"/>
        <w:jc w:val="left"/>
        <w:rPr>
          <w:lang w:val="en-US"/>
        </w:rPr>
      </w:pPr>
      <w:r w:rsidRPr="00761D3A">
        <w:rPr>
          <w:lang w:val="en-US"/>
        </w:rPr>
        <w:t xml:space="preserve">The primary outcome measure was achievement of complete remission (CR) at 6 months defined as a Birmingham Vasculitis Activity Score for Wegener’s Granulomatosis (BVAS/WG) of 0, and off glucocorticoid therapy. The </w:t>
      </w:r>
      <w:proofErr w:type="spellStart"/>
      <w:r w:rsidRPr="00761D3A">
        <w:rPr>
          <w:lang w:val="en-US"/>
        </w:rPr>
        <w:t>prespecified</w:t>
      </w:r>
      <w:proofErr w:type="spellEnd"/>
      <w:r w:rsidRPr="00761D3A">
        <w:rPr>
          <w:lang w:val="en-US"/>
        </w:rPr>
        <w:t xml:space="preserve"> non-inferiority margin for the treatment difference was 20%. The study demonstrated non-inferiority of </w:t>
      </w:r>
      <w:r w:rsidR="00CF2ED9" w:rsidRPr="00CF2ED9">
        <w:rPr>
          <w:lang w:val="en-US"/>
        </w:rPr>
        <w:t>rituximab</w:t>
      </w:r>
      <w:r w:rsidRPr="00761D3A">
        <w:rPr>
          <w:lang w:val="en-US"/>
        </w:rPr>
        <w:t xml:space="preserve"> to CYC for CR at 6 months (Table 17). In addition, the CR rate in the </w:t>
      </w:r>
      <w:r w:rsidR="00CF2ED9" w:rsidRPr="00CF2ED9">
        <w:rPr>
          <w:lang w:val="en-US"/>
        </w:rPr>
        <w:t>rituximab</w:t>
      </w:r>
      <w:r w:rsidRPr="00761D3A">
        <w:rPr>
          <w:lang w:val="en-US"/>
        </w:rPr>
        <w:t xml:space="preserve"> arm was significantly greater than the estimated CR rate in patients with severe GPA and MPA not treated or treated only with glucocorticoids, based on historical control data.</w:t>
      </w:r>
    </w:p>
    <w:p w14:paraId="49264429" w14:textId="7534C5F5" w:rsidR="00761D3A" w:rsidRDefault="00761D3A" w:rsidP="00443352">
      <w:pPr>
        <w:pStyle w:val="CLDNormal"/>
        <w:jc w:val="left"/>
        <w:rPr>
          <w:lang w:val="en-US"/>
        </w:rPr>
      </w:pPr>
      <w:r w:rsidRPr="00761D3A">
        <w:rPr>
          <w:lang w:val="en-US"/>
        </w:rPr>
        <w:t xml:space="preserve">Efficacy was observed both for patients with newly diagnosed GPA and MPA and for patients with relapsing disease. As RAVE did not investigate alternative </w:t>
      </w:r>
      <w:r w:rsidR="00CF2ED9" w:rsidRPr="00CF2ED9">
        <w:rPr>
          <w:lang w:val="en-US"/>
        </w:rPr>
        <w:t>rituximab</w:t>
      </w:r>
      <w:r w:rsidRPr="00761D3A">
        <w:rPr>
          <w:lang w:val="en-US"/>
        </w:rPr>
        <w:t xml:space="preserve"> doses or infusion schedules, and no prior dose-finding studies were performed, an optimal dose has not been determined. Since corticosteroids were not used in all patients beyond 6 months, no conclusions can be drawn on the need for additional use. Any further corticosteroid use should be at the physician’s discretion.</w:t>
      </w:r>
    </w:p>
    <w:p w14:paraId="5C11A9BE" w14:textId="77777777" w:rsidR="00761D3A" w:rsidRPr="00CF2ED9" w:rsidRDefault="00761D3A" w:rsidP="00443352">
      <w:pPr>
        <w:pStyle w:val="CLDNormal"/>
        <w:jc w:val="left"/>
        <w:rPr>
          <w:b/>
          <w:sz w:val="22"/>
          <w:szCs w:val="22"/>
          <w:lang w:val="en-US"/>
        </w:rPr>
      </w:pPr>
      <w:r w:rsidRPr="00CF2ED9">
        <w:rPr>
          <w:b/>
          <w:sz w:val="22"/>
          <w:szCs w:val="22"/>
          <w:lang w:val="en-US"/>
        </w:rPr>
        <w:t>Table 17: Percentage of Patients who achieved Complete Remission at 6 Months (Intent-to-Treat Population)</w:t>
      </w:r>
    </w:p>
    <w:p w14:paraId="2CA9B77D" w14:textId="77777777" w:rsidR="00761D3A" w:rsidRPr="00761D3A" w:rsidRDefault="00761D3A" w:rsidP="00443352">
      <w:pPr>
        <w:kinsoku w:val="0"/>
        <w:overflowPunct w:val="0"/>
        <w:autoSpaceDE w:val="0"/>
        <w:autoSpaceDN w:val="0"/>
        <w:adjustRightInd w:val="0"/>
        <w:spacing w:before="2" w:after="0"/>
        <w:jc w:val="left"/>
        <w:rPr>
          <w:sz w:val="5"/>
          <w:szCs w:val="5"/>
          <w:lang w:val="en-AU"/>
        </w:rPr>
      </w:pPr>
    </w:p>
    <w:tbl>
      <w:tblPr>
        <w:tblW w:w="9019" w:type="dxa"/>
        <w:tblInd w:w="94" w:type="dxa"/>
        <w:tblLayout w:type="fixed"/>
        <w:tblCellMar>
          <w:left w:w="0" w:type="dxa"/>
          <w:right w:w="0" w:type="dxa"/>
        </w:tblCellMar>
        <w:tblLook w:val="0000" w:firstRow="0" w:lastRow="0" w:firstColumn="0" w:lastColumn="0" w:noHBand="0" w:noVBand="0"/>
      </w:tblPr>
      <w:tblGrid>
        <w:gridCol w:w="1347"/>
        <w:gridCol w:w="1793"/>
        <w:gridCol w:w="2201"/>
        <w:gridCol w:w="3678"/>
      </w:tblGrid>
      <w:tr w:rsidR="00761D3A" w:rsidRPr="00761D3A" w14:paraId="3FCB14EB" w14:textId="77777777" w:rsidTr="00761D3A">
        <w:trPr>
          <w:trHeight w:hRule="exact" w:val="562"/>
        </w:trPr>
        <w:tc>
          <w:tcPr>
            <w:tcW w:w="1347" w:type="dxa"/>
            <w:tcBorders>
              <w:top w:val="single" w:sz="4" w:space="0" w:color="000000"/>
              <w:left w:val="single" w:sz="4" w:space="0" w:color="000000"/>
              <w:bottom w:val="single" w:sz="4" w:space="0" w:color="000000"/>
              <w:right w:val="single" w:sz="4" w:space="0" w:color="000000"/>
            </w:tcBorders>
          </w:tcPr>
          <w:p w14:paraId="05F10B9C" w14:textId="77777777" w:rsidR="00761D3A" w:rsidRPr="00761D3A" w:rsidRDefault="00761D3A" w:rsidP="00443352">
            <w:pPr>
              <w:autoSpaceDE w:val="0"/>
              <w:autoSpaceDN w:val="0"/>
              <w:adjustRightInd w:val="0"/>
              <w:spacing w:after="0"/>
              <w:jc w:val="left"/>
              <w:rPr>
                <w:sz w:val="20"/>
                <w:lang w:val="en-AU"/>
              </w:rPr>
            </w:pPr>
          </w:p>
        </w:tc>
        <w:tc>
          <w:tcPr>
            <w:tcW w:w="1793" w:type="dxa"/>
            <w:tcBorders>
              <w:top w:val="single" w:sz="4" w:space="0" w:color="000000"/>
              <w:left w:val="single" w:sz="4" w:space="0" w:color="000000"/>
              <w:bottom w:val="single" w:sz="4" w:space="0" w:color="000000"/>
              <w:right w:val="single" w:sz="4" w:space="0" w:color="000000"/>
            </w:tcBorders>
          </w:tcPr>
          <w:p w14:paraId="0B5700F2" w14:textId="049B2D16" w:rsidR="00761D3A" w:rsidRPr="00761D3A" w:rsidRDefault="0099402A" w:rsidP="00443352">
            <w:pPr>
              <w:kinsoku w:val="0"/>
              <w:overflowPunct w:val="0"/>
              <w:autoSpaceDE w:val="0"/>
              <w:autoSpaceDN w:val="0"/>
              <w:adjustRightInd w:val="0"/>
              <w:spacing w:after="0" w:line="274" w:lineRule="exact"/>
              <w:ind w:right="1"/>
              <w:jc w:val="left"/>
              <w:rPr>
                <w:sz w:val="20"/>
                <w:lang w:val="en-AU"/>
              </w:rPr>
            </w:pPr>
            <w:r>
              <w:rPr>
                <w:b/>
                <w:bCs/>
                <w:spacing w:val="-1"/>
                <w:sz w:val="20"/>
                <w:lang w:val="en-AU"/>
              </w:rPr>
              <w:t>R</w:t>
            </w:r>
            <w:proofErr w:type="spellStart"/>
            <w:r w:rsidRPr="0099402A">
              <w:rPr>
                <w:b/>
                <w:bCs/>
                <w:spacing w:val="-1"/>
                <w:sz w:val="20"/>
                <w:lang w:val="en-US"/>
              </w:rPr>
              <w:t>ituximab</w:t>
            </w:r>
            <w:proofErr w:type="spellEnd"/>
          </w:p>
          <w:p w14:paraId="23CBE9E8" w14:textId="77777777" w:rsidR="00761D3A" w:rsidRPr="00761D3A" w:rsidRDefault="00761D3A" w:rsidP="00443352">
            <w:pPr>
              <w:kinsoku w:val="0"/>
              <w:overflowPunct w:val="0"/>
              <w:autoSpaceDE w:val="0"/>
              <w:autoSpaceDN w:val="0"/>
              <w:adjustRightInd w:val="0"/>
              <w:spacing w:after="0"/>
              <w:jc w:val="left"/>
              <w:rPr>
                <w:sz w:val="20"/>
                <w:lang w:val="en-AU"/>
              </w:rPr>
            </w:pPr>
            <w:r w:rsidRPr="00761D3A">
              <w:rPr>
                <w:spacing w:val="-1"/>
                <w:sz w:val="20"/>
                <w:lang w:val="en-AU"/>
              </w:rPr>
              <w:t>(n=99)</w:t>
            </w:r>
          </w:p>
        </w:tc>
        <w:tc>
          <w:tcPr>
            <w:tcW w:w="2201" w:type="dxa"/>
            <w:tcBorders>
              <w:top w:val="single" w:sz="4" w:space="0" w:color="000000"/>
              <w:left w:val="single" w:sz="4" w:space="0" w:color="000000"/>
              <w:bottom w:val="single" w:sz="4" w:space="0" w:color="000000"/>
              <w:right w:val="single" w:sz="4" w:space="0" w:color="000000"/>
            </w:tcBorders>
          </w:tcPr>
          <w:p w14:paraId="60D92047" w14:textId="77777777" w:rsidR="00761D3A" w:rsidRPr="00761D3A" w:rsidRDefault="00761D3A" w:rsidP="00443352">
            <w:pPr>
              <w:kinsoku w:val="0"/>
              <w:overflowPunct w:val="0"/>
              <w:autoSpaceDE w:val="0"/>
              <w:autoSpaceDN w:val="0"/>
              <w:adjustRightInd w:val="0"/>
              <w:spacing w:after="0" w:line="274" w:lineRule="exact"/>
              <w:jc w:val="left"/>
              <w:rPr>
                <w:sz w:val="20"/>
                <w:lang w:val="en-AU"/>
              </w:rPr>
            </w:pPr>
            <w:r w:rsidRPr="00761D3A">
              <w:rPr>
                <w:b/>
                <w:bCs/>
                <w:spacing w:val="-1"/>
                <w:sz w:val="20"/>
                <w:lang w:val="en-AU"/>
              </w:rPr>
              <w:t>CYC</w:t>
            </w:r>
          </w:p>
          <w:p w14:paraId="04B82A13" w14:textId="77777777" w:rsidR="00761D3A" w:rsidRPr="00761D3A" w:rsidRDefault="00761D3A" w:rsidP="00443352">
            <w:pPr>
              <w:kinsoku w:val="0"/>
              <w:overflowPunct w:val="0"/>
              <w:autoSpaceDE w:val="0"/>
              <w:autoSpaceDN w:val="0"/>
              <w:adjustRightInd w:val="0"/>
              <w:spacing w:after="0"/>
              <w:jc w:val="left"/>
              <w:rPr>
                <w:sz w:val="20"/>
                <w:lang w:val="en-AU"/>
              </w:rPr>
            </w:pPr>
            <w:r w:rsidRPr="00761D3A">
              <w:rPr>
                <w:spacing w:val="-1"/>
                <w:sz w:val="20"/>
                <w:lang w:val="en-AU"/>
              </w:rPr>
              <w:t>(n=98)</w:t>
            </w:r>
          </w:p>
        </w:tc>
        <w:tc>
          <w:tcPr>
            <w:tcW w:w="3678" w:type="dxa"/>
            <w:tcBorders>
              <w:top w:val="single" w:sz="4" w:space="0" w:color="000000"/>
              <w:left w:val="single" w:sz="4" w:space="0" w:color="000000"/>
              <w:bottom w:val="single" w:sz="4" w:space="0" w:color="000000"/>
              <w:right w:val="single" w:sz="4" w:space="0" w:color="000000"/>
            </w:tcBorders>
          </w:tcPr>
          <w:p w14:paraId="2832CC0F" w14:textId="501D59D1" w:rsidR="00761D3A" w:rsidRPr="00761D3A" w:rsidRDefault="00761D3A" w:rsidP="00443352">
            <w:pPr>
              <w:kinsoku w:val="0"/>
              <w:overflowPunct w:val="0"/>
              <w:autoSpaceDE w:val="0"/>
              <w:autoSpaceDN w:val="0"/>
              <w:adjustRightInd w:val="0"/>
              <w:spacing w:after="0"/>
              <w:ind w:left="111" w:right="113"/>
              <w:jc w:val="left"/>
              <w:rPr>
                <w:sz w:val="20"/>
                <w:lang w:val="en-AU"/>
              </w:rPr>
            </w:pPr>
            <w:r w:rsidRPr="00761D3A">
              <w:rPr>
                <w:b/>
                <w:bCs/>
                <w:spacing w:val="-1"/>
                <w:sz w:val="20"/>
                <w:lang w:val="en-AU"/>
              </w:rPr>
              <w:t>Treatment</w:t>
            </w:r>
            <w:r w:rsidRPr="00761D3A">
              <w:rPr>
                <w:b/>
                <w:bCs/>
                <w:sz w:val="20"/>
                <w:lang w:val="en-AU"/>
              </w:rPr>
              <w:t xml:space="preserve"> </w:t>
            </w:r>
            <w:r w:rsidRPr="00761D3A">
              <w:rPr>
                <w:b/>
                <w:bCs/>
                <w:spacing w:val="-1"/>
                <w:sz w:val="20"/>
                <w:lang w:val="en-AU"/>
              </w:rPr>
              <w:t>Difference</w:t>
            </w:r>
            <w:r w:rsidRPr="00761D3A">
              <w:rPr>
                <w:b/>
                <w:bCs/>
                <w:spacing w:val="1"/>
                <w:sz w:val="20"/>
                <w:lang w:val="en-AU"/>
              </w:rPr>
              <w:t xml:space="preserve"> </w:t>
            </w:r>
            <w:r w:rsidRPr="00761D3A">
              <w:rPr>
                <w:spacing w:val="-1"/>
                <w:sz w:val="20"/>
                <w:lang w:val="en-AU"/>
              </w:rPr>
              <w:t>(</w:t>
            </w:r>
            <w:r w:rsidR="0099402A">
              <w:rPr>
                <w:spacing w:val="-1"/>
                <w:sz w:val="20"/>
                <w:lang w:val="en-US"/>
              </w:rPr>
              <w:t>R</w:t>
            </w:r>
            <w:r w:rsidR="0099402A" w:rsidRPr="0099402A">
              <w:rPr>
                <w:spacing w:val="-1"/>
                <w:sz w:val="20"/>
                <w:lang w:val="en-US"/>
              </w:rPr>
              <w:t>ituximab</w:t>
            </w:r>
            <w:r w:rsidRPr="00761D3A">
              <w:rPr>
                <w:spacing w:val="-1"/>
                <w:sz w:val="20"/>
                <w:lang w:val="en-AU"/>
              </w:rPr>
              <w:t>-</w:t>
            </w:r>
            <w:r w:rsidRPr="00761D3A">
              <w:rPr>
                <w:spacing w:val="43"/>
                <w:sz w:val="20"/>
                <w:lang w:val="en-AU"/>
              </w:rPr>
              <w:t xml:space="preserve"> </w:t>
            </w:r>
            <w:r w:rsidRPr="00761D3A">
              <w:rPr>
                <w:sz w:val="20"/>
                <w:lang w:val="en-AU"/>
              </w:rPr>
              <w:t>CYC)</w:t>
            </w:r>
          </w:p>
        </w:tc>
      </w:tr>
      <w:tr w:rsidR="00761D3A" w:rsidRPr="00761D3A" w14:paraId="6BA024D2" w14:textId="77777777" w:rsidTr="00761D3A">
        <w:trPr>
          <w:trHeight w:hRule="exact" w:val="286"/>
        </w:trPr>
        <w:tc>
          <w:tcPr>
            <w:tcW w:w="1347" w:type="dxa"/>
            <w:tcBorders>
              <w:top w:val="single" w:sz="4" w:space="0" w:color="000000"/>
              <w:left w:val="single" w:sz="4" w:space="0" w:color="000000"/>
              <w:bottom w:val="single" w:sz="4" w:space="0" w:color="000000"/>
              <w:right w:val="single" w:sz="4" w:space="0" w:color="000000"/>
            </w:tcBorders>
          </w:tcPr>
          <w:p w14:paraId="6CEE616C" w14:textId="77777777" w:rsidR="00761D3A" w:rsidRPr="00761D3A" w:rsidRDefault="00761D3A" w:rsidP="00443352">
            <w:pPr>
              <w:kinsoku w:val="0"/>
              <w:overflowPunct w:val="0"/>
              <w:autoSpaceDE w:val="0"/>
              <w:autoSpaceDN w:val="0"/>
              <w:adjustRightInd w:val="0"/>
              <w:spacing w:after="0" w:line="274" w:lineRule="exact"/>
              <w:ind w:left="426"/>
              <w:jc w:val="left"/>
              <w:rPr>
                <w:sz w:val="20"/>
                <w:lang w:val="en-AU"/>
              </w:rPr>
            </w:pPr>
            <w:r w:rsidRPr="00761D3A">
              <w:rPr>
                <w:b/>
                <w:bCs/>
                <w:spacing w:val="-1"/>
                <w:sz w:val="20"/>
                <w:lang w:val="en-AU"/>
              </w:rPr>
              <w:t>Rate</w:t>
            </w:r>
          </w:p>
        </w:tc>
        <w:tc>
          <w:tcPr>
            <w:tcW w:w="1793" w:type="dxa"/>
            <w:tcBorders>
              <w:top w:val="single" w:sz="4" w:space="0" w:color="000000"/>
              <w:left w:val="single" w:sz="4" w:space="0" w:color="000000"/>
              <w:bottom w:val="single" w:sz="4" w:space="0" w:color="000000"/>
              <w:right w:val="single" w:sz="4" w:space="0" w:color="000000"/>
            </w:tcBorders>
          </w:tcPr>
          <w:p w14:paraId="101C5536" w14:textId="77777777" w:rsidR="00761D3A" w:rsidRPr="00761D3A" w:rsidRDefault="00761D3A" w:rsidP="00443352">
            <w:pPr>
              <w:kinsoku w:val="0"/>
              <w:overflowPunct w:val="0"/>
              <w:autoSpaceDE w:val="0"/>
              <w:autoSpaceDN w:val="0"/>
              <w:adjustRightInd w:val="0"/>
              <w:spacing w:after="0" w:line="274" w:lineRule="exact"/>
              <w:ind w:left="579"/>
              <w:jc w:val="left"/>
              <w:rPr>
                <w:sz w:val="20"/>
                <w:lang w:val="en-AU"/>
              </w:rPr>
            </w:pPr>
            <w:r w:rsidRPr="00761D3A">
              <w:rPr>
                <w:sz w:val="20"/>
                <w:lang w:val="en-AU"/>
              </w:rPr>
              <w:t>63.6%</w:t>
            </w:r>
          </w:p>
        </w:tc>
        <w:tc>
          <w:tcPr>
            <w:tcW w:w="2201" w:type="dxa"/>
            <w:tcBorders>
              <w:top w:val="single" w:sz="4" w:space="0" w:color="000000"/>
              <w:left w:val="single" w:sz="4" w:space="0" w:color="000000"/>
              <w:bottom w:val="single" w:sz="4" w:space="0" w:color="000000"/>
              <w:right w:val="single" w:sz="4" w:space="0" w:color="000000"/>
            </w:tcBorders>
          </w:tcPr>
          <w:p w14:paraId="29FDBE87" w14:textId="77777777" w:rsidR="00761D3A" w:rsidRPr="00761D3A" w:rsidRDefault="00761D3A" w:rsidP="00443352">
            <w:pPr>
              <w:kinsoku w:val="0"/>
              <w:overflowPunct w:val="0"/>
              <w:autoSpaceDE w:val="0"/>
              <w:autoSpaceDN w:val="0"/>
              <w:adjustRightInd w:val="0"/>
              <w:spacing w:after="0" w:line="274" w:lineRule="exact"/>
              <w:jc w:val="left"/>
              <w:rPr>
                <w:sz w:val="20"/>
                <w:lang w:val="en-AU"/>
              </w:rPr>
            </w:pPr>
            <w:r w:rsidRPr="00761D3A">
              <w:rPr>
                <w:sz w:val="20"/>
                <w:lang w:val="en-AU"/>
              </w:rPr>
              <w:t>53.1%</w:t>
            </w:r>
          </w:p>
        </w:tc>
        <w:tc>
          <w:tcPr>
            <w:tcW w:w="3678" w:type="dxa"/>
            <w:tcBorders>
              <w:top w:val="single" w:sz="4" w:space="0" w:color="000000"/>
              <w:left w:val="single" w:sz="4" w:space="0" w:color="000000"/>
              <w:bottom w:val="single" w:sz="4" w:space="0" w:color="000000"/>
              <w:right w:val="single" w:sz="4" w:space="0" w:color="000000"/>
            </w:tcBorders>
          </w:tcPr>
          <w:p w14:paraId="06830695" w14:textId="77777777" w:rsidR="00761D3A" w:rsidRPr="00761D3A" w:rsidRDefault="00761D3A" w:rsidP="00443352">
            <w:pPr>
              <w:kinsoku w:val="0"/>
              <w:overflowPunct w:val="0"/>
              <w:autoSpaceDE w:val="0"/>
              <w:autoSpaceDN w:val="0"/>
              <w:adjustRightInd w:val="0"/>
              <w:spacing w:after="0" w:line="274" w:lineRule="exact"/>
              <w:jc w:val="left"/>
              <w:rPr>
                <w:sz w:val="20"/>
                <w:lang w:val="en-AU"/>
              </w:rPr>
            </w:pPr>
            <w:r w:rsidRPr="00761D3A">
              <w:rPr>
                <w:sz w:val="20"/>
                <w:lang w:val="en-AU"/>
              </w:rPr>
              <w:t>10.6%</w:t>
            </w:r>
          </w:p>
        </w:tc>
      </w:tr>
      <w:tr w:rsidR="00761D3A" w:rsidRPr="00761D3A" w14:paraId="0DC9E8C2" w14:textId="77777777" w:rsidTr="00761D3A">
        <w:trPr>
          <w:trHeight w:hRule="exact" w:val="286"/>
        </w:trPr>
        <w:tc>
          <w:tcPr>
            <w:tcW w:w="1347" w:type="dxa"/>
            <w:tcBorders>
              <w:top w:val="single" w:sz="4" w:space="0" w:color="000000"/>
              <w:left w:val="single" w:sz="4" w:space="0" w:color="000000"/>
              <w:bottom w:val="single" w:sz="4" w:space="0" w:color="000000"/>
              <w:right w:val="single" w:sz="4" w:space="0" w:color="000000"/>
            </w:tcBorders>
          </w:tcPr>
          <w:p w14:paraId="79B169F2" w14:textId="77777777" w:rsidR="00761D3A" w:rsidRPr="00761D3A" w:rsidRDefault="00761D3A" w:rsidP="00443352">
            <w:pPr>
              <w:kinsoku w:val="0"/>
              <w:overflowPunct w:val="0"/>
              <w:autoSpaceDE w:val="0"/>
              <w:autoSpaceDN w:val="0"/>
              <w:adjustRightInd w:val="0"/>
              <w:spacing w:after="0" w:line="274" w:lineRule="exact"/>
              <w:ind w:left="128"/>
              <w:jc w:val="left"/>
              <w:rPr>
                <w:sz w:val="20"/>
                <w:lang w:val="en-AU"/>
              </w:rPr>
            </w:pPr>
            <w:r w:rsidRPr="00761D3A">
              <w:rPr>
                <w:b/>
                <w:bCs/>
                <w:spacing w:val="-1"/>
                <w:sz w:val="20"/>
                <w:lang w:val="en-AU"/>
              </w:rPr>
              <w:t>95.1%</w:t>
            </w:r>
            <w:r w:rsidRPr="00761D3A">
              <w:rPr>
                <w:b/>
                <w:bCs/>
                <w:spacing w:val="-1"/>
                <w:position w:val="8"/>
                <w:sz w:val="20"/>
                <w:lang w:val="en-AU"/>
              </w:rPr>
              <w:t>b</w:t>
            </w:r>
            <w:r w:rsidRPr="00761D3A">
              <w:rPr>
                <w:b/>
                <w:bCs/>
                <w:spacing w:val="19"/>
                <w:position w:val="8"/>
                <w:sz w:val="20"/>
                <w:lang w:val="en-AU"/>
              </w:rPr>
              <w:t xml:space="preserve"> </w:t>
            </w:r>
            <w:r w:rsidRPr="00761D3A">
              <w:rPr>
                <w:b/>
                <w:bCs/>
                <w:spacing w:val="-1"/>
                <w:sz w:val="20"/>
                <w:lang w:val="en-AU"/>
              </w:rPr>
              <w:t>CI</w:t>
            </w:r>
          </w:p>
        </w:tc>
        <w:tc>
          <w:tcPr>
            <w:tcW w:w="1793" w:type="dxa"/>
            <w:tcBorders>
              <w:top w:val="single" w:sz="4" w:space="0" w:color="000000"/>
              <w:left w:val="single" w:sz="4" w:space="0" w:color="000000"/>
              <w:bottom w:val="single" w:sz="4" w:space="0" w:color="000000"/>
              <w:right w:val="single" w:sz="4" w:space="0" w:color="000000"/>
            </w:tcBorders>
          </w:tcPr>
          <w:p w14:paraId="263A6B37" w14:textId="77777777" w:rsidR="00761D3A" w:rsidRPr="00761D3A" w:rsidRDefault="00761D3A" w:rsidP="00443352">
            <w:pPr>
              <w:kinsoku w:val="0"/>
              <w:overflowPunct w:val="0"/>
              <w:autoSpaceDE w:val="0"/>
              <w:autoSpaceDN w:val="0"/>
              <w:adjustRightInd w:val="0"/>
              <w:spacing w:after="0" w:line="274" w:lineRule="exact"/>
              <w:ind w:left="130"/>
              <w:jc w:val="left"/>
              <w:rPr>
                <w:sz w:val="20"/>
                <w:lang w:val="en-AU"/>
              </w:rPr>
            </w:pPr>
            <w:r w:rsidRPr="00761D3A">
              <w:rPr>
                <w:spacing w:val="-1"/>
                <w:sz w:val="20"/>
                <w:lang w:val="en-AU"/>
              </w:rPr>
              <w:t>(54.1%,</w:t>
            </w:r>
            <w:r w:rsidRPr="00761D3A">
              <w:rPr>
                <w:sz w:val="20"/>
                <w:lang w:val="en-AU"/>
              </w:rPr>
              <w:t xml:space="preserve"> </w:t>
            </w:r>
            <w:r w:rsidRPr="00761D3A">
              <w:rPr>
                <w:spacing w:val="-1"/>
                <w:sz w:val="20"/>
                <w:lang w:val="en-AU"/>
              </w:rPr>
              <w:t>73.2%)</w:t>
            </w:r>
          </w:p>
        </w:tc>
        <w:tc>
          <w:tcPr>
            <w:tcW w:w="2201" w:type="dxa"/>
            <w:tcBorders>
              <w:top w:val="single" w:sz="4" w:space="0" w:color="000000"/>
              <w:left w:val="single" w:sz="4" w:space="0" w:color="000000"/>
              <w:bottom w:val="single" w:sz="4" w:space="0" w:color="000000"/>
              <w:right w:val="single" w:sz="4" w:space="0" w:color="000000"/>
            </w:tcBorders>
          </w:tcPr>
          <w:p w14:paraId="2A2FF207" w14:textId="77777777" w:rsidR="00761D3A" w:rsidRPr="00761D3A" w:rsidRDefault="00761D3A" w:rsidP="00443352">
            <w:pPr>
              <w:kinsoku w:val="0"/>
              <w:overflowPunct w:val="0"/>
              <w:autoSpaceDE w:val="0"/>
              <w:autoSpaceDN w:val="0"/>
              <w:adjustRightInd w:val="0"/>
              <w:spacing w:after="0" w:line="274" w:lineRule="exact"/>
              <w:ind w:left="334"/>
              <w:jc w:val="left"/>
              <w:rPr>
                <w:sz w:val="20"/>
                <w:lang w:val="en-AU"/>
              </w:rPr>
            </w:pPr>
            <w:r w:rsidRPr="00761D3A">
              <w:rPr>
                <w:spacing w:val="-1"/>
                <w:sz w:val="20"/>
                <w:lang w:val="en-AU"/>
              </w:rPr>
              <w:t>(43.1%,</w:t>
            </w:r>
            <w:r w:rsidRPr="00761D3A">
              <w:rPr>
                <w:sz w:val="20"/>
                <w:lang w:val="en-AU"/>
              </w:rPr>
              <w:t xml:space="preserve"> </w:t>
            </w:r>
            <w:r w:rsidRPr="00761D3A">
              <w:rPr>
                <w:spacing w:val="-1"/>
                <w:sz w:val="20"/>
                <w:lang w:val="en-AU"/>
              </w:rPr>
              <w:t>63.0%)</w:t>
            </w:r>
          </w:p>
        </w:tc>
        <w:tc>
          <w:tcPr>
            <w:tcW w:w="3678" w:type="dxa"/>
            <w:tcBorders>
              <w:top w:val="single" w:sz="4" w:space="0" w:color="000000"/>
              <w:left w:val="single" w:sz="4" w:space="0" w:color="000000"/>
              <w:bottom w:val="single" w:sz="4" w:space="0" w:color="000000"/>
              <w:right w:val="single" w:sz="4" w:space="0" w:color="000000"/>
            </w:tcBorders>
          </w:tcPr>
          <w:p w14:paraId="0C64B03E" w14:textId="77777777" w:rsidR="00761D3A" w:rsidRPr="00761D3A" w:rsidRDefault="00761D3A" w:rsidP="00443352">
            <w:pPr>
              <w:kinsoku w:val="0"/>
              <w:overflowPunct w:val="0"/>
              <w:autoSpaceDE w:val="0"/>
              <w:autoSpaceDN w:val="0"/>
              <w:adjustRightInd w:val="0"/>
              <w:spacing w:after="0" w:line="274" w:lineRule="exact"/>
              <w:ind w:left="1155"/>
              <w:jc w:val="left"/>
              <w:rPr>
                <w:sz w:val="20"/>
                <w:lang w:val="en-AU"/>
              </w:rPr>
            </w:pPr>
            <w:r w:rsidRPr="00761D3A">
              <w:rPr>
                <w:spacing w:val="-1"/>
                <w:sz w:val="20"/>
                <w:lang w:val="en-AU"/>
              </w:rPr>
              <w:t>(-3.2%,</w:t>
            </w:r>
            <w:r w:rsidRPr="00761D3A">
              <w:rPr>
                <w:sz w:val="20"/>
                <w:lang w:val="en-AU"/>
              </w:rPr>
              <w:t xml:space="preserve"> </w:t>
            </w:r>
            <w:r w:rsidRPr="00761D3A">
              <w:rPr>
                <w:spacing w:val="-1"/>
                <w:sz w:val="20"/>
                <w:lang w:val="en-AU"/>
              </w:rPr>
              <w:t>24.3)</w:t>
            </w:r>
            <w:r w:rsidRPr="00761D3A">
              <w:rPr>
                <w:spacing w:val="-1"/>
                <w:position w:val="9"/>
                <w:sz w:val="20"/>
                <w:lang w:val="en-AU"/>
              </w:rPr>
              <w:t>a</w:t>
            </w:r>
          </w:p>
        </w:tc>
      </w:tr>
    </w:tbl>
    <w:p w14:paraId="15F310BA" w14:textId="77777777" w:rsidR="00761D3A" w:rsidRPr="00761D3A" w:rsidRDefault="00761D3A" w:rsidP="00443352">
      <w:pPr>
        <w:pStyle w:val="CLDNormal"/>
        <w:spacing w:after="0"/>
        <w:jc w:val="left"/>
        <w:rPr>
          <w:sz w:val="20"/>
          <w:lang w:val="en-US"/>
        </w:rPr>
      </w:pPr>
      <w:r w:rsidRPr="00761D3A">
        <w:rPr>
          <w:sz w:val="20"/>
          <w:lang w:val="en-US"/>
        </w:rPr>
        <w:t>CI = confidence interval.</w:t>
      </w:r>
    </w:p>
    <w:p w14:paraId="28D57687" w14:textId="77777777" w:rsidR="00761D3A" w:rsidRPr="00761D3A" w:rsidRDefault="00761D3A" w:rsidP="00443352">
      <w:pPr>
        <w:pStyle w:val="CLDNormal"/>
        <w:spacing w:after="0"/>
        <w:jc w:val="left"/>
        <w:rPr>
          <w:sz w:val="20"/>
          <w:lang w:val="en-US"/>
        </w:rPr>
      </w:pPr>
      <w:r w:rsidRPr="006F468F">
        <w:rPr>
          <w:sz w:val="20"/>
          <w:vertAlign w:val="superscript"/>
          <w:lang w:val="en-US"/>
        </w:rPr>
        <w:t xml:space="preserve">a </w:t>
      </w:r>
      <w:r w:rsidRPr="00761D3A">
        <w:rPr>
          <w:sz w:val="20"/>
          <w:lang w:val="en-US"/>
        </w:rPr>
        <w:t>Non-inferiority was demonstrated since the lower bound ( − 3.2%) was higher than the pre-determined non-inferiority</w:t>
      </w:r>
    </w:p>
    <w:p w14:paraId="2030F369" w14:textId="77777777" w:rsidR="00761D3A" w:rsidRPr="00761D3A" w:rsidRDefault="00761D3A" w:rsidP="00443352">
      <w:pPr>
        <w:pStyle w:val="CLDNormal"/>
        <w:spacing w:after="0"/>
        <w:jc w:val="left"/>
        <w:rPr>
          <w:sz w:val="20"/>
          <w:lang w:val="en-US"/>
        </w:rPr>
      </w:pPr>
      <w:r w:rsidRPr="00761D3A">
        <w:rPr>
          <w:sz w:val="20"/>
          <w:lang w:val="en-US"/>
        </w:rPr>
        <w:t>margin ( − 20%).</w:t>
      </w:r>
    </w:p>
    <w:p w14:paraId="10F6B8DF" w14:textId="77777777" w:rsidR="00761D3A" w:rsidRPr="00761D3A" w:rsidRDefault="00761D3A" w:rsidP="00443352">
      <w:pPr>
        <w:pStyle w:val="CLDNormal"/>
        <w:spacing w:after="0"/>
        <w:jc w:val="left"/>
        <w:rPr>
          <w:sz w:val="20"/>
          <w:lang w:val="en-US"/>
        </w:rPr>
      </w:pPr>
      <w:r w:rsidRPr="006F468F">
        <w:rPr>
          <w:sz w:val="20"/>
          <w:vertAlign w:val="superscript"/>
          <w:lang w:val="en-US"/>
        </w:rPr>
        <w:t>b</w:t>
      </w:r>
      <w:r w:rsidRPr="00761D3A">
        <w:rPr>
          <w:sz w:val="20"/>
          <w:lang w:val="en-US"/>
        </w:rPr>
        <w:t xml:space="preserve"> The 95.1% confidence level reflects an additional 0.001 alpha to account for an interim efficacy analysis.</w:t>
      </w:r>
    </w:p>
    <w:p w14:paraId="641EFF8D" w14:textId="77777777" w:rsidR="006F468F" w:rsidRDefault="006F468F" w:rsidP="00443352">
      <w:pPr>
        <w:pStyle w:val="CLDNormal"/>
        <w:jc w:val="left"/>
        <w:rPr>
          <w:lang w:val="en-US"/>
        </w:rPr>
      </w:pPr>
    </w:p>
    <w:p w14:paraId="143EBB70" w14:textId="77777777" w:rsidR="006F468F" w:rsidRPr="0099402A" w:rsidRDefault="006F468F" w:rsidP="00443352">
      <w:pPr>
        <w:pStyle w:val="CLDNormal"/>
        <w:jc w:val="left"/>
        <w:rPr>
          <w:b/>
          <w:sz w:val="22"/>
          <w:szCs w:val="22"/>
          <w:lang w:val="en-US"/>
        </w:rPr>
      </w:pPr>
      <w:r w:rsidRPr="0099402A">
        <w:rPr>
          <w:b/>
          <w:sz w:val="22"/>
          <w:szCs w:val="22"/>
          <w:lang w:val="en-US"/>
        </w:rPr>
        <w:t>Table 18 Complete Remission at 6 Months by disease status at enrolment</w:t>
      </w:r>
    </w:p>
    <w:tbl>
      <w:tblPr>
        <w:tblW w:w="0" w:type="auto"/>
        <w:tblInd w:w="102" w:type="dxa"/>
        <w:tblLayout w:type="fixed"/>
        <w:tblCellMar>
          <w:left w:w="0" w:type="dxa"/>
          <w:right w:w="0" w:type="dxa"/>
        </w:tblCellMar>
        <w:tblLook w:val="0000" w:firstRow="0" w:lastRow="0" w:firstColumn="0" w:lastColumn="0" w:noHBand="0" w:noVBand="0"/>
      </w:tblPr>
      <w:tblGrid>
        <w:gridCol w:w="2227"/>
        <w:gridCol w:w="2228"/>
        <w:gridCol w:w="2228"/>
        <w:gridCol w:w="2228"/>
      </w:tblGrid>
      <w:tr w:rsidR="006F468F" w:rsidRPr="006F468F" w14:paraId="72DE7D24" w14:textId="77777777" w:rsidTr="00443352">
        <w:trPr>
          <w:trHeight w:hRule="exact" w:val="607"/>
          <w:tblHeader/>
        </w:trPr>
        <w:tc>
          <w:tcPr>
            <w:tcW w:w="2227" w:type="dxa"/>
            <w:tcBorders>
              <w:top w:val="single" w:sz="4" w:space="0" w:color="000000"/>
              <w:left w:val="single" w:sz="4" w:space="0" w:color="000000"/>
              <w:bottom w:val="single" w:sz="4" w:space="0" w:color="000000"/>
              <w:right w:val="single" w:sz="4" w:space="0" w:color="000000"/>
            </w:tcBorders>
          </w:tcPr>
          <w:p w14:paraId="45A96ACA" w14:textId="77777777" w:rsidR="006F468F" w:rsidRPr="006F468F" w:rsidRDefault="006F468F" w:rsidP="00443352">
            <w:pPr>
              <w:pStyle w:val="CLDNormal"/>
              <w:jc w:val="left"/>
              <w:rPr>
                <w:sz w:val="20"/>
                <w:lang w:val="en-AU"/>
              </w:rPr>
            </w:pPr>
          </w:p>
        </w:tc>
        <w:tc>
          <w:tcPr>
            <w:tcW w:w="2228" w:type="dxa"/>
            <w:tcBorders>
              <w:top w:val="single" w:sz="4" w:space="0" w:color="000000"/>
              <w:left w:val="single" w:sz="4" w:space="0" w:color="000000"/>
              <w:bottom w:val="single" w:sz="4" w:space="0" w:color="000000"/>
              <w:right w:val="single" w:sz="4" w:space="0" w:color="000000"/>
            </w:tcBorders>
          </w:tcPr>
          <w:p w14:paraId="0F729C94" w14:textId="110B82F1" w:rsidR="006F468F" w:rsidRPr="006F468F" w:rsidRDefault="00F94C85" w:rsidP="00443352">
            <w:pPr>
              <w:pStyle w:val="CLDNormal"/>
              <w:jc w:val="left"/>
              <w:rPr>
                <w:sz w:val="20"/>
                <w:lang w:val="en-AU"/>
              </w:rPr>
            </w:pPr>
            <w:r>
              <w:rPr>
                <w:b/>
                <w:bCs/>
                <w:sz w:val="20"/>
                <w:lang w:val="en-AU"/>
              </w:rPr>
              <w:t>R</w:t>
            </w:r>
            <w:r w:rsidR="0099402A">
              <w:rPr>
                <w:b/>
                <w:bCs/>
                <w:sz w:val="20"/>
                <w:lang w:val="en-AU"/>
              </w:rPr>
              <w:t>ituximab</w:t>
            </w:r>
          </w:p>
        </w:tc>
        <w:tc>
          <w:tcPr>
            <w:tcW w:w="2228" w:type="dxa"/>
            <w:tcBorders>
              <w:top w:val="single" w:sz="4" w:space="0" w:color="000000"/>
              <w:left w:val="single" w:sz="4" w:space="0" w:color="000000"/>
              <w:bottom w:val="single" w:sz="4" w:space="0" w:color="000000"/>
              <w:right w:val="single" w:sz="4" w:space="0" w:color="000000"/>
            </w:tcBorders>
          </w:tcPr>
          <w:p w14:paraId="3AEDA166" w14:textId="77777777" w:rsidR="006F468F" w:rsidRPr="006F468F" w:rsidRDefault="006F468F" w:rsidP="00443352">
            <w:pPr>
              <w:pStyle w:val="CLDNormal"/>
              <w:jc w:val="left"/>
              <w:rPr>
                <w:sz w:val="20"/>
                <w:lang w:val="en-AU"/>
              </w:rPr>
            </w:pPr>
            <w:r w:rsidRPr="006F468F">
              <w:rPr>
                <w:b/>
                <w:bCs/>
                <w:sz w:val="20"/>
                <w:lang w:val="en-AU"/>
              </w:rPr>
              <w:t>CYC</w:t>
            </w:r>
          </w:p>
        </w:tc>
        <w:tc>
          <w:tcPr>
            <w:tcW w:w="2228" w:type="dxa"/>
            <w:tcBorders>
              <w:top w:val="single" w:sz="4" w:space="0" w:color="000000"/>
              <w:left w:val="single" w:sz="4" w:space="0" w:color="000000"/>
              <w:bottom w:val="single" w:sz="4" w:space="0" w:color="000000"/>
              <w:right w:val="single" w:sz="4" w:space="0" w:color="000000"/>
            </w:tcBorders>
          </w:tcPr>
          <w:p w14:paraId="49559268" w14:textId="77777777" w:rsidR="006F468F" w:rsidRPr="006F468F" w:rsidRDefault="006F468F" w:rsidP="00443352">
            <w:pPr>
              <w:pStyle w:val="CLDNormal"/>
              <w:jc w:val="left"/>
              <w:rPr>
                <w:sz w:val="20"/>
                <w:lang w:val="en-AU"/>
              </w:rPr>
            </w:pPr>
            <w:r w:rsidRPr="006F468F">
              <w:rPr>
                <w:b/>
                <w:bCs/>
                <w:sz w:val="20"/>
                <w:lang w:val="en-AU"/>
              </w:rPr>
              <w:t>Difference (CI 95%)</w:t>
            </w:r>
          </w:p>
        </w:tc>
      </w:tr>
      <w:tr w:rsidR="006F468F" w:rsidRPr="006F468F" w14:paraId="6DC7EA02" w14:textId="77777777" w:rsidTr="006F468F">
        <w:trPr>
          <w:trHeight w:val="517"/>
        </w:trPr>
        <w:tc>
          <w:tcPr>
            <w:tcW w:w="2227" w:type="dxa"/>
            <w:tcBorders>
              <w:top w:val="single" w:sz="4" w:space="0" w:color="000000"/>
              <w:left w:val="single" w:sz="4" w:space="0" w:color="000000"/>
              <w:bottom w:val="nil"/>
              <w:right w:val="single" w:sz="4" w:space="0" w:color="000000"/>
            </w:tcBorders>
          </w:tcPr>
          <w:p w14:paraId="5C73B45B" w14:textId="77777777" w:rsidR="006F468F" w:rsidRPr="006F468F" w:rsidRDefault="006F468F" w:rsidP="00443352">
            <w:pPr>
              <w:pStyle w:val="CLDNormal"/>
              <w:jc w:val="left"/>
              <w:rPr>
                <w:sz w:val="20"/>
                <w:lang w:val="en-AU"/>
              </w:rPr>
            </w:pPr>
            <w:r>
              <w:rPr>
                <w:b/>
                <w:bCs/>
                <w:sz w:val="20"/>
                <w:lang w:val="en-AU"/>
              </w:rPr>
              <w:t xml:space="preserve"> </w:t>
            </w:r>
            <w:r w:rsidRPr="006F468F">
              <w:rPr>
                <w:b/>
                <w:bCs/>
                <w:sz w:val="20"/>
                <w:lang w:val="en-AU"/>
              </w:rPr>
              <w:t>All patients</w:t>
            </w:r>
          </w:p>
        </w:tc>
        <w:tc>
          <w:tcPr>
            <w:tcW w:w="2228" w:type="dxa"/>
            <w:tcBorders>
              <w:top w:val="single" w:sz="4" w:space="0" w:color="000000"/>
              <w:left w:val="single" w:sz="4" w:space="0" w:color="000000"/>
              <w:bottom w:val="nil"/>
              <w:right w:val="single" w:sz="4" w:space="0" w:color="000000"/>
            </w:tcBorders>
          </w:tcPr>
          <w:p w14:paraId="5DDADEA6" w14:textId="77777777" w:rsidR="006F468F" w:rsidRPr="006F468F" w:rsidRDefault="006F468F" w:rsidP="00443352">
            <w:pPr>
              <w:pStyle w:val="CLDNormal"/>
              <w:jc w:val="left"/>
              <w:rPr>
                <w:sz w:val="20"/>
                <w:lang w:val="en-AU"/>
              </w:rPr>
            </w:pPr>
            <w:r w:rsidRPr="006F468F">
              <w:rPr>
                <w:sz w:val="20"/>
                <w:lang w:val="en-AU"/>
              </w:rPr>
              <w:t>n=99</w:t>
            </w:r>
          </w:p>
        </w:tc>
        <w:tc>
          <w:tcPr>
            <w:tcW w:w="2228" w:type="dxa"/>
            <w:tcBorders>
              <w:top w:val="single" w:sz="4" w:space="0" w:color="000000"/>
              <w:left w:val="single" w:sz="4" w:space="0" w:color="000000"/>
              <w:bottom w:val="nil"/>
              <w:right w:val="single" w:sz="4" w:space="0" w:color="000000"/>
            </w:tcBorders>
          </w:tcPr>
          <w:p w14:paraId="309C6D1C" w14:textId="77777777" w:rsidR="006F468F" w:rsidRPr="006F468F" w:rsidRDefault="006F468F" w:rsidP="00443352">
            <w:pPr>
              <w:pStyle w:val="CLDNormal"/>
              <w:jc w:val="left"/>
              <w:rPr>
                <w:sz w:val="20"/>
                <w:lang w:val="en-AU"/>
              </w:rPr>
            </w:pPr>
            <w:r w:rsidRPr="006F468F">
              <w:rPr>
                <w:sz w:val="20"/>
                <w:lang w:val="en-AU"/>
              </w:rPr>
              <w:t>n=98</w:t>
            </w:r>
          </w:p>
        </w:tc>
        <w:tc>
          <w:tcPr>
            <w:tcW w:w="2228" w:type="dxa"/>
            <w:tcBorders>
              <w:top w:val="single" w:sz="4" w:space="0" w:color="000000"/>
              <w:left w:val="single" w:sz="4" w:space="0" w:color="000000"/>
              <w:bottom w:val="nil"/>
              <w:right w:val="single" w:sz="4" w:space="0" w:color="000000"/>
            </w:tcBorders>
          </w:tcPr>
          <w:p w14:paraId="7C1286BD" w14:textId="77777777" w:rsidR="006F468F" w:rsidRPr="006F468F" w:rsidRDefault="006F468F" w:rsidP="00443352">
            <w:pPr>
              <w:pStyle w:val="CLDNormal"/>
              <w:jc w:val="left"/>
              <w:rPr>
                <w:sz w:val="20"/>
                <w:lang w:val="en-AU"/>
              </w:rPr>
            </w:pPr>
          </w:p>
        </w:tc>
      </w:tr>
      <w:tr w:rsidR="006F468F" w:rsidRPr="006F468F" w14:paraId="62155614" w14:textId="77777777" w:rsidTr="006F468F">
        <w:trPr>
          <w:trHeight w:val="517"/>
        </w:trPr>
        <w:tc>
          <w:tcPr>
            <w:tcW w:w="2227" w:type="dxa"/>
            <w:tcBorders>
              <w:top w:val="nil"/>
              <w:left w:val="single" w:sz="4" w:space="0" w:color="000000"/>
              <w:bottom w:val="nil"/>
              <w:right w:val="single" w:sz="4" w:space="0" w:color="000000"/>
            </w:tcBorders>
          </w:tcPr>
          <w:p w14:paraId="2969378E" w14:textId="77777777" w:rsidR="006F468F" w:rsidRPr="006F468F" w:rsidRDefault="006F468F" w:rsidP="00443352">
            <w:pPr>
              <w:pStyle w:val="CLDNormal"/>
              <w:jc w:val="left"/>
              <w:rPr>
                <w:sz w:val="20"/>
                <w:lang w:val="en-AU"/>
              </w:rPr>
            </w:pPr>
            <w:r>
              <w:rPr>
                <w:b/>
                <w:bCs/>
                <w:sz w:val="20"/>
                <w:lang w:val="en-AU"/>
              </w:rPr>
              <w:t xml:space="preserve"> </w:t>
            </w:r>
            <w:r w:rsidRPr="006F468F">
              <w:rPr>
                <w:b/>
                <w:bCs/>
                <w:sz w:val="20"/>
                <w:lang w:val="en-AU"/>
              </w:rPr>
              <w:t>Newly diagnosed</w:t>
            </w:r>
          </w:p>
        </w:tc>
        <w:tc>
          <w:tcPr>
            <w:tcW w:w="2228" w:type="dxa"/>
            <w:tcBorders>
              <w:top w:val="nil"/>
              <w:left w:val="single" w:sz="4" w:space="0" w:color="000000"/>
              <w:bottom w:val="nil"/>
              <w:right w:val="single" w:sz="4" w:space="0" w:color="000000"/>
            </w:tcBorders>
          </w:tcPr>
          <w:p w14:paraId="4484FA8F" w14:textId="77777777" w:rsidR="006F468F" w:rsidRPr="006F468F" w:rsidRDefault="006F468F" w:rsidP="00443352">
            <w:pPr>
              <w:pStyle w:val="CLDNormal"/>
              <w:jc w:val="left"/>
              <w:rPr>
                <w:sz w:val="20"/>
                <w:lang w:val="en-AU"/>
              </w:rPr>
            </w:pPr>
            <w:r w:rsidRPr="006F468F">
              <w:rPr>
                <w:sz w:val="20"/>
                <w:lang w:val="en-AU"/>
              </w:rPr>
              <w:t>n=48</w:t>
            </w:r>
          </w:p>
        </w:tc>
        <w:tc>
          <w:tcPr>
            <w:tcW w:w="2228" w:type="dxa"/>
            <w:tcBorders>
              <w:top w:val="nil"/>
              <w:left w:val="single" w:sz="4" w:space="0" w:color="000000"/>
              <w:bottom w:val="nil"/>
              <w:right w:val="single" w:sz="4" w:space="0" w:color="000000"/>
            </w:tcBorders>
          </w:tcPr>
          <w:p w14:paraId="3C8D0DBA" w14:textId="77777777" w:rsidR="006F468F" w:rsidRPr="006F468F" w:rsidRDefault="006F468F" w:rsidP="00443352">
            <w:pPr>
              <w:pStyle w:val="CLDNormal"/>
              <w:jc w:val="left"/>
              <w:rPr>
                <w:sz w:val="20"/>
                <w:lang w:val="en-AU"/>
              </w:rPr>
            </w:pPr>
            <w:r w:rsidRPr="006F468F">
              <w:rPr>
                <w:sz w:val="20"/>
                <w:lang w:val="en-AU"/>
              </w:rPr>
              <w:t>n=48</w:t>
            </w:r>
          </w:p>
        </w:tc>
        <w:tc>
          <w:tcPr>
            <w:tcW w:w="2228" w:type="dxa"/>
            <w:tcBorders>
              <w:top w:val="nil"/>
              <w:left w:val="single" w:sz="4" w:space="0" w:color="000000"/>
              <w:bottom w:val="nil"/>
              <w:right w:val="single" w:sz="4" w:space="0" w:color="000000"/>
            </w:tcBorders>
          </w:tcPr>
          <w:p w14:paraId="0A5460E1" w14:textId="77777777" w:rsidR="006F468F" w:rsidRPr="006F468F" w:rsidRDefault="006F468F" w:rsidP="00443352">
            <w:pPr>
              <w:pStyle w:val="CLDNormal"/>
              <w:jc w:val="left"/>
              <w:rPr>
                <w:sz w:val="20"/>
                <w:lang w:val="en-AU"/>
              </w:rPr>
            </w:pPr>
          </w:p>
        </w:tc>
      </w:tr>
      <w:tr w:rsidR="006F468F" w:rsidRPr="006F468F" w14:paraId="669CE05B" w14:textId="77777777" w:rsidTr="006F468F">
        <w:trPr>
          <w:trHeight w:val="517"/>
        </w:trPr>
        <w:tc>
          <w:tcPr>
            <w:tcW w:w="2227" w:type="dxa"/>
            <w:tcBorders>
              <w:top w:val="nil"/>
              <w:left w:val="single" w:sz="4" w:space="0" w:color="000000"/>
              <w:bottom w:val="single" w:sz="4" w:space="0" w:color="000000"/>
              <w:right w:val="single" w:sz="4" w:space="0" w:color="000000"/>
            </w:tcBorders>
          </w:tcPr>
          <w:p w14:paraId="67941BE6" w14:textId="77777777" w:rsidR="006F468F" w:rsidRPr="006F468F" w:rsidRDefault="006F468F" w:rsidP="00443352">
            <w:pPr>
              <w:pStyle w:val="CLDNormal"/>
              <w:jc w:val="left"/>
              <w:rPr>
                <w:sz w:val="20"/>
                <w:lang w:val="en-AU"/>
              </w:rPr>
            </w:pPr>
            <w:r>
              <w:rPr>
                <w:b/>
                <w:bCs/>
                <w:sz w:val="20"/>
                <w:lang w:val="en-AU"/>
              </w:rPr>
              <w:t xml:space="preserve"> </w:t>
            </w:r>
            <w:r w:rsidRPr="006F468F">
              <w:rPr>
                <w:b/>
                <w:bCs/>
                <w:sz w:val="20"/>
                <w:lang w:val="en-AU"/>
              </w:rPr>
              <w:t>Relapsing</w:t>
            </w:r>
          </w:p>
        </w:tc>
        <w:tc>
          <w:tcPr>
            <w:tcW w:w="2228" w:type="dxa"/>
            <w:tcBorders>
              <w:top w:val="nil"/>
              <w:left w:val="single" w:sz="4" w:space="0" w:color="000000"/>
              <w:bottom w:val="single" w:sz="4" w:space="0" w:color="000000"/>
              <w:right w:val="single" w:sz="4" w:space="0" w:color="000000"/>
            </w:tcBorders>
          </w:tcPr>
          <w:p w14:paraId="37FF3034" w14:textId="77777777" w:rsidR="006F468F" w:rsidRPr="006F468F" w:rsidRDefault="006F468F" w:rsidP="00443352">
            <w:pPr>
              <w:pStyle w:val="CLDNormal"/>
              <w:jc w:val="left"/>
              <w:rPr>
                <w:sz w:val="20"/>
                <w:lang w:val="en-AU"/>
              </w:rPr>
            </w:pPr>
            <w:r w:rsidRPr="006F468F">
              <w:rPr>
                <w:sz w:val="20"/>
                <w:lang w:val="en-AU"/>
              </w:rPr>
              <w:t>n=51</w:t>
            </w:r>
          </w:p>
        </w:tc>
        <w:tc>
          <w:tcPr>
            <w:tcW w:w="2228" w:type="dxa"/>
            <w:tcBorders>
              <w:top w:val="nil"/>
              <w:left w:val="single" w:sz="4" w:space="0" w:color="000000"/>
              <w:bottom w:val="single" w:sz="4" w:space="0" w:color="000000"/>
              <w:right w:val="single" w:sz="4" w:space="0" w:color="000000"/>
            </w:tcBorders>
          </w:tcPr>
          <w:p w14:paraId="53E91913" w14:textId="77777777" w:rsidR="006F468F" w:rsidRPr="006F468F" w:rsidRDefault="006F468F" w:rsidP="00443352">
            <w:pPr>
              <w:pStyle w:val="CLDNormal"/>
              <w:jc w:val="left"/>
              <w:rPr>
                <w:sz w:val="20"/>
                <w:lang w:val="en-AU"/>
              </w:rPr>
            </w:pPr>
            <w:r w:rsidRPr="006F468F">
              <w:rPr>
                <w:sz w:val="20"/>
                <w:lang w:val="en-AU"/>
              </w:rPr>
              <w:t>n=50</w:t>
            </w:r>
          </w:p>
        </w:tc>
        <w:tc>
          <w:tcPr>
            <w:tcW w:w="2228" w:type="dxa"/>
            <w:tcBorders>
              <w:top w:val="nil"/>
              <w:left w:val="single" w:sz="4" w:space="0" w:color="000000"/>
              <w:bottom w:val="single" w:sz="4" w:space="0" w:color="000000"/>
              <w:right w:val="single" w:sz="4" w:space="0" w:color="000000"/>
            </w:tcBorders>
          </w:tcPr>
          <w:p w14:paraId="3073D41B" w14:textId="77777777" w:rsidR="006F468F" w:rsidRPr="006F468F" w:rsidRDefault="006F468F" w:rsidP="00443352">
            <w:pPr>
              <w:pStyle w:val="CLDNormal"/>
              <w:jc w:val="left"/>
              <w:rPr>
                <w:sz w:val="20"/>
                <w:lang w:val="en-AU"/>
              </w:rPr>
            </w:pPr>
          </w:p>
        </w:tc>
      </w:tr>
      <w:tr w:rsidR="006F468F" w:rsidRPr="006F468F" w14:paraId="664643C4" w14:textId="77777777">
        <w:trPr>
          <w:trHeight w:hRule="exact" w:val="529"/>
        </w:trPr>
        <w:tc>
          <w:tcPr>
            <w:tcW w:w="8911" w:type="dxa"/>
            <w:gridSpan w:val="4"/>
            <w:tcBorders>
              <w:top w:val="single" w:sz="4" w:space="0" w:color="000000"/>
              <w:left w:val="single" w:sz="4" w:space="0" w:color="000000"/>
              <w:bottom w:val="single" w:sz="4" w:space="0" w:color="000000"/>
              <w:right w:val="single" w:sz="4" w:space="0" w:color="000000"/>
            </w:tcBorders>
          </w:tcPr>
          <w:p w14:paraId="2B57E704" w14:textId="77777777" w:rsidR="006F468F" w:rsidRPr="006F468F" w:rsidRDefault="006F468F" w:rsidP="00443352">
            <w:pPr>
              <w:pStyle w:val="CLDNormal"/>
              <w:jc w:val="left"/>
              <w:rPr>
                <w:sz w:val="20"/>
                <w:lang w:val="en-AU"/>
              </w:rPr>
            </w:pPr>
            <w:r w:rsidRPr="006F468F">
              <w:rPr>
                <w:b/>
                <w:bCs/>
                <w:sz w:val="20"/>
                <w:lang w:val="en-AU"/>
              </w:rPr>
              <w:t>Complete remission</w:t>
            </w:r>
          </w:p>
        </w:tc>
      </w:tr>
      <w:tr w:rsidR="006F468F" w:rsidRPr="006F468F" w14:paraId="3E51CFA2" w14:textId="77777777" w:rsidTr="006F468F">
        <w:trPr>
          <w:trHeight w:val="517"/>
        </w:trPr>
        <w:tc>
          <w:tcPr>
            <w:tcW w:w="2227" w:type="dxa"/>
            <w:tcBorders>
              <w:top w:val="single" w:sz="4" w:space="0" w:color="000000"/>
              <w:left w:val="single" w:sz="4" w:space="0" w:color="000000"/>
              <w:bottom w:val="single" w:sz="4" w:space="0" w:color="000000"/>
              <w:right w:val="single" w:sz="4" w:space="0" w:color="000000"/>
            </w:tcBorders>
          </w:tcPr>
          <w:p w14:paraId="30A2A2B3" w14:textId="77777777" w:rsidR="006F468F" w:rsidRPr="006F468F" w:rsidRDefault="006F468F" w:rsidP="00443352">
            <w:pPr>
              <w:pStyle w:val="CLDNormal"/>
              <w:jc w:val="left"/>
              <w:rPr>
                <w:sz w:val="20"/>
                <w:lang w:val="en-AU"/>
              </w:rPr>
            </w:pPr>
            <w:r>
              <w:rPr>
                <w:b/>
                <w:bCs/>
                <w:sz w:val="20"/>
                <w:lang w:val="en-AU"/>
              </w:rPr>
              <w:t xml:space="preserve"> </w:t>
            </w:r>
            <w:r w:rsidRPr="006F468F">
              <w:rPr>
                <w:b/>
                <w:bCs/>
                <w:sz w:val="20"/>
                <w:lang w:val="en-AU"/>
              </w:rPr>
              <w:t>All Patients</w:t>
            </w:r>
          </w:p>
        </w:tc>
        <w:tc>
          <w:tcPr>
            <w:tcW w:w="2228" w:type="dxa"/>
            <w:tcBorders>
              <w:top w:val="single" w:sz="4" w:space="0" w:color="000000"/>
              <w:left w:val="single" w:sz="4" w:space="0" w:color="000000"/>
              <w:bottom w:val="single" w:sz="4" w:space="0" w:color="000000"/>
              <w:right w:val="single" w:sz="4" w:space="0" w:color="000000"/>
            </w:tcBorders>
          </w:tcPr>
          <w:p w14:paraId="6A488777" w14:textId="77777777" w:rsidR="006F468F" w:rsidRPr="006F468F" w:rsidRDefault="006F468F" w:rsidP="00443352">
            <w:pPr>
              <w:pStyle w:val="CLDNormal"/>
              <w:jc w:val="left"/>
              <w:rPr>
                <w:sz w:val="20"/>
                <w:lang w:val="en-AU"/>
              </w:rPr>
            </w:pPr>
            <w:r w:rsidRPr="006F468F">
              <w:rPr>
                <w:sz w:val="20"/>
                <w:lang w:val="en-AU"/>
              </w:rPr>
              <w:t>63.6%</w:t>
            </w:r>
          </w:p>
        </w:tc>
        <w:tc>
          <w:tcPr>
            <w:tcW w:w="2228" w:type="dxa"/>
            <w:tcBorders>
              <w:top w:val="single" w:sz="4" w:space="0" w:color="000000"/>
              <w:left w:val="single" w:sz="4" w:space="0" w:color="000000"/>
              <w:bottom w:val="single" w:sz="4" w:space="0" w:color="000000"/>
              <w:right w:val="single" w:sz="4" w:space="0" w:color="000000"/>
            </w:tcBorders>
          </w:tcPr>
          <w:p w14:paraId="7B81C348" w14:textId="77777777" w:rsidR="006F468F" w:rsidRPr="006F468F" w:rsidRDefault="006F468F" w:rsidP="00443352">
            <w:pPr>
              <w:pStyle w:val="CLDNormal"/>
              <w:jc w:val="left"/>
              <w:rPr>
                <w:sz w:val="20"/>
                <w:lang w:val="en-AU"/>
              </w:rPr>
            </w:pPr>
            <w:r w:rsidRPr="006F468F">
              <w:rPr>
                <w:sz w:val="20"/>
                <w:lang w:val="en-AU"/>
              </w:rPr>
              <w:t>53.1%</w:t>
            </w:r>
          </w:p>
        </w:tc>
        <w:tc>
          <w:tcPr>
            <w:tcW w:w="2228" w:type="dxa"/>
            <w:tcBorders>
              <w:top w:val="single" w:sz="4" w:space="0" w:color="000000"/>
              <w:left w:val="single" w:sz="4" w:space="0" w:color="000000"/>
              <w:bottom w:val="single" w:sz="4" w:space="0" w:color="000000"/>
              <w:right w:val="single" w:sz="4" w:space="0" w:color="000000"/>
            </w:tcBorders>
          </w:tcPr>
          <w:p w14:paraId="3C2DA64E" w14:textId="77777777" w:rsidR="006F468F" w:rsidRPr="006F468F" w:rsidRDefault="006F468F" w:rsidP="00443352">
            <w:pPr>
              <w:pStyle w:val="CLDNormal"/>
              <w:jc w:val="left"/>
              <w:rPr>
                <w:sz w:val="20"/>
                <w:lang w:val="en-AU"/>
              </w:rPr>
            </w:pPr>
            <w:r w:rsidRPr="006F468F">
              <w:rPr>
                <w:sz w:val="20"/>
                <w:lang w:val="en-AU"/>
              </w:rPr>
              <w:t>10.6% (-3.2, 24.3)</w:t>
            </w:r>
          </w:p>
        </w:tc>
      </w:tr>
      <w:tr w:rsidR="006F468F" w:rsidRPr="006F468F" w14:paraId="47EE5755" w14:textId="77777777" w:rsidTr="006F468F">
        <w:trPr>
          <w:trHeight w:val="517"/>
        </w:trPr>
        <w:tc>
          <w:tcPr>
            <w:tcW w:w="2227" w:type="dxa"/>
            <w:tcBorders>
              <w:top w:val="single" w:sz="4" w:space="0" w:color="000000"/>
              <w:left w:val="single" w:sz="4" w:space="0" w:color="000000"/>
              <w:bottom w:val="single" w:sz="4" w:space="0" w:color="000000"/>
              <w:right w:val="single" w:sz="4" w:space="0" w:color="000000"/>
            </w:tcBorders>
          </w:tcPr>
          <w:p w14:paraId="639756C3" w14:textId="77777777" w:rsidR="006F468F" w:rsidRPr="006F468F" w:rsidRDefault="006F468F" w:rsidP="00443352">
            <w:pPr>
              <w:pStyle w:val="CLDNormal"/>
              <w:jc w:val="left"/>
              <w:rPr>
                <w:sz w:val="20"/>
                <w:lang w:val="en-AU"/>
              </w:rPr>
            </w:pPr>
            <w:r>
              <w:rPr>
                <w:b/>
                <w:bCs/>
                <w:sz w:val="20"/>
                <w:lang w:val="en-AU"/>
              </w:rPr>
              <w:t xml:space="preserve"> </w:t>
            </w:r>
            <w:r w:rsidRPr="006F468F">
              <w:rPr>
                <w:b/>
                <w:bCs/>
                <w:sz w:val="20"/>
                <w:lang w:val="en-AU"/>
              </w:rPr>
              <w:t>Newly diagnosed</w:t>
            </w:r>
          </w:p>
        </w:tc>
        <w:tc>
          <w:tcPr>
            <w:tcW w:w="2228" w:type="dxa"/>
            <w:tcBorders>
              <w:top w:val="single" w:sz="4" w:space="0" w:color="000000"/>
              <w:left w:val="single" w:sz="4" w:space="0" w:color="000000"/>
              <w:bottom w:val="single" w:sz="4" w:space="0" w:color="000000"/>
              <w:right w:val="single" w:sz="4" w:space="0" w:color="000000"/>
            </w:tcBorders>
          </w:tcPr>
          <w:p w14:paraId="3FE859AC" w14:textId="77777777" w:rsidR="006F468F" w:rsidRPr="006F468F" w:rsidRDefault="006F468F" w:rsidP="00443352">
            <w:pPr>
              <w:pStyle w:val="CLDNormal"/>
              <w:jc w:val="left"/>
              <w:rPr>
                <w:sz w:val="20"/>
                <w:lang w:val="en-AU"/>
              </w:rPr>
            </w:pPr>
            <w:r w:rsidRPr="006F468F">
              <w:rPr>
                <w:sz w:val="20"/>
                <w:lang w:val="en-AU"/>
              </w:rPr>
              <w:t>60.4%</w:t>
            </w:r>
          </w:p>
        </w:tc>
        <w:tc>
          <w:tcPr>
            <w:tcW w:w="2228" w:type="dxa"/>
            <w:tcBorders>
              <w:top w:val="single" w:sz="4" w:space="0" w:color="000000"/>
              <w:left w:val="single" w:sz="4" w:space="0" w:color="000000"/>
              <w:bottom w:val="single" w:sz="4" w:space="0" w:color="000000"/>
              <w:right w:val="single" w:sz="4" w:space="0" w:color="000000"/>
            </w:tcBorders>
          </w:tcPr>
          <w:p w14:paraId="4FC4E55D" w14:textId="77777777" w:rsidR="006F468F" w:rsidRPr="006F468F" w:rsidRDefault="006F468F" w:rsidP="00443352">
            <w:pPr>
              <w:pStyle w:val="CLDNormal"/>
              <w:jc w:val="left"/>
              <w:rPr>
                <w:sz w:val="20"/>
                <w:lang w:val="en-AU"/>
              </w:rPr>
            </w:pPr>
            <w:r w:rsidRPr="006F468F">
              <w:rPr>
                <w:sz w:val="20"/>
                <w:lang w:val="en-AU"/>
              </w:rPr>
              <w:t>64.6%</w:t>
            </w:r>
          </w:p>
        </w:tc>
        <w:tc>
          <w:tcPr>
            <w:tcW w:w="2228" w:type="dxa"/>
            <w:tcBorders>
              <w:top w:val="single" w:sz="4" w:space="0" w:color="000000"/>
              <w:left w:val="single" w:sz="4" w:space="0" w:color="000000"/>
              <w:bottom w:val="single" w:sz="4" w:space="0" w:color="000000"/>
              <w:right w:val="single" w:sz="4" w:space="0" w:color="000000"/>
            </w:tcBorders>
          </w:tcPr>
          <w:p w14:paraId="4F9FFE5F" w14:textId="77777777" w:rsidR="006F468F" w:rsidRPr="006F468F" w:rsidRDefault="006F468F" w:rsidP="00443352">
            <w:pPr>
              <w:pStyle w:val="CLDNormal"/>
              <w:jc w:val="left"/>
              <w:rPr>
                <w:sz w:val="20"/>
                <w:lang w:val="en-AU"/>
              </w:rPr>
            </w:pPr>
            <w:r w:rsidRPr="006F468F">
              <w:rPr>
                <w:sz w:val="20"/>
                <w:lang w:val="en-AU"/>
              </w:rPr>
              <w:t>− 4.2% (− 23.6, 15.3)</w:t>
            </w:r>
          </w:p>
        </w:tc>
      </w:tr>
      <w:tr w:rsidR="006F468F" w:rsidRPr="006F468F" w14:paraId="2D420998" w14:textId="77777777" w:rsidTr="006F468F">
        <w:trPr>
          <w:trHeight w:val="517"/>
        </w:trPr>
        <w:tc>
          <w:tcPr>
            <w:tcW w:w="2227" w:type="dxa"/>
            <w:tcBorders>
              <w:top w:val="single" w:sz="4" w:space="0" w:color="000000"/>
              <w:left w:val="single" w:sz="4" w:space="0" w:color="000000"/>
              <w:bottom w:val="single" w:sz="4" w:space="0" w:color="000000"/>
              <w:right w:val="single" w:sz="4" w:space="0" w:color="000000"/>
            </w:tcBorders>
          </w:tcPr>
          <w:p w14:paraId="1D992309" w14:textId="77777777" w:rsidR="006F468F" w:rsidRPr="006F468F" w:rsidRDefault="006F468F" w:rsidP="00443352">
            <w:pPr>
              <w:pStyle w:val="CLDNormal"/>
              <w:jc w:val="left"/>
              <w:rPr>
                <w:sz w:val="20"/>
                <w:lang w:val="en-AU"/>
              </w:rPr>
            </w:pPr>
            <w:r>
              <w:rPr>
                <w:b/>
                <w:bCs/>
                <w:sz w:val="20"/>
                <w:lang w:val="en-AU"/>
              </w:rPr>
              <w:t xml:space="preserve"> </w:t>
            </w:r>
            <w:r w:rsidRPr="006F468F">
              <w:rPr>
                <w:b/>
                <w:bCs/>
                <w:sz w:val="20"/>
                <w:lang w:val="en-AU"/>
              </w:rPr>
              <w:t>Relapsing</w:t>
            </w:r>
          </w:p>
        </w:tc>
        <w:tc>
          <w:tcPr>
            <w:tcW w:w="2228" w:type="dxa"/>
            <w:tcBorders>
              <w:top w:val="single" w:sz="4" w:space="0" w:color="000000"/>
              <w:left w:val="single" w:sz="4" w:space="0" w:color="000000"/>
              <w:bottom w:val="single" w:sz="4" w:space="0" w:color="000000"/>
              <w:right w:val="single" w:sz="4" w:space="0" w:color="000000"/>
            </w:tcBorders>
          </w:tcPr>
          <w:p w14:paraId="16E1CADE" w14:textId="77777777" w:rsidR="006F468F" w:rsidRPr="006F468F" w:rsidRDefault="006F468F" w:rsidP="00443352">
            <w:pPr>
              <w:pStyle w:val="CLDNormal"/>
              <w:jc w:val="left"/>
              <w:rPr>
                <w:sz w:val="20"/>
                <w:lang w:val="en-AU"/>
              </w:rPr>
            </w:pPr>
            <w:r w:rsidRPr="006F468F">
              <w:rPr>
                <w:sz w:val="20"/>
                <w:lang w:val="en-AU"/>
              </w:rPr>
              <w:t>66.7%</w:t>
            </w:r>
          </w:p>
        </w:tc>
        <w:tc>
          <w:tcPr>
            <w:tcW w:w="2228" w:type="dxa"/>
            <w:tcBorders>
              <w:top w:val="single" w:sz="4" w:space="0" w:color="000000"/>
              <w:left w:val="single" w:sz="4" w:space="0" w:color="000000"/>
              <w:bottom w:val="single" w:sz="4" w:space="0" w:color="000000"/>
              <w:right w:val="single" w:sz="4" w:space="0" w:color="000000"/>
            </w:tcBorders>
          </w:tcPr>
          <w:p w14:paraId="6F305BC5" w14:textId="77777777" w:rsidR="006F468F" w:rsidRPr="006F468F" w:rsidRDefault="006F468F" w:rsidP="00443352">
            <w:pPr>
              <w:pStyle w:val="CLDNormal"/>
              <w:jc w:val="left"/>
              <w:rPr>
                <w:sz w:val="20"/>
                <w:lang w:val="en-AU"/>
              </w:rPr>
            </w:pPr>
            <w:r w:rsidRPr="006F468F">
              <w:rPr>
                <w:sz w:val="20"/>
                <w:lang w:val="en-AU"/>
              </w:rPr>
              <w:t>42.0%</w:t>
            </w:r>
          </w:p>
        </w:tc>
        <w:tc>
          <w:tcPr>
            <w:tcW w:w="2228" w:type="dxa"/>
            <w:tcBorders>
              <w:top w:val="single" w:sz="4" w:space="0" w:color="000000"/>
              <w:left w:val="single" w:sz="4" w:space="0" w:color="000000"/>
              <w:bottom w:val="single" w:sz="4" w:space="0" w:color="000000"/>
              <w:right w:val="single" w:sz="4" w:space="0" w:color="000000"/>
            </w:tcBorders>
          </w:tcPr>
          <w:p w14:paraId="2D3D8C74" w14:textId="77777777" w:rsidR="006F468F" w:rsidRPr="006F468F" w:rsidRDefault="006F468F" w:rsidP="00443352">
            <w:pPr>
              <w:pStyle w:val="CLDNormal"/>
              <w:jc w:val="left"/>
              <w:rPr>
                <w:sz w:val="20"/>
                <w:lang w:val="en-AU"/>
              </w:rPr>
            </w:pPr>
            <w:r w:rsidRPr="006F468F">
              <w:rPr>
                <w:sz w:val="20"/>
                <w:lang w:val="en-AU"/>
              </w:rPr>
              <w:t>24.7% (5.8, 43.6)</w:t>
            </w:r>
          </w:p>
        </w:tc>
      </w:tr>
    </w:tbl>
    <w:p w14:paraId="5976E2AF" w14:textId="77777777" w:rsidR="00761D3A" w:rsidRDefault="00761D3A" w:rsidP="00443352">
      <w:pPr>
        <w:pStyle w:val="CLDNormal"/>
        <w:jc w:val="left"/>
        <w:rPr>
          <w:lang w:val="en-US"/>
        </w:rPr>
      </w:pPr>
    </w:p>
    <w:p w14:paraId="40E344F1" w14:textId="77777777" w:rsidR="006F468F" w:rsidRPr="006A1EF8" w:rsidRDefault="006F468F" w:rsidP="00443352">
      <w:pPr>
        <w:pStyle w:val="CLDNormal"/>
        <w:jc w:val="left"/>
        <w:rPr>
          <w:rFonts w:eastAsiaTheme="minorEastAsia"/>
          <w:i/>
          <w:szCs w:val="24"/>
          <w:lang w:val="en-US"/>
        </w:rPr>
      </w:pPr>
      <w:r w:rsidRPr="006A1EF8">
        <w:rPr>
          <w:rFonts w:eastAsiaTheme="minorEastAsia"/>
          <w:i/>
          <w:szCs w:val="24"/>
          <w:lang w:val="en-US"/>
        </w:rPr>
        <w:t>Retreatment</w:t>
      </w:r>
    </w:p>
    <w:p w14:paraId="69D8A492" w14:textId="463FC76B" w:rsidR="006F468F" w:rsidRDefault="006F468F" w:rsidP="00443352">
      <w:pPr>
        <w:pStyle w:val="CLDNormal"/>
        <w:jc w:val="left"/>
        <w:rPr>
          <w:lang w:val="en-US"/>
        </w:rPr>
      </w:pPr>
      <w:r w:rsidRPr="006F468F">
        <w:rPr>
          <w:lang w:val="en-US"/>
        </w:rPr>
        <w:t xml:space="preserve">Based upon investigator judgment, 15 patients received a second course of </w:t>
      </w:r>
      <w:r w:rsidR="0099402A" w:rsidRPr="0099402A">
        <w:rPr>
          <w:lang w:val="en-US"/>
        </w:rPr>
        <w:t>rituximab</w:t>
      </w:r>
      <w:r w:rsidRPr="006F468F">
        <w:rPr>
          <w:lang w:val="en-US"/>
        </w:rPr>
        <w:t xml:space="preserve"> therapy for treatment of relapse of disease activity which occurred between 6 and 18 months after the first course of </w:t>
      </w:r>
      <w:r w:rsidR="0099402A" w:rsidRPr="0099402A">
        <w:rPr>
          <w:lang w:val="en-US"/>
        </w:rPr>
        <w:t>rituximab</w:t>
      </w:r>
      <w:r w:rsidRPr="006F468F">
        <w:rPr>
          <w:lang w:val="en-US"/>
        </w:rPr>
        <w:t xml:space="preserve">. The limited data from the present study preclude any conclusions regarding the efficacy of subsequent courses of </w:t>
      </w:r>
      <w:r w:rsidR="0099402A" w:rsidRPr="0099402A">
        <w:rPr>
          <w:lang w:val="en-US"/>
        </w:rPr>
        <w:t>rituximab</w:t>
      </w:r>
      <w:r w:rsidR="0099402A">
        <w:rPr>
          <w:lang w:val="en-US"/>
        </w:rPr>
        <w:t xml:space="preserve"> </w:t>
      </w:r>
      <w:r w:rsidRPr="006F468F">
        <w:rPr>
          <w:lang w:val="en-US"/>
        </w:rPr>
        <w:t>in patients with GPA or MPA.</w:t>
      </w:r>
    </w:p>
    <w:p w14:paraId="372E58C5" w14:textId="4F880D38" w:rsidR="00830B98" w:rsidRPr="00830B98" w:rsidRDefault="00003E72" w:rsidP="00443352">
      <w:pPr>
        <w:pStyle w:val="CLDHeading2"/>
        <w:jc w:val="left"/>
      </w:pPr>
      <w:r>
        <w:t>5.2</w:t>
      </w:r>
      <w:r>
        <w:tab/>
      </w:r>
      <w:r w:rsidR="00B5568E">
        <w:t xml:space="preserve">Pharmacokinetic </w:t>
      </w:r>
      <w:r w:rsidR="00003485">
        <w:t>p</w:t>
      </w:r>
      <w:r w:rsidR="00112E5B">
        <w:t>roperties</w:t>
      </w:r>
      <w:r w:rsidR="00830B98">
        <w:t xml:space="preserve"> </w:t>
      </w:r>
    </w:p>
    <w:p w14:paraId="08104E58" w14:textId="77777777" w:rsidR="006F468F" w:rsidRPr="006F468F" w:rsidRDefault="006F468F" w:rsidP="00443352">
      <w:pPr>
        <w:pStyle w:val="CLDHeading3"/>
        <w:jc w:val="left"/>
        <w:rPr>
          <w:lang w:val="en-US"/>
        </w:rPr>
      </w:pPr>
      <w:r w:rsidRPr="006F468F">
        <w:rPr>
          <w:lang w:val="en-US"/>
        </w:rPr>
        <w:t>Non-Hodgkin’s Lymphoma</w:t>
      </w:r>
    </w:p>
    <w:p w14:paraId="07D0B6F6" w14:textId="77777777" w:rsidR="006F468F" w:rsidRDefault="006F468F" w:rsidP="00443352">
      <w:pPr>
        <w:pStyle w:val="CLDNormal"/>
        <w:jc w:val="left"/>
        <w:rPr>
          <w:lang w:val="en-US"/>
        </w:rPr>
      </w:pPr>
      <w:r w:rsidRPr="006F468F">
        <w:rPr>
          <w:lang w:val="en-US"/>
        </w:rPr>
        <w:t>Based on a population pharmacokinetic analysis in 298 NHL patients who received single or multiple infusions of rituximab as a single agent or in combination with CHOP therapy, the typical population estimates of nonspecific clearance (CL</w:t>
      </w:r>
      <w:r w:rsidRPr="00CB798B">
        <w:rPr>
          <w:vertAlign w:val="subscript"/>
          <w:lang w:val="en-US"/>
        </w:rPr>
        <w:t>1</w:t>
      </w:r>
      <w:r w:rsidRPr="006F468F">
        <w:rPr>
          <w:lang w:val="en-US"/>
        </w:rPr>
        <w:t>), specific clearance (CL</w:t>
      </w:r>
      <w:r w:rsidRPr="00CB798B">
        <w:rPr>
          <w:vertAlign w:val="subscript"/>
          <w:lang w:val="en-US"/>
        </w:rPr>
        <w:t>2</w:t>
      </w:r>
      <w:r w:rsidRPr="006F468F">
        <w:rPr>
          <w:lang w:val="en-US"/>
        </w:rPr>
        <w:t xml:space="preserve">) likely contributed by B cells or </w:t>
      </w:r>
      <w:proofErr w:type="spellStart"/>
      <w:r w:rsidRPr="006F468F">
        <w:rPr>
          <w:lang w:val="en-US"/>
        </w:rPr>
        <w:t>tumour</w:t>
      </w:r>
      <w:proofErr w:type="spellEnd"/>
      <w:r w:rsidRPr="006F468F">
        <w:rPr>
          <w:lang w:val="en-US"/>
        </w:rPr>
        <w:t xml:space="preserve"> burden, and central compartment volume of distribution (V</w:t>
      </w:r>
      <w:r w:rsidRPr="00667EA5">
        <w:rPr>
          <w:vertAlign w:val="subscript"/>
          <w:lang w:val="en-US"/>
        </w:rPr>
        <w:t>1</w:t>
      </w:r>
      <w:r w:rsidRPr="006F468F">
        <w:rPr>
          <w:lang w:val="en-US"/>
        </w:rPr>
        <w:t xml:space="preserve">) were 0.14 L/day, 0.59 L/day, and 2.7 L, respectively. The estimated median terminal elimination half-life of rituximab was 22 days (range, 6.1 to 52 days). Baseline CD19-positive cell counts and size of measurable </w:t>
      </w:r>
      <w:proofErr w:type="spellStart"/>
      <w:r w:rsidRPr="006F468F">
        <w:rPr>
          <w:lang w:val="en-US"/>
        </w:rPr>
        <w:t>tumour</w:t>
      </w:r>
      <w:proofErr w:type="spellEnd"/>
      <w:r w:rsidRPr="006F468F">
        <w:rPr>
          <w:lang w:val="en-US"/>
        </w:rPr>
        <w:t xml:space="preserve"> lesions contributed to some of the variability in CL</w:t>
      </w:r>
      <w:r w:rsidRPr="00667EA5">
        <w:rPr>
          <w:vertAlign w:val="subscript"/>
          <w:lang w:val="en-US"/>
        </w:rPr>
        <w:t>2</w:t>
      </w:r>
      <w:r w:rsidRPr="006F468F">
        <w:rPr>
          <w:lang w:val="en-US"/>
        </w:rPr>
        <w:t xml:space="preserve"> of rituximab in data from 161 patients given 375 mg/m</w:t>
      </w:r>
      <w:r w:rsidRPr="00667EA5">
        <w:rPr>
          <w:vertAlign w:val="superscript"/>
          <w:lang w:val="en-US"/>
        </w:rPr>
        <w:t>2</w:t>
      </w:r>
      <w:r w:rsidRPr="006F468F">
        <w:rPr>
          <w:lang w:val="en-US"/>
        </w:rPr>
        <w:t xml:space="preserve"> as an intravenous (IV) infusion for 4 weekly doses. Patients with higher CD19-positive cell counts or </w:t>
      </w:r>
      <w:proofErr w:type="spellStart"/>
      <w:r w:rsidRPr="006F468F">
        <w:rPr>
          <w:lang w:val="en-US"/>
        </w:rPr>
        <w:t>tumour</w:t>
      </w:r>
      <w:proofErr w:type="spellEnd"/>
      <w:r w:rsidRPr="006F468F">
        <w:rPr>
          <w:lang w:val="en-US"/>
        </w:rPr>
        <w:t xml:space="preserve"> lesions had a higher CL</w:t>
      </w:r>
      <w:r w:rsidRPr="00667EA5">
        <w:rPr>
          <w:vertAlign w:val="subscript"/>
          <w:lang w:val="en-US"/>
        </w:rPr>
        <w:t>2</w:t>
      </w:r>
      <w:r w:rsidRPr="006F468F">
        <w:rPr>
          <w:lang w:val="en-US"/>
        </w:rPr>
        <w:t>. However, a large component of inter-individual variability remained for CL</w:t>
      </w:r>
      <w:r w:rsidRPr="00667EA5">
        <w:rPr>
          <w:vertAlign w:val="subscript"/>
          <w:lang w:val="en-US"/>
        </w:rPr>
        <w:t>2</w:t>
      </w:r>
      <w:r w:rsidRPr="006F468F">
        <w:rPr>
          <w:lang w:val="en-US"/>
        </w:rPr>
        <w:t xml:space="preserve"> after correction for CD19-positive cell counts and </w:t>
      </w:r>
      <w:proofErr w:type="spellStart"/>
      <w:r w:rsidRPr="006F468F">
        <w:rPr>
          <w:lang w:val="en-US"/>
        </w:rPr>
        <w:t>tumour</w:t>
      </w:r>
      <w:proofErr w:type="spellEnd"/>
      <w:r w:rsidRPr="006F468F">
        <w:rPr>
          <w:lang w:val="en-US"/>
        </w:rPr>
        <w:t xml:space="preserve"> lesion size. V</w:t>
      </w:r>
      <w:r w:rsidRPr="00667EA5">
        <w:rPr>
          <w:vertAlign w:val="subscript"/>
          <w:lang w:val="en-US"/>
        </w:rPr>
        <w:t>1</w:t>
      </w:r>
      <w:r w:rsidRPr="006F468F">
        <w:rPr>
          <w:lang w:val="en-US"/>
        </w:rPr>
        <w:t xml:space="preserve"> varied by body surface area (BSA) and CHOP therapy. The variability in V</w:t>
      </w:r>
      <w:r w:rsidRPr="00667EA5">
        <w:rPr>
          <w:vertAlign w:val="subscript"/>
          <w:lang w:val="en-US"/>
        </w:rPr>
        <w:t>1</w:t>
      </w:r>
      <w:r w:rsidRPr="006F468F">
        <w:rPr>
          <w:lang w:val="en-US"/>
        </w:rPr>
        <w:t xml:space="preserve"> caused by the range in BSA (1.53 to 2.32 m</w:t>
      </w:r>
      <w:r w:rsidRPr="00667EA5">
        <w:rPr>
          <w:vertAlign w:val="superscript"/>
          <w:lang w:val="en-US"/>
        </w:rPr>
        <w:t>2</w:t>
      </w:r>
      <w:r w:rsidRPr="006F468F">
        <w:rPr>
          <w:lang w:val="en-US"/>
        </w:rPr>
        <w:t xml:space="preserve">) and concurrent CHOP therapy was relatively small (27.1% and 19% respectively). Age, gender, race, and WHO (World Health </w:t>
      </w:r>
      <w:proofErr w:type="spellStart"/>
      <w:r w:rsidRPr="006F468F">
        <w:rPr>
          <w:lang w:val="en-US"/>
        </w:rPr>
        <w:t>Organisation</w:t>
      </w:r>
      <w:proofErr w:type="spellEnd"/>
      <w:r w:rsidRPr="006F468F">
        <w:rPr>
          <w:lang w:val="en-US"/>
        </w:rPr>
        <w:t>) performance status had no effect on the pharmacokinetics of rituximab. This analysis suggests that dose adjustment of rituximab with any of the tested covariates is not expected to result in a meaningful reduction in its pharmacokinetic variability.</w:t>
      </w:r>
    </w:p>
    <w:p w14:paraId="6D07A09B" w14:textId="77777777" w:rsidR="006F468F" w:rsidRPr="006F468F" w:rsidRDefault="006F468F" w:rsidP="00443352">
      <w:pPr>
        <w:pStyle w:val="CLDNormal"/>
        <w:jc w:val="left"/>
        <w:rPr>
          <w:lang w:val="en-US"/>
        </w:rPr>
      </w:pPr>
      <w:r w:rsidRPr="006F468F">
        <w:rPr>
          <w:lang w:val="en-US"/>
        </w:rPr>
        <w:t>Rituximab at a dose of 375 mg/m</w:t>
      </w:r>
      <w:r w:rsidRPr="00667EA5">
        <w:rPr>
          <w:vertAlign w:val="superscript"/>
          <w:lang w:val="en-US"/>
        </w:rPr>
        <w:t>2</w:t>
      </w:r>
      <w:r w:rsidRPr="006F468F">
        <w:rPr>
          <w:lang w:val="en-US"/>
        </w:rPr>
        <w:t xml:space="preserve"> was administered as an IV infusion at weekly intervals for 4 doses to 203 patients with NHL naive to rituximab. The mean </w:t>
      </w:r>
      <w:proofErr w:type="spellStart"/>
      <w:r w:rsidRPr="006F468F">
        <w:rPr>
          <w:lang w:val="en-US"/>
        </w:rPr>
        <w:t>C</w:t>
      </w:r>
      <w:r w:rsidRPr="00667EA5">
        <w:rPr>
          <w:vertAlign w:val="subscript"/>
          <w:lang w:val="en-US"/>
        </w:rPr>
        <w:t>max</w:t>
      </w:r>
      <w:proofErr w:type="spellEnd"/>
      <w:r w:rsidRPr="006F468F">
        <w:rPr>
          <w:lang w:val="en-US"/>
        </w:rPr>
        <w:t xml:space="preserve"> following the fourth infusion was 486 μg/mL (range 77.5 - 996.6 μg/mL). The peak and trough serum levels of rituximab were inversely correlated with baseline values for the number of circulating CD19-positive B-cells and measures of disease burden. Median steady-state serum levels were higher for responders compared with non-responders. Serum levels were higher in patients with International Working Formulation (IWF) subtypes B, C, and D as compared with those with subtype A.</w:t>
      </w:r>
    </w:p>
    <w:p w14:paraId="6FD7B53D" w14:textId="77777777" w:rsidR="006F468F" w:rsidRPr="006F468F" w:rsidRDefault="006F468F" w:rsidP="00443352">
      <w:pPr>
        <w:pStyle w:val="CLDNormal"/>
        <w:jc w:val="left"/>
        <w:rPr>
          <w:lang w:val="en-US"/>
        </w:rPr>
      </w:pPr>
      <w:r w:rsidRPr="006F468F">
        <w:rPr>
          <w:lang w:val="en-US"/>
        </w:rPr>
        <w:t>Rituximab was detectable in the serum of patients 3 – 6 months after completion of last treatment.</w:t>
      </w:r>
    </w:p>
    <w:p w14:paraId="4150DF4B" w14:textId="77777777" w:rsidR="006F468F" w:rsidRPr="006F468F" w:rsidRDefault="006F468F" w:rsidP="00443352">
      <w:pPr>
        <w:pStyle w:val="CLDNormal"/>
        <w:jc w:val="left"/>
        <w:rPr>
          <w:lang w:val="en-US"/>
        </w:rPr>
      </w:pPr>
      <w:r w:rsidRPr="006F468F">
        <w:rPr>
          <w:lang w:val="en-US"/>
        </w:rPr>
        <w:t>Rituximab at a dose of 375 mg/m</w:t>
      </w:r>
      <w:r w:rsidRPr="00667EA5">
        <w:rPr>
          <w:vertAlign w:val="superscript"/>
          <w:lang w:val="en-US"/>
        </w:rPr>
        <w:t>2</w:t>
      </w:r>
      <w:r w:rsidRPr="006F468F">
        <w:rPr>
          <w:lang w:val="en-US"/>
        </w:rPr>
        <w:t xml:space="preserve"> was administered as an IV infusion at weekly intervals for 8 doses to 37 patients with NHL. The mean </w:t>
      </w:r>
      <w:proofErr w:type="spellStart"/>
      <w:r w:rsidRPr="006F468F">
        <w:rPr>
          <w:lang w:val="en-US"/>
        </w:rPr>
        <w:t>C</w:t>
      </w:r>
      <w:r w:rsidRPr="00667EA5">
        <w:rPr>
          <w:vertAlign w:val="subscript"/>
          <w:lang w:val="en-US"/>
        </w:rPr>
        <w:t>max</w:t>
      </w:r>
      <w:proofErr w:type="spellEnd"/>
      <w:r w:rsidRPr="006F468F">
        <w:rPr>
          <w:lang w:val="en-US"/>
        </w:rPr>
        <w:t xml:space="preserve"> increased with each successive infusion, spanning from a mean of 243 μg/mL (range, 16 – 582 μg/mL) after the first infusion to 550 μg/mL (range 171 – 1177 μg/mL) after the eighth infusion.</w:t>
      </w:r>
    </w:p>
    <w:p w14:paraId="56931D15" w14:textId="77777777" w:rsidR="006F468F" w:rsidRDefault="006F468F" w:rsidP="00443352">
      <w:pPr>
        <w:pStyle w:val="CLDNormal"/>
        <w:jc w:val="left"/>
        <w:rPr>
          <w:lang w:val="en-US"/>
        </w:rPr>
      </w:pPr>
      <w:r w:rsidRPr="006F468F">
        <w:rPr>
          <w:lang w:val="en-US"/>
        </w:rPr>
        <w:t>The pharmacokinetic profile of rituximab when administered as 6 infusions of 375 mg/m</w:t>
      </w:r>
      <w:r w:rsidRPr="00667EA5">
        <w:rPr>
          <w:vertAlign w:val="superscript"/>
          <w:lang w:val="en-US"/>
        </w:rPr>
        <w:t>2</w:t>
      </w:r>
      <w:r w:rsidRPr="006F468F">
        <w:rPr>
          <w:lang w:val="en-US"/>
        </w:rPr>
        <w:t xml:space="preserve"> in combination with 6 cycles of CHOP chemotherapy was similar to that seen with rituximab alone.</w:t>
      </w:r>
    </w:p>
    <w:p w14:paraId="64CF8A7D" w14:textId="77777777" w:rsidR="006F468F" w:rsidRPr="00190E85" w:rsidRDefault="006F468F" w:rsidP="00443352">
      <w:pPr>
        <w:pStyle w:val="CLDHeading3"/>
        <w:jc w:val="left"/>
        <w:rPr>
          <w:lang w:val="en-US"/>
        </w:rPr>
      </w:pPr>
      <w:r w:rsidRPr="00190E85">
        <w:rPr>
          <w:lang w:val="en-US"/>
        </w:rPr>
        <w:t xml:space="preserve">Chronic Lymphocytic </w:t>
      </w:r>
      <w:proofErr w:type="spellStart"/>
      <w:r w:rsidRPr="00190E85">
        <w:rPr>
          <w:lang w:val="en-US"/>
        </w:rPr>
        <w:t>Leukaemia</w:t>
      </w:r>
      <w:proofErr w:type="spellEnd"/>
      <w:r w:rsidRPr="00190E85">
        <w:rPr>
          <w:lang w:val="en-US"/>
        </w:rPr>
        <w:t xml:space="preserve"> (CLL)</w:t>
      </w:r>
    </w:p>
    <w:p w14:paraId="7F7C7623" w14:textId="77777777" w:rsidR="006F468F" w:rsidRPr="006F468F" w:rsidRDefault="006F468F" w:rsidP="00443352">
      <w:pPr>
        <w:pStyle w:val="CLDNormal"/>
        <w:jc w:val="left"/>
        <w:rPr>
          <w:lang w:val="en-US"/>
        </w:rPr>
      </w:pPr>
      <w:r w:rsidRPr="006F468F">
        <w:rPr>
          <w:lang w:val="en-US"/>
        </w:rPr>
        <w:t>Rituximab was administered as an IV infusion at a first-cycle dose of 375 mg/m</w:t>
      </w:r>
      <w:r w:rsidRPr="00667EA5">
        <w:rPr>
          <w:vertAlign w:val="superscript"/>
          <w:lang w:val="en-US"/>
        </w:rPr>
        <w:t>2</w:t>
      </w:r>
      <w:r w:rsidRPr="006F468F">
        <w:rPr>
          <w:lang w:val="en-US"/>
        </w:rPr>
        <w:t xml:space="preserve"> increased to 500 mg/m</w:t>
      </w:r>
      <w:r w:rsidRPr="00667EA5">
        <w:rPr>
          <w:vertAlign w:val="superscript"/>
          <w:lang w:val="en-US"/>
        </w:rPr>
        <w:t>2</w:t>
      </w:r>
      <w:r w:rsidRPr="006F468F">
        <w:rPr>
          <w:lang w:val="en-US"/>
        </w:rPr>
        <w:t xml:space="preserve"> each cycle for a further 5 doses in combination with </w:t>
      </w:r>
      <w:proofErr w:type="spellStart"/>
      <w:r w:rsidRPr="006F468F">
        <w:rPr>
          <w:lang w:val="en-US"/>
        </w:rPr>
        <w:t>fludarabine</w:t>
      </w:r>
      <w:proofErr w:type="spellEnd"/>
      <w:r w:rsidRPr="006F468F">
        <w:rPr>
          <w:lang w:val="en-US"/>
        </w:rPr>
        <w:t xml:space="preserve"> and cyclophosphamide (FC) in CLL patients. The mean </w:t>
      </w:r>
      <w:proofErr w:type="spellStart"/>
      <w:r w:rsidRPr="006F468F">
        <w:rPr>
          <w:lang w:val="en-US"/>
        </w:rPr>
        <w:t>Cmax</w:t>
      </w:r>
      <w:proofErr w:type="spellEnd"/>
      <w:r w:rsidRPr="006F468F">
        <w:rPr>
          <w:lang w:val="en-US"/>
        </w:rPr>
        <w:t xml:space="preserve"> (N=15) was 408 μg/mL (range, 97 – 764 μg/mL) after the fifth 500 mg/m</w:t>
      </w:r>
      <w:r w:rsidRPr="00667EA5">
        <w:rPr>
          <w:vertAlign w:val="superscript"/>
          <w:lang w:val="en-US"/>
        </w:rPr>
        <w:t>2</w:t>
      </w:r>
      <w:r w:rsidRPr="006F468F">
        <w:rPr>
          <w:lang w:val="en-US"/>
        </w:rPr>
        <w:t xml:space="preserve"> infusion.</w:t>
      </w:r>
    </w:p>
    <w:p w14:paraId="64CD1B6B" w14:textId="77777777" w:rsidR="006F468F" w:rsidRPr="00190E85" w:rsidRDefault="006F468F" w:rsidP="00443352">
      <w:pPr>
        <w:pStyle w:val="CLDHeading3"/>
        <w:jc w:val="left"/>
        <w:rPr>
          <w:lang w:val="en-US"/>
        </w:rPr>
      </w:pPr>
      <w:r w:rsidRPr="00190E85">
        <w:rPr>
          <w:lang w:val="en-US"/>
        </w:rPr>
        <w:t>Rheumatoid Arthritis</w:t>
      </w:r>
    </w:p>
    <w:p w14:paraId="76115A71" w14:textId="77777777" w:rsidR="006F468F" w:rsidRDefault="006F468F" w:rsidP="00443352">
      <w:pPr>
        <w:pStyle w:val="CLDNormal"/>
        <w:jc w:val="left"/>
        <w:rPr>
          <w:lang w:val="en-US"/>
        </w:rPr>
      </w:pPr>
      <w:r w:rsidRPr="006F468F">
        <w:rPr>
          <w:lang w:val="en-US"/>
        </w:rPr>
        <w:t>Following two intravenous infusions of rituximab at a dose of 1000 mg, two weeks apart, the mean terminal half-life was 20.8 days (range 8.58 to 35.9 days), mean systemic clearance was 0.23 L/day (range 0.091 to 0.67 L/day), and mean steady-state distribution volume was 4.6 L (range 1.7 to 7.51 L). Population pharmacokinetic analysis of the same data gave similar mean values for systemic clearance and half-life, 0.26 L/day and 20.4 days, respectively. Population pharmacokinetic analysis revealed that BSA and gender were the most significant covariates to explain inter-individual variability in pharmacokinetic parameters. After adjusting for BSA, male subjects had a larger volume of distribution and a faster clearance than female subjects. The gender- related pharmacokinetic differences are not considered to be clinically relevant and dose adjustment is not required.</w:t>
      </w:r>
    </w:p>
    <w:p w14:paraId="12C78A07" w14:textId="77777777" w:rsidR="006F468F" w:rsidRPr="006F468F" w:rsidRDefault="006F468F" w:rsidP="00443352">
      <w:pPr>
        <w:pStyle w:val="CLDNormal"/>
        <w:jc w:val="left"/>
        <w:rPr>
          <w:lang w:val="en-US"/>
        </w:rPr>
      </w:pPr>
      <w:r w:rsidRPr="006F468F">
        <w:rPr>
          <w:lang w:val="en-US"/>
        </w:rPr>
        <w:t xml:space="preserve">The pharmacokinetics of rituximab were assessed following two IV doses of 500 mg and 1000 mg on days 1 and 15 in four studies. In all these studies, rituximab pharmacokinetics were dose proportional over the limited dose range studied. Mean </w:t>
      </w:r>
      <w:proofErr w:type="spellStart"/>
      <w:r w:rsidRPr="006F468F">
        <w:rPr>
          <w:lang w:val="en-US"/>
        </w:rPr>
        <w:t>C</w:t>
      </w:r>
      <w:r w:rsidRPr="00FE4587">
        <w:rPr>
          <w:vertAlign w:val="subscript"/>
          <w:lang w:val="en-US"/>
        </w:rPr>
        <w:t>max</w:t>
      </w:r>
      <w:proofErr w:type="spellEnd"/>
      <w:r w:rsidRPr="006F468F">
        <w:rPr>
          <w:lang w:val="en-US"/>
        </w:rPr>
        <w:t xml:space="preserve"> for serum rituximab following first infusion ranged from 157 to 171 μg/mL for 2 x 500 mg dose and ranged from 298 to 341 μg/mL for 2 x 1000 mg dose. Following second infusion, mean </w:t>
      </w:r>
      <w:proofErr w:type="spellStart"/>
      <w:r w:rsidRPr="006F468F">
        <w:rPr>
          <w:lang w:val="en-US"/>
        </w:rPr>
        <w:t>C</w:t>
      </w:r>
      <w:r w:rsidRPr="00FE4587">
        <w:rPr>
          <w:vertAlign w:val="subscript"/>
          <w:lang w:val="en-US"/>
        </w:rPr>
        <w:t>max</w:t>
      </w:r>
      <w:proofErr w:type="spellEnd"/>
      <w:r w:rsidRPr="006F468F">
        <w:rPr>
          <w:lang w:val="en-US"/>
        </w:rPr>
        <w:t xml:space="preserve"> ranged from 183 to 198 μg/mL for the 2 x 500 mg dose and ranged from 355 to 404 μg/mL for the 2 x 1000 mg dose. Mean terminal elimination half-life ranged from 15 to 16.5 days for the 2 x 500 mg dose group and 17 to 21 days for the 2 x 1000 mg dose group. Mean </w:t>
      </w:r>
      <w:proofErr w:type="spellStart"/>
      <w:r w:rsidRPr="006F468F">
        <w:rPr>
          <w:lang w:val="en-US"/>
        </w:rPr>
        <w:t>C</w:t>
      </w:r>
      <w:r w:rsidRPr="00FE4587">
        <w:rPr>
          <w:vertAlign w:val="subscript"/>
          <w:lang w:val="en-US"/>
        </w:rPr>
        <w:t>max</w:t>
      </w:r>
      <w:proofErr w:type="spellEnd"/>
      <w:r w:rsidRPr="006F468F">
        <w:rPr>
          <w:lang w:val="en-US"/>
        </w:rPr>
        <w:t xml:space="preserve"> was 16 to 19% higher following second infusion compared to the first infusion for both doses.</w:t>
      </w:r>
    </w:p>
    <w:p w14:paraId="0C06F474" w14:textId="77777777" w:rsidR="006F468F" w:rsidRDefault="006F468F" w:rsidP="00443352">
      <w:pPr>
        <w:pStyle w:val="CLDNormal"/>
        <w:jc w:val="left"/>
        <w:rPr>
          <w:lang w:val="en-US"/>
        </w:rPr>
      </w:pPr>
      <w:r w:rsidRPr="006F468F">
        <w:rPr>
          <w:lang w:val="en-US"/>
        </w:rPr>
        <w:t xml:space="preserve">Upon re-treatment with a second course the pharmacokinetics of rituximab were again assessed following two IV doses of 500 mg and 1000 mg. Mean </w:t>
      </w:r>
      <w:proofErr w:type="spellStart"/>
      <w:r w:rsidRPr="006F468F">
        <w:rPr>
          <w:lang w:val="en-US"/>
        </w:rPr>
        <w:t>Cmax</w:t>
      </w:r>
      <w:proofErr w:type="spellEnd"/>
      <w:r w:rsidRPr="006F468F">
        <w:rPr>
          <w:lang w:val="en-US"/>
        </w:rPr>
        <w:t xml:space="preserve"> for serum rituximab following first infusion was 170 to 175 μg/mL for 2 x 500 mg dose and 317 to 370 μg/mL for 2 x 1000 mg dose. </w:t>
      </w:r>
      <w:proofErr w:type="spellStart"/>
      <w:r w:rsidRPr="006F468F">
        <w:rPr>
          <w:lang w:val="en-US"/>
        </w:rPr>
        <w:t>Cmax</w:t>
      </w:r>
      <w:proofErr w:type="spellEnd"/>
      <w:r w:rsidRPr="006F468F">
        <w:rPr>
          <w:lang w:val="en-US"/>
        </w:rPr>
        <w:t xml:space="preserve"> following second infusion, was 207 μg/mL for the 2 x 500 mg dose and ranged from 377 to 386 μg/mL for the 2 x 1000 mg dose. Mean terminal elimination half-life after the second infusion, following the second course, was 19 days for 2 x 500 mg dose and ranged from 21 to 22 days for the 2 x 1000 mg dose. PK parameters for rituximab were comparable over the two treatment courses.</w:t>
      </w:r>
    </w:p>
    <w:p w14:paraId="01DCCBAE" w14:textId="77777777" w:rsidR="006F468F" w:rsidRPr="00190E85" w:rsidRDefault="006F468F" w:rsidP="00443352">
      <w:pPr>
        <w:pStyle w:val="CLDHeading3"/>
        <w:jc w:val="left"/>
        <w:rPr>
          <w:lang w:val="en-US"/>
        </w:rPr>
      </w:pPr>
      <w:r w:rsidRPr="00190E85">
        <w:rPr>
          <w:lang w:val="en-US"/>
        </w:rPr>
        <w:t xml:space="preserve">Granulomatosis with </w:t>
      </w:r>
      <w:proofErr w:type="spellStart"/>
      <w:r w:rsidRPr="00190E85">
        <w:rPr>
          <w:lang w:val="en-US"/>
        </w:rPr>
        <w:t>polyangiitis</w:t>
      </w:r>
      <w:proofErr w:type="spellEnd"/>
      <w:r w:rsidRPr="00190E85">
        <w:rPr>
          <w:lang w:val="en-US"/>
        </w:rPr>
        <w:t xml:space="preserve"> (Wegener’s) (GPA) and Microscopic </w:t>
      </w:r>
      <w:proofErr w:type="spellStart"/>
      <w:r w:rsidRPr="00190E85">
        <w:rPr>
          <w:lang w:val="en-US"/>
        </w:rPr>
        <w:t>polyangiitis</w:t>
      </w:r>
      <w:proofErr w:type="spellEnd"/>
      <w:r w:rsidRPr="00190E85">
        <w:rPr>
          <w:lang w:val="en-US"/>
        </w:rPr>
        <w:t xml:space="preserve"> (MPA)</w:t>
      </w:r>
    </w:p>
    <w:p w14:paraId="0E7E74E8" w14:textId="387B635A" w:rsidR="006F468F" w:rsidRDefault="006F468F" w:rsidP="00443352">
      <w:pPr>
        <w:pStyle w:val="CLDNormal"/>
        <w:jc w:val="left"/>
        <w:rPr>
          <w:lang w:val="en-US"/>
        </w:rPr>
      </w:pPr>
      <w:r w:rsidRPr="006F468F">
        <w:rPr>
          <w:lang w:val="en-US"/>
        </w:rPr>
        <w:t>Based on the population pharmacokinetic analysis of data in 97 GPA and MPA patients who received 375 mg/m</w:t>
      </w:r>
      <w:r w:rsidRPr="00FE4587">
        <w:rPr>
          <w:vertAlign w:val="superscript"/>
          <w:lang w:val="en-US"/>
        </w:rPr>
        <w:t>2</w:t>
      </w:r>
      <w:r w:rsidRPr="006F468F">
        <w:rPr>
          <w:lang w:val="en-US"/>
        </w:rPr>
        <w:t xml:space="preserve"> rituximab once weekly for four doses, the estimated median terminal elimination half-life was 23 days (range 9 to 49 days). Rituximab mean clearance and volume of distribution were 0.313 L/day (range 0.116 to 0.726 L/day) and 4.50 L (range 2.25 to 7.39 L), respectively. The PK parameters of rituximab in GPA and MPA patients appear similar to what has been observed in RA patients (see section 5.2 Pharmacokinetic properties).</w:t>
      </w:r>
    </w:p>
    <w:p w14:paraId="24579F95" w14:textId="3574572C" w:rsidR="00112E5B" w:rsidRDefault="00003E72" w:rsidP="00443352">
      <w:pPr>
        <w:pStyle w:val="CLDHeading2"/>
        <w:jc w:val="left"/>
      </w:pPr>
      <w:r>
        <w:t>5.3</w:t>
      </w:r>
      <w:r>
        <w:tab/>
      </w:r>
      <w:r w:rsidR="00003485">
        <w:t>Preclinical safety d</w:t>
      </w:r>
      <w:r w:rsidR="00112E5B">
        <w:t xml:space="preserve">ata </w:t>
      </w:r>
    </w:p>
    <w:p w14:paraId="5091E38E" w14:textId="77777777" w:rsidR="00887811" w:rsidRDefault="00887811" w:rsidP="00443352">
      <w:pPr>
        <w:pStyle w:val="CLDHeading3"/>
        <w:jc w:val="left"/>
      </w:pPr>
      <w:r>
        <w:t>Genotoxicity</w:t>
      </w:r>
      <w:r w:rsidR="003D017D">
        <w:t xml:space="preserve"> </w:t>
      </w:r>
    </w:p>
    <w:p w14:paraId="07D3A2EB" w14:textId="1C22A6C9" w:rsidR="00887811" w:rsidRPr="00C90A3C" w:rsidRDefault="0097216D" w:rsidP="00443352">
      <w:pPr>
        <w:pStyle w:val="CLDNormal"/>
        <w:jc w:val="left"/>
      </w:pPr>
      <w:r w:rsidRPr="0097216D">
        <w:rPr>
          <w:lang w:val="en-AU"/>
        </w:rPr>
        <w:t>The genotoxic potential of rituximab has not been investigated.</w:t>
      </w:r>
      <w:r w:rsidR="009F6FB6" w:rsidRPr="00C90A3C">
        <w:t xml:space="preserve"> </w:t>
      </w:r>
    </w:p>
    <w:p w14:paraId="5D1DCD2A" w14:textId="77777777" w:rsidR="00887811" w:rsidRPr="00C035A6" w:rsidRDefault="00887811" w:rsidP="00443352">
      <w:pPr>
        <w:pStyle w:val="CLDHeading3"/>
        <w:jc w:val="left"/>
        <w:rPr>
          <w:bCs/>
          <w:i/>
          <w:iCs/>
          <w:color w:val="FF0000"/>
        </w:rPr>
      </w:pPr>
      <w:r>
        <w:t>Carcinogenicity</w:t>
      </w:r>
      <w:r w:rsidRPr="001D2530">
        <w:rPr>
          <w:bCs/>
          <w:i/>
          <w:iCs/>
          <w:color w:val="7030A0"/>
        </w:rPr>
        <w:t xml:space="preserve"> </w:t>
      </w:r>
    </w:p>
    <w:p w14:paraId="5B549C26" w14:textId="534B754C" w:rsidR="00CD7E76" w:rsidRPr="00C90A3C" w:rsidRDefault="0097216D" w:rsidP="00443352">
      <w:pPr>
        <w:pStyle w:val="CLDNormal"/>
        <w:jc w:val="left"/>
      </w:pPr>
      <w:r w:rsidRPr="0097216D">
        <w:rPr>
          <w:lang w:val="en-AU"/>
        </w:rPr>
        <w:t>The carcinogenic potential of rituximab has not been investigated</w:t>
      </w:r>
      <w:r w:rsidR="009F6FB6" w:rsidRPr="00C90A3C">
        <w:t xml:space="preserve">. </w:t>
      </w:r>
    </w:p>
    <w:p w14:paraId="57F73A1D" w14:textId="77777777" w:rsidR="00112B3F" w:rsidRDefault="002B1AAB" w:rsidP="00443352">
      <w:pPr>
        <w:pStyle w:val="CLDHeading1"/>
        <w:jc w:val="left"/>
      </w:pPr>
      <w:r>
        <w:t>6.</w:t>
      </w:r>
      <w:r>
        <w:tab/>
      </w:r>
      <w:r w:rsidR="0018348D">
        <w:t>PHARMACEUTICAL PARTICULARS</w:t>
      </w:r>
      <w:r w:rsidR="00112E5B">
        <w:t xml:space="preserve"> </w:t>
      </w:r>
    </w:p>
    <w:p w14:paraId="427D6258" w14:textId="77777777" w:rsidR="00830B98" w:rsidRDefault="002B1AAB" w:rsidP="00443352">
      <w:pPr>
        <w:pStyle w:val="CLDHeading2"/>
        <w:jc w:val="left"/>
      </w:pPr>
      <w:r>
        <w:t>6.1</w:t>
      </w:r>
      <w:r>
        <w:tab/>
      </w:r>
      <w:r w:rsidR="00003485">
        <w:t>List of e</w:t>
      </w:r>
      <w:r w:rsidR="003556AB">
        <w:t>xcipients</w:t>
      </w:r>
      <w:r w:rsidR="00830B98">
        <w:t xml:space="preserve"> </w:t>
      </w:r>
    </w:p>
    <w:p w14:paraId="1B2BB1C8" w14:textId="34A41A07" w:rsidR="00E533FB" w:rsidRPr="00E533FB" w:rsidRDefault="00E533FB" w:rsidP="003E4BDA">
      <w:pPr>
        <w:pStyle w:val="CLDHeading2"/>
        <w:keepNext w:val="0"/>
        <w:spacing w:before="0" w:after="0"/>
        <w:ind w:left="425" w:hanging="425"/>
        <w:jc w:val="left"/>
        <w:rPr>
          <w:rFonts w:ascii="Times New Roman" w:eastAsia="Calibri" w:hAnsi="Times New Roman"/>
          <w:b w:val="0"/>
          <w:sz w:val="24"/>
          <w:szCs w:val="20"/>
          <w:lang w:val="en-US"/>
        </w:rPr>
      </w:pPr>
      <w:r>
        <w:rPr>
          <w:rFonts w:ascii="Times New Roman" w:eastAsia="Calibri" w:hAnsi="Times New Roman"/>
          <w:b w:val="0"/>
          <w:sz w:val="24"/>
          <w:szCs w:val="20"/>
          <w:lang w:val="en-US"/>
        </w:rPr>
        <w:t>Histidine</w:t>
      </w:r>
    </w:p>
    <w:p w14:paraId="764FF528" w14:textId="163FDF74" w:rsidR="00E533FB" w:rsidRPr="00E533FB" w:rsidRDefault="00E533FB" w:rsidP="003E4BDA">
      <w:pPr>
        <w:pStyle w:val="CLDHeading2"/>
        <w:keepNext w:val="0"/>
        <w:spacing w:before="0" w:after="0"/>
        <w:ind w:left="425" w:hanging="425"/>
        <w:jc w:val="left"/>
        <w:rPr>
          <w:rFonts w:ascii="Times New Roman" w:eastAsia="Calibri" w:hAnsi="Times New Roman"/>
          <w:b w:val="0"/>
          <w:sz w:val="24"/>
          <w:szCs w:val="20"/>
          <w:lang w:val="en-US"/>
        </w:rPr>
      </w:pPr>
      <w:r>
        <w:rPr>
          <w:rFonts w:ascii="Times New Roman" w:eastAsia="Calibri" w:hAnsi="Times New Roman"/>
          <w:b w:val="0"/>
          <w:sz w:val="24"/>
          <w:szCs w:val="20"/>
          <w:lang w:val="en-US"/>
        </w:rPr>
        <w:t>H</w:t>
      </w:r>
      <w:r w:rsidRPr="00E533FB">
        <w:rPr>
          <w:rFonts w:ascii="Times New Roman" w:eastAsia="Calibri" w:hAnsi="Times New Roman"/>
          <w:b w:val="0"/>
          <w:sz w:val="24"/>
          <w:szCs w:val="20"/>
          <w:lang w:val="en-US"/>
        </w:rPr>
        <w:t>istidine hydrochloride monohydrate</w:t>
      </w:r>
    </w:p>
    <w:p w14:paraId="747D05E0" w14:textId="77777777" w:rsidR="00E533FB" w:rsidRPr="00E533FB" w:rsidRDefault="00E533FB" w:rsidP="003E4BDA">
      <w:pPr>
        <w:pStyle w:val="CLDHeading2"/>
        <w:keepNext w:val="0"/>
        <w:spacing w:before="0" w:after="0"/>
        <w:ind w:left="425" w:hanging="425"/>
        <w:jc w:val="left"/>
        <w:rPr>
          <w:rFonts w:ascii="Times New Roman" w:eastAsia="Calibri" w:hAnsi="Times New Roman"/>
          <w:b w:val="0"/>
          <w:sz w:val="24"/>
          <w:szCs w:val="20"/>
          <w:lang w:val="en-US"/>
        </w:rPr>
      </w:pPr>
      <w:r w:rsidRPr="00E533FB">
        <w:rPr>
          <w:rFonts w:ascii="Times New Roman" w:eastAsia="Calibri" w:hAnsi="Times New Roman"/>
          <w:b w:val="0"/>
          <w:sz w:val="24"/>
          <w:szCs w:val="20"/>
          <w:lang w:val="en-US"/>
        </w:rPr>
        <w:t xml:space="preserve">Disodium </w:t>
      </w:r>
      <w:proofErr w:type="spellStart"/>
      <w:r w:rsidRPr="00E533FB">
        <w:rPr>
          <w:rFonts w:ascii="Times New Roman" w:eastAsia="Calibri" w:hAnsi="Times New Roman"/>
          <w:b w:val="0"/>
          <w:sz w:val="24"/>
          <w:szCs w:val="20"/>
          <w:lang w:val="en-US"/>
        </w:rPr>
        <w:t>edetate</w:t>
      </w:r>
      <w:proofErr w:type="spellEnd"/>
    </w:p>
    <w:p w14:paraId="7B575670" w14:textId="77777777" w:rsidR="00E533FB" w:rsidRPr="00E533FB" w:rsidRDefault="00E533FB" w:rsidP="003E4BDA">
      <w:pPr>
        <w:pStyle w:val="CLDHeading2"/>
        <w:keepNext w:val="0"/>
        <w:spacing w:before="0" w:after="0"/>
        <w:ind w:left="425" w:hanging="425"/>
        <w:jc w:val="left"/>
        <w:rPr>
          <w:rFonts w:ascii="Times New Roman" w:eastAsia="Calibri" w:hAnsi="Times New Roman"/>
          <w:b w:val="0"/>
          <w:sz w:val="24"/>
          <w:szCs w:val="20"/>
          <w:lang w:val="en-US"/>
        </w:rPr>
      </w:pPr>
      <w:proofErr w:type="spellStart"/>
      <w:r w:rsidRPr="00E533FB">
        <w:rPr>
          <w:rFonts w:ascii="Times New Roman" w:eastAsia="Calibri" w:hAnsi="Times New Roman"/>
          <w:b w:val="0"/>
          <w:sz w:val="24"/>
          <w:szCs w:val="20"/>
          <w:lang w:val="en-US"/>
        </w:rPr>
        <w:t>Polysorbate</w:t>
      </w:r>
      <w:proofErr w:type="spellEnd"/>
      <w:r w:rsidRPr="00E533FB">
        <w:rPr>
          <w:rFonts w:ascii="Times New Roman" w:eastAsia="Calibri" w:hAnsi="Times New Roman"/>
          <w:b w:val="0"/>
          <w:sz w:val="24"/>
          <w:szCs w:val="20"/>
          <w:lang w:val="en-US"/>
        </w:rPr>
        <w:t xml:space="preserve"> 80</w:t>
      </w:r>
    </w:p>
    <w:p w14:paraId="609BEE76" w14:textId="77777777" w:rsidR="00E533FB" w:rsidRPr="00E533FB" w:rsidRDefault="00E533FB" w:rsidP="003E4BDA">
      <w:pPr>
        <w:pStyle w:val="CLDHeading2"/>
        <w:keepNext w:val="0"/>
        <w:spacing w:before="0" w:after="0"/>
        <w:ind w:left="425" w:hanging="425"/>
        <w:jc w:val="left"/>
        <w:rPr>
          <w:rFonts w:ascii="Times New Roman" w:eastAsia="Calibri" w:hAnsi="Times New Roman"/>
          <w:b w:val="0"/>
          <w:sz w:val="24"/>
          <w:szCs w:val="20"/>
          <w:lang w:val="en-US"/>
        </w:rPr>
      </w:pPr>
      <w:r w:rsidRPr="00E533FB">
        <w:rPr>
          <w:rFonts w:ascii="Times New Roman" w:eastAsia="Calibri" w:hAnsi="Times New Roman"/>
          <w:b w:val="0"/>
          <w:sz w:val="24"/>
          <w:szCs w:val="20"/>
          <w:lang w:val="en-US"/>
        </w:rPr>
        <w:t>Sucrose</w:t>
      </w:r>
    </w:p>
    <w:p w14:paraId="379FC5D8" w14:textId="77777777" w:rsidR="00E533FB" w:rsidRDefault="00E533FB" w:rsidP="003E4BDA">
      <w:pPr>
        <w:pStyle w:val="CLDHeading2"/>
        <w:keepNext w:val="0"/>
        <w:spacing w:before="0" w:after="0"/>
        <w:ind w:left="425" w:hanging="425"/>
        <w:jc w:val="left"/>
        <w:rPr>
          <w:rFonts w:ascii="Times New Roman" w:eastAsia="Calibri" w:hAnsi="Times New Roman"/>
          <w:b w:val="0"/>
          <w:sz w:val="24"/>
          <w:szCs w:val="20"/>
          <w:lang w:val="en-US"/>
        </w:rPr>
      </w:pPr>
      <w:r w:rsidRPr="00E533FB">
        <w:rPr>
          <w:rFonts w:ascii="Times New Roman" w:eastAsia="Calibri" w:hAnsi="Times New Roman"/>
          <w:b w:val="0"/>
          <w:sz w:val="24"/>
          <w:szCs w:val="20"/>
          <w:lang w:val="en-US"/>
        </w:rPr>
        <w:t>Water for injection</w:t>
      </w:r>
    </w:p>
    <w:p w14:paraId="524112D1" w14:textId="0BE05168" w:rsidR="00830B98" w:rsidRPr="00C035A6" w:rsidRDefault="002B1AAB" w:rsidP="00443352">
      <w:pPr>
        <w:pStyle w:val="CLDHeading2"/>
        <w:jc w:val="left"/>
        <w:rPr>
          <w:bCs/>
          <w:i/>
          <w:iCs/>
          <w:color w:val="FF0000"/>
        </w:rPr>
      </w:pPr>
      <w:r>
        <w:t>6.2</w:t>
      </w:r>
      <w:r>
        <w:tab/>
      </w:r>
      <w:r w:rsidR="003556AB">
        <w:t xml:space="preserve">Incompatibilities </w:t>
      </w:r>
    </w:p>
    <w:p w14:paraId="257BD05E" w14:textId="4B40FFA3" w:rsidR="006F468F" w:rsidRDefault="006F468F" w:rsidP="00443352">
      <w:pPr>
        <w:pStyle w:val="CLDNormal"/>
        <w:jc w:val="left"/>
      </w:pPr>
      <w:r>
        <w:t xml:space="preserve">No incompatibilities between </w:t>
      </w:r>
      <w:r w:rsidR="001D5FD3">
        <w:t>RUXIENCE</w:t>
      </w:r>
      <w:r>
        <w:t xml:space="preserve"> and polyvinyl chloride or polyethylene bags have been observed.</w:t>
      </w:r>
    </w:p>
    <w:p w14:paraId="7608CEF2" w14:textId="77777777" w:rsidR="00830B98" w:rsidRDefault="002B1AAB" w:rsidP="00443352">
      <w:pPr>
        <w:pStyle w:val="CLDHeading2"/>
        <w:jc w:val="left"/>
      </w:pPr>
      <w:r>
        <w:t>6.3</w:t>
      </w:r>
      <w:r>
        <w:tab/>
      </w:r>
      <w:r w:rsidR="003556AB">
        <w:t>Shelf life</w:t>
      </w:r>
      <w:r w:rsidR="00830B98">
        <w:t xml:space="preserve"> </w:t>
      </w:r>
    </w:p>
    <w:p w14:paraId="4AF82069" w14:textId="77777777" w:rsidR="00A02F80" w:rsidRDefault="007E1608" w:rsidP="00443352">
      <w:pPr>
        <w:pStyle w:val="CLDNormal"/>
        <w:jc w:val="left"/>
      </w:pPr>
      <w:r w:rsidRPr="007E1608">
        <w:t>In Australia, information on the shelf life can be found on the public summary of the Australian Register of Therapeutic Goods (ARTG). The expiry date can be found on the packaging. Do not use beyond the expiry date stamped on the carton/vial.</w:t>
      </w:r>
    </w:p>
    <w:p w14:paraId="2C0037C9" w14:textId="77777777" w:rsidR="003556AB" w:rsidRDefault="002B1AAB" w:rsidP="00443352">
      <w:pPr>
        <w:pStyle w:val="CLDHeading2"/>
        <w:jc w:val="left"/>
      </w:pPr>
      <w:r>
        <w:t>6.4</w:t>
      </w:r>
      <w:r>
        <w:tab/>
      </w:r>
      <w:r w:rsidR="00003485">
        <w:t>Special precautions for s</w:t>
      </w:r>
      <w:r w:rsidR="003556AB">
        <w:t xml:space="preserve">torage </w:t>
      </w:r>
    </w:p>
    <w:p w14:paraId="4760E926" w14:textId="77777777" w:rsidR="0087013E" w:rsidRPr="0087013E" w:rsidRDefault="0087013E" w:rsidP="00443352">
      <w:pPr>
        <w:pStyle w:val="CLDNormal"/>
        <w:jc w:val="left"/>
      </w:pPr>
      <w:r w:rsidRPr="0087013E">
        <w:t>Store in a refrigerator (2 °C – 8 °C). Keep the container in the outer carton in order to protect from light.</w:t>
      </w:r>
    </w:p>
    <w:p w14:paraId="6BDD3596" w14:textId="77777777" w:rsidR="0087013E" w:rsidRPr="00CB27F2" w:rsidRDefault="0087013E" w:rsidP="00443352">
      <w:pPr>
        <w:pStyle w:val="CLDHeading3"/>
        <w:jc w:val="left"/>
        <w:rPr>
          <w:lang w:val="en-US"/>
        </w:rPr>
      </w:pPr>
      <w:r w:rsidRPr="00CB27F2">
        <w:rPr>
          <w:lang w:val="en-US"/>
        </w:rPr>
        <w:t xml:space="preserve">Diluted medicinal product </w:t>
      </w:r>
    </w:p>
    <w:p w14:paraId="205DB314" w14:textId="77777777" w:rsidR="0087013E" w:rsidRPr="0087013E" w:rsidRDefault="0087013E" w:rsidP="00443352">
      <w:pPr>
        <w:pStyle w:val="CLDHeading4"/>
        <w:jc w:val="left"/>
        <w:rPr>
          <w:lang w:val="en-US"/>
        </w:rPr>
      </w:pPr>
      <w:r w:rsidRPr="0087013E">
        <w:rPr>
          <w:lang w:val="en-US"/>
        </w:rPr>
        <w:t>After aseptic dilution in sodium chloride solution</w:t>
      </w:r>
    </w:p>
    <w:p w14:paraId="45ABDC35" w14:textId="77777777" w:rsidR="0087013E" w:rsidRPr="0087013E" w:rsidRDefault="0087013E" w:rsidP="00443352">
      <w:pPr>
        <w:pStyle w:val="CLDNormal"/>
        <w:jc w:val="left"/>
        <w:rPr>
          <w:lang w:val="en-US"/>
        </w:rPr>
      </w:pPr>
      <w:r w:rsidRPr="0087013E">
        <w:rPr>
          <w:lang w:val="en-US"/>
        </w:rPr>
        <w:t>The prepared infusion solution of RUXIENCE in 0.9% sodium chloride solution is physically and chemically stable for 24 hours at 2 °C – 8 °C plus an additional 24 hours at ≤ 30 °C.</w:t>
      </w:r>
    </w:p>
    <w:p w14:paraId="6D2BC434" w14:textId="77777777" w:rsidR="0087013E" w:rsidRPr="00190E85" w:rsidRDefault="0087013E" w:rsidP="00443352">
      <w:pPr>
        <w:pStyle w:val="CLDHeading4"/>
        <w:jc w:val="left"/>
        <w:rPr>
          <w:lang w:val="en-US"/>
        </w:rPr>
      </w:pPr>
      <w:r w:rsidRPr="00190E85">
        <w:rPr>
          <w:lang w:val="en-US"/>
        </w:rPr>
        <w:t xml:space="preserve">After aseptic dilution in D-glucose solution </w:t>
      </w:r>
    </w:p>
    <w:p w14:paraId="4312EEC2" w14:textId="7197F186" w:rsidR="0087013E" w:rsidRPr="0087013E" w:rsidRDefault="0087013E" w:rsidP="00443352">
      <w:pPr>
        <w:pStyle w:val="CLDNormal"/>
        <w:jc w:val="left"/>
        <w:rPr>
          <w:lang w:val="en-US"/>
        </w:rPr>
      </w:pPr>
      <w:r w:rsidRPr="0087013E">
        <w:rPr>
          <w:lang w:val="en-US"/>
        </w:rPr>
        <w:t>The prepared infusion solution of RUXIENCE in 5% D-glucose solution is physically and chemically stable for 24 hours at 2 °C – 8 °C plus an additional 24 hours at ≤ 30 °C.</w:t>
      </w:r>
    </w:p>
    <w:p w14:paraId="7A36AE63" w14:textId="560F29B9" w:rsidR="00C46F0F" w:rsidRPr="00C46F0F" w:rsidRDefault="00456034" w:rsidP="00443352">
      <w:pPr>
        <w:pStyle w:val="CLDNormal"/>
        <w:jc w:val="left"/>
        <w:rPr>
          <w:lang w:val="en-US"/>
        </w:rPr>
      </w:pPr>
      <w:r w:rsidRPr="00456034">
        <w:rPr>
          <w:lang w:val="en-AU"/>
        </w:rPr>
        <w:t>The prepared infusion solution should be used immediately. If not used immediately, to prevent microbiological hazard, the infusion should not be stored for longer than 24 hours at 2°C – 8°C</w:t>
      </w:r>
      <w:r>
        <w:rPr>
          <w:lang w:val="en-AU"/>
        </w:rPr>
        <w:t>.</w:t>
      </w:r>
    </w:p>
    <w:p w14:paraId="1ECCF64A" w14:textId="2A8DECCE" w:rsidR="003556AB" w:rsidRDefault="00E34962" w:rsidP="00443352">
      <w:pPr>
        <w:pStyle w:val="CLDHeading2"/>
        <w:jc w:val="left"/>
      </w:pPr>
      <w:r>
        <w:t>6.5</w:t>
      </w:r>
      <w:r>
        <w:tab/>
      </w:r>
      <w:r w:rsidR="00003485">
        <w:t>Nature and contents of c</w:t>
      </w:r>
      <w:r w:rsidR="003556AB">
        <w:t xml:space="preserve">ontainer </w:t>
      </w:r>
    </w:p>
    <w:p w14:paraId="603C543A" w14:textId="71D832E1" w:rsidR="00677B8B" w:rsidRPr="00CB27F2" w:rsidRDefault="00677B8B" w:rsidP="00443352">
      <w:pPr>
        <w:pStyle w:val="CLDHeading3"/>
        <w:jc w:val="left"/>
        <w:rPr>
          <w:lang w:val="en-US"/>
        </w:rPr>
      </w:pPr>
      <w:r w:rsidRPr="00CB27F2">
        <w:rPr>
          <w:lang w:val="en-US"/>
        </w:rPr>
        <w:t>RUXIENCE 100 mg concentrate for solution for infusion</w:t>
      </w:r>
    </w:p>
    <w:p w14:paraId="05782CA9" w14:textId="77777777" w:rsidR="00677B8B" w:rsidRPr="00677B8B" w:rsidRDefault="00677B8B" w:rsidP="00443352">
      <w:pPr>
        <w:autoSpaceDE w:val="0"/>
        <w:autoSpaceDN w:val="0"/>
        <w:adjustRightInd w:val="0"/>
        <w:jc w:val="left"/>
        <w:rPr>
          <w:szCs w:val="24"/>
          <w:lang w:val="en-AU"/>
        </w:rPr>
      </w:pPr>
      <w:r w:rsidRPr="00677B8B">
        <w:rPr>
          <w:szCs w:val="24"/>
          <w:lang w:val="en-AU"/>
        </w:rPr>
        <w:t xml:space="preserve">Clear Type I glass vials with </w:t>
      </w:r>
      <w:proofErr w:type="spellStart"/>
      <w:r w:rsidRPr="00677B8B">
        <w:rPr>
          <w:szCs w:val="24"/>
          <w:lang w:val="en-AU"/>
        </w:rPr>
        <w:t>chlorobutyl</w:t>
      </w:r>
      <w:proofErr w:type="spellEnd"/>
      <w:r w:rsidRPr="00677B8B">
        <w:rPr>
          <w:szCs w:val="24"/>
          <w:lang w:val="en-AU"/>
        </w:rPr>
        <w:t xml:space="preserve"> rubber stopper containing 100 mg of rituximab in 10 </w:t>
      </w:r>
      <w:proofErr w:type="spellStart"/>
      <w:r w:rsidRPr="00677B8B">
        <w:rPr>
          <w:szCs w:val="24"/>
          <w:lang w:val="en-AU"/>
        </w:rPr>
        <w:t>mL.</w:t>
      </w:r>
      <w:proofErr w:type="spellEnd"/>
    </w:p>
    <w:p w14:paraId="6E55FEF9" w14:textId="77777777" w:rsidR="00677B8B" w:rsidRPr="00677B8B" w:rsidRDefault="00677B8B" w:rsidP="00443352">
      <w:pPr>
        <w:autoSpaceDE w:val="0"/>
        <w:autoSpaceDN w:val="0"/>
        <w:adjustRightInd w:val="0"/>
        <w:jc w:val="left"/>
        <w:rPr>
          <w:szCs w:val="24"/>
          <w:lang w:val="en-AU"/>
        </w:rPr>
      </w:pPr>
      <w:r w:rsidRPr="00677B8B">
        <w:rPr>
          <w:szCs w:val="24"/>
          <w:lang w:val="en-AU"/>
        </w:rPr>
        <w:t>Pack of 1 vial.</w:t>
      </w:r>
    </w:p>
    <w:p w14:paraId="74237D68" w14:textId="7BDF7C59" w:rsidR="00677B8B" w:rsidRPr="00CB27F2" w:rsidRDefault="00677B8B" w:rsidP="00443352">
      <w:pPr>
        <w:pStyle w:val="CLDHeading3"/>
        <w:jc w:val="left"/>
        <w:rPr>
          <w:lang w:val="en-US"/>
        </w:rPr>
      </w:pPr>
      <w:r w:rsidRPr="00CB27F2">
        <w:rPr>
          <w:lang w:val="en-US"/>
        </w:rPr>
        <w:t>RUXIENCE 500 mg concentrate for solution for infusion</w:t>
      </w:r>
    </w:p>
    <w:p w14:paraId="108EEECD" w14:textId="77777777" w:rsidR="00677B8B" w:rsidRPr="00677B8B" w:rsidRDefault="00677B8B" w:rsidP="00443352">
      <w:pPr>
        <w:autoSpaceDE w:val="0"/>
        <w:autoSpaceDN w:val="0"/>
        <w:adjustRightInd w:val="0"/>
        <w:jc w:val="left"/>
        <w:rPr>
          <w:szCs w:val="24"/>
          <w:lang w:val="en-AU"/>
        </w:rPr>
      </w:pPr>
      <w:r w:rsidRPr="00677B8B">
        <w:rPr>
          <w:szCs w:val="24"/>
          <w:lang w:val="en-AU"/>
        </w:rPr>
        <w:t xml:space="preserve">Clear Type I glass vials with </w:t>
      </w:r>
      <w:proofErr w:type="spellStart"/>
      <w:r w:rsidRPr="00677B8B">
        <w:rPr>
          <w:szCs w:val="24"/>
          <w:lang w:val="en-AU"/>
        </w:rPr>
        <w:t>chlorobutyl</w:t>
      </w:r>
      <w:proofErr w:type="spellEnd"/>
      <w:r w:rsidRPr="00677B8B">
        <w:rPr>
          <w:szCs w:val="24"/>
          <w:lang w:val="en-AU"/>
        </w:rPr>
        <w:t xml:space="preserve"> rubber stopper containing 500 mg of rituximab in 50 </w:t>
      </w:r>
      <w:proofErr w:type="spellStart"/>
      <w:r w:rsidRPr="00677B8B">
        <w:rPr>
          <w:szCs w:val="24"/>
          <w:lang w:val="en-AU"/>
        </w:rPr>
        <w:t>mL.</w:t>
      </w:r>
      <w:proofErr w:type="spellEnd"/>
    </w:p>
    <w:p w14:paraId="21C27726" w14:textId="566BF73A" w:rsidR="00677B8B" w:rsidRPr="00677B8B" w:rsidRDefault="00677B8B" w:rsidP="00443352">
      <w:pPr>
        <w:pStyle w:val="CLDHeading2"/>
        <w:spacing w:before="0"/>
        <w:jc w:val="left"/>
        <w:rPr>
          <w:rFonts w:ascii="Times New Roman" w:hAnsi="Times New Roman"/>
          <w:b w:val="0"/>
          <w:color w:val="7030A0"/>
          <w:sz w:val="24"/>
          <w:szCs w:val="24"/>
        </w:rPr>
      </w:pPr>
      <w:r w:rsidRPr="00677B8B">
        <w:rPr>
          <w:rFonts w:ascii="Times New Roman" w:hAnsi="Times New Roman"/>
          <w:b w:val="0"/>
          <w:sz w:val="24"/>
          <w:szCs w:val="24"/>
          <w:lang w:val="en-AU"/>
        </w:rPr>
        <w:t>Pack of 1 vial.</w:t>
      </w:r>
    </w:p>
    <w:p w14:paraId="18565381" w14:textId="77777777" w:rsidR="003556AB" w:rsidRPr="00460035" w:rsidRDefault="00E34962" w:rsidP="00443352">
      <w:pPr>
        <w:pStyle w:val="CLDHeading2"/>
        <w:jc w:val="left"/>
        <w:rPr>
          <w:color w:val="7030A0"/>
        </w:rPr>
      </w:pPr>
      <w:r>
        <w:t>6.6</w:t>
      </w:r>
      <w:r>
        <w:tab/>
      </w:r>
      <w:r w:rsidR="00003485">
        <w:t>Special precautions for d</w:t>
      </w:r>
      <w:r w:rsidR="003556AB">
        <w:t>isposal</w:t>
      </w:r>
      <w:r w:rsidR="003556AB" w:rsidRPr="00C035A6">
        <w:rPr>
          <w:bCs/>
          <w:i/>
          <w:iCs/>
          <w:color w:val="FF0000"/>
        </w:rPr>
        <w:t xml:space="preserve"> </w:t>
      </w:r>
    </w:p>
    <w:p w14:paraId="42CE3E40" w14:textId="77777777" w:rsidR="007E1608" w:rsidRDefault="007E1608" w:rsidP="00443352">
      <w:pPr>
        <w:pStyle w:val="CLDNormal"/>
        <w:jc w:val="left"/>
      </w:pPr>
      <w:r>
        <w:t>The release of medicines into the environment should be minimised. Medicines should not be disposed of via wastewater and disposal through household waste should be avoided.</w:t>
      </w:r>
    </w:p>
    <w:p w14:paraId="7D36F48A" w14:textId="77777777" w:rsidR="007E1608" w:rsidRDefault="007E1608" w:rsidP="00443352">
      <w:pPr>
        <w:pStyle w:val="CLDNormal"/>
        <w:jc w:val="left"/>
      </w:pPr>
      <w:r>
        <w:t>In Australia, any unused medicine or waste material should be disposed of by taking to your local pharmacy.</w:t>
      </w:r>
    </w:p>
    <w:p w14:paraId="4050436D" w14:textId="77777777" w:rsidR="00902136" w:rsidRPr="00C035A6" w:rsidRDefault="00003485" w:rsidP="00443352">
      <w:pPr>
        <w:pStyle w:val="CLDHeading2"/>
        <w:jc w:val="left"/>
        <w:rPr>
          <w:bCs/>
          <w:i/>
          <w:iCs/>
          <w:color w:val="FF0000"/>
        </w:rPr>
      </w:pPr>
      <w:r>
        <w:t>6.7</w:t>
      </w:r>
      <w:r>
        <w:tab/>
        <w:t>Physicochemical p</w:t>
      </w:r>
      <w:r w:rsidR="00902136">
        <w:t xml:space="preserve">roperties </w:t>
      </w:r>
    </w:p>
    <w:p w14:paraId="623778A6" w14:textId="77777777" w:rsidR="007E1608" w:rsidRPr="00CB27F2" w:rsidRDefault="007E1608" w:rsidP="00443352">
      <w:pPr>
        <w:pStyle w:val="CLDHeading3"/>
        <w:jc w:val="left"/>
        <w:rPr>
          <w:lang w:val="en-US"/>
        </w:rPr>
      </w:pPr>
      <w:r w:rsidRPr="00CB27F2">
        <w:rPr>
          <w:lang w:val="en-US"/>
        </w:rPr>
        <w:t>Chemical structure</w:t>
      </w:r>
    </w:p>
    <w:p w14:paraId="051C6029" w14:textId="179BE317" w:rsidR="007E1608" w:rsidRDefault="00F94C85" w:rsidP="00443352">
      <w:pPr>
        <w:pStyle w:val="CLDNormal"/>
        <w:jc w:val="left"/>
      </w:pPr>
      <w:r>
        <w:t>RUXIENCE</w:t>
      </w:r>
      <w:r w:rsidR="007E1608">
        <w:t xml:space="preserve"> (rituximab) is a genetically engineered chimeric murine/human monoclonal antibody directed against the CD20 antigen found on the surface of normal and malignant B lymphocytes. The antibody is a glycosylated IgG1 kappa immunoglobulin containing murine light- and heavy-chain variable region sequences (Fab domain) and human constant region sequences (Fc domain). Rituximab is composed of 1,328 amino acids and has an approximate molecular weight of 144 </w:t>
      </w:r>
      <w:proofErr w:type="spellStart"/>
      <w:r w:rsidR="007E1608">
        <w:t>kD</w:t>
      </w:r>
      <w:proofErr w:type="spellEnd"/>
      <w:r w:rsidR="007E1608">
        <w:t xml:space="preserve">. Rituximab has a high binding affinity for the CD20 antigen of 5.2 to 11.0 </w:t>
      </w:r>
      <w:proofErr w:type="spellStart"/>
      <w:r w:rsidR="007E1608">
        <w:t>nM</w:t>
      </w:r>
      <w:proofErr w:type="spellEnd"/>
      <w:r w:rsidR="007E1608">
        <w:t>.</w:t>
      </w:r>
    </w:p>
    <w:p w14:paraId="2CA1AEEE" w14:textId="51E93009" w:rsidR="007E1608" w:rsidRDefault="007E1608" w:rsidP="00443352">
      <w:pPr>
        <w:pStyle w:val="CLDNormal"/>
        <w:jc w:val="left"/>
      </w:pPr>
      <w:r>
        <w:t xml:space="preserve">The chimeric anti-CD20 antibody is produced by mammalian (Chinese hamster ovary) cell suspension culture </w:t>
      </w:r>
      <w:r w:rsidR="005B13AE">
        <w:t xml:space="preserve"> and </w:t>
      </w:r>
      <w:r>
        <w:t xml:space="preserve"> purified by affinity chromatography and ion exchange, including specific viral inactivation and removal procedures.</w:t>
      </w:r>
    </w:p>
    <w:p w14:paraId="51C0B67A" w14:textId="77777777" w:rsidR="007E1608" w:rsidRPr="00CB27F2" w:rsidRDefault="007E1608" w:rsidP="00443352">
      <w:pPr>
        <w:pStyle w:val="CLDHeading3"/>
        <w:jc w:val="left"/>
        <w:rPr>
          <w:b w:val="0"/>
          <w:lang w:val="en-US"/>
        </w:rPr>
      </w:pPr>
      <w:r w:rsidRPr="00CB27F2">
        <w:rPr>
          <w:lang w:val="en-US"/>
        </w:rPr>
        <w:t>CAS number</w:t>
      </w:r>
    </w:p>
    <w:p w14:paraId="6925543D" w14:textId="77777777" w:rsidR="007E1608" w:rsidRDefault="007E1608" w:rsidP="00443352">
      <w:pPr>
        <w:pStyle w:val="CLDNormal"/>
        <w:jc w:val="left"/>
      </w:pPr>
      <w:r>
        <w:t>174722-31-7</w:t>
      </w:r>
    </w:p>
    <w:p w14:paraId="01C00CC4" w14:textId="77777777" w:rsidR="00EB4D43" w:rsidRPr="00DB3A4B" w:rsidRDefault="00E34962" w:rsidP="00443352">
      <w:pPr>
        <w:pStyle w:val="CLDHeading1"/>
        <w:jc w:val="left"/>
      </w:pPr>
      <w:r>
        <w:t>7.</w:t>
      </w:r>
      <w:r>
        <w:tab/>
      </w:r>
      <w:r w:rsidR="0018348D" w:rsidRPr="00003485">
        <w:t>MEDICINE SCHEDULE (POISONS STANDARD)</w:t>
      </w:r>
      <w:r w:rsidR="00315AB0">
        <w:t xml:space="preserve"> </w:t>
      </w:r>
    </w:p>
    <w:p w14:paraId="3FB67ABE" w14:textId="6FDDA749" w:rsidR="00FB2FED" w:rsidRDefault="00331F6A" w:rsidP="00443352">
      <w:pPr>
        <w:pStyle w:val="CLDNormal"/>
        <w:jc w:val="left"/>
      </w:pPr>
      <w:r>
        <w:t>S4 – Prescription Only Medicine</w:t>
      </w:r>
    </w:p>
    <w:p w14:paraId="568FA610" w14:textId="77777777" w:rsidR="00EB4D43" w:rsidRPr="00DB3A4B" w:rsidRDefault="00E34962" w:rsidP="00443352">
      <w:pPr>
        <w:pStyle w:val="CLDHeading1"/>
        <w:jc w:val="left"/>
      </w:pPr>
      <w:bookmarkStart w:id="9" w:name="_GoBack"/>
      <w:bookmarkEnd w:id="9"/>
      <w:r>
        <w:t>8.</w:t>
      </w:r>
      <w:r>
        <w:tab/>
      </w:r>
      <w:r w:rsidR="00FE40A4">
        <w:t>SPONSOR</w:t>
      </w:r>
      <w:r w:rsidR="00FE40A4" w:rsidRPr="00030516">
        <w:rPr>
          <w:bCs/>
          <w:i/>
          <w:iCs/>
          <w:color w:val="FF0000"/>
        </w:rPr>
        <w:t xml:space="preserve"> </w:t>
      </w:r>
    </w:p>
    <w:p w14:paraId="5FE298E4" w14:textId="77777777" w:rsidR="00067F4B" w:rsidRDefault="00370447" w:rsidP="00443352">
      <w:pPr>
        <w:pStyle w:val="CLDTableTextListText"/>
      </w:pPr>
      <w:r>
        <w:t>Pfizer Australia</w:t>
      </w:r>
      <w:r w:rsidR="00EB4D43">
        <w:t xml:space="preserve"> </w:t>
      </w:r>
      <w:r>
        <w:t xml:space="preserve">Pty </w:t>
      </w:r>
      <w:r w:rsidR="00EB4D43">
        <w:t>L</w:t>
      </w:r>
      <w:r>
        <w:t>t</w:t>
      </w:r>
      <w:r w:rsidR="00EB4D43">
        <w:t>d</w:t>
      </w:r>
      <w:r w:rsidR="00FB2FED">
        <w:t xml:space="preserve"> </w:t>
      </w:r>
    </w:p>
    <w:p w14:paraId="13103DF2" w14:textId="77777777" w:rsidR="00067F4B" w:rsidRDefault="007E1608" w:rsidP="00443352">
      <w:pPr>
        <w:pStyle w:val="CLDTableTextListText"/>
      </w:pPr>
      <w:r>
        <w:t>Level 17, 151 Clarence Street</w:t>
      </w:r>
    </w:p>
    <w:p w14:paraId="71251B97" w14:textId="77777777" w:rsidR="007E1608" w:rsidRDefault="007E1608" w:rsidP="00443352">
      <w:pPr>
        <w:pStyle w:val="CLDTableTextListText"/>
      </w:pPr>
      <w:r>
        <w:t>Sydney NSW 2000</w:t>
      </w:r>
    </w:p>
    <w:p w14:paraId="37A07647" w14:textId="77777777" w:rsidR="00370447" w:rsidRPr="00E20C47" w:rsidRDefault="00370447" w:rsidP="00443352">
      <w:pPr>
        <w:pStyle w:val="CLDTableTextListText"/>
        <w:rPr>
          <w:i/>
          <w:color w:val="FF0000"/>
        </w:rPr>
      </w:pPr>
      <w:r>
        <w:t xml:space="preserve">Toll Free Number: 1800 675 229 </w:t>
      </w:r>
    </w:p>
    <w:p w14:paraId="21E6568A" w14:textId="77777777" w:rsidR="00EB4D43" w:rsidRDefault="00370447" w:rsidP="00443352">
      <w:pPr>
        <w:pStyle w:val="CLDNormal"/>
        <w:jc w:val="left"/>
      </w:pPr>
      <w:r>
        <w:t>www.pfizer.com.au</w:t>
      </w:r>
      <w:r w:rsidR="00FB2FED">
        <w:t xml:space="preserve"> </w:t>
      </w:r>
    </w:p>
    <w:p w14:paraId="1C92B052" w14:textId="77777777" w:rsidR="00EB4D43" w:rsidRPr="00DB3A4B" w:rsidRDefault="00E34962" w:rsidP="00443352">
      <w:pPr>
        <w:pStyle w:val="CLDHeading1"/>
        <w:jc w:val="left"/>
      </w:pPr>
      <w:r>
        <w:t>9.</w:t>
      </w:r>
      <w:r w:rsidRPr="00003485">
        <w:tab/>
      </w:r>
      <w:r w:rsidR="0018348D" w:rsidRPr="00003485">
        <w:t>DATE OF FIRST APPROVAL</w:t>
      </w:r>
      <w:r w:rsidR="003556AB">
        <w:t xml:space="preserve"> </w:t>
      </w:r>
    </w:p>
    <w:p w14:paraId="0992FDDD" w14:textId="79F6BA95" w:rsidR="00B02E43" w:rsidRDefault="00B02E43" w:rsidP="00443352">
      <w:pPr>
        <w:pStyle w:val="CLDNormal"/>
        <w:jc w:val="left"/>
      </w:pPr>
      <w:r>
        <w:t>3 March 2021</w:t>
      </w:r>
    </w:p>
    <w:p w14:paraId="358447FA" w14:textId="715168AB" w:rsidR="003556AB" w:rsidRPr="00DB3A4B" w:rsidRDefault="00E34962" w:rsidP="00443352">
      <w:pPr>
        <w:pStyle w:val="CLDHeading1"/>
        <w:jc w:val="left"/>
      </w:pPr>
      <w:r w:rsidRPr="00003485">
        <w:t>10.</w:t>
      </w:r>
      <w:r w:rsidRPr="00003485">
        <w:tab/>
      </w:r>
      <w:r w:rsidR="0018348D" w:rsidRPr="00003485">
        <w:t xml:space="preserve">DATE OF REVISION </w:t>
      </w:r>
    </w:p>
    <w:p w14:paraId="2ECA16DE" w14:textId="0EF39DD2" w:rsidR="009E6153" w:rsidRDefault="00054705" w:rsidP="00443352">
      <w:pPr>
        <w:pStyle w:val="CLDNormal"/>
        <w:jc w:val="left"/>
      </w:pPr>
      <w:r>
        <w:t>Not applicable</w:t>
      </w:r>
    </w:p>
    <w:sectPr w:rsidR="009E6153" w:rsidSect="00F6536F">
      <w:headerReference w:type="even" r:id="rId16"/>
      <w:headerReference w:type="default" r:id="rId17"/>
      <w:footerReference w:type="even" r:id="rId18"/>
      <w:footerReference w:type="default" r:id="rId19"/>
      <w:headerReference w:type="first" r:id="rId20"/>
      <w:footerReference w:type="first" r:id="rId21"/>
      <w:type w:val="oddPage"/>
      <w:pgSz w:w="11907" w:h="16840" w:code="9"/>
      <w:pgMar w:top="1440" w:right="1377" w:bottom="1260" w:left="1440" w:header="567" w:footer="567"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DBAD2" w14:textId="77777777" w:rsidR="00443352" w:rsidRDefault="00443352">
      <w:r>
        <w:separator/>
      </w:r>
    </w:p>
  </w:endnote>
  <w:endnote w:type="continuationSeparator" w:id="0">
    <w:p w14:paraId="3E2227C1" w14:textId="77777777" w:rsidR="00443352" w:rsidRDefault="0044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GSpecial"/>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84D91" w14:textId="77777777" w:rsidR="00443352" w:rsidRPr="00054F74" w:rsidRDefault="00443352" w:rsidP="00054F74">
    <w:r w:rsidRPr="00054F74">
      <w:t>Version: &lt;insert filename&gt;</w:t>
    </w:r>
    <w:r w:rsidRPr="00054F74">
      <w:tab/>
      <w:t>Supersedes: &lt;insert filename&gt;</w:t>
    </w:r>
  </w:p>
  <w:p w14:paraId="1E3497DB" w14:textId="77777777" w:rsidR="00443352" w:rsidRPr="00054F74" w:rsidRDefault="00443352" w:rsidP="00054F74">
    <w:r w:rsidRPr="00054F74">
      <w:t>MOH Approved:</w:t>
    </w:r>
  </w:p>
  <w:p w14:paraId="62B280C7" w14:textId="77777777" w:rsidR="00443352" w:rsidRPr="00054F74" w:rsidRDefault="00443352" w:rsidP="00054F74">
    <w:r w:rsidRPr="00054F74">
      <w:t>Commercial/Non-Commercial</w:t>
    </w:r>
    <w:r w:rsidRPr="00054F74">
      <w:tab/>
      <w:t xml:space="preserve">Page </w:t>
    </w:r>
    <w:r>
      <w:fldChar w:fldCharType="begin"/>
    </w:r>
    <w:r>
      <w:instrText xml:space="preserve"> PAGE </w:instrText>
    </w:r>
    <w:r>
      <w:fldChar w:fldCharType="separate"/>
    </w:r>
    <w:r>
      <w:rPr>
        <w:noProof/>
      </w:rPr>
      <w:t>4</w:t>
    </w:r>
    <w:r>
      <w:fldChar w:fldCharType="end"/>
    </w:r>
    <w:r w:rsidRPr="00054F74">
      <w:t xml:space="preserve"> of </w:t>
    </w:r>
    <w:r>
      <w:fldChar w:fldCharType="begin"/>
    </w:r>
    <w:r>
      <w:instrText xml:space="preserve"> NUMPAGES </w:instrText>
    </w:r>
    <w:r>
      <w:fldChar w:fldCharType="separate"/>
    </w:r>
    <w:r>
      <w:rPr>
        <w:noProof/>
      </w:rPr>
      <w:t>3</w:t>
    </w:r>
    <w:r>
      <w:fldChar w:fldCharType="end"/>
    </w:r>
  </w:p>
  <w:p w14:paraId="7503326C" w14:textId="77777777" w:rsidR="00443352" w:rsidRDefault="00443352"/>
  <w:p w14:paraId="16B25B2A" w14:textId="77777777" w:rsidR="00443352" w:rsidRDefault="00443352"/>
  <w:p w14:paraId="53600C89" w14:textId="77777777" w:rsidR="00443352" w:rsidRDefault="0044335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0833C" w14:textId="5836C4D2" w:rsidR="00443352" w:rsidRPr="00C531EF" w:rsidRDefault="00443352" w:rsidP="00A216B6">
    <w:pPr>
      <w:pStyle w:val="CLDFooter"/>
      <w:tabs>
        <w:tab w:val="left" w:pos="3300"/>
      </w:tabs>
    </w:pPr>
    <w:r w:rsidRPr="00C531EF">
      <w:t xml:space="preserve">Version: </w:t>
    </w:r>
    <w:r>
      <w:t>pfpruxii10321</w:t>
    </w:r>
    <w:r w:rsidRPr="00C531EF">
      <w:tab/>
    </w:r>
    <w:r>
      <w:tab/>
    </w:r>
    <w:r w:rsidRPr="00C531EF">
      <w:t xml:space="preserve">Supersedes: </w:t>
    </w:r>
    <w:r>
      <w:t>N/A</w:t>
    </w:r>
  </w:p>
  <w:p w14:paraId="6EF75D06" w14:textId="36CF4857" w:rsidR="00443352" w:rsidRDefault="00443352" w:rsidP="0008662E">
    <w:pPr>
      <w:pStyle w:val="CLDFooter"/>
    </w:pPr>
    <w:r w:rsidRPr="00C531EF">
      <w:tab/>
    </w:r>
    <w:r w:rsidRPr="00782A47">
      <w:t xml:space="preserve">Page </w:t>
    </w:r>
    <w:r w:rsidRPr="00782A47">
      <w:fldChar w:fldCharType="begin"/>
    </w:r>
    <w:r w:rsidRPr="00782A47">
      <w:instrText xml:space="preserve"> PAGE </w:instrText>
    </w:r>
    <w:r w:rsidRPr="00782A47">
      <w:fldChar w:fldCharType="separate"/>
    </w:r>
    <w:r w:rsidR="003E4BDA">
      <w:rPr>
        <w:noProof/>
      </w:rPr>
      <w:t>59</w:t>
    </w:r>
    <w:r w:rsidRPr="00782A47">
      <w:fldChar w:fldCharType="end"/>
    </w:r>
    <w:r w:rsidRPr="00782A47">
      <w:t xml:space="preserve"> of </w:t>
    </w:r>
    <w:r w:rsidRPr="00782A47">
      <w:fldChar w:fldCharType="begin"/>
    </w:r>
    <w:r w:rsidRPr="00782A47">
      <w:instrText xml:space="preserve"> NUMPAGES </w:instrText>
    </w:r>
    <w:r w:rsidRPr="00782A47">
      <w:fldChar w:fldCharType="separate"/>
    </w:r>
    <w:r w:rsidR="003E4BDA">
      <w:rPr>
        <w:noProof/>
      </w:rPr>
      <w:t>59</w:t>
    </w:r>
    <w:r w:rsidRPr="00782A4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9E1A5" w14:textId="77777777" w:rsidR="00443352" w:rsidRDefault="0044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E5EE4" w14:textId="77777777" w:rsidR="00443352" w:rsidRDefault="00443352">
      <w:r>
        <w:separator/>
      </w:r>
    </w:p>
  </w:footnote>
  <w:footnote w:type="continuationSeparator" w:id="0">
    <w:p w14:paraId="77377CD8" w14:textId="77777777" w:rsidR="00443352" w:rsidRDefault="00443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F93F9" w14:textId="77777777" w:rsidR="00443352" w:rsidRDefault="00443352"/>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443352" w14:paraId="58FE23B0" w14:textId="77777777" w:rsidTr="00343757">
      <w:tc>
        <w:tcPr>
          <w:tcW w:w="9855" w:type="dxa"/>
          <w:gridSpan w:val="6"/>
          <w:shd w:val="clear" w:color="auto" w:fill="E6E6E6"/>
        </w:tcPr>
        <w:p w14:paraId="09ECB591" w14:textId="77777777" w:rsidR="00443352" w:rsidRPr="00EB4D43" w:rsidRDefault="00443352" w:rsidP="00343757">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5DE396B4" wp14:editId="7F196010">
                <wp:extent cx="422910" cy="2527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Pr="00EB4D43">
            <w:rPr>
              <w:rFonts w:ascii="Arial" w:hAnsi="Arial" w:cs="Arial"/>
              <w:i w:val="0"/>
            </w:rPr>
            <w:t xml:space="preserve"> AUSTRALIAN WORKING PRACTICE GUIDELINE</w:t>
          </w:r>
        </w:p>
      </w:tc>
    </w:tr>
    <w:tr w:rsidR="00443352" w14:paraId="6083B056" w14:textId="77777777" w:rsidTr="00343757">
      <w:tc>
        <w:tcPr>
          <w:tcW w:w="1410" w:type="dxa"/>
          <w:shd w:val="clear" w:color="auto" w:fill="E6E6E6"/>
        </w:tcPr>
        <w:p w14:paraId="28ABF0A1" w14:textId="77777777" w:rsidR="00443352" w:rsidRPr="00EB4D43" w:rsidRDefault="00443352" w:rsidP="00343757">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673B1439" w14:textId="77777777" w:rsidR="00443352" w:rsidRPr="00EB4D43" w:rsidRDefault="00443352" w:rsidP="00343757">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443352" w14:paraId="161E74F9" w14:textId="77777777" w:rsidTr="00343757">
      <w:tc>
        <w:tcPr>
          <w:tcW w:w="1410" w:type="dxa"/>
          <w:shd w:val="clear" w:color="auto" w:fill="E6E6E6"/>
        </w:tcPr>
        <w:p w14:paraId="3710C715" w14:textId="77777777" w:rsidR="00443352" w:rsidRPr="00EB4D43" w:rsidRDefault="00443352" w:rsidP="00343757">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19B2436D" w14:textId="77777777" w:rsidR="00443352" w:rsidRPr="00EB4D43" w:rsidRDefault="00443352" w:rsidP="00343757">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66D17B6C" w14:textId="77777777" w:rsidR="00443352" w:rsidRPr="00EB4D43" w:rsidRDefault="00443352"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0D78BB60" w14:textId="77777777" w:rsidR="00443352" w:rsidRPr="00EB4D43" w:rsidRDefault="00443352" w:rsidP="00343757">
          <w:pPr>
            <w:pStyle w:val="Heading3"/>
            <w:jc w:val="left"/>
            <w:rPr>
              <w:rFonts w:ascii="Arial" w:hAnsi="Arial" w:cs="Arial"/>
              <w:i w:val="0"/>
              <w:sz w:val="20"/>
            </w:rPr>
          </w:pPr>
          <w:r w:rsidRPr="00EB4D43">
            <w:rPr>
              <w:rFonts w:ascii="Arial" w:hAnsi="Arial" w:cs="Arial"/>
              <w:i w:val="0"/>
              <w:sz w:val="20"/>
            </w:rPr>
            <w:t>01 May 2009</w:t>
          </w:r>
        </w:p>
      </w:tc>
      <w:tc>
        <w:tcPr>
          <w:tcW w:w="734" w:type="dxa"/>
          <w:tcBorders>
            <w:bottom w:val="single" w:sz="4" w:space="0" w:color="auto"/>
          </w:tcBorders>
          <w:shd w:val="clear" w:color="auto" w:fill="E6E6E6"/>
        </w:tcPr>
        <w:p w14:paraId="6BB8FCE2" w14:textId="77777777" w:rsidR="00443352" w:rsidRPr="00EB4D43" w:rsidRDefault="00443352" w:rsidP="00343757">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32CA4DFB" w14:textId="77777777" w:rsidR="00443352" w:rsidRPr="00EB4D43" w:rsidRDefault="00443352" w:rsidP="00343757">
          <w:pPr>
            <w:pStyle w:val="Heading3"/>
            <w:jc w:val="left"/>
            <w:rPr>
              <w:rFonts w:ascii="Arial" w:hAnsi="Arial" w:cs="Arial"/>
              <w:i w:val="0"/>
              <w:sz w:val="20"/>
            </w:rPr>
          </w:pPr>
          <w:r w:rsidRPr="00EB4D43">
            <w:rPr>
              <w:rFonts w:ascii="Arial" w:hAnsi="Arial" w:cs="Arial"/>
              <w:b w:val="0"/>
              <w:i w:val="0"/>
              <w:sz w:val="18"/>
              <w:szCs w:val="18"/>
            </w:rPr>
            <w:fldChar w:fldCharType="begin"/>
          </w:r>
          <w:r w:rsidRPr="00EB4D43">
            <w:rPr>
              <w:rFonts w:ascii="Arial" w:hAnsi="Arial" w:cs="Arial"/>
              <w:b w:val="0"/>
              <w:i w:val="0"/>
              <w:sz w:val="18"/>
              <w:szCs w:val="18"/>
            </w:rPr>
            <w:instrText xml:space="preserve"> PAGE </w:instrText>
          </w:r>
          <w:r w:rsidRPr="00EB4D43">
            <w:rPr>
              <w:rFonts w:ascii="Arial" w:hAnsi="Arial" w:cs="Arial"/>
              <w:b w:val="0"/>
              <w:i w:val="0"/>
              <w:sz w:val="18"/>
              <w:szCs w:val="18"/>
            </w:rPr>
            <w:fldChar w:fldCharType="separate"/>
          </w:r>
          <w:r>
            <w:rPr>
              <w:rFonts w:ascii="Arial" w:hAnsi="Arial" w:cs="Arial"/>
              <w:b w:val="0"/>
              <w:i w:val="0"/>
              <w:noProof/>
              <w:sz w:val="18"/>
              <w:szCs w:val="18"/>
            </w:rPr>
            <w:t>4</w:t>
          </w:r>
          <w:r w:rsidRPr="00EB4D43">
            <w:rPr>
              <w:rFonts w:ascii="Arial" w:hAnsi="Arial" w:cs="Arial"/>
              <w:b w:val="0"/>
              <w:i w:val="0"/>
              <w:sz w:val="18"/>
              <w:szCs w:val="18"/>
            </w:rPr>
            <w:fldChar w:fldCharType="end"/>
          </w:r>
          <w:r w:rsidRPr="00EB4D43">
            <w:rPr>
              <w:rFonts w:ascii="Arial" w:hAnsi="Arial" w:cs="Arial"/>
              <w:b w:val="0"/>
              <w:bCs/>
              <w:i w:val="0"/>
              <w:snapToGrid w:val="0"/>
              <w:sz w:val="20"/>
            </w:rPr>
            <w:t xml:space="preserve"> 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443352" w14:paraId="46487A07" w14:textId="77777777" w:rsidTr="00343757">
      <w:trPr>
        <w:cantSplit/>
      </w:trPr>
      <w:tc>
        <w:tcPr>
          <w:tcW w:w="1410" w:type="dxa"/>
          <w:shd w:val="clear" w:color="auto" w:fill="E6E6E6"/>
        </w:tcPr>
        <w:p w14:paraId="297A1F51" w14:textId="77777777" w:rsidR="00443352" w:rsidRPr="00EB4D43" w:rsidRDefault="00443352" w:rsidP="00343757">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4D103C5E" w14:textId="77777777" w:rsidR="00443352" w:rsidRPr="00EB4D43" w:rsidRDefault="00443352" w:rsidP="00343757">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02E8C91B" w14:textId="77777777" w:rsidR="00443352" w:rsidRPr="00EB4D43" w:rsidRDefault="00443352"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3777B3F3" w14:textId="77777777" w:rsidR="00443352" w:rsidRPr="00EB4D43" w:rsidRDefault="00443352" w:rsidP="00343757">
          <w:pPr>
            <w:pStyle w:val="Heading3"/>
            <w:jc w:val="left"/>
            <w:rPr>
              <w:rFonts w:ascii="Arial" w:hAnsi="Arial" w:cs="Arial"/>
              <w:i w:val="0"/>
              <w:sz w:val="20"/>
            </w:rPr>
          </w:pPr>
        </w:p>
      </w:tc>
      <w:tc>
        <w:tcPr>
          <w:tcW w:w="1786" w:type="dxa"/>
          <w:gridSpan w:val="2"/>
          <w:shd w:val="clear" w:color="auto" w:fill="E6E6E6"/>
        </w:tcPr>
        <w:p w14:paraId="063F5264" w14:textId="77777777" w:rsidR="00443352" w:rsidRPr="00EB4D43" w:rsidRDefault="00443352" w:rsidP="00343757">
          <w:pPr>
            <w:pStyle w:val="Heading3"/>
            <w:jc w:val="left"/>
            <w:rPr>
              <w:rFonts w:ascii="Arial" w:hAnsi="Arial" w:cs="Arial"/>
              <w:i w:val="0"/>
              <w:snapToGrid w:val="0"/>
              <w:sz w:val="20"/>
            </w:rPr>
          </w:pPr>
        </w:p>
      </w:tc>
    </w:tr>
  </w:tbl>
  <w:p w14:paraId="657E451E" w14:textId="77777777" w:rsidR="00443352" w:rsidRDefault="00443352"/>
  <w:p w14:paraId="382E834A" w14:textId="77777777" w:rsidR="00443352" w:rsidRDefault="00443352"/>
  <w:p w14:paraId="6B6F7D3B" w14:textId="77777777" w:rsidR="00443352" w:rsidRDefault="00443352"/>
  <w:p w14:paraId="2F2427FC" w14:textId="77777777" w:rsidR="00443352" w:rsidRDefault="0044335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443352" w:rsidRPr="000B2145" w14:paraId="0CA50EDE" w14:textId="77777777" w:rsidTr="00443352">
      <w:trPr>
        <w:trHeight w:val="1012"/>
      </w:trPr>
      <w:tc>
        <w:tcPr>
          <w:tcW w:w="8897" w:type="dxa"/>
          <w:shd w:val="clear" w:color="auto" w:fill="E4F2E0"/>
        </w:tcPr>
        <w:p w14:paraId="4D533856" w14:textId="77777777" w:rsidR="00443352" w:rsidRPr="000B2145" w:rsidRDefault="00443352" w:rsidP="00443352">
          <w:pPr>
            <w:pStyle w:val="Footer"/>
            <w:rPr>
              <w:b/>
              <w:sz w:val="18"/>
              <w:szCs w:val="18"/>
            </w:rPr>
          </w:pPr>
          <w:r w:rsidRPr="00EA0C3C">
            <w:rPr>
              <w:b/>
              <w:sz w:val="18"/>
              <w:szCs w:val="18"/>
            </w:rPr>
            <w:t>Attachment 1:</w:t>
          </w:r>
          <w:r w:rsidRPr="0076330C">
            <w:rPr>
              <w:b/>
            </w:rPr>
            <w:t xml:space="preserve"> AusPAR – </w:t>
          </w:r>
          <w:proofErr w:type="spellStart"/>
          <w:r w:rsidRPr="0076330C">
            <w:rPr>
              <w:b/>
            </w:rPr>
            <w:t>Ruxience</w:t>
          </w:r>
          <w:proofErr w:type="spellEnd"/>
          <w:r w:rsidRPr="0076330C">
            <w:rPr>
              <w:b/>
            </w:rPr>
            <w:t xml:space="preserve"> - rituximab - Pfizer Australia Pty Ltd - PM-2020-00593-1-6</w:t>
          </w:r>
          <w:r>
            <w:rPr>
              <w:b/>
            </w:rPr>
            <w:t xml:space="preserve"> </w:t>
          </w:r>
          <w:r w:rsidRPr="0076330C">
            <w:rPr>
              <w:b/>
            </w:rPr>
            <w:t>FINAL 12 April 2021</w:t>
          </w:r>
          <w:r w:rsidRPr="00AF7991">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7783606A" w14:textId="77777777" w:rsidR="00443352" w:rsidRDefault="00443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28DA0" w14:textId="77777777" w:rsidR="00443352" w:rsidRDefault="00443352"/>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443352" w14:paraId="0C59ECF4" w14:textId="77777777" w:rsidTr="00121B3A">
      <w:tc>
        <w:tcPr>
          <w:tcW w:w="9855" w:type="dxa"/>
          <w:gridSpan w:val="6"/>
          <w:shd w:val="clear" w:color="auto" w:fill="E6E6E6"/>
        </w:tcPr>
        <w:p w14:paraId="1CBFFD02" w14:textId="77777777" w:rsidR="00443352" w:rsidRPr="00EB4D43" w:rsidRDefault="00443352" w:rsidP="00121B3A">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0B873C81" wp14:editId="5E28C98C">
                <wp:extent cx="422910" cy="252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Pr="00EB4D43">
            <w:rPr>
              <w:rFonts w:ascii="Arial" w:hAnsi="Arial" w:cs="Arial"/>
              <w:i w:val="0"/>
            </w:rPr>
            <w:t xml:space="preserve"> AUSTRALIAN WORKING PRACTICE GUIDELINE</w:t>
          </w:r>
        </w:p>
      </w:tc>
    </w:tr>
    <w:tr w:rsidR="00443352" w14:paraId="1CE313D5" w14:textId="77777777" w:rsidTr="00121B3A">
      <w:tc>
        <w:tcPr>
          <w:tcW w:w="1410" w:type="dxa"/>
          <w:shd w:val="clear" w:color="auto" w:fill="E6E6E6"/>
        </w:tcPr>
        <w:p w14:paraId="70E3FB18" w14:textId="77777777" w:rsidR="00443352" w:rsidRPr="00EB4D43" w:rsidRDefault="00443352" w:rsidP="00121B3A">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7524B93B" w14:textId="77777777" w:rsidR="00443352" w:rsidRPr="00EB4D43" w:rsidRDefault="00443352" w:rsidP="00121B3A">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443352" w14:paraId="5A5E94EB" w14:textId="77777777" w:rsidTr="00121B3A">
      <w:tc>
        <w:tcPr>
          <w:tcW w:w="1410" w:type="dxa"/>
          <w:shd w:val="clear" w:color="auto" w:fill="E6E6E6"/>
        </w:tcPr>
        <w:p w14:paraId="4E7C8E8C" w14:textId="77777777" w:rsidR="00443352" w:rsidRPr="00EB4D43" w:rsidRDefault="00443352" w:rsidP="00121B3A">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1B75653B" w14:textId="77777777" w:rsidR="00443352" w:rsidRPr="00EB4D43" w:rsidRDefault="00443352" w:rsidP="00121B3A">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01B95025" w14:textId="77777777" w:rsidR="00443352" w:rsidRPr="00EB4D43" w:rsidRDefault="00443352"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3D444866" w14:textId="77777777" w:rsidR="00443352" w:rsidRPr="00EB4D43" w:rsidRDefault="00443352" w:rsidP="00121B3A">
          <w:pPr>
            <w:pStyle w:val="Heading3"/>
            <w:jc w:val="left"/>
            <w:rPr>
              <w:rFonts w:ascii="Arial" w:hAnsi="Arial" w:cs="Arial"/>
              <w:i w:val="0"/>
              <w:sz w:val="20"/>
            </w:rPr>
          </w:pPr>
          <w:r>
            <w:rPr>
              <w:rFonts w:ascii="Arial" w:hAnsi="Arial" w:cs="Arial"/>
              <w:i w:val="0"/>
              <w:sz w:val="20"/>
            </w:rPr>
            <w:t xml:space="preserve">01 December </w:t>
          </w:r>
          <w:r w:rsidRPr="00EB4D43">
            <w:rPr>
              <w:rFonts w:ascii="Arial" w:hAnsi="Arial" w:cs="Arial"/>
              <w:i w:val="0"/>
              <w:sz w:val="20"/>
            </w:rPr>
            <w:t>2009</w:t>
          </w:r>
        </w:p>
      </w:tc>
      <w:tc>
        <w:tcPr>
          <w:tcW w:w="734" w:type="dxa"/>
          <w:tcBorders>
            <w:bottom w:val="single" w:sz="4" w:space="0" w:color="auto"/>
          </w:tcBorders>
          <w:shd w:val="clear" w:color="auto" w:fill="E6E6E6"/>
        </w:tcPr>
        <w:p w14:paraId="7F9A4A4B" w14:textId="77777777" w:rsidR="00443352" w:rsidRPr="00EB4D43" w:rsidRDefault="00443352" w:rsidP="00121B3A">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5D211CE6" w14:textId="77777777" w:rsidR="00443352" w:rsidRPr="00EB4D43" w:rsidRDefault="00443352" w:rsidP="00121B3A">
          <w:pPr>
            <w:pStyle w:val="Heading3"/>
            <w:jc w:val="left"/>
            <w:rPr>
              <w:rFonts w:ascii="Arial" w:hAnsi="Arial" w:cs="Arial"/>
              <w:i w:val="0"/>
              <w:sz w:val="20"/>
            </w:rPr>
          </w:pPr>
          <w:r>
            <w:rPr>
              <w:rFonts w:ascii="Arial" w:hAnsi="Arial" w:cs="Arial"/>
              <w:b w:val="0"/>
              <w:i w:val="0"/>
              <w:sz w:val="18"/>
              <w:szCs w:val="18"/>
            </w:rPr>
            <w:t>1</w:t>
          </w:r>
          <w:r w:rsidRPr="00EB4D43">
            <w:rPr>
              <w:rFonts w:ascii="Arial" w:hAnsi="Arial" w:cs="Arial"/>
              <w:b w:val="0"/>
              <w:bCs/>
              <w:i w:val="0"/>
              <w:snapToGrid w:val="0"/>
              <w:sz w:val="20"/>
            </w:rPr>
            <w:t>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Pr>
              <w:rFonts w:ascii="Arial" w:hAnsi="Arial" w:cs="Arial"/>
              <w:b w:val="0"/>
              <w:i w:val="0"/>
              <w:noProof/>
              <w:sz w:val="20"/>
            </w:rPr>
            <w:t>3</w:t>
          </w:r>
          <w:r w:rsidRPr="00EB4D43">
            <w:rPr>
              <w:rFonts w:ascii="Arial" w:hAnsi="Arial" w:cs="Arial"/>
              <w:b w:val="0"/>
              <w:i w:val="0"/>
              <w:sz w:val="20"/>
            </w:rPr>
            <w:fldChar w:fldCharType="end"/>
          </w:r>
        </w:p>
      </w:tc>
    </w:tr>
    <w:tr w:rsidR="00443352" w14:paraId="612857CF" w14:textId="77777777" w:rsidTr="00121B3A">
      <w:trPr>
        <w:cantSplit/>
      </w:trPr>
      <w:tc>
        <w:tcPr>
          <w:tcW w:w="1410" w:type="dxa"/>
          <w:shd w:val="clear" w:color="auto" w:fill="E6E6E6"/>
        </w:tcPr>
        <w:p w14:paraId="7983F4C0" w14:textId="77777777" w:rsidR="00443352" w:rsidRPr="00EB4D43" w:rsidRDefault="00443352" w:rsidP="00121B3A">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565173D8" w14:textId="77777777" w:rsidR="00443352" w:rsidRPr="00EB4D43" w:rsidRDefault="00443352" w:rsidP="00121B3A">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0DD5F652" w14:textId="77777777" w:rsidR="00443352" w:rsidRPr="00EB4D43" w:rsidRDefault="00443352"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64575AE3" w14:textId="77777777" w:rsidR="00443352" w:rsidRPr="00EB4D43" w:rsidRDefault="00443352" w:rsidP="00121B3A">
          <w:pPr>
            <w:pStyle w:val="Heading3"/>
            <w:jc w:val="left"/>
            <w:rPr>
              <w:rFonts w:ascii="Arial" w:hAnsi="Arial" w:cs="Arial"/>
              <w:i w:val="0"/>
              <w:sz w:val="20"/>
            </w:rPr>
          </w:pPr>
          <w:r>
            <w:rPr>
              <w:rFonts w:ascii="Arial" w:hAnsi="Arial" w:cs="Arial"/>
              <w:i w:val="0"/>
              <w:sz w:val="20"/>
            </w:rPr>
            <w:t>N/A</w:t>
          </w:r>
        </w:p>
      </w:tc>
      <w:tc>
        <w:tcPr>
          <w:tcW w:w="1786" w:type="dxa"/>
          <w:gridSpan w:val="2"/>
          <w:shd w:val="clear" w:color="auto" w:fill="E6E6E6"/>
        </w:tcPr>
        <w:p w14:paraId="0646B207" w14:textId="77777777" w:rsidR="00443352" w:rsidRPr="00EB4D43" w:rsidRDefault="00443352" w:rsidP="00121B3A">
          <w:pPr>
            <w:pStyle w:val="Heading3"/>
            <w:jc w:val="left"/>
            <w:rPr>
              <w:rFonts w:ascii="Arial" w:hAnsi="Arial" w:cs="Arial"/>
              <w:i w:val="0"/>
              <w:snapToGrid w:val="0"/>
              <w:sz w:val="20"/>
            </w:rPr>
          </w:pPr>
        </w:p>
      </w:tc>
    </w:tr>
  </w:tbl>
  <w:p w14:paraId="63BD92EA" w14:textId="77777777" w:rsidR="00443352" w:rsidRDefault="00443352" w:rsidP="006D4645"/>
  <w:p w14:paraId="7AB9F85D" w14:textId="77777777" w:rsidR="00443352" w:rsidRDefault="00443352"/>
  <w:p w14:paraId="4B7A146D" w14:textId="77777777" w:rsidR="00443352" w:rsidRDefault="00443352"/>
  <w:p w14:paraId="256E7131" w14:textId="77777777" w:rsidR="00443352" w:rsidRDefault="0044335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508" w:hanging="361"/>
      </w:pPr>
      <w:rPr>
        <w:rFonts w:ascii="Symbol" w:hAnsi="Symbol" w:cs="Symbol"/>
        <w:b w:val="0"/>
        <w:bCs w:val="0"/>
        <w:sz w:val="24"/>
        <w:szCs w:val="24"/>
      </w:rPr>
    </w:lvl>
    <w:lvl w:ilvl="1">
      <w:numFmt w:val="bullet"/>
      <w:lvlText w:val="▪"/>
      <w:lvlJc w:val="left"/>
      <w:pPr>
        <w:ind w:left="868" w:hanging="360"/>
      </w:pPr>
      <w:rPr>
        <w:rFonts w:ascii="Microsoft Sans Serif" w:hAnsi="Microsoft Sans Serif" w:cs="Microsoft Sans Serif"/>
        <w:b w:val="0"/>
        <w:bCs w:val="0"/>
        <w:w w:val="129"/>
        <w:sz w:val="24"/>
        <w:szCs w:val="24"/>
      </w:rPr>
    </w:lvl>
    <w:lvl w:ilvl="2">
      <w:numFmt w:val="bullet"/>
      <w:lvlText w:val="•"/>
      <w:lvlJc w:val="left"/>
      <w:pPr>
        <w:ind w:left="1850" w:hanging="360"/>
      </w:pPr>
    </w:lvl>
    <w:lvl w:ilvl="3">
      <w:numFmt w:val="bullet"/>
      <w:lvlText w:val="•"/>
      <w:lvlJc w:val="left"/>
      <w:pPr>
        <w:ind w:left="2832" w:hanging="360"/>
      </w:pPr>
    </w:lvl>
    <w:lvl w:ilvl="4">
      <w:numFmt w:val="bullet"/>
      <w:lvlText w:val="•"/>
      <w:lvlJc w:val="left"/>
      <w:pPr>
        <w:ind w:left="3814" w:hanging="360"/>
      </w:pPr>
    </w:lvl>
    <w:lvl w:ilvl="5">
      <w:numFmt w:val="bullet"/>
      <w:lvlText w:val="•"/>
      <w:lvlJc w:val="left"/>
      <w:pPr>
        <w:ind w:left="4796" w:hanging="360"/>
      </w:pPr>
    </w:lvl>
    <w:lvl w:ilvl="6">
      <w:numFmt w:val="bullet"/>
      <w:lvlText w:val="•"/>
      <w:lvlJc w:val="left"/>
      <w:pPr>
        <w:ind w:left="5778" w:hanging="360"/>
      </w:pPr>
    </w:lvl>
    <w:lvl w:ilvl="7">
      <w:numFmt w:val="bullet"/>
      <w:lvlText w:val="•"/>
      <w:lvlJc w:val="left"/>
      <w:pPr>
        <w:ind w:left="6760" w:hanging="360"/>
      </w:pPr>
    </w:lvl>
    <w:lvl w:ilvl="8">
      <w:numFmt w:val="bullet"/>
      <w:lvlText w:val="•"/>
      <w:lvlJc w:val="left"/>
      <w:pPr>
        <w:ind w:left="7742" w:hanging="360"/>
      </w:pPr>
    </w:lvl>
  </w:abstractNum>
  <w:abstractNum w:abstractNumId="1" w15:restartNumberingAfterBreak="0">
    <w:nsid w:val="00000403"/>
    <w:multiLevelType w:val="multilevel"/>
    <w:tmpl w:val="00000886"/>
    <w:lvl w:ilvl="0">
      <w:numFmt w:val="bullet"/>
      <w:lvlText w:val=""/>
      <w:lvlJc w:val="left"/>
      <w:pPr>
        <w:ind w:left="568" w:hanging="361"/>
      </w:pPr>
      <w:rPr>
        <w:rFonts w:ascii="Symbol" w:hAnsi="Symbol" w:cs="Symbol"/>
        <w:b w:val="0"/>
        <w:bCs w:val="0"/>
        <w:sz w:val="24"/>
        <w:szCs w:val="24"/>
      </w:rPr>
    </w:lvl>
    <w:lvl w:ilvl="1">
      <w:numFmt w:val="bullet"/>
      <w:lvlText w:val="•"/>
      <w:lvlJc w:val="left"/>
      <w:pPr>
        <w:ind w:left="1488" w:hanging="361"/>
      </w:pPr>
    </w:lvl>
    <w:lvl w:ilvl="2">
      <w:numFmt w:val="bullet"/>
      <w:lvlText w:val="•"/>
      <w:lvlJc w:val="left"/>
      <w:pPr>
        <w:ind w:left="2408" w:hanging="361"/>
      </w:pPr>
    </w:lvl>
    <w:lvl w:ilvl="3">
      <w:numFmt w:val="bullet"/>
      <w:lvlText w:val="•"/>
      <w:lvlJc w:val="left"/>
      <w:pPr>
        <w:ind w:left="3327" w:hanging="361"/>
      </w:pPr>
    </w:lvl>
    <w:lvl w:ilvl="4">
      <w:numFmt w:val="bullet"/>
      <w:lvlText w:val="•"/>
      <w:lvlJc w:val="left"/>
      <w:pPr>
        <w:ind w:left="4247" w:hanging="361"/>
      </w:pPr>
    </w:lvl>
    <w:lvl w:ilvl="5">
      <w:numFmt w:val="bullet"/>
      <w:lvlText w:val="•"/>
      <w:lvlJc w:val="left"/>
      <w:pPr>
        <w:ind w:left="5167" w:hanging="361"/>
      </w:pPr>
    </w:lvl>
    <w:lvl w:ilvl="6">
      <w:numFmt w:val="bullet"/>
      <w:lvlText w:val="•"/>
      <w:lvlJc w:val="left"/>
      <w:pPr>
        <w:ind w:left="6087" w:hanging="361"/>
      </w:pPr>
    </w:lvl>
    <w:lvl w:ilvl="7">
      <w:numFmt w:val="bullet"/>
      <w:lvlText w:val="•"/>
      <w:lvlJc w:val="left"/>
      <w:pPr>
        <w:ind w:left="7007" w:hanging="361"/>
      </w:pPr>
    </w:lvl>
    <w:lvl w:ilvl="8">
      <w:numFmt w:val="bullet"/>
      <w:lvlText w:val="•"/>
      <w:lvlJc w:val="left"/>
      <w:pPr>
        <w:ind w:left="7926" w:hanging="361"/>
      </w:pPr>
    </w:lvl>
  </w:abstractNum>
  <w:abstractNum w:abstractNumId="2" w15:restartNumberingAfterBreak="0">
    <w:nsid w:val="00000404"/>
    <w:multiLevelType w:val="multilevel"/>
    <w:tmpl w:val="00000887"/>
    <w:lvl w:ilvl="0">
      <w:start w:val="7"/>
      <w:numFmt w:val="decimal"/>
      <w:lvlText w:val="%1"/>
      <w:lvlJc w:val="left"/>
      <w:pPr>
        <w:ind w:left="148" w:hanging="300"/>
      </w:pPr>
    </w:lvl>
    <w:lvl w:ilvl="1">
      <w:start w:val="5"/>
      <w:numFmt w:val="decimal"/>
      <w:lvlText w:val="%1.%2"/>
      <w:lvlJc w:val="left"/>
      <w:pPr>
        <w:ind w:left="148" w:hanging="300"/>
      </w:pPr>
      <w:rPr>
        <w:rFonts w:ascii="Times New Roman" w:hAnsi="Times New Roman" w:cs="Times New Roman"/>
        <w:b w:val="0"/>
        <w:bCs w:val="0"/>
        <w:sz w:val="24"/>
        <w:szCs w:val="24"/>
      </w:rPr>
    </w:lvl>
    <w:lvl w:ilvl="2">
      <w:numFmt w:val="bullet"/>
      <w:lvlText w:val=""/>
      <w:lvlJc w:val="left"/>
      <w:pPr>
        <w:ind w:left="566" w:hanging="359"/>
      </w:pPr>
      <w:rPr>
        <w:rFonts w:ascii="Symbol" w:hAnsi="Symbol" w:cs="Symbol"/>
        <w:b w:val="0"/>
        <w:bCs w:val="0"/>
        <w:sz w:val="24"/>
        <w:szCs w:val="24"/>
      </w:rPr>
    </w:lvl>
    <w:lvl w:ilvl="3">
      <w:numFmt w:val="bullet"/>
      <w:lvlText w:val="•"/>
      <w:lvlJc w:val="left"/>
      <w:pPr>
        <w:ind w:left="2597" w:hanging="359"/>
      </w:pPr>
    </w:lvl>
    <w:lvl w:ilvl="4">
      <w:numFmt w:val="bullet"/>
      <w:lvlText w:val="•"/>
      <w:lvlJc w:val="left"/>
      <w:pPr>
        <w:ind w:left="3612" w:hanging="359"/>
      </w:pPr>
    </w:lvl>
    <w:lvl w:ilvl="5">
      <w:numFmt w:val="bullet"/>
      <w:lvlText w:val="•"/>
      <w:lvlJc w:val="left"/>
      <w:pPr>
        <w:ind w:left="4628" w:hanging="359"/>
      </w:pPr>
    </w:lvl>
    <w:lvl w:ilvl="6">
      <w:numFmt w:val="bullet"/>
      <w:lvlText w:val="•"/>
      <w:lvlJc w:val="left"/>
      <w:pPr>
        <w:ind w:left="5644" w:hanging="359"/>
      </w:pPr>
    </w:lvl>
    <w:lvl w:ilvl="7">
      <w:numFmt w:val="bullet"/>
      <w:lvlText w:val="•"/>
      <w:lvlJc w:val="left"/>
      <w:pPr>
        <w:ind w:left="6659" w:hanging="359"/>
      </w:pPr>
    </w:lvl>
    <w:lvl w:ilvl="8">
      <w:numFmt w:val="bullet"/>
      <w:lvlText w:val="•"/>
      <w:lvlJc w:val="left"/>
      <w:pPr>
        <w:ind w:left="7675" w:hanging="359"/>
      </w:pPr>
    </w:lvl>
  </w:abstractNum>
  <w:abstractNum w:abstractNumId="3" w15:restartNumberingAfterBreak="0">
    <w:nsid w:val="00000405"/>
    <w:multiLevelType w:val="multilevel"/>
    <w:tmpl w:val="00000888"/>
    <w:lvl w:ilvl="0">
      <w:start w:val="1"/>
      <w:numFmt w:val="decimal"/>
      <w:lvlText w:val="%1"/>
      <w:lvlJc w:val="left"/>
      <w:pPr>
        <w:ind w:left="148" w:hanging="151"/>
      </w:pPr>
      <w:rPr>
        <w:rFonts w:ascii="Times New Roman" w:hAnsi="Times New Roman" w:cs="Times New Roman"/>
        <w:b w:val="0"/>
        <w:bCs w:val="0"/>
        <w:i/>
        <w:iCs/>
        <w:w w:val="99"/>
        <w:sz w:val="20"/>
        <w:szCs w:val="20"/>
      </w:rPr>
    </w:lvl>
    <w:lvl w:ilvl="1">
      <w:numFmt w:val="bullet"/>
      <w:lvlText w:val="•"/>
      <w:lvlJc w:val="left"/>
      <w:pPr>
        <w:ind w:left="3201" w:hanging="151"/>
      </w:pPr>
    </w:lvl>
    <w:lvl w:ilvl="2">
      <w:numFmt w:val="bullet"/>
      <w:lvlText w:val="•"/>
      <w:lvlJc w:val="left"/>
      <w:pPr>
        <w:ind w:left="3924" w:hanging="151"/>
      </w:pPr>
    </w:lvl>
    <w:lvl w:ilvl="3">
      <w:numFmt w:val="bullet"/>
      <w:lvlText w:val="•"/>
      <w:lvlJc w:val="left"/>
      <w:pPr>
        <w:ind w:left="4647" w:hanging="151"/>
      </w:pPr>
    </w:lvl>
    <w:lvl w:ilvl="4">
      <w:numFmt w:val="bullet"/>
      <w:lvlText w:val="•"/>
      <w:lvlJc w:val="left"/>
      <w:pPr>
        <w:ind w:left="5370" w:hanging="151"/>
      </w:pPr>
    </w:lvl>
    <w:lvl w:ilvl="5">
      <w:numFmt w:val="bullet"/>
      <w:lvlText w:val="•"/>
      <w:lvlJc w:val="left"/>
      <w:pPr>
        <w:ind w:left="6092" w:hanging="151"/>
      </w:pPr>
    </w:lvl>
    <w:lvl w:ilvl="6">
      <w:numFmt w:val="bullet"/>
      <w:lvlText w:val="•"/>
      <w:lvlJc w:val="left"/>
      <w:pPr>
        <w:ind w:left="6815" w:hanging="151"/>
      </w:pPr>
    </w:lvl>
    <w:lvl w:ilvl="7">
      <w:numFmt w:val="bullet"/>
      <w:lvlText w:val="•"/>
      <w:lvlJc w:val="left"/>
      <w:pPr>
        <w:ind w:left="7538" w:hanging="151"/>
      </w:pPr>
    </w:lvl>
    <w:lvl w:ilvl="8">
      <w:numFmt w:val="bullet"/>
      <w:lvlText w:val="•"/>
      <w:lvlJc w:val="left"/>
      <w:pPr>
        <w:ind w:left="8260" w:hanging="151"/>
      </w:pPr>
    </w:lvl>
  </w:abstractNum>
  <w:abstractNum w:abstractNumId="4" w15:restartNumberingAfterBreak="0">
    <w:nsid w:val="00000406"/>
    <w:multiLevelType w:val="multilevel"/>
    <w:tmpl w:val="00000889"/>
    <w:lvl w:ilvl="0">
      <w:numFmt w:val="bullet"/>
      <w:lvlText w:val=""/>
      <w:lvlJc w:val="left"/>
      <w:pPr>
        <w:ind w:left="688" w:hanging="180"/>
      </w:pPr>
      <w:rPr>
        <w:rFonts w:ascii="Symbol" w:hAnsi="Symbol" w:cs="Symbol"/>
        <w:b w:val="0"/>
        <w:bCs w:val="0"/>
        <w:sz w:val="24"/>
        <w:szCs w:val="24"/>
      </w:rPr>
    </w:lvl>
    <w:lvl w:ilvl="1">
      <w:numFmt w:val="bullet"/>
      <w:lvlText w:val="o"/>
      <w:lvlJc w:val="left"/>
      <w:pPr>
        <w:ind w:left="1281" w:hanging="370"/>
      </w:pPr>
      <w:rPr>
        <w:rFonts w:ascii="Courier New" w:hAnsi="Courier New" w:cs="Courier New"/>
        <w:b w:val="0"/>
        <w:bCs w:val="0"/>
        <w:sz w:val="24"/>
        <w:szCs w:val="24"/>
      </w:rPr>
    </w:lvl>
    <w:lvl w:ilvl="2">
      <w:numFmt w:val="bullet"/>
      <w:lvlText w:val="•"/>
      <w:lvlJc w:val="left"/>
      <w:pPr>
        <w:ind w:left="2217" w:hanging="370"/>
      </w:pPr>
    </w:lvl>
    <w:lvl w:ilvl="3">
      <w:numFmt w:val="bullet"/>
      <w:lvlText w:val="•"/>
      <w:lvlJc w:val="left"/>
      <w:pPr>
        <w:ind w:left="3153" w:hanging="370"/>
      </w:pPr>
    </w:lvl>
    <w:lvl w:ilvl="4">
      <w:numFmt w:val="bullet"/>
      <w:lvlText w:val="•"/>
      <w:lvlJc w:val="left"/>
      <w:pPr>
        <w:ind w:left="4089" w:hanging="370"/>
      </w:pPr>
    </w:lvl>
    <w:lvl w:ilvl="5">
      <w:numFmt w:val="bullet"/>
      <w:lvlText w:val="•"/>
      <w:lvlJc w:val="left"/>
      <w:pPr>
        <w:ind w:left="5025" w:hanging="370"/>
      </w:pPr>
    </w:lvl>
    <w:lvl w:ilvl="6">
      <w:numFmt w:val="bullet"/>
      <w:lvlText w:val="•"/>
      <w:lvlJc w:val="left"/>
      <w:pPr>
        <w:ind w:left="5961" w:hanging="370"/>
      </w:pPr>
    </w:lvl>
    <w:lvl w:ilvl="7">
      <w:numFmt w:val="bullet"/>
      <w:lvlText w:val="•"/>
      <w:lvlJc w:val="left"/>
      <w:pPr>
        <w:ind w:left="6898" w:hanging="370"/>
      </w:pPr>
    </w:lvl>
    <w:lvl w:ilvl="8">
      <w:numFmt w:val="bullet"/>
      <w:lvlText w:val="•"/>
      <w:lvlJc w:val="left"/>
      <w:pPr>
        <w:ind w:left="7834" w:hanging="370"/>
      </w:pPr>
    </w:lvl>
  </w:abstractNum>
  <w:abstractNum w:abstractNumId="5" w15:restartNumberingAfterBreak="0">
    <w:nsid w:val="06077B32"/>
    <w:multiLevelType w:val="hybridMultilevel"/>
    <w:tmpl w:val="F30C935E"/>
    <w:lvl w:ilvl="0" w:tplc="19C601DC">
      <w:start w:val="1"/>
      <w:numFmt w:val="bullet"/>
      <w:lvlText w:val=""/>
      <w:lvlJc w:val="left"/>
      <w:pPr>
        <w:ind w:left="508" w:hanging="361"/>
      </w:pPr>
      <w:rPr>
        <w:rFonts w:ascii="Symbol" w:eastAsia="Symbol" w:hAnsi="Symbol" w:hint="default"/>
        <w:sz w:val="24"/>
        <w:szCs w:val="24"/>
      </w:rPr>
    </w:lvl>
    <w:lvl w:ilvl="1" w:tplc="A8601B92">
      <w:start w:val="1"/>
      <w:numFmt w:val="bullet"/>
      <w:lvlText w:val="▪"/>
      <w:lvlJc w:val="left"/>
      <w:pPr>
        <w:ind w:left="868" w:hanging="360"/>
      </w:pPr>
      <w:rPr>
        <w:rFonts w:ascii="Microsoft Sans Serif" w:eastAsia="Microsoft Sans Serif" w:hAnsi="Microsoft Sans Serif" w:hint="default"/>
        <w:w w:val="129"/>
        <w:sz w:val="24"/>
        <w:szCs w:val="24"/>
      </w:rPr>
    </w:lvl>
    <w:lvl w:ilvl="2" w:tplc="FC6EAE44">
      <w:start w:val="1"/>
      <w:numFmt w:val="bullet"/>
      <w:lvlText w:val="•"/>
      <w:lvlJc w:val="left"/>
      <w:pPr>
        <w:ind w:left="1850" w:hanging="360"/>
      </w:pPr>
      <w:rPr>
        <w:rFonts w:hint="default"/>
      </w:rPr>
    </w:lvl>
    <w:lvl w:ilvl="3" w:tplc="0BFAB4F0">
      <w:start w:val="1"/>
      <w:numFmt w:val="bullet"/>
      <w:lvlText w:val="•"/>
      <w:lvlJc w:val="left"/>
      <w:pPr>
        <w:ind w:left="2832" w:hanging="360"/>
      </w:pPr>
      <w:rPr>
        <w:rFonts w:hint="default"/>
      </w:rPr>
    </w:lvl>
    <w:lvl w:ilvl="4" w:tplc="CA9097E0">
      <w:start w:val="1"/>
      <w:numFmt w:val="bullet"/>
      <w:lvlText w:val="•"/>
      <w:lvlJc w:val="left"/>
      <w:pPr>
        <w:ind w:left="3814" w:hanging="360"/>
      </w:pPr>
      <w:rPr>
        <w:rFonts w:hint="default"/>
      </w:rPr>
    </w:lvl>
    <w:lvl w:ilvl="5" w:tplc="E956376A">
      <w:start w:val="1"/>
      <w:numFmt w:val="bullet"/>
      <w:lvlText w:val="•"/>
      <w:lvlJc w:val="left"/>
      <w:pPr>
        <w:ind w:left="4796" w:hanging="360"/>
      </w:pPr>
      <w:rPr>
        <w:rFonts w:hint="default"/>
      </w:rPr>
    </w:lvl>
    <w:lvl w:ilvl="6" w:tplc="55B8E392">
      <w:start w:val="1"/>
      <w:numFmt w:val="bullet"/>
      <w:lvlText w:val="•"/>
      <w:lvlJc w:val="left"/>
      <w:pPr>
        <w:ind w:left="5778" w:hanging="360"/>
      </w:pPr>
      <w:rPr>
        <w:rFonts w:hint="default"/>
      </w:rPr>
    </w:lvl>
    <w:lvl w:ilvl="7" w:tplc="FCEC83E4">
      <w:start w:val="1"/>
      <w:numFmt w:val="bullet"/>
      <w:lvlText w:val="•"/>
      <w:lvlJc w:val="left"/>
      <w:pPr>
        <w:ind w:left="6760" w:hanging="360"/>
      </w:pPr>
      <w:rPr>
        <w:rFonts w:hint="default"/>
      </w:rPr>
    </w:lvl>
    <w:lvl w:ilvl="8" w:tplc="448C23AE">
      <w:start w:val="1"/>
      <w:numFmt w:val="bullet"/>
      <w:lvlText w:val="•"/>
      <w:lvlJc w:val="left"/>
      <w:pPr>
        <w:ind w:left="7742" w:hanging="360"/>
      </w:pPr>
      <w:rPr>
        <w:rFonts w:hint="default"/>
      </w:rPr>
    </w:lvl>
  </w:abstractNum>
  <w:abstractNum w:abstractNumId="6" w15:restartNumberingAfterBreak="0">
    <w:nsid w:val="065052D3"/>
    <w:multiLevelType w:val="hybridMultilevel"/>
    <w:tmpl w:val="2BB044B6"/>
    <w:lvl w:ilvl="0" w:tplc="8B6421D6">
      <w:start w:val="1"/>
      <w:numFmt w:val="bullet"/>
      <w:pStyle w:val="CLD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85B3FF6"/>
    <w:multiLevelType w:val="hybridMultilevel"/>
    <w:tmpl w:val="FF4E0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453D02"/>
    <w:multiLevelType w:val="hybridMultilevel"/>
    <w:tmpl w:val="82406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8157E6"/>
    <w:multiLevelType w:val="hybridMultilevel"/>
    <w:tmpl w:val="AE129BAE"/>
    <w:lvl w:ilvl="0" w:tplc="F9A25AF0">
      <w:start w:val="1"/>
      <w:numFmt w:val="lowerLetter"/>
      <w:lvlText w:val="%1."/>
      <w:lvlJc w:val="left"/>
      <w:pPr>
        <w:ind w:left="540" w:hanging="360"/>
      </w:pPr>
      <w:rPr>
        <w:rFonts w:ascii="Times New Roman" w:eastAsia="Times New Roman" w:hAnsi="Times New Roman" w:hint="default"/>
        <w:w w:val="99"/>
        <w:sz w:val="20"/>
        <w:szCs w:val="20"/>
      </w:rPr>
    </w:lvl>
    <w:lvl w:ilvl="1" w:tplc="1158D15C">
      <w:start w:val="1"/>
      <w:numFmt w:val="bullet"/>
      <w:lvlText w:val="•"/>
      <w:lvlJc w:val="left"/>
      <w:pPr>
        <w:ind w:left="720" w:hanging="360"/>
      </w:pPr>
      <w:rPr>
        <w:rFonts w:hint="default"/>
      </w:rPr>
    </w:lvl>
    <w:lvl w:ilvl="2" w:tplc="6054FB04">
      <w:start w:val="1"/>
      <w:numFmt w:val="bullet"/>
      <w:lvlText w:val="•"/>
      <w:lvlJc w:val="left"/>
      <w:pPr>
        <w:ind w:left="1735" w:hanging="360"/>
      </w:pPr>
      <w:rPr>
        <w:rFonts w:hint="default"/>
      </w:rPr>
    </w:lvl>
    <w:lvl w:ilvl="3" w:tplc="91E45F48">
      <w:start w:val="1"/>
      <w:numFmt w:val="bullet"/>
      <w:lvlText w:val="•"/>
      <w:lvlJc w:val="left"/>
      <w:pPr>
        <w:ind w:left="2751" w:hanging="360"/>
      </w:pPr>
      <w:rPr>
        <w:rFonts w:hint="default"/>
      </w:rPr>
    </w:lvl>
    <w:lvl w:ilvl="4" w:tplc="A8A65698">
      <w:start w:val="1"/>
      <w:numFmt w:val="bullet"/>
      <w:lvlText w:val="•"/>
      <w:lvlJc w:val="left"/>
      <w:pPr>
        <w:ind w:left="3766" w:hanging="360"/>
      </w:pPr>
      <w:rPr>
        <w:rFonts w:hint="default"/>
      </w:rPr>
    </w:lvl>
    <w:lvl w:ilvl="5" w:tplc="907EA832">
      <w:start w:val="1"/>
      <w:numFmt w:val="bullet"/>
      <w:lvlText w:val="•"/>
      <w:lvlJc w:val="left"/>
      <w:pPr>
        <w:ind w:left="4782" w:hanging="360"/>
      </w:pPr>
      <w:rPr>
        <w:rFonts w:hint="default"/>
      </w:rPr>
    </w:lvl>
    <w:lvl w:ilvl="6" w:tplc="2E90DA56">
      <w:start w:val="1"/>
      <w:numFmt w:val="bullet"/>
      <w:lvlText w:val="•"/>
      <w:lvlJc w:val="left"/>
      <w:pPr>
        <w:ind w:left="5797" w:hanging="360"/>
      </w:pPr>
      <w:rPr>
        <w:rFonts w:hint="default"/>
      </w:rPr>
    </w:lvl>
    <w:lvl w:ilvl="7" w:tplc="A3D49EC2">
      <w:start w:val="1"/>
      <w:numFmt w:val="bullet"/>
      <w:lvlText w:val="•"/>
      <w:lvlJc w:val="left"/>
      <w:pPr>
        <w:ind w:left="6813" w:hanging="360"/>
      </w:pPr>
      <w:rPr>
        <w:rFonts w:hint="default"/>
      </w:rPr>
    </w:lvl>
    <w:lvl w:ilvl="8" w:tplc="0868E5D6">
      <w:start w:val="1"/>
      <w:numFmt w:val="bullet"/>
      <w:lvlText w:val="•"/>
      <w:lvlJc w:val="left"/>
      <w:pPr>
        <w:ind w:left="7828" w:hanging="360"/>
      </w:pPr>
      <w:rPr>
        <w:rFonts w:hint="default"/>
      </w:rPr>
    </w:lvl>
  </w:abstractNum>
  <w:abstractNum w:abstractNumId="10" w15:restartNumberingAfterBreak="0">
    <w:nsid w:val="19DD7741"/>
    <w:multiLevelType w:val="hybridMultilevel"/>
    <w:tmpl w:val="8B967FA4"/>
    <w:lvl w:ilvl="0" w:tplc="8622625A">
      <w:start w:val="1"/>
      <w:numFmt w:val="bullet"/>
      <w:lvlText w:val=""/>
      <w:lvlJc w:val="left"/>
      <w:pPr>
        <w:ind w:left="461" w:hanging="461"/>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737CAB"/>
    <w:multiLevelType w:val="hybridMultilevel"/>
    <w:tmpl w:val="770EF9DC"/>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3" w15:restartNumberingAfterBreak="0">
    <w:nsid w:val="247F6260"/>
    <w:multiLevelType w:val="hybridMultilevel"/>
    <w:tmpl w:val="78B4ED72"/>
    <w:lvl w:ilvl="0" w:tplc="B91AD2F0">
      <w:start w:val="1"/>
      <w:numFmt w:val="lowerLetter"/>
      <w:lvlText w:val="%1."/>
      <w:lvlJc w:val="left"/>
      <w:pPr>
        <w:ind w:left="640" w:hanging="360"/>
      </w:pPr>
      <w:rPr>
        <w:rFonts w:ascii="Times New Roman" w:eastAsia="Times New Roman" w:hAnsi="Times New Roman" w:hint="default"/>
        <w:w w:val="99"/>
        <w:sz w:val="20"/>
        <w:szCs w:val="20"/>
      </w:rPr>
    </w:lvl>
    <w:lvl w:ilvl="1" w:tplc="DD36E038">
      <w:start w:val="1"/>
      <w:numFmt w:val="bullet"/>
      <w:lvlText w:val="•"/>
      <w:lvlJc w:val="left"/>
      <w:pPr>
        <w:ind w:left="1518" w:hanging="360"/>
      </w:pPr>
      <w:rPr>
        <w:rFonts w:hint="default"/>
      </w:rPr>
    </w:lvl>
    <w:lvl w:ilvl="2" w:tplc="80A8174E">
      <w:start w:val="1"/>
      <w:numFmt w:val="bullet"/>
      <w:lvlText w:val="•"/>
      <w:lvlJc w:val="left"/>
      <w:pPr>
        <w:ind w:left="2396" w:hanging="360"/>
      </w:pPr>
      <w:rPr>
        <w:rFonts w:hint="default"/>
      </w:rPr>
    </w:lvl>
    <w:lvl w:ilvl="3" w:tplc="59ACA792">
      <w:start w:val="1"/>
      <w:numFmt w:val="bullet"/>
      <w:lvlText w:val="•"/>
      <w:lvlJc w:val="left"/>
      <w:pPr>
        <w:ind w:left="3274" w:hanging="360"/>
      </w:pPr>
      <w:rPr>
        <w:rFonts w:hint="default"/>
      </w:rPr>
    </w:lvl>
    <w:lvl w:ilvl="4" w:tplc="36721E9C">
      <w:start w:val="1"/>
      <w:numFmt w:val="bullet"/>
      <w:lvlText w:val="•"/>
      <w:lvlJc w:val="left"/>
      <w:pPr>
        <w:ind w:left="4152" w:hanging="360"/>
      </w:pPr>
      <w:rPr>
        <w:rFonts w:hint="default"/>
      </w:rPr>
    </w:lvl>
    <w:lvl w:ilvl="5" w:tplc="885E1336">
      <w:start w:val="1"/>
      <w:numFmt w:val="bullet"/>
      <w:lvlText w:val="•"/>
      <w:lvlJc w:val="left"/>
      <w:pPr>
        <w:ind w:left="5030" w:hanging="360"/>
      </w:pPr>
      <w:rPr>
        <w:rFonts w:hint="default"/>
      </w:rPr>
    </w:lvl>
    <w:lvl w:ilvl="6" w:tplc="592095B0">
      <w:start w:val="1"/>
      <w:numFmt w:val="bullet"/>
      <w:lvlText w:val="•"/>
      <w:lvlJc w:val="left"/>
      <w:pPr>
        <w:ind w:left="5908" w:hanging="360"/>
      </w:pPr>
      <w:rPr>
        <w:rFonts w:hint="default"/>
      </w:rPr>
    </w:lvl>
    <w:lvl w:ilvl="7" w:tplc="11D0DD42">
      <w:start w:val="1"/>
      <w:numFmt w:val="bullet"/>
      <w:lvlText w:val="•"/>
      <w:lvlJc w:val="left"/>
      <w:pPr>
        <w:ind w:left="6786" w:hanging="360"/>
      </w:pPr>
      <w:rPr>
        <w:rFonts w:hint="default"/>
      </w:rPr>
    </w:lvl>
    <w:lvl w:ilvl="8" w:tplc="CCF4668E">
      <w:start w:val="1"/>
      <w:numFmt w:val="bullet"/>
      <w:lvlText w:val="•"/>
      <w:lvlJc w:val="left"/>
      <w:pPr>
        <w:ind w:left="7664" w:hanging="360"/>
      </w:pPr>
      <w:rPr>
        <w:rFonts w:hint="default"/>
      </w:rPr>
    </w:lvl>
  </w:abstractNum>
  <w:abstractNum w:abstractNumId="14"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5" w15:restartNumberingAfterBreak="0">
    <w:nsid w:val="341B3BBC"/>
    <w:multiLevelType w:val="hybridMultilevel"/>
    <w:tmpl w:val="A484F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17" w15:restartNumberingAfterBreak="0">
    <w:nsid w:val="3E062D9B"/>
    <w:multiLevelType w:val="hybridMultilevel"/>
    <w:tmpl w:val="A45E3292"/>
    <w:lvl w:ilvl="0" w:tplc="6A06E1D2">
      <w:start w:val="1"/>
      <w:numFmt w:val="bullet"/>
      <w:lvlText w:val="•"/>
      <w:lvlJc w:val="left"/>
      <w:pPr>
        <w:ind w:left="718" w:hanging="601"/>
      </w:pPr>
      <w:rPr>
        <w:rFonts w:ascii="Times New Roman" w:eastAsia="Times New Roman" w:hAnsi="Times New Roman"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8" w15:restartNumberingAfterBreak="0">
    <w:nsid w:val="40FB18E2"/>
    <w:multiLevelType w:val="hybridMultilevel"/>
    <w:tmpl w:val="B1E89082"/>
    <w:lvl w:ilvl="0" w:tplc="6EC4B82A">
      <w:start w:val="1"/>
      <w:numFmt w:val="lowerLetter"/>
      <w:lvlText w:val="%1."/>
      <w:lvlJc w:val="left"/>
      <w:pPr>
        <w:ind w:left="640" w:hanging="360"/>
      </w:pPr>
      <w:rPr>
        <w:rFonts w:ascii="Times New Roman" w:eastAsia="Times New Roman" w:hAnsi="Times New Roman" w:hint="default"/>
        <w:w w:val="99"/>
        <w:sz w:val="20"/>
        <w:szCs w:val="20"/>
      </w:rPr>
    </w:lvl>
    <w:lvl w:ilvl="1" w:tplc="B832F116">
      <w:start w:val="1"/>
      <w:numFmt w:val="bullet"/>
      <w:lvlText w:val="•"/>
      <w:lvlJc w:val="left"/>
      <w:pPr>
        <w:ind w:left="1518" w:hanging="360"/>
      </w:pPr>
      <w:rPr>
        <w:rFonts w:hint="default"/>
      </w:rPr>
    </w:lvl>
    <w:lvl w:ilvl="2" w:tplc="8ACE8C1C">
      <w:start w:val="1"/>
      <w:numFmt w:val="bullet"/>
      <w:lvlText w:val="•"/>
      <w:lvlJc w:val="left"/>
      <w:pPr>
        <w:ind w:left="2396" w:hanging="360"/>
      </w:pPr>
      <w:rPr>
        <w:rFonts w:hint="default"/>
      </w:rPr>
    </w:lvl>
    <w:lvl w:ilvl="3" w:tplc="B26EC262">
      <w:start w:val="1"/>
      <w:numFmt w:val="bullet"/>
      <w:lvlText w:val="•"/>
      <w:lvlJc w:val="left"/>
      <w:pPr>
        <w:ind w:left="3274" w:hanging="360"/>
      </w:pPr>
      <w:rPr>
        <w:rFonts w:hint="default"/>
      </w:rPr>
    </w:lvl>
    <w:lvl w:ilvl="4" w:tplc="CB42527E">
      <w:start w:val="1"/>
      <w:numFmt w:val="bullet"/>
      <w:lvlText w:val="•"/>
      <w:lvlJc w:val="left"/>
      <w:pPr>
        <w:ind w:left="4152" w:hanging="360"/>
      </w:pPr>
      <w:rPr>
        <w:rFonts w:hint="default"/>
      </w:rPr>
    </w:lvl>
    <w:lvl w:ilvl="5" w:tplc="06A08BB6">
      <w:start w:val="1"/>
      <w:numFmt w:val="bullet"/>
      <w:lvlText w:val="•"/>
      <w:lvlJc w:val="left"/>
      <w:pPr>
        <w:ind w:left="5030" w:hanging="360"/>
      </w:pPr>
      <w:rPr>
        <w:rFonts w:hint="default"/>
      </w:rPr>
    </w:lvl>
    <w:lvl w:ilvl="6" w:tplc="2BC0E996">
      <w:start w:val="1"/>
      <w:numFmt w:val="bullet"/>
      <w:lvlText w:val="•"/>
      <w:lvlJc w:val="left"/>
      <w:pPr>
        <w:ind w:left="5908" w:hanging="360"/>
      </w:pPr>
      <w:rPr>
        <w:rFonts w:hint="default"/>
      </w:rPr>
    </w:lvl>
    <w:lvl w:ilvl="7" w:tplc="9C724914">
      <w:start w:val="1"/>
      <w:numFmt w:val="bullet"/>
      <w:lvlText w:val="•"/>
      <w:lvlJc w:val="left"/>
      <w:pPr>
        <w:ind w:left="6786" w:hanging="360"/>
      </w:pPr>
      <w:rPr>
        <w:rFonts w:hint="default"/>
      </w:rPr>
    </w:lvl>
    <w:lvl w:ilvl="8" w:tplc="DEF051CA">
      <w:start w:val="1"/>
      <w:numFmt w:val="bullet"/>
      <w:lvlText w:val="•"/>
      <w:lvlJc w:val="left"/>
      <w:pPr>
        <w:ind w:left="7664" w:hanging="360"/>
      </w:pPr>
      <w:rPr>
        <w:rFonts w:hint="default"/>
      </w:rPr>
    </w:lvl>
  </w:abstractNum>
  <w:abstractNum w:abstractNumId="19" w15:restartNumberingAfterBreak="0">
    <w:nsid w:val="427B1B02"/>
    <w:multiLevelType w:val="hybridMultilevel"/>
    <w:tmpl w:val="88B27C6A"/>
    <w:lvl w:ilvl="0" w:tplc="55922CC8">
      <w:start w:val="1"/>
      <w:numFmt w:val="decimal"/>
      <w:lvlText w:val="%1"/>
      <w:lvlJc w:val="left"/>
      <w:pPr>
        <w:ind w:left="148" w:hanging="151"/>
      </w:pPr>
      <w:rPr>
        <w:rFonts w:ascii="Times New Roman" w:eastAsia="Times New Roman" w:hAnsi="Times New Roman" w:hint="default"/>
        <w:i/>
        <w:w w:val="99"/>
        <w:sz w:val="20"/>
        <w:szCs w:val="20"/>
      </w:rPr>
    </w:lvl>
    <w:lvl w:ilvl="1" w:tplc="5A04A1A4">
      <w:start w:val="1"/>
      <w:numFmt w:val="bullet"/>
      <w:lvlText w:val="•"/>
      <w:lvlJc w:val="left"/>
      <w:pPr>
        <w:ind w:left="3201" w:hanging="151"/>
      </w:pPr>
      <w:rPr>
        <w:rFonts w:hint="default"/>
      </w:rPr>
    </w:lvl>
    <w:lvl w:ilvl="2" w:tplc="9AB48F90">
      <w:start w:val="1"/>
      <w:numFmt w:val="bullet"/>
      <w:lvlText w:val="•"/>
      <w:lvlJc w:val="left"/>
      <w:pPr>
        <w:ind w:left="3924" w:hanging="151"/>
      </w:pPr>
      <w:rPr>
        <w:rFonts w:hint="default"/>
      </w:rPr>
    </w:lvl>
    <w:lvl w:ilvl="3" w:tplc="34DE8550">
      <w:start w:val="1"/>
      <w:numFmt w:val="bullet"/>
      <w:lvlText w:val="•"/>
      <w:lvlJc w:val="left"/>
      <w:pPr>
        <w:ind w:left="4647" w:hanging="151"/>
      </w:pPr>
      <w:rPr>
        <w:rFonts w:hint="default"/>
      </w:rPr>
    </w:lvl>
    <w:lvl w:ilvl="4" w:tplc="AC967E56">
      <w:start w:val="1"/>
      <w:numFmt w:val="bullet"/>
      <w:lvlText w:val="•"/>
      <w:lvlJc w:val="left"/>
      <w:pPr>
        <w:ind w:left="5370" w:hanging="151"/>
      </w:pPr>
      <w:rPr>
        <w:rFonts w:hint="default"/>
      </w:rPr>
    </w:lvl>
    <w:lvl w:ilvl="5" w:tplc="50703D2E">
      <w:start w:val="1"/>
      <w:numFmt w:val="bullet"/>
      <w:lvlText w:val="•"/>
      <w:lvlJc w:val="left"/>
      <w:pPr>
        <w:ind w:left="6092" w:hanging="151"/>
      </w:pPr>
      <w:rPr>
        <w:rFonts w:hint="default"/>
      </w:rPr>
    </w:lvl>
    <w:lvl w:ilvl="6" w:tplc="8208D32E">
      <w:start w:val="1"/>
      <w:numFmt w:val="bullet"/>
      <w:lvlText w:val="•"/>
      <w:lvlJc w:val="left"/>
      <w:pPr>
        <w:ind w:left="6815" w:hanging="151"/>
      </w:pPr>
      <w:rPr>
        <w:rFonts w:hint="default"/>
      </w:rPr>
    </w:lvl>
    <w:lvl w:ilvl="7" w:tplc="1E108F60">
      <w:start w:val="1"/>
      <w:numFmt w:val="bullet"/>
      <w:lvlText w:val="•"/>
      <w:lvlJc w:val="left"/>
      <w:pPr>
        <w:ind w:left="7538" w:hanging="151"/>
      </w:pPr>
      <w:rPr>
        <w:rFonts w:hint="default"/>
      </w:rPr>
    </w:lvl>
    <w:lvl w:ilvl="8" w:tplc="D940E44A">
      <w:start w:val="1"/>
      <w:numFmt w:val="bullet"/>
      <w:lvlText w:val="•"/>
      <w:lvlJc w:val="left"/>
      <w:pPr>
        <w:ind w:left="8260" w:hanging="151"/>
      </w:pPr>
      <w:rPr>
        <w:rFonts w:hint="default"/>
      </w:rPr>
    </w:lvl>
  </w:abstractNum>
  <w:abstractNum w:abstractNumId="20" w15:restartNumberingAfterBreak="0">
    <w:nsid w:val="42BC5779"/>
    <w:multiLevelType w:val="multilevel"/>
    <w:tmpl w:val="E174D92A"/>
    <w:lvl w:ilvl="0">
      <w:start w:val="7"/>
      <w:numFmt w:val="decimal"/>
      <w:lvlText w:val="%1"/>
      <w:lvlJc w:val="left"/>
      <w:pPr>
        <w:ind w:left="148" w:hanging="300"/>
      </w:pPr>
      <w:rPr>
        <w:rFonts w:hint="default"/>
      </w:rPr>
    </w:lvl>
    <w:lvl w:ilvl="1">
      <w:start w:val="5"/>
      <w:numFmt w:val="decimal"/>
      <w:lvlText w:val="%1.%2"/>
      <w:lvlJc w:val="left"/>
      <w:pPr>
        <w:ind w:left="148" w:hanging="300"/>
      </w:pPr>
      <w:rPr>
        <w:rFonts w:ascii="Times New Roman" w:eastAsia="Times New Roman" w:hAnsi="Times New Roman" w:hint="default"/>
        <w:sz w:val="24"/>
        <w:szCs w:val="24"/>
      </w:rPr>
    </w:lvl>
    <w:lvl w:ilvl="2">
      <w:start w:val="1"/>
      <w:numFmt w:val="bullet"/>
      <w:lvlText w:val=""/>
      <w:lvlJc w:val="left"/>
      <w:pPr>
        <w:ind w:left="566" w:hanging="359"/>
      </w:pPr>
      <w:rPr>
        <w:rFonts w:ascii="Symbol" w:eastAsia="Symbol" w:hAnsi="Symbol" w:hint="default"/>
        <w:sz w:val="24"/>
        <w:szCs w:val="24"/>
      </w:rPr>
    </w:lvl>
    <w:lvl w:ilvl="3">
      <w:start w:val="1"/>
      <w:numFmt w:val="bullet"/>
      <w:lvlText w:val="•"/>
      <w:lvlJc w:val="left"/>
      <w:pPr>
        <w:ind w:left="2597" w:hanging="359"/>
      </w:pPr>
      <w:rPr>
        <w:rFonts w:hint="default"/>
      </w:rPr>
    </w:lvl>
    <w:lvl w:ilvl="4">
      <w:start w:val="1"/>
      <w:numFmt w:val="bullet"/>
      <w:lvlText w:val="•"/>
      <w:lvlJc w:val="left"/>
      <w:pPr>
        <w:ind w:left="3612" w:hanging="359"/>
      </w:pPr>
      <w:rPr>
        <w:rFonts w:hint="default"/>
      </w:rPr>
    </w:lvl>
    <w:lvl w:ilvl="5">
      <w:start w:val="1"/>
      <w:numFmt w:val="bullet"/>
      <w:lvlText w:val="•"/>
      <w:lvlJc w:val="left"/>
      <w:pPr>
        <w:ind w:left="4628" w:hanging="359"/>
      </w:pPr>
      <w:rPr>
        <w:rFonts w:hint="default"/>
      </w:rPr>
    </w:lvl>
    <w:lvl w:ilvl="6">
      <w:start w:val="1"/>
      <w:numFmt w:val="bullet"/>
      <w:lvlText w:val="•"/>
      <w:lvlJc w:val="left"/>
      <w:pPr>
        <w:ind w:left="5644" w:hanging="359"/>
      </w:pPr>
      <w:rPr>
        <w:rFonts w:hint="default"/>
      </w:rPr>
    </w:lvl>
    <w:lvl w:ilvl="7">
      <w:start w:val="1"/>
      <w:numFmt w:val="bullet"/>
      <w:lvlText w:val="•"/>
      <w:lvlJc w:val="left"/>
      <w:pPr>
        <w:ind w:left="6659" w:hanging="359"/>
      </w:pPr>
      <w:rPr>
        <w:rFonts w:hint="default"/>
      </w:rPr>
    </w:lvl>
    <w:lvl w:ilvl="8">
      <w:start w:val="1"/>
      <w:numFmt w:val="bullet"/>
      <w:lvlText w:val="•"/>
      <w:lvlJc w:val="left"/>
      <w:pPr>
        <w:ind w:left="7675" w:hanging="359"/>
      </w:pPr>
      <w:rPr>
        <w:rFonts w:hint="default"/>
      </w:rPr>
    </w:lvl>
  </w:abstractNum>
  <w:abstractNum w:abstractNumId="21" w15:restartNumberingAfterBreak="0">
    <w:nsid w:val="46EB7134"/>
    <w:multiLevelType w:val="hybridMultilevel"/>
    <w:tmpl w:val="380A2D34"/>
    <w:lvl w:ilvl="0" w:tplc="73F4EB4E">
      <w:start w:val="1"/>
      <w:numFmt w:val="bullet"/>
      <w:lvlText w:val=""/>
      <w:lvlJc w:val="left"/>
      <w:pPr>
        <w:ind w:left="568" w:hanging="361"/>
      </w:pPr>
      <w:rPr>
        <w:rFonts w:ascii="Symbol" w:eastAsia="Symbol" w:hAnsi="Symbol" w:hint="default"/>
        <w:sz w:val="24"/>
        <w:szCs w:val="24"/>
      </w:rPr>
    </w:lvl>
    <w:lvl w:ilvl="1" w:tplc="9DB4A09E">
      <w:start w:val="1"/>
      <w:numFmt w:val="bullet"/>
      <w:lvlText w:val="•"/>
      <w:lvlJc w:val="left"/>
      <w:pPr>
        <w:ind w:left="1488" w:hanging="361"/>
      </w:pPr>
      <w:rPr>
        <w:rFonts w:hint="default"/>
      </w:rPr>
    </w:lvl>
    <w:lvl w:ilvl="2" w:tplc="44BC693A">
      <w:start w:val="1"/>
      <w:numFmt w:val="bullet"/>
      <w:lvlText w:val="•"/>
      <w:lvlJc w:val="left"/>
      <w:pPr>
        <w:ind w:left="2408" w:hanging="361"/>
      </w:pPr>
      <w:rPr>
        <w:rFonts w:hint="default"/>
      </w:rPr>
    </w:lvl>
    <w:lvl w:ilvl="3" w:tplc="70F27DE6">
      <w:start w:val="1"/>
      <w:numFmt w:val="bullet"/>
      <w:lvlText w:val="•"/>
      <w:lvlJc w:val="left"/>
      <w:pPr>
        <w:ind w:left="3327" w:hanging="361"/>
      </w:pPr>
      <w:rPr>
        <w:rFonts w:hint="default"/>
      </w:rPr>
    </w:lvl>
    <w:lvl w:ilvl="4" w:tplc="88C08CDA">
      <w:start w:val="1"/>
      <w:numFmt w:val="bullet"/>
      <w:lvlText w:val="•"/>
      <w:lvlJc w:val="left"/>
      <w:pPr>
        <w:ind w:left="4247" w:hanging="361"/>
      </w:pPr>
      <w:rPr>
        <w:rFonts w:hint="default"/>
      </w:rPr>
    </w:lvl>
    <w:lvl w:ilvl="5" w:tplc="272882C4">
      <w:start w:val="1"/>
      <w:numFmt w:val="bullet"/>
      <w:lvlText w:val="•"/>
      <w:lvlJc w:val="left"/>
      <w:pPr>
        <w:ind w:left="5167" w:hanging="361"/>
      </w:pPr>
      <w:rPr>
        <w:rFonts w:hint="default"/>
      </w:rPr>
    </w:lvl>
    <w:lvl w:ilvl="6" w:tplc="3F62DEFE">
      <w:start w:val="1"/>
      <w:numFmt w:val="bullet"/>
      <w:lvlText w:val="•"/>
      <w:lvlJc w:val="left"/>
      <w:pPr>
        <w:ind w:left="6087" w:hanging="361"/>
      </w:pPr>
      <w:rPr>
        <w:rFonts w:hint="default"/>
      </w:rPr>
    </w:lvl>
    <w:lvl w:ilvl="7" w:tplc="67B2B356">
      <w:start w:val="1"/>
      <w:numFmt w:val="bullet"/>
      <w:lvlText w:val="•"/>
      <w:lvlJc w:val="left"/>
      <w:pPr>
        <w:ind w:left="7007" w:hanging="361"/>
      </w:pPr>
      <w:rPr>
        <w:rFonts w:hint="default"/>
      </w:rPr>
    </w:lvl>
    <w:lvl w:ilvl="8" w:tplc="62D87794">
      <w:start w:val="1"/>
      <w:numFmt w:val="bullet"/>
      <w:lvlText w:val="•"/>
      <w:lvlJc w:val="left"/>
      <w:pPr>
        <w:ind w:left="7926" w:hanging="361"/>
      </w:pPr>
      <w:rPr>
        <w:rFonts w:hint="default"/>
      </w:rPr>
    </w:lvl>
  </w:abstractNum>
  <w:abstractNum w:abstractNumId="22" w15:restartNumberingAfterBreak="0">
    <w:nsid w:val="49E51627"/>
    <w:multiLevelType w:val="hybridMultilevel"/>
    <w:tmpl w:val="2EE0B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231D7F"/>
    <w:multiLevelType w:val="hybridMultilevel"/>
    <w:tmpl w:val="6FB278A2"/>
    <w:lvl w:ilvl="0" w:tplc="7FD6B154">
      <w:start w:val="4"/>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033875"/>
    <w:multiLevelType w:val="hybridMultilevel"/>
    <w:tmpl w:val="5AEC9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9C689C"/>
    <w:multiLevelType w:val="hybridMultilevel"/>
    <w:tmpl w:val="DC2C3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82DF2"/>
    <w:multiLevelType w:val="hybridMultilevel"/>
    <w:tmpl w:val="B0343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3F2C2D"/>
    <w:multiLevelType w:val="hybridMultilevel"/>
    <w:tmpl w:val="FBAEEFD2"/>
    <w:lvl w:ilvl="0" w:tplc="0D024906">
      <w:start w:val="1"/>
      <w:numFmt w:val="lowerLetter"/>
      <w:lvlText w:val="%1."/>
      <w:lvlJc w:val="left"/>
      <w:pPr>
        <w:ind w:left="640" w:hanging="360"/>
      </w:pPr>
      <w:rPr>
        <w:rFonts w:ascii="Times New Roman" w:eastAsia="Times New Roman" w:hAnsi="Times New Roman" w:hint="default"/>
        <w:w w:val="99"/>
        <w:sz w:val="20"/>
        <w:szCs w:val="20"/>
      </w:rPr>
    </w:lvl>
    <w:lvl w:ilvl="1" w:tplc="DEF4CE1E">
      <w:start w:val="1"/>
      <w:numFmt w:val="bullet"/>
      <w:lvlText w:val="•"/>
      <w:lvlJc w:val="left"/>
      <w:pPr>
        <w:ind w:left="1518" w:hanging="360"/>
      </w:pPr>
      <w:rPr>
        <w:rFonts w:hint="default"/>
      </w:rPr>
    </w:lvl>
    <w:lvl w:ilvl="2" w:tplc="EDFA3F34">
      <w:start w:val="1"/>
      <w:numFmt w:val="bullet"/>
      <w:lvlText w:val="•"/>
      <w:lvlJc w:val="left"/>
      <w:pPr>
        <w:ind w:left="2396" w:hanging="360"/>
      </w:pPr>
      <w:rPr>
        <w:rFonts w:hint="default"/>
      </w:rPr>
    </w:lvl>
    <w:lvl w:ilvl="3" w:tplc="1D84DADC">
      <w:start w:val="1"/>
      <w:numFmt w:val="bullet"/>
      <w:lvlText w:val="•"/>
      <w:lvlJc w:val="left"/>
      <w:pPr>
        <w:ind w:left="3274" w:hanging="360"/>
      </w:pPr>
      <w:rPr>
        <w:rFonts w:hint="default"/>
      </w:rPr>
    </w:lvl>
    <w:lvl w:ilvl="4" w:tplc="D11A6404">
      <w:start w:val="1"/>
      <w:numFmt w:val="bullet"/>
      <w:lvlText w:val="•"/>
      <w:lvlJc w:val="left"/>
      <w:pPr>
        <w:ind w:left="4152" w:hanging="360"/>
      </w:pPr>
      <w:rPr>
        <w:rFonts w:hint="default"/>
      </w:rPr>
    </w:lvl>
    <w:lvl w:ilvl="5" w:tplc="49DCC9E0">
      <w:start w:val="1"/>
      <w:numFmt w:val="bullet"/>
      <w:lvlText w:val="•"/>
      <w:lvlJc w:val="left"/>
      <w:pPr>
        <w:ind w:left="5030" w:hanging="360"/>
      </w:pPr>
      <w:rPr>
        <w:rFonts w:hint="default"/>
      </w:rPr>
    </w:lvl>
    <w:lvl w:ilvl="6" w:tplc="4C7ED624">
      <w:start w:val="1"/>
      <w:numFmt w:val="bullet"/>
      <w:lvlText w:val="•"/>
      <w:lvlJc w:val="left"/>
      <w:pPr>
        <w:ind w:left="5908" w:hanging="360"/>
      </w:pPr>
      <w:rPr>
        <w:rFonts w:hint="default"/>
      </w:rPr>
    </w:lvl>
    <w:lvl w:ilvl="7" w:tplc="D0AC0FB8">
      <w:start w:val="1"/>
      <w:numFmt w:val="bullet"/>
      <w:lvlText w:val="•"/>
      <w:lvlJc w:val="left"/>
      <w:pPr>
        <w:ind w:left="6786" w:hanging="360"/>
      </w:pPr>
      <w:rPr>
        <w:rFonts w:hint="default"/>
      </w:rPr>
    </w:lvl>
    <w:lvl w:ilvl="8" w:tplc="4A7C098A">
      <w:start w:val="1"/>
      <w:numFmt w:val="bullet"/>
      <w:lvlText w:val="•"/>
      <w:lvlJc w:val="left"/>
      <w:pPr>
        <w:ind w:left="7664" w:hanging="360"/>
      </w:pPr>
      <w:rPr>
        <w:rFonts w:hint="default"/>
      </w:rPr>
    </w:lvl>
  </w:abstractNum>
  <w:abstractNum w:abstractNumId="28" w15:restartNumberingAfterBreak="0">
    <w:nsid w:val="5E052756"/>
    <w:multiLevelType w:val="hybridMultilevel"/>
    <w:tmpl w:val="78467E66"/>
    <w:lvl w:ilvl="0" w:tplc="AFF28078">
      <w:start w:val="1"/>
      <w:numFmt w:val="bullet"/>
      <w:lvlText w:val=""/>
      <w:lvlJc w:val="left"/>
      <w:pPr>
        <w:ind w:left="688" w:hanging="180"/>
      </w:pPr>
      <w:rPr>
        <w:rFonts w:ascii="Symbol" w:eastAsia="Symbol" w:hAnsi="Symbol" w:hint="default"/>
        <w:sz w:val="24"/>
        <w:szCs w:val="24"/>
      </w:rPr>
    </w:lvl>
    <w:lvl w:ilvl="1" w:tplc="126889EE">
      <w:start w:val="1"/>
      <w:numFmt w:val="bullet"/>
      <w:lvlText w:val="o"/>
      <w:lvlJc w:val="left"/>
      <w:pPr>
        <w:ind w:left="1281" w:hanging="370"/>
      </w:pPr>
      <w:rPr>
        <w:rFonts w:ascii="Courier New" w:eastAsia="Courier New" w:hAnsi="Courier New" w:hint="default"/>
        <w:sz w:val="24"/>
        <w:szCs w:val="24"/>
      </w:rPr>
    </w:lvl>
    <w:lvl w:ilvl="2" w:tplc="F00C8756">
      <w:start w:val="1"/>
      <w:numFmt w:val="bullet"/>
      <w:lvlText w:val="•"/>
      <w:lvlJc w:val="left"/>
      <w:pPr>
        <w:ind w:left="2217" w:hanging="370"/>
      </w:pPr>
      <w:rPr>
        <w:rFonts w:hint="default"/>
      </w:rPr>
    </w:lvl>
    <w:lvl w:ilvl="3" w:tplc="92BE25CA">
      <w:start w:val="1"/>
      <w:numFmt w:val="bullet"/>
      <w:lvlText w:val="•"/>
      <w:lvlJc w:val="left"/>
      <w:pPr>
        <w:ind w:left="3153" w:hanging="370"/>
      </w:pPr>
      <w:rPr>
        <w:rFonts w:hint="default"/>
      </w:rPr>
    </w:lvl>
    <w:lvl w:ilvl="4" w:tplc="4310133E">
      <w:start w:val="1"/>
      <w:numFmt w:val="bullet"/>
      <w:lvlText w:val="•"/>
      <w:lvlJc w:val="left"/>
      <w:pPr>
        <w:ind w:left="4089" w:hanging="370"/>
      </w:pPr>
      <w:rPr>
        <w:rFonts w:hint="default"/>
      </w:rPr>
    </w:lvl>
    <w:lvl w:ilvl="5" w:tplc="738E6EF2">
      <w:start w:val="1"/>
      <w:numFmt w:val="bullet"/>
      <w:lvlText w:val="•"/>
      <w:lvlJc w:val="left"/>
      <w:pPr>
        <w:ind w:left="5025" w:hanging="370"/>
      </w:pPr>
      <w:rPr>
        <w:rFonts w:hint="default"/>
      </w:rPr>
    </w:lvl>
    <w:lvl w:ilvl="6" w:tplc="9B8A7472">
      <w:start w:val="1"/>
      <w:numFmt w:val="bullet"/>
      <w:lvlText w:val="•"/>
      <w:lvlJc w:val="left"/>
      <w:pPr>
        <w:ind w:left="5961" w:hanging="370"/>
      </w:pPr>
      <w:rPr>
        <w:rFonts w:hint="default"/>
      </w:rPr>
    </w:lvl>
    <w:lvl w:ilvl="7" w:tplc="B2B67A16">
      <w:start w:val="1"/>
      <w:numFmt w:val="bullet"/>
      <w:lvlText w:val="•"/>
      <w:lvlJc w:val="left"/>
      <w:pPr>
        <w:ind w:left="6898" w:hanging="370"/>
      </w:pPr>
      <w:rPr>
        <w:rFonts w:hint="default"/>
      </w:rPr>
    </w:lvl>
    <w:lvl w:ilvl="8" w:tplc="429852CA">
      <w:start w:val="1"/>
      <w:numFmt w:val="bullet"/>
      <w:lvlText w:val="•"/>
      <w:lvlJc w:val="left"/>
      <w:pPr>
        <w:ind w:left="7834" w:hanging="370"/>
      </w:pPr>
      <w:rPr>
        <w:rFonts w:hint="default"/>
      </w:rPr>
    </w:lvl>
  </w:abstractNum>
  <w:abstractNum w:abstractNumId="29" w15:restartNumberingAfterBreak="0">
    <w:nsid w:val="638E0124"/>
    <w:multiLevelType w:val="hybridMultilevel"/>
    <w:tmpl w:val="6D0C07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031EF4"/>
    <w:multiLevelType w:val="hybridMultilevel"/>
    <w:tmpl w:val="49A24FAE"/>
    <w:lvl w:ilvl="0" w:tplc="2D822D24">
      <w:start w:val="1"/>
      <w:numFmt w:val="lowerLetter"/>
      <w:lvlText w:val="%1."/>
      <w:lvlJc w:val="left"/>
      <w:pPr>
        <w:ind w:left="640" w:hanging="360"/>
      </w:pPr>
      <w:rPr>
        <w:rFonts w:ascii="Times New Roman" w:eastAsia="Times New Roman" w:hAnsi="Times New Roman" w:hint="default"/>
        <w:w w:val="99"/>
        <w:sz w:val="20"/>
        <w:szCs w:val="20"/>
      </w:rPr>
    </w:lvl>
    <w:lvl w:ilvl="1" w:tplc="066003D8">
      <w:start w:val="1"/>
      <w:numFmt w:val="bullet"/>
      <w:lvlText w:val="•"/>
      <w:lvlJc w:val="left"/>
      <w:pPr>
        <w:ind w:left="1518" w:hanging="360"/>
      </w:pPr>
      <w:rPr>
        <w:rFonts w:hint="default"/>
      </w:rPr>
    </w:lvl>
    <w:lvl w:ilvl="2" w:tplc="B71C563E">
      <w:start w:val="1"/>
      <w:numFmt w:val="bullet"/>
      <w:lvlText w:val="•"/>
      <w:lvlJc w:val="left"/>
      <w:pPr>
        <w:ind w:left="2396" w:hanging="360"/>
      </w:pPr>
      <w:rPr>
        <w:rFonts w:hint="default"/>
      </w:rPr>
    </w:lvl>
    <w:lvl w:ilvl="3" w:tplc="23FE0952">
      <w:start w:val="1"/>
      <w:numFmt w:val="bullet"/>
      <w:lvlText w:val="•"/>
      <w:lvlJc w:val="left"/>
      <w:pPr>
        <w:ind w:left="3274" w:hanging="360"/>
      </w:pPr>
      <w:rPr>
        <w:rFonts w:hint="default"/>
      </w:rPr>
    </w:lvl>
    <w:lvl w:ilvl="4" w:tplc="F90AA8C2">
      <w:start w:val="1"/>
      <w:numFmt w:val="bullet"/>
      <w:lvlText w:val="•"/>
      <w:lvlJc w:val="left"/>
      <w:pPr>
        <w:ind w:left="4152" w:hanging="360"/>
      </w:pPr>
      <w:rPr>
        <w:rFonts w:hint="default"/>
      </w:rPr>
    </w:lvl>
    <w:lvl w:ilvl="5" w:tplc="CDEEE0CA">
      <w:start w:val="1"/>
      <w:numFmt w:val="bullet"/>
      <w:lvlText w:val="•"/>
      <w:lvlJc w:val="left"/>
      <w:pPr>
        <w:ind w:left="5030" w:hanging="360"/>
      </w:pPr>
      <w:rPr>
        <w:rFonts w:hint="default"/>
      </w:rPr>
    </w:lvl>
    <w:lvl w:ilvl="6" w:tplc="4CB6602A">
      <w:start w:val="1"/>
      <w:numFmt w:val="bullet"/>
      <w:lvlText w:val="•"/>
      <w:lvlJc w:val="left"/>
      <w:pPr>
        <w:ind w:left="5908" w:hanging="360"/>
      </w:pPr>
      <w:rPr>
        <w:rFonts w:hint="default"/>
      </w:rPr>
    </w:lvl>
    <w:lvl w:ilvl="7" w:tplc="7FA09F42">
      <w:start w:val="1"/>
      <w:numFmt w:val="bullet"/>
      <w:lvlText w:val="•"/>
      <w:lvlJc w:val="left"/>
      <w:pPr>
        <w:ind w:left="6786" w:hanging="360"/>
      </w:pPr>
      <w:rPr>
        <w:rFonts w:hint="default"/>
      </w:rPr>
    </w:lvl>
    <w:lvl w:ilvl="8" w:tplc="184689D0">
      <w:start w:val="1"/>
      <w:numFmt w:val="bullet"/>
      <w:lvlText w:val="•"/>
      <w:lvlJc w:val="left"/>
      <w:pPr>
        <w:ind w:left="7664" w:hanging="360"/>
      </w:pPr>
      <w:rPr>
        <w:rFonts w:hint="default"/>
      </w:rPr>
    </w:lvl>
  </w:abstractNum>
  <w:abstractNum w:abstractNumId="31" w15:restartNumberingAfterBreak="0">
    <w:nsid w:val="7A4916AF"/>
    <w:multiLevelType w:val="hybridMultilevel"/>
    <w:tmpl w:val="C7C2E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C07BA5"/>
    <w:multiLevelType w:val="hybridMultilevel"/>
    <w:tmpl w:val="570A6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5B2D7A"/>
    <w:multiLevelType w:val="hybridMultilevel"/>
    <w:tmpl w:val="6D0C07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7"/>
  </w:num>
  <w:num w:numId="4">
    <w:abstractNumId w:val="17"/>
  </w:num>
  <w:num w:numId="5">
    <w:abstractNumId w:val="14"/>
  </w:num>
  <w:num w:numId="6">
    <w:abstractNumId w:val="16"/>
  </w:num>
  <w:num w:numId="7">
    <w:abstractNumId w:val="12"/>
  </w:num>
  <w:num w:numId="8">
    <w:abstractNumId w:val="4"/>
  </w:num>
  <w:num w:numId="9">
    <w:abstractNumId w:val="3"/>
  </w:num>
  <w:num w:numId="10">
    <w:abstractNumId w:val="2"/>
  </w:num>
  <w:num w:numId="11">
    <w:abstractNumId w:val="1"/>
  </w:num>
  <w:num w:numId="12">
    <w:abstractNumId w:val="0"/>
  </w:num>
  <w:num w:numId="13">
    <w:abstractNumId w:val="28"/>
  </w:num>
  <w:num w:numId="14">
    <w:abstractNumId w:val="19"/>
  </w:num>
  <w:num w:numId="15">
    <w:abstractNumId w:val="20"/>
  </w:num>
  <w:num w:numId="16">
    <w:abstractNumId w:val="21"/>
  </w:num>
  <w:num w:numId="17">
    <w:abstractNumId w:val="5"/>
  </w:num>
  <w:num w:numId="18">
    <w:abstractNumId w:val="27"/>
  </w:num>
  <w:num w:numId="19">
    <w:abstractNumId w:val="13"/>
  </w:num>
  <w:num w:numId="20">
    <w:abstractNumId w:val="18"/>
  </w:num>
  <w:num w:numId="21">
    <w:abstractNumId w:val="30"/>
  </w:num>
  <w:num w:numId="22">
    <w:abstractNumId w:val="9"/>
  </w:num>
  <w:num w:numId="23">
    <w:abstractNumId w:val="25"/>
  </w:num>
  <w:num w:numId="24">
    <w:abstractNumId w:val="15"/>
  </w:num>
  <w:num w:numId="25">
    <w:abstractNumId w:val="31"/>
  </w:num>
  <w:num w:numId="26">
    <w:abstractNumId w:val="22"/>
  </w:num>
  <w:num w:numId="27">
    <w:abstractNumId w:val="23"/>
  </w:num>
  <w:num w:numId="28">
    <w:abstractNumId w:val="32"/>
  </w:num>
  <w:num w:numId="29">
    <w:abstractNumId w:val="29"/>
  </w:num>
  <w:num w:numId="30">
    <w:abstractNumId w:val="33"/>
  </w:num>
  <w:num w:numId="31">
    <w:abstractNumId w:val="24"/>
  </w:num>
  <w:num w:numId="32">
    <w:abstractNumId w:val="8"/>
  </w:num>
  <w:num w:numId="33">
    <w:abstractNumId w:val="26"/>
  </w:num>
  <w:num w:numId="3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9A"/>
    <w:rsid w:val="00001471"/>
    <w:rsid w:val="00001E31"/>
    <w:rsid w:val="000021BC"/>
    <w:rsid w:val="00003485"/>
    <w:rsid w:val="00003E72"/>
    <w:rsid w:val="000062BC"/>
    <w:rsid w:val="000064D3"/>
    <w:rsid w:val="0000668D"/>
    <w:rsid w:val="00007FF6"/>
    <w:rsid w:val="00013662"/>
    <w:rsid w:val="00021A08"/>
    <w:rsid w:val="00030516"/>
    <w:rsid w:val="00031886"/>
    <w:rsid w:val="00031B75"/>
    <w:rsid w:val="0004004D"/>
    <w:rsid w:val="00041A12"/>
    <w:rsid w:val="00042C4F"/>
    <w:rsid w:val="00044034"/>
    <w:rsid w:val="00050846"/>
    <w:rsid w:val="00051B9D"/>
    <w:rsid w:val="00054705"/>
    <w:rsid w:val="00054DB0"/>
    <w:rsid w:val="00054F74"/>
    <w:rsid w:val="00055A21"/>
    <w:rsid w:val="00057993"/>
    <w:rsid w:val="000604DB"/>
    <w:rsid w:val="00065CD4"/>
    <w:rsid w:val="00067F4B"/>
    <w:rsid w:val="000804CE"/>
    <w:rsid w:val="00083BEF"/>
    <w:rsid w:val="0008662E"/>
    <w:rsid w:val="00092CA6"/>
    <w:rsid w:val="00095635"/>
    <w:rsid w:val="000A30A5"/>
    <w:rsid w:val="000B6A1A"/>
    <w:rsid w:val="000C401F"/>
    <w:rsid w:val="000C571A"/>
    <w:rsid w:val="000D7BD3"/>
    <w:rsid w:val="000E3579"/>
    <w:rsid w:val="000E37D2"/>
    <w:rsid w:val="000E6F74"/>
    <w:rsid w:val="000F67F5"/>
    <w:rsid w:val="00100ED7"/>
    <w:rsid w:val="00101096"/>
    <w:rsid w:val="00103D18"/>
    <w:rsid w:val="00105D62"/>
    <w:rsid w:val="00107938"/>
    <w:rsid w:val="00107980"/>
    <w:rsid w:val="001103B7"/>
    <w:rsid w:val="001121A8"/>
    <w:rsid w:val="00112925"/>
    <w:rsid w:val="00112B3F"/>
    <w:rsid w:val="00112E5B"/>
    <w:rsid w:val="00113EA0"/>
    <w:rsid w:val="001159FD"/>
    <w:rsid w:val="00121B3A"/>
    <w:rsid w:val="001257E5"/>
    <w:rsid w:val="00126D8F"/>
    <w:rsid w:val="001320DC"/>
    <w:rsid w:val="00132BE4"/>
    <w:rsid w:val="00137BF6"/>
    <w:rsid w:val="00137F73"/>
    <w:rsid w:val="001421CE"/>
    <w:rsid w:val="00142B00"/>
    <w:rsid w:val="00145DD3"/>
    <w:rsid w:val="0014651F"/>
    <w:rsid w:val="0014734D"/>
    <w:rsid w:val="00154A6A"/>
    <w:rsid w:val="00155C91"/>
    <w:rsid w:val="00156E48"/>
    <w:rsid w:val="00157277"/>
    <w:rsid w:val="001637B6"/>
    <w:rsid w:val="001714BE"/>
    <w:rsid w:val="00171E79"/>
    <w:rsid w:val="001726CE"/>
    <w:rsid w:val="00174919"/>
    <w:rsid w:val="001750A7"/>
    <w:rsid w:val="00176BA0"/>
    <w:rsid w:val="00182B6F"/>
    <w:rsid w:val="0018348D"/>
    <w:rsid w:val="0018471B"/>
    <w:rsid w:val="00190E85"/>
    <w:rsid w:val="00191AF2"/>
    <w:rsid w:val="00192AC6"/>
    <w:rsid w:val="001B0E15"/>
    <w:rsid w:val="001B1A33"/>
    <w:rsid w:val="001B1CF4"/>
    <w:rsid w:val="001B1F17"/>
    <w:rsid w:val="001B4896"/>
    <w:rsid w:val="001B6BE9"/>
    <w:rsid w:val="001B6E55"/>
    <w:rsid w:val="001B73F7"/>
    <w:rsid w:val="001B7FC9"/>
    <w:rsid w:val="001C3C03"/>
    <w:rsid w:val="001C41B9"/>
    <w:rsid w:val="001C4A54"/>
    <w:rsid w:val="001C55F2"/>
    <w:rsid w:val="001C6339"/>
    <w:rsid w:val="001D23CC"/>
    <w:rsid w:val="001D2530"/>
    <w:rsid w:val="001D3057"/>
    <w:rsid w:val="001D5271"/>
    <w:rsid w:val="001D5FC9"/>
    <w:rsid w:val="001D5FD3"/>
    <w:rsid w:val="001D625F"/>
    <w:rsid w:val="001F094E"/>
    <w:rsid w:val="001F1840"/>
    <w:rsid w:val="0020215B"/>
    <w:rsid w:val="002042BC"/>
    <w:rsid w:val="002106BC"/>
    <w:rsid w:val="0021113A"/>
    <w:rsid w:val="002147E1"/>
    <w:rsid w:val="00214A05"/>
    <w:rsid w:val="00221B59"/>
    <w:rsid w:val="00224450"/>
    <w:rsid w:val="00240D1B"/>
    <w:rsid w:val="00243A31"/>
    <w:rsid w:val="00243ADE"/>
    <w:rsid w:val="00244711"/>
    <w:rsid w:val="00247284"/>
    <w:rsid w:val="002476EE"/>
    <w:rsid w:val="00251BC5"/>
    <w:rsid w:val="00255B1F"/>
    <w:rsid w:val="00260C82"/>
    <w:rsid w:val="00261673"/>
    <w:rsid w:val="00262CD9"/>
    <w:rsid w:val="00265117"/>
    <w:rsid w:val="00271624"/>
    <w:rsid w:val="00275DBF"/>
    <w:rsid w:val="0027724C"/>
    <w:rsid w:val="00281FD5"/>
    <w:rsid w:val="0028341A"/>
    <w:rsid w:val="00286BEB"/>
    <w:rsid w:val="002870DB"/>
    <w:rsid w:val="0029199D"/>
    <w:rsid w:val="00291C8C"/>
    <w:rsid w:val="00292E35"/>
    <w:rsid w:val="00294A15"/>
    <w:rsid w:val="00295C4B"/>
    <w:rsid w:val="00295D2D"/>
    <w:rsid w:val="0029642E"/>
    <w:rsid w:val="00296BAC"/>
    <w:rsid w:val="00296E1B"/>
    <w:rsid w:val="00297051"/>
    <w:rsid w:val="00297704"/>
    <w:rsid w:val="002A0552"/>
    <w:rsid w:val="002A4BCC"/>
    <w:rsid w:val="002A5064"/>
    <w:rsid w:val="002B1775"/>
    <w:rsid w:val="002B1AAB"/>
    <w:rsid w:val="002B1F97"/>
    <w:rsid w:val="002B261C"/>
    <w:rsid w:val="002B5400"/>
    <w:rsid w:val="002B6A8D"/>
    <w:rsid w:val="002C0516"/>
    <w:rsid w:val="002C0F28"/>
    <w:rsid w:val="002C2BB3"/>
    <w:rsid w:val="002C3369"/>
    <w:rsid w:val="002C52FA"/>
    <w:rsid w:val="002C64DF"/>
    <w:rsid w:val="002D2038"/>
    <w:rsid w:val="002D4373"/>
    <w:rsid w:val="002D62BC"/>
    <w:rsid w:val="002D63D9"/>
    <w:rsid w:val="002E209D"/>
    <w:rsid w:val="002E5D5C"/>
    <w:rsid w:val="002F039B"/>
    <w:rsid w:val="002F5236"/>
    <w:rsid w:val="002F5C6E"/>
    <w:rsid w:val="002F6F96"/>
    <w:rsid w:val="0030452B"/>
    <w:rsid w:val="003121CD"/>
    <w:rsid w:val="00314824"/>
    <w:rsid w:val="00314A8A"/>
    <w:rsid w:val="00315AB0"/>
    <w:rsid w:val="00317833"/>
    <w:rsid w:val="00321082"/>
    <w:rsid w:val="00325C88"/>
    <w:rsid w:val="003269EE"/>
    <w:rsid w:val="00326B63"/>
    <w:rsid w:val="003271E4"/>
    <w:rsid w:val="003272FC"/>
    <w:rsid w:val="0032795C"/>
    <w:rsid w:val="00331F6A"/>
    <w:rsid w:val="00332C6A"/>
    <w:rsid w:val="003341F1"/>
    <w:rsid w:val="003368DE"/>
    <w:rsid w:val="00340F0A"/>
    <w:rsid w:val="003427D5"/>
    <w:rsid w:val="0034316D"/>
    <w:rsid w:val="00343757"/>
    <w:rsid w:val="00343E74"/>
    <w:rsid w:val="0034484A"/>
    <w:rsid w:val="003507D2"/>
    <w:rsid w:val="00352BD6"/>
    <w:rsid w:val="00354A27"/>
    <w:rsid w:val="003556AB"/>
    <w:rsid w:val="00361911"/>
    <w:rsid w:val="00362C5A"/>
    <w:rsid w:val="0036357D"/>
    <w:rsid w:val="0036485A"/>
    <w:rsid w:val="00364CD6"/>
    <w:rsid w:val="00365E74"/>
    <w:rsid w:val="00365EA8"/>
    <w:rsid w:val="003672FE"/>
    <w:rsid w:val="00370447"/>
    <w:rsid w:val="00376A8B"/>
    <w:rsid w:val="003812E1"/>
    <w:rsid w:val="00383C60"/>
    <w:rsid w:val="0038717D"/>
    <w:rsid w:val="00391A90"/>
    <w:rsid w:val="00394879"/>
    <w:rsid w:val="00395031"/>
    <w:rsid w:val="003960D6"/>
    <w:rsid w:val="00396174"/>
    <w:rsid w:val="003A13A9"/>
    <w:rsid w:val="003A539F"/>
    <w:rsid w:val="003B255D"/>
    <w:rsid w:val="003B4317"/>
    <w:rsid w:val="003B753E"/>
    <w:rsid w:val="003C080E"/>
    <w:rsid w:val="003C2929"/>
    <w:rsid w:val="003C4BE5"/>
    <w:rsid w:val="003C6DC6"/>
    <w:rsid w:val="003C6E79"/>
    <w:rsid w:val="003D017D"/>
    <w:rsid w:val="003D0D7B"/>
    <w:rsid w:val="003D1056"/>
    <w:rsid w:val="003D4153"/>
    <w:rsid w:val="003E1C80"/>
    <w:rsid w:val="003E1E92"/>
    <w:rsid w:val="003E2202"/>
    <w:rsid w:val="003E3F04"/>
    <w:rsid w:val="003E4BDA"/>
    <w:rsid w:val="003E6DCC"/>
    <w:rsid w:val="003F5CCE"/>
    <w:rsid w:val="003F63AB"/>
    <w:rsid w:val="003F6BC7"/>
    <w:rsid w:val="00405309"/>
    <w:rsid w:val="004053A7"/>
    <w:rsid w:val="00417DF8"/>
    <w:rsid w:val="0042083F"/>
    <w:rsid w:val="004323B1"/>
    <w:rsid w:val="00432FC2"/>
    <w:rsid w:val="00433191"/>
    <w:rsid w:val="004402BD"/>
    <w:rsid w:val="00441016"/>
    <w:rsid w:val="00442481"/>
    <w:rsid w:val="00443352"/>
    <w:rsid w:val="00444939"/>
    <w:rsid w:val="00452447"/>
    <w:rsid w:val="00452AFD"/>
    <w:rsid w:val="00456034"/>
    <w:rsid w:val="00460035"/>
    <w:rsid w:val="004631E8"/>
    <w:rsid w:val="00463B3D"/>
    <w:rsid w:val="00466F87"/>
    <w:rsid w:val="004676F0"/>
    <w:rsid w:val="00472647"/>
    <w:rsid w:val="00475942"/>
    <w:rsid w:val="00476452"/>
    <w:rsid w:val="004779F5"/>
    <w:rsid w:val="00486C8C"/>
    <w:rsid w:val="00486E55"/>
    <w:rsid w:val="00494787"/>
    <w:rsid w:val="00497107"/>
    <w:rsid w:val="004A1702"/>
    <w:rsid w:val="004A333D"/>
    <w:rsid w:val="004A4A05"/>
    <w:rsid w:val="004A4A54"/>
    <w:rsid w:val="004A5EA8"/>
    <w:rsid w:val="004B4CA6"/>
    <w:rsid w:val="004C2FD0"/>
    <w:rsid w:val="004C6630"/>
    <w:rsid w:val="004D07F2"/>
    <w:rsid w:val="004D3C8A"/>
    <w:rsid w:val="004E139A"/>
    <w:rsid w:val="004E28E3"/>
    <w:rsid w:val="004F0CF6"/>
    <w:rsid w:val="004F404F"/>
    <w:rsid w:val="004F4D7B"/>
    <w:rsid w:val="004F6493"/>
    <w:rsid w:val="00506F82"/>
    <w:rsid w:val="005147DF"/>
    <w:rsid w:val="005157D8"/>
    <w:rsid w:val="00520868"/>
    <w:rsid w:val="0052396C"/>
    <w:rsid w:val="00530BCE"/>
    <w:rsid w:val="00534AF6"/>
    <w:rsid w:val="00541CDE"/>
    <w:rsid w:val="005451AD"/>
    <w:rsid w:val="005469E0"/>
    <w:rsid w:val="00550232"/>
    <w:rsid w:val="00553E81"/>
    <w:rsid w:val="00554880"/>
    <w:rsid w:val="00557910"/>
    <w:rsid w:val="00562BE0"/>
    <w:rsid w:val="00563804"/>
    <w:rsid w:val="005730D7"/>
    <w:rsid w:val="00581D7D"/>
    <w:rsid w:val="00585695"/>
    <w:rsid w:val="00585CC8"/>
    <w:rsid w:val="00585E0C"/>
    <w:rsid w:val="00587809"/>
    <w:rsid w:val="00590C11"/>
    <w:rsid w:val="00591110"/>
    <w:rsid w:val="00591258"/>
    <w:rsid w:val="00591C4E"/>
    <w:rsid w:val="0059508B"/>
    <w:rsid w:val="005A430C"/>
    <w:rsid w:val="005A454A"/>
    <w:rsid w:val="005A5C66"/>
    <w:rsid w:val="005A702A"/>
    <w:rsid w:val="005B13AE"/>
    <w:rsid w:val="005B2A88"/>
    <w:rsid w:val="005B7CFC"/>
    <w:rsid w:val="005C0065"/>
    <w:rsid w:val="005C2BB4"/>
    <w:rsid w:val="005C736F"/>
    <w:rsid w:val="005D2056"/>
    <w:rsid w:val="005D5585"/>
    <w:rsid w:val="005E6D29"/>
    <w:rsid w:val="005F02FF"/>
    <w:rsid w:val="005F0573"/>
    <w:rsid w:val="005F21C2"/>
    <w:rsid w:val="005F4524"/>
    <w:rsid w:val="005F464B"/>
    <w:rsid w:val="005F645C"/>
    <w:rsid w:val="005F69D0"/>
    <w:rsid w:val="005F6B69"/>
    <w:rsid w:val="005F73E0"/>
    <w:rsid w:val="005F7DCA"/>
    <w:rsid w:val="006028E5"/>
    <w:rsid w:val="00612E2C"/>
    <w:rsid w:val="00617285"/>
    <w:rsid w:val="0061777E"/>
    <w:rsid w:val="00617EEC"/>
    <w:rsid w:val="00621D3A"/>
    <w:rsid w:val="0062454C"/>
    <w:rsid w:val="006313F3"/>
    <w:rsid w:val="00632052"/>
    <w:rsid w:val="006345F7"/>
    <w:rsid w:val="006355C5"/>
    <w:rsid w:val="0063607D"/>
    <w:rsid w:val="00636841"/>
    <w:rsid w:val="00636B4B"/>
    <w:rsid w:val="0063725C"/>
    <w:rsid w:val="00637E52"/>
    <w:rsid w:val="00642072"/>
    <w:rsid w:val="00643055"/>
    <w:rsid w:val="00643249"/>
    <w:rsid w:val="00643A40"/>
    <w:rsid w:val="006467E9"/>
    <w:rsid w:val="00651AAC"/>
    <w:rsid w:val="00652772"/>
    <w:rsid w:val="00652D17"/>
    <w:rsid w:val="00653485"/>
    <w:rsid w:val="006540AD"/>
    <w:rsid w:val="0065543C"/>
    <w:rsid w:val="0066065B"/>
    <w:rsid w:val="00661E28"/>
    <w:rsid w:val="00666EEF"/>
    <w:rsid w:val="00667EA5"/>
    <w:rsid w:val="00675710"/>
    <w:rsid w:val="006763E2"/>
    <w:rsid w:val="0067768D"/>
    <w:rsid w:val="00677B8B"/>
    <w:rsid w:val="00683128"/>
    <w:rsid w:val="006841F3"/>
    <w:rsid w:val="0068476C"/>
    <w:rsid w:val="00687563"/>
    <w:rsid w:val="0069247A"/>
    <w:rsid w:val="0069346B"/>
    <w:rsid w:val="006A1EF8"/>
    <w:rsid w:val="006A3BF0"/>
    <w:rsid w:val="006A47ED"/>
    <w:rsid w:val="006B3CD9"/>
    <w:rsid w:val="006B4EBF"/>
    <w:rsid w:val="006B546D"/>
    <w:rsid w:val="006B7A31"/>
    <w:rsid w:val="006C156C"/>
    <w:rsid w:val="006C45D0"/>
    <w:rsid w:val="006C6EF7"/>
    <w:rsid w:val="006D2175"/>
    <w:rsid w:val="006D2EF5"/>
    <w:rsid w:val="006D4645"/>
    <w:rsid w:val="006E0E09"/>
    <w:rsid w:val="006E2D41"/>
    <w:rsid w:val="006E3A6E"/>
    <w:rsid w:val="006E6734"/>
    <w:rsid w:val="006E67FF"/>
    <w:rsid w:val="006E7F40"/>
    <w:rsid w:val="006F468F"/>
    <w:rsid w:val="006F4729"/>
    <w:rsid w:val="006F6762"/>
    <w:rsid w:val="006F6AF6"/>
    <w:rsid w:val="007009D3"/>
    <w:rsid w:val="00710299"/>
    <w:rsid w:val="0071280B"/>
    <w:rsid w:val="0071348B"/>
    <w:rsid w:val="00716B84"/>
    <w:rsid w:val="00717425"/>
    <w:rsid w:val="007202D4"/>
    <w:rsid w:val="00721E25"/>
    <w:rsid w:val="00721F4D"/>
    <w:rsid w:val="00731A5A"/>
    <w:rsid w:val="007403A4"/>
    <w:rsid w:val="0074225E"/>
    <w:rsid w:val="00745032"/>
    <w:rsid w:val="00747F6B"/>
    <w:rsid w:val="00753565"/>
    <w:rsid w:val="00755FFF"/>
    <w:rsid w:val="00760B13"/>
    <w:rsid w:val="00761D3A"/>
    <w:rsid w:val="007633BB"/>
    <w:rsid w:val="0076505A"/>
    <w:rsid w:val="007703ED"/>
    <w:rsid w:val="00777918"/>
    <w:rsid w:val="007814F7"/>
    <w:rsid w:val="00782A47"/>
    <w:rsid w:val="00783C3D"/>
    <w:rsid w:val="00787D1C"/>
    <w:rsid w:val="00791E21"/>
    <w:rsid w:val="00795CC0"/>
    <w:rsid w:val="007A6C36"/>
    <w:rsid w:val="007B017E"/>
    <w:rsid w:val="007B305B"/>
    <w:rsid w:val="007B4A20"/>
    <w:rsid w:val="007B53E4"/>
    <w:rsid w:val="007C09B4"/>
    <w:rsid w:val="007C108C"/>
    <w:rsid w:val="007C1D03"/>
    <w:rsid w:val="007C4021"/>
    <w:rsid w:val="007D69B7"/>
    <w:rsid w:val="007E1608"/>
    <w:rsid w:val="007E5605"/>
    <w:rsid w:val="007E659A"/>
    <w:rsid w:val="007E68C2"/>
    <w:rsid w:val="007F03D2"/>
    <w:rsid w:val="007F3748"/>
    <w:rsid w:val="007F4DBF"/>
    <w:rsid w:val="007F6784"/>
    <w:rsid w:val="007F6A34"/>
    <w:rsid w:val="007F75E6"/>
    <w:rsid w:val="00806753"/>
    <w:rsid w:val="00807203"/>
    <w:rsid w:val="00807A52"/>
    <w:rsid w:val="008101D8"/>
    <w:rsid w:val="00824F6A"/>
    <w:rsid w:val="00825619"/>
    <w:rsid w:val="008257C3"/>
    <w:rsid w:val="00825B7F"/>
    <w:rsid w:val="00825D96"/>
    <w:rsid w:val="00830B98"/>
    <w:rsid w:val="00836C78"/>
    <w:rsid w:val="00837C3E"/>
    <w:rsid w:val="008448FA"/>
    <w:rsid w:val="00855265"/>
    <w:rsid w:val="0085692E"/>
    <w:rsid w:val="00865C0E"/>
    <w:rsid w:val="00867797"/>
    <w:rsid w:val="0087013E"/>
    <w:rsid w:val="00872166"/>
    <w:rsid w:val="00876290"/>
    <w:rsid w:val="008768CF"/>
    <w:rsid w:val="00877ECC"/>
    <w:rsid w:val="00881684"/>
    <w:rsid w:val="008839D2"/>
    <w:rsid w:val="008861FC"/>
    <w:rsid w:val="00887811"/>
    <w:rsid w:val="00890E27"/>
    <w:rsid w:val="008920E1"/>
    <w:rsid w:val="008957C6"/>
    <w:rsid w:val="008972BD"/>
    <w:rsid w:val="008A071B"/>
    <w:rsid w:val="008A3D36"/>
    <w:rsid w:val="008A5749"/>
    <w:rsid w:val="008A5C04"/>
    <w:rsid w:val="008A63BA"/>
    <w:rsid w:val="008A689D"/>
    <w:rsid w:val="008A7EF3"/>
    <w:rsid w:val="008B10FB"/>
    <w:rsid w:val="008B175F"/>
    <w:rsid w:val="008B1870"/>
    <w:rsid w:val="008B5067"/>
    <w:rsid w:val="008C279B"/>
    <w:rsid w:val="008C3CD4"/>
    <w:rsid w:val="008C46FD"/>
    <w:rsid w:val="008C5A9B"/>
    <w:rsid w:val="008C5D34"/>
    <w:rsid w:val="008C743E"/>
    <w:rsid w:val="008D0410"/>
    <w:rsid w:val="008D2432"/>
    <w:rsid w:val="008D2C05"/>
    <w:rsid w:val="008D5600"/>
    <w:rsid w:val="008D6C52"/>
    <w:rsid w:val="008D7085"/>
    <w:rsid w:val="008E1814"/>
    <w:rsid w:val="008E1F12"/>
    <w:rsid w:val="008E435F"/>
    <w:rsid w:val="008E60FE"/>
    <w:rsid w:val="008F0428"/>
    <w:rsid w:val="008F0562"/>
    <w:rsid w:val="008F2853"/>
    <w:rsid w:val="008F58DB"/>
    <w:rsid w:val="008F7292"/>
    <w:rsid w:val="00900DB6"/>
    <w:rsid w:val="009013C8"/>
    <w:rsid w:val="00902136"/>
    <w:rsid w:val="009021BA"/>
    <w:rsid w:val="00904589"/>
    <w:rsid w:val="00904B18"/>
    <w:rsid w:val="009053D7"/>
    <w:rsid w:val="00914D23"/>
    <w:rsid w:val="0092159A"/>
    <w:rsid w:val="00922625"/>
    <w:rsid w:val="00924C8B"/>
    <w:rsid w:val="009252BE"/>
    <w:rsid w:val="009263E7"/>
    <w:rsid w:val="00930670"/>
    <w:rsid w:val="00932B9D"/>
    <w:rsid w:val="00933D4C"/>
    <w:rsid w:val="00935162"/>
    <w:rsid w:val="0093651B"/>
    <w:rsid w:val="00937FB1"/>
    <w:rsid w:val="00937FBA"/>
    <w:rsid w:val="00941775"/>
    <w:rsid w:val="009451DF"/>
    <w:rsid w:val="009456D9"/>
    <w:rsid w:val="00945BCB"/>
    <w:rsid w:val="00945D94"/>
    <w:rsid w:val="00947693"/>
    <w:rsid w:val="00954260"/>
    <w:rsid w:val="009549B6"/>
    <w:rsid w:val="00963215"/>
    <w:rsid w:val="00966088"/>
    <w:rsid w:val="00966E66"/>
    <w:rsid w:val="00967885"/>
    <w:rsid w:val="00970613"/>
    <w:rsid w:val="009710C9"/>
    <w:rsid w:val="00971F40"/>
    <w:rsid w:val="00971FE9"/>
    <w:rsid w:val="0097216D"/>
    <w:rsid w:val="00973920"/>
    <w:rsid w:val="00973CF6"/>
    <w:rsid w:val="00975A28"/>
    <w:rsid w:val="00975A34"/>
    <w:rsid w:val="00980923"/>
    <w:rsid w:val="00981F51"/>
    <w:rsid w:val="009820FB"/>
    <w:rsid w:val="00984EC4"/>
    <w:rsid w:val="00985CD2"/>
    <w:rsid w:val="009911AC"/>
    <w:rsid w:val="0099402A"/>
    <w:rsid w:val="00994F57"/>
    <w:rsid w:val="00995EFD"/>
    <w:rsid w:val="009A4719"/>
    <w:rsid w:val="009A5B62"/>
    <w:rsid w:val="009A6793"/>
    <w:rsid w:val="009C4DB7"/>
    <w:rsid w:val="009C7AAA"/>
    <w:rsid w:val="009D00CA"/>
    <w:rsid w:val="009D15DA"/>
    <w:rsid w:val="009D2C58"/>
    <w:rsid w:val="009D5648"/>
    <w:rsid w:val="009D7074"/>
    <w:rsid w:val="009E6153"/>
    <w:rsid w:val="009F0494"/>
    <w:rsid w:val="009F2EAD"/>
    <w:rsid w:val="009F6FB6"/>
    <w:rsid w:val="009F7FC0"/>
    <w:rsid w:val="00A003FE"/>
    <w:rsid w:val="00A02F80"/>
    <w:rsid w:val="00A037B1"/>
    <w:rsid w:val="00A05DE7"/>
    <w:rsid w:val="00A136C8"/>
    <w:rsid w:val="00A15CBC"/>
    <w:rsid w:val="00A17B9C"/>
    <w:rsid w:val="00A216B6"/>
    <w:rsid w:val="00A235A3"/>
    <w:rsid w:val="00A24147"/>
    <w:rsid w:val="00A24B92"/>
    <w:rsid w:val="00A25922"/>
    <w:rsid w:val="00A260E2"/>
    <w:rsid w:val="00A260FA"/>
    <w:rsid w:val="00A415D5"/>
    <w:rsid w:val="00A417DA"/>
    <w:rsid w:val="00A41F37"/>
    <w:rsid w:val="00A4315B"/>
    <w:rsid w:val="00A46B32"/>
    <w:rsid w:val="00A47B40"/>
    <w:rsid w:val="00A52C16"/>
    <w:rsid w:val="00A64439"/>
    <w:rsid w:val="00A653E5"/>
    <w:rsid w:val="00A77A9C"/>
    <w:rsid w:val="00A81983"/>
    <w:rsid w:val="00A81E72"/>
    <w:rsid w:val="00A83012"/>
    <w:rsid w:val="00A8354D"/>
    <w:rsid w:val="00A8577E"/>
    <w:rsid w:val="00A87C92"/>
    <w:rsid w:val="00A928F8"/>
    <w:rsid w:val="00A94543"/>
    <w:rsid w:val="00A9599B"/>
    <w:rsid w:val="00AA40F4"/>
    <w:rsid w:val="00AA7552"/>
    <w:rsid w:val="00AB06D0"/>
    <w:rsid w:val="00AB0F10"/>
    <w:rsid w:val="00AB12A3"/>
    <w:rsid w:val="00AB25D7"/>
    <w:rsid w:val="00AB2C88"/>
    <w:rsid w:val="00AC1416"/>
    <w:rsid w:val="00AC1C62"/>
    <w:rsid w:val="00AC5D11"/>
    <w:rsid w:val="00AC67AC"/>
    <w:rsid w:val="00AC690B"/>
    <w:rsid w:val="00AD3674"/>
    <w:rsid w:val="00AE06CA"/>
    <w:rsid w:val="00AE14F8"/>
    <w:rsid w:val="00AE247B"/>
    <w:rsid w:val="00AE28B8"/>
    <w:rsid w:val="00AE4FA4"/>
    <w:rsid w:val="00AF0266"/>
    <w:rsid w:val="00AF0346"/>
    <w:rsid w:val="00AF1CB4"/>
    <w:rsid w:val="00AF35B9"/>
    <w:rsid w:val="00AF4770"/>
    <w:rsid w:val="00AF48E8"/>
    <w:rsid w:val="00AF57E1"/>
    <w:rsid w:val="00AF7858"/>
    <w:rsid w:val="00AF7ED7"/>
    <w:rsid w:val="00B00780"/>
    <w:rsid w:val="00B020AD"/>
    <w:rsid w:val="00B02E43"/>
    <w:rsid w:val="00B0502A"/>
    <w:rsid w:val="00B11EA5"/>
    <w:rsid w:val="00B13B8D"/>
    <w:rsid w:val="00B176F7"/>
    <w:rsid w:val="00B20881"/>
    <w:rsid w:val="00B2426D"/>
    <w:rsid w:val="00B24734"/>
    <w:rsid w:val="00B27C16"/>
    <w:rsid w:val="00B30713"/>
    <w:rsid w:val="00B30B3F"/>
    <w:rsid w:val="00B317A5"/>
    <w:rsid w:val="00B351BA"/>
    <w:rsid w:val="00B363EF"/>
    <w:rsid w:val="00B42647"/>
    <w:rsid w:val="00B43A0B"/>
    <w:rsid w:val="00B44622"/>
    <w:rsid w:val="00B47EB0"/>
    <w:rsid w:val="00B516CC"/>
    <w:rsid w:val="00B53DBE"/>
    <w:rsid w:val="00B5568E"/>
    <w:rsid w:val="00B57AA1"/>
    <w:rsid w:val="00B62FA3"/>
    <w:rsid w:val="00B67A48"/>
    <w:rsid w:val="00B7219F"/>
    <w:rsid w:val="00B772AC"/>
    <w:rsid w:val="00B807C5"/>
    <w:rsid w:val="00B82819"/>
    <w:rsid w:val="00B86CD8"/>
    <w:rsid w:val="00B90DDE"/>
    <w:rsid w:val="00B941BE"/>
    <w:rsid w:val="00B942D4"/>
    <w:rsid w:val="00B970E1"/>
    <w:rsid w:val="00BA2EC8"/>
    <w:rsid w:val="00BA6081"/>
    <w:rsid w:val="00BB1906"/>
    <w:rsid w:val="00BB5432"/>
    <w:rsid w:val="00BB5E6A"/>
    <w:rsid w:val="00BC5AEF"/>
    <w:rsid w:val="00BC77CB"/>
    <w:rsid w:val="00BC7B24"/>
    <w:rsid w:val="00BC7FD1"/>
    <w:rsid w:val="00BD41CD"/>
    <w:rsid w:val="00BE0CCB"/>
    <w:rsid w:val="00BE30DB"/>
    <w:rsid w:val="00BF02FD"/>
    <w:rsid w:val="00BF2435"/>
    <w:rsid w:val="00BF4440"/>
    <w:rsid w:val="00BF4595"/>
    <w:rsid w:val="00BF60B1"/>
    <w:rsid w:val="00C017F9"/>
    <w:rsid w:val="00C035A6"/>
    <w:rsid w:val="00C07C5C"/>
    <w:rsid w:val="00C15112"/>
    <w:rsid w:val="00C17E67"/>
    <w:rsid w:val="00C23AEE"/>
    <w:rsid w:val="00C3072B"/>
    <w:rsid w:val="00C36AB3"/>
    <w:rsid w:val="00C403FE"/>
    <w:rsid w:val="00C40BEB"/>
    <w:rsid w:val="00C40E91"/>
    <w:rsid w:val="00C46F0F"/>
    <w:rsid w:val="00C55569"/>
    <w:rsid w:val="00C603F4"/>
    <w:rsid w:val="00C628D4"/>
    <w:rsid w:val="00C6355E"/>
    <w:rsid w:val="00C667D7"/>
    <w:rsid w:val="00C73EDC"/>
    <w:rsid w:val="00C75F6D"/>
    <w:rsid w:val="00C77BDF"/>
    <w:rsid w:val="00C87653"/>
    <w:rsid w:val="00C90A3C"/>
    <w:rsid w:val="00CA1970"/>
    <w:rsid w:val="00CB13AA"/>
    <w:rsid w:val="00CB25F6"/>
    <w:rsid w:val="00CB27F2"/>
    <w:rsid w:val="00CB477B"/>
    <w:rsid w:val="00CB4987"/>
    <w:rsid w:val="00CB61F4"/>
    <w:rsid w:val="00CB6719"/>
    <w:rsid w:val="00CB798B"/>
    <w:rsid w:val="00CC3AA1"/>
    <w:rsid w:val="00CC483C"/>
    <w:rsid w:val="00CC4903"/>
    <w:rsid w:val="00CD3191"/>
    <w:rsid w:val="00CD3BE2"/>
    <w:rsid w:val="00CD639A"/>
    <w:rsid w:val="00CD6A00"/>
    <w:rsid w:val="00CD6F40"/>
    <w:rsid w:val="00CD7E76"/>
    <w:rsid w:val="00CE4784"/>
    <w:rsid w:val="00CE6B5F"/>
    <w:rsid w:val="00CE7AE7"/>
    <w:rsid w:val="00CF2CC0"/>
    <w:rsid w:val="00CF2ED9"/>
    <w:rsid w:val="00CF5D40"/>
    <w:rsid w:val="00CF70FB"/>
    <w:rsid w:val="00CF7923"/>
    <w:rsid w:val="00D01328"/>
    <w:rsid w:val="00D01713"/>
    <w:rsid w:val="00D14AED"/>
    <w:rsid w:val="00D15732"/>
    <w:rsid w:val="00D204A9"/>
    <w:rsid w:val="00D2173C"/>
    <w:rsid w:val="00D225F4"/>
    <w:rsid w:val="00D25467"/>
    <w:rsid w:val="00D30846"/>
    <w:rsid w:val="00D31D34"/>
    <w:rsid w:val="00D326BC"/>
    <w:rsid w:val="00D353F5"/>
    <w:rsid w:val="00D41F53"/>
    <w:rsid w:val="00D4316A"/>
    <w:rsid w:val="00D44A06"/>
    <w:rsid w:val="00D46F5F"/>
    <w:rsid w:val="00D536FE"/>
    <w:rsid w:val="00D53A91"/>
    <w:rsid w:val="00D62267"/>
    <w:rsid w:val="00D66DEB"/>
    <w:rsid w:val="00D7145C"/>
    <w:rsid w:val="00D75A57"/>
    <w:rsid w:val="00D76212"/>
    <w:rsid w:val="00D80ED1"/>
    <w:rsid w:val="00D91ABC"/>
    <w:rsid w:val="00DA16CA"/>
    <w:rsid w:val="00DA6A94"/>
    <w:rsid w:val="00DA78AA"/>
    <w:rsid w:val="00DB1A71"/>
    <w:rsid w:val="00DB7467"/>
    <w:rsid w:val="00DC1B6D"/>
    <w:rsid w:val="00DC3ECE"/>
    <w:rsid w:val="00DC6104"/>
    <w:rsid w:val="00DD1AB6"/>
    <w:rsid w:val="00DD4681"/>
    <w:rsid w:val="00DD570A"/>
    <w:rsid w:val="00DD7412"/>
    <w:rsid w:val="00DE41E0"/>
    <w:rsid w:val="00DE597A"/>
    <w:rsid w:val="00DE5E86"/>
    <w:rsid w:val="00DE6DDA"/>
    <w:rsid w:val="00DE7468"/>
    <w:rsid w:val="00DF240B"/>
    <w:rsid w:val="00DF5209"/>
    <w:rsid w:val="00DF68E1"/>
    <w:rsid w:val="00DF6FAA"/>
    <w:rsid w:val="00E01367"/>
    <w:rsid w:val="00E02674"/>
    <w:rsid w:val="00E05972"/>
    <w:rsid w:val="00E06AFC"/>
    <w:rsid w:val="00E10EEA"/>
    <w:rsid w:val="00E11E94"/>
    <w:rsid w:val="00E11F1D"/>
    <w:rsid w:val="00E13737"/>
    <w:rsid w:val="00E1501D"/>
    <w:rsid w:val="00E20C47"/>
    <w:rsid w:val="00E31F8E"/>
    <w:rsid w:val="00E33D7C"/>
    <w:rsid w:val="00E34962"/>
    <w:rsid w:val="00E34B82"/>
    <w:rsid w:val="00E362D1"/>
    <w:rsid w:val="00E36B36"/>
    <w:rsid w:val="00E4558F"/>
    <w:rsid w:val="00E47138"/>
    <w:rsid w:val="00E508A1"/>
    <w:rsid w:val="00E533FB"/>
    <w:rsid w:val="00E60520"/>
    <w:rsid w:val="00E66FC8"/>
    <w:rsid w:val="00E717EC"/>
    <w:rsid w:val="00E721DD"/>
    <w:rsid w:val="00E72FB4"/>
    <w:rsid w:val="00E73F7C"/>
    <w:rsid w:val="00E75167"/>
    <w:rsid w:val="00E7586C"/>
    <w:rsid w:val="00E771A1"/>
    <w:rsid w:val="00E81781"/>
    <w:rsid w:val="00E82E09"/>
    <w:rsid w:val="00E91814"/>
    <w:rsid w:val="00E92EA0"/>
    <w:rsid w:val="00EA4365"/>
    <w:rsid w:val="00EB1302"/>
    <w:rsid w:val="00EB4D43"/>
    <w:rsid w:val="00EB5FB2"/>
    <w:rsid w:val="00EB7827"/>
    <w:rsid w:val="00EC2007"/>
    <w:rsid w:val="00EC2C85"/>
    <w:rsid w:val="00ED0270"/>
    <w:rsid w:val="00ED57CB"/>
    <w:rsid w:val="00ED614A"/>
    <w:rsid w:val="00ED662A"/>
    <w:rsid w:val="00ED7288"/>
    <w:rsid w:val="00ED7ABC"/>
    <w:rsid w:val="00ED7F75"/>
    <w:rsid w:val="00EE01A0"/>
    <w:rsid w:val="00EE0648"/>
    <w:rsid w:val="00EE22A9"/>
    <w:rsid w:val="00EE5DC6"/>
    <w:rsid w:val="00EF15DF"/>
    <w:rsid w:val="00EF21D4"/>
    <w:rsid w:val="00EF3605"/>
    <w:rsid w:val="00EF4B91"/>
    <w:rsid w:val="00F05654"/>
    <w:rsid w:val="00F07F07"/>
    <w:rsid w:val="00F100FA"/>
    <w:rsid w:val="00F1074E"/>
    <w:rsid w:val="00F14C62"/>
    <w:rsid w:val="00F217F4"/>
    <w:rsid w:val="00F22CD6"/>
    <w:rsid w:val="00F2472D"/>
    <w:rsid w:val="00F31239"/>
    <w:rsid w:val="00F3636A"/>
    <w:rsid w:val="00F3761C"/>
    <w:rsid w:val="00F45FFC"/>
    <w:rsid w:val="00F518BD"/>
    <w:rsid w:val="00F52CCB"/>
    <w:rsid w:val="00F55E93"/>
    <w:rsid w:val="00F60C18"/>
    <w:rsid w:val="00F6536F"/>
    <w:rsid w:val="00F84D67"/>
    <w:rsid w:val="00F87C54"/>
    <w:rsid w:val="00F90DBC"/>
    <w:rsid w:val="00F94C00"/>
    <w:rsid w:val="00F94C85"/>
    <w:rsid w:val="00F973EC"/>
    <w:rsid w:val="00FA3505"/>
    <w:rsid w:val="00FA45E3"/>
    <w:rsid w:val="00FA4953"/>
    <w:rsid w:val="00FA51D5"/>
    <w:rsid w:val="00FB20C0"/>
    <w:rsid w:val="00FB2218"/>
    <w:rsid w:val="00FB26A4"/>
    <w:rsid w:val="00FB2C8B"/>
    <w:rsid w:val="00FB2FED"/>
    <w:rsid w:val="00FC582A"/>
    <w:rsid w:val="00FC5D4F"/>
    <w:rsid w:val="00FC5D52"/>
    <w:rsid w:val="00FC6E9D"/>
    <w:rsid w:val="00FD1E35"/>
    <w:rsid w:val="00FD25C0"/>
    <w:rsid w:val="00FD29E1"/>
    <w:rsid w:val="00FD6E1D"/>
    <w:rsid w:val="00FE08EC"/>
    <w:rsid w:val="00FE281F"/>
    <w:rsid w:val="00FE40A4"/>
    <w:rsid w:val="00FE4587"/>
    <w:rsid w:val="00FE60B4"/>
    <w:rsid w:val="00FF029B"/>
    <w:rsid w:val="00FF4EF6"/>
    <w:rsid w:val="00FF561E"/>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A53C1A"/>
  <w15:docId w15:val="{D9055311-C828-47A3-A565-5E17E93C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iPriority="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824"/>
    <w:pPr>
      <w:spacing w:after="240"/>
      <w:jc w:val="both"/>
    </w:pPr>
    <w:rPr>
      <w:sz w:val="24"/>
      <w:lang w:val="en-GB"/>
    </w:rPr>
  </w:style>
  <w:style w:type="paragraph" w:styleId="Heading1">
    <w:name w:val="heading 1"/>
    <w:basedOn w:val="Normal"/>
    <w:next w:val="Normal"/>
    <w:link w:val="Heading1Char"/>
    <w:uiPriority w:val="1"/>
    <w:qFormat/>
    <w:rsid w:val="00244711"/>
    <w:pPr>
      <w:keepNext/>
      <w:spacing w:before="360" w:line="280" w:lineRule="exact"/>
      <w:outlineLvl w:val="0"/>
    </w:pPr>
    <w:rPr>
      <w:b/>
      <w:caps/>
      <w:kern w:val="28"/>
      <w:sz w:val="28"/>
    </w:rPr>
  </w:style>
  <w:style w:type="paragraph" w:styleId="Heading2">
    <w:name w:val="heading 2"/>
    <w:basedOn w:val="Normal"/>
    <w:next w:val="Normal"/>
    <w:link w:val="Heading2Char"/>
    <w:uiPriority w:val="1"/>
    <w:qFormat/>
    <w:rsid w:val="00244711"/>
    <w:pPr>
      <w:keepNext/>
      <w:spacing w:before="240" w:after="120" w:line="280" w:lineRule="exact"/>
      <w:outlineLvl w:val="1"/>
    </w:pPr>
    <w:rPr>
      <w:b/>
    </w:rPr>
  </w:style>
  <w:style w:type="paragraph" w:styleId="Heading3">
    <w:name w:val="heading 3"/>
    <w:basedOn w:val="Normal"/>
    <w:next w:val="Normal"/>
    <w:link w:val="Heading3Char"/>
    <w:uiPriority w:val="1"/>
    <w:qFormat/>
    <w:rsid w:val="00244711"/>
    <w:pPr>
      <w:keepNext/>
      <w:spacing w:before="120" w:after="120"/>
      <w:outlineLvl w:val="2"/>
    </w:pPr>
    <w:rPr>
      <w:b/>
      <w:i/>
      <w:iCs/>
    </w:rPr>
  </w:style>
  <w:style w:type="paragraph" w:styleId="Heading4">
    <w:name w:val="heading 4"/>
    <w:basedOn w:val="Normal"/>
    <w:next w:val="Normal"/>
    <w:link w:val="Heading4Char"/>
    <w:rsid w:val="00244711"/>
    <w:pPr>
      <w:keepNext/>
      <w:outlineLvl w:val="3"/>
    </w:pPr>
    <w:rPr>
      <w:i/>
      <w:iCs/>
    </w:rPr>
  </w:style>
  <w:style w:type="paragraph" w:styleId="Heading5">
    <w:name w:val="heading 5"/>
    <w:basedOn w:val="Normal"/>
    <w:next w:val="Normal"/>
    <w:rsid w:val="00244711"/>
    <w:pPr>
      <w:spacing w:before="240" w:after="60"/>
      <w:outlineLvl w:val="4"/>
    </w:pPr>
    <w:rPr>
      <w:b/>
      <w:bCs/>
      <w:i/>
      <w:iCs/>
      <w:sz w:val="26"/>
      <w:szCs w:val="26"/>
    </w:rPr>
  </w:style>
  <w:style w:type="paragraph" w:styleId="Heading6">
    <w:name w:val="heading 6"/>
    <w:basedOn w:val="Normal"/>
    <w:next w:val="Normal"/>
    <w:rsid w:val="00945BCB"/>
    <w:pPr>
      <w:keepNext/>
      <w:outlineLvl w:val="5"/>
    </w:pPr>
    <w:rPr>
      <w:rFonts w:ascii="Times" w:hAnsi="Times"/>
      <w:b/>
      <w:color w:val="3366FF"/>
      <w:sz w:val="22"/>
      <w:u w:val="double"/>
    </w:rPr>
  </w:style>
  <w:style w:type="paragraph" w:styleId="Heading7">
    <w:name w:val="heading 7"/>
    <w:basedOn w:val="Normal"/>
    <w:next w:val="Normal"/>
    <w:rsid w:val="00945BCB"/>
    <w:pPr>
      <w:keepNext/>
      <w:outlineLvl w:val="6"/>
    </w:pPr>
    <w:rPr>
      <w:rFonts w:ascii="Times" w:hAnsi="Times"/>
      <w:bCs/>
      <w:color w:val="3366FF"/>
      <w:sz w:val="22"/>
      <w:u w:val="double"/>
    </w:rPr>
  </w:style>
  <w:style w:type="paragraph" w:styleId="Heading8">
    <w:name w:val="heading 8"/>
    <w:basedOn w:val="Normal"/>
    <w:next w:val="Normal"/>
    <w:rsid w:val="00945BCB"/>
    <w:pPr>
      <w:keepNext/>
      <w:outlineLvl w:val="7"/>
    </w:pPr>
    <w:rPr>
      <w:b/>
      <w:sz w:val="22"/>
    </w:rPr>
  </w:style>
  <w:style w:type="paragraph" w:styleId="Heading9">
    <w:name w:val="heading 9"/>
    <w:basedOn w:val="Normal"/>
    <w:next w:val="Normal"/>
    <w:rsid w:val="00945BCB"/>
    <w:pPr>
      <w:keepNext/>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243A31"/>
  </w:style>
  <w:style w:type="paragraph" w:customStyle="1" w:styleId="CLDBulletList">
    <w:name w:val="CLD Bullet List"/>
    <w:basedOn w:val="CLDNormal"/>
    <w:rsid w:val="00534AF6"/>
    <w:pPr>
      <w:numPr>
        <w:numId w:val="1"/>
      </w:numPr>
      <w:spacing w:before="20" w:after="20"/>
    </w:pPr>
    <w:rPr>
      <w:color w:val="7030A0"/>
    </w:rPr>
  </w:style>
  <w:style w:type="paragraph" w:customStyle="1" w:styleId="Figure">
    <w:name w:val="Figure"/>
    <w:basedOn w:val="Normal"/>
    <w:next w:val="Normal"/>
    <w:semiHidden/>
    <w:rsid w:val="00244711"/>
    <w:pPr>
      <w:spacing w:before="240" w:after="360"/>
    </w:pPr>
    <w:rPr>
      <w:color w:val="000000"/>
    </w:rPr>
  </w:style>
  <w:style w:type="paragraph" w:customStyle="1" w:styleId="CLDFigure">
    <w:name w:val="CLD Figure"/>
    <w:basedOn w:val="Figure"/>
    <w:uiPriority w:val="7"/>
    <w:qFormat/>
    <w:rsid w:val="00244711"/>
  </w:style>
  <w:style w:type="paragraph" w:styleId="Footer">
    <w:name w:val="footer"/>
    <w:basedOn w:val="Normal"/>
    <w:link w:val="FooterChar"/>
    <w:rsid w:val="00244711"/>
    <w:pPr>
      <w:pBdr>
        <w:top w:val="single" w:sz="6" w:space="1" w:color="auto"/>
      </w:pBdr>
      <w:tabs>
        <w:tab w:val="left" w:pos="9923"/>
      </w:tabs>
      <w:spacing w:after="0" w:line="280" w:lineRule="exact"/>
      <w:jc w:val="left"/>
    </w:pPr>
    <w:rPr>
      <w:sz w:val="20"/>
    </w:rPr>
  </w:style>
  <w:style w:type="character" w:customStyle="1" w:styleId="FooterChar">
    <w:name w:val="Footer Char"/>
    <w:link w:val="Footer"/>
    <w:rsid w:val="00244711"/>
    <w:rPr>
      <w:lang w:val="en-GB"/>
    </w:rPr>
  </w:style>
  <w:style w:type="paragraph" w:customStyle="1" w:styleId="CLDFooter">
    <w:name w:val="CLD Footer"/>
    <w:basedOn w:val="Footer"/>
    <w:uiPriority w:val="7"/>
    <w:qFormat/>
    <w:rsid w:val="00244711"/>
    <w:pPr>
      <w:tabs>
        <w:tab w:val="clear" w:pos="9923"/>
        <w:tab w:val="right" w:pos="8800"/>
      </w:tabs>
      <w:spacing w:line="240" w:lineRule="auto"/>
    </w:pPr>
  </w:style>
  <w:style w:type="paragraph" w:customStyle="1" w:styleId="CLDHeading1">
    <w:name w:val="CLD Heading 1"/>
    <w:basedOn w:val="Heading1"/>
    <w:uiPriority w:val="2"/>
    <w:qFormat/>
    <w:rsid w:val="00643055"/>
    <w:pPr>
      <w:spacing w:line="240" w:lineRule="auto"/>
      <w:ind w:left="426" w:hanging="426"/>
    </w:pPr>
  </w:style>
  <w:style w:type="paragraph" w:customStyle="1" w:styleId="CLDHeading2">
    <w:name w:val="CLD Heading 2"/>
    <w:basedOn w:val="Heading2"/>
    <w:uiPriority w:val="3"/>
    <w:qFormat/>
    <w:rsid w:val="00755FFF"/>
    <w:pPr>
      <w:spacing w:before="360" w:after="240" w:line="240" w:lineRule="auto"/>
      <w:ind w:left="426" w:hanging="426"/>
    </w:pPr>
    <w:rPr>
      <w:rFonts w:ascii="Times New Roman Bold" w:hAnsi="Times New Roman Bold"/>
      <w:sz w:val="28"/>
      <w:szCs w:val="28"/>
    </w:rPr>
  </w:style>
  <w:style w:type="paragraph" w:customStyle="1" w:styleId="CLDHeading3">
    <w:name w:val="CLD Heading 3"/>
    <w:basedOn w:val="CLDHeading2"/>
    <w:uiPriority w:val="4"/>
    <w:qFormat/>
    <w:rsid w:val="00643055"/>
    <w:pPr>
      <w:spacing w:before="240"/>
    </w:pPr>
    <w:rPr>
      <w:sz w:val="24"/>
    </w:rPr>
  </w:style>
  <w:style w:type="paragraph" w:customStyle="1" w:styleId="CLDHeading4">
    <w:name w:val="CLD Heading 4"/>
    <w:basedOn w:val="Heading4"/>
    <w:uiPriority w:val="5"/>
    <w:qFormat/>
    <w:rsid w:val="00B57AA1"/>
    <w:pPr>
      <w:spacing w:before="120" w:after="120"/>
    </w:pPr>
    <w:rPr>
      <w:rFonts w:ascii="Times New Roman Bold" w:hAnsi="Times New Roman Bold"/>
      <w:b/>
    </w:rPr>
  </w:style>
  <w:style w:type="paragraph" w:customStyle="1" w:styleId="CLDNormalBold">
    <w:name w:val="CLD Normal Bold"/>
    <w:basedOn w:val="CLDNormal"/>
    <w:rsid w:val="00244711"/>
    <w:rPr>
      <w:b/>
    </w:rPr>
  </w:style>
  <w:style w:type="paragraph" w:customStyle="1" w:styleId="CLDNumberList">
    <w:name w:val="CLD Number List"/>
    <w:basedOn w:val="CLDNormal"/>
    <w:rsid w:val="00244711"/>
    <w:pPr>
      <w:numPr>
        <w:numId w:val="2"/>
      </w:numPr>
    </w:pPr>
  </w:style>
  <w:style w:type="character" w:customStyle="1" w:styleId="Heading4Char">
    <w:name w:val="Heading 4 Char"/>
    <w:link w:val="Heading4"/>
    <w:rsid w:val="00EB4D43"/>
    <w:rPr>
      <w:i/>
      <w:iCs/>
      <w:sz w:val="24"/>
      <w:lang w:val="en-GB"/>
    </w:rPr>
  </w:style>
  <w:style w:type="paragraph" w:customStyle="1" w:styleId="FigureFootnote">
    <w:name w:val="Figure Footnote"/>
    <w:basedOn w:val="Normal"/>
    <w:next w:val="Normal"/>
    <w:semiHidden/>
    <w:rsid w:val="00244711"/>
    <w:pPr>
      <w:spacing w:before="240" w:after="360"/>
    </w:pPr>
    <w:rPr>
      <w:color w:val="000000"/>
    </w:rPr>
  </w:style>
  <w:style w:type="paragraph" w:customStyle="1" w:styleId="TableFootnote">
    <w:name w:val="Table Footnote"/>
    <w:basedOn w:val="FigureFootnote"/>
    <w:next w:val="Normal"/>
    <w:semiHidden/>
    <w:rsid w:val="00244711"/>
    <w:pPr>
      <w:spacing w:before="0" w:after="0"/>
      <w:jc w:val="left"/>
    </w:pPr>
    <w:rPr>
      <w:sz w:val="20"/>
      <w:szCs w:val="24"/>
    </w:rPr>
  </w:style>
  <w:style w:type="paragraph" w:customStyle="1" w:styleId="CLDTableFootnote">
    <w:name w:val="CLD Table Footnote"/>
    <w:basedOn w:val="TableFootnote"/>
    <w:uiPriority w:val="7"/>
    <w:qFormat/>
    <w:rsid w:val="00244711"/>
    <w:pPr>
      <w:spacing w:before="40"/>
    </w:pPr>
  </w:style>
  <w:style w:type="paragraph" w:customStyle="1" w:styleId="TableSpace">
    <w:name w:val="Table Space"/>
    <w:basedOn w:val="Figure"/>
    <w:next w:val="Normal"/>
    <w:semiHidden/>
    <w:rsid w:val="00244711"/>
    <w:pPr>
      <w:spacing w:before="0" w:after="480"/>
      <w:jc w:val="left"/>
    </w:pPr>
    <w:rPr>
      <w:szCs w:val="24"/>
    </w:rPr>
  </w:style>
  <w:style w:type="paragraph" w:customStyle="1" w:styleId="CLDTableSpaceListSpace">
    <w:name w:val="CLD Table Space/List Space"/>
    <w:basedOn w:val="TableSpace"/>
    <w:uiPriority w:val="7"/>
    <w:qFormat/>
    <w:rsid w:val="00244711"/>
    <w:pPr>
      <w:spacing w:after="120"/>
    </w:pPr>
  </w:style>
  <w:style w:type="paragraph" w:customStyle="1" w:styleId="TableText">
    <w:name w:val="Table Text"/>
    <w:basedOn w:val="Figure"/>
    <w:semiHidden/>
    <w:rsid w:val="00244711"/>
    <w:pPr>
      <w:spacing w:before="0" w:after="0"/>
      <w:jc w:val="left"/>
    </w:pPr>
    <w:rPr>
      <w:snapToGrid w:val="0"/>
      <w:szCs w:val="24"/>
    </w:rPr>
  </w:style>
  <w:style w:type="paragraph" w:styleId="Revision">
    <w:name w:val="Revision"/>
    <w:hidden/>
    <w:uiPriority w:val="99"/>
    <w:semiHidden/>
    <w:rsid w:val="00361911"/>
    <w:rPr>
      <w:sz w:val="24"/>
      <w:lang w:val="en-AU"/>
    </w:rPr>
  </w:style>
  <w:style w:type="paragraph" w:customStyle="1" w:styleId="CLDTableTextListText">
    <w:name w:val="CLD Table Text/List Text"/>
    <w:basedOn w:val="TableText"/>
    <w:uiPriority w:val="7"/>
    <w:qFormat/>
    <w:rsid w:val="00132BE4"/>
    <w:pPr>
      <w:spacing w:before="20" w:after="20"/>
    </w:pPr>
  </w:style>
  <w:style w:type="paragraph" w:customStyle="1" w:styleId="FigureTitle">
    <w:name w:val="Figure Title"/>
    <w:basedOn w:val="Normal"/>
    <w:next w:val="Figure"/>
    <w:semiHidden/>
    <w:rsid w:val="00244711"/>
    <w:pPr>
      <w:keepNext/>
      <w:spacing w:before="360"/>
    </w:pPr>
    <w:rPr>
      <w:b/>
      <w:color w:val="000000"/>
    </w:rPr>
  </w:style>
  <w:style w:type="paragraph" w:customStyle="1" w:styleId="TableTitle">
    <w:name w:val="Table Title"/>
    <w:basedOn w:val="FigureTitle"/>
    <w:next w:val="TableText"/>
    <w:semiHidden/>
    <w:rsid w:val="00244711"/>
    <w:pPr>
      <w:spacing w:after="0"/>
      <w:jc w:val="left"/>
    </w:pPr>
    <w:rPr>
      <w:szCs w:val="24"/>
    </w:rPr>
  </w:style>
  <w:style w:type="paragraph" w:customStyle="1" w:styleId="CLDTableTitle">
    <w:name w:val="CLD Table Title"/>
    <w:basedOn w:val="TableTitle"/>
    <w:uiPriority w:val="7"/>
    <w:qFormat/>
    <w:rsid w:val="00244711"/>
    <w:pPr>
      <w:keepLines/>
      <w:spacing w:before="120"/>
    </w:pPr>
  </w:style>
  <w:style w:type="paragraph" w:customStyle="1" w:styleId="CLDTITLE">
    <w:name w:val="CLD TITLE"/>
    <w:basedOn w:val="Normal"/>
    <w:qFormat/>
    <w:rsid w:val="00D01328"/>
    <w:pPr>
      <w:outlineLvl w:val="0"/>
    </w:pPr>
    <w:rPr>
      <w:b/>
      <w:kern w:val="28"/>
      <w:sz w:val="40"/>
    </w:rPr>
  </w:style>
  <w:style w:type="character" w:customStyle="1" w:styleId="CLDTradename">
    <w:name w:val="CLD Tradename"/>
    <w:rsid w:val="00244711"/>
    <w:rPr>
      <w:b/>
      <w:sz w:val="32"/>
      <w:lang w:val="en-GB" w:eastAsia="en-US"/>
    </w:rPr>
  </w:style>
  <w:style w:type="character" w:styleId="CommentReference">
    <w:name w:val="annotation reference"/>
    <w:uiPriority w:val="99"/>
    <w:rsid w:val="00244711"/>
    <w:rPr>
      <w:sz w:val="16"/>
      <w:szCs w:val="16"/>
    </w:rPr>
  </w:style>
  <w:style w:type="character" w:styleId="PageNumber">
    <w:name w:val="page number"/>
    <w:rsid w:val="00244711"/>
  </w:style>
  <w:style w:type="table" w:styleId="TableGrid">
    <w:name w:val="Table Grid"/>
    <w:basedOn w:val="TableNormal"/>
    <w:uiPriority w:val="59"/>
    <w:rsid w:val="0024471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244711"/>
    <w:pPr>
      <w:keepNext/>
    </w:pPr>
    <w:rPr>
      <w:b/>
      <w:bCs/>
    </w:rPr>
  </w:style>
  <w:style w:type="paragraph" w:customStyle="1" w:styleId="TableTitleCont">
    <w:name w:val="Table Title Cont"/>
    <w:basedOn w:val="TableTitle"/>
    <w:next w:val="TableText"/>
    <w:semiHidden/>
    <w:rsid w:val="00244711"/>
    <w:pPr>
      <w:spacing w:before="0"/>
    </w:pPr>
    <w:rPr>
      <w:b w:val="0"/>
    </w:rPr>
  </w:style>
  <w:style w:type="paragraph" w:styleId="CommentText">
    <w:name w:val="annotation text"/>
    <w:basedOn w:val="Normal"/>
    <w:link w:val="CommentTextChar"/>
    <w:uiPriority w:val="99"/>
    <w:rsid w:val="00D01713"/>
    <w:rPr>
      <w:sz w:val="20"/>
    </w:rPr>
  </w:style>
  <w:style w:type="character" w:customStyle="1" w:styleId="CommentTextChar">
    <w:name w:val="Comment Text Char"/>
    <w:basedOn w:val="DefaultParagraphFont"/>
    <w:link w:val="CommentText"/>
    <w:uiPriority w:val="99"/>
    <w:rsid w:val="00D01713"/>
    <w:rPr>
      <w:lang w:val="en-GB"/>
    </w:rPr>
  </w:style>
  <w:style w:type="paragraph" w:styleId="CommentSubject">
    <w:name w:val="annotation subject"/>
    <w:basedOn w:val="CommentText"/>
    <w:next w:val="CommentText"/>
    <w:link w:val="CommentSubjectChar"/>
    <w:uiPriority w:val="99"/>
    <w:rsid w:val="00D01713"/>
    <w:rPr>
      <w:b/>
      <w:bCs/>
    </w:rPr>
  </w:style>
  <w:style w:type="character" w:customStyle="1" w:styleId="CommentSubjectChar">
    <w:name w:val="Comment Subject Char"/>
    <w:basedOn w:val="CommentTextChar"/>
    <w:link w:val="CommentSubject"/>
    <w:uiPriority w:val="99"/>
    <w:rsid w:val="00D01713"/>
    <w:rPr>
      <w:b/>
      <w:bCs/>
      <w:lang w:val="en-GB"/>
    </w:rPr>
  </w:style>
  <w:style w:type="character" w:styleId="Hyperlink">
    <w:name w:val="Hyperlink"/>
    <w:basedOn w:val="DefaultParagraphFont"/>
    <w:rsid w:val="00BF02FD"/>
    <w:rPr>
      <w:color w:val="0000FF" w:themeColor="hyperlink"/>
      <w:u w:val="single"/>
    </w:rPr>
  </w:style>
  <w:style w:type="character" w:styleId="FollowedHyperlink">
    <w:name w:val="FollowedHyperlink"/>
    <w:basedOn w:val="DefaultParagraphFont"/>
    <w:uiPriority w:val="99"/>
    <w:rsid w:val="00FD6E1D"/>
    <w:rPr>
      <w:color w:val="800080" w:themeColor="followedHyperlink"/>
      <w:u w:val="single"/>
    </w:rPr>
  </w:style>
  <w:style w:type="paragraph" w:styleId="BalloonText">
    <w:name w:val="Balloon Text"/>
    <w:basedOn w:val="Normal"/>
    <w:link w:val="BalloonTextChar"/>
    <w:uiPriority w:val="99"/>
    <w:rsid w:val="00643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43055"/>
    <w:rPr>
      <w:rFonts w:ascii="Tahoma" w:hAnsi="Tahoma" w:cs="Tahoma"/>
      <w:sz w:val="16"/>
      <w:szCs w:val="16"/>
      <w:lang w:val="en-GB"/>
    </w:rPr>
  </w:style>
  <w:style w:type="paragraph" w:customStyle="1" w:styleId="Default">
    <w:name w:val="Default"/>
    <w:rsid w:val="00ED662A"/>
    <w:pPr>
      <w:autoSpaceDE w:val="0"/>
      <w:autoSpaceDN w:val="0"/>
      <w:adjustRightInd w:val="0"/>
    </w:pPr>
    <w:rPr>
      <w:rFonts w:ascii="Cambria" w:hAnsi="Cambria" w:cs="Cambria"/>
      <w:color w:val="000000"/>
      <w:sz w:val="24"/>
      <w:szCs w:val="24"/>
    </w:rPr>
  </w:style>
  <w:style w:type="paragraph" w:styleId="Header">
    <w:name w:val="header"/>
    <w:basedOn w:val="Normal"/>
    <w:link w:val="HeaderChar"/>
    <w:uiPriority w:val="99"/>
    <w:rsid w:val="00030516"/>
    <w:pPr>
      <w:tabs>
        <w:tab w:val="center" w:pos="4513"/>
        <w:tab w:val="right" w:pos="9026"/>
      </w:tabs>
      <w:spacing w:after="0"/>
    </w:pPr>
  </w:style>
  <w:style w:type="character" w:customStyle="1" w:styleId="HeaderChar">
    <w:name w:val="Header Char"/>
    <w:basedOn w:val="DefaultParagraphFont"/>
    <w:link w:val="Header"/>
    <w:uiPriority w:val="99"/>
    <w:rsid w:val="00030516"/>
    <w:rPr>
      <w:sz w:val="24"/>
      <w:lang w:val="en-GB"/>
    </w:rPr>
  </w:style>
  <w:style w:type="paragraph" w:styleId="BodyText">
    <w:name w:val="Body Text"/>
    <w:basedOn w:val="Normal"/>
    <w:link w:val="BodyTextChar"/>
    <w:uiPriority w:val="1"/>
    <w:qFormat/>
    <w:rsid w:val="006028E5"/>
    <w:pPr>
      <w:widowControl w:val="0"/>
      <w:spacing w:after="0"/>
      <w:ind w:left="147"/>
      <w:jc w:val="left"/>
    </w:pPr>
    <w:rPr>
      <w:rFonts w:cstheme="minorBidi"/>
      <w:szCs w:val="24"/>
      <w:lang w:val="en-US"/>
    </w:rPr>
  </w:style>
  <w:style w:type="character" w:customStyle="1" w:styleId="BodyTextChar">
    <w:name w:val="Body Text Char"/>
    <w:basedOn w:val="DefaultParagraphFont"/>
    <w:link w:val="BodyText"/>
    <w:uiPriority w:val="1"/>
    <w:rsid w:val="006028E5"/>
    <w:rPr>
      <w:rFonts w:cstheme="minorBidi"/>
      <w:sz w:val="24"/>
      <w:szCs w:val="24"/>
    </w:rPr>
  </w:style>
  <w:style w:type="paragraph" w:styleId="ListParagraph">
    <w:name w:val="List Paragraph"/>
    <w:basedOn w:val="Normal"/>
    <w:uiPriority w:val="1"/>
    <w:qFormat/>
    <w:rsid w:val="006028E5"/>
    <w:pPr>
      <w:widowControl w:val="0"/>
      <w:spacing w:after="0"/>
      <w:jc w:val="left"/>
    </w:pPr>
    <w:rPr>
      <w:rFonts w:asciiTheme="minorHAnsi" w:eastAsiaTheme="minorHAnsi" w:hAnsiTheme="minorHAnsi" w:cstheme="minorBidi"/>
      <w:sz w:val="22"/>
      <w:szCs w:val="22"/>
      <w:lang w:val="en-US"/>
    </w:rPr>
  </w:style>
  <w:style w:type="paragraph" w:customStyle="1" w:styleId="TableParagraph">
    <w:name w:val="Table Paragraph"/>
    <w:basedOn w:val="Normal"/>
    <w:uiPriority w:val="1"/>
    <w:qFormat/>
    <w:rsid w:val="006028E5"/>
    <w:pPr>
      <w:widowControl w:val="0"/>
      <w:spacing w:after="0"/>
      <w:jc w:val="left"/>
    </w:pPr>
    <w:rPr>
      <w:rFonts w:asciiTheme="minorHAnsi" w:eastAsiaTheme="minorHAnsi" w:hAnsiTheme="minorHAnsi" w:cstheme="minorBidi"/>
      <w:sz w:val="22"/>
      <w:szCs w:val="22"/>
      <w:lang w:val="en-US"/>
    </w:rPr>
  </w:style>
  <w:style w:type="numbering" w:customStyle="1" w:styleId="NoList1">
    <w:name w:val="No List1"/>
    <w:next w:val="NoList"/>
    <w:uiPriority w:val="99"/>
    <w:semiHidden/>
    <w:unhideWhenUsed/>
    <w:rsid w:val="00721E25"/>
  </w:style>
  <w:style w:type="paragraph" w:customStyle="1" w:styleId="BodytextAgency">
    <w:name w:val="Body text (Agency)"/>
    <w:basedOn w:val="Normal"/>
    <w:link w:val="BodytextAgencyChar"/>
    <w:rsid w:val="00721E25"/>
    <w:pPr>
      <w:spacing w:after="140" w:line="280" w:lineRule="atLeast"/>
      <w:jc w:val="left"/>
    </w:pPr>
    <w:rPr>
      <w:rFonts w:ascii="Verdana" w:eastAsia="Verdana" w:hAnsi="Verdana" w:cs="Verdana"/>
      <w:sz w:val="18"/>
      <w:szCs w:val="18"/>
      <w:lang w:eastAsia="en-GB"/>
    </w:rPr>
  </w:style>
  <w:style w:type="character" w:customStyle="1" w:styleId="BodytextAgencyChar">
    <w:name w:val="Body text (Agency) Char"/>
    <w:link w:val="BodytextAgency"/>
    <w:rsid w:val="00721E25"/>
    <w:rPr>
      <w:rFonts w:ascii="Verdana" w:eastAsia="Verdana" w:hAnsi="Verdana" w:cs="Verdana"/>
      <w:sz w:val="18"/>
      <w:szCs w:val="18"/>
      <w:lang w:val="en-GB" w:eastAsia="en-GB"/>
    </w:rPr>
  </w:style>
  <w:style w:type="paragraph" w:customStyle="1" w:styleId="TabletextrowsAgency">
    <w:name w:val="Table text rows (Agency)"/>
    <w:basedOn w:val="Normal"/>
    <w:rsid w:val="00721E25"/>
    <w:pPr>
      <w:spacing w:after="0" w:line="280" w:lineRule="exact"/>
      <w:jc w:val="left"/>
    </w:pPr>
    <w:rPr>
      <w:rFonts w:ascii="Verdana" w:hAnsi="Verdana" w:cs="Verdana"/>
      <w:sz w:val="18"/>
      <w:szCs w:val="18"/>
      <w:lang w:eastAsia="zh-CN"/>
    </w:rPr>
  </w:style>
  <w:style w:type="table" w:customStyle="1" w:styleId="TableGrid1">
    <w:name w:val="Table Grid1"/>
    <w:basedOn w:val="TableNormal"/>
    <w:next w:val="TableGrid"/>
    <w:uiPriority w:val="59"/>
    <w:rsid w:val="00721E2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1E25"/>
    <w:rPr>
      <w:rFonts w:ascii="Calibri" w:eastAsia="Calibri" w:hAnsi="Calibri"/>
      <w:sz w:val="22"/>
      <w:szCs w:val="22"/>
    </w:rPr>
  </w:style>
  <w:style w:type="paragraph" w:customStyle="1" w:styleId="TableText0">
    <w:name w:val="TableText"/>
    <w:link w:val="TableTextChar"/>
    <w:rsid w:val="00721E25"/>
    <w:rPr>
      <w:rFonts w:cs="Arial"/>
    </w:rPr>
  </w:style>
  <w:style w:type="character" w:customStyle="1" w:styleId="TableTextChar">
    <w:name w:val="TableText Char"/>
    <w:link w:val="TableText0"/>
    <w:rsid w:val="00721E25"/>
    <w:rPr>
      <w:rFonts w:cs="Arial"/>
    </w:rPr>
  </w:style>
  <w:style w:type="numbering" w:customStyle="1" w:styleId="NoList2">
    <w:name w:val="No List2"/>
    <w:next w:val="NoList"/>
    <w:uiPriority w:val="99"/>
    <w:semiHidden/>
    <w:unhideWhenUsed/>
    <w:rsid w:val="00092CA6"/>
  </w:style>
  <w:style w:type="character" w:customStyle="1" w:styleId="Heading1Char">
    <w:name w:val="Heading 1 Char"/>
    <w:basedOn w:val="DefaultParagraphFont"/>
    <w:link w:val="Heading1"/>
    <w:uiPriority w:val="1"/>
    <w:rsid w:val="00092CA6"/>
    <w:rPr>
      <w:b/>
      <w:caps/>
      <w:kern w:val="28"/>
      <w:sz w:val="28"/>
      <w:lang w:val="en-GB"/>
    </w:rPr>
  </w:style>
  <w:style w:type="character" w:customStyle="1" w:styleId="Heading2Char">
    <w:name w:val="Heading 2 Char"/>
    <w:basedOn w:val="DefaultParagraphFont"/>
    <w:link w:val="Heading2"/>
    <w:uiPriority w:val="1"/>
    <w:rsid w:val="00092CA6"/>
    <w:rPr>
      <w:b/>
      <w:sz w:val="24"/>
      <w:lang w:val="en-GB"/>
    </w:rPr>
  </w:style>
  <w:style w:type="character" w:customStyle="1" w:styleId="Heading3Char">
    <w:name w:val="Heading 3 Char"/>
    <w:basedOn w:val="DefaultParagraphFont"/>
    <w:link w:val="Heading3"/>
    <w:uiPriority w:val="1"/>
    <w:rsid w:val="00092CA6"/>
    <w:rPr>
      <w:b/>
      <w:i/>
      <w:iCs/>
      <w:sz w:val="24"/>
      <w:lang w:val="en-GB"/>
    </w:rPr>
  </w:style>
  <w:style w:type="numbering" w:customStyle="1" w:styleId="NoList3">
    <w:name w:val="No List3"/>
    <w:next w:val="NoList"/>
    <w:uiPriority w:val="99"/>
    <w:semiHidden/>
    <w:unhideWhenUsed/>
    <w:rsid w:val="00ED57CB"/>
  </w:style>
  <w:style w:type="table" w:styleId="Table3Deffects1">
    <w:name w:val="Table 3D effects 1"/>
    <w:basedOn w:val="TableNormal"/>
    <w:rsid w:val="000B6A1A"/>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Paragraph">
    <w:name w:val="Paragraph"/>
    <w:link w:val="ParagraphChar"/>
    <w:qFormat/>
    <w:rsid w:val="00FC6E9D"/>
    <w:rPr>
      <w:sz w:val="24"/>
      <w:szCs w:val="24"/>
    </w:rPr>
  </w:style>
  <w:style w:type="character" w:customStyle="1" w:styleId="ParagraphChar">
    <w:name w:val="Paragraph Char"/>
    <w:link w:val="Paragraph"/>
    <w:rsid w:val="00FC6E9D"/>
    <w:rPr>
      <w:sz w:val="24"/>
      <w:szCs w:val="24"/>
    </w:rPr>
  </w:style>
  <w:style w:type="character" w:styleId="PlaceholderText">
    <w:name w:val="Placeholder Text"/>
    <w:basedOn w:val="DefaultParagraphFont"/>
    <w:uiPriority w:val="99"/>
    <w:semiHidden/>
    <w:rsid w:val="008D56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0116">
      <w:bodyDiv w:val="1"/>
      <w:marLeft w:val="0"/>
      <w:marRight w:val="0"/>
      <w:marTop w:val="0"/>
      <w:marBottom w:val="0"/>
      <w:divBdr>
        <w:top w:val="none" w:sz="0" w:space="0" w:color="auto"/>
        <w:left w:val="none" w:sz="0" w:space="0" w:color="auto"/>
        <w:bottom w:val="none" w:sz="0" w:space="0" w:color="auto"/>
        <w:right w:val="none" w:sz="0" w:space="0" w:color="auto"/>
      </w:divBdr>
    </w:div>
    <w:div w:id="145098437">
      <w:bodyDiv w:val="1"/>
      <w:marLeft w:val="0"/>
      <w:marRight w:val="0"/>
      <w:marTop w:val="0"/>
      <w:marBottom w:val="0"/>
      <w:divBdr>
        <w:top w:val="none" w:sz="0" w:space="0" w:color="auto"/>
        <w:left w:val="none" w:sz="0" w:space="0" w:color="auto"/>
        <w:bottom w:val="none" w:sz="0" w:space="0" w:color="auto"/>
        <w:right w:val="none" w:sz="0" w:space="0" w:color="auto"/>
      </w:divBdr>
    </w:div>
    <w:div w:id="477456607">
      <w:bodyDiv w:val="1"/>
      <w:marLeft w:val="0"/>
      <w:marRight w:val="0"/>
      <w:marTop w:val="0"/>
      <w:marBottom w:val="0"/>
      <w:divBdr>
        <w:top w:val="none" w:sz="0" w:space="0" w:color="auto"/>
        <w:left w:val="none" w:sz="0" w:space="0" w:color="auto"/>
        <w:bottom w:val="none" w:sz="0" w:space="0" w:color="auto"/>
        <w:right w:val="none" w:sz="0" w:space="0" w:color="auto"/>
      </w:divBdr>
    </w:div>
    <w:div w:id="1542401310">
      <w:bodyDiv w:val="1"/>
      <w:marLeft w:val="0"/>
      <w:marRight w:val="0"/>
      <w:marTop w:val="0"/>
      <w:marBottom w:val="0"/>
      <w:divBdr>
        <w:top w:val="none" w:sz="0" w:space="0" w:color="auto"/>
        <w:left w:val="none" w:sz="0" w:space="0" w:color="auto"/>
        <w:bottom w:val="none" w:sz="0" w:space="0" w:color="auto"/>
        <w:right w:val="none" w:sz="0" w:space="0" w:color="auto"/>
      </w:divBdr>
    </w:div>
    <w:div w:id="1914315975">
      <w:bodyDiv w:val="1"/>
      <w:marLeft w:val="0"/>
      <w:marRight w:val="0"/>
      <w:marTop w:val="0"/>
      <w:marBottom w:val="0"/>
      <w:divBdr>
        <w:top w:val="none" w:sz="0" w:space="0" w:color="auto"/>
        <w:left w:val="none" w:sz="0" w:space="0" w:color="auto"/>
        <w:bottom w:val="none" w:sz="0" w:space="0" w:color="auto"/>
        <w:right w:val="none" w:sz="0" w:space="0" w:color="auto"/>
      </w:divBdr>
      <w:divsChild>
        <w:div w:id="1910530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943AA0D36B544B7848D8A7440ECBC" ma:contentTypeVersion="1" ma:contentTypeDescription="Create a new document." ma:contentTypeScope="" ma:versionID="5d14258014e16152000cd21a524a6870">
  <xsd:schema xmlns:xsd="http://www.w3.org/2001/XMLSchema" xmlns:xs="http://www.w3.org/2001/XMLSchema" xmlns:p="http://schemas.microsoft.com/office/2006/metadata/properties" xmlns:ns2="0ff93743-7fc6-41d8-bce7-25e7a24fd47b" targetNamespace="http://schemas.microsoft.com/office/2006/metadata/properties" ma:root="true" ma:fieldsID="2a5d46b639ad32acc0961db284908e7f" ns2:_="">
    <xsd:import namespace="0ff93743-7fc6-41d8-bce7-25e7a24fd47b"/>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93743-7fc6-41d8-bce7-25e7a24fd47b"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0ff93743-7fc6-41d8-bce7-25e7a24fd4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6DB27-7D8E-43E8-B9B3-A860174D3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93743-7fc6-41d8-bce7-25e7a24fd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03078-3F3F-4D2F-B2B5-D5EE4A9F9F67}">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0ff93743-7fc6-41d8-bce7-25e7a24fd47b"/>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C52BF09-4FC6-4F6C-8851-D78B8E76CFC8}">
  <ds:schemaRefs>
    <ds:schemaRef ds:uri="http://schemas.microsoft.com/sharepoint/v3/contenttype/forms"/>
  </ds:schemaRefs>
</ds:datastoreItem>
</file>

<file path=customXml/itemProps4.xml><?xml version="1.0" encoding="utf-8"?>
<ds:datastoreItem xmlns:ds="http://schemas.openxmlformats.org/officeDocument/2006/customXml" ds:itemID="{0D129B1F-0DA7-4543-815D-AFC5FED3B4F0}">
  <ds:schemaRefs>
    <ds:schemaRef ds:uri="http://schemas.microsoft.com/office/2006/metadata/longProperties"/>
  </ds:schemaRefs>
</ds:datastoreItem>
</file>

<file path=customXml/itemProps5.xml><?xml version="1.0" encoding="utf-8"?>
<ds:datastoreItem xmlns:ds="http://schemas.openxmlformats.org/officeDocument/2006/customXml" ds:itemID="{48D10981-6E26-4126-970E-C048A7E0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59</Pages>
  <Words>22601</Words>
  <Characters>129264</Characters>
  <Application>Microsoft Office Word</Application>
  <DocSecurity>0</DocSecurity>
  <Lines>3314</Lines>
  <Paragraphs>1898</Paragraphs>
  <ScaleCrop>false</ScaleCrop>
  <HeadingPairs>
    <vt:vector size="2" baseType="variant">
      <vt:variant>
        <vt:lpstr>Title</vt:lpstr>
      </vt:variant>
      <vt:variant>
        <vt:i4>1</vt:i4>
      </vt:variant>
    </vt:vector>
  </HeadingPairs>
  <TitlesOfParts>
    <vt:vector size="1" baseType="lpstr">
      <vt:lpstr>Attachment 1: Product Information for Rituximab</vt:lpstr>
    </vt:vector>
  </TitlesOfParts>
  <Company>Pharmacia &amp; Upjohn</Company>
  <LinksUpToDate>false</LinksUpToDate>
  <CharactersWithSpaces>149967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Rituximab</dc:title>
  <dc:subject>prescription medicines</dc:subject>
  <dc:creator>Pharmacia &amp; Upjohn</dc:creator>
  <cp:keywords/>
  <dc:description/>
  <cp:lastPrinted>2015-03-11T01:11:00Z</cp:lastPrinted>
  <dcterms:created xsi:type="dcterms:W3CDTF">2021-05-04T23:32:00Z</dcterms:created>
  <dcterms:modified xsi:type="dcterms:W3CDTF">2021-05-04T23:43:00Z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y fmtid="{D5CDD505-2E9C-101B-9397-08002B2CF9AE}" pid="7" name="ContentTypeId">
    <vt:lpwstr>0x0101003E1943AA0D36B544B7848D8A7440ECBC</vt:lpwstr>
  </property>
</Properties>
</file>