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C6" w:rsidRPr="00E3482E" w:rsidRDefault="007770C6" w:rsidP="005C1767">
      <w:pPr>
        <w:pStyle w:val="Title"/>
      </w:pPr>
      <w:bookmarkStart w:id="0" w:name="_GoBack"/>
      <w:bookmarkEnd w:id="0"/>
      <w:r w:rsidRPr="00E3482E">
        <w:t>PRODUCT INFORMATION</w:t>
      </w:r>
    </w:p>
    <w:p w:rsidR="007770C6" w:rsidRPr="00E3482E" w:rsidRDefault="007770C6" w:rsidP="005C1767">
      <w:pPr>
        <w:pStyle w:val="Title"/>
      </w:pPr>
    </w:p>
    <w:p w:rsidR="007770C6" w:rsidRPr="00E3482E" w:rsidRDefault="00982770" w:rsidP="005C1767">
      <w:pPr>
        <w:pStyle w:val="Title"/>
        <w:rPr>
          <w:rFonts w:ascii="Times New Roman Bold" w:hAnsi="Times New Roman Bold"/>
          <w:vertAlign w:val="superscript"/>
        </w:rPr>
      </w:pPr>
      <w:r>
        <w:t>RIXIMYO</w:t>
      </w:r>
      <w:r w:rsidRPr="00C57076">
        <w:rPr>
          <w:vertAlign w:val="superscript"/>
        </w:rPr>
        <w:t>®</w:t>
      </w:r>
    </w:p>
    <w:p w:rsidR="0066180B" w:rsidRPr="00E3482E" w:rsidRDefault="007770C6" w:rsidP="007770C6">
      <w:pPr>
        <w:pStyle w:val="Subtitle"/>
        <w:rPr>
          <w:color w:val="000000"/>
        </w:rPr>
      </w:pPr>
      <w:r w:rsidRPr="00E3482E">
        <w:rPr>
          <w:color w:val="000000"/>
        </w:rPr>
        <w:t>100 mg/10 mL and 5</w:t>
      </w:r>
      <w:r w:rsidR="004B0692" w:rsidRPr="00E3482E">
        <w:rPr>
          <w:color w:val="000000"/>
        </w:rPr>
        <w:t>0</w:t>
      </w:r>
      <w:r w:rsidRPr="00E3482E">
        <w:rPr>
          <w:color w:val="000000"/>
        </w:rPr>
        <w:t xml:space="preserve">0 mg/50 mL </w:t>
      </w:r>
    </w:p>
    <w:p w:rsidR="007770C6" w:rsidRPr="00E3482E" w:rsidRDefault="007770C6" w:rsidP="007770C6">
      <w:pPr>
        <w:pStyle w:val="Subtitle"/>
        <w:rPr>
          <w:color w:val="000000"/>
        </w:rPr>
      </w:pPr>
      <w:r w:rsidRPr="00E3482E">
        <w:rPr>
          <w:color w:val="000000"/>
        </w:rPr>
        <w:t>Concentrated solution for injection</w:t>
      </w:r>
    </w:p>
    <w:p w:rsidR="007770C6" w:rsidRPr="00E3482E" w:rsidRDefault="007770C6" w:rsidP="007770C6">
      <w:pPr>
        <w:pStyle w:val="Subtitle"/>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9"/>
      </w:tblGrid>
      <w:tr w:rsidR="0092164F" w:rsidRPr="00E3482E" w:rsidTr="00704540">
        <w:tc>
          <w:tcPr>
            <w:tcW w:w="9549" w:type="dxa"/>
            <w:shd w:val="clear" w:color="auto" w:fill="auto"/>
          </w:tcPr>
          <w:p w:rsidR="0092164F" w:rsidRPr="00E3482E" w:rsidRDefault="0092164F" w:rsidP="00AE3304">
            <w:pPr>
              <w:rPr>
                <w:b/>
                <w:color w:val="000000"/>
                <w:sz w:val="30"/>
                <w:szCs w:val="30"/>
              </w:rPr>
            </w:pPr>
            <w:r w:rsidRPr="00E3482E">
              <w:rPr>
                <w:b/>
                <w:color w:val="000000"/>
                <w:sz w:val="30"/>
                <w:szCs w:val="30"/>
              </w:rPr>
              <w:t>WARNING</w:t>
            </w:r>
          </w:p>
          <w:p w:rsidR="0092164F" w:rsidRPr="00E3482E" w:rsidRDefault="0092164F" w:rsidP="00704540">
            <w:pPr>
              <w:spacing w:before="120"/>
              <w:jc w:val="both"/>
              <w:rPr>
                <w:b/>
                <w:color w:val="000000"/>
              </w:rPr>
            </w:pPr>
            <w:r w:rsidRPr="00E3482E">
              <w:rPr>
                <w:b/>
                <w:color w:val="000000"/>
              </w:rPr>
              <w:t xml:space="preserve">Use of </w:t>
            </w:r>
            <w:r w:rsidR="00982770">
              <w:rPr>
                <w:b/>
                <w:color w:val="000000"/>
              </w:rPr>
              <w:t>RIXIMYO</w:t>
            </w:r>
            <w:r w:rsidR="00982770" w:rsidRPr="00C57076">
              <w:rPr>
                <w:b/>
                <w:color w:val="000000"/>
                <w:vertAlign w:val="superscript"/>
              </w:rPr>
              <w:t>®</w:t>
            </w:r>
            <w:r w:rsidRPr="00E3482E">
              <w:rPr>
                <w:b/>
                <w:color w:val="000000"/>
              </w:rPr>
              <w:t xml:space="preserve"> may be associated with an increased risk of progressive multifocal leukoencephalopathy (PML), an opportunistic viral infection of the brain that usually leads to death or severe disability. Patients must be monitored for any new or worsening neurological symptoms or signs suggestive of PML. If such symptoms occur, further administration of </w:t>
            </w:r>
            <w:r w:rsidR="00C57076">
              <w:rPr>
                <w:b/>
                <w:color w:val="000000"/>
              </w:rPr>
              <w:t>RIXIMYO</w:t>
            </w:r>
            <w:r w:rsidR="00C57076" w:rsidRPr="00C57076">
              <w:rPr>
                <w:b/>
                <w:color w:val="000000"/>
                <w:vertAlign w:val="superscript"/>
              </w:rPr>
              <w:t>®</w:t>
            </w:r>
            <w:r w:rsidR="00C57076" w:rsidRPr="00E3482E">
              <w:rPr>
                <w:b/>
                <w:color w:val="000000"/>
              </w:rPr>
              <w:t xml:space="preserve"> </w:t>
            </w:r>
            <w:r w:rsidRPr="00E3482E">
              <w:rPr>
                <w:b/>
                <w:color w:val="000000"/>
              </w:rPr>
              <w:t xml:space="preserve">should be immediately suspended until a diagnosis of PML has been excluded. To establish or exclude a diagnosis of PML evaluation including MRI scan, CSF testing for JC viral DNA and repeat neurological assessments, should be considered. If a diagnosis of PML is confirmed, </w:t>
            </w:r>
            <w:r w:rsidR="00C57076">
              <w:rPr>
                <w:b/>
                <w:color w:val="000000"/>
              </w:rPr>
              <w:t>RIXIMYO</w:t>
            </w:r>
            <w:r w:rsidR="00C57076" w:rsidRPr="00C57076">
              <w:rPr>
                <w:b/>
                <w:color w:val="000000"/>
                <w:vertAlign w:val="superscript"/>
              </w:rPr>
              <w:t>®</w:t>
            </w:r>
            <w:r w:rsidR="00C57076" w:rsidRPr="00E3482E">
              <w:rPr>
                <w:b/>
                <w:color w:val="000000"/>
              </w:rPr>
              <w:t xml:space="preserve"> </w:t>
            </w:r>
            <w:r w:rsidRPr="00E3482E">
              <w:rPr>
                <w:b/>
                <w:color w:val="000000"/>
              </w:rPr>
              <w:t>must be permanently discontinued (see PRECAUTIONS).</w:t>
            </w:r>
          </w:p>
        </w:tc>
      </w:tr>
    </w:tbl>
    <w:p w:rsidR="007770C6" w:rsidRPr="00E3482E" w:rsidRDefault="007770C6" w:rsidP="00AE3304">
      <w:pPr>
        <w:rPr>
          <w:color w:val="000000"/>
        </w:rPr>
      </w:pPr>
    </w:p>
    <w:p w:rsidR="0066180B" w:rsidRPr="00E3482E" w:rsidRDefault="0066180B" w:rsidP="00F11870">
      <w:pPr>
        <w:pStyle w:val="Heading1"/>
      </w:pPr>
      <w:r w:rsidRPr="00E3482E">
        <w:t>NAME OF THE MEDICINE</w:t>
      </w:r>
    </w:p>
    <w:p w:rsidR="0092164F" w:rsidRPr="00E3482E" w:rsidRDefault="0092164F" w:rsidP="00F82C3D">
      <w:pPr>
        <w:pStyle w:val="PItext"/>
      </w:pPr>
      <w:r w:rsidRPr="00E3482E">
        <w:t>Rituximab (</w:t>
      </w:r>
      <w:proofErr w:type="spellStart"/>
      <w:r w:rsidRPr="00E3482E">
        <w:t>rch</w:t>
      </w:r>
      <w:proofErr w:type="spellEnd"/>
      <w:r w:rsidRPr="00E3482E">
        <w:t>)</w:t>
      </w:r>
    </w:p>
    <w:p w:rsidR="0092164F" w:rsidRPr="00E3482E" w:rsidRDefault="0092164F" w:rsidP="00F82C3D">
      <w:pPr>
        <w:pStyle w:val="PItext"/>
      </w:pPr>
      <w:r w:rsidRPr="00E3482E">
        <w:t>CAS registry number:</w:t>
      </w:r>
      <w:r w:rsidRPr="00E3482E">
        <w:tab/>
      </w:r>
      <w:r w:rsidRPr="00E3482E">
        <w:tab/>
        <w:t>174722-31-7</w:t>
      </w:r>
    </w:p>
    <w:p w:rsidR="0092164F" w:rsidRPr="00E3482E" w:rsidRDefault="0092164F" w:rsidP="00F82C3D">
      <w:pPr>
        <w:pStyle w:val="PItext"/>
      </w:pPr>
      <w:r w:rsidRPr="00F82C3D">
        <w:t xml:space="preserve">Rituximab is a genetically engineered chimeric murine/human monoclonal antibody directed against the CD20 antigen found on the surface of normal and malignant B lymphocytes. The antibody is a glycosylated IgG1 kappa immunoglobulin containing murine light- and heavy-chain variable region sequences (Fab domain) and human constant region sequences (Fc domain). Rituximab has a high binding affinity for the CD20 antigen of 5.2 to 11.0 </w:t>
      </w:r>
      <w:proofErr w:type="spellStart"/>
      <w:r w:rsidRPr="00F82C3D">
        <w:t>nM</w:t>
      </w:r>
      <w:proofErr w:type="spellEnd"/>
      <w:r w:rsidRPr="00F82C3D">
        <w:t>.</w:t>
      </w:r>
      <w:r w:rsidR="00F97A1F" w:rsidRPr="00F82C3D">
        <w:t xml:space="preserve"> Rituximab has a molecular mass of 145 </w:t>
      </w:r>
      <w:proofErr w:type="spellStart"/>
      <w:r w:rsidR="00F97A1F" w:rsidRPr="00F82C3D">
        <w:t>kDa</w:t>
      </w:r>
      <w:proofErr w:type="spellEnd"/>
      <w:r w:rsidR="00F97A1F" w:rsidRPr="00F82C3D">
        <w:t xml:space="preserve"> and is composed of two light chains (213 amino acids) and two N-glycosylated heavy chains </w:t>
      </w:r>
      <w:proofErr w:type="gramStart"/>
      <w:r w:rsidR="00F97A1F" w:rsidRPr="00F82C3D">
        <w:t>(451 amino acid)</w:t>
      </w:r>
      <w:proofErr w:type="gramEnd"/>
      <w:r w:rsidR="00F97A1F" w:rsidRPr="00F82C3D">
        <w:t>, which are covalently associated</w:t>
      </w:r>
      <w:r w:rsidR="00F97A1F" w:rsidRPr="00E3482E">
        <w:t xml:space="preserve"> with one another at defined cysteine residues via </w:t>
      </w:r>
      <w:proofErr w:type="spellStart"/>
      <w:r w:rsidR="00F97A1F" w:rsidRPr="00E3482E">
        <w:t>disulfide</w:t>
      </w:r>
      <w:proofErr w:type="spellEnd"/>
      <w:r w:rsidR="00F97A1F" w:rsidRPr="00E3482E">
        <w:t xml:space="preserve"> bridges.</w:t>
      </w:r>
    </w:p>
    <w:p w:rsidR="0092164F" w:rsidRPr="00E3482E" w:rsidRDefault="0092164F" w:rsidP="00F82C3D">
      <w:pPr>
        <w:pStyle w:val="PItext"/>
      </w:pPr>
      <w:r w:rsidRPr="00E3482E">
        <w:t xml:space="preserve">The chimeric anti-CD20 antibody is produced by </w:t>
      </w:r>
      <w:r w:rsidR="00554221" w:rsidRPr="00E3482E">
        <w:t xml:space="preserve">recombinant DNA technology in a </w:t>
      </w:r>
      <w:r w:rsidRPr="00E3482E">
        <w:t xml:space="preserve">mammalian (Chinese hamster ovary) cell </w:t>
      </w:r>
      <w:r w:rsidR="00554221" w:rsidRPr="00E3482E">
        <w:t>expression system</w:t>
      </w:r>
      <w:r w:rsidRPr="00E3482E">
        <w:t>. The anti-CD20 antibody is purified by affinity chromatography and ion exchange, including specific viral inactivation and removal procedures.</w:t>
      </w:r>
    </w:p>
    <w:p w:rsidR="0066180B" w:rsidRPr="00E3482E" w:rsidRDefault="0066180B" w:rsidP="00F11870">
      <w:pPr>
        <w:pStyle w:val="Heading1"/>
      </w:pPr>
      <w:r w:rsidRPr="00E3482E">
        <w:t>DESCRIPTION</w:t>
      </w:r>
    </w:p>
    <w:p w:rsidR="008625AF" w:rsidRPr="00E3482E" w:rsidRDefault="00C57076" w:rsidP="00F82C3D">
      <w:pPr>
        <w:pStyle w:val="PItext"/>
        <w:rPr>
          <w:lang w:val="en-GB"/>
        </w:rPr>
      </w:pPr>
      <w:r w:rsidRPr="00E3482E">
        <w:t>RIXIMYO</w:t>
      </w:r>
      <w:r w:rsidRPr="00F0509D">
        <w:rPr>
          <w:sz w:val="30"/>
          <w:szCs w:val="30"/>
          <w:vertAlign w:val="superscript"/>
        </w:rPr>
        <w:t>®</w:t>
      </w:r>
      <w:r w:rsidRPr="00E3482E">
        <w:t xml:space="preserve"> </w:t>
      </w:r>
      <w:r w:rsidR="0092164F" w:rsidRPr="00E3482E">
        <w:t xml:space="preserve">is a sterile, clear, </w:t>
      </w:r>
      <w:proofErr w:type="gramStart"/>
      <w:r w:rsidR="0092164F" w:rsidRPr="00E3482E">
        <w:t>colourless</w:t>
      </w:r>
      <w:proofErr w:type="gramEnd"/>
      <w:r w:rsidR="00EC3103" w:rsidRPr="00E3482E">
        <w:t xml:space="preserve"> to slightly yellowish</w:t>
      </w:r>
      <w:r w:rsidR="0092164F" w:rsidRPr="00E3482E">
        <w:t xml:space="preserve">, preservative-free, concentrated solution. </w:t>
      </w:r>
      <w:r w:rsidRPr="00E3482E">
        <w:t>RIXIMYO</w:t>
      </w:r>
      <w:r w:rsidRPr="00F0509D">
        <w:rPr>
          <w:sz w:val="30"/>
          <w:szCs w:val="30"/>
          <w:vertAlign w:val="superscript"/>
        </w:rPr>
        <w:t>®</w:t>
      </w:r>
      <w:r w:rsidRPr="00E3482E">
        <w:t xml:space="preserve"> </w:t>
      </w:r>
      <w:r w:rsidR="0092164F" w:rsidRPr="00E3482E">
        <w:t xml:space="preserve">is supplied at a concentration of 10 mg/mL in either 100 mg (10 mL) or 500 mg (50 mL) single-use vials. The product is formulated in a sodium citrate buffer </w:t>
      </w:r>
      <w:r w:rsidR="00EC3103" w:rsidRPr="00E3482E">
        <w:t>consisting of 5.25 mg/mL (25 </w:t>
      </w:r>
      <w:proofErr w:type="spellStart"/>
      <w:r w:rsidR="00EC3103" w:rsidRPr="00E3482E">
        <w:t>mM</w:t>
      </w:r>
      <w:proofErr w:type="spellEnd"/>
      <w:r w:rsidR="00EC3103" w:rsidRPr="00E3482E">
        <w:t xml:space="preserve">) citric acid monohydrate, 9.0 mg/mL sodium chloride, </w:t>
      </w:r>
      <w:r w:rsidR="0092164F" w:rsidRPr="00E3482E">
        <w:t xml:space="preserve">0.7 mg/mL </w:t>
      </w:r>
      <w:proofErr w:type="spellStart"/>
      <w:r w:rsidR="0092164F" w:rsidRPr="00E3482E">
        <w:t>polysorbate</w:t>
      </w:r>
      <w:proofErr w:type="spellEnd"/>
      <w:r w:rsidR="0092164F" w:rsidRPr="00E3482E">
        <w:t xml:space="preserve"> 80, and sterile water for injection</w:t>
      </w:r>
      <w:r w:rsidR="00EC3103" w:rsidRPr="00E3482E">
        <w:t>s</w:t>
      </w:r>
      <w:r w:rsidR="0092164F" w:rsidRPr="00E3482E">
        <w:t xml:space="preserve">. The pH is adjusted to 6.5 with </w:t>
      </w:r>
      <w:r w:rsidR="00EC3103" w:rsidRPr="00E3482E">
        <w:t>hydrochloric acid or sodium hydroxide solution.</w:t>
      </w:r>
    </w:p>
    <w:p w:rsidR="00640BDE" w:rsidRDefault="00982770" w:rsidP="00F82C3D">
      <w:pPr>
        <w:pStyle w:val="PItext"/>
      </w:pPr>
      <w:r>
        <w:rPr>
          <w:lang w:val="en-GB"/>
        </w:rPr>
        <w:t>RIXIMYO</w:t>
      </w:r>
      <w:r w:rsidRPr="00C57076">
        <w:rPr>
          <w:vertAlign w:val="superscript"/>
          <w:lang w:val="en-GB"/>
        </w:rPr>
        <w:t>®</w:t>
      </w:r>
      <w:r w:rsidR="00EC294E" w:rsidRPr="00E3482E">
        <w:rPr>
          <w:lang w:val="en-GB"/>
        </w:rPr>
        <w:t xml:space="preserve"> </w:t>
      </w:r>
      <w:r w:rsidR="00640BDE">
        <w:rPr>
          <w:lang w:val="en-GB"/>
        </w:rPr>
        <w:t xml:space="preserve">(rituximab) </w:t>
      </w:r>
      <w:r w:rsidR="00EC294E" w:rsidRPr="00E3482E">
        <w:t xml:space="preserve">is a </w:t>
      </w:r>
      <w:r w:rsidR="00640BDE" w:rsidRPr="00E3482E">
        <w:t xml:space="preserve">medicine </w:t>
      </w:r>
      <w:r w:rsidR="00EC294E" w:rsidRPr="00E3482E">
        <w:t>biosimilar to M</w:t>
      </w:r>
      <w:r w:rsidR="00640BDE">
        <w:t>ABTHERA</w:t>
      </w:r>
      <w:r w:rsidR="00EC294E" w:rsidRPr="00E3482E">
        <w:rPr>
          <w:vertAlign w:val="superscript"/>
        </w:rPr>
        <w:t>®</w:t>
      </w:r>
      <w:r w:rsidR="00640BDE">
        <w:rPr>
          <w:vertAlign w:val="superscript"/>
        </w:rPr>
        <w:t xml:space="preserve"> </w:t>
      </w:r>
      <w:r w:rsidR="00640BDE">
        <w:t>(rituximab).</w:t>
      </w:r>
    </w:p>
    <w:p w:rsidR="00EC294E" w:rsidRPr="00E3482E" w:rsidRDefault="00EC294E" w:rsidP="00F82C3D">
      <w:pPr>
        <w:pStyle w:val="PItext"/>
      </w:pPr>
      <w:r w:rsidRPr="00E3482E">
        <w:lastRenderedPageBreak/>
        <w:t xml:space="preserve">The comparability of </w:t>
      </w:r>
      <w:r w:rsidR="00982770">
        <w:rPr>
          <w:lang w:val="en-GB"/>
        </w:rPr>
        <w:t>RIXIMYO</w:t>
      </w:r>
      <w:r w:rsidR="00982770" w:rsidRPr="00C57076">
        <w:rPr>
          <w:vertAlign w:val="superscript"/>
          <w:lang w:val="en-GB"/>
        </w:rPr>
        <w:t>®</w:t>
      </w:r>
      <w:r w:rsidRPr="00E3482E">
        <w:rPr>
          <w:lang w:val="en-GB"/>
        </w:rPr>
        <w:t xml:space="preserve"> </w:t>
      </w:r>
      <w:r w:rsidRPr="00E3482E">
        <w:t xml:space="preserve">with </w:t>
      </w:r>
      <w:r w:rsidR="00640BDE">
        <w:t>MABTHERA</w:t>
      </w:r>
      <w:r w:rsidR="00640BDE" w:rsidRPr="00E3482E">
        <w:rPr>
          <w:vertAlign w:val="superscript"/>
        </w:rPr>
        <w:t>®</w:t>
      </w:r>
      <w:r w:rsidR="00A07318" w:rsidRPr="00E3482E" w:rsidDel="00A07318">
        <w:t xml:space="preserve"> </w:t>
      </w:r>
      <w:r w:rsidRPr="00E3482E">
        <w:t>has been demonstrated</w:t>
      </w:r>
      <w:r w:rsidR="00422A1B">
        <w:t xml:space="preserve"> </w:t>
      </w:r>
      <w:r w:rsidR="00640BDE">
        <w:t xml:space="preserve">with regard to physicochemical characteristics and pharmacology, efficacy and safety outcomes [see </w:t>
      </w:r>
      <w:r w:rsidR="00640BDE" w:rsidRPr="00CF035A">
        <w:rPr>
          <w:b/>
        </w:rPr>
        <w:t>PHARMACOLOGY</w:t>
      </w:r>
      <w:r w:rsidR="00640BDE">
        <w:t xml:space="preserve">, </w:t>
      </w:r>
      <w:r w:rsidR="00640BDE" w:rsidRPr="00CF035A">
        <w:rPr>
          <w:b/>
        </w:rPr>
        <w:t>CLINICAL TRIALS</w:t>
      </w:r>
      <w:r w:rsidR="00640BDE">
        <w:t xml:space="preserve"> and </w:t>
      </w:r>
      <w:r w:rsidR="00640BDE" w:rsidRPr="00CF035A">
        <w:rPr>
          <w:b/>
        </w:rPr>
        <w:t>ADVERSE EFFECTS</w:t>
      </w:r>
      <w:r w:rsidR="00640BDE">
        <w:t>]. The evidence for comparability supports the use of RIXIMYO</w:t>
      </w:r>
      <w:r w:rsidR="00CF035A" w:rsidRPr="00CF035A">
        <w:rPr>
          <w:vertAlign w:val="superscript"/>
        </w:rPr>
        <w:t>®</w:t>
      </w:r>
      <w:r w:rsidR="00640BDE">
        <w:t xml:space="preserve"> for the listed indications.</w:t>
      </w:r>
    </w:p>
    <w:p w:rsidR="0066180B" w:rsidRPr="00E3482E" w:rsidRDefault="0066180B" w:rsidP="00F11870">
      <w:pPr>
        <w:pStyle w:val="Heading1"/>
      </w:pPr>
      <w:r w:rsidRPr="00E3482E">
        <w:t>PHARMACOLOGY</w:t>
      </w:r>
    </w:p>
    <w:p w:rsidR="0031288A" w:rsidRPr="00E3482E" w:rsidRDefault="0031288A" w:rsidP="00F5092E">
      <w:pPr>
        <w:pStyle w:val="Heading2"/>
      </w:pPr>
      <w:r w:rsidRPr="00E3482E">
        <w:t>Pharmacodynamics</w:t>
      </w:r>
    </w:p>
    <w:p w:rsidR="00440BD6" w:rsidRPr="00E3482E" w:rsidRDefault="00EC3103" w:rsidP="00EC3103">
      <w:pPr>
        <w:spacing w:before="120"/>
        <w:jc w:val="both"/>
        <w:rPr>
          <w:rStyle w:val="SubtleEmphasis"/>
          <w:color w:val="000000"/>
        </w:rPr>
      </w:pPr>
      <w:r w:rsidRPr="00E3482E">
        <w:rPr>
          <w:rStyle w:val="SubtleEmphasis"/>
          <w:color w:val="000000"/>
        </w:rPr>
        <w:t xml:space="preserve">General </w:t>
      </w:r>
    </w:p>
    <w:p w:rsidR="00EC3103" w:rsidRPr="00E3482E" w:rsidRDefault="00EC3103" w:rsidP="00EC3103">
      <w:pPr>
        <w:spacing w:before="120"/>
        <w:jc w:val="both"/>
        <w:rPr>
          <w:color w:val="000000"/>
        </w:rPr>
      </w:pPr>
      <w:r w:rsidRPr="00E3482E">
        <w:rPr>
          <w:color w:val="000000"/>
        </w:rPr>
        <w:t xml:space="preserve">Rituximab binds specifically to the antigen </w:t>
      </w:r>
      <w:proofErr w:type="gramStart"/>
      <w:r w:rsidRPr="00E3482E">
        <w:rPr>
          <w:color w:val="000000"/>
        </w:rPr>
        <w:t>CD20,</w:t>
      </w:r>
      <w:proofErr w:type="gramEnd"/>
      <w:r w:rsidRPr="00E3482E">
        <w:rPr>
          <w:color w:val="000000"/>
        </w:rPr>
        <w:t xml:space="preserve"> a transmembrane molecule located on pre-B and mature B lymphocytes. The antigen is expressed on &gt; 95% of all B-cell non-Hodgkin’s lymphomas (NHL). CD20 (human B lymphocyte-restricted differentiation antigen, Bp35) is a hydrophobic transmembrane protein with a molecular weight of approximately 35 </w:t>
      </w:r>
      <w:proofErr w:type="spellStart"/>
      <w:proofErr w:type="gramStart"/>
      <w:r w:rsidRPr="00E3482E">
        <w:rPr>
          <w:color w:val="000000"/>
        </w:rPr>
        <w:t>kD</w:t>
      </w:r>
      <w:proofErr w:type="spellEnd"/>
      <w:proofErr w:type="gramEnd"/>
      <w:r w:rsidRPr="00E3482E">
        <w:rPr>
          <w:color w:val="000000"/>
        </w:rPr>
        <w:t>. This non-glycosylated phosphoprotein is found on both normal and malignant B cells, but not on haematopoietic stem cells, pro-B cells, normal plasma cells or other normal tissues. CD20 regulates (an) early step(s) in the activation process for cell cycle initiation and differentiation, and possibly functions as a calcium ion channel. CD20 does not internalise upon antibody binding and is not shed from the cell surface. This antigen does not circulate in the plasma. Thus, free antigen does not compete for rituximab binding.</w:t>
      </w:r>
    </w:p>
    <w:p w:rsidR="008C2D81" w:rsidRPr="00E3482E" w:rsidRDefault="00EC3103" w:rsidP="00EC3103">
      <w:pPr>
        <w:spacing w:before="120"/>
        <w:jc w:val="both"/>
        <w:rPr>
          <w:color w:val="000000"/>
        </w:rPr>
      </w:pPr>
      <w:r w:rsidRPr="00E3482E">
        <w:rPr>
          <w:color w:val="000000"/>
        </w:rPr>
        <w:t>In rheumatoid arthritis (RA) the putative mechanism of action of rituximab involves the depletion of surface antigen-positive B lymphocytes from synovial tissue, with downstream effects potentially including reduced activation of T-cells and the associated release of pro-inflammatory cytokines.</w:t>
      </w:r>
    </w:p>
    <w:p w:rsidR="00982770" w:rsidRDefault="00EC3103" w:rsidP="00EC3103">
      <w:pPr>
        <w:spacing w:before="120"/>
        <w:jc w:val="both"/>
        <w:rPr>
          <w:rStyle w:val="SubtleEmphasis"/>
          <w:color w:val="000000"/>
        </w:rPr>
      </w:pPr>
      <w:r w:rsidRPr="00E3482E">
        <w:rPr>
          <w:rStyle w:val="SubtleEmphasis"/>
          <w:color w:val="000000"/>
          <w:u w:val="single"/>
        </w:rPr>
        <w:t>In vitro</w:t>
      </w:r>
      <w:r w:rsidRPr="00E3482E">
        <w:rPr>
          <w:rStyle w:val="SubtleEmphasis"/>
          <w:color w:val="000000"/>
        </w:rPr>
        <w:t xml:space="preserve"> </w:t>
      </w:r>
    </w:p>
    <w:p w:rsidR="00440BD6" w:rsidRPr="00E3482E" w:rsidRDefault="00EC3103" w:rsidP="00EC3103">
      <w:pPr>
        <w:spacing w:before="120"/>
        <w:jc w:val="both"/>
        <w:rPr>
          <w:rStyle w:val="SubtleEmphasis"/>
          <w:color w:val="000000"/>
        </w:rPr>
      </w:pPr>
      <w:r w:rsidRPr="00E3482E">
        <w:rPr>
          <w:rStyle w:val="SubtleEmphasis"/>
          <w:color w:val="000000"/>
        </w:rPr>
        <w:t xml:space="preserve">Mechanisms of Action </w:t>
      </w:r>
    </w:p>
    <w:p w:rsidR="00EC3103" w:rsidRPr="00E3482E" w:rsidRDefault="00EC3103" w:rsidP="00EC3103">
      <w:pPr>
        <w:spacing w:before="120"/>
        <w:jc w:val="both"/>
        <w:rPr>
          <w:color w:val="000000"/>
        </w:rPr>
      </w:pPr>
      <w:r w:rsidRPr="00E3482E">
        <w:rPr>
          <w:color w:val="000000"/>
        </w:rPr>
        <w:t xml:space="preserve">The Fab domain of rituximab binds to the CD20 antigen on B-lymphocytes and the Fc domain recruits immune effector functions to mediate B-cell lysis. Possible mechanisms of cell lysis include complement-dependent cytotoxicity (CDC) and antibody-dependent cellular cytotoxicity (ADCC). The antibody also induces apoptosis in the DHL-4 human B-cell lymphoma line. Finally, </w:t>
      </w:r>
      <w:r w:rsidRPr="00E3482E">
        <w:rPr>
          <w:i/>
          <w:color w:val="000000"/>
        </w:rPr>
        <w:t>in vitro</w:t>
      </w:r>
      <w:r w:rsidRPr="00E3482E">
        <w:rPr>
          <w:color w:val="000000"/>
        </w:rPr>
        <w:t xml:space="preserve"> studies have demonstrated that rituximab sensitises drug-resistant human B-cell lymphoma lines to the cytotoxic effects of some chemotherapeutic agents.</w:t>
      </w:r>
    </w:p>
    <w:p w:rsidR="00440BD6" w:rsidRPr="00E3482E" w:rsidRDefault="00EC3103" w:rsidP="00EC3103">
      <w:pPr>
        <w:spacing w:before="120"/>
        <w:jc w:val="both"/>
        <w:rPr>
          <w:rStyle w:val="SubtleEmphasis"/>
          <w:color w:val="000000"/>
        </w:rPr>
      </w:pPr>
      <w:r w:rsidRPr="00E3482E">
        <w:rPr>
          <w:rStyle w:val="SubtleEmphasis"/>
          <w:color w:val="000000"/>
        </w:rPr>
        <w:t xml:space="preserve">Binding specificity </w:t>
      </w:r>
    </w:p>
    <w:p w:rsidR="001B1467" w:rsidRPr="00E3482E" w:rsidRDefault="00EC3103" w:rsidP="00EC3103">
      <w:pPr>
        <w:spacing w:before="120"/>
        <w:jc w:val="both"/>
        <w:rPr>
          <w:color w:val="000000"/>
        </w:rPr>
      </w:pPr>
      <w:r w:rsidRPr="00E3482E">
        <w:rPr>
          <w:color w:val="000000"/>
        </w:rPr>
        <w:t xml:space="preserve">In human tissue, the expression of the CD20 antigen is highly restricted; rituximab binding to CD20 was found only on lymphoid cells in the thymus, the white pulp of the spleen and a majority of B lymphocytes in peripheral blood and lymph nodes. Little or no non-specific binding was observed. </w:t>
      </w:r>
    </w:p>
    <w:p w:rsidR="00440BD6" w:rsidRPr="00E3482E" w:rsidRDefault="00EC3103" w:rsidP="00F82C3D">
      <w:pPr>
        <w:keepNext/>
        <w:spacing w:before="120"/>
        <w:jc w:val="both"/>
        <w:rPr>
          <w:rStyle w:val="SubtleEmphasis"/>
          <w:color w:val="000000"/>
          <w:u w:val="single"/>
        </w:rPr>
      </w:pPr>
      <w:r w:rsidRPr="00E3482E">
        <w:rPr>
          <w:rStyle w:val="SubtleEmphasis"/>
          <w:color w:val="000000"/>
          <w:u w:val="single"/>
        </w:rPr>
        <w:lastRenderedPageBreak/>
        <w:t xml:space="preserve">In vivo: </w:t>
      </w:r>
    </w:p>
    <w:p w:rsidR="00EC3103" w:rsidRPr="00E3482E" w:rsidRDefault="00EC3103" w:rsidP="00F82C3D">
      <w:pPr>
        <w:keepNext/>
        <w:spacing w:before="120"/>
        <w:jc w:val="both"/>
        <w:rPr>
          <w:color w:val="000000"/>
        </w:rPr>
      </w:pPr>
      <w:r w:rsidRPr="00E3482E">
        <w:rPr>
          <w:color w:val="000000"/>
        </w:rPr>
        <w:t xml:space="preserve">In </w:t>
      </w:r>
      <w:proofErr w:type="spellStart"/>
      <w:r w:rsidRPr="00E3482E">
        <w:rPr>
          <w:color w:val="000000"/>
        </w:rPr>
        <w:t>cynomolgus</w:t>
      </w:r>
      <w:proofErr w:type="spellEnd"/>
      <w:r w:rsidRPr="00E3482E">
        <w:rPr>
          <w:color w:val="000000"/>
        </w:rPr>
        <w:t xml:space="preserve"> monkeys, four or eight weekly doses of 269 mg/m</w:t>
      </w:r>
      <w:r w:rsidRPr="00E3482E">
        <w:rPr>
          <w:color w:val="000000"/>
          <w:vertAlign w:val="superscript"/>
        </w:rPr>
        <w:t>2</w:t>
      </w:r>
      <w:r w:rsidRPr="00E3482E">
        <w:rPr>
          <w:color w:val="000000"/>
        </w:rPr>
        <w:t xml:space="preserve"> of rituximab resulted in plasma concentrations </w:t>
      </w:r>
      <w:proofErr w:type="gramStart"/>
      <w:r w:rsidRPr="00E3482E">
        <w:rPr>
          <w:color w:val="000000"/>
        </w:rPr>
        <w:t xml:space="preserve">of 161 to 386 </w:t>
      </w:r>
      <w:r w:rsidR="00440BD6" w:rsidRPr="00E3482E">
        <w:rPr>
          <w:color w:val="000000"/>
        </w:rPr>
        <w:t>µ</w:t>
      </w:r>
      <w:r w:rsidRPr="00E3482E">
        <w:rPr>
          <w:color w:val="000000"/>
        </w:rPr>
        <w:t>g/mL,</w:t>
      </w:r>
      <w:proofErr w:type="gramEnd"/>
      <w:r w:rsidRPr="00E3482E">
        <w:rPr>
          <w:color w:val="000000"/>
        </w:rPr>
        <w:t xml:space="preserve"> approximately 24 hours after the first dose. Two weeks after the last dose, rituximab was still detected in the plasma of 3/6 monkeys treated for four weeks and in 4/6 monkeys treated for eight weeks.</w:t>
      </w:r>
    </w:p>
    <w:p w:rsidR="00440BD6" w:rsidRPr="00E3482E" w:rsidRDefault="00EC3103" w:rsidP="00440BD6">
      <w:pPr>
        <w:spacing w:before="120"/>
        <w:jc w:val="both"/>
        <w:rPr>
          <w:color w:val="000000"/>
        </w:rPr>
      </w:pPr>
      <w:r w:rsidRPr="00E3482E">
        <w:rPr>
          <w:color w:val="000000"/>
        </w:rPr>
        <w:t>B lymphocyte numbers were reduced by 99% or more in comparison with pre-test values in the peripheral blood of all monkeys, approximately 24 hours after the first dose. Two weeks after the last dose, B lymphocyte numbers were still reduced by more than 99% in 3/6 monkeys dosed for four weeks and in 4/6 monkeys dosed for eight weeks, and B lymphocyte numbers were also depleted in the mandibular lymph nodes and femoral bone marrow. A partial recovery of B lymphocyte numbers in the peripheral blood of some monkeys in both dose groups was correlated with the development of antibodies against rituximab.</w:t>
      </w:r>
    </w:p>
    <w:p w:rsidR="00440BD6" w:rsidRPr="00E3482E" w:rsidRDefault="00440BD6" w:rsidP="00440BD6">
      <w:pPr>
        <w:spacing w:before="120"/>
        <w:jc w:val="both"/>
        <w:rPr>
          <w:rStyle w:val="SubtleEmphasis"/>
          <w:color w:val="000000"/>
        </w:rPr>
      </w:pPr>
      <w:r w:rsidRPr="00E3482E">
        <w:rPr>
          <w:rStyle w:val="SubtleEmphasis"/>
          <w:color w:val="000000"/>
        </w:rPr>
        <w:t xml:space="preserve">Human Pharmacodynamics </w:t>
      </w:r>
    </w:p>
    <w:p w:rsidR="00440BD6" w:rsidRPr="00E3482E" w:rsidRDefault="00440BD6" w:rsidP="00440BD6">
      <w:pPr>
        <w:spacing w:before="120"/>
        <w:jc w:val="both"/>
        <w:rPr>
          <w:color w:val="000000"/>
        </w:rPr>
      </w:pPr>
      <w:r w:rsidRPr="00E3482E">
        <w:rPr>
          <w:color w:val="000000"/>
        </w:rPr>
        <w:t xml:space="preserve">A marked decline in median peripheral blood B-cell counts was seen beginning after the first dose of </w:t>
      </w:r>
      <w:r w:rsidR="00EA7542" w:rsidRPr="00E3482E">
        <w:rPr>
          <w:color w:val="000000"/>
        </w:rPr>
        <w:t>rituximab</w:t>
      </w:r>
      <w:r w:rsidRPr="00E3482E">
        <w:rPr>
          <w:color w:val="000000"/>
        </w:rPr>
        <w:t>.</w:t>
      </w:r>
    </w:p>
    <w:p w:rsidR="0031288A" w:rsidRPr="00E3482E" w:rsidRDefault="00440BD6" w:rsidP="00440BD6">
      <w:pPr>
        <w:spacing w:before="120"/>
        <w:jc w:val="both"/>
        <w:rPr>
          <w:color w:val="000000"/>
        </w:rPr>
      </w:pPr>
      <w:r w:rsidRPr="00E3482E">
        <w:rPr>
          <w:color w:val="000000"/>
        </w:rPr>
        <w:t>In patients treated for haematological malignancies, B-cell recovery began at approximately six months following the completion of treatment. Generally</w:t>
      </w:r>
      <w:r w:rsidR="004173DE" w:rsidRPr="00E3482E">
        <w:rPr>
          <w:color w:val="000000"/>
        </w:rPr>
        <w:t>,</w:t>
      </w:r>
      <w:r w:rsidRPr="00E3482E">
        <w:rPr>
          <w:color w:val="000000"/>
        </w:rPr>
        <w:t xml:space="preserve"> B-cell levels returned to normal within twelve months following completion of treatment, although in some patients this may take longer. In one clinical trial in approximately half of the patients with available data on B-cell recovery after end of </w:t>
      </w:r>
      <w:r w:rsidR="00EA7542" w:rsidRPr="00E3482E">
        <w:rPr>
          <w:color w:val="000000"/>
        </w:rPr>
        <w:t>rituximab</w:t>
      </w:r>
      <w:r w:rsidRPr="00E3482E">
        <w:rPr>
          <w:color w:val="000000"/>
        </w:rPr>
        <w:t xml:space="preserve"> induction treatment, it took 12 months or more for their B-cell levels to return to normal values (see </w:t>
      </w:r>
      <w:r w:rsidRPr="00E3482E">
        <w:rPr>
          <w:b/>
          <w:color w:val="000000"/>
        </w:rPr>
        <w:t>ADVERSE EFFECTS</w:t>
      </w:r>
      <w:r w:rsidRPr="00E3482E">
        <w:rPr>
          <w:color w:val="000000"/>
        </w:rPr>
        <w:t xml:space="preserve"> – </w:t>
      </w:r>
      <w:r w:rsidRPr="00E3482E">
        <w:rPr>
          <w:i/>
          <w:color w:val="000000"/>
        </w:rPr>
        <w:t xml:space="preserve">Further information on selected, serious adverse drug reactions, </w:t>
      </w:r>
      <w:proofErr w:type="spellStart"/>
      <w:r w:rsidRPr="00E3482E">
        <w:rPr>
          <w:i/>
          <w:color w:val="000000"/>
        </w:rPr>
        <w:t>Haematologic</w:t>
      </w:r>
      <w:proofErr w:type="spellEnd"/>
      <w:r w:rsidRPr="00E3482E">
        <w:rPr>
          <w:i/>
          <w:color w:val="000000"/>
        </w:rPr>
        <w:t xml:space="preserve"> Events, Maintenance Treatment (NHL) up to 2 years</w:t>
      </w:r>
      <w:r w:rsidRPr="00E3482E">
        <w:rPr>
          <w:color w:val="000000"/>
        </w:rPr>
        <w:t>).</w:t>
      </w:r>
    </w:p>
    <w:p w:rsidR="00440BD6" w:rsidRPr="00E3482E" w:rsidRDefault="00440BD6" w:rsidP="00440BD6">
      <w:pPr>
        <w:spacing w:before="120"/>
        <w:jc w:val="both"/>
        <w:rPr>
          <w:color w:val="000000"/>
        </w:rPr>
      </w:pPr>
      <w:r w:rsidRPr="00E3482E">
        <w:rPr>
          <w:color w:val="000000"/>
        </w:rPr>
        <w:t>In patients with RA, the duration of peripheral B cell depletion was variable. The majority of patients who received further treatment did so prior to full B cell recovery. A small proportion of patients (approximately 8%) had prolonged peripheral B-cell depletion (&lt; 80 cells/</w:t>
      </w:r>
      <w:proofErr w:type="spellStart"/>
      <w:r w:rsidRPr="00E3482E">
        <w:rPr>
          <w:color w:val="000000"/>
        </w:rPr>
        <w:t>μL</w:t>
      </w:r>
      <w:proofErr w:type="spellEnd"/>
      <w:r w:rsidRPr="00E3482E">
        <w:rPr>
          <w:color w:val="000000"/>
        </w:rPr>
        <w:t xml:space="preserve">) lasting 2 years or more after their last dose of </w:t>
      </w:r>
      <w:r w:rsidR="00EA7542" w:rsidRPr="00E3482E">
        <w:rPr>
          <w:color w:val="000000"/>
        </w:rPr>
        <w:t>rituximab</w:t>
      </w:r>
      <w:r w:rsidRPr="00E3482E">
        <w:rPr>
          <w:color w:val="000000"/>
        </w:rPr>
        <w:t>. Approximately a third of these patients had low B-cell counts (&lt;80 cells/</w:t>
      </w:r>
      <w:proofErr w:type="spellStart"/>
      <w:r w:rsidRPr="00E3482E">
        <w:rPr>
          <w:color w:val="000000"/>
        </w:rPr>
        <w:t>μL</w:t>
      </w:r>
      <w:proofErr w:type="spellEnd"/>
      <w:r w:rsidRPr="00E3482E">
        <w:rPr>
          <w:color w:val="000000"/>
        </w:rPr>
        <w:t xml:space="preserve">) prior to starting </w:t>
      </w:r>
      <w:r w:rsidR="00EA7542" w:rsidRPr="00E3482E">
        <w:rPr>
          <w:color w:val="000000"/>
        </w:rPr>
        <w:t>rituximab</w:t>
      </w:r>
      <w:r w:rsidRPr="00E3482E">
        <w:rPr>
          <w:color w:val="000000"/>
        </w:rPr>
        <w:t xml:space="preserve"> treatment.</w:t>
      </w:r>
    </w:p>
    <w:p w:rsidR="00440BD6" w:rsidRPr="00E3482E" w:rsidRDefault="00440BD6" w:rsidP="00440BD6">
      <w:pPr>
        <w:spacing w:before="120"/>
        <w:jc w:val="both"/>
        <w:rPr>
          <w:color w:val="000000"/>
        </w:rPr>
      </w:pPr>
      <w:r w:rsidRPr="00E3482E">
        <w:rPr>
          <w:color w:val="000000"/>
        </w:rPr>
        <w:t xml:space="preserve">In Granulomatosis with </w:t>
      </w:r>
      <w:proofErr w:type="spellStart"/>
      <w:r w:rsidRPr="00E3482E">
        <w:rPr>
          <w:color w:val="000000"/>
        </w:rPr>
        <w:t>polyangiitis</w:t>
      </w:r>
      <w:proofErr w:type="spellEnd"/>
      <w:r w:rsidRPr="00E3482E">
        <w:rPr>
          <w:color w:val="000000"/>
        </w:rPr>
        <w:t xml:space="preserve"> (Wegener’s) (GPA) and Microscopic </w:t>
      </w:r>
      <w:proofErr w:type="spellStart"/>
      <w:r w:rsidRPr="00E3482E">
        <w:rPr>
          <w:color w:val="000000"/>
        </w:rPr>
        <w:t>polyangiitis</w:t>
      </w:r>
      <w:proofErr w:type="spellEnd"/>
      <w:r w:rsidRPr="00E3482E">
        <w:rPr>
          <w:color w:val="000000"/>
        </w:rPr>
        <w:t xml:space="preserve"> (MPA) patients, peripheral blood CD19 B-cells depleted </w:t>
      </w:r>
      <w:proofErr w:type="gramStart"/>
      <w:r w:rsidRPr="00E3482E">
        <w:rPr>
          <w:color w:val="000000"/>
        </w:rPr>
        <w:t>to less than 10 cells/</w:t>
      </w:r>
      <w:proofErr w:type="spellStart"/>
      <w:r w:rsidRPr="00E3482E">
        <w:rPr>
          <w:color w:val="000000"/>
        </w:rPr>
        <w:t>μL</w:t>
      </w:r>
      <w:proofErr w:type="spellEnd"/>
      <w:r w:rsidRPr="00E3482E">
        <w:rPr>
          <w:color w:val="000000"/>
        </w:rPr>
        <w:t xml:space="preserve"> following the first two infusions of </w:t>
      </w:r>
      <w:r w:rsidR="00EA7542" w:rsidRPr="00E3482E">
        <w:rPr>
          <w:color w:val="000000"/>
        </w:rPr>
        <w:t>rituximab</w:t>
      </w:r>
      <w:proofErr w:type="gramEnd"/>
      <w:r w:rsidRPr="00E3482E">
        <w:rPr>
          <w:color w:val="000000"/>
        </w:rPr>
        <w:t xml:space="preserve"> and remained at that level in most patients through month 6.</w:t>
      </w:r>
    </w:p>
    <w:p w:rsidR="00EC294E" w:rsidRPr="00E3482E" w:rsidRDefault="00EC294E" w:rsidP="00EC294E">
      <w:pPr>
        <w:spacing w:before="120"/>
        <w:jc w:val="both"/>
        <w:rPr>
          <w:rStyle w:val="SubtleEmphasis"/>
          <w:color w:val="000000"/>
        </w:rPr>
      </w:pPr>
      <w:proofErr w:type="spellStart"/>
      <w:r w:rsidRPr="00E3482E">
        <w:rPr>
          <w:rStyle w:val="SubtleEmphasis"/>
          <w:color w:val="000000"/>
        </w:rPr>
        <w:t>Pharmacodynamic</w:t>
      </w:r>
      <w:proofErr w:type="spellEnd"/>
      <w:r w:rsidRPr="00E3482E">
        <w:rPr>
          <w:rStyle w:val="SubtleEmphasis"/>
          <w:color w:val="000000"/>
        </w:rPr>
        <w:t xml:space="preserve"> Comparability of </w:t>
      </w:r>
      <w:r w:rsidR="00982770">
        <w:rPr>
          <w:rStyle w:val="SubtleEmphasis"/>
          <w:color w:val="000000"/>
        </w:rPr>
        <w:t>RIXIMYO</w:t>
      </w:r>
      <w:r w:rsidR="00982770" w:rsidRPr="00C57076">
        <w:rPr>
          <w:rStyle w:val="SubtleEmphasis"/>
          <w:color w:val="000000"/>
          <w:vertAlign w:val="superscript"/>
        </w:rPr>
        <w:t>®</w:t>
      </w:r>
      <w:r w:rsidRPr="00E3482E">
        <w:rPr>
          <w:rStyle w:val="SubtleEmphasis"/>
          <w:color w:val="000000"/>
        </w:rPr>
        <w:t xml:space="preserve"> and </w:t>
      </w:r>
      <w:r w:rsidR="00A07E32">
        <w:rPr>
          <w:rStyle w:val="SubtleEmphasis"/>
          <w:color w:val="000000"/>
        </w:rPr>
        <w:t>MABTHERA</w:t>
      </w:r>
      <w:r w:rsidR="00A07E32" w:rsidRPr="00C57076">
        <w:rPr>
          <w:rStyle w:val="SubtleEmphasis"/>
          <w:color w:val="000000"/>
          <w:vertAlign w:val="superscript"/>
        </w:rPr>
        <w:t>®</w:t>
      </w:r>
    </w:p>
    <w:p w:rsidR="00EC294E" w:rsidRPr="00E3482E" w:rsidRDefault="00EC294E" w:rsidP="00EC294E">
      <w:pPr>
        <w:spacing w:before="120"/>
        <w:jc w:val="both"/>
        <w:rPr>
          <w:color w:val="000000"/>
        </w:rPr>
      </w:pPr>
      <w:r w:rsidRPr="00E3482E">
        <w:rPr>
          <w:color w:val="000000"/>
        </w:rPr>
        <w:t xml:space="preserve">The </w:t>
      </w:r>
      <w:proofErr w:type="spellStart"/>
      <w:r w:rsidRPr="00E3482E">
        <w:rPr>
          <w:color w:val="000000"/>
        </w:rPr>
        <w:t>pharmacodynamic</w:t>
      </w:r>
      <w:proofErr w:type="spellEnd"/>
      <w:r w:rsidRPr="00E3482E">
        <w:rPr>
          <w:color w:val="000000"/>
        </w:rPr>
        <w:t xml:space="preserve"> equivalence of </w:t>
      </w:r>
      <w:r w:rsidR="00982770">
        <w:rPr>
          <w:color w:val="000000"/>
          <w:lang w:val="en-GB"/>
        </w:rPr>
        <w:t>RIXIMYO</w:t>
      </w:r>
      <w:r w:rsidR="00982770" w:rsidRPr="00C57076">
        <w:rPr>
          <w:color w:val="000000"/>
          <w:vertAlign w:val="superscript"/>
          <w:lang w:val="en-GB"/>
        </w:rPr>
        <w:t>®</w:t>
      </w:r>
      <w:r w:rsidRPr="00E3482E">
        <w:rPr>
          <w:color w:val="000000"/>
          <w:lang w:val="en-GB"/>
        </w:rPr>
        <w:t xml:space="preserve"> </w:t>
      </w:r>
      <w:r w:rsidRPr="00E3482E">
        <w:rPr>
          <w:color w:val="000000"/>
        </w:rPr>
        <w:t xml:space="preserve">and </w:t>
      </w:r>
      <w:r w:rsidR="00982770">
        <w:rPr>
          <w:color w:val="000000"/>
        </w:rPr>
        <w:t>the reference</w:t>
      </w:r>
      <w:r w:rsidR="005C1767">
        <w:rPr>
          <w:color w:val="000000"/>
        </w:rPr>
        <w:t xml:space="preserve"> medicine</w:t>
      </w:r>
      <w:r w:rsidRPr="00E3482E">
        <w:rPr>
          <w:color w:val="000000"/>
        </w:rPr>
        <w:t xml:space="preserve">, in terms of depletion of peripheral B-cells, was demonstrated at 14 days following administration in patients with rheumatoid arthritis, with similarity in percentage B-cell depletion being maintained over 52 weeks of treatment. </w:t>
      </w:r>
    </w:p>
    <w:p w:rsidR="0066180B" w:rsidRPr="00E3482E" w:rsidRDefault="0066180B" w:rsidP="00F5092E">
      <w:pPr>
        <w:pStyle w:val="Heading2"/>
      </w:pPr>
      <w:r w:rsidRPr="00E3482E">
        <w:t>Pharmacokinetics</w:t>
      </w:r>
    </w:p>
    <w:p w:rsidR="0031288A" w:rsidRPr="00E3482E" w:rsidRDefault="00440BD6" w:rsidP="009A42F2">
      <w:pPr>
        <w:pStyle w:val="Heading3"/>
        <w:rPr>
          <w:color w:val="000000"/>
        </w:rPr>
      </w:pPr>
      <w:r w:rsidRPr="00E3482E">
        <w:rPr>
          <w:color w:val="000000"/>
        </w:rPr>
        <w:t>Non-Hodgkin’s Lymphoma</w:t>
      </w:r>
      <w:r w:rsidR="00F65515" w:rsidRPr="00E3482E">
        <w:rPr>
          <w:color w:val="000000"/>
        </w:rPr>
        <w:t xml:space="preserve"> (NHL)</w:t>
      </w:r>
    </w:p>
    <w:p w:rsidR="0031288A" w:rsidRPr="00E3482E" w:rsidRDefault="00440BD6" w:rsidP="00440BD6">
      <w:pPr>
        <w:spacing w:before="120"/>
        <w:jc w:val="both"/>
        <w:rPr>
          <w:color w:val="000000"/>
        </w:rPr>
      </w:pPr>
      <w:r w:rsidRPr="00E3482E">
        <w:rPr>
          <w:color w:val="000000"/>
        </w:rPr>
        <w:t>Based on a population pharmacokinetic analysis in 298 NHL patients who received single or multiple infusions of rituximab as a single agent or in combination with CHOP therapy, the typical population estimates of nonspecific clearance (CL</w:t>
      </w:r>
      <w:r w:rsidRPr="00E3482E">
        <w:rPr>
          <w:color w:val="000000"/>
          <w:vertAlign w:val="subscript"/>
        </w:rPr>
        <w:t>1</w:t>
      </w:r>
      <w:r w:rsidRPr="00E3482E">
        <w:rPr>
          <w:color w:val="000000"/>
        </w:rPr>
        <w:t>), specific clearance (CL</w:t>
      </w:r>
      <w:r w:rsidRPr="00E3482E">
        <w:rPr>
          <w:color w:val="000000"/>
          <w:vertAlign w:val="subscript"/>
        </w:rPr>
        <w:t>2</w:t>
      </w:r>
      <w:r w:rsidRPr="00E3482E">
        <w:rPr>
          <w:color w:val="000000"/>
        </w:rPr>
        <w:t>) likely contributed by B cells or tumour burden, and central compartment volume of distribution (V</w:t>
      </w:r>
      <w:r w:rsidRPr="00E3482E">
        <w:rPr>
          <w:color w:val="000000"/>
          <w:vertAlign w:val="subscript"/>
        </w:rPr>
        <w:t>1</w:t>
      </w:r>
      <w:r w:rsidRPr="00E3482E">
        <w:rPr>
          <w:color w:val="000000"/>
        </w:rPr>
        <w:t xml:space="preserve">) </w:t>
      </w:r>
      <w:r w:rsidRPr="00E3482E">
        <w:rPr>
          <w:color w:val="000000"/>
        </w:rPr>
        <w:lastRenderedPageBreak/>
        <w:t>were 0.14 L/day, 0.59 L/day, and 2.7 L, respectively. The estimated median terminal elimination half-life of rituximab was 22 days (range, 6.1 to 52 days). Baseline CD19-positive cell counts and size of measurable tumour lesions contributed to some of the variability in CL</w:t>
      </w:r>
      <w:r w:rsidRPr="00E3482E">
        <w:rPr>
          <w:color w:val="000000"/>
          <w:vertAlign w:val="subscript"/>
        </w:rPr>
        <w:t>2</w:t>
      </w:r>
      <w:r w:rsidRPr="00E3482E">
        <w:rPr>
          <w:color w:val="000000"/>
        </w:rPr>
        <w:t xml:space="preserve"> of rituximab in data from 161 patients given 375 mg/m</w:t>
      </w:r>
      <w:r w:rsidRPr="00E3482E">
        <w:rPr>
          <w:color w:val="000000"/>
          <w:vertAlign w:val="superscript"/>
        </w:rPr>
        <w:t>2</w:t>
      </w:r>
      <w:r w:rsidRPr="00E3482E">
        <w:rPr>
          <w:color w:val="000000"/>
        </w:rPr>
        <w:t xml:space="preserve"> as an intravenous (IV) infusion for 4 weekly doses. Patients with higher CD19-positive cell counts or tumour lesions had a higher CL</w:t>
      </w:r>
      <w:r w:rsidRPr="00E3482E">
        <w:rPr>
          <w:color w:val="000000"/>
          <w:vertAlign w:val="subscript"/>
        </w:rPr>
        <w:t>2</w:t>
      </w:r>
      <w:r w:rsidRPr="00E3482E">
        <w:rPr>
          <w:color w:val="000000"/>
        </w:rPr>
        <w:t>. However, a large component of inter-individual variability remained for CL</w:t>
      </w:r>
      <w:r w:rsidRPr="00E3482E">
        <w:rPr>
          <w:color w:val="000000"/>
          <w:vertAlign w:val="subscript"/>
        </w:rPr>
        <w:t>2</w:t>
      </w:r>
      <w:r w:rsidRPr="00E3482E">
        <w:rPr>
          <w:color w:val="000000"/>
        </w:rPr>
        <w:t xml:space="preserve"> after correction for CD19-positive cell counts and tumour lesion size. V</w:t>
      </w:r>
      <w:r w:rsidRPr="00E3482E">
        <w:rPr>
          <w:color w:val="000000"/>
          <w:vertAlign w:val="subscript"/>
        </w:rPr>
        <w:t>1</w:t>
      </w:r>
      <w:r w:rsidRPr="00E3482E">
        <w:rPr>
          <w:color w:val="000000"/>
        </w:rPr>
        <w:t xml:space="preserve"> varied by body surface area (BSA) and CHOP therapy. The variability in V</w:t>
      </w:r>
      <w:r w:rsidRPr="00E3482E">
        <w:rPr>
          <w:color w:val="000000"/>
          <w:vertAlign w:val="subscript"/>
        </w:rPr>
        <w:t>1</w:t>
      </w:r>
      <w:r w:rsidRPr="00E3482E">
        <w:rPr>
          <w:color w:val="000000"/>
        </w:rPr>
        <w:t xml:space="preserve"> caused by the range in BSA (1.53 to 2.32 m</w:t>
      </w:r>
      <w:r w:rsidRPr="00E3482E">
        <w:rPr>
          <w:color w:val="000000"/>
          <w:vertAlign w:val="superscript"/>
        </w:rPr>
        <w:t>2</w:t>
      </w:r>
      <w:r w:rsidRPr="00E3482E">
        <w:rPr>
          <w:color w:val="000000"/>
        </w:rPr>
        <w:t>) and concurrent CHOP therapy was relatively small (27.1% and 19% respectively). Age, gender, race, and WHO (World Health Organisation) performance status had no effect on the pharmacokinetics of rituximab. This analysis suggests that dose adjustment of rituximab with any of the tested covariates is not expected to result in a meaningful reduction in its pharmacokinetic variability.</w:t>
      </w:r>
    </w:p>
    <w:p w:rsidR="00F65515" w:rsidRPr="00E3482E" w:rsidRDefault="00F65515" w:rsidP="00F65515">
      <w:pPr>
        <w:spacing w:before="120"/>
        <w:jc w:val="both"/>
        <w:rPr>
          <w:color w:val="000000"/>
        </w:rPr>
      </w:pPr>
      <w:r w:rsidRPr="00E3482E">
        <w:rPr>
          <w:color w:val="000000"/>
        </w:rPr>
        <w:t>Rituximab at a dose of 375 mg/m</w:t>
      </w:r>
      <w:r w:rsidRPr="00E3482E">
        <w:rPr>
          <w:color w:val="000000"/>
          <w:vertAlign w:val="superscript"/>
        </w:rPr>
        <w:t>2</w:t>
      </w:r>
      <w:r w:rsidRPr="00E3482E">
        <w:rPr>
          <w:color w:val="000000"/>
        </w:rPr>
        <w:t xml:space="preserve"> was administered as an IV infusion at weekly intervals for 4 doses to 203 patients with NHL naïve to rituximab. The mean </w:t>
      </w:r>
      <w:proofErr w:type="spellStart"/>
      <w:r w:rsidRPr="00E3482E">
        <w:rPr>
          <w:color w:val="000000"/>
        </w:rPr>
        <w:t>C</w:t>
      </w:r>
      <w:r w:rsidRPr="00E3482E">
        <w:rPr>
          <w:color w:val="000000"/>
          <w:vertAlign w:val="subscript"/>
        </w:rPr>
        <w:t>max</w:t>
      </w:r>
      <w:proofErr w:type="spellEnd"/>
      <w:r w:rsidRPr="00E3482E">
        <w:rPr>
          <w:color w:val="000000"/>
        </w:rPr>
        <w:t xml:space="preserve"> following the fourth infusion was </w:t>
      </w:r>
      <w:proofErr w:type="gramStart"/>
      <w:r w:rsidRPr="00E3482E">
        <w:rPr>
          <w:color w:val="000000"/>
        </w:rPr>
        <w:t xml:space="preserve">486 </w:t>
      </w:r>
      <w:proofErr w:type="spellStart"/>
      <w:r w:rsidRPr="00E3482E">
        <w:rPr>
          <w:color w:val="000000"/>
        </w:rPr>
        <w:t>μg</w:t>
      </w:r>
      <w:proofErr w:type="spellEnd"/>
      <w:r w:rsidRPr="00E3482E">
        <w:rPr>
          <w:color w:val="000000"/>
        </w:rPr>
        <w:t xml:space="preserve">/mL (range 77.5 - 996.6 </w:t>
      </w:r>
      <w:proofErr w:type="spellStart"/>
      <w:r w:rsidRPr="00E3482E">
        <w:rPr>
          <w:color w:val="000000"/>
        </w:rPr>
        <w:t>μg</w:t>
      </w:r>
      <w:proofErr w:type="spellEnd"/>
      <w:r w:rsidRPr="00E3482E">
        <w:rPr>
          <w:color w:val="000000"/>
        </w:rPr>
        <w:t>/mL)</w:t>
      </w:r>
      <w:proofErr w:type="gramEnd"/>
      <w:r w:rsidRPr="00E3482E">
        <w:rPr>
          <w:color w:val="000000"/>
        </w:rPr>
        <w:t>. The peak and trough serum levels of rituximab were inversely correlated with baseline values for the number of circulating CD19-positive B-cells and measures of disease burden. Median steady-state serum levels were higher for responders compared with non-responders. Serum levels were higher in patients with International Working Formulation (IWF) subtypes B, C, and D as compared with those with subtype A.</w:t>
      </w:r>
    </w:p>
    <w:p w:rsidR="00F65515" w:rsidRPr="00E3482E" w:rsidRDefault="00F65515" w:rsidP="00F65515">
      <w:pPr>
        <w:spacing w:before="120"/>
        <w:jc w:val="both"/>
        <w:rPr>
          <w:color w:val="000000"/>
        </w:rPr>
      </w:pPr>
      <w:r w:rsidRPr="00E3482E">
        <w:rPr>
          <w:color w:val="000000"/>
        </w:rPr>
        <w:t>Rituximab was detectable in the serum of patients 3–6 months after completion of last treatment.</w:t>
      </w:r>
    </w:p>
    <w:p w:rsidR="00F65515" w:rsidRPr="00E3482E" w:rsidRDefault="00F65515" w:rsidP="00F65515">
      <w:pPr>
        <w:spacing w:before="120"/>
        <w:jc w:val="both"/>
        <w:rPr>
          <w:color w:val="000000"/>
        </w:rPr>
      </w:pPr>
      <w:r w:rsidRPr="00E3482E">
        <w:rPr>
          <w:color w:val="000000"/>
        </w:rPr>
        <w:t>Rituximab at a dose of 375 mg/m</w:t>
      </w:r>
      <w:r w:rsidRPr="00E3482E">
        <w:rPr>
          <w:color w:val="000000"/>
          <w:vertAlign w:val="superscript"/>
        </w:rPr>
        <w:t>2</w:t>
      </w:r>
      <w:r w:rsidRPr="00E3482E">
        <w:rPr>
          <w:color w:val="000000"/>
        </w:rPr>
        <w:t xml:space="preserve"> was administered as an IV infusion at weekly intervals for 8 doses to 37 patients with NHL. The mean </w:t>
      </w:r>
      <w:proofErr w:type="spellStart"/>
      <w:r w:rsidRPr="00E3482E">
        <w:rPr>
          <w:color w:val="000000"/>
        </w:rPr>
        <w:t>C</w:t>
      </w:r>
      <w:r w:rsidRPr="00E3482E">
        <w:rPr>
          <w:color w:val="000000"/>
          <w:vertAlign w:val="subscript"/>
        </w:rPr>
        <w:t>max</w:t>
      </w:r>
      <w:proofErr w:type="spellEnd"/>
      <w:r w:rsidRPr="00E3482E">
        <w:rPr>
          <w:color w:val="000000"/>
        </w:rPr>
        <w:t xml:space="preserve"> increased with each successive infusion, spanning from a mean of 243 </w:t>
      </w:r>
      <w:proofErr w:type="spellStart"/>
      <w:r w:rsidRPr="00E3482E">
        <w:rPr>
          <w:color w:val="000000"/>
        </w:rPr>
        <w:t>μg</w:t>
      </w:r>
      <w:proofErr w:type="spellEnd"/>
      <w:r w:rsidRPr="00E3482E">
        <w:rPr>
          <w:color w:val="000000"/>
        </w:rPr>
        <w:t xml:space="preserve">/mL (range, 16–582 </w:t>
      </w:r>
      <w:proofErr w:type="spellStart"/>
      <w:r w:rsidRPr="00E3482E">
        <w:rPr>
          <w:color w:val="000000"/>
        </w:rPr>
        <w:t>μg</w:t>
      </w:r>
      <w:proofErr w:type="spellEnd"/>
      <w:r w:rsidRPr="00E3482E">
        <w:rPr>
          <w:color w:val="000000"/>
        </w:rPr>
        <w:t xml:space="preserve">/mL) after the first infusion to 550 </w:t>
      </w:r>
      <w:proofErr w:type="spellStart"/>
      <w:r w:rsidRPr="00E3482E">
        <w:rPr>
          <w:color w:val="000000"/>
        </w:rPr>
        <w:t>μg</w:t>
      </w:r>
      <w:proofErr w:type="spellEnd"/>
      <w:r w:rsidRPr="00E3482E">
        <w:rPr>
          <w:color w:val="000000"/>
        </w:rPr>
        <w:t xml:space="preserve">/mL (range 171–1177 </w:t>
      </w:r>
      <w:proofErr w:type="spellStart"/>
      <w:r w:rsidRPr="00E3482E">
        <w:rPr>
          <w:color w:val="000000"/>
        </w:rPr>
        <w:t>μg</w:t>
      </w:r>
      <w:proofErr w:type="spellEnd"/>
      <w:r w:rsidRPr="00E3482E">
        <w:rPr>
          <w:color w:val="000000"/>
        </w:rPr>
        <w:t>/mL) after the eighth infusion.</w:t>
      </w:r>
    </w:p>
    <w:p w:rsidR="00F65515" w:rsidRPr="00E3482E" w:rsidRDefault="00F65515" w:rsidP="00F65515">
      <w:pPr>
        <w:spacing w:before="120"/>
        <w:jc w:val="both"/>
        <w:rPr>
          <w:color w:val="000000"/>
        </w:rPr>
      </w:pPr>
      <w:r w:rsidRPr="00E3482E">
        <w:rPr>
          <w:color w:val="000000"/>
        </w:rPr>
        <w:t>The pharmacokinetic profile of rituximab when administered as 6 infusions of 375 mg/m</w:t>
      </w:r>
      <w:r w:rsidRPr="00E3482E">
        <w:rPr>
          <w:color w:val="000000"/>
          <w:vertAlign w:val="superscript"/>
        </w:rPr>
        <w:t>2</w:t>
      </w:r>
      <w:r w:rsidRPr="00E3482E">
        <w:rPr>
          <w:color w:val="000000"/>
        </w:rPr>
        <w:t xml:space="preserve"> in combination with 6 cycles of CHOP chemotherapy was similar to that seen with rituximab alone.</w:t>
      </w:r>
    </w:p>
    <w:p w:rsidR="00F65515" w:rsidRPr="00E3482E" w:rsidRDefault="00F65515" w:rsidP="009A42F2">
      <w:pPr>
        <w:pStyle w:val="Heading3"/>
        <w:rPr>
          <w:color w:val="000000"/>
        </w:rPr>
      </w:pPr>
      <w:r w:rsidRPr="00E3482E">
        <w:rPr>
          <w:color w:val="000000"/>
        </w:rPr>
        <w:t>Chronic Lymphocytic Leukaemia (CLL)</w:t>
      </w:r>
    </w:p>
    <w:p w:rsidR="00F65515" w:rsidRPr="00E3482E" w:rsidRDefault="00F65515" w:rsidP="00F65515">
      <w:pPr>
        <w:spacing w:before="120"/>
        <w:jc w:val="both"/>
        <w:rPr>
          <w:color w:val="000000"/>
        </w:rPr>
      </w:pPr>
      <w:r w:rsidRPr="00E3482E">
        <w:rPr>
          <w:color w:val="000000"/>
        </w:rPr>
        <w:t>Rituximab was administered as an IV infusion at a first-cycle dose of 375 mg/m</w:t>
      </w:r>
      <w:r w:rsidRPr="00E3482E">
        <w:rPr>
          <w:color w:val="000000"/>
          <w:vertAlign w:val="superscript"/>
        </w:rPr>
        <w:t>2</w:t>
      </w:r>
      <w:r w:rsidRPr="00E3482E">
        <w:rPr>
          <w:color w:val="000000"/>
        </w:rPr>
        <w:t xml:space="preserve"> increased to 500 mg/m</w:t>
      </w:r>
      <w:r w:rsidRPr="00E3482E">
        <w:rPr>
          <w:color w:val="000000"/>
          <w:vertAlign w:val="superscript"/>
        </w:rPr>
        <w:t>2</w:t>
      </w:r>
      <w:r w:rsidRPr="00E3482E">
        <w:rPr>
          <w:color w:val="000000"/>
        </w:rPr>
        <w:t xml:space="preserve"> each cycle for a further 5 doses in combination with </w:t>
      </w:r>
      <w:proofErr w:type="spellStart"/>
      <w:r w:rsidRPr="00E3482E">
        <w:rPr>
          <w:color w:val="000000"/>
        </w:rPr>
        <w:t>fludarabine</w:t>
      </w:r>
      <w:proofErr w:type="spellEnd"/>
      <w:r w:rsidRPr="00E3482E">
        <w:rPr>
          <w:color w:val="000000"/>
        </w:rPr>
        <w:t xml:space="preserve"> and cyclophosphamide (FC) in CLL patients. The mean </w:t>
      </w:r>
      <w:proofErr w:type="spellStart"/>
      <w:r w:rsidRPr="00E3482E">
        <w:rPr>
          <w:color w:val="000000"/>
        </w:rPr>
        <w:t>C</w:t>
      </w:r>
      <w:r w:rsidRPr="00E3482E">
        <w:rPr>
          <w:color w:val="000000"/>
          <w:vertAlign w:val="subscript"/>
        </w:rPr>
        <w:t>max</w:t>
      </w:r>
      <w:proofErr w:type="spellEnd"/>
      <w:r w:rsidRPr="00E3482E">
        <w:rPr>
          <w:color w:val="000000"/>
        </w:rPr>
        <w:t xml:space="preserve"> (N=15) was 408 </w:t>
      </w:r>
      <w:proofErr w:type="spellStart"/>
      <w:r w:rsidRPr="00E3482E">
        <w:rPr>
          <w:color w:val="000000"/>
        </w:rPr>
        <w:t>μg</w:t>
      </w:r>
      <w:proofErr w:type="spellEnd"/>
      <w:r w:rsidRPr="00E3482E">
        <w:rPr>
          <w:color w:val="000000"/>
        </w:rPr>
        <w:t xml:space="preserve">/mL (range, 97–764 </w:t>
      </w:r>
      <w:proofErr w:type="spellStart"/>
      <w:r w:rsidRPr="00E3482E">
        <w:rPr>
          <w:color w:val="000000"/>
        </w:rPr>
        <w:t>μg</w:t>
      </w:r>
      <w:proofErr w:type="spellEnd"/>
      <w:r w:rsidRPr="00E3482E">
        <w:rPr>
          <w:color w:val="000000"/>
        </w:rPr>
        <w:t>/mL) after the fifth 500 mg/m</w:t>
      </w:r>
      <w:r w:rsidRPr="00E3482E">
        <w:rPr>
          <w:color w:val="000000"/>
          <w:vertAlign w:val="superscript"/>
        </w:rPr>
        <w:t>2</w:t>
      </w:r>
      <w:r w:rsidRPr="00E3482E">
        <w:rPr>
          <w:color w:val="000000"/>
        </w:rPr>
        <w:t xml:space="preserve"> infusion.</w:t>
      </w:r>
    </w:p>
    <w:p w:rsidR="00F65515" w:rsidRPr="00E3482E" w:rsidRDefault="00F65515" w:rsidP="009A42F2">
      <w:pPr>
        <w:pStyle w:val="Heading3"/>
        <w:rPr>
          <w:color w:val="000000"/>
        </w:rPr>
      </w:pPr>
      <w:r w:rsidRPr="00E3482E">
        <w:rPr>
          <w:color w:val="000000"/>
        </w:rPr>
        <w:t>Rheumatoid Arthritis</w:t>
      </w:r>
      <w:r w:rsidR="000E6331" w:rsidRPr="00E3482E">
        <w:rPr>
          <w:color w:val="000000"/>
        </w:rPr>
        <w:t xml:space="preserve"> (RA)</w:t>
      </w:r>
    </w:p>
    <w:p w:rsidR="00F65515" w:rsidRPr="00E3482E" w:rsidRDefault="00F65515" w:rsidP="00F65515">
      <w:pPr>
        <w:spacing w:before="120"/>
        <w:jc w:val="both"/>
        <w:rPr>
          <w:color w:val="000000"/>
        </w:rPr>
      </w:pPr>
      <w:r w:rsidRPr="00E3482E">
        <w:rPr>
          <w:color w:val="000000"/>
        </w:rPr>
        <w:t xml:space="preserve">Following two intravenous infusions of rituximab at a dose of 1000 mg, two weeks apart, the mean terminal half-life was 20.8 days (range 8.58 to 35.9 days), mean systemic clearance was 0.23 L/day (range 0.091 to 0.67 L/day), and mean steady-state distribution volume was 4.6 L (range 1.7 to 7.51 L). Population pharmacokinetic analysis of the same data gave similar mean values for systemic clearance and half-life, 0.26 L/day and 20.4 days, respectively. Population pharmacokinetic analysis revealed that BSA and gender were the most significant covariates to explain inter-individual variability in pharmacokinetic parameters. After adjusting for BSA, </w:t>
      </w:r>
      <w:r w:rsidRPr="00E3482E">
        <w:rPr>
          <w:color w:val="000000"/>
        </w:rPr>
        <w:lastRenderedPageBreak/>
        <w:t>male subjects had a larger volume of distribution and a faster clearance than female subjects. The gender related pharmacokinetic differences are not considered to be clinically relevant and dose adjustment is not required.</w:t>
      </w:r>
    </w:p>
    <w:p w:rsidR="00F65515" w:rsidRPr="00E3482E" w:rsidRDefault="00F65515" w:rsidP="00F65515">
      <w:pPr>
        <w:spacing w:before="120"/>
        <w:jc w:val="both"/>
        <w:rPr>
          <w:color w:val="000000"/>
        </w:rPr>
      </w:pPr>
      <w:r w:rsidRPr="00E3482E">
        <w:rPr>
          <w:color w:val="000000"/>
        </w:rPr>
        <w:t xml:space="preserve">The pharmacokinetics of rituximab </w:t>
      </w:r>
      <w:proofErr w:type="gramStart"/>
      <w:r w:rsidRPr="00E3482E">
        <w:rPr>
          <w:color w:val="000000"/>
        </w:rPr>
        <w:t>were</w:t>
      </w:r>
      <w:proofErr w:type="gramEnd"/>
      <w:r w:rsidRPr="00E3482E">
        <w:rPr>
          <w:color w:val="000000"/>
        </w:rPr>
        <w:t xml:space="preserve"> assessed following two IV doses of 500 mg and 1000 mg on days 1 and 15 in four studies. In all these studies, rituximab pharmacokinetics </w:t>
      </w:r>
      <w:proofErr w:type="gramStart"/>
      <w:r w:rsidRPr="00E3482E">
        <w:rPr>
          <w:color w:val="000000"/>
        </w:rPr>
        <w:t>were</w:t>
      </w:r>
      <w:proofErr w:type="gramEnd"/>
      <w:r w:rsidRPr="00E3482E">
        <w:rPr>
          <w:color w:val="000000"/>
        </w:rPr>
        <w:t xml:space="preserve"> dose proportional over the limited dose range studied. Mean </w:t>
      </w:r>
      <w:proofErr w:type="spellStart"/>
      <w:r w:rsidRPr="00E3482E">
        <w:rPr>
          <w:color w:val="000000"/>
        </w:rPr>
        <w:t>C</w:t>
      </w:r>
      <w:r w:rsidRPr="00E3482E">
        <w:rPr>
          <w:color w:val="000000"/>
          <w:vertAlign w:val="subscript"/>
        </w:rPr>
        <w:t>max</w:t>
      </w:r>
      <w:proofErr w:type="spellEnd"/>
      <w:r w:rsidRPr="00E3482E">
        <w:rPr>
          <w:color w:val="000000"/>
        </w:rPr>
        <w:t xml:space="preserve"> for serum rituximab following first infusion ranged from 157 </w:t>
      </w:r>
      <w:proofErr w:type="gramStart"/>
      <w:r w:rsidRPr="00E3482E">
        <w:rPr>
          <w:color w:val="000000"/>
        </w:rPr>
        <w:t xml:space="preserve">to 171 </w:t>
      </w:r>
      <w:proofErr w:type="spellStart"/>
      <w:r w:rsidRPr="00E3482E">
        <w:rPr>
          <w:color w:val="000000"/>
        </w:rPr>
        <w:t>μg</w:t>
      </w:r>
      <w:proofErr w:type="spellEnd"/>
      <w:r w:rsidRPr="00E3482E">
        <w:rPr>
          <w:color w:val="000000"/>
        </w:rPr>
        <w:t>/mL for 2 x 500 mg dose</w:t>
      </w:r>
      <w:proofErr w:type="gramEnd"/>
      <w:r w:rsidRPr="00E3482E">
        <w:rPr>
          <w:color w:val="000000"/>
        </w:rPr>
        <w:t xml:space="preserve"> and ranged from 298 to 341 </w:t>
      </w:r>
      <w:proofErr w:type="spellStart"/>
      <w:r w:rsidRPr="00E3482E">
        <w:rPr>
          <w:color w:val="000000"/>
        </w:rPr>
        <w:t>μg</w:t>
      </w:r>
      <w:proofErr w:type="spellEnd"/>
      <w:r w:rsidRPr="00E3482E">
        <w:rPr>
          <w:color w:val="000000"/>
        </w:rPr>
        <w:t xml:space="preserve">/mL for 2 x 1000 mg dose. Following second infusion, mean </w:t>
      </w:r>
      <w:proofErr w:type="spellStart"/>
      <w:r w:rsidRPr="00E3482E">
        <w:rPr>
          <w:color w:val="000000"/>
        </w:rPr>
        <w:t>C</w:t>
      </w:r>
      <w:r w:rsidRPr="00E3482E">
        <w:rPr>
          <w:color w:val="000000"/>
          <w:vertAlign w:val="subscript"/>
        </w:rPr>
        <w:t>max</w:t>
      </w:r>
      <w:proofErr w:type="spellEnd"/>
      <w:r w:rsidRPr="00E3482E">
        <w:rPr>
          <w:color w:val="000000"/>
        </w:rPr>
        <w:t xml:space="preserve"> ranged from 183 </w:t>
      </w:r>
      <w:proofErr w:type="gramStart"/>
      <w:r w:rsidRPr="00E3482E">
        <w:rPr>
          <w:color w:val="000000"/>
        </w:rPr>
        <w:t xml:space="preserve">to 198 </w:t>
      </w:r>
      <w:proofErr w:type="spellStart"/>
      <w:r w:rsidRPr="00E3482E">
        <w:rPr>
          <w:color w:val="000000"/>
        </w:rPr>
        <w:t>μg</w:t>
      </w:r>
      <w:proofErr w:type="spellEnd"/>
      <w:r w:rsidRPr="00E3482E">
        <w:rPr>
          <w:color w:val="000000"/>
        </w:rPr>
        <w:t>/mL for the 2 x 500 mg dose</w:t>
      </w:r>
      <w:proofErr w:type="gramEnd"/>
      <w:r w:rsidRPr="00E3482E">
        <w:rPr>
          <w:color w:val="000000"/>
        </w:rPr>
        <w:t xml:space="preserve"> and ranged from 355 to 404 </w:t>
      </w:r>
      <w:proofErr w:type="spellStart"/>
      <w:r w:rsidRPr="00E3482E">
        <w:rPr>
          <w:color w:val="000000"/>
        </w:rPr>
        <w:t>μg</w:t>
      </w:r>
      <w:proofErr w:type="spellEnd"/>
      <w:r w:rsidRPr="00E3482E">
        <w:rPr>
          <w:color w:val="000000"/>
        </w:rPr>
        <w:t xml:space="preserve">/mL for the 2 x 1000 mg dose. Mean terminal elimination half-life ranged from 15 to 16.5 days for the 2 x 500 mg dose group and 17 to 21 days for the 2 x 1000 mg dose group. Mean </w:t>
      </w:r>
      <w:proofErr w:type="spellStart"/>
      <w:r w:rsidRPr="00E3482E">
        <w:rPr>
          <w:color w:val="000000"/>
        </w:rPr>
        <w:t>C</w:t>
      </w:r>
      <w:r w:rsidRPr="00E3482E">
        <w:rPr>
          <w:color w:val="000000"/>
          <w:vertAlign w:val="subscript"/>
        </w:rPr>
        <w:t>max</w:t>
      </w:r>
      <w:proofErr w:type="spellEnd"/>
      <w:r w:rsidRPr="00E3482E">
        <w:rPr>
          <w:color w:val="000000"/>
        </w:rPr>
        <w:t xml:space="preserve"> was 16 to 19% higher following second infusion compared to the first infusion for both doses.</w:t>
      </w:r>
    </w:p>
    <w:p w:rsidR="00F65515" w:rsidRPr="00E3482E" w:rsidRDefault="00F65515" w:rsidP="00F65515">
      <w:pPr>
        <w:spacing w:before="120"/>
        <w:jc w:val="both"/>
        <w:rPr>
          <w:color w:val="000000"/>
        </w:rPr>
      </w:pPr>
      <w:r w:rsidRPr="00E3482E">
        <w:rPr>
          <w:color w:val="000000"/>
        </w:rPr>
        <w:t xml:space="preserve">Upon re-treatment with a second course the pharmacokinetics of rituximab were again assessed following two IV doses of 500 mg and 1000 mg. Mean </w:t>
      </w:r>
      <w:proofErr w:type="spellStart"/>
      <w:r w:rsidRPr="00E3482E">
        <w:rPr>
          <w:color w:val="000000"/>
        </w:rPr>
        <w:t>C</w:t>
      </w:r>
      <w:r w:rsidRPr="00E3482E">
        <w:rPr>
          <w:color w:val="000000"/>
          <w:vertAlign w:val="subscript"/>
        </w:rPr>
        <w:t>max</w:t>
      </w:r>
      <w:proofErr w:type="spellEnd"/>
      <w:r w:rsidRPr="00E3482E">
        <w:rPr>
          <w:color w:val="000000"/>
        </w:rPr>
        <w:t xml:space="preserve"> for serum rituximab following first infusion was 170 to 175 </w:t>
      </w:r>
      <w:proofErr w:type="spellStart"/>
      <w:r w:rsidRPr="00E3482E">
        <w:rPr>
          <w:color w:val="000000"/>
        </w:rPr>
        <w:t>μg</w:t>
      </w:r>
      <w:proofErr w:type="spellEnd"/>
      <w:r w:rsidRPr="00E3482E">
        <w:rPr>
          <w:color w:val="000000"/>
        </w:rPr>
        <w:t xml:space="preserve">/mL for 2 x 500 mg dose and 317 to 370 </w:t>
      </w:r>
      <w:proofErr w:type="spellStart"/>
      <w:r w:rsidRPr="00E3482E">
        <w:rPr>
          <w:color w:val="000000"/>
        </w:rPr>
        <w:t>μg</w:t>
      </w:r>
      <w:proofErr w:type="spellEnd"/>
      <w:r w:rsidRPr="00E3482E">
        <w:rPr>
          <w:color w:val="000000"/>
        </w:rPr>
        <w:t xml:space="preserve">/mL for 2 x 1000 mg dose. </w:t>
      </w:r>
      <w:proofErr w:type="spellStart"/>
      <w:r w:rsidRPr="00E3482E">
        <w:rPr>
          <w:color w:val="000000"/>
        </w:rPr>
        <w:t>C</w:t>
      </w:r>
      <w:r w:rsidRPr="00E3482E">
        <w:rPr>
          <w:color w:val="000000"/>
          <w:vertAlign w:val="subscript"/>
        </w:rPr>
        <w:t>max</w:t>
      </w:r>
      <w:proofErr w:type="spellEnd"/>
      <w:r w:rsidRPr="00E3482E">
        <w:rPr>
          <w:color w:val="000000"/>
        </w:rPr>
        <w:t xml:space="preserve"> following second </w:t>
      </w:r>
      <w:proofErr w:type="gramStart"/>
      <w:r w:rsidRPr="00E3482E">
        <w:rPr>
          <w:color w:val="000000"/>
        </w:rPr>
        <w:t>infusion,</w:t>
      </w:r>
      <w:proofErr w:type="gramEnd"/>
      <w:r w:rsidRPr="00E3482E">
        <w:rPr>
          <w:color w:val="000000"/>
        </w:rPr>
        <w:t xml:space="preserve"> was 207 </w:t>
      </w:r>
      <w:proofErr w:type="spellStart"/>
      <w:r w:rsidRPr="00E3482E">
        <w:rPr>
          <w:color w:val="000000"/>
        </w:rPr>
        <w:t>μg</w:t>
      </w:r>
      <w:proofErr w:type="spellEnd"/>
      <w:r w:rsidRPr="00E3482E">
        <w:rPr>
          <w:color w:val="000000"/>
        </w:rPr>
        <w:t xml:space="preserve">/mL for the 2 x 500 mg dose and ranged from 377 to 386 </w:t>
      </w:r>
      <w:proofErr w:type="spellStart"/>
      <w:r w:rsidRPr="00E3482E">
        <w:rPr>
          <w:color w:val="000000"/>
        </w:rPr>
        <w:t>μg</w:t>
      </w:r>
      <w:proofErr w:type="spellEnd"/>
      <w:r w:rsidRPr="00E3482E">
        <w:rPr>
          <w:color w:val="000000"/>
        </w:rPr>
        <w:t>/mL for the 2 x 1000 mg dose. Mean terminal elimination half-life after the second infusion, following the second course, was 19 days for 2 x 500 mg dose and ranged from 21 to 22 days for the 2 x 1000 mg dose. PK parameters for rituximab were comparable over the two treatment courses.</w:t>
      </w:r>
    </w:p>
    <w:p w:rsidR="00F65515" w:rsidRPr="00E3482E" w:rsidRDefault="00F65515" w:rsidP="009A42F2">
      <w:pPr>
        <w:pStyle w:val="Heading3"/>
        <w:rPr>
          <w:color w:val="000000"/>
        </w:rPr>
      </w:pPr>
      <w:r w:rsidRPr="00E3482E">
        <w:rPr>
          <w:color w:val="000000"/>
        </w:rPr>
        <w:t xml:space="preserve">Granulomatosis with </w:t>
      </w:r>
      <w:proofErr w:type="spellStart"/>
      <w:r w:rsidR="00E456A5" w:rsidRPr="00E3482E">
        <w:rPr>
          <w:color w:val="000000"/>
        </w:rPr>
        <w:t>p</w:t>
      </w:r>
      <w:r w:rsidRPr="00E3482E">
        <w:rPr>
          <w:color w:val="000000"/>
        </w:rPr>
        <w:t>olyangiitis</w:t>
      </w:r>
      <w:proofErr w:type="spellEnd"/>
      <w:r w:rsidRPr="00E3482E">
        <w:rPr>
          <w:color w:val="000000"/>
        </w:rPr>
        <w:t xml:space="preserve"> (We</w:t>
      </w:r>
      <w:r w:rsidR="00E456A5" w:rsidRPr="00E3482E">
        <w:rPr>
          <w:color w:val="000000"/>
        </w:rPr>
        <w:t xml:space="preserve">gener’s) (GPA) and Microscopic </w:t>
      </w:r>
      <w:proofErr w:type="spellStart"/>
      <w:r w:rsidR="00E456A5" w:rsidRPr="00E3482E">
        <w:rPr>
          <w:color w:val="000000"/>
        </w:rPr>
        <w:t>p</w:t>
      </w:r>
      <w:r w:rsidRPr="00E3482E">
        <w:rPr>
          <w:color w:val="000000"/>
        </w:rPr>
        <w:t>olyangiitis</w:t>
      </w:r>
      <w:proofErr w:type="spellEnd"/>
      <w:r w:rsidRPr="00E3482E">
        <w:rPr>
          <w:color w:val="000000"/>
        </w:rPr>
        <w:t xml:space="preserve"> (MPA) </w:t>
      </w:r>
    </w:p>
    <w:p w:rsidR="00F65515" w:rsidRPr="00E3482E" w:rsidRDefault="00F65515" w:rsidP="00F65515">
      <w:pPr>
        <w:spacing w:before="120"/>
        <w:jc w:val="both"/>
        <w:rPr>
          <w:color w:val="000000"/>
        </w:rPr>
      </w:pPr>
      <w:r w:rsidRPr="00E3482E">
        <w:rPr>
          <w:color w:val="000000"/>
        </w:rPr>
        <w:t>Based on the population pharmacokinetic analysis of data in 97 GPA and MPA patients who received 375 mg/m</w:t>
      </w:r>
      <w:r w:rsidRPr="00E3482E">
        <w:rPr>
          <w:color w:val="000000"/>
          <w:vertAlign w:val="superscript"/>
        </w:rPr>
        <w:t>2</w:t>
      </w:r>
      <w:r w:rsidRPr="00E3482E">
        <w:rPr>
          <w:color w:val="000000"/>
        </w:rPr>
        <w:t xml:space="preserve"> rituximab once weekly for four doses, the estimated median terminal elimination half-life was 23 days (range 9 to 49 days). Rituximab mean clearance and volume of distribution were 0.313 L/day (range 0.116 to 0.726 L/day) and 4.50 L (range 2.25 to 7.39 L), respectively. The PK parameters of rituximab in GPA and MPA patients appear similar to what has been observed in RA patients (see </w:t>
      </w:r>
      <w:r w:rsidRPr="00E3482E">
        <w:rPr>
          <w:b/>
          <w:color w:val="000000"/>
        </w:rPr>
        <w:t>Pharmacokinetics</w:t>
      </w:r>
      <w:r w:rsidRPr="00E3482E">
        <w:rPr>
          <w:color w:val="000000"/>
        </w:rPr>
        <w:t xml:space="preserve"> - </w:t>
      </w:r>
      <w:r w:rsidRPr="00E3482E">
        <w:rPr>
          <w:i/>
          <w:color w:val="000000"/>
        </w:rPr>
        <w:t>Rheumatoid Arthritis</w:t>
      </w:r>
      <w:r w:rsidRPr="00E3482E">
        <w:rPr>
          <w:color w:val="000000"/>
        </w:rPr>
        <w:t>).</w:t>
      </w:r>
    </w:p>
    <w:p w:rsidR="0031288A" w:rsidRPr="00E3482E" w:rsidRDefault="0031288A" w:rsidP="00BA56B3">
      <w:pPr>
        <w:rPr>
          <w:color w:val="000000"/>
        </w:rPr>
      </w:pPr>
    </w:p>
    <w:p w:rsidR="00EC294E" w:rsidRPr="00E3482E" w:rsidRDefault="00EC294E" w:rsidP="00F5092E">
      <w:pPr>
        <w:pStyle w:val="Heading2"/>
      </w:pPr>
      <w:r w:rsidRPr="00E3482E">
        <w:t xml:space="preserve">Pharmacokinetic Comparability of </w:t>
      </w:r>
      <w:r w:rsidR="00982770">
        <w:t>RIXIMYO</w:t>
      </w:r>
      <w:r w:rsidR="00982770" w:rsidRPr="00C57076">
        <w:rPr>
          <w:vertAlign w:val="superscript"/>
        </w:rPr>
        <w:t>®</w:t>
      </w:r>
      <w:r w:rsidR="00373CA9" w:rsidRPr="00E3482E">
        <w:t xml:space="preserve"> </w:t>
      </w:r>
      <w:r w:rsidRPr="00E3482E">
        <w:t xml:space="preserve">and </w:t>
      </w:r>
      <w:r w:rsidR="00A07E32">
        <w:t>MABTHERA</w:t>
      </w:r>
      <w:r w:rsidR="00A07E32" w:rsidRPr="00C57076">
        <w:rPr>
          <w:vertAlign w:val="superscript"/>
        </w:rPr>
        <w:t>®</w:t>
      </w:r>
    </w:p>
    <w:p w:rsidR="00EC294E" w:rsidRPr="00E3482E" w:rsidRDefault="00EC294E" w:rsidP="00373CA9">
      <w:pPr>
        <w:jc w:val="both"/>
        <w:rPr>
          <w:color w:val="000000"/>
        </w:rPr>
      </w:pPr>
      <w:r w:rsidRPr="00E3482E">
        <w:rPr>
          <w:color w:val="000000"/>
        </w:rPr>
        <w:t xml:space="preserve">In a pharmacokinetic, </w:t>
      </w:r>
      <w:proofErr w:type="spellStart"/>
      <w:r w:rsidRPr="00E3482E">
        <w:rPr>
          <w:color w:val="000000"/>
        </w:rPr>
        <w:t>pharmacodynamic</w:t>
      </w:r>
      <w:proofErr w:type="spellEnd"/>
      <w:r w:rsidRPr="00E3482E">
        <w:rPr>
          <w:color w:val="000000"/>
        </w:rPr>
        <w:t xml:space="preserve">, efficacy and safety study conducted in patients with active rheumatoid arthritis, </w:t>
      </w:r>
      <w:r w:rsidR="00982770">
        <w:rPr>
          <w:color w:val="000000"/>
          <w:lang w:val="en-GB"/>
        </w:rPr>
        <w:t>RIXIMYO</w:t>
      </w:r>
      <w:r w:rsidR="00982770" w:rsidRPr="00C57076">
        <w:rPr>
          <w:color w:val="000000"/>
          <w:vertAlign w:val="superscript"/>
          <w:lang w:val="en-GB"/>
        </w:rPr>
        <w:t>®</w:t>
      </w:r>
      <w:r w:rsidRPr="00E3482E">
        <w:rPr>
          <w:color w:val="000000"/>
          <w:lang w:val="en-GB"/>
        </w:rPr>
        <w:t xml:space="preserve"> </w:t>
      </w:r>
      <w:r w:rsidRPr="00E3482E">
        <w:rPr>
          <w:color w:val="000000"/>
        </w:rPr>
        <w:t>was show</w:t>
      </w:r>
      <w:r w:rsidR="00F82C3D">
        <w:rPr>
          <w:color w:val="000000"/>
        </w:rPr>
        <w:t>n</w:t>
      </w:r>
      <w:r w:rsidRPr="00E3482E">
        <w:rPr>
          <w:color w:val="000000"/>
        </w:rPr>
        <w:t xml:space="preserve"> to be bioequivalent to the reference medicine. A summary of the pivotal pharmacokinetic results </w:t>
      </w:r>
      <w:r w:rsidR="001C4349">
        <w:rPr>
          <w:color w:val="000000"/>
        </w:rPr>
        <w:t xml:space="preserve">including AUC and </w:t>
      </w:r>
      <w:proofErr w:type="spellStart"/>
      <w:r w:rsidR="001C4349">
        <w:rPr>
          <w:color w:val="000000"/>
        </w:rPr>
        <w:t>C</w:t>
      </w:r>
      <w:r w:rsidR="001C4349" w:rsidRPr="00975F83">
        <w:rPr>
          <w:color w:val="000000"/>
          <w:vertAlign w:val="subscript"/>
        </w:rPr>
        <w:t>max</w:t>
      </w:r>
      <w:proofErr w:type="spellEnd"/>
      <w:r w:rsidR="001C4349">
        <w:rPr>
          <w:color w:val="000000"/>
        </w:rPr>
        <w:t xml:space="preserve"> </w:t>
      </w:r>
      <w:r w:rsidR="00DD611C">
        <w:rPr>
          <w:color w:val="000000"/>
        </w:rPr>
        <w:t>is</w:t>
      </w:r>
      <w:r w:rsidRPr="00E3482E">
        <w:rPr>
          <w:color w:val="000000"/>
        </w:rPr>
        <w:t xml:space="preserve"> provided below.</w:t>
      </w:r>
    </w:p>
    <w:p w:rsidR="00EC294E" w:rsidRPr="00E3482E" w:rsidRDefault="00EC294E" w:rsidP="00EC294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600"/>
        <w:gridCol w:w="1066"/>
        <w:gridCol w:w="1885"/>
        <w:gridCol w:w="1827"/>
        <w:gridCol w:w="1828"/>
      </w:tblGrid>
      <w:tr w:rsidR="00EC294E" w:rsidRPr="00E3482E" w:rsidTr="00C329A1">
        <w:tc>
          <w:tcPr>
            <w:tcW w:w="1343" w:type="dxa"/>
            <w:vMerge w:val="restart"/>
            <w:shd w:val="clear" w:color="auto" w:fill="auto"/>
            <w:vAlign w:val="center"/>
          </w:tcPr>
          <w:p w:rsidR="00EC294E" w:rsidRPr="00E3482E" w:rsidRDefault="00EC294E" w:rsidP="00C329A1">
            <w:pPr>
              <w:jc w:val="center"/>
              <w:rPr>
                <w:b/>
                <w:color w:val="000000"/>
              </w:rPr>
            </w:pPr>
            <w:r w:rsidRPr="00E3482E">
              <w:rPr>
                <w:b/>
                <w:color w:val="000000"/>
              </w:rPr>
              <w:t>Parameter</w:t>
            </w:r>
          </w:p>
        </w:tc>
        <w:tc>
          <w:tcPr>
            <w:tcW w:w="1600" w:type="dxa"/>
            <w:vMerge w:val="restart"/>
            <w:shd w:val="clear" w:color="auto" w:fill="auto"/>
            <w:vAlign w:val="center"/>
          </w:tcPr>
          <w:p w:rsidR="00EC294E" w:rsidRPr="00E3482E" w:rsidRDefault="00EC294E" w:rsidP="00C329A1">
            <w:pPr>
              <w:jc w:val="center"/>
              <w:rPr>
                <w:b/>
                <w:color w:val="000000"/>
              </w:rPr>
            </w:pPr>
            <w:r w:rsidRPr="00E3482E">
              <w:rPr>
                <w:b/>
                <w:color w:val="000000"/>
              </w:rPr>
              <w:t>Treatment</w:t>
            </w:r>
          </w:p>
        </w:tc>
        <w:tc>
          <w:tcPr>
            <w:tcW w:w="1066" w:type="dxa"/>
            <w:vMerge w:val="restart"/>
            <w:shd w:val="clear" w:color="auto" w:fill="auto"/>
            <w:vAlign w:val="center"/>
          </w:tcPr>
          <w:p w:rsidR="00EC294E" w:rsidRPr="00E3482E" w:rsidRDefault="00EC294E" w:rsidP="00C329A1">
            <w:pPr>
              <w:jc w:val="center"/>
              <w:rPr>
                <w:b/>
                <w:color w:val="000000"/>
              </w:rPr>
            </w:pPr>
            <w:r w:rsidRPr="00E3482E">
              <w:rPr>
                <w:b/>
                <w:color w:val="000000"/>
              </w:rPr>
              <w:t>No. Patients</w:t>
            </w:r>
          </w:p>
        </w:tc>
        <w:tc>
          <w:tcPr>
            <w:tcW w:w="1885" w:type="dxa"/>
            <w:vMerge w:val="restart"/>
            <w:shd w:val="clear" w:color="auto" w:fill="auto"/>
            <w:vAlign w:val="center"/>
          </w:tcPr>
          <w:p w:rsidR="00EC294E" w:rsidRPr="00E3482E" w:rsidRDefault="00EC294E" w:rsidP="00C329A1">
            <w:pPr>
              <w:jc w:val="center"/>
              <w:rPr>
                <w:b/>
                <w:color w:val="000000"/>
              </w:rPr>
            </w:pPr>
            <w:r w:rsidRPr="00E3482E">
              <w:rPr>
                <w:b/>
                <w:color w:val="000000"/>
              </w:rPr>
              <w:t>Adjusted Geometric Mean</w:t>
            </w:r>
          </w:p>
        </w:tc>
        <w:tc>
          <w:tcPr>
            <w:tcW w:w="3655" w:type="dxa"/>
            <w:gridSpan w:val="2"/>
            <w:shd w:val="clear" w:color="auto" w:fill="auto"/>
            <w:vAlign w:val="center"/>
          </w:tcPr>
          <w:p w:rsidR="00EC294E" w:rsidRPr="00E3482E" w:rsidRDefault="00EC294E" w:rsidP="00C329A1">
            <w:pPr>
              <w:jc w:val="center"/>
              <w:rPr>
                <w:b/>
                <w:color w:val="000000"/>
              </w:rPr>
            </w:pPr>
            <w:r w:rsidRPr="00E3482E">
              <w:rPr>
                <w:b/>
                <w:color w:val="000000"/>
              </w:rPr>
              <w:t>Treatment Comparison</w:t>
            </w:r>
          </w:p>
        </w:tc>
      </w:tr>
      <w:tr w:rsidR="00EC294E" w:rsidRPr="00E3482E" w:rsidTr="00C329A1">
        <w:tc>
          <w:tcPr>
            <w:tcW w:w="1343" w:type="dxa"/>
            <w:vMerge/>
            <w:shd w:val="clear" w:color="auto" w:fill="auto"/>
          </w:tcPr>
          <w:p w:rsidR="00EC294E" w:rsidRPr="00E3482E" w:rsidRDefault="00EC294E" w:rsidP="00C329A1">
            <w:pPr>
              <w:rPr>
                <w:b/>
                <w:color w:val="000000"/>
              </w:rPr>
            </w:pPr>
          </w:p>
        </w:tc>
        <w:tc>
          <w:tcPr>
            <w:tcW w:w="1600" w:type="dxa"/>
            <w:vMerge/>
            <w:shd w:val="clear" w:color="auto" w:fill="auto"/>
          </w:tcPr>
          <w:p w:rsidR="00EC294E" w:rsidRPr="00E3482E" w:rsidRDefault="00EC294E" w:rsidP="00C329A1">
            <w:pPr>
              <w:rPr>
                <w:b/>
                <w:color w:val="000000"/>
              </w:rPr>
            </w:pPr>
          </w:p>
        </w:tc>
        <w:tc>
          <w:tcPr>
            <w:tcW w:w="1066" w:type="dxa"/>
            <w:vMerge/>
            <w:shd w:val="clear" w:color="auto" w:fill="auto"/>
          </w:tcPr>
          <w:p w:rsidR="00EC294E" w:rsidRPr="00E3482E" w:rsidRDefault="00EC294E" w:rsidP="00C329A1">
            <w:pPr>
              <w:rPr>
                <w:b/>
                <w:color w:val="000000"/>
              </w:rPr>
            </w:pPr>
          </w:p>
        </w:tc>
        <w:tc>
          <w:tcPr>
            <w:tcW w:w="1885" w:type="dxa"/>
            <w:vMerge/>
            <w:shd w:val="clear" w:color="auto" w:fill="auto"/>
          </w:tcPr>
          <w:p w:rsidR="00EC294E" w:rsidRPr="00E3482E" w:rsidRDefault="00EC294E" w:rsidP="00C329A1">
            <w:pPr>
              <w:rPr>
                <w:b/>
                <w:color w:val="000000"/>
              </w:rPr>
            </w:pPr>
          </w:p>
        </w:tc>
        <w:tc>
          <w:tcPr>
            <w:tcW w:w="1827" w:type="dxa"/>
            <w:shd w:val="clear" w:color="auto" w:fill="auto"/>
            <w:vAlign w:val="center"/>
          </w:tcPr>
          <w:p w:rsidR="00EC294E" w:rsidRPr="00E3482E" w:rsidRDefault="00EC294E" w:rsidP="00C329A1">
            <w:pPr>
              <w:jc w:val="center"/>
              <w:rPr>
                <w:b/>
                <w:color w:val="000000"/>
              </w:rPr>
            </w:pPr>
            <w:r w:rsidRPr="00E3482E">
              <w:rPr>
                <w:b/>
                <w:color w:val="000000"/>
              </w:rPr>
              <w:t>Geometric Mean Ratio</w:t>
            </w:r>
          </w:p>
        </w:tc>
        <w:tc>
          <w:tcPr>
            <w:tcW w:w="1828" w:type="dxa"/>
            <w:shd w:val="clear" w:color="auto" w:fill="auto"/>
            <w:vAlign w:val="center"/>
          </w:tcPr>
          <w:p w:rsidR="00EC294E" w:rsidRPr="00E3482E" w:rsidRDefault="00EC294E" w:rsidP="00C329A1">
            <w:pPr>
              <w:jc w:val="center"/>
              <w:rPr>
                <w:b/>
                <w:color w:val="000000"/>
              </w:rPr>
            </w:pPr>
            <w:r w:rsidRPr="00E3482E">
              <w:rPr>
                <w:b/>
                <w:color w:val="000000"/>
              </w:rPr>
              <w:t>90% CI of mean Ratio</w:t>
            </w:r>
          </w:p>
        </w:tc>
      </w:tr>
      <w:tr w:rsidR="00EC294E" w:rsidRPr="00E3482E" w:rsidTr="00373CA9">
        <w:tc>
          <w:tcPr>
            <w:tcW w:w="1343" w:type="dxa"/>
            <w:vMerge w:val="restart"/>
            <w:shd w:val="clear" w:color="auto" w:fill="auto"/>
          </w:tcPr>
          <w:p w:rsidR="00EC294E" w:rsidRPr="00A55491" w:rsidRDefault="00EC294E" w:rsidP="00C329A1">
            <w:pPr>
              <w:rPr>
                <w:color w:val="000000"/>
                <w:vertAlign w:val="superscript"/>
              </w:rPr>
            </w:pPr>
            <w:r w:rsidRPr="00E3482E">
              <w:rPr>
                <w:color w:val="000000"/>
              </w:rPr>
              <w:t>AUC</w:t>
            </w:r>
            <w:r w:rsidRPr="00E3482E">
              <w:rPr>
                <w:color w:val="000000"/>
                <w:vertAlign w:val="subscript"/>
              </w:rPr>
              <w:t>0-∞</w:t>
            </w:r>
            <w:r w:rsidRPr="00E3482E">
              <w:rPr>
                <w:color w:val="000000"/>
                <w:vertAlign w:val="subscript"/>
              </w:rPr>
              <w:br/>
            </w:r>
            <w:r w:rsidRPr="00E3482E">
              <w:rPr>
                <w:color w:val="000000"/>
                <w:sz w:val="22"/>
              </w:rPr>
              <w:t>(day µg/mL)</w:t>
            </w:r>
            <w:r w:rsidR="00A55491">
              <w:rPr>
                <w:color w:val="000000"/>
                <w:sz w:val="22"/>
                <w:vertAlign w:val="superscript"/>
              </w:rPr>
              <w:t>1</w:t>
            </w:r>
          </w:p>
        </w:tc>
        <w:tc>
          <w:tcPr>
            <w:tcW w:w="1600" w:type="dxa"/>
            <w:shd w:val="clear" w:color="auto" w:fill="auto"/>
          </w:tcPr>
          <w:p w:rsidR="00EC294E" w:rsidRPr="00E3482E" w:rsidRDefault="00982770" w:rsidP="00C329A1">
            <w:pPr>
              <w:rPr>
                <w:color w:val="000000"/>
              </w:rPr>
            </w:pPr>
            <w:r>
              <w:rPr>
                <w:color w:val="000000"/>
              </w:rPr>
              <w:t>RIXIMYO</w:t>
            </w:r>
            <w:r w:rsidRPr="00C57076">
              <w:rPr>
                <w:color w:val="000000"/>
                <w:vertAlign w:val="superscript"/>
              </w:rPr>
              <w:t>®</w:t>
            </w:r>
          </w:p>
        </w:tc>
        <w:tc>
          <w:tcPr>
            <w:tcW w:w="1066" w:type="dxa"/>
            <w:shd w:val="clear" w:color="auto" w:fill="auto"/>
          </w:tcPr>
          <w:p w:rsidR="00EC294E" w:rsidRPr="00E3482E" w:rsidRDefault="00EC294E" w:rsidP="00C329A1">
            <w:pPr>
              <w:rPr>
                <w:color w:val="000000"/>
              </w:rPr>
            </w:pPr>
            <w:r w:rsidRPr="00E3482E">
              <w:rPr>
                <w:color w:val="000000"/>
              </w:rPr>
              <w:t>75</w:t>
            </w:r>
          </w:p>
        </w:tc>
        <w:tc>
          <w:tcPr>
            <w:tcW w:w="1885" w:type="dxa"/>
            <w:shd w:val="clear" w:color="auto" w:fill="auto"/>
          </w:tcPr>
          <w:p w:rsidR="00EC294E" w:rsidRPr="00E3482E" w:rsidRDefault="00EC294E" w:rsidP="00C329A1">
            <w:pPr>
              <w:rPr>
                <w:color w:val="000000"/>
              </w:rPr>
            </w:pPr>
            <w:r w:rsidRPr="00E3482E">
              <w:rPr>
                <w:color w:val="000000"/>
              </w:rPr>
              <w:t>6738.51</w:t>
            </w:r>
          </w:p>
        </w:tc>
        <w:tc>
          <w:tcPr>
            <w:tcW w:w="1827" w:type="dxa"/>
            <w:vMerge w:val="restart"/>
            <w:shd w:val="clear" w:color="auto" w:fill="auto"/>
            <w:vAlign w:val="center"/>
          </w:tcPr>
          <w:p w:rsidR="00EC294E" w:rsidRPr="00E3482E" w:rsidRDefault="00EC294E" w:rsidP="00C329A1">
            <w:pPr>
              <w:jc w:val="center"/>
              <w:rPr>
                <w:color w:val="000000"/>
              </w:rPr>
            </w:pPr>
            <w:r w:rsidRPr="00E3482E">
              <w:rPr>
                <w:color w:val="000000"/>
              </w:rPr>
              <w:t>1.064</w:t>
            </w:r>
          </w:p>
        </w:tc>
        <w:tc>
          <w:tcPr>
            <w:tcW w:w="1828" w:type="dxa"/>
            <w:vMerge w:val="restart"/>
            <w:shd w:val="clear" w:color="auto" w:fill="auto"/>
            <w:vAlign w:val="center"/>
          </w:tcPr>
          <w:p w:rsidR="00EC294E" w:rsidRPr="00E3482E" w:rsidRDefault="00EC294E" w:rsidP="00C329A1">
            <w:pPr>
              <w:jc w:val="center"/>
              <w:rPr>
                <w:color w:val="000000"/>
              </w:rPr>
            </w:pPr>
            <w:r w:rsidRPr="00E3482E">
              <w:rPr>
                <w:color w:val="000000"/>
              </w:rPr>
              <w:t>0.968 - 1.169</w:t>
            </w:r>
          </w:p>
        </w:tc>
      </w:tr>
      <w:tr w:rsidR="00EC294E" w:rsidRPr="00E3482E" w:rsidTr="00373CA9">
        <w:tc>
          <w:tcPr>
            <w:tcW w:w="1343" w:type="dxa"/>
            <w:vMerge/>
            <w:shd w:val="clear" w:color="auto" w:fill="auto"/>
          </w:tcPr>
          <w:p w:rsidR="00EC294E" w:rsidRPr="00E3482E" w:rsidRDefault="00EC294E" w:rsidP="00C329A1">
            <w:pPr>
              <w:rPr>
                <w:color w:val="000000"/>
              </w:rPr>
            </w:pPr>
          </w:p>
        </w:tc>
        <w:tc>
          <w:tcPr>
            <w:tcW w:w="1600" w:type="dxa"/>
            <w:shd w:val="clear" w:color="auto" w:fill="auto"/>
          </w:tcPr>
          <w:p w:rsidR="00EC294E" w:rsidRPr="00E3482E" w:rsidRDefault="003629C5" w:rsidP="00C329A1">
            <w:pPr>
              <w:rPr>
                <w:color w:val="000000"/>
              </w:rPr>
            </w:pPr>
            <w:r w:rsidRPr="00E3482E">
              <w:rPr>
                <w:color w:val="000000"/>
              </w:rPr>
              <w:t>Reference Medicine</w:t>
            </w:r>
          </w:p>
        </w:tc>
        <w:tc>
          <w:tcPr>
            <w:tcW w:w="1066" w:type="dxa"/>
            <w:shd w:val="clear" w:color="auto" w:fill="auto"/>
          </w:tcPr>
          <w:p w:rsidR="00EC294E" w:rsidRPr="00E3482E" w:rsidRDefault="00EC294E" w:rsidP="00C329A1">
            <w:pPr>
              <w:rPr>
                <w:color w:val="000000"/>
              </w:rPr>
            </w:pPr>
            <w:r w:rsidRPr="00E3482E">
              <w:rPr>
                <w:color w:val="000000"/>
              </w:rPr>
              <w:t>70</w:t>
            </w:r>
          </w:p>
        </w:tc>
        <w:tc>
          <w:tcPr>
            <w:tcW w:w="1885" w:type="dxa"/>
            <w:shd w:val="clear" w:color="auto" w:fill="auto"/>
          </w:tcPr>
          <w:p w:rsidR="00EC294E" w:rsidRPr="00E3482E" w:rsidRDefault="00EC294E" w:rsidP="00C329A1">
            <w:pPr>
              <w:rPr>
                <w:color w:val="000000"/>
              </w:rPr>
            </w:pPr>
            <w:r w:rsidRPr="00E3482E">
              <w:rPr>
                <w:color w:val="000000"/>
              </w:rPr>
              <w:t>6334.41</w:t>
            </w:r>
          </w:p>
        </w:tc>
        <w:tc>
          <w:tcPr>
            <w:tcW w:w="1827" w:type="dxa"/>
            <w:vMerge/>
            <w:shd w:val="clear" w:color="auto" w:fill="auto"/>
          </w:tcPr>
          <w:p w:rsidR="00EC294E" w:rsidRPr="00E3482E" w:rsidRDefault="00EC294E" w:rsidP="00C329A1">
            <w:pPr>
              <w:rPr>
                <w:color w:val="000000"/>
              </w:rPr>
            </w:pPr>
          </w:p>
        </w:tc>
        <w:tc>
          <w:tcPr>
            <w:tcW w:w="1828" w:type="dxa"/>
            <w:vMerge/>
            <w:shd w:val="clear" w:color="auto" w:fill="auto"/>
          </w:tcPr>
          <w:p w:rsidR="00EC294E" w:rsidRPr="00E3482E" w:rsidRDefault="00EC294E" w:rsidP="00C329A1">
            <w:pPr>
              <w:rPr>
                <w:color w:val="000000"/>
              </w:rPr>
            </w:pPr>
          </w:p>
        </w:tc>
      </w:tr>
    </w:tbl>
    <w:p w:rsidR="00A55491" w:rsidRPr="003C177F" w:rsidRDefault="00A55491" w:rsidP="00EC294E">
      <w:pPr>
        <w:rPr>
          <w:color w:val="000000"/>
          <w:sz w:val="22"/>
        </w:rPr>
      </w:pPr>
      <w:r w:rsidRPr="00A55491">
        <w:rPr>
          <w:color w:val="000000"/>
          <w:sz w:val="22"/>
          <w:vertAlign w:val="superscript"/>
        </w:rPr>
        <w:lastRenderedPageBreak/>
        <w:t>1</w:t>
      </w:r>
      <w:r w:rsidR="00FE649F">
        <w:rPr>
          <w:color w:val="000000"/>
          <w:sz w:val="22"/>
          <w:vertAlign w:val="superscript"/>
        </w:rPr>
        <w:t xml:space="preserve"> </w:t>
      </w:r>
      <w:r w:rsidR="003C177F">
        <w:rPr>
          <w:color w:val="000000"/>
          <w:sz w:val="22"/>
        </w:rPr>
        <w:t>Evaluated over 24 weeks</w:t>
      </w:r>
      <w:r w:rsidR="00F90D10">
        <w:rPr>
          <w:color w:val="000000"/>
          <w:sz w:val="22"/>
        </w:rPr>
        <w:t xml:space="preserve"> and extrapolated to infinity</w:t>
      </w:r>
      <w:r w:rsidR="003C177F">
        <w:rPr>
          <w:color w:val="000000"/>
          <w:sz w:val="22"/>
        </w:rPr>
        <w:t>, after two intravenous infusions of 1000 mg two weeks apart as a treatment course.</w:t>
      </w:r>
    </w:p>
    <w:p w:rsidR="00DD611C" w:rsidRDefault="00DD611C" w:rsidP="00EC294E"/>
    <w:p w:rsidR="00A55491" w:rsidRDefault="001C4349" w:rsidP="00EC294E">
      <w:r w:rsidRPr="008F3F3A">
        <w:t xml:space="preserve">The ratio of the geometric means of </w:t>
      </w:r>
      <w:r>
        <w:rPr>
          <w:color w:val="000000"/>
          <w:lang w:val="en-GB"/>
        </w:rPr>
        <w:t>RIXIMYO</w:t>
      </w:r>
      <w:r w:rsidRPr="00C57076">
        <w:rPr>
          <w:color w:val="000000"/>
          <w:vertAlign w:val="superscript"/>
          <w:lang w:val="en-GB"/>
        </w:rPr>
        <w:t>®</w:t>
      </w:r>
      <w:r w:rsidRPr="008F3F3A">
        <w:t xml:space="preserve"> /M</w:t>
      </w:r>
      <w:r w:rsidR="00DD611C">
        <w:t>ABTHERA</w:t>
      </w:r>
      <w:r w:rsidR="00DD611C" w:rsidRPr="00C57076">
        <w:rPr>
          <w:color w:val="000000"/>
          <w:vertAlign w:val="superscript"/>
          <w:lang w:val="en-GB"/>
        </w:rPr>
        <w:t>®</w:t>
      </w:r>
      <w:r w:rsidRPr="008F3F3A">
        <w:t xml:space="preserve"> of C</w:t>
      </w:r>
      <w:r w:rsidRPr="00975F83">
        <w:rPr>
          <w:vertAlign w:val="subscript"/>
        </w:rPr>
        <w:t>max</w:t>
      </w:r>
      <w:r w:rsidRPr="008F3F3A">
        <w:t>1 was 1.133 and the corresponding 90% CI was [1.017, 1.262] with its upper limit slightly outside the standard bioequivalence limits [0.8, 1.25]. This was due to the high variability caused by longer duration and more escalation steps during the 1st infusion. The geometric mean ratio of C</w:t>
      </w:r>
      <w:r w:rsidRPr="00975F83">
        <w:rPr>
          <w:vertAlign w:val="subscript"/>
        </w:rPr>
        <w:t>max</w:t>
      </w:r>
      <w:r w:rsidRPr="008F3F3A">
        <w:t>2 was 1.036 with 90% CI [0.944, 1.138] and within the standard bioequivalence limits [0.8, 1.25]</w:t>
      </w:r>
      <w:r w:rsidRPr="00DF2DBF">
        <w:t xml:space="preserve">. </w:t>
      </w:r>
      <w:r>
        <w:t>T</w:t>
      </w:r>
      <w:r w:rsidRPr="008F3F3A">
        <w:t>herefore the criterion of bioequivalence was met</w:t>
      </w:r>
      <w:r>
        <w:t>.</w:t>
      </w:r>
    </w:p>
    <w:p w:rsidR="001C4349" w:rsidRPr="00A55491" w:rsidRDefault="001C4349" w:rsidP="00EC294E">
      <w:pPr>
        <w:rPr>
          <w:color w:val="000000"/>
        </w:rPr>
      </w:pPr>
    </w:p>
    <w:p w:rsidR="00EC294E" w:rsidRPr="00E3482E" w:rsidRDefault="00EC294E" w:rsidP="00F82C3D">
      <w:pPr>
        <w:pStyle w:val="PItext"/>
      </w:pPr>
      <w:r w:rsidRPr="00E3482E">
        <w:t xml:space="preserve">Further data to support the pharmacokinetic comparability of </w:t>
      </w:r>
      <w:r w:rsidR="00982770">
        <w:rPr>
          <w:lang w:val="en-GB"/>
        </w:rPr>
        <w:t>RIXIMYO</w:t>
      </w:r>
      <w:r w:rsidR="00982770" w:rsidRPr="00C57076">
        <w:rPr>
          <w:vertAlign w:val="superscript"/>
          <w:lang w:val="en-GB"/>
        </w:rPr>
        <w:t>®</w:t>
      </w:r>
      <w:r w:rsidRPr="00E3482E">
        <w:rPr>
          <w:lang w:val="en-GB"/>
        </w:rPr>
        <w:t xml:space="preserve"> </w:t>
      </w:r>
      <w:r w:rsidRPr="00E3482E">
        <w:t xml:space="preserve">and </w:t>
      </w:r>
      <w:r w:rsidR="003629C5" w:rsidRPr="00E3482E">
        <w:t>the reference medicine</w:t>
      </w:r>
      <w:r w:rsidR="003629C5">
        <w:t xml:space="preserve"> </w:t>
      </w:r>
      <w:r w:rsidRPr="00E3482E">
        <w:t xml:space="preserve">were obtained from a cohort of patients enrolled in the pivotal safety and efficacy study conducted in patients with follicular lymphoma. In this study, the </w:t>
      </w:r>
      <w:proofErr w:type="spellStart"/>
      <w:r w:rsidRPr="00E3482E">
        <w:t>C</w:t>
      </w:r>
      <w:r w:rsidRPr="00E3482E">
        <w:rPr>
          <w:vertAlign w:val="subscript"/>
        </w:rPr>
        <w:t>max</w:t>
      </w:r>
      <w:proofErr w:type="spellEnd"/>
      <w:r w:rsidRPr="00E3482E">
        <w:t xml:space="preserve"> for </w:t>
      </w:r>
      <w:r w:rsidR="00982770">
        <w:rPr>
          <w:lang w:val="en-GB"/>
        </w:rPr>
        <w:t>RIXIMYO</w:t>
      </w:r>
      <w:r w:rsidR="00982770" w:rsidRPr="003629C5">
        <w:rPr>
          <w:vertAlign w:val="superscript"/>
          <w:lang w:val="en-GB"/>
        </w:rPr>
        <w:t>®</w:t>
      </w:r>
      <w:r w:rsidRPr="00E3482E">
        <w:rPr>
          <w:lang w:val="en-GB"/>
        </w:rPr>
        <w:t xml:space="preserve"> </w:t>
      </w:r>
      <w:r w:rsidRPr="00E3482E">
        <w:t xml:space="preserve">and </w:t>
      </w:r>
      <w:r w:rsidR="003629C5" w:rsidRPr="00E3482E">
        <w:t xml:space="preserve">the reference medicine </w:t>
      </w:r>
      <w:r w:rsidRPr="00E3482E">
        <w:t>at near steady state was compared at Day 1 of the fourth cycle of treatment, with the reported geometric means ratio (</w:t>
      </w:r>
      <w:r w:rsidR="00982770">
        <w:rPr>
          <w:lang w:val="en-GB"/>
        </w:rPr>
        <w:t>RIXIMYO</w:t>
      </w:r>
      <w:r w:rsidR="00982770" w:rsidRPr="003629C5">
        <w:rPr>
          <w:vertAlign w:val="superscript"/>
          <w:lang w:val="en-GB"/>
        </w:rPr>
        <w:t>®</w:t>
      </w:r>
      <w:r w:rsidRPr="00E3482E">
        <w:t>/</w:t>
      </w:r>
      <w:r w:rsidR="003629C5" w:rsidRPr="003629C5">
        <w:t xml:space="preserve"> </w:t>
      </w:r>
      <w:r w:rsidR="003629C5" w:rsidRPr="00E3482E">
        <w:t>reference medicine</w:t>
      </w:r>
      <w:r w:rsidRPr="00E3482E">
        <w:t xml:space="preserve">) calculated to be 1.0 (90% confidence interval 0.925-1.09). The </w:t>
      </w:r>
      <w:proofErr w:type="spellStart"/>
      <w:r w:rsidRPr="00E3482E">
        <w:t>C</w:t>
      </w:r>
      <w:r w:rsidRPr="00E3482E">
        <w:rPr>
          <w:vertAlign w:val="subscript"/>
        </w:rPr>
        <w:t>max</w:t>
      </w:r>
      <w:proofErr w:type="spellEnd"/>
      <w:r w:rsidRPr="00E3482E">
        <w:t xml:space="preserve"> </w:t>
      </w:r>
      <w:r w:rsidR="00FE003C">
        <w:t>data</w:t>
      </w:r>
      <w:r w:rsidRPr="00E3482E">
        <w:t xml:space="preserve"> for </w:t>
      </w:r>
      <w:r w:rsidR="00982770">
        <w:rPr>
          <w:lang w:val="en-GB"/>
        </w:rPr>
        <w:t>RIXIMYO</w:t>
      </w:r>
      <w:r w:rsidR="00982770" w:rsidRPr="003629C5">
        <w:rPr>
          <w:vertAlign w:val="superscript"/>
          <w:lang w:val="en-GB"/>
        </w:rPr>
        <w:t>®</w:t>
      </w:r>
      <w:r w:rsidRPr="00E3482E">
        <w:rPr>
          <w:lang w:val="en-GB"/>
        </w:rPr>
        <w:t xml:space="preserve"> </w:t>
      </w:r>
      <w:r w:rsidRPr="00E3482E">
        <w:t xml:space="preserve">and </w:t>
      </w:r>
      <w:r w:rsidR="003629C5" w:rsidRPr="00E3482E">
        <w:t xml:space="preserve">the reference medicine </w:t>
      </w:r>
      <w:r w:rsidRPr="00E3482E">
        <w:t>at Day 1 of the eighth treatment cycle were also comparable</w:t>
      </w:r>
      <w:r w:rsidR="002F22CA">
        <w:t xml:space="preserve">. The </w:t>
      </w:r>
      <w:proofErr w:type="spellStart"/>
      <w:r w:rsidR="003F1402">
        <w:t>C</w:t>
      </w:r>
      <w:r w:rsidR="003F1402" w:rsidRPr="005746B3">
        <w:rPr>
          <w:vertAlign w:val="subscript"/>
        </w:rPr>
        <w:t>trough</w:t>
      </w:r>
      <w:proofErr w:type="spellEnd"/>
      <w:r w:rsidR="003F1402">
        <w:t xml:space="preserve"> data at Day 1 of treatment cycles 4 </w:t>
      </w:r>
      <w:r w:rsidR="002F22CA">
        <w:t xml:space="preserve">(around steady-state) </w:t>
      </w:r>
      <w:r w:rsidR="003F1402">
        <w:t>and 8 were broadly comparable across arms</w:t>
      </w:r>
      <w:r w:rsidRPr="00E3482E">
        <w:t xml:space="preserve">. </w:t>
      </w:r>
      <w:r w:rsidRPr="00E3482E">
        <w:rPr>
          <w:b/>
        </w:rPr>
        <w:t xml:space="preserve"> </w:t>
      </w:r>
    </w:p>
    <w:p w:rsidR="0066180B" w:rsidRDefault="0066180B" w:rsidP="00F11870">
      <w:pPr>
        <w:pStyle w:val="Heading1"/>
        <w:rPr>
          <w:lang w:val="en-GB"/>
        </w:rPr>
      </w:pPr>
      <w:r w:rsidRPr="00E3482E">
        <w:rPr>
          <w:lang w:val="en-GB"/>
        </w:rPr>
        <w:t>CLINICAL TRIALS</w:t>
      </w:r>
    </w:p>
    <w:p w:rsidR="00BF1193" w:rsidRPr="00975F83" w:rsidRDefault="00BF1193" w:rsidP="00975F83">
      <w:pPr>
        <w:pStyle w:val="paragraph"/>
        <w:rPr>
          <w:b/>
          <w:i/>
          <w:lang w:val="en-GB"/>
        </w:rPr>
      </w:pPr>
      <w:r w:rsidRPr="00975F83">
        <w:rPr>
          <w:b/>
          <w:i/>
          <w:lang w:val="en-GB"/>
        </w:rPr>
        <w:t>Clinical Trials with MABTHERA</w:t>
      </w:r>
      <w:r w:rsidR="003F52A1" w:rsidRPr="00975F83">
        <w:rPr>
          <w:b/>
          <w:color w:val="000000"/>
          <w:vertAlign w:val="superscript"/>
          <w:lang w:val="en-GB"/>
        </w:rPr>
        <w:t>®</w:t>
      </w:r>
    </w:p>
    <w:p w:rsidR="00F15B76" w:rsidRPr="00E3482E" w:rsidRDefault="00F15B76" w:rsidP="00F5092E">
      <w:pPr>
        <w:pStyle w:val="HeadingUnderlined"/>
      </w:pPr>
      <w:r w:rsidRPr="00E3482E">
        <w:t>Non-Hodgkin’s Lymphoma</w:t>
      </w:r>
    </w:p>
    <w:p w:rsidR="00F15B76" w:rsidRPr="00E3482E" w:rsidRDefault="00F15B76" w:rsidP="009A42F2">
      <w:pPr>
        <w:pStyle w:val="Heading3"/>
        <w:rPr>
          <w:color w:val="000000"/>
        </w:rPr>
      </w:pPr>
      <w:r w:rsidRPr="00E3482E">
        <w:rPr>
          <w:color w:val="000000"/>
        </w:rPr>
        <w:t xml:space="preserve">Relapsed/Refractory Low Grade or Follicular </w:t>
      </w:r>
      <w:r w:rsidR="006B432A" w:rsidRPr="00E3482E">
        <w:rPr>
          <w:color w:val="000000"/>
        </w:rPr>
        <w:t>n</w:t>
      </w:r>
      <w:r w:rsidRPr="00E3482E">
        <w:rPr>
          <w:color w:val="000000"/>
        </w:rPr>
        <w:t>on-Hodgkin’s Lymphoma</w:t>
      </w:r>
    </w:p>
    <w:p w:rsidR="00941BB0" w:rsidRPr="00E3482E" w:rsidRDefault="00941BB0" w:rsidP="00941BB0">
      <w:pPr>
        <w:spacing w:before="120"/>
        <w:jc w:val="both"/>
        <w:rPr>
          <w:i/>
          <w:color w:val="000000"/>
        </w:rPr>
      </w:pPr>
      <w:r w:rsidRPr="00E3482E">
        <w:rPr>
          <w:i/>
          <w:color w:val="000000"/>
        </w:rPr>
        <w:t xml:space="preserve">Monotherapy </w:t>
      </w:r>
    </w:p>
    <w:p w:rsidR="00941BB0" w:rsidRPr="00E3482E" w:rsidRDefault="00941BB0" w:rsidP="00EA7542">
      <w:pPr>
        <w:spacing w:before="120"/>
        <w:jc w:val="both"/>
        <w:rPr>
          <w:color w:val="000000"/>
          <w:lang w:val="en-GB"/>
        </w:rPr>
      </w:pPr>
      <w:r w:rsidRPr="00E3482E">
        <w:rPr>
          <w:color w:val="000000"/>
          <w:lang w:val="en-GB"/>
        </w:rPr>
        <w:t>In the pivotal study, an open label, single arm trial of 166 patients with relapsed or refractory low-grade or follicular B-cell NHL, subjects received 375 mg/m</w:t>
      </w:r>
      <w:r w:rsidRPr="00E3482E">
        <w:rPr>
          <w:color w:val="000000"/>
          <w:vertAlign w:val="superscript"/>
          <w:lang w:val="en-GB"/>
        </w:rPr>
        <w:t>2</w:t>
      </w:r>
      <w:r w:rsidRPr="00E3482E">
        <w:rPr>
          <w:color w:val="000000"/>
          <w:lang w:val="en-GB"/>
        </w:rPr>
        <w:t xml:space="preserve"> of </w:t>
      </w:r>
      <w:r w:rsidR="00EA7542" w:rsidRPr="00E3482E">
        <w:rPr>
          <w:color w:val="000000"/>
          <w:lang w:val="en-GB"/>
        </w:rPr>
        <w:t>rituximab</w:t>
      </w:r>
      <w:r w:rsidRPr="00E3482E">
        <w:rPr>
          <w:color w:val="000000"/>
          <w:lang w:val="en-GB"/>
        </w:rPr>
        <w:t xml:space="preserve"> as an IV infusion once a week for four weeks (4 doses). The overall response rate (ORR) in the intent-to-treat (ITT) population was 48% (CI</w:t>
      </w:r>
      <w:r w:rsidRPr="00E3482E">
        <w:rPr>
          <w:color w:val="000000"/>
          <w:vertAlign w:val="subscript"/>
          <w:lang w:val="en-GB"/>
        </w:rPr>
        <w:t>95%</w:t>
      </w:r>
      <w:r w:rsidR="00EA7542" w:rsidRPr="00E3482E">
        <w:rPr>
          <w:color w:val="000000"/>
          <w:lang w:val="en-GB"/>
        </w:rPr>
        <w:t xml:space="preserve">: </w:t>
      </w:r>
      <w:r w:rsidRPr="00E3482E">
        <w:rPr>
          <w:color w:val="000000"/>
          <w:lang w:val="en-GB"/>
        </w:rPr>
        <w:t>41% – 56%), comprising a 6% complete response (CR) and 42% partial response (PR). The projected median time to progression (TTP) for responding patients was 13.0 months.</w:t>
      </w:r>
    </w:p>
    <w:p w:rsidR="00941BB0" w:rsidRPr="00E3482E" w:rsidRDefault="00941BB0" w:rsidP="00EA7542">
      <w:pPr>
        <w:spacing w:before="120"/>
        <w:jc w:val="both"/>
        <w:rPr>
          <w:color w:val="000000"/>
          <w:lang w:val="en-GB"/>
        </w:rPr>
      </w:pPr>
      <w:r w:rsidRPr="00E3482E">
        <w:rPr>
          <w:color w:val="000000"/>
          <w:lang w:val="en-GB"/>
        </w:rPr>
        <w:t>In a subgroup analysis, the ORR was significantly higher in patients with IWF B, C, and D histological subtypes as compared to IWF A subtype (58% vs. 12%) and in patients with prior autologous bone marrow transplantation (ABMT) compared to those with no prior ABMT (78%</w:t>
      </w:r>
      <w:r w:rsidR="00094B27" w:rsidRPr="00E3482E">
        <w:rPr>
          <w:color w:val="000000"/>
          <w:lang w:val="en-GB"/>
        </w:rPr>
        <w:t> </w:t>
      </w:r>
      <w:r w:rsidRPr="00E3482E">
        <w:rPr>
          <w:color w:val="000000"/>
          <w:lang w:val="en-GB"/>
        </w:rPr>
        <w:t xml:space="preserve">vs. 43%). Age, sex, lymphoma grade, years since initial diagnosis, presence or absence of bulky disease, normal or high LDH, or presence of </w:t>
      </w:r>
      <w:proofErr w:type="spellStart"/>
      <w:r w:rsidRPr="00E3482E">
        <w:rPr>
          <w:color w:val="000000"/>
          <w:lang w:val="en-GB"/>
        </w:rPr>
        <w:t>extranodal</w:t>
      </w:r>
      <w:proofErr w:type="spellEnd"/>
      <w:r w:rsidRPr="00E3482E">
        <w:rPr>
          <w:color w:val="000000"/>
          <w:lang w:val="en-GB"/>
        </w:rPr>
        <w:t xml:space="preserve"> disease did not have a significant effect (Fisher’s exact test) on response to </w:t>
      </w:r>
      <w:r w:rsidR="00EA7542" w:rsidRPr="00E3482E">
        <w:rPr>
          <w:color w:val="000000"/>
          <w:lang w:val="en-GB"/>
        </w:rPr>
        <w:t>rituximab</w:t>
      </w:r>
      <w:r w:rsidRPr="00E3482E">
        <w:rPr>
          <w:color w:val="000000"/>
          <w:lang w:val="en-GB"/>
        </w:rPr>
        <w:t>.</w:t>
      </w:r>
    </w:p>
    <w:p w:rsidR="00EA7542" w:rsidRPr="00E3482E" w:rsidRDefault="00EA7542" w:rsidP="00EA7542">
      <w:pPr>
        <w:spacing w:before="120"/>
        <w:jc w:val="both"/>
        <w:rPr>
          <w:color w:val="000000"/>
          <w:lang w:val="en-GB"/>
        </w:rPr>
      </w:pPr>
      <w:r w:rsidRPr="00E3482E">
        <w:rPr>
          <w:color w:val="000000"/>
          <w:lang w:val="en-GB"/>
        </w:rPr>
        <w:t>ORR was also significantly higher in patients with no bone marrow involvement compared to those with bone marrow involvement (59% vs. 40%). This finding was not supported by a stepwise logistic regression analysis in which the following factors were identified as prognostic factors: histologic type, bcl-2 positivity at baseline, resistance to last chemotherapy and bulky disease.</w:t>
      </w:r>
    </w:p>
    <w:p w:rsidR="00EA7542" w:rsidRPr="00E3482E" w:rsidRDefault="00EA7542" w:rsidP="00EA7542">
      <w:pPr>
        <w:spacing w:before="120"/>
        <w:jc w:val="both"/>
        <w:rPr>
          <w:i/>
          <w:color w:val="000000"/>
        </w:rPr>
      </w:pPr>
      <w:r w:rsidRPr="00E3482E">
        <w:rPr>
          <w:i/>
          <w:color w:val="000000"/>
        </w:rPr>
        <w:lastRenderedPageBreak/>
        <w:t xml:space="preserve">Re-treatment </w:t>
      </w:r>
    </w:p>
    <w:p w:rsidR="00EA7542" w:rsidRPr="00E3482E" w:rsidRDefault="00EA7542" w:rsidP="00EA7542">
      <w:pPr>
        <w:spacing w:before="120"/>
        <w:jc w:val="both"/>
        <w:rPr>
          <w:color w:val="000000"/>
          <w:lang w:val="en-GB"/>
        </w:rPr>
      </w:pPr>
      <w:r w:rsidRPr="00E3482E">
        <w:rPr>
          <w:color w:val="000000"/>
          <w:lang w:val="en-GB"/>
        </w:rPr>
        <w:t>In a multicentre, single-arm study, 58 patients with relapsed or refractory low grade or follicular B-cell NHL, who had achieved an objective clinical response to a prior course of rituximab, were re-treated with 375 mg/m</w:t>
      </w:r>
      <w:r w:rsidRPr="00E3482E">
        <w:rPr>
          <w:color w:val="000000"/>
          <w:vertAlign w:val="superscript"/>
          <w:lang w:val="en-GB"/>
        </w:rPr>
        <w:t>2</w:t>
      </w:r>
      <w:r w:rsidRPr="00E3482E">
        <w:rPr>
          <w:color w:val="000000"/>
          <w:lang w:val="en-GB"/>
        </w:rPr>
        <w:t xml:space="preserve"> of rituximab as IV infusion weekly for four doses. Three of the patients had received two courses of rituximab before enrolment and thus were given a third course in the study. Two patients were re-treated twice in the study. For the 60 re-treatments on study, the ORR was 38% (CR 10% and PR 28%) with a projected median TTP for responding patients of 17.8 months (range 5.4 – 26.6). This compares favourably with the TTP achieved after the prior course of rituximab of 12.4 months.</w:t>
      </w:r>
    </w:p>
    <w:p w:rsidR="00EA7542" w:rsidRPr="00E3482E" w:rsidRDefault="00EA7542" w:rsidP="00EA7542">
      <w:pPr>
        <w:spacing w:before="120"/>
        <w:jc w:val="both"/>
        <w:rPr>
          <w:i/>
          <w:color w:val="000000"/>
        </w:rPr>
      </w:pPr>
      <w:r w:rsidRPr="00E3482E">
        <w:rPr>
          <w:i/>
          <w:color w:val="000000"/>
        </w:rPr>
        <w:t xml:space="preserve">Bulky disease </w:t>
      </w:r>
    </w:p>
    <w:p w:rsidR="00EA7542" w:rsidRPr="00E3482E" w:rsidRDefault="00EA7542" w:rsidP="00EA7542">
      <w:pPr>
        <w:spacing w:before="120"/>
        <w:jc w:val="both"/>
        <w:rPr>
          <w:color w:val="000000"/>
          <w:lang w:val="en-GB"/>
        </w:rPr>
      </w:pPr>
      <w:r w:rsidRPr="00E3482E">
        <w:rPr>
          <w:color w:val="000000"/>
          <w:lang w:val="en-GB"/>
        </w:rPr>
        <w:t>In pooled data from three studies, 39 patients with relapsed or refractory, bulky disease (single lesion ≥10 cm in diameter), low-grade or follicular B-cell NHL received 375 mg/m</w:t>
      </w:r>
      <w:r w:rsidRPr="00E3482E">
        <w:rPr>
          <w:color w:val="000000"/>
          <w:vertAlign w:val="superscript"/>
          <w:lang w:val="en-GB"/>
        </w:rPr>
        <w:t>2</w:t>
      </w:r>
      <w:r w:rsidRPr="00E3482E">
        <w:rPr>
          <w:color w:val="000000"/>
          <w:lang w:val="en-GB"/>
        </w:rPr>
        <w:t xml:space="preserve"> of rituximab given as an IV infusion once weekly for four doses. The overall response rate (ORR) was 36% (CR 3%, PR 33%) with a median TTP for responding patients of 9.6 months (range 4.5 to 26.8 months).</w:t>
      </w:r>
    </w:p>
    <w:p w:rsidR="00EA7542" w:rsidRPr="00E3482E" w:rsidRDefault="00EA7542" w:rsidP="00EA7542">
      <w:pPr>
        <w:spacing w:before="120"/>
        <w:jc w:val="both"/>
        <w:rPr>
          <w:i/>
          <w:color w:val="000000"/>
        </w:rPr>
      </w:pPr>
      <w:r w:rsidRPr="00E3482E">
        <w:rPr>
          <w:i/>
          <w:color w:val="000000"/>
        </w:rPr>
        <w:t xml:space="preserve">Clinical laboratory findings </w:t>
      </w:r>
    </w:p>
    <w:p w:rsidR="00EA7542" w:rsidRPr="00E3482E" w:rsidRDefault="00EA7542" w:rsidP="00EA7542">
      <w:pPr>
        <w:spacing w:before="120"/>
        <w:jc w:val="both"/>
        <w:rPr>
          <w:color w:val="000000"/>
          <w:lang w:val="en-GB"/>
        </w:rPr>
      </w:pPr>
      <w:r w:rsidRPr="00E3482E">
        <w:rPr>
          <w:color w:val="000000"/>
          <w:u w:val="single"/>
          <w:lang w:val="en-GB"/>
        </w:rPr>
        <w:t>Molecular Genetic Markers</w:t>
      </w:r>
      <w:r w:rsidRPr="00E3482E">
        <w:rPr>
          <w:color w:val="000000"/>
          <w:lang w:val="en-GB"/>
        </w:rPr>
        <w:t>: Results from the exploratory analysis of the bcl-2 gene rearrangement showed that samples of peripheral blood obtained at baseline were positive for the bcl-2 rearrangement (bcl-2 positive) by nested Polymerase Chain Reaction (PCR) in 70 (42%) of the 166 enrolled patients. Of these 70 patients, 55 patients had a follow-up blood sample at 3 months and more than 60% showed a conversion to negative bcl-2 gene rearrangement.</w:t>
      </w:r>
    </w:p>
    <w:p w:rsidR="006B432A" w:rsidRPr="00E3482E" w:rsidRDefault="006B432A" w:rsidP="006B432A">
      <w:pPr>
        <w:spacing w:before="120"/>
        <w:jc w:val="both"/>
        <w:rPr>
          <w:color w:val="000000"/>
          <w:lang w:val="en-GB"/>
        </w:rPr>
      </w:pPr>
      <w:r w:rsidRPr="00E3482E">
        <w:rPr>
          <w:color w:val="000000"/>
          <w:lang w:val="en-GB"/>
        </w:rPr>
        <w:t>With regard to bone marrow assessment, of 71 (45%) of the 166 enrolled patients who were bcl-2 positive in marrow at baseline, 22 were assessed for bcl-2 rearrangement at 3 months. Of these, 12 (55%) were bcl-2 negative at three months.</w:t>
      </w:r>
    </w:p>
    <w:p w:rsidR="006B432A" w:rsidRPr="00E3482E" w:rsidRDefault="006B432A" w:rsidP="006B432A">
      <w:pPr>
        <w:spacing w:before="120"/>
        <w:jc w:val="both"/>
        <w:rPr>
          <w:color w:val="000000"/>
          <w:lang w:val="en-GB"/>
        </w:rPr>
      </w:pPr>
      <w:r w:rsidRPr="00E3482E">
        <w:rPr>
          <w:color w:val="000000"/>
          <w:lang w:val="en-GB"/>
        </w:rPr>
        <w:t xml:space="preserve">Of 67 patients evaluated for human anti-mouse antibody (HAMA), none were positive. Of 356 patients evaluated for HACA, 1.1% (4 patients) </w:t>
      </w:r>
      <w:proofErr w:type="gramStart"/>
      <w:r w:rsidRPr="00E3482E">
        <w:rPr>
          <w:color w:val="000000"/>
          <w:lang w:val="en-GB"/>
        </w:rPr>
        <w:t>were</w:t>
      </w:r>
      <w:proofErr w:type="gramEnd"/>
      <w:r w:rsidRPr="00E3482E">
        <w:rPr>
          <w:color w:val="000000"/>
          <w:lang w:val="en-GB"/>
        </w:rPr>
        <w:t xml:space="preserve"> positive.</w:t>
      </w:r>
    </w:p>
    <w:p w:rsidR="006B432A" w:rsidRPr="00E3482E" w:rsidRDefault="006B432A" w:rsidP="00DA6308">
      <w:pPr>
        <w:pStyle w:val="Heading3"/>
        <w:keepNext/>
        <w:rPr>
          <w:color w:val="000000"/>
        </w:rPr>
      </w:pPr>
      <w:r w:rsidRPr="00E3482E">
        <w:rPr>
          <w:color w:val="000000"/>
        </w:rPr>
        <w:t>Previously Untreated Follicular non-Hodgkin’s Lymphoma</w:t>
      </w:r>
    </w:p>
    <w:p w:rsidR="006B432A" w:rsidRPr="00E3482E" w:rsidRDefault="006B432A" w:rsidP="00DA6308">
      <w:pPr>
        <w:keepNext/>
        <w:spacing w:before="120"/>
        <w:jc w:val="both"/>
        <w:rPr>
          <w:i/>
          <w:color w:val="000000"/>
        </w:rPr>
      </w:pPr>
      <w:r w:rsidRPr="00E3482E">
        <w:rPr>
          <w:i/>
          <w:color w:val="000000"/>
        </w:rPr>
        <w:t xml:space="preserve">Combination with chemotherapy </w:t>
      </w:r>
    </w:p>
    <w:p w:rsidR="006B432A" w:rsidRPr="00E3482E" w:rsidRDefault="006B432A" w:rsidP="006B432A">
      <w:pPr>
        <w:spacing w:before="120"/>
        <w:jc w:val="both"/>
        <w:rPr>
          <w:color w:val="000000"/>
          <w:lang w:val="en-GB"/>
        </w:rPr>
      </w:pPr>
      <w:r w:rsidRPr="00E3482E">
        <w:rPr>
          <w:color w:val="000000"/>
          <w:lang w:val="en-GB"/>
        </w:rPr>
        <w:t>In an open-label randomised study (M39021), a total of 322 previously untreated Stage III or IV follicular B cell NHL patients were randomised to receive either CVP chemotherapy (cyclophosphamide 750 mg/m2, vincristine 1.4 mg/m</w:t>
      </w:r>
      <w:r w:rsidRPr="00E3482E">
        <w:rPr>
          <w:color w:val="000000"/>
          <w:vertAlign w:val="superscript"/>
          <w:lang w:val="en-GB"/>
        </w:rPr>
        <w:t>2</w:t>
      </w:r>
      <w:r w:rsidRPr="00E3482E">
        <w:rPr>
          <w:color w:val="000000"/>
          <w:lang w:val="en-GB"/>
        </w:rPr>
        <w:t xml:space="preserve"> up to a maximum of 2 mg on day 1, and prednisolone 40 mg/m</w:t>
      </w:r>
      <w:r w:rsidRPr="00E3482E">
        <w:rPr>
          <w:color w:val="000000"/>
          <w:vertAlign w:val="superscript"/>
          <w:lang w:val="en-GB"/>
        </w:rPr>
        <w:t>2</w:t>
      </w:r>
      <w:r w:rsidRPr="00E3482E">
        <w:rPr>
          <w:color w:val="000000"/>
          <w:lang w:val="en-GB"/>
        </w:rPr>
        <w:t>/day on days 1–5) every 3 weeks for 8 cycles or rituximab 375 mg/m</w:t>
      </w:r>
      <w:r w:rsidRPr="00E3482E">
        <w:rPr>
          <w:color w:val="000000"/>
          <w:vertAlign w:val="superscript"/>
          <w:lang w:val="en-GB"/>
        </w:rPr>
        <w:t>2</w:t>
      </w:r>
      <w:r w:rsidRPr="00E3482E">
        <w:rPr>
          <w:color w:val="000000"/>
          <w:lang w:val="en-GB"/>
        </w:rPr>
        <w:t xml:space="preserve"> in combination with CVP (R-CVP). Rituximab was administered on the first day of each treatment cycle. A total of 321 patients (162 R-CVP, 159 CVP) received therapy and were analysed for efficacy.</w:t>
      </w:r>
    </w:p>
    <w:p w:rsidR="006B432A" w:rsidRPr="00E3482E" w:rsidRDefault="006B432A" w:rsidP="006B432A">
      <w:pPr>
        <w:spacing w:before="120"/>
        <w:jc w:val="both"/>
        <w:rPr>
          <w:color w:val="000000"/>
          <w:lang w:val="en-GB"/>
        </w:rPr>
      </w:pPr>
      <w:r w:rsidRPr="00E3482E">
        <w:rPr>
          <w:color w:val="000000"/>
          <w:lang w:val="en-GB"/>
        </w:rPr>
        <w:t>The median follow-up of patients was 53 months. Addition of rituximab to CVP significantly increased time to treatment failure (the primary endpoint), tumour response, progression-free survival (PFS) and overall survival (OS) (Table 1).</w:t>
      </w:r>
    </w:p>
    <w:p w:rsidR="00474891" w:rsidRPr="00E3482E" w:rsidRDefault="00474891" w:rsidP="004278AA">
      <w:pPr>
        <w:pStyle w:val="Tabletitle"/>
        <w:spacing w:before="200"/>
        <w:ind w:left="964" w:hanging="964"/>
        <w:rPr>
          <w:color w:val="000000"/>
          <w:sz w:val="23"/>
          <w:szCs w:val="23"/>
        </w:rPr>
      </w:pPr>
      <w:r w:rsidRPr="00E3482E">
        <w:rPr>
          <w:color w:val="000000"/>
          <w:sz w:val="23"/>
          <w:szCs w:val="23"/>
        </w:rPr>
        <w:lastRenderedPageBreak/>
        <w:t>Table 1</w:t>
      </w:r>
      <w:r w:rsidR="004278AA" w:rsidRPr="00E3482E">
        <w:rPr>
          <w:color w:val="000000"/>
          <w:sz w:val="23"/>
          <w:szCs w:val="23"/>
        </w:rPr>
        <w:t>:</w:t>
      </w:r>
      <w:r w:rsidR="004278AA" w:rsidRPr="00E3482E">
        <w:rPr>
          <w:color w:val="000000"/>
          <w:sz w:val="23"/>
          <w:szCs w:val="23"/>
        </w:rPr>
        <w:tab/>
      </w:r>
      <w:r w:rsidR="006B432A" w:rsidRPr="00E3482E">
        <w:rPr>
          <w:color w:val="000000"/>
          <w:sz w:val="23"/>
          <w:szCs w:val="23"/>
        </w:rPr>
        <w:t>Summary of key results from study M39021</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0"/>
        <w:gridCol w:w="1134"/>
        <w:gridCol w:w="1275"/>
        <w:gridCol w:w="2552"/>
      </w:tblGrid>
      <w:tr w:rsidR="001228CD" w:rsidRPr="00E3482E" w:rsidTr="00F437E8">
        <w:tc>
          <w:tcPr>
            <w:tcW w:w="4500"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50066F">
            <w:pPr>
              <w:pStyle w:val="Text"/>
              <w:jc w:val="lef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1228CD">
            <w:pPr>
              <w:pStyle w:val="Text"/>
              <w:spacing w:before="0"/>
              <w:jc w:val="center"/>
              <w:rPr>
                <w:b/>
                <w:bCs/>
                <w:color w:val="000000"/>
                <w:sz w:val="22"/>
                <w:szCs w:val="22"/>
              </w:rPr>
            </w:pPr>
            <w:r w:rsidRPr="00E3482E">
              <w:rPr>
                <w:b/>
                <w:bCs/>
                <w:color w:val="000000"/>
                <w:sz w:val="22"/>
                <w:szCs w:val="22"/>
              </w:rPr>
              <w:t>CVP</w:t>
            </w:r>
          </w:p>
          <w:p w:rsidR="001228CD" w:rsidRPr="00E3482E" w:rsidRDefault="001228CD" w:rsidP="001228CD">
            <w:pPr>
              <w:pStyle w:val="Text"/>
              <w:spacing w:before="0" w:line="269" w:lineRule="auto"/>
              <w:jc w:val="center"/>
              <w:rPr>
                <w:b/>
                <w:color w:val="000000"/>
                <w:sz w:val="22"/>
                <w:szCs w:val="22"/>
              </w:rPr>
            </w:pPr>
            <w:r w:rsidRPr="00E3482E">
              <w:rPr>
                <w:b/>
                <w:bCs/>
                <w:color w:val="000000"/>
                <w:sz w:val="22"/>
                <w:szCs w:val="22"/>
              </w:rPr>
              <w:t>(N=159)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1228CD">
            <w:pPr>
              <w:pStyle w:val="Text"/>
              <w:spacing w:before="0"/>
              <w:jc w:val="center"/>
              <w:rPr>
                <w:b/>
                <w:color w:val="000000"/>
                <w:sz w:val="22"/>
                <w:szCs w:val="22"/>
              </w:rPr>
            </w:pPr>
            <w:r w:rsidRPr="00E3482E">
              <w:rPr>
                <w:b/>
                <w:color w:val="000000"/>
                <w:sz w:val="22"/>
                <w:szCs w:val="22"/>
              </w:rPr>
              <w:t>R-CVP</w:t>
            </w:r>
          </w:p>
          <w:p w:rsidR="001228CD" w:rsidRPr="00E3482E" w:rsidRDefault="001228CD" w:rsidP="001228CD">
            <w:pPr>
              <w:pStyle w:val="Text"/>
              <w:spacing w:before="0" w:line="269" w:lineRule="auto"/>
              <w:jc w:val="center"/>
              <w:rPr>
                <w:b/>
                <w:color w:val="000000"/>
                <w:sz w:val="22"/>
                <w:szCs w:val="22"/>
              </w:rPr>
            </w:pPr>
            <w:r w:rsidRPr="00E3482E">
              <w:rPr>
                <w:b/>
                <w:color w:val="000000"/>
                <w:sz w:val="22"/>
                <w:szCs w:val="22"/>
              </w:rPr>
              <w:t>(N=162)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F437E8">
            <w:pPr>
              <w:pStyle w:val="Text"/>
              <w:spacing w:before="40" w:line="269" w:lineRule="auto"/>
              <w:jc w:val="center"/>
              <w:rPr>
                <w:b/>
                <w:color w:val="000000"/>
                <w:sz w:val="22"/>
                <w:szCs w:val="22"/>
              </w:rPr>
            </w:pPr>
            <w:r w:rsidRPr="00E3482E">
              <w:rPr>
                <w:b/>
                <w:color w:val="000000"/>
                <w:sz w:val="22"/>
                <w:szCs w:val="22"/>
              </w:rPr>
              <w:t xml:space="preserve">Hazard Ratio [95% CI] </w:t>
            </w:r>
          </w:p>
          <w:p w:rsidR="001228CD" w:rsidRPr="00E3482E" w:rsidRDefault="001228CD" w:rsidP="001228CD">
            <w:pPr>
              <w:pStyle w:val="Text"/>
              <w:spacing w:before="0" w:line="269" w:lineRule="auto"/>
              <w:jc w:val="center"/>
              <w:rPr>
                <w:b/>
                <w:color w:val="000000"/>
                <w:sz w:val="22"/>
                <w:szCs w:val="22"/>
              </w:rPr>
            </w:pPr>
            <w:r w:rsidRPr="00E3482E">
              <w:rPr>
                <w:b/>
                <w:color w:val="000000"/>
                <w:sz w:val="22"/>
                <w:szCs w:val="22"/>
              </w:rPr>
              <w:t>log-rank p</w:t>
            </w:r>
          </w:p>
        </w:tc>
      </w:tr>
      <w:tr w:rsidR="001228CD" w:rsidRPr="00E3482E" w:rsidTr="00F437E8">
        <w:tc>
          <w:tcPr>
            <w:tcW w:w="4500"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1E6998">
            <w:pPr>
              <w:pStyle w:val="Text"/>
              <w:jc w:val="left"/>
              <w:rPr>
                <w:color w:val="000000"/>
                <w:sz w:val="22"/>
                <w:szCs w:val="22"/>
              </w:rPr>
            </w:pPr>
            <w:r w:rsidRPr="00E3482E">
              <w:rPr>
                <w:color w:val="000000"/>
                <w:sz w:val="22"/>
                <w:szCs w:val="22"/>
              </w:rPr>
              <w:t>Median time to treatment failure (months)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1E6998">
            <w:pPr>
              <w:pStyle w:val="Text"/>
              <w:jc w:val="center"/>
              <w:rPr>
                <w:color w:val="000000"/>
                <w:sz w:val="22"/>
                <w:szCs w:val="22"/>
              </w:rPr>
            </w:pPr>
            <w:r w:rsidRPr="00E3482E">
              <w:rPr>
                <w:color w:val="000000"/>
                <w:sz w:val="22"/>
                <w:szCs w:val="22"/>
              </w:rPr>
              <w:t>6.6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1E6998">
            <w:pPr>
              <w:pStyle w:val="Text"/>
              <w:jc w:val="center"/>
              <w:rPr>
                <w:color w:val="000000"/>
                <w:sz w:val="22"/>
                <w:szCs w:val="22"/>
              </w:rPr>
            </w:pPr>
            <w:r w:rsidRPr="00E3482E">
              <w:rPr>
                <w:color w:val="000000"/>
                <w:sz w:val="22"/>
                <w:szCs w:val="22"/>
              </w:rPr>
              <w:t>27.0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228CD" w:rsidRPr="00E3482E" w:rsidRDefault="001228CD" w:rsidP="00F437E8">
            <w:pPr>
              <w:pStyle w:val="Text"/>
              <w:spacing w:before="60" w:line="269" w:lineRule="auto"/>
              <w:jc w:val="center"/>
              <w:rPr>
                <w:color w:val="000000"/>
                <w:sz w:val="22"/>
                <w:szCs w:val="22"/>
              </w:rPr>
            </w:pPr>
            <w:r w:rsidRPr="00E3482E">
              <w:rPr>
                <w:color w:val="000000"/>
                <w:sz w:val="22"/>
                <w:szCs w:val="22"/>
              </w:rPr>
              <w:t>0.34</w:t>
            </w:r>
            <w:r w:rsidR="00F437E8" w:rsidRPr="00E3482E">
              <w:rPr>
                <w:color w:val="000000"/>
                <w:sz w:val="22"/>
                <w:szCs w:val="22"/>
              </w:rPr>
              <w:t xml:space="preserve"> </w:t>
            </w:r>
            <w:r w:rsidRPr="00E3482E">
              <w:rPr>
                <w:color w:val="000000"/>
                <w:sz w:val="22"/>
                <w:szCs w:val="22"/>
              </w:rPr>
              <w:t>[0.26, 0.44]</w:t>
            </w:r>
          </w:p>
          <w:p w:rsidR="001228CD" w:rsidRPr="00E3482E" w:rsidRDefault="001228CD" w:rsidP="00F437E8">
            <w:pPr>
              <w:pStyle w:val="Text"/>
              <w:spacing w:before="0" w:after="40" w:line="269" w:lineRule="auto"/>
              <w:jc w:val="center"/>
              <w:rPr>
                <w:color w:val="000000"/>
                <w:sz w:val="22"/>
                <w:szCs w:val="22"/>
              </w:rPr>
            </w:pPr>
            <w:r w:rsidRPr="00E3482E">
              <w:rPr>
                <w:color w:val="000000"/>
                <w:sz w:val="22"/>
                <w:szCs w:val="22"/>
              </w:rPr>
              <w:t>p&lt;0.0001</w:t>
            </w:r>
          </w:p>
        </w:tc>
      </w:tr>
      <w:tr w:rsidR="001E6998" w:rsidRPr="00E3482E" w:rsidTr="00F437E8">
        <w:tc>
          <w:tcPr>
            <w:tcW w:w="4500"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jc w:val="left"/>
              <w:rPr>
                <w:color w:val="000000"/>
                <w:sz w:val="22"/>
                <w:szCs w:val="22"/>
              </w:rPr>
            </w:pPr>
            <w:r w:rsidRPr="00E3482E">
              <w:rPr>
                <w:color w:val="000000"/>
                <w:sz w:val="22"/>
                <w:szCs w:val="22"/>
              </w:rPr>
              <w:t>Median progression-free Survival (months)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jc w:val="center"/>
              <w:rPr>
                <w:color w:val="000000"/>
                <w:sz w:val="22"/>
                <w:szCs w:val="22"/>
              </w:rPr>
            </w:pPr>
            <w:r w:rsidRPr="00E3482E">
              <w:rPr>
                <w:color w:val="000000"/>
                <w:sz w:val="22"/>
                <w:szCs w:val="22"/>
              </w:rPr>
              <w:t>14.7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jc w:val="center"/>
              <w:rPr>
                <w:color w:val="000000"/>
                <w:sz w:val="22"/>
                <w:szCs w:val="22"/>
              </w:rPr>
            </w:pPr>
            <w:r w:rsidRPr="00E3482E">
              <w:rPr>
                <w:color w:val="000000"/>
                <w:sz w:val="22"/>
                <w:szCs w:val="22"/>
              </w:rPr>
              <w:t>33.6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F437E8">
            <w:pPr>
              <w:pStyle w:val="Text"/>
              <w:spacing w:before="60" w:line="269" w:lineRule="auto"/>
              <w:jc w:val="center"/>
              <w:rPr>
                <w:color w:val="000000"/>
                <w:sz w:val="22"/>
                <w:szCs w:val="22"/>
              </w:rPr>
            </w:pPr>
            <w:r w:rsidRPr="00E3482E">
              <w:rPr>
                <w:color w:val="000000"/>
                <w:sz w:val="22"/>
                <w:szCs w:val="22"/>
              </w:rPr>
              <w:t>0.44</w:t>
            </w:r>
            <w:r w:rsidR="00F437E8" w:rsidRPr="00E3482E">
              <w:rPr>
                <w:color w:val="000000"/>
                <w:sz w:val="22"/>
                <w:szCs w:val="22"/>
              </w:rPr>
              <w:t xml:space="preserve"> </w:t>
            </w:r>
            <w:r w:rsidRPr="00E3482E">
              <w:rPr>
                <w:color w:val="000000"/>
                <w:sz w:val="22"/>
                <w:szCs w:val="22"/>
              </w:rPr>
              <w:t>[0.33, 0.57]</w:t>
            </w:r>
          </w:p>
          <w:p w:rsidR="001E6998" w:rsidRPr="00E3482E" w:rsidRDefault="001E6998" w:rsidP="00F437E8">
            <w:pPr>
              <w:pStyle w:val="Text"/>
              <w:spacing w:before="0" w:after="40" w:line="269" w:lineRule="auto"/>
              <w:jc w:val="center"/>
              <w:rPr>
                <w:color w:val="000000"/>
                <w:sz w:val="22"/>
                <w:szCs w:val="22"/>
              </w:rPr>
            </w:pPr>
            <w:r w:rsidRPr="00E3482E">
              <w:rPr>
                <w:color w:val="000000"/>
                <w:sz w:val="22"/>
                <w:szCs w:val="22"/>
              </w:rPr>
              <w:t>p&lt;0.001</w:t>
            </w:r>
          </w:p>
        </w:tc>
      </w:tr>
      <w:tr w:rsidR="001E6998" w:rsidRPr="00E3482E" w:rsidTr="00F437E8">
        <w:tc>
          <w:tcPr>
            <w:tcW w:w="4500"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spacing w:after="120"/>
              <w:jc w:val="left"/>
              <w:rPr>
                <w:color w:val="000000"/>
                <w:sz w:val="22"/>
                <w:szCs w:val="22"/>
              </w:rPr>
            </w:pPr>
            <w:r w:rsidRPr="00E3482E">
              <w:rPr>
                <w:color w:val="000000"/>
                <w:sz w:val="22"/>
                <w:szCs w:val="22"/>
              </w:rPr>
              <w:t>Overall Tumour Response</w:t>
            </w:r>
            <w:r w:rsidRPr="00E3482E">
              <w:rPr>
                <w:color w:val="000000"/>
                <w:sz w:val="22"/>
                <w:szCs w:val="22"/>
                <w:vertAlign w:val="superscript"/>
              </w:rPr>
              <w:t>1</w:t>
            </w:r>
            <w:r w:rsidRPr="00E3482E">
              <w:rPr>
                <w:color w:val="00000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spacing w:after="120"/>
              <w:jc w:val="center"/>
              <w:rPr>
                <w:color w:val="000000"/>
                <w:sz w:val="22"/>
                <w:szCs w:val="22"/>
              </w:rPr>
            </w:pPr>
            <w:r w:rsidRPr="00E3482E">
              <w:rPr>
                <w:color w:val="000000"/>
                <w:sz w:val="22"/>
                <w:szCs w:val="22"/>
              </w:rPr>
              <w:t>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spacing w:after="120"/>
              <w:jc w:val="center"/>
              <w:rPr>
                <w:color w:val="000000"/>
                <w:sz w:val="22"/>
                <w:szCs w:val="22"/>
              </w:rPr>
            </w:pPr>
            <w:r w:rsidRPr="00E3482E">
              <w:rPr>
                <w:color w:val="000000"/>
                <w:sz w:val="22"/>
                <w:szCs w:val="22"/>
              </w:rPr>
              <w:t>81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spacing w:after="120" w:line="269" w:lineRule="auto"/>
              <w:jc w:val="center"/>
              <w:rPr>
                <w:color w:val="000000"/>
                <w:sz w:val="22"/>
                <w:szCs w:val="22"/>
              </w:rPr>
            </w:pPr>
            <w:r w:rsidRPr="00E3482E">
              <w:rPr>
                <w:color w:val="000000"/>
                <w:sz w:val="22"/>
                <w:szCs w:val="22"/>
              </w:rPr>
              <w:t>-</w:t>
            </w:r>
          </w:p>
        </w:tc>
      </w:tr>
      <w:tr w:rsidR="001E6998" w:rsidRPr="00E3482E" w:rsidTr="00F437E8">
        <w:tc>
          <w:tcPr>
            <w:tcW w:w="4500"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jc w:val="left"/>
              <w:rPr>
                <w:color w:val="000000"/>
                <w:sz w:val="22"/>
                <w:szCs w:val="22"/>
              </w:rPr>
            </w:pPr>
            <w:r w:rsidRPr="00E3482E">
              <w:rPr>
                <w:color w:val="000000"/>
                <w:sz w:val="22"/>
                <w:szCs w:val="22"/>
              </w:rPr>
              <w:t>Overall Survival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jc w:val="center"/>
              <w:rPr>
                <w:color w:val="000000"/>
                <w:sz w:val="22"/>
                <w:szCs w:val="22"/>
              </w:rPr>
            </w:pPr>
            <w:r w:rsidRPr="00E3482E">
              <w:rPr>
                <w:color w:val="000000"/>
                <w:sz w:val="22"/>
                <w:szCs w:val="22"/>
              </w:rPr>
              <w:t>71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1E6998">
            <w:pPr>
              <w:pStyle w:val="Text"/>
              <w:jc w:val="center"/>
              <w:rPr>
                <w:color w:val="000000"/>
                <w:sz w:val="22"/>
                <w:szCs w:val="22"/>
              </w:rPr>
            </w:pPr>
            <w:r w:rsidRPr="00E3482E">
              <w:rPr>
                <w:color w:val="000000"/>
                <w:sz w:val="22"/>
                <w:szCs w:val="22"/>
              </w:rPr>
              <w:t>81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E6998" w:rsidRPr="00E3482E" w:rsidRDefault="001E6998" w:rsidP="00F437E8">
            <w:pPr>
              <w:pStyle w:val="Text"/>
              <w:spacing w:before="60" w:line="269" w:lineRule="auto"/>
              <w:jc w:val="center"/>
              <w:rPr>
                <w:color w:val="000000"/>
                <w:sz w:val="22"/>
                <w:szCs w:val="22"/>
              </w:rPr>
            </w:pPr>
            <w:r w:rsidRPr="00E3482E">
              <w:rPr>
                <w:color w:val="000000"/>
                <w:sz w:val="22"/>
                <w:szCs w:val="22"/>
              </w:rPr>
              <w:t>0.60</w:t>
            </w:r>
            <w:r w:rsidR="00F437E8" w:rsidRPr="00E3482E">
              <w:rPr>
                <w:color w:val="000000"/>
                <w:sz w:val="22"/>
                <w:szCs w:val="22"/>
              </w:rPr>
              <w:t xml:space="preserve"> </w:t>
            </w:r>
            <w:r w:rsidRPr="00E3482E">
              <w:rPr>
                <w:color w:val="000000"/>
                <w:sz w:val="22"/>
                <w:szCs w:val="22"/>
              </w:rPr>
              <w:t>[0.38, 0.95]</w:t>
            </w:r>
          </w:p>
          <w:p w:rsidR="001E6998" w:rsidRPr="00E3482E" w:rsidRDefault="001E6998" w:rsidP="00F437E8">
            <w:pPr>
              <w:pStyle w:val="Text"/>
              <w:spacing w:before="0" w:after="40" w:line="269" w:lineRule="auto"/>
              <w:jc w:val="center"/>
              <w:rPr>
                <w:color w:val="000000"/>
                <w:sz w:val="22"/>
                <w:szCs w:val="22"/>
              </w:rPr>
            </w:pPr>
            <w:r w:rsidRPr="00E3482E">
              <w:rPr>
                <w:color w:val="000000"/>
                <w:sz w:val="22"/>
                <w:szCs w:val="22"/>
              </w:rPr>
              <w:t>p=0.029</w:t>
            </w:r>
            <w:r w:rsidRPr="00E3482E">
              <w:rPr>
                <w:color w:val="000000"/>
                <w:sz w:val="22"/>
                <w:szCs w:val="22"/>
                <w:vertAlign w:val="superscript"/>
              </w:rPr>
              <w:t>2</w:t>
            </w:r>
          </w:p>
        </w:tc>
      </w:tr>
    </w:tbl>
    <w:p w:rsidR="00F5598F" w:rsidRPr="00E3482E" w:rsidRDefault="001E6998" w:rsidP="009A42F2">
      <w:pPr>
        <w:pStyle w:val="Text"/>
        <w:keepNext/>
        <w:spacing w:before="60" w:line="259" w:lineRule="auto"/>
        <w:rPr>
          <w:i/>
          <w:color w:val="000000"/>
          <w:sz w:val="20"/>
          <w:szCs w:val="20"/>
          <w:lang w:val="en-GB"/>
        </w:rPr>
      </w:pPr>
      <w:r w:rsidRPr="00E3482E">
        <w:rPr>
          <w:color w:val="000000"/>
          <w:vertAlign w:val="superscript"/>
          <w:lang w:val="en-GB"/>
        </w:rPr>
        <w:t>1</w:t>
      </w:r>
      <w:r w:rsidR="00F5598F" w:rsidRPr="00E3482E">
        <w:rPr>
          <w:i/>
          <w:color w:val="000000"/>
          <w:sz w:val="20"/>
          <w:szCs w:val="20"/>
          <w:lang w:val="en-GB"/>
        </w:rPr>
        <w:t xml:space="preserve"> T</w:t>
      </w:r>
      <w:r w:rsidRPr="00E3482E">
        <w:rPr>
          <w:i/>
          <w:color w:val="000000"/>
          <w:sz w:val="20"/>
          <w:szCs w:val="20"/>
          <w:lang w:val="en-GB"/>
        </w:rPr>
        <w:t xml:space="preserve">umour response = CR (complete response), </w:t>
      </w:r>
      <w:proofErr w:type="spellStart"/>
      <w:r w:rsidRPr="00E3482E">
        <w:rPr>
          <w:i/>
          <w:color w:val="000000"/>
          <w:sz w:val="20"/>
          <w:szCs w:val="20"/>
          <w:lang w:val="en-GB"/>
        </w:rPr>
        <w:t>CRu</w:t>
      </w:r>
      <w:proofErr w:type="spellEnd"/>
      <w:r w:rsidRPr="00E3482E">
        <w:rPr>
          <w:i/>
          <w:color w:val="000000"/>
          <w:sz w:val="20"/>
          <w:szCs w:val="20"/>
          <w:lang w:val="en-GB"/>
        </w:rPr>
        <w:t xml:space="preserve"> (complete response unconfirmed) and PR (partial response)</w:t>
      </w:r>
      <w:r w:rsidR="00F5598F" w:rsidRPr="00E3482E">
        <w:rPr>
          <w:i/>
          <w:color w:val="000000"/>
          <w:sz w:val="20"/>
          <w:szCs w:val="20"/>
          <w:lang w:val="en-GB"/>
        </w:rPr>
        <w:t xml:space="preserve"> </w:t>
      </w:r>
    </w:p>
    <w:p w:rsidR="00F5598F" w:rsidRPr="00E3482E" w:rsidRDefault="001E6998" w:rsidP="009A42F2">
      <w:pPr>
        <w:pStyle w:val="Text"/>
        <w:spacing w:before="0" w:line="259" w:lineRule="auto"/>
        <w:rPr>
          <w:i/>
          <w:color w:val="000000"/>
          <w:sz w:val="20"/>
          <w:szCs w:val="20"/>
          <w:lang w:val="en-GB"/>
        </w:rPr>
      </w:pPr>
      <w:r w:rsidRPr="00E3482E">
        <w:rPr>
          <w:color w:val="000000"/>
          <w:vertAlign w:val="superscript"/>
          <w:lang w:val="en-GB"/>
        </w:rPr>
        <w:t>2</w:t>
      </w:r>
      <w:r w:rsidRPr="00E3482E">
        <w:rPr>
          <w:i/>
          <w:color w:val="000000"/>
          <w:sz w:val="20"/>
          <w:szCs w:val="20"/>
          <w:lang w:val="en-GB"/>
        </w:rPr>
        <w:t xml:space="preserve"> Stratified by centre</w:t>
      </w:r>
      <w:r w:rsidR="00F5598F" w:rsidRPr="00E3482E">
        <w:rPr>
          <w:i/>
          <w:color w:val="000000"/>
          <w:sz w:val="20"/>
          <w:szCs w:val="20"/>
          <w:lang w:val="en-GB"/>
        </w:rPr>
        <w:t xml:space="preserve"> </w:t>
      </w:r>
    </w:p>
    <w:p w:rsidR="001E6998" w:rsidRPr="00E3482E" w:rsidRDefault="001E6998" w:rsidP="004248E4">
      <w:pPr>
        <w:spacing w:before="200"/>
        <w:jc w:val="both"/>
        <w:rPr>
          <w:color w:val="000000"/>
          <w:lang w:val="en-GB"/>
        </w:rPr>
      </w:pPr>
      <w:r w:rsidRPr="00E3482E">
        <w:rPr>
          <w:color w:val="000000"/>
          <w:lang w:val="en-GB"/>
        </w:rPr>
        <w:t>Results from three other randomised studies using rituximab in combination with chemotherapy regimens other than CVP (CHOP, MCP, CHVP/interferon-alfa 2a) have also demonstrated significant improvements in response rates, time dependent parameters as well as in overall survival (Table 2).</w:t>
      </w:r>
    </w:p>
    <w:p w:rsidR="001E6998" w:rsidRPr="00E3482E" w:rsidRDefault="001E6998" w:rsidP="004278AA">
      <w:pPr>
        <w:pStyle w:val="Tabletitle"/>
        <w:spacing w:before="200"/>
        <w:ind w:left="964" w:hanging="964"/>
        <w:rPr>
          <w:color w:val="000000"/>
          <w:sz w:val="23"/>
          <w:szCs w:val="23"/>
        </w:rPr>
      </w:pPr>
      <w:r w:rsidRPr="00E3482E">
        <w:rPr>
          <w:color w:val="000000"/>
          <w:sz w:val="23"/>
          <w:szCs w:val="23"/>
        </w:rPr>
        <w:t>Table 2</w:t>
      </w:r>
      <w:r w:rsidR="004278AA" w:rsidRPr="00E3482E">
        <w:rPr>
          <w:color w:val="000000"/>
          <w:sz w:val="23"/>
          <w:szCs w:val="23"/>
        </w:rPr>
        <w:t>:</w:t>
      </w:r>
      <w:r w:rsidR="004278AA" w:rsidRPr="00E3482E">
        <w:rPr>
          <w:color w:val="000000"/>
          <w:sz w:val="23"/>
          <w:szCs w:val="23"/>
        </w:rPr>
        <w:tab/>
      </w:r>
      <w:r w:rsidRPr="00E3482E">
        <w:rPr>
          <w:color w:val="000000"/>
          <w:sz w:val="23"/>
          <w:szCs w:val="23"/>
        </w:rPr>
        <w:t xml:space="preserve">Summary of key results from three </w:t>
      </w:r>
      <w:proofErr w:type="gramStart"/>
      <w:r w:rsidRPr="00E3482E">
        <w:rPr>
          <w:color w:val="000000"/>
          <w:sz w:val="23"/>
          <w:szCs w:val="23"/>
        </w:rPr>
        <w:t>phase</w:t>
      </w:r>
      <w:proofErr w:type="gramEnd"/>
      <w:r w:rsidRPr="00E3482E">
        <w:rPr>
          <w:color w:val="000000"/>
          <w:sz w:val="23"/>
          <w:szCs w:val="23"/>
        </w:rPr>
        <w:t xml:space="preserve"> III randomised studies evaluating the benefit of rituximab with different chemotherapy regimens in follicular lymphoma</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9"/>
        <w:gridCol w:w="1985"/>
        <w:gridCol w:w="1276"/>
        <w:gridCol w:w="992"/>
        <w:gridCol w:w="850"/>
        <w:gridCol w:w="1843"/>
        <w:gridCol w:w="1276"/>
      </w:tblGrid>
      <w:tr w:rsidR="00DA6784" w:rsidRPr="00E3482E" w:rsidTr="004248E4">
        <w:tc>
          <w:tcPr>
            <w:tcW w:w="1239"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DA6784">
            <w:pPr>
              <w:pStyle w:val="Text"/>
              <w:spacing w:before="0"/>
              <w:jc w:val="left"/>
              <w:rPr>
                <w:b/>
                <w:color w:val="000000"/>
                <w:sz w:val="22"/>
                <w:szCs w:val="22"/>
              </w:rPr>
            </w:pPr>
            <w:r w:rsidRPr="00E3482E">
              <w:rPr>
                <w:b/>
                <w:color w:val="000000"/>
                <w:sz w:val="22"/>
                <w:szCs w:val="22"/>
              </w:rPr>
              <w:t>Study</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DA6784">
            <w:pPr>
              <w:pStyle w:val="Text"/>
              <w:spacing w:before="0" w:line="269" w:lineRule="auto"/>
              <w:jc w:val="center"/>
              <w:rPr>
                <w:b/>
                <w:color w:val="000000"/>
                <w:sz w:val="22"/>
                <w:szCs w:val="22"/>
              </w:rPr>
            </w:pPr>
            <w:r w:rsidRPr="00E3482E">
              <w:rPr>
                <w:b/>
                <w:color w:val="000000"/>
                <w:sz w:val="22"/>
                <w:szCs w:val="22"/>
              </w:rPr>
              <w:t>Treatment, 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DA6784">
            <w:pPr>
              <w:pStyle w:val="Text"/>
              <w:spacing w:before="0" w:line="269" w:lineRule="auto"/>
              <w:jc w:val="center"/>
              <w:rPr>
                <w:b/>
                <w:color w:val="000000"/>
                <w:sz w:val="22"/>
                <w:szCs w:val="22"/>
              </w:rPr>
            </w:pPr>
            <w:r w:rsidRPr="00E3482E">
              <w:rPr>
                <w:b/>
                <w:color w:val="000000"/>
                <w:sz w:val="22"/>
                <w:szCs w:val="22"/>
              </w:rPr>
              <w:t>Median follow up, months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DA6784">
            <w:pPr>
              <w:pStyle w:val="Text"/>
              <w:spacing w:before="0" w:line="269" w:lineRule="auto"/>
              <w:jc w:val="center"/>
              <w:rPr>
                <w:b/>
                <w:color w:val="000000"/>
                <w:sz w:val="22"/>
                <w:szCs w:val="22"/>
              </w:rPr>
            </w:pPr>
            <w:r w:rsidRPr="00E3482E">
              <w:rPr>
                <w:b/>
                <w:color w:val="000000"/>
                <w:sz w:val="22"/>
                <w:szCs w:val="22"/>
              </w:rPr>
              <w:t>ORR,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DA6784">
            <w:pPr>
              <w:pStyle w:val="Text"/>
              <w:spacing w:before="0" w:line="269" w:lineRule="auto"/>
              <w:jc w:val="center"/>
              <w:rPr>
                <w:b/>
                <w:color w:val="000000"/>
                <w:sz w:val="22"/>
                <w:szCs w:val="22"/>
              </w:rPr>
            </w:pPr>
            <w:r w:rsidRPr="00E3482E">
              <w:rPr>
                <w:b/>
                <w:color w:val="000000"/>
                <w:sz w:val="22"/>
                <w:szCs w:val="22"/>
              </w:rPr>
              <w:t>CR,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DA6784">
            <w:pPr>
              <w:pStyle w:val="Text"/>
              <w:spacing w:before="0" w:line="269" w:lineRule="auto"/>
              <w:jc w:val="center"/>
              <w:rPr>
                <w:b/>
                <w:color w:val="000000"/>
                <w:sz w:val="22"/>
                <w:szCs w:val="22"/>
              </w:rPr>
            </w:pPr>
            <w:r w:rsidRPr="00E3482E">
              <w:rPr>
                <w:b/>
                <w:color w:val="000000"/>
                <w:sz w:val="22"/>
                <w:szCs w:val="22"/>
              </w:rPr>
              <w:t>Outcome</w:t>
            </w:r>
            <w:r w:rsidRPr="00E3482E">
              <w:rPr>
                <w:b/>
                <w:color w:val="000000"/>
                <w:sz w:val="22"/>
                <w:szCs w:val="22"/>
                <w:vertAlign w:val="superscript"/>
              </w:rPr>
              <w:t>1</w:t>
            </w:r>
            <w:r w:rsidRPr="00E3482E">
              <w:rPr>
                <w:b/>
                <w:color w:val="000000"/>
                <w:sz w:val="22"/>
                <w:szCs w:val="22"/>
              </w:rPr>
              <w:t xml:space="preserve"> (months)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DA6784">
            <w:pPr>
              <w:pStyle w:val="Text"/>
              <w:spacing w:before="0" w:line="269" w:lineRule="auto"/>
              <w:jc w:val="center"/>
              <w:rPr>
                <w:b/>
                <w:color w:val="000000"/>
                <w:sz w:val="22"/>
                <w:szCs w:val="22"/>
              </w:rPr>
            </w:pPr>
            <w:r w:rsidRPr="00E3482E">
              <w:rPr>
                <w:b/>
                <w:color w:val="000000"/>
                <w:sz w:val="22"/>
                <w:szCs w:val="22"/>
              </w:rPr>
              <w:t>OS rates, %</w:t>
            </w:r>
          </w:p>
        </w:tc>
      </w:tr>
      <w:tr w:rsidR="00DA6784" w:rsidRPr="00E3482E" w:rsidTr="004248E4">
        <w:tc>
          <w:tcPr>
            <w:tcW w:w="1239"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4248E4">
            <w:pPr>
              <w:pStyle w:val="Text"/>
              <w:jc w:val="left"/>
              <w:rPr>
                <w:b/>
                <w:color w:val="000000"/>
                <w:sz w:val="22"/>
                <w:szCs w:val="22"/>
              </w:rPr>
            </w:pPr>
            <w:r w:rsidRPr="00E3482E">
              <w:rPr>
                <w:b/>
                <w:color w:val="000000"/>
                <w:sz w:val="22"/>
                <w:szCs w:val="22"/>
              </w:rPr>
              <w:t>GLSG’00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4248E4">
            <w:pPr>
              <w:pStyle w:val="Text"/>
              <w:spacing w:before="0"/>
              <w:jc w:val="center"/>
              <w:rPr>
                <w:color w:val="000000"/>
                <w:sz w:val="22"/>
                <w:szCs w:val="22"/>
              </w:rPr>
            </w:pPr>
            <w:r w:rsidRPr="00E3482E">
              <w:rPr>
                <w:color w:val="000000"/>
                <w:sz w:val="22"/>
                <w:szCs w:val="22"/>
              </w:rPr>
              <w:t>CHOP, 205</w:t>
            </w:r>
          </w:p>
          <w:p w:rsidR="00DA6784" w:rsidRPr="00E3482E" w:rsidRDefault="00DA6784" w:rsidP="004248E4">
            <w:pPr>
              <w:pStyle w:val="Text"/>
              <w:spacing w:before="0"/>
              <w:jc w:val="center"/>
              <w:rPr>
                <w:color w:val="000000"/>
                <w:sz w:val="22"/>
                <w:szCs w:val="22"/>
              </w:rPr>
            </w:pPr>
            <w:r w:rsidRPr="00E3482E">
              <w:rPr>
                <w:color w:val="000000"/>
                <w:sz w:val="22"/>
                <w:szCs w:val="22"/>
              </w:rPr>
              <w:t>R-CHOP, 223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4248E4" w:rsidP="004248E4">
            <w:pPr>
              <w:pStyle w:val="Text"/>
              <w:jc w:val="center"/>
              <w:rPr>
                <w:color w:val="000000"/>
                <w:sz w:val="22"/>
                <w:szCs w:val="22"/>
              </w:rPr>
            </w:pPr>
            <w:r w:rsidRPr="00E3482E">
              <w:rPr>
                <w:color w:val="000000"/>
                <w:sz w:val="22"/>
                <w:szCs w:val="22"/>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4248E4">
            <w:pPr>
              <w:pStyle w:val="Text"/>
              <w:spacing w:before="0"/>
              <w:jc w:val="center"/>
              <w:rPr>
                <w:color w:val="000000"/>
                <w:sz w:val="22"/>
                <w:szCs w:val="22"/>
              </w:rPr>
            </w:pPr>
            <w:r w:rsidRPr="00E3482E">
              <w:rPr>
                <w:color w:val="000000"/>
                <w:sz w:val="22"/>
                <w:szCs w:val="22"/>
              </w:rPr>
              <w:t>90</w:t>
            </w:r>
          </w:p>
          <w:p w:rsidR="00DA6784" w:rsidRPr="00E3482E" w:rsidRDefault="00DA6784" w:rsidP="004248E4">
            <w:pPr>
              <w:pStyle w:val="Text"/>
              <w:spacing w:before="0"/>
              <w:jc w:val="center"/>
              <w:rPr>
                <w:color w:val="000000"/>
                <w:sz w:val="22"/>
                <w:szCs w:val="22"/>
              </w:rPr>
            </w:pPr>
            <w:r w:rsidRPr="00E3482E">
              <w:rPr>
                <w:color w:val="000000"/>
                <w:sz w:val="22"/>
                <w:szCs w:val="22"/>
              </w:rPr>
              <w:t>96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4248E4">
            <w:pPr>
              <w:pStyle w:val="Text"/>
              <w:spacing w:before="0"/>
              <w:jc w:val="center"/>
              <w:rPr>
                <w:color w:val="000000"/>
                <w:sz w:val="22"/>
                <w:szCs w:val="22"/>
              </w:rPr>
            </w:pPr>
            <w:r w:rsidRPr="00E3482E">
              <w:rPr>
                <w:color w:val="000000"/>
                <w:sz w:val="22"/>
                <w:szCs w:val="22"/>
              </w:rPr>
              <w:t>17</w:t>
            </w:r>
          </w:p>
          <w:p w:rsidR="00DA6784" w:rsidRPr="00E3482E" w:rsidRDefault="00DA6784" w:rsidP="004248E4">
            <w:pPr>
              <w:pStyle w:val="Text"/>
              <w:spacing w:before="0"/>
              <w:jc w:val="center"/>
              <w:rPr>
                <w:color w:val="000000"/>
                <w:sz w:val="22"/>
                <w:szCs w:val="22"/>
              </w:rPr>
            </w:pPr>
            <w:r w:rsidRPr="00E3482E">
              <w:rPr>
                <w:color w:val="000000"/>
                <w:sz w:val="22"/>
                <w:szCs w:val="22"/>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4248E4">
            <w:pPr>
              <w:pStyle w:val="Text"/>
              <w:spacing w:before="0"/>
              <w:jc w:val="center"/>
              <w:rPr>
                <w:color w:val="000000"/>
                <w:sz w:val="22"/>
                <w:szCs w:val="22"/>
              </w:rPr>
            </w:pPr>
            <w:r w:rsidRPr="00E3482E">
              <w:rPr>
                <w:color w:val="000000"/>
                <w:sz w:val="22"/>
                <w:szCs w:val="22"/>
              </w:rPr>
              <w:t>Median TTF: 31.2</w:t>
            </w:r>
            <w:r w:rsidR="004248E4" w:rsidRPr="00E3482E">
              <w:rPr>
                <w:color w:val="000000"/>
                <w:sz w:val="22"/>
                <w:szCs w:val="22"/>
              </w:rPr>
              <w:t xml:space="preserve"> Not reached p&lt;0.001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A6784" w:rsidRPr="00E3482E" w:rsidRDefault="00DA6784" w:rsidP="004248E4">
            <w:pPr>
              <w:pStyle w:val="Text"/>
              <w:spacing w:before="0"/>
              <w:jc w:val="center"/>
              <w:rPr>
                <w:color w:val="000000"/>
                <w:sz w:val="22"/>
                <w:szCs w:val="22"/>
              </w:rPr>
            </w:pPr>
            <w:r w:rsidRPr="00E3482E">
              <w:rPr>
                <w:color w:val="000000"/>
                <w:sz w:val="22"/>
                <w:szCs w:val="22"/>
              </w:rPr>
              <w:t>90</w:t>
            </w:r>
          </w:p>
          <w:p w:rsidR="004248E4" w:rsidRPr="00E3482E" w:rsidRDefault="004248E4" w:rsidP="004248E4">
            <w:pPr>
              <w:pStyle w:val="Text"/>
              <w:spacing w:before="0"/>
              <w:jc w:val="center"/>
              <w:rPr>
                <w:color w:val="000000"/>
                <w:sz w:val="22"/>
                <w:szCs w:val="22"/>
              </w:rPr>
            </w:pPr>
            <w:r w:rsidRPr="00E3482E">
              <w:rPr>
                <w:color w:val="000000"/>
                <w:sz w:val="22"/>
                <w:szCs w:val="22"/>
              </w:rPr>
              <w:t>95</w:t>
            </w:r>
          </w:p>
          <w:p w:rsidR="004248E4" w:rsidRPr="00E3482E" w:rsidRDefault="004248E4" w:rsidP="004248E4">
            <w:pPr>
              <w:pStyle w:val="Text"/>
              <w:spacing w:before="0"/>
              <w:jc w:val="center"/>
              <w:rPr>
                <w:color w:val="000000"/>
                <w:sz w:val="22"/>
                <w:szCs w:val="22"/>
              </w:rPr>
            </w:pPr>
            <w:r w:rsidRPr="00E3482E">
              <w:rPr>
                <w:color w:val="000000"/>
                <w:sz w:val="22"/>
                <w:szCs w:val="22"/>
              </w:rPr>
              <w:t>p=0.016</w:t>
            </w:r>
          </w:p>
        </w:tc>
      </w:tr>
      <w:tr w:rsidR="004248E4" w:rsidRPr="00E3482E" w:rsidTr="00E456A5">
        <w:trPr>
          <w:cantSplit/>
        </w:trPr>
        <w:tc>
          <w:tcPr>
            <w:tcW w:w="1239"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jc w:val="left"/>
              <w:rPr>
                <w:b/>
                <w:color w:val="000000"/>
                <w:sz w:val="22"/>
                <w:szCs w:val="22"/>
              </w:rPr>
            </w:pPr>
            <w:r w:rsidRPr="00E3482E">
              <w:rPr>
                <w:b/>
                <w:color w:val="000000"/>
                <w:sz w:val="22"/>
                <w:szCs w:val="22"/>
              </w:rPr>
              <w:t>OSHO-39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MCP, 96</w:t>
            </w:r>
          </w:p>
          <w:p w:rsidR="004248E4" w:rsidRPr="00E3482E" w:rsidRDefault="004248E4" w:rsidP="004248E4">
            <w:pPr>
              <w:pStyle w:val="Text"/>
              <w:spacing w:before="0"/>
              <w:jc w:val="center"/>
              <w:rPr>
                <w:color w:val="000000"/>
                <w:sz w:val="22"/>
                <w:szCs w:val="22"/>
              </w:rPr>
            </w:pPr>
            <w:r w:rsidRPr="00E3482E">
              <w:rPr>
                <w:color w:val="000000"/>
                <w:sz w:val="22"/>
                <w:szCs w:val="22"/>
              </w:rPr>
              <w:t>R-MCP, 105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jc w:val="center"/>
              <w:rPr>
                <w:color w:val="000000"/>
                <w:sz w:val="22"/>
                <w:szCs w:val="22"/>
              </w:rPr>
            </w:pPr>
            <w:r w:rsidRPr="00E3482E">
              <w:rPr>
                <w:color w:val="000000"/>
                <w:sz w:val="22"/>
                <w:szCs w:val="22"/>
              </w:rPr>
              <w:t>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75</w:t>
            </w:r>
          </w:p>
          <w:p w:rsidR="004248E4" w:rsidRPr="00E3482E" w:rsidRDefault="004248E4" w:rsidP="004248E4">
            <w:pPr>
              <w:pStyle w:val="Text"/>
              <w:spacing w:before="0"/>
              <w:jc w:val="center"/>
              <w:rPr>
                <w:color w:val="000000"/>
                <w:sz w:val="22"/>
                <w:szCs w:val="22"/>
              </w:rPr>
            </w:pPr>
            <w:r w:rsidRPr="00E3482E">
              <w:rPr>
                <w:color w:val="000000"/>
                <w:sz w:val="22"/>
                <w:szCs w:val="22"/>
              </w:rPr>
              <w:t>92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25</w:t>
            </w:r>
          </w:p>
          <w:p w:rsidR="004248E4" w:rsidRPr="00E3482E" w:rsidRDefault="004248E4" w:rsidP="004248E4">
            <w:pPr>
              <w:pStyle w:val="Text"/>
              <w:spacing w:before="0"/>
              <w:jc w:val="center"/>
              <w:rPr>
                <w:color w:val="000000"/>
                <w:sz w:val="22"/>
                <w:szCs w:val="22"/>
              </w:rPr>
            </w:pPr>
            <w:r w:rsidRPr="00E3482E">
              <w:rPr>
                <w:color w:val="000000"/>
                <w:sz w:val="22"/>
                <w:szCs w:val="22"/>
              </w:rPr>
              <w:t>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Median PFS: 28.8 Not reached p&lt;0.0001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74</w:t>
            </w:r>
          </w:p>
          <w:p w:rsidR="004248E4" w:rsidRPr="00E3482E" w:rsidRDefault="004248E4" w:rsidP="004248E4">
            <w:pPr>
              <w:pStyle w:val="Text"/>
              <w:spacing w:before="0"/>
              <w:jc w:val="center"/>
              <w:rPr>
                <w:color w:val="000000"/>
                <w:sz w:val="22"/>
                <w:szCs w:val="22"/>
              </w:rPr>
            </w:pPr>
            <w:r w:rsidRPr="00E3482E">
              <w:rPr>
                <w:color w:val="000000"/>
                <w:sz w:val="22"/>
                <w:szCs w:val="22"/>
              </w:rPr>
              <w:t>87</w:t>
            </w:r>
          </w:p>
          <w:p w:rsidR="004248E4" w:rsidRPr="00E3482E" w:rsidRDefault="004248E4" w:rsidP="004248E4">
            <w:pPr>
              <w:pStyle w:val="Text"/>
              <w:spacing w:before="0"/>
              <w:jc w:val="center"/>
              <w:rPr>
                <w:color w:val="000000"/>
                <w:sz w:val="22"/>
                <w:szCs w:val="22"/>
              </w:rPr>
            </w:pPr>
            <w:r w:rsidRPr="00E3482E">
              <w:rPr>
                <w:color w:val="000000"/>
                <w:sz w:val="22"/>
                <w:szCs w:val="22"/>
              </w:rPr>
              <w:t>p=0.0096</w:t>
            </w:r>
          </w:p>
        </w:tc>
      </w:tr>
      <w:tr w:rsidR="004248E4" w:rsidRPr="00E3482E" w:rsidTr="004248E4">
        <w:tc>
          <w:tcPr>
            <w:tcW w:w="1239"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jc w:val="left"/>
              <w:rPr>
                <w:b/>
                <w:color w:val="000000"/>
                <w:sz w:val="22"/>
                <w:szCs w:val="22"/>
              </w:rPr>
            </w:pPr>
            <w:r w:rsidRPr="00E3482E">
              <w:rPr>
                <w:b/>
                <w:color w:val="000000"/>
                <w:sz w:val="22"/>
                <w:szCs w:val="22"/>
              </w:rPr>
              <w:t>FL2000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CHVP-IFN, 183</w:t>
            </w:r>
          </w:p>
          <w:p w:rsidR="004248E4" w:rsidRPr="00E3482E" w:rsidRDefault="004248E4" w:rsidP="004248E4">
            <w:pPr>
              <w:pStyle w:val="Text"/>
              <w:spacing w:before="0"/>
              <w:jc w:val="center"/>
              <w:rPr>
                <w:color w:val="000000"/>
                <w:sz w:val="22"/>
                <w:szCs w:val="22"/>
              </w:rPr>
            </w:pPr>
            <w:r w:rsidRPr="00E3482E">
              <w:rPr>
                <w:color w:val="000000"/>
                <w:sz w:val="22"/>
                <w:szCs w:val="22"/>
              </w:rPr>
              <w:t>R-CHVP-IFN, 175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jc w:val="center"/>
              <w:rPr>
                <w:color w:val="000000"/>
                <w:sz w:val="22"/>
                <w:szCs w:val="22"/>
              </w:rPr>
            </w:pPr>
            <w:r w:rsidRPr="00E3482E">
              <w:rPr>
                <w:color w:val="000000"/>
                <w:sz w:val="22"/>
                <w:szCs w:val="22"/>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85</w:t>
            </w:r>
          </w:p>
          <w:p w:rsidR="004248E4" w:rsidRPr="00E3482E" w:rsidRDefault="004248E4" w:rsidP="004248E4">
            <w:pPr>
              <w:pStyle w:val="Text"/>
              <w:spacing w:before="0"/>
              <w:jc w:val="center"/>
              <w:rPr>
                <w:color w:val="000000"/>
                <w:sz w:val="22"/>
                <w:szCs w:val="22"/>
              </w:rPr>
            </w:pPr>
            <w:r w:rsidRPr="00E3482E">
              <w:rPr>
                <w:color w:val="000000"/>
                <w:sz w:val="22"/>
                <w:szCs w:val="22"/>
              </w:rPr>
              <w:t>94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49</w:t>
            </w:r>
          </w:p>
          <w:p w:rsidR="004248E4" w:rsidRPr="00E3482E" w:rsidRDefault="004248E4" w:rsidP="004248E4">
            <w:pPr>
              <w:pStyle w:val="Text"/>
              <w:spacing w:before="0"/>
              <w:jc w:val="center"/>
              <w:rPr>
                <w:color w:val="000000"/>
                <w:sz w:val="22"/>
                <w:szCs w:val="22"/>
              </w:rPr>
            </w:pPr>
            <w:r w:rsidRPr="00E3482E">
              <w:rPr>
                <w:color w:val="000000"/>
                <w:sz w:val="22"/>
                <w:szCs w:val="22"/>
              </w:rPr>
              <w:t>76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Median EFS: 36 Not reached p&lt;0.0001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48E4" w:rsidRPr="00E3482E" w:rsidRDefault="004248E4" w:rsidP="004248E4">
            <w:pPr>
              <w:pStyle w:val="Text"/>
              <w:spacing w:before="0"/>
              <w:jc w:val="center"/>
              <w:rPr>
                <w:color w:val="000000"/>
                <w:sz w:val="22"/>
                <w:szCs w:val="22"/>
              </w:rPr>
            </w:pPr>
            <w:r w:rsidRPr="00E3482E">
              <w:rPr>
                <w:color w:val="000000"/>
                <w:sz w:val="22"/>
                <w:szCs w:val="22"/>
              </w:rPr>
              <w:t>84</w:t>
            </w:r>
          </w:p>
          <w:p w:rsidR="004248E4" w:rsidRPr="00E3482E" w:rsidRDefault="004248E4" w:rsidP="004248E4">
            <w:pPr>
              <w:pStyle w:val="Text"/>
              <w:spacing w:before="0"/>
              <w:jc w:val="center"/>
              <w:rPr>
                <w:color w:val="000000"/>
                <w:sz w:val="22"/>
                <w:szCs w:val="22"/>
              </w:rPr>
            </w:pPr>
            <w:r w:rsidRPr="00E3482E">
              <w:rPr>
                <w:color w:val="000000"/>
                <w:sz w:val="22"/>
                <w:szCs w:val="22"/>
              </w:rPr>
              <w:t>91</w:t>
            </w:r>
          </w:p>
          <w:p w:rsidR="004248E4" w:rsidRPr="00E3482E" w:rsidRDefault="004248E4" w:rsidP="004248E4">
            <w:pPr>
              <w:pStyle w:val="Text"/>
              <w:spacing w:before="0"/>
              <w:jc w:val="center"/>
              <w:rPr>
                <w:color w:val="000000"/>
                <w:sz w:val="22"/>
                <w:szCs w:val="22"/>
              </w:rPr>
            </w:pPr>
            <w:r w:rsidRPr="00E3482E">
              <w:rPr>
                <w:color w:val="000000"/>
                <w:sz w:val="22"/>
                <w:szCs w:val="22"/>
              </w:rPr>
              <w:t>p=0.029</w:t>
            </w:r>
          </w:p>
        </w:tc>
      </w:tr>
    </w:tbl>
    <w:p w:rsidR="004248E4" w:rsidRPr="00E3482E" w:rsidRDefault="004248E4" w:rsidP="009A42F2">
      <w:pPr>
        <w:pStyle w:val="Text"/>
        <w:spacing w:before="60" w:line="259" w:lineRule="auto"/>
        <w:rPr>
          <w:i/>
          <w:color w:val="000000"/>
          <w:sz w:val="20"/>
          <w:szCs w:val="20"/>
          <w:lang w:val="en-GB"/>
        </w:rPr>
      </w:pPr>
      <w:r w:rsidRPr="00E3482E">
        <w:rPr>
          <w:color w:val="000000"/>
          <w:vertAlign w:val="superscript"/>
          <w:lang w:val="en-GB"/>
        </w:rPr>
        <w:t>1</w:t>
      </w:r>
      <w:r w:rsidRPr="00E3482E">
        <w:rPr>
          <w:i/>
          <w:color w:val="000000"/>
          <w:sz w:val="20"/>
          <w:szCs w:val="20"/>
          <w:lang w:val="en-GB"/>
        </w:rPr>
        <w:t xml:space="preserve"> GLSG’00 outcome: TTF (time to treatment failure); OSHO-39: PFS (progression-free survival); FL2000 outcome: EFS (event free survival) </w:t>
      </w:r>
    </w:p>
    <w:p w:rsidR="004248E4" w:rsidRPr="00E3482E" w:rsidRDefault="004248E4" w:rsidP="00E456A5">
      <w:pPr>
        <w:pStyle w:val="Text"/>
        <w:spacing w:before="60" w:line="259" w:lineRule="auto"/>
        <w:ind w:left="1440" w:hanging="1440"/>
        <w:jc w:val="left"/>
        <w:rPr>
          <w:i/>
          <w:color w:val="000000"/>
          <w:sz w:val="20"/>
          <w:szCs w:val="20"/>
          <w:lang w:val="en-GB"/>
        </w:rPr>
      </w:pPr>
      <w:r w:rsidRPr="00E3482E">
        <w:rPr>
          <w:i/>
          <w:color w:val="000000"/>
          <w:sz w:val="20"/>
          <w:szCs w:val="20"/>
          <w:lang w:val="en-GB"/>
        </w:rPr>
        <w:t>Abbreviations:</w:t>
      </w:r>
      <w:r w:rsidRPr="00E3482E">
        <w:rPr>
          <w:i/>
          <w:color w:val="000000"/>
          <w:sz w:val="20"/>
          <w:szCs w:val="20"/>
          <w:lang w:val="en-GB"/>
        </w:rPr>
        <w:tab/>
        <w:t>ORR – overall response rate</w:t>
      </w:r>
      <w:r w:rsidR="00972740" w:rsidRPr="00E3482E">
        <w:rPr>
          <w:i/>
          <w:color w:val="000000"/>
          <w:sz w:val="20"/>
          <w:szCs w:val="20"/>
          <w:lang w:val="en-GB"/>
        </w:rPr>
        <w:t xml:space="preserve">; CR – complete response; OS rates – overall survival rates at the time of the analyses; R – rituximab; CHOP – cyclophosphamide, doxorubicin, vincristine, prednisone; MCP – </w:t>
      </w:r>
      <w:proofErr w:type="spellStart"/>
      <w:r w:rsidR="00972740" w:rsidRPr="00E3482E">
        <w:rPr>
          <w:i/>
          <w:color w:val="000000"/>
          <w:sz w:val="20"/>
          <w:szCs w:val="20"/>
          <w:lang w:val="en-GB"/>
        </w:rPr>
        <w:t>mitoxantrone</w:t>
      </w:r>
      <w:proofErr w:type="spellEnd"/>
      <w:r w:rsidR="00972740" w:rsidRPr="00E3482E">
        <w:rPr>
          <w:i/>
          <w:color w:val="000000"/>
          <w:sz w:val="20"/>
          <w:szCs w:val="20"/>
          <w:lang w:val="en-GB"/>
        </w:rPr>
        <w:t xml:space="preserve">, </w:t>
      </w:r>
      <w:proofErr w:type="spellStart"/>
      <w:r w:rsidR="00972740" w:rsidRPr="00E3482E">
        <w:rPr>
          <w:i/>
          <w:color w:val="000000"/>
          <w:sz w:val="20"/>
          <w:szCs w:val="20"/>
          <w:lang w:val="en-GB"/>
        </w:rPr>
        <w:t>chlorambucil</w:t>
      </w:r>
      <w:proofErr w:type="spellEnd"/>
      <w:r w:rsidR="00972740" w:rsidRPr="00E3482E">
        <w:rPr>
          <w:i/>
          <w:color w:val="000000"/>
          <w:sz w:val="20"/>
          <w:szCs w:val="20"/>
          <w:lang w:val="en-GB"/>
        </w:rPr>
        <w:t>, prednisolone; CHVP – cyclophosphamide, doxorubicin, etoposide; prednisolone; IFN – interferon-alfa 2a.</w:t>
      </w:r>
      <w:r w:rsidRPr="00E3482E">
        <w:rPr>
          <w:i/>
          <w:color w:val="000000"/>
          <w:sz w:val="20"/>
          <w:szCs w:val="20"/>
          <w:lang w:val="en-GB"/>
        </w:rPr>
        <w:t xml:space="preserve"> </w:t>
      </w:r>
    </w:p>
    <w:p w:rsidR="00972740" w:rsidRPr="00E3482E" w:rsidRDefault="00972740" w:rsidP="00F5092E">
      <w:pPr>
        <w:pStyle w:val="Heading2"/>
      </w:pPr>
      <w:r w:rsidRPr="00E3482E">
        <w:t>Maintenance Therapy</w:t>
      </w:r>
    </w:p>
    <w:p w:rsidR="008E7CC1" w:rsidRPr="00E3482E" w:rsidRDefault="008E7CC1" w:rsidP="009A42F2">
      <w:pPr>
        <w:pStyle w:val="Heading3"/>
        <w:rPr>
          <w:color w:val="000000"/>
        </w:rPr>
      </w:pPr>
      <w:r w:rsidRPr="00E3482E">
        <w:rPr>
          <w:color w:val="000000"/>
        </w:rPr>
        <w:t>Relapsed/Refractory Follicular NHL</w:t>
      </w:r>
    </w:p>
    <w:p w:rsidR="008E7CC1" w:rsidRPr="00E3482E" w:rsidRDefault="008E7CC1" w:rsidP="008E7CC1">
      <w:pPr>
        <w:spacing w:before="120"/>
        <w:jc w:val="both"/>
        <w:rPr>
          <w:color w:val="000000"/>
          <w:lang w:val="en-GB"/>
        </w:rPr>
      </w:pPr>
      <w:r w:rsidRPr="00E3482E">
        <w:rPr>
          <w:color w:val="000000"/>
          <w:lang w:val="en-GB"/>
        </w:rPr>
        <w:t xml:space="preserve">In a prospective, open label, international, multicentre, Phase III trial, 465 patients with relapsed/refractory follicular NHL were randomised in a first step to induction therapy with </w:t>
      </w:r>
      <w:r w:rsidRPr="00E3482E">
        <w:rPr>
          <w:color w:val="000000"/>
          <w:lang w:val="en-GB"/>
        </w:rPr>
        <w:lastRenderedPageBreak/>
        <w:t>either CHOP (cyclophosphamide, doxorubicin, vincristine, prednisolone; n=231) or rituximab plus CHOP (R-CHOP, n=234), one dose of rituximab combined with each cycle of chemotherapy. The two treatment groups were well balanced with regard to baseline characteristics and disease status. A total of 334 patients achieving a complete or partial remission following induction therapy were randomised in a second step to rituximab maintenance therapy (n=167) or observation (n=167). Rituximab maintenance treatment consisted of a single infusion of rituximab at 375 mg/m</w:t>
      </w:r>
      <w:r w:rsidRPr="00E3482E">
        <w:rPr>
          <w:color w:val="000000"/>
          <w:vertAlign w:val="superscript"/>
          <w:lang w:val="en-GB"/>
        </w:rPr>
        <w:t>2</w:t>
      </w:r>
      <w:r w:rsidRPr="00E3482E">
        <w:rPr>
          <w:color w:val="000000"/>
          <w:lang w:val="en-GB"/>
        </w:rPr>
        <w:t xml:space="preserve"> body surface area given every 3 months until disease progression or for a maximum period of two years. Patients with </w:t>
      </w:r>
      <w:proofErr w:type="spellStart"/>
      <w:r w:rsidRPr="00E3482E">
        <w:rPr>
          <w:color w:val="000000"/>
          <w:lang w:val="en-GB"/>
        </w:rPr>
        <w:t>hypogammaglobulinaemia</w:t>
      </w:r>
      <w:proofErr w:type="spellEnd"/>
      <w:r w:rsidRPr="00E3482E">
        <w:rPr>
          <w:color w:val="000000"/>
          <w:lang w:val="en-GB"/>
        </w:rPr>
        <w:t xml:space="preserve"> (IgG &lt;3g/L) or known HIV infection were excluded from the trial.</w:t>
      </w:r>
    </w:p>
    <w:p w:rsidR="001E6998" w:rsidRPr="00E3482E" w:rsidRDefault="008E7CC1" w:rsidP="008E7CC1">
      <w:pPr>
        <w:spacing w:before="120"/>
        <w:jc w:val="both"/>
        <w:rPr>
          <w:color w:val="000000"/>
          <w:lang w:val="en-GB"/>
        </w:rPr>
      </w:pPr>
      <w:r w:rsidRPr="00E3482E">
        <w:rPr>
          <w:color w:val="000000"/>
          <w:lang w:val="en-GB"/>
        </w:rPr>
        <w:t>The final efficacy analysis included all patients randomised to both parts of the study. After a median observation time of 31 months for patients randomised to the induction phase, R-CHOP significantly improved the outcome of patients with relapsed/refractory follicular NHL when compared to CHOP (see Table 3).</w:t>
      </w:r>
    </w:p>
    <w:p w:rsidR="008E7CC1" w:rsidRPr="00E3482E" w:rsidRDefault="008E7CC1" w:rsidP="004278AA">
      <w:pPr>
        <w:pStyle w:val="Tabletitle"/>
        <w:spacing w:before="200"/>
        <w:ind w:left="964" w:hanging="964"/>
        <w:rPr>
          <w:color w:val="000000"/>
          <w:sz w:val="23"/>
          <w:szCs w:val="23"/>
        </w:rPr>
      </w:pPr>
      <w:r w:rsidRPr="00E3482E">
        <w:rPr>
          <w:color w:val="000000"/>
          <w:sz w:val="23"/>
          <w:szCs w:val="23"/>
        </w:rPr>
        <w:t xml:space="preserve">Table 3: </w:t>
      </w:r>
      <w:r w:rsidR="004278AA" w:rsidRPr="00E3482E">
        <w:rPr>
          <w:color w:val="000000"/>
          <w:sz w:val="23"/>
          <w:szCs w:val="23"/>
        </w:rPr>
        <w:tab/>
      </w:r>
      <w:r w:rsidRPr="00E3482E">
        <w:rPr>
          <w:color w:val="000000"/>
          <w:sz w:val="23"/>
          <w:szCs w:val="23"/>
        </w:rPr>
        <w:t>Induction phase: overview of efficacy results for CHOP vs R-CHOP (31 months median observation time)</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559"/>
        <w:gridCol w:w="1701"/>
        <w:gridCol w:w="1701"/>
        <w:gridCol w:w="1843"/>
      </w:tblGrid>
      <w:tr w:rsidR="008E7CC1" w:rsidRPr="00E3482E" w:rsidTr="008E7CC1">
        <w:tc>
          <w:tcPr>
            <w:tcW w:w="2657" w:type="dxa"/>
            <w:tcBorders>
              <w:top w:val="single" w:sz="4" w:space="0" w:color="auto"/>
              <w:left w:val="single" w:sz="4" w:space="0" w:color="auto"/>
              <w:bottom w:val="single" w:sz="4" w:space="0" w:color="auto"/>
              <w:right w:val="single" w:sz="4" w:space="0" w:color="auto"/>
            </w:tcBorders>
            <w:shd w:val="clear" w:color="auto" w:fill="FFFFFF"/>
          </w:tcPr>
          <w:p w:rsidR="008E7CC1" w:rsidRPr="00E3482E" w:rsidRDefault="008E7CC1" w:rsidP="00DC1B59">
            <w:pPr>
              <w:pStyle w:val="Text"/>
              <w:spacing w:before="0"/>
              <w:jc w:val="left"/>
              <w:rPr>
                <w:b/>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E7CC1" w:rsidRPr="00E3482E" w:rsidRDefault="008E7CC1" w:rsidP="00DC1B59">
            <w:pPr>
              <w:pStyle w:val="Text"/>
              <w:spacing w:before="0" w:line="269" w:lineRule="auto"/>
              <w:jc w:val="center"/>
              <w:rPr>
                <w:b/>
                <w:color w:val="000000"/>
                <w:sz w:val="22"/>
                <w:szCs w:val="22"/>
              </w:rPr>
            </w:pPr>
            <w:r w:rsidRPr="00E3482E">
              <w:rPr>
                <w:b/>
                <w:color w:val="000000"/>
                <w:sz w:val="22"/>
                <w:szCs w:val="22"/>
              </w:rPr>
              <w:t>CHOP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7CC1" w:rsidRPr="00E3482E" w:rsidRDefault="008E7CC1" w:rsidP="00DC1B59">
            <w:pPr>
              <w:pStyle w:val="Text"/>
              <w:spacing w:before="0" w:line="269" w:lineRule="auto"/>
              <w:jc w:val="center"/>
              <w:rPr>
                <w:b/>
                <w:color w:val="000000"/>
                <w:sz w:val="22"/>
                <w:szCs w:val="22"/>
              </w:rPr>
            </w:pPr>
            <w:r w:rsidRPr="00E3482E">
              <w:rPr>
                <w:b/>
                <w:color w:val="000000"/>
                <w:sz w:val="22"/>
                <w:szCs w:val="22"/>
              </w:rPr>
              <w:t>R-CHOP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E7CC1" w:rsidRPr="00E3482E" w:rsidRDefault="008E7CC1" w:rsidP="00DC1B59">
            <w:pPr>
              <w:pStyle w:val="Text"/>
              <w:spacing w:before="0" w:line="269" w:lineRule="auto"/>
              <w:jc w:val="center"/>
              <w:rPr>
                <w:b/>
                <w:color w:val="000000"/>
                <w:sz w:val="22"/>
                <w:szCs w:val="22"/>
              </w:rPr>
            </w:pPr>
            <w:r w:rsidRPr="00E3482E">
              <w:rPr>
                <w:b/>
                <w:color w:val="000000"/>
                <w:sz w:val="22"/>
                <w:szCs w:val="22"/>
              </w:rPr>
              <w:t>p-value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E7CC1" w:rsidRPr="00E3482E" w:rsidRDefault="008E7CC1" w:rsidP="00DC1B59">
            <w:pPr>
              <w:pStyle w:val="Text"/>
              <w:spacing w:before="0" w:line="269" w:lineRule="auto"/>
              <w:jc w:val="center"/>
              <w:rPr>
                <w:b/>
                <w:color w:val="000000"/>
                <w:sz w:val="22"/>
                <w:szCs w:val="22"/>
              </w:rPr>
            </w:pPr>
            <w:r w:rsidRPr="00E3482E">
              <w:rPr>
                <w:b/>
                <w:color w:val="000000"/>
                <w:sz w:val="22"/>
                <w:szCs w:val="22"/>
              </w:rPr>
              <w:t>Risk Reduction</w:t>
            </w:r>
            <w:r w:rsidRPr="00E3482E">
              <w:rPr>
                <w:b/>
                <w:color w:val="000000"/>
                <w:sz w:val="22"/>
                <w:szCs w:val="22"/>
                <w:vertAlign w:val="superscript"/>
              </w:rPr>
              <w:t>1</w:t>
            </w:r>
          </w:p>
        </w:tc>
      </w:tr>
      <w:tr w:rsidR="00DC1B59" w:rsidRPr="00E3482E" w:rsidTr="008E7CC1">
        <w:tc>
          <w:tcPr>
            <w:tcW w:w="2657"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left"/>
              <w:rPr>
                <w:b/>
                <w:color w:val="000000"/>
                <w:sz w:val="22"/>
                <w:szCs w:val="22"/>
              </w:rPr>
            </w:pPr>
            <w:r w:rsidRPr="00E3482E">
              <w:rPr>
                <w:b/>
                <w:color w:val="000000"/>
                <w:sz w:val="22"/>
                <w:szCs w:val="22"/>
              </w:rPr>
              <w:t>Primary Efficacy</w:t>
            </w:r>
          </w:p>
          <w:p w:rsidR="00DC1B59" w:rsidRPr="00E3482E" w:rsidRDefault="00DC1B59" w:rsidP="00DC1B59">
            <w:pPr>
              <w:pStyle w:val="Text"/>
              <w:spacing w:before="0" w:line="269" w:lineRule="auto"/>
              <w:jc w:val="right"/>
              <w:rPr>
                <w:color w:val="000000"/>
                <w:sz w:val="22"/>
                <w:szCs w:val="22"/>
              </w:rPr>
            </w:pPr>
            <w:r w:rsidRPr="00E3482E">
              <w:rPr>
                <w:color w:val="000000"/>
                <w:sz w:val="22"/>
                <w:szCs w:val="22"/>
              </w:rPr>
              <w:t>ORR</w:t>
            </w:r>
            <w:r w:rsidRPr="00E3482E">
              <w:rPr>
                <w:color w:val="000000"/>
                <w:sz w:val="22"/>
                <w:szCs w:val="22"/>
                <w:vertAlign w:val="superscript"/>
              </w:rPr>
              <w:t>2</w:t>
            </w:r>
          </w:p>
          <w:p w:rsidR="00DC1B59" w:rsidRPr="00E3482E" w:rsidRDefault="00DC1B59" w:rsidP="00DC1B59">
            <w:pPr>
              <w:pStyle w:val="Text"/>
              <w:spacing w:before="0" w:line="269" w:lineRule="auto"/>
              <w:jc w:val="right"/>
              <w:rPr>
                <w:color w:val="000000"/>
                <w:sz w:val="22"/>
                <w:szCs w:val="22"/>
              </w:rPr>
            </w:pPr>
            <w:r w:rsidRPr="00E3482E">
              <w:rPr>
                <w:color w:val="000000"/>
                <w:sz w:val="22"/>
                <w:szCs w:val="22"/>
              </w:rPr>
              <w:t>CR</w:t>
            </w:r>
            <w:r w:rsidRPr="00E3482E">
              <w:rPr>
                <w:color w:val="000000"/>
                <w:sz w:val="22"/>
                <w:szCs w:val="22"/>
                <w:vertAlign w:val="superscript"/>
              </w:rPr>
              <w:t>2</w:t>
            </w:r>
          </w:p>
          <w:p w:rsidR="00DC1B59" w:rsidRPr="00E3482E" w:rsidRDefault="00DC1B59" w:rsidP="00DC1B59">
            <w:pPr>
              <w:pStyle w:val="Text"/>
              <w:spacing w:before="0" w:line="269" w:lineRule="auto"/>
              <w:jc w:val="right"/>
              <w:rPr>
                <w:color w:val="000000"/>
                <w:sz w:val="22"/>
                <w:szCs w:val="22"/>
              </w:rPr>
            </w:pPr>
            <w:r w:rsidRPr="00E3482E">
              <w:rPr>
                <w:color w:val="000000"/>
                <w:sz w:val="22"/>
                <w:szCs w:val="22"/>
              </w:rPr>
              <w:t>PR</w:t>
            </w:r>
            <w:r w:rsidRPr="00E3482E">
              <w:rPr>
                <w:color w:val="000000"/>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74%</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16%</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58%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87%</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29%</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58%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0.0003</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0.0005</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0.9449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NA</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NA</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NA</w:t>
            </w:r>
          </w:p>
        </w:tc>
      </w:tr>
      <w:tr w:rsidR="00DC1B59" w:rsidRPr="00E3482E" w:rsidTr="00DC1B59">
        <w:tc>
          <w:tcPr>
            <w:tcW w:w="2657"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left"/>
              <w:rPr>
                <w:b/>
                <w:color w:val="000000"/>
                <w:sz w:val="22"/>
                <w:szCs w:val="22"/>
              </w:rPr>
            </w:pPr>
            <w:r w:rsidRPr="00E3482E">
              <w:rPr>
                <w:b/>
                <w:color w:val="000000"/>
                <w:sz w:val="22"/>
                <w:szCs w:val="22"/>
              </w:rPr>
              <w:t>Secondary Efficacy</w:t>
            </w:r>
          </w:p>
          <w:p w:rsidR="00DC1B59" w:rsidRPr="00E3482E" w:rsidRDefault="00DC1B59" w:rsidP="00DC1B59">
            <w:pPr>
              <w:pStyle w:val="Text"/>
              <w:spacing w:before="0" w:line="269" w:lineRule="auto"/>
              <w:jc w:val="right"/>
              <w:rPr>
                <w:color w:val="000000"/>
                <w:sz w:val="22"/>
                <w:szCs w:val="22"/>
              </w:rPr>
            </w:pPr>
            <w:r w:rsidRPr="00E3482E">
              <w:rPr>
                <w:color w:val="000000"/>
                <w:sz w:val="22"/>
                <w:szCs w:val="22"/>
              </w:rPr>
              <w:t>OS (median)</w:t>
            </w:r>
          </w:p>
          <w:p w:rsidR="00DC1B59" w:rsidRPr="00E3482E" w:rsidRDefault="00DC1B59" w:rsidP="00DC1B59">
            <w:pPr>
              <w:pStyle w:val="Text"/>
              <w:spacing w:before="0" w:line="269" w:lineRule="auto"/>
              <w:jc w:val="right"/>
              <w:rPr>
                <w:b/>
                <w:color w:val="000000"/>
                <w:sz w:val="22"/>
                <w:szCs w:val="22"/>
              </w:rPr>
            </w:pPr>
            <w:r w:rsidRPr="00E3482E">
              <w:rPr>
                <w:color w:val="000000"/>
                <w:sz w:val="22"/>
                <w:szCs w:val="22"/>
              </w:rPr>
              <w:t>PFS (median)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NR</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19.4 months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NR</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33.2 months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0.0508</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0.0001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C1B59" w:rsidRPr="00E3482E" w:rsidRDefault="00DC1B59" w:rsidP="00DC1B59">
            <w:pPr>
              <w:pStyle w:val="Text"/>
              <w:spacing w:before="60" w:line="269" w:lineRule="auto"/>
              <w:jc w:val="center"/>
              <w:rPr>
                <w:color w:val="000000"/>
                <w:sz w:val="22"/>
                <w:szCs w:val="22"/>
              </w:rPr>
            </w:pP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32%</w:t>
            </w:r>
          </w:p>
          <w:p w:rsidR="00DC1B59" w:rsidRPr="00E3482E" w:rsidRDefault="00DC1B59" w:rsidP="00DC1B59">
            <w:pPr>
              <w:pStyle w:val="Text"/>
              <w:spacing w:before="0" w:line="269" w:lineRule="auto"/>
              <w:jc w:val="center"/>
              <w:rPr>
                <w:color w:val="000000"/>
                <w:sz w:val="22"/>
                <w:szCs w:val="22"/>
              </w:rPr>
            </w:pPr>
            <w:r w:rsidRPr="00E3482E">
              <w:rPr>
                <w:color w:val="000000"/>
                <w:sz w:val="22"/>
                <w:szCs w:val="22"/>
              </w:rPr>
              <w:t>38%</w:t>
            </w:r>
          </w:p>
        </w:tc>
      </w:tr>
    </w:tbl>
    <w:p w:rsidR="00DC1B59" w:rsidRPr="00E3482E" w:rsidRDefault="00DC1B59" w:rsidP="009A42F2">
      <w:pPr>
        <w:pStyle w:val="Text"/>
        <w:keepNext/>
        <w:spacing w:before="60" w:line="259" w:lineRule="auto"/>
        <w:rPr>
          <w:i/>
          <w:color w:val="000000"/>
          <w:sz w:val="20"/>
          <w:szCs w:val="20"/>
          <w:lang w:val="en-GB"/>
        </w:rPr>
      </w:pPr>
      <w:r w:rsidRPr="00E3482E">
        <w:rPr>
          <w:color w:val="000000"/>
          <w:vertAlign w:val="superscript"/>
          <w:lang w:val="en-GB"/>
        </w:rPr>
        <w:t>1</w:t>
      </w:r>
      <w:r w:rsidRPr="00E3482E">
        <w:rPr>
          <w:i/>
          <w:color w:val="000000"/>
          <w:sz w:val="20"/>
          <w:szCs w:val="20"/>
          <w:lang w:val="en-GB"/>
        </w:rPr>
        <w:t xml:space="preserve"> Estimates were calculated by hazard ratios. </w:t>
      </w:r>
    </w:p>
    <w:p w:rsidR="00DC1B59" w:rsidRPr="00E3482E" w:rsidRDefault="00DC1B59" w:rsidP="009A42F2">
      <w:pPr>
        <w:pStyle w:val="Text"/>
        <w:spacing w:before="0" w:line="259" w:lineRule="auto"/>
        <w:rPr>
          <w:i/>
          <w:color w:val="000000"/>
          <w:sz w:val="20"/>
          <w:szCs w:val="20"/>
          <w:lang w:val="en-GB"/>
        </w:rPr>
      </w:pPr>
      <w:r w:rsidRPr="00E3482E">
        <w:rPr>
          <w:color w:val="000000"/>
          <w:vertAlign w:val="superscript"/>
          <w:lang w:val="en-GB"/>
        </w:rPr>
        <w:t>2</w:t>
      </w:r>
      <w:r w:rsidRPr="00E3482E">
        <w:rPr>
          <w:i/>
          <w:color w:val="000000"/>
          <w:sz w:val="20"/>
          <w:szCs w:val="20"/>
          <w:lang w:val="en-GB"/>
        </w:rPr>
        <w:t xml:space="preserve"> Last tumour response as assessed by the investigator. The “primary” statistical test for “response” was the trend test of CR versus PR versus non-response (p&lt;0.0001).</w:t>
      </w:r>
    </w:p>
    <w:p w:rsidR="00DC1B59" w:rsidRPr="00E3482E" w:rsidRDefault="00DC1B59" w:rsidP="009A42F2">
      <w:pPr>
        <w:pStyle w:val="Text"/>
        <w:spacing w:before="60" w:line="259" w:lineRule="auto"/>
        <w:ind w:left="1440" w:hanging="1440"/>
        <w:rPr>
          <w:i/>
          <w:color w:val="000000"/>
          <w:sz w:val="20"/>
          <w:szCs w:val="20"/>
          <w:lang w:val="en-GB"/>
        </w:rPr>
      </w:pPr>
      <w:r w:rsidRPr="00E3482E">
        <w:rPr>
          <w:i/>
          <w:color w:val="000000"/>
          <w:sz w:val="20"/>
          <w:szCs w:val="20"/>
          <w:lang w:val="en-GB"/>
        </w:rPr>
        <w:t>Abbreviations:</w:t>
      </w:r>
      <w:r w:rsidRPr="00E3482E">
        <w:rPr>
          <w:i/>
          <w:color w:val="000000"/>
          <w:sz w:val="20"/>
          <w:szCs w:val="20"/>
          <w:lang w:val="en-GB"/>
        </w:rPr>
        <w:tab/>
        <w:t xml:space="preserve">NA – not available; NR – not reached; ORR – overall response rate; CR – complete response; PR – partial response; OS – overall survival; PFS – progression free survival. </w:t>
      </w:r>
    </w:p>
    <w:p w:rsidR="00DC1B59" w:rsidRPr="00E3482E" w:rsidRDefault="00DC1B59" w:rsidP="00DC1B59">
      <w:pPr>
        <w:spacing w:before="200"/>
        <w:jc w:val="both"/>
        <w:rPr>
          <w:color w:val="000000"/>
          <w:lang w:val="en-GB"/>
        </w:rPr>
      </w:pPr>
      <w:r w:rsidRPr="00E3482E">
        <w:rPr>
          <w:color w:val="000000"/>
          <w:lang w:val="en-GB"/>
        </w:rPr>
        <w:t>For patients randomised to the maintenance phase of the trial, the median observation time was 28 months from maintenance randomisation. Maintenance treatment with rituximab led to a clinically relevant and statistically significant improvement in the primary endpoint, PFS, (time from maintenance randomisation to relapse, disease progression or death) when compared to observation alone (p&lt; 0.0001 log-rank test). The median PFS was 42.2 months in the rituximab maintenance arm compared to 14.3 months in the observation arm. Using a cox regression analysis, the risk of experiencing progressive disease or death was reduced by 61% with rituximab maintenance treatment when compared to observation (95% CI</w:t>
      </w:r>
      <w:r w:rsidR="009B25F6" w:rsidRPr="00E3482E">
        <w:rPr>
          <w:color w:val="000000"/>
          <w:lang w:val="en-GB"/>
        </w:rPr>
        <w:t>:</w:t>
      </w:r>
      <w:r w:rsidRPr="00E3482E">
        <w:rPr>
          <w:color w:val="000000"/>
          <w:lang w:val="en-GB"/>
        </w:rPr>
        <w:t xml:space="preserve"> 45%-72%). Kaplan-Meier estimated progression-free rates at 12 months were 78% in the rituximab maintenance group vs. 57% in the observation group. An analysis of overall survival confirmed the significant benefit of rituximab maintenance over observation (p=0.0039 log-rank test). Rituximab maintenance treatment reduced the risk of death by 56% (95% CI</w:t>
      </w:r>
      <w:r w:rsidR="009B25F6" w:rsidRPr="00E3482E">
        <w:rPr>
          <w:color w:val="000000"/>
          <w:lang w:val="en-GB"/>
        </w:rPr>
        <w:t>:</w:t>
      </w:r>
      <w:r w:rsidRPr="00E3482E">
        <w:rPr>
          <w:color w:val="000000"/>
          <w:lang w:val="en-GB"/>
        </w:rPr>
        <w:t xml:space="preserve"> 22%-75%).</w:t>
      </w:r>
    </w:p>
    <w:p w:rsidR="008E7CC1" w:rsidRPr="00E3482E" w:rsidRDefault="00DC1B59" w:rsidP="00236C4C">
      <w:pPr>
        <w:spacing w:before="120"/>
        <w:jc w:val="both"/>
        <w:rPr>
          <w:color w:val="000000"/>
          <w:lang w:val="en-GB"/>
        </w:rPr>
      </w:pPr>
      <w:r w:rsidRPr="00E3482E">
        <w:rPr>
          <w:color w:val="000000"/>
          <w:lang w:val="en-GB"/>
        </w:rPr>
        <w:t xml:space="preserve">The median time to new anti-lymphoma treatment was significantly longer with </w:t>
      </w:r>
      <w:r w:rsidR="009B25F6" w:rsidRPr="00E3482E">
        <w:rPr>
          <w:color w:val="000000"/>
          <w:lang w:val="en-GB"/>
        </w:rPr>
        <w:t>rituximab</w:t>
      </w:r>
      <w:r w:rsidRPr="00E3482E">
        <w:rPr>
          <w:color w:val="000000"/>
          <w:lang w:val="en-GB"/>
        </w:rPr>
        <w:t xml:space="preserve"> maintenance treatment than with observation (38.8 months vs. 20.1 months, p&lt; 0.0001 log-rank </w:t>
      </w:r>
      <w:r w:rsidRPr="00E3482E">
        <w:rPr>
          <w:color w:val="000000"/>
          <w:lang w:val="en-GB"/>
        </w:rPr>
        <w:lastRenderedPageBreak/>
        <w:t>test). The risk of starting a new treatment was reduced by 50% (95% CI</w:t>
      </w:r>
      <w:r w:rsidR="009B25F6" w:rsidRPr="00E3482E">
        <w:rPr>
          <w:color w:val="000000"/>
          <w:lang w:val="en-GB"/>
        </w:rPr>
        <w:t>:</w:t>
      </w:r>
      <w:r w:rsidRPr="00E3482E">
        <w:rPr>
          <w:color w:val="000000"/>
          <w:lang w:val="en-GB"/>
        </w:rPr>
        <w:t xml:space="preserve"> 30%-64%). In patients achieving a CR/</w:t>
      </w:r>
      <w:proofErr w:type="spellStart"/>
      <w:r w:rsidRPr="00E3482E">
        <w:rPr>
          <w:color w:val="000000"/>
          <w:lang w:val="en-GB"/>
        </w:rPr>
        <w:t>CRu</w:t>
      </w:r>
      <w:proofErr w:type="spellEnd"/>
      <w:r w:rsidRPr="00E3482E">
        <w:rPr>
          <w:color w:val="000000"/>
          <w:lang w:val="en-GB"/>
        </w:rPr>
        <w:t xml:space="preserve"> (complete response unconfirmed) as best response during induction treatment, </w:t>
      </w:r>
      <w:r w:rsidR="009B25F6" w:rsidRPr="00E3482E">
        <w:rPr>
          <w:color w:val="000000"/>
          <w:lang w:val="en-GB"/>
        </w:rPr>
        <w:t>rituximab</w:t>
      </w:r>
      <w:r w:rsidRPr="00E3482E">
        <w:rPr>
          <w:color w:val="000000"/>
          <w:lang w:val="en-GB"/>
        </w:rPr>
        <w:t xml:space="preserve"> maintenance treatment significantly prolonged the median disease free survival (DFS) compared to the observation group (53.7 vs. 16.5 months, p=0.0003) log-rank test (Table 4). The risk of relapse in complete respon</w:t>
      </w:r>
      <w:r w:rsidR="009B25F6" w:rsidRPr="00E3482E">
        <w:rPr>
          <w:color w:val="000000"/>
          <w:lang w:val="en-GB"/>
        </w:rPr>
        <w:t>ders was reduced by 67% (95% CI:</w:t>
      </w:r>
      <w:r w:rsidRPr="00E3482E">
        <w:rPr>
          <w:color w:val="000000"/>
          <w:lang w:val="en-GB"/>
        </w:rPr>
        <w:t xml:space="preserve"> 39%-82%).</w:t>
      </w:r>
    </w:p>
    <w:p w:rsidR="009B25F6" w:rsidRPr="00E3482E" w:rsidRDefault="009B25F6" w:rsidP="004278AA">
      <w:pPr>
        <w:pStyle w:val="Tabletitle"/>
        <w:spacing w:before="200"/>
        <w:ind w:left="964" w:hanging="964"/>
        <w:rPr>
          <w:color w:val="000000"/>
          <w:sz w:val="23"/>
          <w:szCs w:val="23"/>
        </w:rPr>
      </w:pPr>
      <w:r w:rsidRPr="00E3482E">
        <w:rPr>
          <w:color w:val="000000"/>
          <w:sz w:val="23"/>
          <w:szCs w:val="23"/>
        </w:rPr>
        <w:t xml:space="preserve">Table 4: </w:t>
      </w:r>
      <w:r w:rsidR="004278AA" w:rsidRPr="00E3482E">
        <w:rPr>
          <w:color w:val="000000"/>
          <w:sz w:val="23"/>
          <w:szCs w:val="23"/>
        </w:rPr>
        <w:tab/>
      </w:r>
      <w:r w:rsidRPr="00E3482E">
        <w:rPr>
          <w:color w:val="000000"/>
          <w:sz w:val="23"/>
          <w:szCs w:val="23"/>
        </w:rPr>
        <w:t>Maintenance phase: overview of efficacy results rituximab vs observation (28 months median observation time)</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1"/>
        <w:gridCol w:w="1417"/>
        <w:gridCol w:w="1276"/>
        <w:gridCol w:w="1276"/>
        <w:gridCol w:w="1701"/>
      </w:tblGrid>
      <w:tr w:rsidR="009B25F6" w:rsidRPr="00E3482E" w:rsidTr="00F74ABA">
        <w:tc>
          <w:tcPr>
            <w:tcW w:w="3791" w:type="dxa"/>
            <w:tcBorders>
              <w:top w:val="single" w:sz="4" w:space="0" w:color="auto"/>
              <w:left w:val="single" w:sz="4" w:space="0" w:color="auto"/>
              <w:bottom w:val="nil"/>
              <w:right w:val="single" w:sz="4" w:space="0" w:color="auto"/>
            </w:tcBorders>
            <w:shd w:val="clear" w:color="auto" w:fill="FFFFFF"/>
          </w:tcPr>
          <w:p w:rsidR="009B25F6" w:rsidRPr="00E3482E" w:rsidRDefault="009B25F6" w:rsidP="009B25F6">
            <w:pPr>
              <w:pStyle w:val="Text"/>
              <w:spacing w:before="40"/>
              <w:jc w:val="center"/>
              <w:rPr>
                <w:b/>
                <w:color w:val="000000"/>
                <w:sz w:val="22"/>
                <w:szCs w:val="22"/>
              </w:rPr>
            </w:pPr>
            <w:r w:rsidRPr="00E3482E">
              <w:rPr>
                <w:b/>
                <w:color w:val="000000"/>
                <w:sz w:val="22"/>
                <w:szCs w:val="22"/>
              </w:rPr>
              <w:t>Efficacy Parameter</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b/>
                <w:color w:val="000000"/>
                <w:sz w:val="22"/>
                <w:szCs w:val="22"/>
              </w:rPr>
            </w:pPr>
            <w:r w:rsidRPr="00E3482E">
              <w:rPr>
                <w:b/>
                <w:color w:val="000000"/>
                <w:sz w:val="22"/>
                <w:szCs w:val="22"/>
              </w:rPr>
              <w:t>Kaplan-Meier Estimate of Median Time to Event (months)</w:t>
            </w:r>
          </w:p>
        </w:tc>
        <w:tc>
          <w:tcPr>
            <w:tcW w:w="1701" w:type="dxa"/>
            <w:tcBorders>
              <w:top w:val="single" w:sz="4" w:space="0" w:color="auto"/>
              <w:left w:val="single" w:sz="4" w:space="0" w:color="auto"/>
              <w:bottom w:val="nil"/>
              <w:right w:val="single" w:sz="4" w:space="0" w:color="auto"/>
            </w:tcBorders>
            <w:shd w:val="clear" w:color="auto" w:fill="FFFFFF"/>
          </w:tcPr>
          <w:p w:rsidR="009B25F6" w:rsidRPr="00E3482E" w:rsidRDefault="009B25F6" w:rsidP="009B25F6">
            <w:pPr>
              <w:pStyle w:val="Text"/>
              <w:spacing w:line="269" w:lineRule="auto"/>
              <w:jc w:val="center"/>
              <w:rPr>
                <w:b/>
                <w:color w:val="000000"/>
                <w:sz w:val="22"/>
                <w:szCs w:val="22"/>
              </w:rPr>
            </w:pPr>
            <w:r w:rsidRPr="00E3482E">
              <w:rPr>
                <w:b/>
                <w:color w:val="000000"/>
                <w:sz w:val="22"/>
                <w:szCs w:val="22"/>
              </w:rPr>
              <w:t>Risk Reduction</w:t>
            </w:r>
          </w:p>
        </w:tc>
      </w:tr>
      <w:tr w:rsidR="009B25F6" w:rsidRPr="00E3482E" w:rsidTr="00F74ABA">
        <w:tc>
          <w:tcPr>
            <w:tcW w:w="3791" w:type="dxa"/>
            <w:tcBorders>
              <w:top w:val="nil"/>
              <w:left w:val="single" w:sz="4" w:space="0" w:color="auto"/>
              <w:bottom w:val="single" w:sz="4" w:space="0" w:color="auto"/>
              <w:right w:val="single" w:sz="4" w:space="0" w:color="auto"/>
            </w:tcBorders>
            <w:shd w:val="clear" w:color="auto" w:fill="FFFFFF"/>
          </w:tcPr>
          <w:p w:rsidR="009B25F6" w:rsidRPr="00E3482E" w:rsidRDefault="009B25F6" w:rsidP="00704540">
            <w:pPr>
              <w:pStyle w:val="Text"/>
              <w:spacing w:before="0"/>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704540">
            <w:pPr>
              <w:pStyle w:val="Text"/>
              <w:spacing w:before="0" w:line="269" w:lineRule="auto"/>
              <w:jc w:val="center"/>
              <w:rPr>
                <w:b/>
                <w:color w:val="000000"/>
                <w:sz w:val="22"/>
                <w:szCs w:val="22"/>
              </w:rPr>
            </w:pPr>
            <w:r w:rsidRPr="00E3482E">
              <w:rPr>
                <w:b/>
                <w:color w:val="000000"/>
                <w:sz w:val="22"/>
                <w:szCs w:val="22"/>
              </w:rPr>
              <w:t>Observation</w:t>
            </w:r>
          </w:p>
          <w:p w:rsidR="009B25F6" w:rsidRPr="00E3482E" w:rsidRDefault="009B25F6" w:rsidP="00704540">
            <w:pPr>
              <w:pStyle w:val="Text"/>
              <w:spacing w:before="0" w:line="269" w:lineRule="auto"/>
              <w:jc w:val="center"/>
              <w:rPr>
                <w:b/>
                <w:color w:val="000000"/>
                <w:sz w:val="22"/>
                <w:szCs w:val="22"/>
              </w:rPr>
            </w:pPr>
            <w:r w:rsidRPr="00E3482E">
              <w:rPr>
                <w:b/>
                <w:color w:val="000000"/>
                <w:sz w:val="22"/>
                <w:szCs w:val="22"/>
              </w:rPr>
              <w:t>(N=167)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704540">
            <w:pPr>
              <w:pStyle w:val="Text"/>
              <w:spacing w:before="0" w:line="269" w:lineRule="auto"/>
              <w:jc w:val="center"/>
              <w:rPr>
                <w:b/>
                <w:color w:val="000000"/>
                <w:sz w:val="22"/>
                <w:szCs w:val="22"/>
              </w:rPr>
            </w:pPr>
            <w:r w:rsidRPr="00E3482E">
              <w:rPr>
                <w:b/>
                <w:color w:val="000000"/>
                <w:sz w:val="22"/>
                <w:szCs w:val="22"/>
              </w:rPr>
              <w:t>Rituximab</w:t>
            </w:r>
          </w:p>
          <w:p w:rsidR="009B25F6" w:rsidRPr="00E3482E" w:rsidRDefault="009B25F6" w:rsidP="00704540">
            <w:pPr>
              <w:pStyle w:val="Text"/>
              <w:spacing w:before="0" w:line="269" w:lineRule="auto"/>
              <w:jc w:val="center"/>
              <w:rPr>
                <w:b/>
                <w:color w:val="000000"/>
                <w:sz w:val="22"/>
                <w:szCs w:val="22"/>
              </w:rPr>
            </w:pPr>
            <w:r w:rsidRPr="00E3482E">
              <w:rPr>
                <w:b/>
                <w:color w:val="000000"/>
                <w:sz w:val="22"/>
                <w:szCs w:val="22"/>
              </w:rPr>
              <w:t>(N=167)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704540">
            <w:pPr>
              <w:pStyle w:val="Text"/>
              <w:spacing w:before="0" w:line="269" w:lineRule="auto"/>
              <w:jc w:val="center"/>
              <w:rPr>
                <w:b/>
                <w:color w:val="000000"/>
                <w:sz w:val="22"/>
                <w:szCs w:val="22"/>
              </w:rPr>
            </w:pPr>
            <w:r w:rsidRPr="00E3482E">
              <w:rPr>
                <w:b/>
                <w:color w:val="000000"/>
                <w:sz w:val="22"/>
                <w:szCs w:val="22"/>
              </w:rPr>
              <w:t>Log-Rank p value</w:t>
            </w:r>
          </w:p>
        </w:tc>
        <w:tc>
          <w:tcPr>
            <w:tcW w:w="1701" w:type="dxa"/>
            <w:tcBorders>
              <w:top w:val="nil"/>
              <w:left w:val="single" w:sz="4" w:space="0" w:color="auto"/>
              <w:bottom w:val="single" w:sz="4" w:space="0" w:color="auto"/>
              <w:right w:val="single" w:sz="4" w:space="0" w:color="auto"/>
            </w:tcBorders>
            <w:shd w:val="clear" w:color="auto" w:fill="FFFFFF"/>
          </w:tcPr>
          <w:p w:rsidR="009B25F6" w:rsidRPr="00E3482E" w:rsidRDefault="009B25F6" w:rsidP="00704540">
            <w:pPr>
              <w:pStyle w:val="Text"/>
              <w:spacing w:before="0" w:line="269" w:lineRule="auto"/>
              <w:jc w:val="center"/>
              <w:rPr>
                <w:b/>
                <w:color w:val="000000"/>
                <w:sz w:val="22"/>
                <w:szCs w:val="22"/>
              </w:rPr>
            </w:pPr>
            <w:r w:rsidRPr="00E3482E">
              <w:rPr>
                <w:b/>
                <w:color w:val="000000"/>
                <w:sz w:val="22"/>
                <w:szCs w:val="22"/>
              </w:rPr>
              <w:t>(95% CI)</w:t>
            </w:r>
          </w:p>
        </w:tc>
      </w:tr>
      <w:tr w:rsidR="009B25F6" w:rsidRPr="00E3482E" w:rsidTr="009B25F6">
        <w:tc>
          <w:tcPr>
            <w:tcW w:w="379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left"/>
              <w:rPr>
                <w:color w:val="000000"/>
                <w:sz w:val="22"/>
                <w:szCs w:val="22"/>
              </w:rPr>
            </w:pPr>
            <w:r w:rsidRPr="00E3482E">
              <w:rPr>
                <w:color w:val="000000"/>
                <w:sz w:val="22"/>
                <w:szCs w:val="22"/>
              </w:rPr>
              <w:t>Progression-free survival (PFS)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42.2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&lt;0.0001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61% (45-72%)</w:t>
            </w:r>
          </w:p>
        </w:tc>
      </w:tr>
      <w:tr w:rsidR="009B25F6" w:rsidRPr="00E3482E" w:rsidTr="009B25F6">
        <w:tc>
          <w:tcPr>
            <w:tcW w:w="379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left"/>
              <w:rPr>
                <w:color w:val="000000"/>
                <w:sz w:val="22"/>
                <w:szCs w:val="22"/>
              </w:rPr>
            </w:pPr>
            <w:r w:rsidRPr="00E3482E">
              <w:rPr>
                <w:color w:val="000000"/>
                <w:sz w:val="22"/>
                <w:szCs w:val="22"/>
              </w:rPr>
              <w:t>Overall Survival</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NR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NR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0.0039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56% (22-75%)</w:t>
            </w:r>
          </w:p>
        </w:tc>
      </w:tr>
      <w:tr w:rsidR="009B25F6" w:rsidRPr="00E3482E" w:rsidTr="009B25F6">
        <w:tc>
          <w:tcPr>
            <w:tcW w:w="379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left"/>
              <w:rPr>
                <w:color w:val="000000"/>
                <w:sz w:val="22"/>
                <w:szCs w:val="22"/>
              </w:rPr>
            </w:pPr>
            <w:r w:rsidRPr="00E3482E">
              <w:rPr>
                <w:color w:val="000000"/>
                <w:sz w:val="22"/>
                <w:szCs w:val="22"/>
              </w:rPr>
              <w:t>Time to new lymphoma treatment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20.1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38.8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&lt;0.0001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center"/>
              <w:rPr>
                <w:color w:val="000000"/>
                <w:sz w:val="22"/>
                <w:szCs w:val="22"/>
              </w:rPr>
            </w:pPr>
            <w:r w:rsidRPr="00E3482E">
              <w:rPr>
                <w:color w:val="000000"/>
                <w:sz w:val="22"/>
                <w:szCs w:val="22"/>
              </w:rPr>
              <w:t>50% (30-64%)</w:t>
            </w:r>
          </w:p>
        </w:tc>
      </w:tr>
      <w:tr w:rsidR="009B25F6" w:rsidRPr="00E3482E" w:rsidTr="00D83127">
        <w:tc>
          <w:tcPr>
            <w:tcW w:w="379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9B25F6" w:rsidP="009B25F6">
            <w:pPr>
              <w:pStyle w:val="Text"/>
              <w:spacing w:before="40" w:line="269" w:lineRule="auto"/>
              <w:jc w:val="left"/>
              <w:rPr>
                <w:color w:val="000000"/>
                <w:sz w:val="22"/>
                <w:szCs w:val="22"/>
              </w:rPr>
            </w:pPr>
            <w:r w:rsidRPr="00E3482E">
              <w:rPr>
                <w:color w:val="000000"/>
                <w:sz w:val="22"/>
                <w:szCs w:val="22"/>
              </w:rPr>
              <w:t>Disease-free survival</w:t>
            </w:r>
            <w:r w:rsidR="00D83127" w:rsidRPr="00E3482E">
              <w:rPr>
                <w:color w:val="000000"/>
                <w:sz w:val="22"/>
                <w:szCs w:val="22"/>
              </w:rPr>
              <w:t xml:space="preserve"> </w:t>
            </w:r>
            <w:r w:rsidRPr="00E3482E">
              <w:rPr>
                <w:color w:val="000000"/>
                <w:sz w:val="22"/>
                <w:szCs w:val="22"/>
                <w:vertAlign w:val="superscript"/>
              </w:rPr>
              <w:t>a</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D83127" w:rsidP="009B25F6">
            <w:pPr>
              <w:pStyle w:val="Text"/>
              <w:spacing w:before="40" w:line="269" w:lineRule="auto"/>
              <w:jc w:val="center"/>
              <w:rPr>
                <w:color w:val="000000"/>
                <w:sz w:val="22"/>
                <w:szCs w:val="22"/>
              </w:rPr>
            </w:pPr>
            <w:r w:rsidRPr="00E3482E">
              <w:rPr>
                <w:color w:val="000000"/>
                <w:sz w:val="22"/>
                <w:szCs w:val="22"/>
              </w:rPr>
              <w:t>16.5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D83127" w:rsidP="009B25F6">
            <w:pPr>
              <w:pStyle w:val="Text"/>
              <w:spacing w:before="40" w:line="269" w:lineRule="auto"/>
              <w:jc w:val="center"/>
              <w:rPr>
                <w:color w:val="000000"/>
                <w:sz w:val="22"/>
                <w:szCs w:val="22"/>
              </w:rPr>
            </w:pPr>
            <w:r w:rsidRPr="00E3482E">
              <w:rPr>
                <w:color w:val="000000"/>
                <w:sz w:val="22"/>
                <w:szCs w:val="22"/>
              </w:rPr>
              <w:t>53.7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D83127" w:rsidP="009B25F6">
            <w:pPr>
              <w:pStyle w:val="Text"/>
              <w:spacing w:before="40" w:line="269" w:lineRule="auto"/>
              <w:jc w:val="center"/>
              <w:rPr>
                <w:color w:val="000000"/>
                <w:sz w:val="22"/>
                <w:szCs w:val="22"/>
              </w:rPr>
            </w:pPr>
            <w:r w:rsidRPr="00E3482E">
              <w:rPr>
                <w:color w:val="000000"/>
                <w:sz w:val="22"/>
                <w:szCs w:val="22"/>
              </w:rPr>
              <w:t>0.0003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B25F6" w:rsidRPr="00E3482E" w:rsidRDefault="00D83127" w:rsidP="009B25F6">
            <w:pPr>
              <w:pStyle w:val="Text"/>
              <w:spacing w:before="40" w:line="269" w:lineRule="auto"/>
              <w:jc w:val="center"/>
              <w:rPr>
                <w:color w:val="000000"/>
                <w:sz w:val="22"/>
                <w:szCs w:val="22"/>
              </w:rPr>
            </w:pPr>
            <w:r w:rsidRPr="00E3482E">
              <w:rPr>
                <w:color w:val="000000"/>
                <w:sz w:val="22"/>
                <w:szCs w:val="22"/>
              </w:rPr>
              <w:t>67% (39-82%)</w:t>
            </w:r>
          </w:p>
        </w:tc>
      </w:tr>
      <w:tr w:rsidR="00D83127" w:rsidRPr="00E3482E" w:rsidTr="00D83127">
        <w:tc>
          <w:tcPr>
            <w:tcW w:w="3791" w:type="dxa"/>
            <w:tcBorders>
              <w:top w:val="single" w:sz="4" w:space="0" w:color="auto"/>
              <w:left w:val="single" w:sz="4" w:space="0" w:color="auto"/>
              <w:bottom w:val="single" w:sz="4" w:space="0" w:color="auto"/>
              <w:right w:val="nil"/>
            </w:tcBorders>
            <w:shd w:val="clear" w:color="auto" w:fill="FFFFFF"/>
          </w:tcPr>
          <w:p w:rsidR="00D83127" w:rsidRPr="00E3482E" w:rsidRDefault="00D83127" w:rsidP="009B25F6">
            <w:pPr>
              <w:pStyle w:val="Text"/>
              <w:spacing w:before="40" w:line="269" w:lineRule="auto"/>
              <w:jc w:val="left"/>
              <w:rPr>
                <w:b/>
                <w:color w:val="000000"/>
                <w:sz w:val="22"/>
                <w:szCs w:val="22"/>
              </w:rPr>
            </w:pPr>
            <w:r w:rsidRPr="00E3482E">
              <w:rPr>
                <w:b/>
                <w:color w:val="000000"/>
                <w:sz w:val="22"/>
                <w:szCs w:val="22"/>
              </w:rPr>
              <w:t>Subgroup Analysis</w:t>
            </w:r>
          </w:p>
        </w:tc>
        <w:tc>
          <w:tcPr>
            <w:tcW w:w="1417" w:type="dxa"/>
            <w:tcBorders>
              <w:top w:val="single" w:sz="4" w:space="0" w:color="auto"/>
              <w:left w:val="nil"/>
              <w:bottom w:val="single" w:sz="4" w:space="0" w:color="auto"/>
              <w:right w:val="nil"/>
            </w:tcBorders>
            <w:shd w:val="clear" w:color="auto" w:fill="FFFFFF"/>
          </w:tcPr>
          <w:p w:rsidR="00D83127" w:rsidRPr="00E3482E" w:rsidRDefault="00D83127" w:rsidP="009B25F6">
            <w:pPr>
              <w:pStyle w:val="Text"/>
              <w:spacing w:before="40" w:line="269" w:lineRule="auto"/>
              <w:jc w:val="center"/>
              <w:rPr>
                <w:color w:val="000000"/>
                <w:sz w:val="22"/>
                <w:szCs w:val="22"/>
              </w:rPr>
            </w:pPr>
          </w:p>
        </w:tc>
        <w:tc>
          <w:tcPr>
            <w:tcW w:w="1276" w:type="dxa"/>
            <w:tcBorders>
              <w:top w:val="single" w:sz="4" w:space="0" w:color="auto"/>
              <w:left w:val="nil"/>
              <w:bottom w:val="single" w:sz="4" w:space="0" w:color="auto"/>
              <w:right w:val="nil"/>
            </w:tcBorders>
            <w:shd w:val="clear" w:color="auto" w:fill="FFFFFF"/>
          </w:tcPr>
          <w:p w:rsidR="00D83127" w:rsidRPr="00E3482E" w:rsidRDefault="00D83127" w:rsidP="009B25F6">
            <w:pPr>
              <w:pStyle w:val="Text"/>
              <w:spacing w:before="40" w:line="269" w:lineRule="auto"/>
              <w:jc w:val="center"/>
              <w:rPr>
                <w:color w:val="000000"/>
                <w:sz w:val="22"/>
                <w:szCs w:val="22"/>
              </w:rPr>
            </w:pPr>
          </w:p>
        </w:tc>
        <w:tc>
          <w:tcPr>
            <w:tcW w:w="1276" w:type="dxa"/>
            <w:tcBorders>
              <w:top w:val="single" w:sz="4" w:space="0" w:color="auto"/>
              <w:left w:val="nil"/>
              <w:bottom w:val="single" w:sz="4" w:space="0" w:color="auto"/>
              <w:right w:val="nil"/>
            </w:tcBorders>
            <w:shd w:val="clear" w:color="auto" w:fill="FFFFFF"/>
          </w:tcPr>
          <w:p w:rsidR="00D83127" w:rsidRPr="00E3482E" w:rsidRDefault="00D83127" w:rsidP="009B25F6">
            <w:pPr>
              <w:pStyle w:val="Text"/>
              <w:spacing w:before="40" w:line="269" w:lineRule="auto"/>
              <w:jc w:val="cente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p>
        </w:tc>
      </w:tr>
      <w:tr w:rsidR="00D83127" w:rsidRPr="00E3482E" w:rsidTr="009B25F6">
        <w:tc>
          <w:tcPr>
            <w:tcW w:w="3791" w:type="dxa"/>
            <w:tcBorders>
              <w:top w:val="single" w:sz="4" w:space="0" w:color="auto"/>
              <w:left w:val="single" w:sz="4" w:space="0" w:color="auto"/>
              <w:bottom w:val="single" w:sz="4" w:space="0" w:color="auto"/>
              <w:right w:val="single" w:sz="4" w:space="0" w:color="auto"/>
            </w:tcBorders>
            <w:shd w:val="clear" w:color="auto" w:fill="FFFFFF"/>
          </w:tcPr>
          <w:p w:rsidR="00D83127" w:rsidRPr="00982770" w:rsidRDefault="00D83127" w:rsidP="00D83127">
            <w:pPr>
              <w:pStyle w:val="Text"/>
              <w:tabs>
                <w:tab w:val="right" w:pos="3541"/>
              </w:tabs>
              <w:spacing w:before="40" w:line="269" w:lineRule="auto"/>
              <w:jc w:val="left"/>
              <w:rPr>
                <w:color w:val="000000"/>
                <w:sz w:val="22"/>
                <w:szCs w:val="22"/>
                <w:lang w:val="fr-FR"/>
              </w:rPr>
            </w:pPr>
            <w:r w:rsidRPr="00982770">
              <w:rPr>
                <w:color w:val="000000"/>
                <w:sz w:val="22"/>
                <w:szCs w:val="22"/>
                <w:u w:val="single"/>
                <w:lang w:val="fr-FR"/>
              </w:rPr>
              <w:t>PFS</w:t>
            </w:r>
            <w:r w:rsidRPr="00982770">
              <w:rPr>
                <w:color w:val="000000"/>
                <w:sz w:val="22"/>
                <w:szCs w:val="22"/>
                <w:lang w:val="fr-FR"/>
              </w:rPr>
              <w:tab/>
              <w:t>CHOP</w:t>
            </w:r>
          </w:p>
          <w:p w:rsidR="00D83127" w:rsidRPr="00982770" w:rsidRDefault="00D83127" w:rsidP="00D83127">
            <w:pPr>
              <w:pStyle w:val="Text"/>
              <w:tabs>
                <w:tab w:val="right" w:pos="3541"/>
              </w:tabs>
              <w:spacing w:before="40" w:line="269" w:lineRule="auto"/>
              <w:jc w:val="left"/>
              <w:rPr>
                <w:color w:val="000000"/>
                <w:sz w:val="22"/>
                <w:szCs w:val="22"/>
                <w:lang w:val="fr-FR"/>
              </w:rPr>
            </w:pPr>
            <w:r w:rsidRPr="00982770">
              <w:rPr>
                <w:color w:val="000000"/>
                <w:sz w:val="22"/>
                <w:szCs w:val="22"/>
                <w:lang w:val="fr-FR"/>
              </w:rPr>
              <w:tab/>
              <w:t>R-CHOP</w:t>
            </w:r>
          </w:p>
          <w:p w:rsidR="00D83127" w:rsidRPr="00982770" w:rsidRDefault="00D83127" w:rsidP="00D83127">
            <w:pPr>
              <w:pStyle w:val="Text"/>
              <w:tabs>
                <w:tab w:val="right" w:pos="3541"/>
              </w:tabs>
              <w:spacing w:before="40" w:line="269" w:lineRule="auto"/>
              <w:jc w:val="left"/>
              <w:rPr>
                <w:color w:val="000000"/>
                <w:sz w:val="22"/>
                <w:szCs w:val="22"/>
                <w:lang w:val="fr-FR"/>
              </w:rPr>
            </w:pPr>
            <w:r w:rsidRPr="00982770">
              <w:rPr>
                <w:color w:val="000000"/>
                <w:sz w:val="22"/>
                <w:szCs w:val="22"/>
                <w:lang w:val="fr-FR"/>
              </w:rPr>
              <w:tab/>
              <w:t>CR</w:t>
            </w:r>
          </w:p>
          <w:p w:rsidR="00D83127" w:rsidRPr="00982770" w:rsidRDefault="00D83127" w:rsidP="00D83127">
            <w:pPr>
              <w:pStyle w:val="Text"/>
              <w:tabs>
                <w:tab w:val="right" w:pos="3541"/>
              </w:tabs>
              <w:spacing w:before="40" w:line="269" w:lineRule="auto"/>
              <w:jc w:val="left"/>
              <w:rPr>
                <w:color w:val="000000"/>
                <w:sz w:val="22"/>
                <w:szCs w:val="22"/>
                <w:lang w:val="fr-FR"/>
              </w:rPr>
            </w:pPr>
            <w:r w:rsidRPr="00982770">
              <w:rPr>
                <w:color w:val="000000"/>
                <w:sz w:val="22"/>
                <w:szCs w:val="22"/>
                <w:lang w:val="fr-FR"/>
              </w:rPr>
              <w:tab/>
              <w:t>PR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11.6</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22.1</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14.3</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14.3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37.5</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51.9</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52.8</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37.8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&lt;0.0001</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0.0071</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0.0008</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&lt;0.0001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71% (54-82%)</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46% (15-65%)</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64% (33-81%)</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54% (33-69%)</w:t>
            </w:r>
          </w:p>
        </w:tc>
      </w:tr>
      <w:tr w:rsidR="00D83127" w:rsidRPr="00E3482E" w:rsidTr="009B25F6">
        <w:tc>
          <w:tcPr>
            <w:tcW w:w="3791"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D83127">
            <w:pPr>
              <w:pStyle w:val="Text"/>
              <w:tabs>
                <w:tab w:val="right" w:pos="3541"/>
              </w:tabs>
              <w:spacing w:before="40" w:line="269" w:lineRule="auto"/>
              <w:jc w:val="left"/>
              <w:rPr>
                <w:color w:val="000000"/>
                <w:sz w:val="22"/>
                <w:szCs w:val="22"/>
              </w:rPr>
            </w:pPr>
            <w:r w:rsidRPr="00E3482E">
              <w:rPr>
                <w:color w:val="000000"/>
                <w:sz w:val="22"/>
                <w:szCs w:val="22"/>
                <w:u w:val="single"/>
              </w:rPr>
              <w:t>OS</w:t>
            </w:r>
            <w:r w:rsidRPr="00E3482E">
              <w:rPr>
                <w:color w:val="000000"/>
                <w:sz w:val="22"/>
                <w:szCs w:val="22"/>
              </w:rPr>
              <w:tab/>
              <w:t>CHOP</w:t>
            </w:r>
          </w:p>
          <w:p w:rsidR="00D83127" w:rsidRPr="00E3482E" w:rsidRDefault="00D83127" w:rsidP="00D83127">
            <w:pPr>
              <w:pStyle w:val="Text"/>
              <w:tabs>
                <w:tab w:val="right" w:pos="3541"/>
              </w:tabs>
              <w:spacing w:before="40" w:line="269" w:lineRule="auto"/>
              <w:jc w:val="left"/>
              <w:rPr>
                <w:color w:val="000000"/>
                <w:sz w:val="22"/>
                <w:szCs w:val="22"/>
              </w:rPr>
            </w:pPr>
            <w:r w:rsidRPr="00E3482E">
              <w:rPr>
                <w:color w:val="000000"/>
                <w:sz w:val="22"/>
                <w:szCs w:val="22"/>
              </w:rPr>
              <w:tab/>
              <w:t>R-CHOP</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NR</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NR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NR</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NR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0.0348</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0.0482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55% (4-79%)</w:t>
            </w:r>
          </w:p>
          <w:p w:rsidR="00D83127" w:rsidRPr="00E3482E" w:rsidRDefault="00D83127" w:rsidP="009B25F6">
            <w:pPr>
              <w:pStyle w:val="Text"/>
              <w:spacing w:before="40" w:line="269" w:lineRule="auto"/>
              <w:jc w:val="center"/>
              <w:rPr>
                <w:color w:val="000000"/>
                <w:sz w:val="22"/>
                <w:szCs w:val="22"/>
              </w:rPr>
            </w:pPr>
            <w:r w:rsidRPr="00E3482E">
              <w:rPr>
                <w:color w:val="000000"/>
                <w:sz w:val="22"/>
                <w:szCs w:val="22"/>
              </w:rPr>
              <w:t>56% (-2-81%)</w:t>
            </w:r>
          </w:p>
        </w:tc>
      </w:tr>
    </w:tbl>
    <w:p w:rsidR="00D83127" w:rsidRPr="00E3482E" w:rsidRDefault="00D83127" w:rsidP="009A42F2">
      <w:pPr>
        <w:pStyle w:val="Text"/>
        <w:keepNext/>
        <w:spacing w:before="60" w:line="259" w:lineRule="auto"/>
        <w:rPr>
          <w:i/>
          <w:color w:val="000000"/>
          <w:sz w:val="20"/>
          <w:szCs w:val="20"/>
          <w:lang w:val="en-GB"/>
        </w:rPr>
      </w:pPr>
      <w:proofErr w:type="spellStart"/>
      <w:proofErr w:type="gramStart"/>
      <w:r w:rsidRPr="00E3482E">
        <w:rPr>
          <w:color w:val="000000"/>
          <w:vertAlign w:val="superscript"/>
          <w:lang w:val="en-GB"/>
        </w:rPr>
        <w:t>a</w:t>
      </w:r>
      <w:proofErr w:type="spellEnd"/>
      <w:proofErr w:type="gramEnd"/>
      <w:r w:rsidRPr="00E3482E">
        <w:rPr>
          <w:i/>
          <w:color w:val="000000"/>
          <w:sz w:val="20"/>
          <w:szCs w:val="20"/>
          <w:lang w:val="en-GB"/>
        </w:rPr>
        <w:t xml:space="preserve"> Only applicable to patients achieving a CR.</w:t>
      </w:r>
      <w:r w:rsidRPr="00E3482E">
        <w:rPr>
          <w:i/>
          <w:color w:val="000000"/>
          <w:sz w:val="20"/>
          <w:szCs w:val="20"/>
          <w:lang w:val="en-GB"/>
        </w:rPr>
        <w:tab/>
      </w:r>
      <w:r w:rsidRPr="00E3482E">
        <w:rPr>
          <w:i/>
          <w:color w:val="000000"/>
          <w:sz w:val="20"/>
          <w:szCs w:val="20"/>
          <w:lang w:val="en-GB"/>
        </w:rPr>
        <w:tab/>
      </w:r>
      <w:r w:rsidRPr="00E3482E">
        <w:rPr>
          <w:i/>
          <w:color w:val="000000"/>
          <w:sz w:val="20"/>
          <w:szCs w:val="20"/>
          <w:lang w:val="en-GB"/>
        </w:rPr>
        <w:tab/>
      </w:r>
      <w:r w:rsidRPr="00E3482E">
        <w:rPr>
          <w:i/>
          <w:color w:val="000000"/>
          <w:sz w:val="20"/>
          <w:szCs w:val="20"/>
          <w:lang w:val="en-GB"/>
        </w:rPr>
        <w:tab/>
      </w:r>
      <w:r w:rsidRPr="00E3482E">
        <w:rPr>
          <w:i/>
          <w:color w:val="000000"/>
          <w:sz w:val="20"/>
          <w:szCs w:val="20"/>
          <w:lang w:val="en-GB"/>
        </w:rPr>
        <w:tab/>
        <w:t xml:space="preserve">NR – not reached </w:t>
      </w:r>
    </w:p>
    <w:p w:rsidR="00D83127" w:rsidRPr="00E3482E" w:rsidRDefault="00D83127" w:rsidP="00D83127">
      <w:pPr>
        <w:spacing w:before="200"/>
        <w:jc w:val="both"/>
        <w:rPr>
          <w:color w:val="000000"/>
          <w:lang w:val="en-GB"/>
        </w:rPr>
      </w:pPr>
      <w:r w:rsidRPr="00E3482E">
        <w:rPr>
          <w:color w:val="000000"/>
          <w:lang w:val="en-GB"/>
        </w:rPr>
        <w:t xml:space="preserve">The benefit of rituximab maintenance treatment was confirmed in all subgroups analysed, regardless of induction regimen (CHOP or R-CHOP) or quality of response to induction treatment (CR or PR) (Table </w:t>
      </w:r>
      <w:r w:rsidR="00236C4C" w:rsidRPr="00E3482E">
        <w:rPr>
          <w:color w:val="000000"/>
          <w:lang w:val="en-GB"/>
        </w:rPr>
        <w:t>5</w:t>
      </w:r>
      <w:r w:rsidRPr="00E3482E">
        <w:rPr>
          <w:color w:val="000000"/>
          <w:lang w:val="en-GB"/>
        </w:rPr>
        <w:t xml:space="preserve">). Rituximab maintenance treatment significantly prolonged median PFS in patients responding to CHOP induction therapy (median PFS 37.5 months vs. 11.6 months, p&lt; 0.0001) as well as in those responding to R-CHOP induction (median PFS 51.9 months vs. 22.1 months, p=0.0071). Although analysed subgroups were small, and the median survival had not been reached after an overall median observation period of 47.2 months, a clinically meaningful benefit in terms of overall survival was observed for patients receiving </w:t>
      </w:r>
      <w:r w:rsidR="00EC375E" w:rsidRPr="00E3482E">
        <w:rPr>
          <w:color w:val="000000"/>
          <w:lang w:val="en-GB"/>
        </w:rPr>
        <w:t>rituximab</w:t>
      </w:r>
      <w:r w:rsidRPr="00E3482E">
        <w:rPr>
          <w:color w:val="000000"/>
          <w:lang w:val="en-GB"/>
        </w:rPr>
        <w:t xml:space="preserve"> maintenance treatment when compared to observation, in the overall population.</w:t>
      </w:r>
    </w:p>
    <w:p w:rsidR="00DC1B59" w:rsidRPr="00E3482E" w:rsidRDefault="00EC375E" w:rsidP="00236C4C">
      <w:pPr>
        <w:spacing w:before="120"/>
        <w:jc w:val="both"/>
        <w:rPr>
          <w:color w:val="000000"/>
          <w:lang w:val="en-GB"/>
        </w:rPr>
      </w:pPr>
      <w:r w:rsidRPr="00E3482E">
        <w:rPr>
          <w:color w:val="000000"/>
          <w:lang w:val="en-GB"/>
        </w:rPr>
        <w:t>Rituximab</w:t>
      </w:r>
      <w:r w:rsidR="00D83127" w:rsidRPr="00E3482E">
        <w:rPr>
          <w:color w:val="000000"/>
          <w:lang w:val="en-GB"/>
        </w:rPr>
        <w:t xml:space="preserve"> maintenance treatment provided consistent benefit in all subgroups tested [gender (male, female), age (</w:t>
      </w:r>
      <w:r w:rsidRPr="00E3482E">
        <w:rPr>
          <w:color w:val="000000"/>
          <w:lang w:val="en-GB"/>
        </w:rPr>
        <w:t>≤</w:t>
      </w:r>
      <w:r w:rsidR="00D83127" w:rsidRPr="00E3482E">
        <w:rPr>
          <w:color w:val="000000"/>
          <w:lang w:val="en-GB"/>
        </w:rPr>
        <w:t xml:space="preserve">60 years, &gt;60 years), stage (III, IV), WHO performance status (0 versus &gt;0), B symptoms (absent, present), bone marrow involvement (no versus yes), IPI (0-2 versus 3-5), FLIPI score (0-1, versus 2 versus 3-5), number of extra-nodal sites (0-1 versus &gt;1), number of nodal sites (&lt;5 versus </w:t>
      </w:r>
      <w:r w:rsidRPr="00E3482E">
        <w:rPr>
          <w:color w:val="000000"/>
          <w:lang w:val="en-GB"/>
        </w:rPr>
        <w:t>≥</w:t>
      </w:r>
      <w:r w:rsidR="00D83127" w:rsidRPr="00E3482E">
        <w:rPr>
          <w:color w:val="000000"/>
          <w:lang w:val="en-GB"/>
        </w:rPr>
        <w:t>5), number of previous regimens (1 versus 2), best response to prior therapy (CR/PR versus NC/PD), haemoglobin (&lt;12 g/</w:t>
      </w:r>
      <w:proofErr w:type="spellStart"/>
      <w:r w:rsidR="00D83127" w:rsidRPr="00E3482E">
        <w:rPr>
          <w:color w:val="000000"/>
          <w:lang w:val="en-GB"/>
        </w:rPr>
        <w:t>dL</w:t>
      </w:r>
      <w:proofErr w:type="spellEnd"/>
      <w:r w:rsidR="00D83127" w:rsidRPr="00E3482E">
        <w:rPr>
          <w:color w:val="000000"/>
          <w:lang w:val="en-GB"/>
        </w:rPr>
        <w:t xml:space="preserve"> versus </w:t>
      </w:r>
      <w:r w:rsidRPr="00E3482E">
        <w:rPr>
          <w:color w:val="000000"/>
          <w:lang w:val="en-GB"/>
        </w:rPr>
        <w:t>≥</w:t>
      </w:r>
      <w:r w:rsidR="00D83127" w:rsidRPr="00E3482E">
        <w:rPr>
          <w:color w:val="000000"/>
          <w:lang w:val="en-GB"/>
        </w:rPr>
        <w:t>12 g/</w:t>
      </w:r>
      <w:proofErr w:type="spellStart"/>
      <w:r w:rsidR="00D83127" w:rsidRPr="00E3482E">
        <w:rPr>
          <w:color w:val="000000"/>
          <w:lang w:val="en-GB"/>
        </w:rPr>
        <w:t>dL</w:t>
      </w:r>
      <w:proofErr w:type="spellEnd"/>
      <w:r w:rsidR="00D83127" w:rsidRPr="00E3482E">
        <w:rPr>
          <w:color w:val="000000"/>
          <w:lang w:val="en-GB"/>
        </w:rPr>
        <w:t xml:space="preserve">), </w:t>
      </w:r>
      <w:r w:rsidRPr="00E3482E">
        <w:rPr>
          <w:color w:val="000000"/>
          <w:lang w:val="en-GB"/>
        </w:rPr>
        <w:t>β</w:t>
      </w:r>
      <w:r w:rsidR="00D83127" w:rsidRPr="00E3482E">
        <w:rPr>
          <w:color w:val="000000"/>
          <w:lang w:val="en-GB"/>
        </w:rPr>
        <w:t xml:space="preserve">2-microglobulin (&lt;3mg/L versus </w:t>
      </w:r>
      <w:r w:rsidRPr="00E3482E">
        <w:rPr>
          <w:color w:val="000000"/>
          <w:lang w:val="en-GB"/>
        </w:rPr>
        <w:t>≥</w:t>
      </w:r>
      <w:r w:rsidR="00D83127" w:rsidRPr="00E3482E">
        <w:rPr>
          <w:color w:val="000000"/>
          <w:lang w:val="en-GB"/>
        </w:rPr>
        <w:t>3 mg/L), LDH (elevated, not elevated) except for the small subgroup of patients with bulky disease.</w:t>
      </w:r>
    </w:p>
    <w:p w:rsidR="00236C4C" w:rsidRPr="00E3482E" w:rsidRDefault="00236C4C" w:rsidP="009A42F2">
      <w:pPr>
        <w:pStyle w:val="Heading3"/>
        <w:rPr>
          <w:color w:val="000000"/>
        </w:rPr>
      </w:pPr>
      <w:r w:rsidRPr="00E3482E">
        <w:rPr>
          <w:color w:val="000000"/>
        </w:rPr>
        <w:lastRenderedPageBreak/>
        <w:t>Previously Untreated Follicular NHL</w:t>
      </w:r>
    </w:p>
    <w:p w:rsidR="00236C4C" w:rsidRPr="00E3482E" w:rsidRDefault="00236C4C" w:rsidP="00236C4C">
      <w:pPr>
        <w:spacing w:before="120"/>
        <w:jc w:val="both"/>
        <w:rPr>
          <w:color w:val="000000"/>
          <w:lang w:val="en-GB"/>
        </w:rPr>
      </w:pPr>
      <w:r w:rsidRPr="00E3482E">
        <w:rPr>
          <w:color w:val="000000"/>
          <w:lang w:val="en-GB"/>
        </w:rPr>
        <w:t>In a prospective, open label, international, multi-centre, Phase III trial 1193 patients with previously untreated advanced follicular lymphoma received induction therapy with R-CHOP (n=881), R-CVP (n=268) or R-FCM (n=44), according to the investigators’ choice. A total of 1078 patients responded to induction therapy, of which 1018 were randomised to rituximab maintenance therapy (n=505) or observation (n=513). The two treatment groups were well balanced with regards to baseline characteristics and disease status. Rituximab maintenance treatment consisted of a single infusion of rituximab at 375 mg/m</w:t>
      </w:r>
      <w:r w:rsidRPr="00E3482E">
        <w:rPr>
          <w:color w:val="000000"/>
          <w:vertAlign w:val="superscript"/>
          <w:lang w:val="en-GB"/>
        </w:rPr>
        <w:t>2</w:t>
      </w:r>
      <w:r w:rsidRPr="00E3482E">
        <w:rPr>
          <w:color w:val="000000"/>
          <w:lang w:val="en-GB"/>
        </w:rPr>
        <w:t xml:space="preserve"> body surface area given every 2 months until disease progression or for a maximum period of two years.</w:t>
      </w:r>
    </w:p>
    <w:p w:rsidR="00236C4C" w:rsidRPr="00E3482E" w:rsidRDefault="00236C4C" w:rsidP="00236C4C">
      <w:pPr>
        <w:spacing w:before="120"/>
        <w:jc w:val="both"/>
        <w:rPr>
          <w:color w:val="000000"/>
          <w:lang w:val="en-GB"/>
        </w:rPr>
      </w:pPr>
      <w:r w:rsidRPr="00E3482E">
        <w:rPr>
          <w:color w:val="000000"/>
          <w:lang w:val="en-GB"/>
        </w:rPr>
        <w:t>After a median observation time of 25 months from randomisation, maintenance therapy with rituximab resulted in a clinically relevant and statistically significant improvement in the primary endpoint of investigator assessed progression-free survival (PFS) as compared to no maintenance therapy in patients with previously untreated follicular NHL (Table 5). This improvement in PFS was confirmed by an independent review committee (IRC) (Table 5).</w:t>
      </w:r>
    </w:p>
    <w:p w:rsidR="00236C4C" w:rsidRPr="00E3482E" w:rsidRDefault="00236C4C" w:rsidP="00236C4C">
      <w:pPr>
        <w:spacing w:before="120"/>
        <w:jc w:val="both"/>
        <w:rPr>
          <w:color w:val="000000"/>
          <w:lang w:val="en-GB"/>
        </w:rPr>
      </w:pPr>
      <w:r w:rsidRPr="00E3482E">
        <w:rPr>
          <w:color w:val="000000"/>
          <w:lang w:val="en-GB"/>
        </w:rPr>
        <w:t>Significant benefit from maintenance treatment with rituximab was also seen for the secondary endpoints event-free survival (EFS), time to next anti-lymphoma treatment (TNLT) time to next chemotherapy (TNCT) and overall response rate (ORR) (Table 5). Based on the limited number of deaths (58/513 patients (11%) in the observation arm and 59/505 patients (12%) in the rituximab maintenance arm), the current analysis did not show an advantage of maintenance treatment with rituximab in terms of overall survival (OS) HR 1.02 (95%</w:t>
      </w:r>
      <w:r w:rsidR="00094B27" w:rsidRPr="00E3482E">
        <w:rPr>
          <w:color w:val="000000"/>
          <w:lang w:val="en-GB"/>
        </w:rPr>
        <w:t xml:space="preserve"> </w:t>
      </w:r>
      <w:r w:rsidRPr="00E3482E">
        <w:rPr>
          <w:color w:val="000000"/>
          <w:lang w:val="en-GB"/>
        </w:rPr>
        <w:t>CI: 0.71</w:t>
      </w:r>
      <w:r w:rsidRPr="00E3482E">
        <w:rPr>
          <w:rFonts w:ascii="Cambria Math" w:hAnsi="Cambria Math" w:cs="Cambria Math"/>
          <w:color w:val="000000"/>
          <w:lang w:val="en-GB"/>
        </w:rPr>
        <w:t>‐</w:t>
      </w:r>
      <w:r w:rsidRPr="00E3482E">
        <w:rPr>
          <w:color w:val="000000"/>
          <w:lang w:val="en-GB"/>
        </w:rPr>
        <w:t>1.47; p=0.8959).</w:t>
      </w:r>
    </w:p>
    <w:p w:rsidR="00DC1B59" w:rsidRPr="00E3482E" w:rsidRDefault="00236C4C" w:rsidP="00236C4C">
      <w:pPr>
        <w:spacing w:before="120"/>
        <w:jc w:val="both"/>
        <w:rPr>
          <w:color w:val="000000"/>
          <w:lang w:val="en-GB"/>
        </w:rPr>
      </w:pPr>
      <w:r w:rsidRPr="00E3482E">
        <w:rPr>
          <w:color w:val="000000"/>
          <w:lang w:val="en-GB"/>
        </w:rPr>
        <w:t>The updated analysis corresponding to a median observation time of 73 months from randomisation confirm the results of the primary analysis (Table 5).</w:t>
      </w:r>
    </w:p>
    <w:p w:rsidR="00236C4C" w:rsidRPr="00E3482E" w:rsidRDefault="00236C4C" w:rsidP="004278AA">
      <w:pPr>
        <w:pStyle w:val="Tabletitle"/>
        <w:keepNext/>
        <w:spacing w:before="200"/>
        <w:ind w:left="964" w:hanging="964"/>
        <w:rPr>
          <w:color w:val="000000"/>
          <w:sz w:val="23"/>
          <w:szCs w:val="23"/>
        </w:rPr>
      </w:pPr>
      <w:r w:rsidRPr="00E3482E">
        <w:rPr>
          <w:color w:val="000000"/>
          <w:sz w:val="23"/>
          <w:szCs w:val="23"/>
        </w:rPr>
        <w:t xml:space="preserve">Table 5: </w:t>
      </w:r>
      <w:r w:rsidR="004278AA" w:rsidRPr="00E3482E">
        <w:rPr>
          <w:color w:val="000000"/>
          <w:sz w:val="23"/>
          <w:szCs w:val="23"/>
        </w:rPr>
        <w:tab/>
      </w:r>
      <w:r w:rsidRPr="00E3482E">
        <w:rPr>
          <w:color w:val="000000"/>
          <w:sz w:val="23"/>
          <w:szCs w:val="23"/>
        </w:rPr>
        <w:t xml:space="preserve">Overview of efficacy results for maintenance rituximab vs observation (25 and 73 </w:t>
      </w:r>
      <w:proofErr w:type="gramStart"/>
      <w:r w:rsidRPr="00E3482E">
        <w:rPr>
          <w:color w:val="000000"/>
          <w:sz w:val="23"/>
          <w:szCs w:val="23"/>
        </w:rPr>
        <w:t>months</w:t>
      </w:r>
      <w:proofErr w:type="gramEnd"/>
      <w:r w:rsidRPr="00E3482E">
        <w:rPr>
          <w:color w:val="000000"/>
          <w:sz w:val="23"/>
          <w:szCs w:val="23"/>
        </w:rPr>
        <w:t xml:space="preserve"> median observation time)</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4"/>
        <w:gridCol w:w="1276"/>
        <w:gridCol w:w="1418"/>
        <w:gridCol w:w="1275"/>
        <w:gridCol w:w="1418"/>
      </w:tblGrid>
      <w:tr w:rsidR="00B53533" w:rsidRPr="00E3482E" w:rsidTr="00C7186C">
        <w:tc>
          <w:tcPr>
            <w:tcW w:w="4074" w:type="dxa"/>
            <w:tcBorders>
              <w:top w:val="single" w:sz="4" w:space="0" w:color="auto"/>
              <w:left w:val="single" w:sz="4" w:space="0" w:color="auto"/>
              <w:bottom w:val="nil"/>
              <w:right w:val="single" w:sz="4" w:space="0" w:color="auto"/>
            </w:tcBorders>
            <w:shd w:val="clear" w:color="auto" w:fill="FFFFFF"/>
          </w:tcPr>
          <w:p w:rsidR="00B53533" w:rsidRPr="00E3482E" w:rsidRDefault="00B53533" w:rsidP="00F437E8">
            <w:pPr>
              <w:pStyle w:val="Text"/>
              <w:keepNext/>
              <w:spacing w:before="40"/>
              <w:jc w:val="center"/>
              <w:rPr>
                <w:b/>
                <w:color w:val="000000"/>
                <w:sz w:val="22"/>
                <w:szCs w:val="22"/>
              </w:rPr>
            </w:pPr>
            <w:r w:rsidRPr="00E3482E">
              <w:rPr>
                <w:b/>
                <w:color w:val="000000"/>
                <w:sz w:val="22"/>
                <w:szCs w:val="22"/>
              </w:rPr>
              <w:t>Efficacy Parameter</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B53533" w:rsidRPr="00E3482E" w:rsidRDefault="00B53533" w:rsidP="00F437E8">
            <w:pPr>
              <w:pStyle w:val="Text"/>
              <w:keepNext/>
              <w:spacing w:before="40" w:line="269" w:lineRule="auto"/>
              <w:jc w:val="center"/>
              <w:rPr>
                <w:b/>
                <w:color w:val="000000"/>
                <w:sz w:val="22"/>
                <w:szCs w:val="22"/>
              </w:rPr>
            </w:pPr>
            <w:r w:rsidRPr="00E3482E">
              <w:rPr>
                <w:b/>
                <w:color w:val="000000"/>
                <w:sz w:val="22"/>
                <w:szCs w:val="22"/>
              </w:rPr>
              <w:t xml:space="preserve">Primary Analysis </w:t>
            </w:r>
            <w:r w:rsidRPr="00E3482E">
              <w:rPr>
                <w:color w:val="000000"/>
                <w:sz w:val="22"/>
                <w:szCs w:val="22"/>
                <w:vertAlign w:val="superscript"/>
              </w:rPr>
              <w:t>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B53533" w:rsidRPr="00E3482E" w:rsidRDefault="00B53533" w:rsidP="00F437E8">
            <w:pPr>
              <w:pStyle w:val="Text"/>
              <w:keepNext/>
              <w:spacing w:before="40" w:line="269" w:lineRule="auto"/>
              <w:jc w:val="center"/>
              <w:rPr>
                <w:b/>
                <w:color w:val="000000"/>
                <w:sz w:val="22"/>
                <w:szCs w:val="22"/>
              </w:rPr>
            </w:pPr>
            <w:r w:rsidRPr="00E3482E">
              <w:rPr>
                <w:b/>
                <w:color w:val="000000"/>
                <w:sz w:val="22"/>
                <w:szCs w:val="22"/>
              </w:rPr>
              <w:t xml:space="preserve">Updated Analysis </w:t>
            </w:r>
            <w:r w:rsidRPr="00E3482E">
              <w:rPr>
                <w:color w:val="000000"/>
                <w:sz w:val="22"/>
                <w:szCs w:val="22"/>
                <w:vertAlign w:val="superscript"/>
              </w:rPr>
              <w:t>b</w:t>
            </w:r>
          </w:p>
        </w:tc>
      </w:tr>
      <w:tr w:rsidR="00E459F7" w:rsidRPr="00E3482E" w:rsidTr="00F437E8">
        <w:trPr>
          <w:cantSplit/>
        </w:trPr>
        <w:tc>
          <w:tcPr>
            <w:tcW w:w="4074" w:type="dxa"/>
            <w:tcBorders>
              <w:top w:val="nil"/>
              <w:left w:val="single" w:sz="4" w:space="0" w:color="auto"/>
              <w:bottom w:val="single" w:sz="4" w:space="0" w:color="auto"/>
              <w:right w:val="single" w:sz="4" w:space="0" w:color="auto"/>
            </w:tcBorders>
            <w:shd w:val="clear" w:color="auto" w:fill="FFFFFF"/>
          </w:tcPr>
          <w:p w:rsidR="00B53533" w:rsidRPr="00E3482E" w:rsidRDefault="00B53533" w:rsidP="00B53533">
            <w:pPr>
              <w:pStyle w:val="Text"/>
              <w:spacing w:before="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533" w:rsidRPr="00E3482E" w:rsidRDefault="00B53533" w:rsidP="00E459F7">
            <w:pPr>
              <w:pStyle w:val="Text"/>
              <w:spacing w:before="0" w:line="269" w:lineRule="auto"/>
              <w:ind w:left="-57" w:right="-57"/>
              <w:jc w:val="center"/>
              <w:rPr>
                <w:b/>
                <w:color w:val="000000"/>
                <w:sz w:val="22"/>
                <w:szCs w:val="22"/>
              </w:rPr>
            </w:pPr>
            <w:r w:rsidRPr="00E3482E">
              <w:rPr>
                <w:b/>
                <w:color w:val="000000"/>
                <w:sz w:val="22"/>
                <w:szCs w:val="22"/>
              </w:rPr>
              <w:t>Observation</w:t>
            </w:r>
          </w:p>
          <w:p w:rsidR="00B53533" w:rsidRPr="00E3482E" w:rsidRDefault="00B53533" w:rsidP="00B53533">
            <w:pPr>
              <w:pStyle w:val="Text"/>
              <w:spacing w:before="0" w:line="269" w:lineRule="auto"/>
              <w:jc w:val="center"/>
              <w:rPr>
                <w:b/>
                <w:color w:val="000000"/>
                <w:sz w:val="22"/>
                <w:szCs w:val="22"/>
              </w:rPr>
            </w:pPr>
            <w:r w:rsidRPr="00E3482E">
              <w:rPr>
                <w:b/>
                <w:color w:val="000000"/>
                <w:sz w:val="22"/>
                <w:szCs w:val="22"/>
              </w:rPr>
              <w:t>(N=513)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53533" w:rsidRPr="00E3482E" w:rsidRDefault="00B53533" w:rsidP="00B53533">
            <w:pPr>
              <w:pStyle w:val="Text"/>
              <w:spacing w:before="0" w:line="269" w:lineRule="auto"/>
              <w:jc w:val="center"/>
              <w:rPr>
                <w:b/>
                <w:color w:val="000000"/>
                <w:sz w:val="22"/>
                <w:szCs w:val="22"/>
              </w:rPr>
            </w:pPr>
            <w:r w:rsidRPr="00E3482E">
              <w:rPr>
                <w:b/>
                <w:color w:val="000000"/>
                <w:sz w:val="22"/>
                <w:szCs w:val="22"/>
              </w:rPr>
              <w:t>Rituximab maintenance</w:t>
            </w:r>
          </w:p>
          <w:p w:rsidR="00B53533" w:rsidRPr="00E3482E" w:rsidRDefault="00B53533" w:rsidP="00B53533">
            <w:pPr>
              <w:pStyle w:val="Text"/>
              <w:spacing w:before="0" w:line="269" w:lineRule="auto"/>
              <w:jc w:val="center"/>
              <w:rPr>
                <w:b/>
                <w:color w:val="000000"/>
                <w:sz w:val="22"/>
                <w:szCs w:val="22"/>
              </w:rPr>
            </w:pPr>
            <w:r w:rsidRPr="00E3482E">
              <w:rPr>
                <w:b/>
                <w:color w:val="000000"/>
                <w:sz w:val="22"/>
                <w:szCs w:val="22"/>
              </w:rPr>
              <w:t>(N=505)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53533" w:rsidRPr="00E3482E" w:rsidRDefault="00B53533" w:rsidP="00E459F7">
            <w:pPr>
              <w:pStyle w:val="Text"/>
              <w:spacing w:before="0" w:line="269" w:lineRule="auto"/>
              <w:ind w:left="-57" w:right="-57"/>
              <w:jc w:val="center"/>
              <w:rPr>
                <w:b/>
                <w:color w:val="000000"/>
                <w:sz w:val="22"/>
                <w:szCs w:val="22"/>
              </w:rPr>
            </w:pPr>
            <w:r w:rsidRPr="00E3482E">
              <w:rPr>
                <w:b/>
                <w:color w:val="000000"/>
                <w:sz w:val="22"/>
                <w:szCs w:val="22"/>
              </w:rPr>
              <w:t>Observation</w:t>
            </w:r>
          </w:p>
          <w:p w:rsidR="00B53533" w:rsidRPr="00E3482E" w:rsidRDefault="00B53533" w:rsidP="00B53533">
            <w:pPr>
              <w:pStyle w:val="Text"/>
              <w:spacing w:before="0" w:line="269" w:lineRule="auto"/>
              <w:jc w:val="center"/>
              <w:rPr>
                <w:b/>
                <w:color w:val="000000"/>
                <w:sz w:val="22"/>
                <w:szCs w:val="22"/>
              </w:rPr>
            </w:pPr>
            <w:r w:rsidRPr="00E3482E">
              <w:rPr>
                <w:b/>
                <w:color w:val="000000"/>
                <w:sz w:val="22"/>
                <w:szCs w:val="22"/>
              </w:rPr>
              <w:t>(N=513)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53533" w:rsidRPr="00E3482E" w:rsidRDefault="00B53533" w:rsidP="00B53533">
            <w:pPr>
              <w:pStyle w:val="Text"/>
              <w:spacing w:before="0" w:line="269" w:lineRule="auto"/>
              <w:jc w:val="center"/>
              <w:rPr>
                <w:b/>
                <w:color w:val="000000"/>
                <w:sz w:val="22"/>
                <w:szCs w:val="22"/>
              </w:rPr>
            </w:pPr>
            <w:r w:rsidRPr="00E3482E">
              <w:rPr>
                <w:b/>
                <w:color w:val="000000"/>
                <w:sz w:val="22"/>
                <w:szCs w:val="22"/>
              </w:rPr>
              <w:t>Rituximab maintenance</w:t>
            </w:r>
          </w:p>
          <w:p w:rsidR="00B53533" w:rsidRPr="00E3482E" w:rsidRDefault="00B53533" w:rsidP="00B53533">
            <w:pPr>
              <w:pStyle w:val="Text"/>
              <w:spacing w:before="0" w:line="269" w:lineRule="auto"/>
              <w:jc w:val="center"/>
              <w:rPr>
                <w:b/>
                <w:color w:val="000000"/>
                <w:sz w:val="22"/>
                <w:szCs w:val="22"/>
              </w:rPr>
            </w:pPr>
            <w:r w:rsidRPr="00E3482E">
              <w:rPr>
                <w:b/>
                <w:color w:val="000000"/>
                <w:sz w:val="22"/>
                <w:szCs w:val="22"/>
              </w:rPr>
              <w:t>(N=505)</w:t>
            </w:r>
          </w:p>
        </w:tc>
      </w:tr>
      <w:tr w:rsidR="00B53533" w:rsidRPr="00E3482E" w:rsidTr="00B53533">
        <w:tc>
          <w:tcPr>
            <w:tcW w:w="9461" w:type="dxa"/>
            <w:gridSpan w:val="5"/>
            <w:tcBorders>
              <w:top w:val="single" w:sz="4" w:space="0" w:color="auto"/>
              <w:left w:val="single" w:sz="4" w:space="0" w:color="auto"/>
              <w:bottom w:val="nil"/>
              <w:right w:val="single" w:sz="4" w:space="0" w:color="auto"/>
            </w:tcBorders>
            <w:shd w:val="clear" w:color="auto" w:fill="FFFFFF"/>
          </w:tcPr>
          <w:p w:rsidR="00B53533" w:rsidRPr="00E3482E" w:rsidRDefault="00B53533" w:rsidP="00C7186C">
            <w:pPr>
              <w:pStyle w:val="Text"/>
              <w:spacing w:before="40" w:line="269" w:lineRule="auto"/>
              <w:jc w:val="left"/>
              <w:rPr>
                <w:color w:val="000000"/>
                <w:sz w:val="22"/>
                <w:szCs w:val="22"/>
              </w:rPr>
            </w:pPr>
            <w:r w:rsidRPr="00E3482E">
              <w:rPr>
                <w:b/>
                <w:color w:val="000000"/>
                <w:sz w:val="22"/>
                <w:szCs w:val="22"/>
                <w:u w:val="single"/>
              </w:rPr>
              <w:t>Primary Endpoint</w:t>
            </w:r>
            <w:r w:rsidRPr="00E3482E">
              <w:rPr>
                <w:b/>
                <w:color w:val="000000"/>
                <w:sz w:val="22"/>
                <w:szCs w:val="22"/>
              </w:rPr>
              <w:t xml:space="preserve">: </w:t>
            </w:r>
            <w:r w:rsidRPr="00E3482E">
              <w:rPr>
                <w:b/>
                <w:i/>
                <w:color w:val="000000"/>
                <w:sz w:val="22"/>
                <w:szCs w:val="22"/>
              </w:rPr>
              <w:t>Progression-free Survival</w:t>
            </w:r>
            <w:r w:rsidRPr="00E3482E">
              <w:rPr>
                <w:color w:val="000000"/>
                <w:sz w:val="22"/>
                <w:szCs w:val="22"/>
              </w:rPr>
              <w:t xml:space="preserve"> </w:t>
            </w:r>
            <w:r w:rsidRPr="00E3482E">
              <w:rPr>
                <w:color w:val="000000"/>
                <w:sz w:val="22"/>
                <w:szCs w:val="22"/>
                <w:vertAlign w:val="superscript"/>
              </w:rPr>
              <w:t>c</w:t>
            </w:r>
          </w:p>
        </w:tc>
      </w:tr>
      <w:tr w:rsidR="00B53533" w:rsidRPr="00E3482E" w:rsidTr="00C7186C">
        <w:tc>
          <w:tcPr>
            <w:tcW w:w="4074" w:type="dxa"/>
            <w:tcBorders>
              <w:top w:val="nil"/>
              <w:left w:val="single" w:sz="4" w:space="0" w:color="auto"/>
              <w:bottom w:val="nil"/>
              <w:right w:val="single" w:sz="4" w:space="0" w:color="auto"/>
            </w:tcBorders>
            <w:shd w:val="clear" w:color="auto" w:fill="FFFFFF"/>
          </w:tcPr>
          <w:p w:rsidR="00B53533" w:rsidRPr="00E3482E" w:rsidRDefault="00B53533" w:rsidP="00B53533">
            <w:pPr>
              <w:pStyle w:val="Text"/>
              <w:spacing w:before="40" w:line="269" w:lineRule="auto"/>
              <w:jc w:val="left"/>
              <w:rPr>
                <w:color w:val="000000"/>
                <w:sz w:val="22"/>
                <w:szCs w:val="22"/>
              </w:rPr>
            </w:pPr>
            <w:r w:rsidRPr="00E3482E">
              <w:rPr>
                <w:color w:val="000000"/>
                <w:sz w:val="22"/>
                <w:szCs w:val="22"/>
              </w:rPr>
              <w:t>Median time to event (months)</w:t>
            </w:r>
          </w:p>
        </w:tc>
        <w:tc>
          <w:tcPr>
            <w:tcW w:w="1276" w:type="dxa"/>
            <w:tcBorders>
              <w:top w:val="single" w:sz="4" w:space="0" w:color="auto"/>
              <w:left w:val="single" w:sz="4" w:space="0" w:color="auto"/>
              <w:bottom w:val="nil"/>
              <w:right w:val="nil"/>
            </w:tcBorders>
            <w:shd w:val="clear" w:color="auto" w:fill="FFFFFF"/>
          </w:tcPr>
          <w:p w:rsidR="00B53533" w:rsidRPr="00E3482E" w:rsidRDefault="00B53533" w:rsidP="00B53533">
            <w:pPr>
              <w:pStyle w:val="Text"/>
              <w:spacing w:before="40" w:line="269" w:lineRule="auto"/>
              <w:jc w:val="center"/>
              <w:rPr>
                <w:color w:val="000000"/>
                <w:sz w:val="22"/>
                <w:szCs w:val="22"/>
              </w:rPr>
            </w:pPr>
            <w:r w:rsidRPr="00E3482E">
              <w:rPr>
                <w:color w:val="000000"/>
                <w:sz w:val="22"/>
                <w:szCs w:val="22"/>
              </w:rPr>
              <w:t>NR</w:t>
            </w:r>
          </w:p>
        </w:tc>
        <w:tc>
          <w:tcPr>
            <w:tcW w:w="1418" w:type="dxa"/>
            <w:tcBorders>
              <w:top w:val="single" w:sz="4" w:space="0" w:color="auto"/>
              <w:left w:val="nil"/>
              <w:bottom w:val="nil"/>
              <w:right w:val="single" w:sz="4" w:space="0" w:color="auto"/>
            </w:tcBorders>
            <w:shd w:val="clear" w:color="auto" w:fill="FFFFFF"/>
          </w:tcPr>
          <w:p w:rsidR="00B53533" w:rsidRPr="00E3482E" w:rsidRDefault="00B53533" w:rsidP="00B53533">
            <w:pPr>
              <w:pStyle w:val="Text"/>
              <w:spacing w:before="40" w:line="269" w:lineRule="auto"/>
              <w:jc w:val="center"/>
              <w:rPr>
                <w:color w:val="000000"/>
                <w:sz w:val="22"/>
                <w:szCs w:val="22"/>
              </w:rPr>
            </w:pPr>
            <w:r w:rsidRPr="00E3482E">
              <w:rPr>
                <w:color w:val="000000"/>
                <w:sz w:val="22"/>
                <w:szCs w:val="22"/>
              </w:rPr>
              <w:t>NR</w:t>
            </w:r>
          </w:p>
        </w:tc>
        <w:tc>
          <w:tcPr>
            <w:tcW w:w="1275" w:type="dxa"/>
            <w:tcBorders>
              <w:top w:val="single" w:sz="4" w:space="0" w:color="auto"/>
              <w:left w:val="single" w:sz="4" w:space="0" w:color="auto"/>
              <w:bottom w:val="nil"/>
              <w:right w:val="nil"/>
            </w:tcBorders>
            <w:shd w:val="clear" w:color="auto" w:fill="FFFFFF"/>
          </w:tcPr>
          <w:p w:rsidR="00B53533" w:rsidRPr="00E3482E" w:rsidRDefault="00B53533" w:rsidP="00B53533">
            <w:pPr>
              <w:pStyle w:val="Text"/>
              <w:spacing w:before="40" w:line="269" w:lineRule="auto"/>
              <w:jc w:val="center"/>
              <w:rPr>
                <w:color w:val="000000"/>
                <w:sz w:val="22"/>
                <w:szCs w:val="22"/>
              </w:rPr>
            </w:pPr>
            <w:r w:rsidRPr="00E3482E">
              <w:rPr>
                <w:color w:val="000000"/>
                <w:sz w:val="22"/>
                <w:szCs w:val="22"/>
              </w:rPr>
              <w:t>49</w:t>
            </w:r>
          </w:p>
        </w:tc>
        <w:tc>
          <w:tcPr>
            <w:tcW w:w="1418" w:type="dxa"/>
            <w:tcBorders>
              <w:top w:val="single" w:sz="4" w:space="0" w:color="auto"/>
              <w:left w:val="nil"/>
              <w:bottom w:val="nil"/>
              <w:right w:val="single" w:sz="4" w:space="0" w:color="auto"/>
            </w:tcBorders>
            <w:shd w:val="clear" w:color="auto" w:fill="FFFFFF"/>
          </w:tcPr>
          <w:p w:rsidR="00B53533" w:rsidRPr="00E3482E" w:rsidRDefault="00B53533" w:rsidP="00B53533">
            <w:pPr>
              <w:pStyle w:val="Text"/>
              <w:spacing w:before="40" w:line="269" w:lineRule="auto"/>
              <w:jc w:val="center"/>
              <w:rPr>
                <w:color w:val="000000"/>
                <w:sz w:val="22"/>
                <w:szCs w:val="22"/>
              </w:rPr>
            </w:pPr>
            <w:r w:rsidRPr="00E3482E">
              <w:rPr>
                <w:color w:val="000000"/>
                <w:sz w:val="22"/>
                <w:szCs w:val="22"/>
              </w:rPr>
              <w:t>NR</w:t>
            </w:r>
          </w:p>
        </w:tc>
      </w:tr>
      <w:tr w:rsidR="00B53533" w:rsidRPr="00E3482E" w:rsidTr="00C7186C">
        <w:tc>
          <w:tcPr>
            <w:tcW w:w="4074" w:type="dxa"/>
            <w:tcBorders>
              <w:top w:val="nil"/>
              <w:left w:val="single" w:sz="4" w:space="0" w:color="auto"/>
              <w:bottom w:val="single" w:sz="4" w:space="0" w:color="auto"/>
              <w:right w:val="single" w:sz="4" w:space="0" w:color="auto"/>
            </w:tcBorders>
            <w:shd w:val="clear" w:color="auto" w:fill="FFFFFF"/>
          </w:tcPr>
          <w:p w:rsidR="00B53533" w:rsidRPr="00E3482E" w:rsidRDefault="00B53533" w:rsidP="00B53533">
            <w:pPr>
              <w:pStyle w:val="Text"/>
              <w:spacing w:before="40" w:line="269" w:lineRule="auto"/>
              <w:jc w:val="left"/>
              <w:rPr>
                <w:color w:val="000000"/>
                <w:sz w:val="22"/>
                <w:szCs w:val="22"/>
              </w:rPr>
            </w:pPr>
            <w:r w:rsidRPr="00E3482E">
              <w:rPr>
                <w:color w:val="000000"/>
                <w:sz w:val="22"/>
                <w:szCs w:val="22"/>
              </w:rPr>
              <w:t>p value (stratified log-rank test)</w:t>
            </w:r>
          </w:p>
          <w:p w:rsidR="00B53533" w:rsidRPr="00E3482E" w:rsidRDefault="00B53533" w:rsidP="00B53533">
            <w:pPr>
              <w:pStyle w:val="Text"/>
              <w:spacing w:before="40" w:line="269" w:lineRule="auto"/>
              <w:jc w:val="left"/>
              <w:rPr>
                <w:color w:val="000000"/>
                <w:sz w:val="22"/>
                <w:szCs w:val="22"/>
              </w:rPr>
            </w:pPr>
            <w:r w:rsidRPr="00E3482E">
              <w:rPr>
                <w:color w:val="000000"/>
                <w:sz w:val="22"/>
                <w:szCs w:val="22"/>
              </w:rPr>
              <w:t>HR [95% CI] (stratified)</w:t>
            </w:r>
          </w:p>
        </w:tc>
        <w:tc>
          <w:tcPr>
            <w:tcW w:w="2694" w:type="dxa"/>
            <w:gridSpan w:val="2"/>
            <w:tcBorders>
              <w:top w:val="nil"/>
              <w:left w:val="single" w:sz="4" w:space="0" w:color="auto"/>
              <w:bottom w:val="single" w:sz="4" w:space="0" w:color="auto"/>
              <w:right w:val="single" w:sz="4" w:space="0" w:color="auto"/>
            </w:tcBorders>
            <w:shd w:val="clear" w:color="auto" w:fill="FFFFFF"/>
          </w:tcPr>
          <w:p w:rsidR="00B53533" w:rsidRPr="00E3482E" w:rsidRDefault="00B53533" w:rsidP="00B53533">
            <w:pPr>
              <w:pStyle w:val="Text"/>
              <w:spacing w:before="40" w:line="269" w:lineRule="auto"/>
              <w:jc w:val="center"/>
              <w:rPr>
                <w:color w:val="000000"/>
                <w:sz w:val="22"/>
                <w:szCs w:val="22"/>
              </w:rPr>
            </w:pPr>
            <w:r w:rsidRPr="00E3482E">
              <w:rPr>
                <w:color w:val="000000"/>
                <w:sz w:val="22"/>
                <w:szCs w:val="22"/>
              </w:rPr>
              <w:t>p&lt;0.0001</w:t>
            </w:r>
          </w:p>
          <w:p w:rsidR="00B53533" w:rsidRPr="00E3482E" w:rsidRDefault="00B53533" w:rsidP="004278AA">
            <w:pPr>
              <w:pStyle w:val="Text"/>
              <w:spacing w:before="40" w:line="269" w:lineRule="auto"/>
              <w:jc w:val="center"/>
              <w:rPr>
                <w:color w:val="000000"/>
                <w:sz w:val="22"/>
                <w:szCs w:val="22"/>
              </w:rPr>
            </w:pPr>
            <w:r w:rsidRPr="00E3482E">
              <w:rPr>
                <w:color w:val="000000"/>
                <w:sz w:val="22"/>
                <w:szCs w:val="22"/>
              </w:rPr>
              <w:t>0.50 [0.39</w:t>
            </w:r>
            <w:r w:rsidR="004278AA" w:rsidRPr="00E3482E">
              <w:rPr>
                <w:color w:val="000000"/>
                <w:sz w:val="22"/>
                <w:szCs w:val="22"/>
              </w:rPr>
              <w:t>,</w:t>
            </w:r>
            <w:r w:rsidRPr="00E3482E">
              <w:rPr>
                <w:color w:val="000000"/>
                <w:sz w:val="22"/>
                <w:szCs w:val="22"/>
              </w:rPr>
              <w:t xml:space="preserve"> 0.64]</w:t>
            </w:r>
          </w:p>
        </w:tc>
        <w:tc>
          <w:tcPr>
            <w:tcW w:w="2693" w:type="dxa"/>
            <w:gridSpan w:val="2"/>
            <w:tcBorders>
              <w:top w:val="nil"/>
              <w:left w:val="single" w:sz="4" w:space="0" w:color="auto"/>
              <w:bottom w:val="single" w:sz="4" w:space="0" w:color="auto"/>
              <w:right w:val="single" w:sz="4" w:space="0" w:color="auto"/>
            </w:tcBorders>
            <w:shd w:val="clear" w:color="auto" w:fill="FFFFFF"/>
          </w:tcPr>
          <w:p w:rsidR="00B53533" w:rsidRPr="00E3482E" w:rsidRDefault="00B53533" w:rsidP="00B53533">
            <w:pPr>
              <w:pStyle w:val="Text"/>
              <w:spacing w:before="40" w:line="269" w:lineRule="auto"/>
              <w:jc w:val="center"/>
              <w:rPr>
                <w:color w:val="000000"/>
                <w:sz w:val="22"/>
                <w:szCs w:val="22"/>
              </w:rPr>
            </w:pPr>
            <w:r w:rsidRPr="00E3482E">
              <w:rPr>
                <w:color w:val="000000"/>
                <w:sz w:val="22"/>
                <w:szCs w:val="22"/>
              </w:rPr>
              <w:t>p&lt;0.0001</w:t>
            </w:r>
          </w:p>
          <w:p w:rsidR="00B53533" w:rsidRPr="00E3482E" w:rsidRDefault="00B53533" w:rsidP="004278AA">
            <w:pPr>
              <w:pStyle w:val="Text"/>
              <w:spacing w:before="40" w:line="269" w:lineRule="auto"/>
              <w:jc w:val="center"/>
              <w:rPr>
                <w:color w:val="000000"/>
                <w:sz w:val="22"/>
                <w:szCs w:val="22"/>
              </w:rPr>
            </w:pPr>
            <w:r w:rsidRPr="00E3482E">
              <w:rPr>
                <w:color w:val="000000"/>
                <w:sz w:val="22"/>
                <w:szCs w:val="22"/>
              </w:rPr>
              <w:t>0.58 [0.48</w:t>
            </w:r>
            <w:r w:rsidR="004278AA" w:rsidRPr="00E3482E">
              <w:rPr>
                <w:color w:val="000000"/>
                <w:sz w:val="22"/>
                <w:szCs w:val="22"/>
              </w:rPr>
              <w:t>,</w:t>
            </w:r>
            <w:r w:rsidRPr="00E3482E">
              <w:rPr>
                <w:color w:val="000000"/>
                <w:sz w:val="22"/>
                <w:szCs w:val="22"/>
              </w:rPr>
              <w:t xml:space="preserve"> 0.69]</w:t>
            </w:r>
          </w:p>
        </w:tc>
      </w:tr>
      <w:tr w:rsidR="00B53533" w:rsidRPr="00E3482E" w:rsidTr="00704540">
        <w:tc>
          <w:tcPr>
            <w:tcW w:w="9461" w:type="dxa"/>
            <w:gridSpan w:val="5"/>
            <w:tcBorders>
              <w:top w:val="single" w:sz="4" w:space="0" w:color="auto"/>
              <w:left w:val="single" w:sz="4" w:space="0" w:color="auto"/>
              <w:bottom w:val="nil"/>
              <w:right w:val="single" w:sz="4" w:space="0" w:color="auto"/>
            </w:tcBorders>
            <w:shd w:val="clear" w:color="auto" w:fill="FFFFFF"/>
          </w:tcPr>
          <w:p w:rsidR="00C7186C" w:rsidRPr="00E3482E" w:rsidRDefault="00B53533" w:rsidP="00B53533">
            <w:pPr>
              <w:pStyle w:val="Text"/>
              <w:spacing w:before="40" w:line="269" w:lineRule="auto"/>
              <w:jc w:val="left"/>
              <w:rPr>
                <w:b/>
                <w:color w:val="000000"/>
                <w:sz w:val="22"/>
                <w:szCs w:val="22"/>
              </w:rPr>
            </w:pPr>
            <w:r w:rsidRPr="00E3482E">
              <w:rPr>
                <w:b/>
                <w:color w:val="000000"/>
                <w:sz w:val="22"/>
                <w:szCs w:val="22"/>
                <w:u w:val="single"/>
              </w:rPr>
              <w:t>Secondary Endpoints</w:t>
            </w:r>
            <w:r w:rsidRPr="00E3482E">
              <w:rPr>
                <w:b/>
                <w:color w:val="000000"/>
                <w:sz w:val="22"/>
                <w:szCs w:val="22"/>
              </w:rPr>
              <w:t xml:space="preserve">: </w:t>
            </w:r>
          </w:p>
          <w:p w:rsidR="00B53533" w:rsidRPr="00E3482E" w:rsidRDefault="00B53533" w:rsidP="00B53533">
            <w:pPr>
              <w:pStyle w:val="Text"/>
              <w:spacing w:before="40" w:line="269" w:lineRule="auto"/>
              <w:jc w:val="left"/>
              <w:rPr>
                <w:b/>
                <w:i/>
                <w:color w:val="000000"/>
                <w:sz w:val="22"/>
                <w:szCs w:val="22"/>
              </w:rPr>
            </w:pPr>
            <w:r w:rsidRPr="00E3482E">
              <w:rPr>
                <w:b/>
                <w:i/>
                <w:color w:val="000000"/>
                <w:sz w:val="22"/>
                <w:szCs w:val="22"/>
              </w:rPr>
              <w:t>Overall Survival</w:t>
            </w:r>
          </w:p>
        </w:tc>
      </w:tr>
      <w:tr w:rsidR="00B53533" w:rsidRPr="00E3482E" w:rsidTr="00C7186C">
        <w:tc>
          <w:tcPr>
            <w:tcW w:w="4074" w:type="dxa"/>
            <w:tcBorders>
              <w:top w:val="nil"/>
              <w:left w:val="single" w:sz="4" w:space="0" w:color="auto"/>
              <w:bottom w:val="nil"/>
              <w:right w:val="single" w:sz="4" w:space="0" w:color="auto"/>
            </w:tcBorders>
            <w:shd w:val="clear" w:color="auto" w:fill="FFFFFF"/>
          </w:tcPr>
          <w:p w:rsidR="00B53533" w:rsidRPr="00E3482E" w:rsidRDefault="00B53533" w:rsidP="00704540">
            <w:pPr>
              <w:pStyle w:val="Text"/>
              <w:spacing w:before="40" w:line="269" w:lineRule="auto"/>
              <w:jc w:val="left"/>
              <w:rPr>
                <w:color w:val="000000"/>
                <w:sz w:val="22"/>
                <w:szCs w:val="22"/>
              </w:rPr>
            </w:pPr>
            <w:r w:rsidRPr="00E3482E">
              <w:rPr>
                <w:color w:val="000000"/>
                <w:sz w:val="22"/>
                <w:szCs w:val="22"/>
              </w:rPr>
              <w:t>Median time to event (months)</w:t>
            </w:r>
          </w:p>
        </w:tc>
        <w:tc>
          <w:tcPr>
            <w:tcW w:w="1276" w:type="dxa"/>
            <w:tcBorders>
              <w:top w:val="single" w:sz="4" w:space="0" w:color="auto"/>
              <w:left w:val="single" w:sz="4" w:space="0" w:color="auto"/>
              <w:bottom w:val="nil"/>
              <w:right w:val="nil"/>
            </w:tcBorders>
            <w:shd w:val="clear" w:color="auto" w:fill="FFFFFF"/>
          </w:tcPr>
          <w:p w:rsidR="00B53533" w:rsidRPr="00E3482E" w:rsidRDefault="00B53533" w:rsidP="00704540">
            <w:pPr>
              <w:pStyle w:val="Text"/>
              <w:spacing w:before="40" w:line="269" w:lineRule="auto"/>
              <w:jc w:val="center"/>
              <w:rPr>
                <w:color w:val="000000"/>
                <w:sz w:val="22"/>
                <w:szCs w:val="22"/>
              </w:rPr>
            </w:pPr>
            <w:r w:rsidRPr="00E3482E">
              <w:rPr>
                <w:color w:val="000000"/>
                <w:sz w:val="22"/>
                <w:szCs w:val="22"/>
              </w:rPr>
              <w:t>NR</w:t>
            </w:r>
          </w:p>
        </w:tc>
        <w:tc>
          <w:tcPr>
            <w:tcW w:w="1418" w:type="dxa"/>
            <w:tcBorders>
              <w:top w:val="single" w:sz="4" w:space="0" w:color="auto"/>
              <w:left w:val="nil"/>
              <w:bottom w:val="nil"/>
              <w:right w:val="single" w:sz="4" w:space="0" w:color="auto"/>
            </w:tcBorders>
            <w:shd w:val="clear" w:color="auto" w:fill="FFFFFF"/>
          </w:tcPr>
          <w:p w:rsidR="00B53533" w:rsidRPr="00E3482E" w:rsidRDefault="00B53533" w:rsidP="00704540">
            <w:pPr>
              <w:pStyle w:val="Text"/>
              <w:spacing w:before="40" w:line="269" w:lineRule="auto"/>
              <w:jc w:val="center"/>
              <w:rPr>
                <w:color w:val="000000"/>
                <w:sz w:val="22"/>
                <w:szCs w:val="22"/>
              </w:rPr>
            </w:pPr>
            <w:r w:rsidRPr="00E3482E">
              <w:rPr>
                <w:color w:val="000000"/>
                <w:sz w:val="22"/>
                <w:szCs w:val="22"/>
              </w:rPr>
              <w:t>NR</w:t>
            </w:r>
          </w:p>
        </w:tc>
        <w:tc>
          <w:tcPr>
            <w:tcW w:w="1275" w:type="dxa"/>
            <w:tcBorders>
              <w:top w:val="single" w:sz="4" w:space="0" w:color="auto"/>
              <w:left w:val="single" w:sz="4" w:space="0" w:color="auto"/>
              <w:bottom w:val="nil"/>
              <w:right w:val="nil"/>
            </w:tcBorders>
            <w:shd w:val="clear" w:color="auto" w:fill="FFFFFF"/>
          </w:tcPr>
          <w:p w:rsidR="00B53533" w:rsidRPr="00E3482E" w:rsidRDefault="00B53533" w:rsidP="00704540">
            <w:pPr>
              <w:pStyle w:val="Text"/>
              <w:spacing w:before="40" w:line="269" w:lineRule="auto"/>
              <w:jc w:val="center"/>
              <w:rPr>
                <w:color w:val="000000"/>
                <w:sz w:val="22"/>
                <w:szCs w:val="22"/>
              </w:rPr>
            </w:pPr>
            <w:r w:rsidRPr="00E3482E">
              <w:rPr>
                <w:color w:val="000000"/>
                <w:sz w:val="22"/>
                <w:szCs w:val="22"/>
              </w:rPr>
              <w:t>NR</w:t>
            </w:r>
          </w:p>
        </w:tc>
        <w:tc>
          <w:tcPr>
            <w:tcW w:w="1418" w:type="dxa"/>
            <w:tcBorders>
              <w:top w:val="single" w:sz="4" w:space="0" w:color="auto"/>
              <w:left w:val="nil"/>
              <w:bottom w:val="nil"/>
              <w:right w:val="single" w:sz="4" w:space="0" w:color="auto"/>
            </w:tcBorders>
            <w:shd w:val="clear" w:color="auto" w:fill="FFFFFF"/>
          </w:tcPr>
          <w:p w:rsidR="00B53533" w:rsidRPr="00E3482E" w:rsidRDefault="00B53533" w:rsidP="00704540">
            <w:pPr>
              <w:pStyle w:val="Text"/>
              <w:spacing w:before="40" w:line="269" w:lineRule="auto"/>
              <w:jc w:val="center"/>
              <w:rPr>
                <w:color w:val="000000"/>
                <w:sz w:val="22"/>
                <w:szCs w:val="22"/>
              </w:rPr>
            </w:pPr>
            <w:r w:rsidRPr="00E3482E">
              <w:rPr>
                <w:color w:val="000000"/>
                <w:sz w:val="22"/>
                <w:szCs w:val="22"/>
              </w:rPr>
              <w:t>NR</w:t>
            </w:r>
          </w:p>
        </w:tc>
      </w:tr>
      <w:tr w:rsidR="00B53533" w:rsidRPr="00E3482E" w:rsidTr="00C7186C">
        <w:tc>
          <w:tcPr>
            <w:tcW w:w="4074" w:type="dxa"/>
            <w:tcBorders>
              <w:top w:val="nil"/>
              <w:left w:val="single" w:sz="4" w:space="0" w:color="auto"/>
              <w:bottom w:val="single" w:sz="4" w:space="0" w:color="auto"/>
              <w:right w:val="single" w:sz="4" w:space="0" w:color="auto"/>
            </w:tcBorders>
            <w:shd w:val="clear" w:color="auto" w:fill="FFFFFF"/>
          </w:tcPr>
          <w:p w:rsidR="00B53533" w:rsidRPr="00E3482E" w:rsidRDefault="00B53533" w:rsidP="00704540">
            <w:pPr>
              <w:pStyle w:val="Text"/>
              <w:spacing w:before="40" w:line="269" w:lineRule="auto"/>
              <w:jc w:val="left"/>
              <w:rPr>
                <w:color w:val="000000"/>
                <w:sz w:val="22"/>
                <w:szCs w:val="22"/>
              </w:rPr>
            </w:pPr>
            <w:r w:rsidRPr="00E3482E">
              <w:rPr>
                <w:color w:val="000000"/>
                <w:sz w:val="22"/>
                <w:szCs w:val="22"/>
              </w:rPr>
              <w:t>p value (stratified log-rank test)</w:t>
            </w:r>
          </w:p>
          <w:p w:rsidR="00B53533" w:rsidRPr="00E3482E" w:rsidRDefault="00B53533" w:rsidP="00704540">
            <w:pPr>
              <w:pStyle w:val="Text"/>
              <w:spacing w:before="40" w:line="269" w:lineRule="auto"/>
              <w:jc w:val="left"/>
              <w:rPr>
                <w:color w:val="000000"/>
                <w:sz w:val="22"/>
                <w:szCs w:val="22"/>
              </w:rPr>
            </w:pPr>
            <w:r w:rsidRPr="00E3482E">
              <w:rPr>
                <w:color w:val="000000"/>
                <w:sz w:val="22"/>
                <w:szCs w:val="22"/>
              </w:rPr>
              <w:t>HR [95% CI] (stratified)</w:t>
            </w:r>
          </w:p>
        </w:tc>
        <w:tc>
          <w:tcPr>
            <w:tcW w:w="2694" w:type="dxa"/>
            <w:gridSpan w:val="2"/>
            <w:tcBorders>
              <w:top w:val="nil"/>
              <w:left w:val="single" w:sz="4" w:space="0" w:color="auto"/>
              <w:bottom w:val="single" w:sz="4" w:space="0" w:color="auto"/>
              <w:right w:val="single" w:sz="4" w:space="0" w:color="auto"/>
            </w:tcBorders>
            <w:shd w:val="clear" w:color="auto" w:fill="FFFFFF"/>
          </w:tcPr>
          <w:p w:rsidR="00B53533" w:rsidRPr="00E3482E" w:rsidRDefault="00B53533" w:rsidP="00704540">
            <w:pPr>
              <w:pStyle w:val="Text"/>
              <w:spacing w:before="40" w:line="269" w:lineRule="auto"/>
              <w:jc w:val="center"/>
              <w:rPr>
                <w:color w:val="000000"/>
                <w:sz w:val="22"/>
                <w:szCs w:val="22"/>
              </w:rPr>
            </w:pPr>
            <w:r w:rsidRPr="00E3482E">
              <w:rPr>
                <w:color w:val="000000"/>
                <w:sz w:val="22"/>
                <w:szCs w:val="22"/>
              </w:rPr>
              <w:t>p=0.7246</w:t>
            </w:r>
          </w:p>
          <w:p w:rsidR="00B53533" w:rsidRPr="00E3482E" w:rsidRDefault="00B53533" w:rsidP="004278AA">
            <w:pPr>
              <w:pStyle w:val="Text"/>
              <w:spacing w:before="40" w:line="269" w:lineRule="auto"/>
              <w:jc w:val="center"/>
              <w:rPr>
                <w:color w:val="000000"/>
                <w:sz w:val="22"/>
                <w:szCs w:val="22"/>
              </w:rPr>
            </w:pPr>
            <w:r w:rsidRPr="00E3482E">
              <w:rPr>
                <w:color w:val="000000"/>
                <w:sz w:val="22"/>
                <w:szCs w:val="22"/>
              </w:rPr>
              <w:t>0.89 [0.45</w:t>
            </w:r>
            <w:r w:rsidR="004278AA" w:rsidRPr="00E3482E">
              <w:rPr>
                <w:color w:val="000000"/>
                <w:sz w:val="22"/>
                <w:szCs w:val="22"/>
              </w:rPr>
              <w:t>,</w:t>
            </w:r>
            <w:r w:rsidRPr="00E3482E">
              <w:rPr>
                <w:color w:val="000000"/>
                <w:sz w:val="22"/>
                <w:szCs w:val="22"/>
              </w:rPr>
              <w:t xml:space="preserve"> 1.74]</w:t>
            </w:r>
          </w:p>
        </w:tc>
        <w:tc>
          <w:tcPr>
            <w:tcW w:w="2693" w:type="dxa"/>
            <w:gridSpan w:val="2"/>
            <w:tcBorders>
              <w:top w:val="nil"/>
              <w:left w:val="single" w:sz="4" w:space="0" w:color="auto"/>
              <w:bottom w:val="single" w:sz="4" w:space="0" w:color="auto"/>
              <w:right w:val="single" w:sz="4" w:space="0" w:color="auto"/>
            </w:tcBorders>
            <w:shd w:val="clear" w:color="auto" w:fill="FFFFFF"/>
          </w:tcPr>
          <w:p w:rsidR="00B53533" w:rsidRPr="00E3482E" w:rsidRDefault="00B53533" w:rsidP="00704540">
            <w:pPr>
              <w:pStyle w:val="Text"/>
              <w:spacing w:before="40" w:line="269" w:lineRule="auto"/>
              <w:jc w:val="center"/>
              <w:rPr>
                <w:color w:val="000000"/>
                <w:sz w:val="22"/>
                <w:szCs w:val="22"/>
              </w:rPr>
            </w:pPr>
            <w:r w:rsidRPr="00E3482E">
              <w:rPr>
                <w:color w:val="000000"/>
                <w:sz w:val="22"/>
                <w:szCs w:val="22"/>
              </w:rPr>
              <w:t>p=0.8959</w:t>
            </w:r>
          </w:p>
          <w:p w:rsidR="00B53533" w:rsidRPr="00E3482E" w:rsidRDefault="00B53533" w:rsidP="004278AA">
            <w:pPr>
              <w:pStyle w:val="Text"/>
              <w:spacing w:before="40" w:line="269" w:lineRule="auto"/>
              <w:jc w:val="center"/>
              <w:rPr>
                <w:color w:val="000000"/>
                <w:sz w:val="22"/>
                <w:szCs w:val="22"/>
              </w:rPr>
            </w:pPr>
            <w:r w:rsidRPr="00E3482E">
              <w:rPr>
                <w:color w:val="000000"/>
                <w:sz w:val="22"/>
                <w:szCs w:val="22"/>
              </w:rPr>
              <w:t>1.02 [0.71</w:t>
            </w:r>
            <w:r w:rsidR="004278AA" w:rsidRPr="00E3482E">
              <w:rPr>
                <w:color w:val="000000"/>
                <w:sz w:val="22"/>
                <w:szCs w:val="22"/>
              </w:rPr>
              <w:t>,</w:t>
            </w:r>
            <w:r w:rsidRPr="00E3482E">
              <w:rPr>
                <w:color w:val="000000"/>
                <w:sz w:val="22"/>
                <w:szCs w:val="22"/>
              </w:rPr>
              <w:t xml:space="preserve"> 1.47]</w:t>
            </w:r>
          </w:p>
        </w:tc>
      </w:tr>
      <w:tr w:rsidR="00B53533" w:rsidRPr="00E3482E" w:rsidTr="00704540">
        <w:tc>
          <w:tcPr>
            <w:tcW w:w="9461" w:type="dxa"/>
            <w:gridSpan w:val="5"/>
            <w:tcBorders>
              <w:top w:val="single" w:sz="4" w:space="0" w:color="auto"/>
              <w:left w:val="single" w:sz="4" w:space="0" w:color="auto"/>
              <w:bottom w:val="nil"/>
              <w:right w:val="single" w:sz="4" w:space="0" w:color="auto"/>
            </w:tcBorders>
            <w:shd w:val="clear" w:color="auto" w:fill="FFFFFF"/>
          </w:tcPr>
          <w:p w:rsidR="00B53533" w:rsidRPr="00E3482E" w:rsidRDefault="00B53533" w:rsidP="00B53533">
            <w:pPr>
              <w:pStyle w:val="Text"/>
              <w:spacing w:before="40" w:line="269" w:lineRule="auto"/>
              <w:jc w:val="left"/>
              <w:rPr>
                <w:i/>
                <w:color w:val="000000"/>
                <w:sz w:val="22"/>
                <w:szCs w:val="22"/>
              </w:rPr>
            </w:pPr>
            <w:r w:rsidRPr="00E3482E">
              <w:rPr>
                <w:b/>
                <w:i/>
                <w:color w:val="000000"/>
                <w:sz w:val="22"/>
                <w:szCs w:val="22"/>
              </w:rPr>
              <w:t>Overall Response Rate at End of Maintenance/Observation</w:t>
            </w:r>
          </w:p>
        </w:tc>
      </w:tr>
      <w:tr w:rsidR="00B53533" w:rsidRPr="00E3482E" w:rsidTr="00C7186C">
        <w:tc>
          <w:tcPr>
            <w:tcW w:w="4074" w:type="dxa"/>
            <w:tcBorders>
              <w:top w:val="nil"/>
              <w:left w:val="single" w:sz="4" w:space="0" w:color="auto"/>
              <w:bottom w:val="nil"/>
              <w:right w:val="single" w:sz="4" w:space="0" w:color="auto"/>
            </w:tcBorders>
            <w:shd w:val="clear" w:color="auto" w:fill="FFFFFF"/>
          </w:tcPr>
          <w:p w:rsidR="00B53533" w:rsidRPr="00E3482E" w:rsidRDefault="00E459F7" w:rsidP="00E459F7">
            <w:pPr>
              <w:pStyle w:val="Text"/>
              <w:spacing w:before="40" w:line="269" w:lineRule="auto"/>
              <w:jc w:val="left"/>
              <w:rPr>
                <w:color w:val="000000"/>
                <w:sz w:val="22"/>
                <w:szCs w:val="22"/>
              </w:rPr>
            </w:pPr>
            <w:r w:rsidRPr="00E3482E">
              <w:rPr>
                <w:color w:val="000000"/>
                <w:sz w:val="22"/>
                <w:szCs w:val="22"/>
              </w:rPr>
              <w:t>Patients assessed at end of treatment</w:t>
            </w:r>
          </w:p>
        </w:tc>
        <w:tc>
          <w:tcPr>
            <w:tcW w:w="1276" w:type="dxa"/>
            <w:tcBorders>
              <w:top w:val="single" w:sz="4" w:space="0" w:color="auto"/>
              <w:left w:val="single" w:sz="4" w:space="0" w:color="auto"/>
              <w:bottom w:val="nil"/>
              <w:right w:val="nil"/>
            </w:tcBorders>
            <w:shd w:val="clear" w:color="auto" w:fill="FFFFFF"/>
          </w:tcPr>
          <w:p w:rsidR="00B53533" w:rsidRPr="00E3482E" w:rsidRDefault="00E459F7" w:rsidP="00704540">
            <w:pPr>
              <w:pStyle w:val="Text"/>
              <w:spacing w:before="40" w:line="269" w:lineRule="auto"/>
              <w:jc w:val="center"/>
              <w:rPr>
                <w:color w:val="000000"/>
                <w:sz w:val="22"/>
                <w:szCs w:val="22"/>
              </w:rPr>
            </w:pPr>
            <w:r w:rsidRPr="00E3482E">
              <w:rPr>
                <w:color w:val="000000"/>
                <w:sz w:val="22"/>
                <w:szCs w:val="22"/>
              </w:rPr>
              <w:t>398</w:t>
            </w:r>
          </w:p>
        </w:tc>
        <w:tc>
          <w:tcPr>
            <w:tcW w:w="1418" w:type="dxa"/>
            <w:tcBorders>
              <w:top w:val="single" w:sz="4" w:space="0" w:color="auto"/>
              <w:left w:val="nil"/>
              <w:bottom w:val="nil"/>
              <w:right w:val="single" w:sz="4" w:space="0" w:color="auto"/>
            </w:tcBorders>
            <w:shd w:val="clear" w:color="auto" w:fill="FFFFFF"/>
          </w:tcPr>
          <w:p w:rsidR="00B53533" w:rsidRPr="00E3482E" w:rsidRDefault="00E459F7" w:rsidP="00704540">
            <w:pPr>
              <w:pStyle w:val="Text"/>
              <w:spacing w:before="40" w:line="269" w:lineRule="auto"/>
              <w:jc w:val="center"/>
              <w:rPr>
                <w:color w:val="000000"/>
                <w:sz w:val="22"/>
                <w:szCs w:val="22"/>
              </w:rPr>
            </w:pPr>
            <w:r w:rsidRPr="00E3482E">
              <w:rPr>
                <w:color w:val="000000"/>
                <w:sz w:val="22"/>
                <w:szCs w:val="22"/>
              </w:rPr>
              <w:t>389</w:t>
            </w:r>
          </w:p>
        </w:tc>
        <w:tc>
          <w:tcPr>
            <w:tcW w:w="1275" w:type="dxa"/>
            <w:tcBorders>
              <w:top w:val="single" w:sz="4" w:space="0" w:color="auto"/>
              <w:left w:val="single" w:sz="4" w:space="0" w:color="auto"/>
              <w:bottom w:val="nil"/>
              <w:right w:val="nil"/>
            </w:tcBorders>
            <w:shd w:val="clear" w:color="auto" w:fill="FFFFFF"/>
          </w:tcPr>
          <w:p w:rsidR="00B53533" w:rsidRPr="00E3482E" w:rsidRDefault="00E459F7" w:rsidP="00704540">
            <w:pPr>
              <w:pStyle w:val="Text"/>
              <w:spacing w:before="40" w:line="269" w:lineRule="auto"/>
              <w:jc w:val="center"/>
              <w:rPr>
                <w:color w:val="000000"/>
                <w:sz w:val="22"/>
                <w:szCs w:val="22"/>
              </w:rPr>
            </w:pPr>
            <w:r w:rsidRPr="00E3482E">
              <w:rPr>
                <w:color w:val="000000"/>
                <w:sz w:val="22"/>
                <w:szCs w:val="22"/>
              </w:rPr>
              <w:t>509</w:t>
            </w:r>
          </w:p>
        </w:tc>
        <w:tc>
          <w:tcPr>
            <w:tcW w:w="1418" w:type="dxa"/>
            <w:tcBorders>
              <w:top w:val="single" w:sz="4" w:space="0" w:color="auto"/>
              <w:left w:val="nil"/>
              <w:bottom w:val="nil"/>
              <w:right w:val="single" w:sz="4" w:space="0" w:color="auto"/>
            </w:tcBorders>
            <w:shd w:val="clear" w:color="auto" w:fill="FFFFFF"/>
          </w:tcPr>
          <w:p w:rsidR="00B53533" w:rsidRPr="00E3482E" w:rsidRDefault="00E459F7" w:rsidP="00704540">
            <w:pPr>
              <w:pStyle w:val="Text"/>
              <w:spacing w:before="40" w:line="269" w:lineRule="auto"/>
              <w:jc w:val="center"/>
              <w:rPr>
                <w:color w:val="000000"/>
                <w:sz w:val="22"/>
                <w:szCs w:val="22"/>
              </w:rPr>
            </w:pPr>
            <w:r w:rsidRPr="00E3482E">
              <w:rPr>
                <w:color w:val="000000"/>
                <w:sz w:val="22"/>
                <w:szCs w:val="22"/>
              </w:rPr>
              <w:t>500</w:t>
            </w:r>
          </w:p>
        </w:tc>
      </w:tr>
      <w:tr w:rsidR="00E459F7" w:rsidRPr="00E3482E" w:rsidTr="00C7186C">
        <w:tc>
          <w:tcPr>
            <w:tcW w:w="4074" w:type="dxa"/>
            <w:tcBorders>
              <w:top w:val="nil"/>
              <w:left w:val="single" w:sz="4" w:space="0" w:color="auto"/>
              <w:bottom w:val="nil"/>
              <w:right w:val="single" w:sz="4" w:space="0" w:color="auto"/>
            </w:tcBorders>
            <w:shd w:val="clear" w:color="auto" w:fill="FFFFFF"/>
          </w:tcPr>
          <w:p w:rsidR="00E459F7" w:rsidRPr="00E3482E" w:rsidRDefault="00E459F7" w:rsidP="00E459F7">
            <w:pPr>
              <w:pStyle w:val="Text"/>
              <w:spacing w:before="40" w:line="269" w:lineRule="auto"/>
              <w:jc w:val="left"/>
              <w:rPr>
                <w:color w:val="000000"/>
                <w:sz w:val="22"/>
                <w:szCs w:val="22"/>
              </w:rPr>
            </w:pPr>
            <w:r w:rsidRPr="00E3482E">
              <w:rPr>
                <w:color w:val="000000"/>
                <w:sz w:val="22"/>
                <w:szCs w:val="22"/>
              </w:rPr>
              <w:t>Responders (CR/</w:t>
            </w:r>
            <w:proofErr w:type="spellStart"/>
            <w:r w:rsidRPr="00E3482E">
              <w:rPr>
                <w:color w:val="000000"/>
                <w:sz w:val="22"/>
                <w:szCs w:val="22"/>
              </w:rPr>
              <w:t>CRu</w:t>
            </w:r>
            <w:proofErr w:type="spellEnd"/>
            <w:r w:rsidRPr="00E3482E">
              <w:rPr>
                <w:color w:val="000000"/>
                <w:sz w:val="22"/>
                <w:szCs w:val="22"/>
              </w:rPr>
              <w:t>, PR)</w:t>
            </w:r>
          </w:p>
        </w:tc>
        <w:tc>
          <w:tcPr>
            <w:tcW w:w="1276" w:type="dxa"/>
            <w:tcBorders>
              <w:top w:val="nil"/>
              <w:left w:val="single" w:sz="4" w:space="0" w:color="auto"/>
              <w:bottom w:val="nil"/>
              <w:right w:val="nil"/>
            </w:tcBorders>
            <w:shd w:val="clear" w:color="auto" w:fill="FFFFFF"/>
          </w:tcPr>
          <w:p w:rsidR="00E459F7" w:rsidRPr="00E3482E" w:rsidRDefault="00E459F7" w:rsidP="004B0692">
            <w:pPr>
              <w:pStyle w:val="Text"/>
              <w:spacing w:before="40" w:line="269" w:lineRule="auto"/>
              <w:jc w:val="center"/>
              <w:rPr>
                <w:color w:val="000000"/>
                <w:sz w:val="22"/>
                <w:szCs w:val="22"/>
              </w:rPr>
            </w:pPr>
            <w:r w:rsidRPr="00E3482E">
              <w:rPr>
                <w:color w:val="000000"/>
                <w:sz w:val="22"/>
                <w:szCs w:val="22"/>
              </w:rPr>
              <w:t>21</w:t>
            </w:r>
            <w:r w:rsidR="004B0692" w:rsidRPr="00E3482E">
              <w:rPr>
                <w:color w:val="000000"/>
                <w:sz w:val="22"/>
                <w:szCs w:val="22"/>
              </w:rPr>
              <w:t>9</w:t>
            </w:r>
            <w:r w:rsidRPr="00E3482E">
              <w:rPr>
                <w:color w:val="000000"/>
                <w:sz w:val="22"/>
                <w:szCs w:val="22"/>
              </w:rPr>
              <w:t xml:space="preserve"> (55%)</w:t>
            </w:r>
          </w:p>
        </w:tc>
        <w:tc>
          <w:tcPr>
            <w:tcW w:w="1418" w:type="dxa"/>
            <w:tcBorders>
              <w:top w:val="nil"/>
              <w:left w:val="nil"/>
              <w:bottom w:val="nil"/>
              <w:right w:val="single" w:sz="4" w:space="0" w:color="auto"/>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288 (74%)</w:t>
            </w:r>
          </w:p>
        </w:tc>
        <w:tc>
          <w:tcPr>
            <w:tcW w:w="1275" w:type="dxa"/>
            <w:tcBorders>
              <w:top w:val="nil"/>
              <w:left w:val="single" w:sz="4" w:space="0" w:color="auto"/>
              <w:bottom w:val="nil"/>
              <w:right w:val="nil"/>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309 (61%)</w:t>
            </w:r>
          </w:p>
        </w:tc>
        <w:tc>
          <w:tcPr>
            <w:tcW w:w="1418" w:type="dxa"/>
            <w:tcBorders>
              <w:top w:val="nil"/>
              <w:left w:val="nil"/>
              <w:bottom w:val="nil"/>
              <w:right w:val="single" w:sz="4" w:space="0" w:color="auto"/>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395 (79%)</w:t>
            </w:r>
          </w:p>
        </w:tc>
      </w:tr>
      <w:tr w:rsidR="00B53533" w:rsidRPr="00E3482E" w:rsidTr="00C7186C">
        <w:tc>
          <w:tcPr>
            <w:tcW w:w="4074" w:type="dxa"/>
            <w:tcBorders>
              <w:top w:val="nil"/>
              <w:left w:val="single" w:sz="4" w:space="0" w:color="auto"/>
              <w:bottom w:val="nil"/>
              <w:right w:val="single" w:sz="4" w:space="0" w:color="auto"/>
            </w:tcBorders>
            <w:shd w:val="clear" w:color="auto" w:fill="FFFFFF"/>
          </w:tcPr>
          <w:p w:rsidR="00B53533" w:rsidRPr="00E3482E" w:rsidRDefault="00B53533" w:rsidP="00E459F7">
            <w:pPr>
              <w:pStyle w:val="Text"/>
              <w:spacing w:before="40" w:line="269" w:lineRule="auto"/>
              <w:jc w:val="left"/>
              <w:rPr>
                <w:color w:val="000000"/>
                <w:sz w:val="22"/>
                <w:szCs w:val="22"/>
              </w:rPr>
            </w:pPr>
            <w:r w:rsidRPr="00E3482E">
              <w:rPr>
                <w:color w:val="000000"/>
                <w:sz w:val="22"/>
                <w:szCs w:val="22"/>
              </w:rPr>
              <w:lastRenderedPageBreak/>
              <w:t>p value (</w:t>
            </w:r>
            <w:r w:rsidR="00E459F7" w:rsidRPr="00E3482E">
              <w:rPr>
                <w:color w:val="000000"/>
                <w:sz w:val="22"/>
                <w:szCs w:val="22"/>
              </w:rPr>
              <w:t>χ</w:t>
            </w:r>
            <w:r w:rsidR="00E459F7" w:rsidRPr="00E3482E">
              <w:rPr>
                <w:color w:val="000000"/>
                <w:sz w:val="22"/>
                <w:szCs w:val="22"/>
                <w:vertAlign w:val="superscript"/>
              </w:rPr>
              <w:t>2</w:t>
            </w:r>
            <w:r w:rsidRPr="00E3482E">
              <w:rPr>
                <w:color w:val="000000"/>
                <w:sz w:val="22"/>
                <w:szCs w:val="22"/>
              </w:rPr>
              <w:t xml:space="preserve"> test)</w:t>
            </w:r>
          </w:p>
        </w:tc>
        <w:tc>
          <w:tcPr>
            <w:tcW w:w="2694" w:type="dxa"/>
            <w:gridSpan w:val="2"/>
            <w:tcBorders>
              <w:top w:val="nil"/>
              <w:left w:val="single" w:sz="4" w:space="0" w:color="auto"/>
              <w:bottom w:val="nil"/>
              <w:right w:val="single" w:sz="4" w:space="0" w:color="auto"/>
            </w:tcBorders>
            <w:shd w:val="clear" w:color="auto" w:fill="FFFFFF"/>
          </w:tcPr>
          <w:p w:rsidR="00B53533" w:rsidRPr="00E3482E" w:rsidRDefault="00E459F7" w:rsidP="00E459F7">
            <w:pPr>
              <w:pStyle w:val="Text"/>
              <w:spacing w:before="40" w:line="269" w:lineRule="auto"/>
              <w:jc w:val="center"/>
              <w:rPr>
                <w:color w:val="000000"/>
                <w:sz w:val="22"/>
                <w:szCs w:val="22"/>
              </w:rPr>
            </w:pPr>
            <w:r w:rsidRPr="00E3482E">
              <w:rPr>
                <w:color w:val="000000"/>
                <w:sz w:val="22"/>
                <w:szCs w:val="22"/>
              </w:rPr>
              <w:t>p&lt;0.0001</w:t>
            </w:r>
          </w:p>
        </w:tc>
        <w:tc>
          <w:tcPr>
            <w:tcW w:w="2693" w:type="dxa"/>
            <w:gridSpan w:val="2"/>
            <w:tcBorders>
              <w:top w:val="nil"/>
              <w:left w:val="single" w:sz="4" w:space="0" w:color="auto"/>
              <w:bottom w:val="nil"/>
              <w:right w:val="single" w:sz="4" w:space="0" w:color="auto"/>
            </w:tcBorders>
            <w:shd w:val="clear" w:color="auto" w:fill="FFFFFF"/>
          </w:tcPr>
          <w:p w:rsidR="00B53533" w:rsidRPr="00E3482E" w:rsidRDefault="00E459F7" w:rsidP="00E459F7">
            <w:pPr>
              <w:pStyle w:val="Text"/>
              <w:spacing w:before="40" w:line="269" w:lineRule="auto"/>
              <w:jc w:val="center"/>
              <w:rPr>
                <w:color w:val="000000"/>
                <w:sz w:val="22"/>
                <w:szCs w:val="22"/>
              </w:rPr>
            </w:pPr>
            <w:r w:rsidRPr="00E3482E">
              <w:rPr>
                <w:color w:val="000000"/>
                <w:sz w:val="22"/>
                <w:szCs w:val="22"/>
              </w:rPr>
              <w:t>p&lt;0.0001</w:t>
            </w:r>
          </w:p>
        </w:tc>
      </w:tr>
      <w:tr w:rsidR="00E459F7" w:rsidRPr="00E3482E" w:rsidTr="00C7186C">
        <w:tc>
          <w:tcPr>
            <w:tcW w:w="4074" w:type="dxa"/>
            <w:tcBorders>
              <w:top w:val="nil"/>
              <w:left w:val="single" w:sz="4" w:space="0" w:color="auto"/>
              <w:bottom w:val="nil"/>
              <w:right w:val="single" w:sz="4" w:space="0" w:color="auto"/>
            </w:tcBorders>
            <w:shd w:val="clear" w:color="auto" w:fill="FFFFFF"/>
          </w:tcPr>
          <w:p w:rsidR="00E459F7" w:rsidRPr="00E3482E" w:rsidRDefault="00E459F7" w:rsidP="00E459F7">
            <w:pPr>
              <w:pStyle w:val="Text"/>
              <w:spacing w:before="40" w:line="269" w:lineRule="auto"/>
              <w:jc w:val="left"/>
              <w:rPr>
                <w:color w:val="000000"/>
                <w:sz w:val="22"/>
                <w:szCs w:val="22"/>
              </w:rPr>
            </w:pPr>
            <w:r w:rsidRPr="00E3482E">
              <w:rPr>
                <w:color w:val="000000"/>
                <w:sz w:val="22"/>
                <w:szCs w:val="22"/>
              </w:rPr>
              <w:t>Non-responders</w:t>
            </w:r>
          </w:p>
        </w:tc>
        <w:tc>
          <w:tcPr>
            <w:tcW w:w="1276" w:type="dxa"/>
            <w:tcBorders>
              <w:top w:val="nil"/>
              <w:left w:val="single" w:sz="4" w:space="0" w:color="auto"/>
              <w:bottom w:val="nil"/>
              <w:right w:val="nil"/>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179 (45%)</w:t>
            </w:r>
          </w:p>
        </w:tc>
        <w:tc>
          <w:tcPr>
            <w:tcW w:w="1418" w:type="dxa"/>
            <w:tcBorders>
              <w:top w:val="nil"/>
              <w:left w:val="nil"/>
              <w:bottom w:val="nil"/>
              <w:right w:val="single" w:sz="4" w:space="0" w:color="auto"/>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101 (26%)</w:t>
            </w:r>
          </w:p>
        </w:tc>
        <w:tc>
          <w:tcPr>
            <w:tcW w:w="1275" w:type="dxa"/>
            <w:tcBorders>
              <w:top w:val="nil"/>
              <w:left w:val="single" w:sz="4" w:space="0" w:color="auto"/>
              <w:bottom w:val="nil"/>
              <w:right w:val="nil"/>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200 (40%)</w:t>
            </w:r>
          </w:p>
        </w:tc>
        <w:tc>
          <w:tcPr>
            <w:tcW w:w="1418" w:type="dxa"/>
            <w:tcBorders>
              <w:top w:val="nil"/>
              <w:left w:val="nil"/>
              <w:bottom w:val="nil"/>
              <w:right w:val="single" w:sz="4" w:space="0" w:color="auto"/>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105 (21%)</w:t>
            </w:r>
          </w:p>
        </w:tc>
      </w:tr>
      <w:tr w:rsidR="00E459F7" w:rsidRPr="00E3482E" w:rsidTr="00C7186C">
        <w:tc>
          <w:tcPr>
            <w:tcW w:w="4074" w:type="dxa"/>
            <w:tcBorders>
              <w:top w:val="nil"/>
              <w:left w:val="single" w:sz="4" w:space="0" w:color="auto"/>
              <w:bottom w:val="nil"/>
              <w:right w:val="single" w:sz="4" w:space="0" w:color="auto"/>
            </w:tcBorders>
            <w:shd w:val="clear" w:color="auto" w:fill="FFFFFF"/>
          </w:tcPr>
          <w:p w:rsidR="00E459F7" w:rsidRPr="00E3482E" w:rsidRDefault="00E459F7" w:rsidP="00E459F7">
            <w:pPr>
              <w:pStyle w:val="Text"/>
              <w:spacing w:before="40" w:line="269" w:lineRule="auto"/>
              <w:jc w:val="left"/>
              <w:rPr>
                <w:color w:val="000000"/>
                <w:sz w:val="22"/>
                <w:szCs w:val="22"/>
              </w:rPr>
            </w:pPr>
            <w:r w:rsidRPr="00E3482E">
              <w:rPr>
                <w:color w:val="000000"/>
                <w:sz w:val="22"/>
                <w:szCs w:val="22"/>
              </w:rPr>
              <w:t>Patients with complete response (CR/</w:t>
            </w:r>
            <w:proofErr w:type="spellStart"/>
            <w:r w:rsidRPr="00E3482E">
              <w:rPr>
                <w:color w:val="000000"/>
                <w:sz w:val="22"/>
                <w:szCs w:val="22"/>
              </w:rPr>
              <w:t>CRu</w:t>
            </w:r>
            <w:proofErr w:type="spellEnd"/>
            <w:r w:rsidRPr="00E3482E">
              <w:rPr>
                <w:color w:val="000000"/>
                <w:sz w:val="22"/>
                <w:szCs w:val="22"/>
              </w:rPr>
              <w:t>)</w:t>
            </w:r>
          </w:p>
        </w:tc>
        <w:tc>
          <w:tcPr>
            <w:tcW w:w="1276" w:type="dxa"/>
            <w:tcBorders>
              <w:top w:val="nil"/>
              <w:left w:val="single" w:sz="4" w:space="0" w:color="auto"/>
              <w:bottom w:val="nil"/>
              <w:right w:val="nil"/>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190 (48%)</w:t>
            </w:r>
          </w:p>
        </w:tc>
        <w:tc>
          <w:tcPr>
            <w:tcW w:w="1418" w:type="dxa"/>
            <w:tcBorders>
              <w:top w:val="nil"/>
              <w:left w:val="nil"/>
              <w:bottom w:val="nil"/>
              <w:right w:val="single" w:sz="4" w:space="0" w:color="auto"/>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260 (67%)</w:t>
            </w:r>
          </w:p>
        </w:tc>
        <w:tc>
          <w:tcPr>
            <w:tcW w:w="1275" w:type="dxa"/>
            <w:tcBorders>
              <w:top w:val="nil"/>
              <w:left w:val="single" w:sz="4" w:space="0" w:color="auto"/>
              <w:bottom w:val="nil"/>
              <w:right w:val="nil"/>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268 (53%)</w:t>
            </w:r>
          </w:p>
        </w:tc>
        <w:tc>
          <w:tcPr>
            <w:tcW w:w="1418" w:type="dxa"/>
            <w:tcBorders>
              <w:top w:val="nil"/>
              <w:left w:val="nil"/>
              <w:bottom w:val="nil"/>
              <w:right w:val="single" w:sz="4" w:space="0" w:color="auto"/>
            </w:tcBorders>
            <w:shd w:val="clear" w:color="auto" w:fill="FFFFFF"/>
          </w:tcPr>
          <w:p w:rsidR="00E459F7" w:rsidRPr="00E3482E" w:rsidRDefault="00E459F7" w:rsidP="00E459F7">
            <w:pPr>
              <w:pStyle w:val="Text"/>
              <w:spacing w:before="40" w:line="269" w:lineRule="auto"/>
              <w:jc w:val="center"/>
              <w:rPr>
                <w:color w:val="000000"/>
                <w:sz w:val="22"/>
                <w:szCs w:val="22"/>
              </w:rPr>
            </w:pPr>
            <w:r w:rsidRPr="00E3482E">
              <w:rPr>
                <w:color w:val="000000"/>
                <w:sz w:val="22"/>
                <w:szCs w:val="22"/>
              </w:rPr>
              <w:t>361 (72%)</w:t>
            </w:r>
          </w:p>
        </w:tc>
      </w:tr>
      <w:tr w:rsidR="00C7186C" w:rsidRPr="00E3482E" w:rsidTr="00C7186C">
        <w:tc>
          <w:tcPr>
            <w:tcW w:w="4074" w:type="dxa"/>
            <w:tcBorders>
              <w:top w:val="nil"/>
              <w:left w:val="single" w:sz="4" w:space="0" w:color="auto"/>
              <w:bottom w:val="nil"/>
              <w:right w:val="single" w:sz="4" w:space="0" w:color="auto"/>
            </w:tcBorders>
            <w:shd w:val="clear" w:color="auto" w:fill="FFFFFF"/>
          </w:tcPr>
          <w:p w:rsidR="00C7186C" w:rsidRPr="00E3482E" w:rsidRDefault="00C7186C" w:rsidP="00C7186C">
            <w:pPr>
              <w:pStyle w:val="Text"/>
              <w:spacing w:before="40" w:line="269" w:lineRule="auto"/>
              <w:jc w:val="left"/>
              <w:rPr>
                <w:color w:val="000000"/>
                <w:sz w:val="22"/>
                <w:szCs w:val="22"/>
              </w:rPr>
            </w:pPr>
            <w:r w:rsidRPr="00E3482E">
              <w:rPr>
                <w:color w:val="000000"/>
                <w:sz w:val="22"/>
                <w:szCs w:val="22"/>
              </w:rPr>
              <w:tab/>
            </w:r>
            <w:r w:rsidRPr="00E3482E">
              <w:rPr>
                <w:color w:val="000000"/>
                <w:sz w:val="22"/>
                <w:szCs w:val="22"/>
              </w:rPr>
              <w:tab/>
              <w:t>partial response (PR)</w:t>
            </w:r>
          </w:p>
        </w:tc>
        <w:tc>
          <w:tcPr>
            <w:tcW w:w="1276" w:type="dxa"/>
            <w:tcBorders>
              <w:top w:val="nil"/>
              <w:left w:val="single" w:sz="4" w:space="0" w:color="auto"/>
              <w:bottom w:val="nil"/>
              <w:right w:val="nil"/>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29 (7%)</w:t>
            </w:r>
          </w:p>
        </w:tc>
        <w:tc>
          <w:tcPr>
            <w:tcW w:w="1418" w:type="dxa"/>
            <w:tcBorders>
              <w:top w:val="nil"/>
              <w:left w:val="nil"/>
              <w:bottom w:val="nil"/>
              <w:right w:val="single" w:sz="4" w:space="0" w:color="auto"/>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28 (7%)</w:t>
            </w:r>
          </w:p>
        </w:tc>
        <w:tc>
          <w:tcPr>
            <w:tcW w:w="1275" w:type="dxa"/>
            <w:tcBorders>
              <w:top w:val="nil"/>
              <w:left w:val="single" w:sz="4" w:space="0" w:color="auto"/>
              <w:bottom w:val="nil"/>
              <w:right w:val="nil"/>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41 (8%)</w:t>
            </w:r>
          </w:p>
        </w:tc>
        <w:tc>
          <w:tcPr>
            <w:tcW w:w="1418" w:type="dxa"/>
            <w:tcBorders>
              <w:top w:val="nil"/>
              <w:left w:val="nil"/>
              <w:bottom w:val="nil"/>
              <w:right w:val="single" w:sz="4" w:space="0" w:color="auto"/>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34 (7%)</w:t>
            </w:r>
          </w:p>
        </w:tc>
      </w:tr>
      <w:tr w:rsidR="00C7186C" w:rsidRPr="00E3482E" w:rsidTr="00C7186C">
        <w:tc>
          <w:tcPr>
            <w:tcW w:w="4074" w:type="dxa"/>
            <w:tcBorders>
              <w:top w:val="nil"/>
              <w:left w:val="single" w:sz="4" w:space="0" w:color="auto"/>
              <w:bottom w:val="nil"/>
              <w:right w:val="single" w:sz="4" w:space="0" w:color="auto"/>
            </w:tcBorders>
            <w:shd w:val="clear" w:color="auto" w:fill="FFFFFF"/>
          </w:tcPr>
          <w:p w:rsidR="00C7186C" w:rsidRPr="00E3482E" w:rsidRDefault="00C7186C" w:rsidP="00C7186C">
            <w:pPr>
              <w:pStyle w:val="Text"/>
              <w:spacing w:before="40" w:line="269" w:lineRule="auto"/>
              <w:jc w:val="left"/>
              <w:rPr>
                <w:color w:val="000000"/>
                <w:sz w:val="22"/>
                <w:szCs w:val="22"/>
              </w:rPr>
            </w:pPr>
            <w:r w:rsidRPr="00E3482E">
              <w:rPr>
                <w:color w:val="000000"/>
                <w:sz w:val="22"/>
                <w:szCs w:val="22"/>
              </w:rPr>
              <w:tab/>
            </w:r>
            <w:r w:rsidRPr="00E3482E">
              <w:rPr>
                <w:color w:val="000000"/>
                <w:sz w:val="22"/>
                <w:szCs w:val="22"/>
              </w:rPr>
              <w:tab/>
              <w:t>stable disease (SD)</w:t>
            </w:r>
          </w:p>
        </w:tc>
        <w:tc>
          <w:tcPr>
            <w:tcW w:w="1276" w:type="dxa"/>
            <w:tcBorders>
              <w:top w:val="nil"/>
              <w:left w:val="single" w:sz="4" w:space="0" w:color="auto"/>
              <w:bottom w:val="nil"/>
              <w:right w:val="nil"/>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1 (&lt;1%)</w:t>
            </w:r>
          </w:p>
        </w:tc>
        <w:tc>
          <w:tcPr>
            <w:tcW w:w="1418" w:type="dxa"/>
            <w:tcBorders>
              <w:top w:val="nil"/>
              <w:left w:val="nil"/>
              <w:bottom w:val="nil"/>
              <w:right w:val="single" w:sz="4" w:space="0" w:color="auto"/>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0 (0%)</w:t>
            </w:r>
          </w:p>
        </w:tc>
        <w:tc>
          <w:tcPr>
            <w:tcW w:w="1275" w:type="dxa"/>
            <w:tcBorders>
              <w:top w:val="nil"/>
              <w:left w:val="single" w:sz="4" w:space="0" w:color="auto"/>
              <w:bottom w:val="nil"/>
              <w:right w:val="nil"/>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1 (&lt;1%)</w:t>
            </w:r>
          </w:p>
        </w:tc>
        <w:tc>
          <w:tcPr>
            <w:tcW w:w="1418" w:type="dxa"/>
            <w:tcBorders>
              <w:top w:val="nil"/>
              <w:left w:val="nil"/>
              <w:bottom w:val="nil"/>
              <w:right w:val="single" w:sz="4" w:space="0" w:color="auto"/>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1 (&lt;1%)</w:t>
            </w:r>
          </w:p>
        </w:tc>
      </w:tr>
      <w:tr w:rsidR="00C7186C" w:rsidRPr="00E3482E" w:rsidTr="00C7186C">
        <w:tc>
          <w:tcPr>
            <w:tcW w:w="4074" w:type="dxa"/>
            <w:tcBorders>
              <w:top w:val="nil"/>
              <w:left w:val="single" w:sz="4" w:space="0" w:color="auto"/>
              <w:bottom w:val="nil"/>
              <w:right w:val="single" w:sz="4" w:space="0" w:color="auto"/>
            </w:tcBorders>
            <w:shd w:val="clear" w:color="auto" w:fill="FFFFFF"/>
          </w:tcPr>
          <w:p w:rsidR="00C7186C" w:rsidRPr="00E3482E" w:rsidRDefault="00C7186C" w:rsidP="00C7186C">
            <w:pPr>
              <w:pStyle w:val="Text"/>
              <w:spacing w:before="40" w:line="269" w:lineRule="auto"/>
              <w:jc w:val="left"/>
              <w:rPr>
                <w:color w:val="000000"/>
                <w:sz w:val="22"/>
                <w:szCs w:val="22"/>
              </w:rPr>
            </w:pPr>
            <w:r w:rsidRPr="00E3482E">
              <w:rPr>
                <w:color w:val="000000"/>
                <w:sz w:val="22"/>
                <w:szCs w:val="22"/>
              </w:rPr>
              <w:tab/>
            </w:r>
            <w:r w:rsidRPr="00E3482E">
              <w:rPr>
                <w:color w:val="000000"/>
                <w:sz w:val="22"/>
                <w:szCs w:val="22"/>
              </w:rPr>
              <w:tab/>
              <w:t>progressive disease (PD)</w:t>
            </w:r>
          </w:p>
        </w:tc>
        <w:tc>
          <w:tcPr>
            <w:tcW w:w="1276" w:type="dxa"/>
            <w:tcBorders>
              <w:top w:val="nil"/>
              <w:left w:val="single" w:sz="4" w:space="0" w:color="auto"/>
              <w:bottom w:val="nil"/>
              <w:right w:val="nil"/>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162 (41%)</w:t>
            </w:r>
          </w:p>
        </w:tc>
        <w:tc>
          <w:tcPr>
            <w:tcW w:w="1418" w:type="dxa"/>
            <w:tcBorders>
              <w:top w:val="nil"/>
              <w:left w:val="nil"/>
              <w:bottom w:val="nil"/>
              <w:right w:val="single" w:sz="4" w:space="0" w:color="auto"/>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79 (20)</w:t>
            </w:r>
          </w:p>
        </w:tc>
        <w:tc>
          <w:tcPr>
            <w:tcW w:w="1275" w:type="dxa"/>
            <w:tcBorders>
              <w:top w:val="nil"/>
              <w:left w:val="single" w:sz="4" w:space="0" w:color="auto"/>
              <w:bottom w:val="nil"/>
              <w:right w:val="nil"/>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181 (36%)</w:t>
            </w:r>
          </w:p>
        </w:tc>
        <w:tc>
          <w:tcPr>
            <w:tcW w:w="1418" w:type="dxa"/>
            <w:tcBorders>
              <w:top w:val="nil"/>
              <w:left w:val="nil"/>
              <w:bottom w:val="nil"/>
              <w:right w:val="single" w:sz="4" w:space="0" w:color="auto"/>
            </w:tcBorders>
            <w:shd w:val="clear" w:color="auto" w:fill="FFFFFF"/>
          </w:tcPr>
          <w:p w:rsidR="00C7186C" w:rsidRPr="00E3482E" w:rsidRDefault="00C7186C" w:rsidP="00C7186C">
            <w:pPr>
              <w:pStyle w:val="Text"/>
              <w:spacing w:before="40" w:line="269" w:lineRule="auto"/>
              <w:jc w:val="center"/>
              <w:rPr>
                <w:color w:val="000000"/>
                <w:sz w:val="22"/>
                <w:szCs w:val="22"/>
              </w:rPr>
            </w:pPr>
            <w:r w:rsidRPr="00E3482E">
              <w:rPr>
                <w:color w:val="000000"/>
                <w:sz w:val="22"/>
                <w:szCs w:val="22"/>
              </w:rPr>
              <w:t>86 (17%)</w:t>
            </w:r>
          </w:p>
        </w:tc>
      </w:tr>
      <w:tr w:rsidR="00C7186C" w:rsidRPr="00E3482E" w:rsidTr="00704540">
        <w:tc>
          <w:tcPr>
            <w:tcW w:w="9461" w:type="dxa"/>
            <w:gridSpan w:val="5"/>
            <w:tcBorders>
              <w:top w:val="single" w:sz="4" w:space="0" w:color="auto"/>
              <w:left w:val="single" w:sz="4" w:space="0" w:color="auto"/>
              <w:bottom w:val="nil"/>
              <w:right w:val="single" w:sz="4" w:space="0" w:color="auto"/>
            </w:tcBorders>
            <w:shd w:val="clear" w:color="auto" w:fill="FFFFFF"/>
          </w:tcPr>
          <w:p w:rsidR="00C7186C" w:rsidRPr="00E3482E" w:rsidRDefault="00C7186C" w:rsidP="00C7186C">
            <w:pPr>
              <w:pStyle w:val="Text"/>
              <w:spacing w:before="40" w:line="269" w:lineRule="auto"/>
              <w:jc w:val="left"/>
              <w:rPr>
                <w:i/>
                <w:color w:val="000000"/>
                <w:sz w:val="22"/>
                <w:szCs w:val="22"/>
              </w:rPr>
            </w:pPr>
            <w:r w:rsidRPr="00E3482E">
              <w:rPr>
                <w:b/>
                <w:i/>
                <w:color w:val="000000"/>
                <w:sz w:val="22"/>
                <w:szCs w:val="22"/>
              </w:rPr>
              <w:t>Event-free Survival</w:t>
            </w:r>
          </w:p>
        </w:tc>
      </w:tr>
      <w:tr w:rsidR="00C7186C" w:rsidRPr="00E3482E" w:rsidTr="00704540">
        <w:tc>
          <w:tcPr>
            <w:tcW w:w="4074" w:type="dxa"/>
            <w:tcBorders>
              <w:top w:val="nil"/>
              <w:left w:val="single" w:sz="4" w:space="0" w:color="auto"/>
              <w:bottom w:val="nil"/>
              <w:right w:val="single" w:sz="4" w:space="0" w:color="auto"/>
            </w:tcBorders>
            <w:shd w:val="clear" w:color="auto" w:fill="FFFFFF"/>
          </w:tcPr>
          <w:p w:rsidR="00C7186C" w:rsidRPr="00E3482E" w:rsidRDefault="00C7186C" w:rsidP="00704540">
            <w:pPr>
              <w:pStyle w:val="Text"/>
              <w:spacing w:before="40" w:line="269" w:lineRule="auto"/>
              <w:jc w:val="left"/>
              <w:rPr>
                <w:color w:val="000000"/>
                <w:sz w:val="22"/>
                <w:szCs w:val="22"/>
              </w:rPr>
            </w:pPr>
            <w:r w:rsidRPr="00E3482E">
              <w:rPr>
                <w:color w:val="000000"/>
                <w:sz w:val="22"/>
                <w:szCs w:val="22"/>
              </w:rPr>
              <w:t>Median time to event (months)</w:t>
            </w:r>
          </w:p>
        </w:tc>
        <w:tc>
          <w:tcPr>
            <w:tcW w:w="1276" w:type="dxa"/>
            <w:tcBorders>
              <w:top w:val="single" w:sz="4" w:space="0" w:color="auto"/>
              <w:left w:val="single" w:sz="4" w:space="0" w:color="auto"/>
              <w:bottom w:val="nil"/>
              <w:right w:val="nil"/>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38</w:t>
            </w:r>
          </w:p>
        </w:tc>
        <w:tc>
          <w:tcPr>
            <w:tcW w:w="1418" w:type="dxa"/>
            <w:tcBorders>
              <w:top w:val="single" w:sz="4" w:space="0" w:color="auto"/>
              <w:left w:val="nil"/>
              <w:bottom w:val="nil"/>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NR</w:t>
            </w:r>
          </w:p>
        </w:tc>
        <w:tc>
          <w:tcPr>
            <w:tcW w:w="1275" w:type="dxa"/>
            <w:tcBorders>
              <w:top w:val="single" w:sz="4" w:space="0" w:color="auto"/>
              <w:left w:val="single" w:sz="4" w:space="0" w:color="auto"/>
              <w:bottom w:val="nil"/>
              <w:right w:val="nil"/>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48</w:t>
            </w:r>
          </w:p>
        </w:tc>
        <w:tc>
          <w:tcPr>
            <w:tcW w:w="1418" w:type="dxa"/>
            <w:tcBorders>
              <w:top w:val="single" w:sz="4" w:space="0" w:color="auto"/>
              <w:left w:val="nil"/>
              <w:bottom w:val="nil"/>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NR</w:t>
            </w:r>
          </w:p>
        </w:tc>
      </w:tr>
      <w:tr w:rsidR="00C7186C" w:rsidRPr="00E3482E" w:rsidTr="00704540">
        <w:tc>
          <w:tcPr>
            <w:tcW w:w="4074" w:type="dxa"/>
            <w:tcBorders>
              <w:top w:val="nil"/>
              <w:left w:val="single" w:sz="4" w:space="0" w:color="auto"/>
              <w:bottom w:val="single" w:sz="4" w:space="0" w:color="auto"/>
              <w:right w:val="single" w:sz="4" w:space="0" w:color="auto"/>
            </w:tcBorders>
            <w:shd w:val="clear" w:color="auto" w:fill="FFFFFF"/>
          </w:tcPr>
          <w:p w:rsidR="00C7186C" w:rsidRPr="00E3482E" w:rsidRDefault="00C7186C" w:rsidP="00704540">
            <w:pPr>
              <w:pStyle w:val="Text"/>
              <w:spacing w:before="40" w:line="269" w:lineRule="auto"/>
              <w:jc w:val="left"/>
              <w:rPr>
                <w:color w:val="000000"/>
                <w:sz w:val="22"/>
                <w:szCs w:val="22"/>
              </w:rPr>
            </w:pPr>
            <w:r w:rsidRPr="00E3482E">
              <w:rPr>
                <w:color w:val="000000"/>
                <w:sz w:val="22"/>
                <w:szCs w:val="22"/>
              </w:rPr>
              <w:t>p value (stratified log-rank test)</w:t>
            </w:r>
          </w:p>
          <w:p w:rsidR="00C7186C" w:rsidRPr="00E3482E" w:rsidRDefault="00C7186C" w:rsidP="00704540">
            <w:pPr>
              <w:pStyle w:val="Text"/>
              <w:spacing w:before="40" w:line="269" w:lineRule="auto"/>
              <w:jc w:val="left"/>
              <w:rPr>
                <w:color w:val="000000"/>
                <w:sz w:val="22"/>
                <w:szCs w:val="22"/>
              </w:rPr>
            </w:pPr>
            <w:r w:rsidRPr="00E3482E">
              <w:rPr>
                <w:color w:val="000000"/>
                <w:sz w:val="22"/>
                <w:szCs w:val="22"/>
              </w:rPr>
              <w:t>HR [95% CI] (stratified)</w:t>
            </w:r>
          </w:p>
        </w:tc>
        <w:tc>
          <w:tcPr>
            <w:tcW w:w="2694" w:type="dxa"/>
            <w:gridSpan w:val="2"/>
            <w:tcBorders>
              <w:top w:val="nil"/>
              <w:left w:val="single" w:sz="4" w:space="0" w:color="auto"/>
              <w:bottom w:val="single" w:sz="4" w:space="0" w:color="auto"/>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p&lt;0.0001</w:t>
            </w:r>
          </w:p>
          <w:p w:rsidR="00C7186C" w:rsidRPr="00E3482E" w:rsidRDefault="00C7186C" w:rsidP="004278AA">
            <w:pPr>
              <w:pStyle w:val="Text"/>
              <w:spacing w:before="40" w:line="269" w:lineRule="auto"/>
              <w:jc w:val="center"/>
              <w:rPr>
                <w:color w:val="000000"/>
                <w:sz w:val="22"/>
                <w:szCs w:val="22"/>
              </w:rPr>
            </w:pPr>
            <w:r w:rsidRPr="00E3482E">
              <w:rPr>
                <w:color w:val="000000"/>
                <w:sz w:val="22"/>
                <w:szCs w:val="22"/>
              </w:rPr>
              <w:t>0.54 [0.43</w:t>
            </w:r>
            <w:r w:rsidR="004278AA" w:rsidRPr="00E3482E">
              <w:rPr>
                <w:color w:val="000000"/>
                <w:sz w:val="22"/>
                <w:szCs w:val="22"/>
              </w:rPr>
              <w:t>,</w:t>
            </w:r>
            <w:r w:rsidRPr="00E3482E">
              <w:rPr>
                <w:color w:val="000000"/>
                <w:sz w:val="22"/>
                <w:szCs w:val="22"/>
              </w:rPr>
              <w:t xml:space="preserve"> 0.69]</w:t>
            </w:r>
          </w:p>
        </w:tc>
        <w:tc>
          <w:tcPr>
            <w:tcW w:w="2693" w:type="dxa"/>
            <w:gridSpan w:val="2"/>
            <w:tcBorders>
              <w:top w:val="nil"/>
              <w:left w:val="single" w:sz="4" w:space="0" w:color="auto"/>
              <w:bottom w:val="single" w:sz="4" w:space="0" w:color="auto"/>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p&lt;0.0001</w:t>
            </w:r>
          </w:p>
          <w:p w:rsidR="00C7186C" w:rsidRPr="00E3482E" w:rsidRDefault="00C7186C" w:rsidP="004278AA">
            <w:pPr>
              <w:pStyle w:val="Text"/>
              <w:spacing w:before="40" w:line="269" w:lineRule="auto"/>
              <w:jc w:val="center"/>
              <w:rPr>
                <w:color w:val="000000"/>
                <w:sz w:val="22"/>
                <w:szCs w:val="22"/>
              </w:rPr>
            </w:pPr>
            <w:r w:rsidRPr="00E3482E">
              <w:rPr>
                <w:color w:val="000000"/>
                <w:sz w:val="22"/>
                <w:szCs w:val="22"/>
              </w:rPr>
              <w:t>0.61 [0.51</w:t>
            </w:r>
            <w:r w:rsidR="004278AA" w:rsidRPr="00E3482E">
              <w:rPr>
                <w:color w:val="000000"/>
                <w:sz w:val="22"/>
                <w:szCs w:val="22"/>
              </w:rPr>
              <w:t>,</w:t>
            </w:r>
            <w:r w:rsidRPr="00E3482E">
              <w:rPr>
                <w:color w:val="000000"/>
                <w:sz w:val="22"/>
                <w:szCs w:val="22"/>
              </w:rPr>
              <w:t xml:space="preserve"> 0.72]</w:t>
            </w:r>
          </w:p>
        </w:tc>
      </w:tr>
      <w:tr w:rsidR="00C7186C" w:rsidRPr="00E3482E" w:rsidTr="00704540">
        <w:tc>
          <w:tcPr>
            <w:tcW w:w="9461" w:type="dxa"/>
            <w:gridSpan w:val="5"/>
            <w:tcBorders>
              <w:top w:val="single" w:sz="4" w:space="0" w:color="auto"/>
              <w:left w:val="single" w:sz="4" w:space="0" w:color="auto"/>
              <w:bottom w:val="nil"/>
              <w:right w:val="single" w:sz="4" w:space="0" w:color="auto"/>
            </w:tcBorders>
            <w:shd w:val="clear" w:color="auto" w:fill="FFFFFF"/>
          </w:tcPr>
          <w:p w:rsidR="00C7186C" w:rsidRPr="00E3482E" w:rsidRDefault="00C7186C" w:rsidP="00C7186C">
            <w:pPr>
              <w:pStyle w:val="Text"/>
              <w:spacing w:before="40" w:line="269" w:lineRule="auto"/>
              <w:jc w:val="left"/>
              <w:rPr>
                <w:i/>
                <w:color w:val="000000"/>
                <w:sz w:val="22"/>
                <w:szCs w:val="22"/>
              </w:rPr>
            </w:pPr>
            <w:r w:rsidRPr="00E3482E">
              <w:rPr>
                <w:b/>
                <w:i/>
                <w:color w:val="000000"/>
                <w:sz w:val="22"/>
                <w:szCs w:val="22"/>
              </w:rPr>
              <w:t>Time to Next Anti-Lymphoma Treatment</w:t>
            </w:r>
          </w:p>
        </w:tc>
      </w:tr>
      <w:tr w:rsidR="00C7186C" w:rsidRPr="00E3482E" w:rsidTr="00704540">
        <w:tc>
          <w:tcPr>
            <w:tcW w:w="4074" w:type="dxa"/>
            <w:tcBorders>
              <w:top w:val="nil"/>
              <w:left w:val="single" w:sz="4" w:space="0" w:color="auto"/>
              <w:bottom w:val="nil"/>
              <w:right w:val="single" w:sz="4" w:space="0" w:color="auto"/>
            </w:tcBorders>
            <w:shd w:val="clear" w:color="auto" w:fill="FFFFFF"/>
          </w:tcPr>
          <w:p w:rsidR="00C7186C" w:rsidRPr="00E3482E" w:rsidRDefault="00C7186C" w:rsidP="00704540">
            <w:pPr>
              <w:pStyle w:val="Text"/>
              <w:spacing w:before="40" w:line="269" w:lineRule="auto"/>
              <w:jc w:val="left"/>
              <w:rPr>
                <w:color w:val="000000"/>
                <w:sz w:val="22"/>
                <w:szCs w:val="22"/>
              </w:rPr>
            </w:pPr>
            <w:r w:rsidRPr="00E3482E">
              <w:rPr>
                <w:color w:val="000000"/>
                <w:sz w:val="22"/>
                <w:szCs w:val="22"/>
              </w:rPr>
              <w:t>Median time to event (months)</w:t>
            </w:r>
          </w:p>
        </w:tc>
        <w:tc>
          <w:tcPr>
            <w:tcW w:w="1276" w:type="dxa"/>
            <w:tcBorders>
              <w:top w:val="single" w:sz="4" w:space="0" w:color="auto"/>
              <w:left w:val="single" w:sz="4" w:space="0" w:color="auto"/>
              <w:bottom w:val="nil"/>
              <w:right w:val="nil"/>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NR</w:t>
            </w:r>
          </w:p>
        </w:tc>
        <w:tc>
          <w:tcPr>
            <w:tcW w:w="1418" w:type="dxa"/>
            <w:tcBorders>
              <w:top w:val="single" w:sz="4" w:space="0" w:color="auto"/>
              <w:left w:val="nil"/>
              <w:bottom w:val="nil"/>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NR</w:t>
            </w:r>
          </w:p>
        </w:tc>
        <w:tc>
          <w:tcPr>
            <w:tcW w:w="1275" w:type="dxa"/>
            <w:tcBorders>
              <w:top w:val="single" w:sz="4" w:space="0" w:color="auto"/>
              <w:left w:val="single" w:sz="4" w:space="0" w:color="auto"/>
              <w:bottom w:val="nil"/>
              <w:right w:val="nil"/>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71</w:t>
            </w:r>
          </w:p>
        </w:tc>
        <w:tc>
          <w:tcPr>
            <w:tcW w:w="1418" w:type="dxa"/>
            <w:tcBorders>
              <w:top w:val="single" w:sz="4" w:space="0" w:color="auto"/>
              <w:left w:val="nil"/>
              <w:bottom w:val="nil"/>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NR</w:t>
            </w:r>
          </w:p>
        </w:tc>
      </w:tr>
      <w:tr w:rsidR="00C7186C" w:rsidRPr="00E3482E" w:rsidTr="00704540">
        <w:tc>
          <w:tcPr>
            <w:tcW w:w="4074" w:type="dxa"/>
            <w:tcBorders>
              <w:top w:val="nil"/>
              <w:left w:val="single" w:sz="4" w:space="0" w:color="auto"/>
              <w:bottom w:val="single" w:sz="4" w:space="0" w:color="auto"/>
              <w:right w:val="single" w:sz="4" w:space="0" w:color="auto"/>
            </w:tcBorders>
            <w:shd w:val="clear" w:color="auto" w:fill="FFFFFF"/>
          </w:tcPr>
          <w:p w:rsidR="00C7186C" w:rsidRPr="00E3482E" w:rsidRDefault="00C7186C" w:rsidP="00704540">
            <w:pPr>
              <w:pStyle w:val="Text"/>
              <w:spacing w:before="40" w:line="269" w:lineRule="auto"/>
              <w:jc w:val="left"/>
              <w:rPr>
                <w:color w:val="000000"/>
                <w:sz w:val="22"/>
                <w:szCs w:val="22"/>
              </w:rPr>
            </w:pPr>
            <w:r w:rsidRPr="00E3482E">
              <w:rPr>
                <w:color w:val="000000"/>
                <w:sz w:val="22"/>
                <w:szCs w:val="22"/>
              </w:rPr>
              <w:t>p value (stratified log-rank test)</w:t>
            </w:r>
          </w:p>
          <w:p w:rsidR="00C7186C" w:rsidRPr="00E3482E" w:rsidRDefault="00C7186C" w:rsidP="00704540">
            <w:pPr>
              <w:pStyle w:val="Text"/>
              <w:spacing w:before="40" w:line="269" w:lineRule="auto"/>
              <w:jc w:val="left"/>
              <w:rPr>
                <w:color w:val="000000"/>
                <w:sz w:val="22"/>
                <w:szCs w:val="22"/>
              </w:rPr>
            </w:pPr>
            <w:r w:rsidRPr="00E3482E">
              <w:rPr>
                <w:color w:val="000000"/>
                <w:sz w:val="22"/>
                <w:szCs w:val="22"/>
              </w:rPr>
              <w:t>HR [95% CI] (stratified)</w:t>
            </w:r>
          </w:p>
        </w:tc>
        <w:tc>
          <w:tcPr>
            <w:tcW w:w="2694" w:type="dxa"/>
            <w:gridSpan w:val="2"/>
            <w:tcBorders>
              <w:top w:val="nil"/>
              <w:left w:val="single" w:sz="4" w:space="0" w:color="auto"/>
              <w:bottom w:val="single" w:sz="4" w:space="0" w:color="auto"/>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p=0.0003</w:t>
            </w:r>
          </w:p>
          <w:p w:rsidR="00C7186C" w:rsidRPr="00E3482E" w:rsidRDefault="00C7186C" w:rsidP="004278AA">
            <w:pPr>
              <w:pStyle w:val="Text"/>
              <w:spacing w:before="40" w:line="269" w:lineRule="auto"/>
              <w:jc w:val="center"/>
              <w:rPr>
                <w:color w:val="000000"/>
                <w:sz w:val="22"/>
                <w:szCs w:val="22"/>
              </w:rPr>
            </w:pPr>
            <w:r w:rsidRPr="00E3482E">
              <w:rPr>
                <w:color w:val="000000"/>
                <w:sz w:val="22"/>
                <w:szCs w:val="22"/>
              </w:rPr>
              <w:t>0.61 [0.46</w:t>
            </w:r>
            <w:r w:rsidR="004278AA" w:rsidRPr="00E3482E">
              <w:rPr>
                <w:color w:val="000000"/>
                <w:sz w:val="22"/>
                <w:szCs w:val="22"/>
              </w:rPr>
              <w:t>,</w:t>
            </w:r>
            <w:r w:rsidRPr="00E3482E">
              <w:rPr>
                <w:color w:val="000000"/>
                <w:sz w:val="22"/>
                <w:szCs w:val="22"/>
              </w:rPr>
              <w:t xml:space="preserve"> 0.80]</w:t>
            </w:r>
          </w:p>
        </w:tc>
        <w:tc>
          <w:tcPr>
            <w:tcW w:w="2693" w:type="dxa"/>
            <w:gridSpan w:val="2"/>
            <w:tcBorders>
              <w:top w:val="nil"/>
              <w:left w:val="single" w:sz="4" w:space="0" w:color="auto"/>
              <w:bottom w:val="single" w:sz="4" w:space="0" w:color="auto"/>
              <w:right w:val="single" w:sz="4" w:space="0" w:color="auto"/>
            </w:tcBorders>
            <w:shd w:val="clear" w:color="auto" w:fill="FFFFFF"/>
          </w:tcPr>
          <w:p w:rsidR="00C7186C" w:rsidRPr="00E3482E" w:rsidRDefault="00C7186C" w:rsidP="00704540">
            <w:pPr>
              <w:pStyle w:val="Text"/>
              <w:spacing w:before="40" w:line="269" w:lineRule="auto"/>
              <w:jc w:val="center"/>
              <w:rPr>
                <w:color w:val="000000"/>
                <w:sz w:val="22"/>
                <w:szCs w:val="22"/>
              </w:rPr>
            </w:pPr>
            <w:r w:rsidRPr="00E3482E">
              <w:rPr>
                <w:color w:val="000000"/>
                <w:sz w:val="22"/>
                <w:szCs w:val="22"/>
              </w:rPr>
              <w:t>p&lt;0.0001</w:t>
            </w:r>
          </w:p>
          <w:p w:rsidR="00C7186C" w:rsidRPr="00E3482E" w:rsidRDefault="00C7186C" w:rsidP="004278AA">
            <w:pPr>
              <w:pStyle w:val="Text"/>
              <w:spacing w:before="40" w:line="269" w:lineRule="auto"/>
              <w:jc w:val="center"/>
              <w:rPr>
                <w:color w:val="000000"/>
                <w:sz w:val="22"/>
                <w:szCs w:val="22"/>
              </w:rPr>
            </w:pPr>
            <w:r w:rsidRPr="00E3482E">
              <w:rPr>
                <w:color w:val="000000"/>
                <w:sz w:val="22"/>
                <w:szCs w:val="22"/>
              </w:rPr>
              <w:t>0.63 [0.52</w:t>
            </w:r>
            <w:r w:rsidR="004278AA" w:rsidRPr="00E3482E">
              <w:rPr>
                <w:color w:val="000000"/>
                <w:sz w:val="22"/>
                <w:szCs w:val="22"/>
              </w:rPr>
              <w:t>,</w:t>
            </w:r>
            <w:r w:rsidRPr="00E3482E">
              <w:rPr>
                <w:color w:val="000000"/>
                <w:sz w:val="22"/>
                <w:szCs w:val="22"/>
              </w:rPr>
              <w:t xml:space="preserve"> 0.76]</w:t>
            </w:r>
          </w:p>
        </w:tc>
      </w:tr>
      <w:tr w:rsidR="000F4F73" w:rsidRPr="00E3482E" w:rsidTr="00704540">
        <w:tc>
          <w:tcPr>
            <w:tcW w:w="9461" w:type="dxa"/>
            <w:gridSpan w:val="5"/>
            <w:tcBorders>
              <w:top w:val="single" w:sz="4" w:space="0" w:color="auto"/>
              <w:left w:val="single" w:sz="4" w:space="0" w:color="auto"/>
              <w:bottom w:val="nil"/>
              <w:right w:val="single" w:sz="4" w:space="0" w:color="auto"/>
            </w:tcBorders>
            <w:shd w:val="clear" w:color="auto" w:fill="FFFFFF"/>
          </w:tcPr>
          <w:p w:rsidR="000F4F73" w:rsidRPr="00E3482E" w:rsidRDefault="000F4F73" w:rsidP="000F4F73">
            <w:pPr>
              <w:pStyle w:val="Text"/>
              <w:spacing w:before="40" w:line="269" w:lineRule="auto"/>
              <w:jc w:val="left"/>
              <w:rPr>
                <w:i/>
                <w:color w:val="000000"/>
                <w:sz w:val="22"/>
                <w:szCs w:val="22"/>
              </w:rPr>
            </w:pPr>
            <w:r w:rsidRPr="00E3482E">
              <w:rPr>
                <w:b/>
                <w:i/>
                <w:color w:val="000000"/>
                <w:sz w:val="22"/>
                <w:szCs w:val="22"/>
              </w:rPr>
              <w:t>Time to Next Chemotherapy Treatment</w:t>
            </w:r>
          </w:p>
        </w:tc>
      </w:tr>
      <w:tr w:rsidR="000F4F73" w:rsidRPr="00E3482E" w:rsidTr="00704540">
        <w:tc>
          <w:tcPr>
            <w:tcW w:w="4074" w:type="dxa"/>
            <w:tcBorders>
              <w:top w:val="nil"/>
              <w:left w:val="single" w:sz="4" w:space="0" w:color="auto"/>
              <w:bottom w:val="nil"/>
              <w:right w:val="single" w:sz="4" w:space="0" w:color="auto"/>
            </w:tcBorders>
            <w:shd w:val="clear" w:color="auto" w:fill="FFFFFF"/>
          </w:tcPr>
          <w:p w:rsidR="000F4F73" w:rsidRPr="00E3482E" w:rsidRDefault="000F4F73" w:rsidP="00704540">
            <w:pPr>
              <w:pStyle w:val="Text"/>
              <w:spacing w:before="40" w:line="269" w:lineRule="auto"/>
              <w:jc w:val="left"/>
              <w:rPr>
                <w:color w:val="000000"/>
                <w:sz w:val="22"/>
                <w:szCs w:val="22"/>
              </w:rPr>
            </w:pPr>
            <w:r w:rsidRPr="00E3482E">
              <w:rPr>
                <w:color w:val="000000"/>
                <w:sz w:val="22"/>
                <w:szCs w:val="22"/>
              </w:rPr>
              <w:t>Median time to event (months)</w:t>
            </w:r>
          </w:p>
        </w:tc>
        <w:tc>
          <w:tcPr>
            <w:tcW w:w="1276" w:type="dxa"/>
            <w:tcBorders>
              <w:top w:val="single" w:sz="4" w:space="0" w:color="auto"/>
              <w:left w:val="single" w:sz="4" w:space="0" w:color="auto"/>
              <w:bottom w:val="nil"/>
              <w:right w:val="nil"/>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NR</w:t>
            </w:r>
          </w:p>
        </w:tc>
        <w:tc>
          <w:tcPr>
            <w:tcW w:w="1418" w:type="dxa"/>
            <w:tcBorders>
              <w:top w:val="single" w:sz="4" w:space="0" w:color="auto"/>
              <w:left w:val="nil"/>
              <w:bottom w:val="nil"/>
              <w:right w:val="single" w:sz="4" w:space="0" w:color="auto"/>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NR</w:t>
            </w:r>
          </w:p>
        </w:tc>
        <w:tc>
          <w:tcPr>
            <w:tcW w:w="1275" w:type="dxa"/>
            <w:tcBorders>
              <w:top w:val="single" w:sz="4" w:space="0" w:color="auto"/>
              <w:left w:val="single" w:sz="4" w:space="0" w:color="auto"/>
              <w:bottom w:val="nil"/>
              <w:right w:val="nil"/>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85</w:t>
            </w:r>
          </w:p>
        </w:tc>
        <w:tc>
          <w:tcPr>
            <w:tcW w:w="1418" w:type="dxa"/>
            <w:tcBorders>
              <w:top w:val="single" w:sz="4" w:space="0" w:color="auto"/>
              <w:left w:val="nil"/>
              <w:bottom w:val="nil"/>
              <w:right w:val="single" w:sz="4" w:space="0" w:color="auto"/>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NR</w:t>
            </w:r>
          </w:p>
        </w:tc>
      </w:tr>
      <w:tr w:rsidR="000F4F73" w:rsidRPr="00E3482E" w:rsidTr="00704540">
        <w:tc>
          <w:tcPr>
            <w:tcW w:w="4074" w:type="dxa"/>
            <w:tcBorders>
              <w:top w:val="nil"/>
              <w:left w:val="single" w:sz="4" w:space="0" w:color="auto"/>
              <w:bottom w:val="single" w:sz="4" w:space="0" w:color="auto"/>
              <w:right w:val="single" w:sz="4" w:space="0" w:color="auto"/>
            </w:tcBorders>
            <w:shd w:val="clear" w:color="auto" w:fill="FFFFFF"/>
          </w:tcPr>
          <w:p w:rsidR="000F4F73" w:rsidRPr="00E3482E" w:rsidRDefault="000F4F73" w:rsidP="00704540">
            <w:pPr>
              <w:pStyle w:val="Text"/>
              <w:spacing w:before="40" w:line="269" w:lineRule="auto"/>
              <w:jc w:val="left"/>
              <w:rPr>
                <w:color w:val="000000"/>
                <w:sz w:val="22"/>
                <w:szCs w:val="22"/>
              </w:rPr>
            </w:pPr>
            <w:r w:rsidRPr="00E3482E">
              <w:rPr>
                <w:color w:val="000000"/>
                <w:sz w:val="22"/>
                <w:szCs w:val="22"/>
              </w:rPr>
              <w:t>p value (stratified log-rank test)</w:t>
            </w:r>
          </w:p>
          <w:p w:rsidR="000F4F73" w:rsidRPr="00E3482E" w:rsidRDefault="000F4F73" w:rsidP="00704540">
            <w:pPr>
              <w:pStyle w:val="Text"/>
              <w:spacing w:before="40" w:line="269" w:lineRule="auto"/>
              <w:jc w:val="left"/>
              <w:rPr>
                <w:color w:val="000000"/>
                <w:sz w:val="22"/>
                <w:szCs w:val="22"/>
              </w:rPr>
            </w:pPr>
            <w:r w:rsidRPr="00E3482E">
              <w:rPr>
                <w:color w:val="000000"/>
                <w:sz w:val="22"/>
                <w:szCs w:val="22"/>
              </w:rPr>
              <w:t>HR [95% CI] (stratified)</w:t>
            </w:r>
          </w:p>
        </w:tc>
        <w:tc>
          <w:tcPr>
            <w:tcW w:w="2694" w:type="dxa"/>
            <w:gridSpan w:val="2"/>
            <w:tcBorders>
              <w:top w:val="nil"/>
              <w:left w:val="single" w:sz="4" w:space="0" w:color="auto"/>
              <w:bottom w:val="single" w:sz="4" w:space="0" w:color="auto"/>
              <w:right w:val="single" w:sz="4" w:space="0" w:color="auto"/>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p=0.0011</w:t>
            </w:r>
          </w:p>
          <w:p w:rsidR="000F4F73" w:rsidRPr="00E3482E" w:rsidRDefault="004278AA" w:rsidP="000F4F73">
            <w:pPr>
              <w:pStyle w:val="Text"/>
              <w:spacing w:before="40" w:line="269" w:lineRule="auto"/>
              <w:jc w:val="center"/>
              <w:rPr>
                <w:color w:val="000000"/>
                <w:sz w:val="22"/>
                <w:szCs w:val="22"/>
              </w:rPr>
            </w:pPr>
            <w:r w:rsidRPr="00E3482E">
              <w:rPr>
                <w:color w:val="000000"/>
                <w:sz w:val="22"/>
                <w:szCs w:val="22"/>
              </w:rPr>
              <w:t>0.60 [0.44,</w:t>
            </w:r>
            <w:r w:rsidR="000F4F73" w:rsidRPr="00E3482E">
              <w:rPr>
                <w:color w:val="000000"/>
                <w:sz w:val="22"/>
                <w:szCs w:val="22"/>
              </w:rPr>
              <w:t xml:space="preserve"> 0.82]</w:t>
            </w:r>
          </w:p>
        </w:tc>
        <w:tc>
          <w:tcPr>
            <w:tcW w:w="2693" w:type="dxa"/>
            <w:gridSpan w:val="2"/>
            <w:tcBorders>
              <w:top w:val="nil"/>
              <w:left w:val="single" w:sz="4" w:space="0" w:color="auto"/>
              <w:bottom w:val="single" w:sz="4" w:space="0" w:color="auto"/>
              <w:right w:val="single" w:sz="4" w:space="0" w:color="auto"/>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p=0.0006</w:t>
            </w:r>
          </w:p>
          <w:p w:rsidR="000F4F73" w:rsidRPr="00E3482E" w:rsidRDefault="004278AA" w:rsidP="000F4F73">
            <w:pPr>
              <w:pStyle w:val="Text"/>
              <w:spacing w:before="40" w:line="269" w:lineRule="auto"/>
              <w:jc w:val="center"/>
              <w:rPr>
                <w:color w:val="000000"/>
                <w:sz w:val="22"/>
                <w:szCs w:val="22"/>
              </w:rPr>
            </w:pPr>
            <w:r w:rsidRPr="00E3482E">
              <w:rPr>
                <w:color w:val="000000"/>
                <w:sz w:val="22"/>
                <w:szCs w:val="22"/>
              </w:rPr>
              <w:t>0.70 [0.57,</w:t>
            </w:r>
            <w:r w:rsidR="000F4F73" w:rsidRPr="00E3482E">
              <w:rPr>
                <w:color w:val="000000"/>
                <w:sz w:val="22"/>
                <w:szCs w:val="22"/>
              </w:rPr>
              <w:t xml:space="preserve"> 0.86]</w:t>
            </w:r>
          </w:p>
        </w:tc>
      </w:tr>
      <w:tr w:rsidR="000F4F73" w:rsidRPr="00E3482E" w:rsidTr="00704540">
        <w:tc>
          <w:tcPr>
            <w:tcW w:w="9461" w:type="dxa"/>
            <w:gridSpan w:val="5"/>
            <w:tcBorders>
              <w:top w:val="single" w:sz="4" w:space="0" w:color="auto"/>
              <w:left w:val="single" w:sz="4" w:space="0" w:color="auto"/>
              <w:bottom w:val="nil"/>
              <w:right w:val="single" w:sz="4" w:space="0" w:color="auto"/>
            </w:tcBorders>
            <w:shd w:val="clear" w:color="auto" w:fill="FFFFFF"/>
          </w:tcPr>
          <w:p w:rsidR="000F4F73" w:rsidRPr="00E3482E" w:rsidRDefault="000F4F73" w:rsidP="00704540">
            <w:pPr>
              <w:pStyle w:val="Text"/>
              <w:spacing w:before="40" w:line="269" w:lineRule="auto"/>
              <w:jc w:val="left"/>
              <w:rPr>
                <w:i/>
                <w:color w:val="000000"/>
                <w:sz w:val="22"/>
                <w:szCs w:val="22"/>
              </w:rPr>
            </w:pPr>
            <w:r w:rsidRPr="00E3482E">
              <w:rPr>
                <w:b/>
                <w:i/>
                <w:color w:val="000000"/>
                <w:sz w:val="22"/>
                <w:szCs w:val="22"/>
              </w:rPr>
              <w:t>Transformation Rate at First Progression</w:t>
            </w:r>
          </w:p>
        </w:tc>
      </w:tr>
      <w:tr w:rsidR="000F4F73" w:rsidRPr="00E3482E" w:rsidTr="00704540">
        <w:tc>
          <w:tcPr>
            <w:tcW w:w="4074" w:type="dxa"/>
            <w:tcBorders>
              <w:top w:val="nil"/>
              <w:left w:val="single" w:sz="4" w:space="0" w:color="auto"/>
              <w:bottom w:val="nil"/>
              <w:right w:val="single" w:sz="4" w:space="0" w:color="auto"/>
            </w:tcBorders>
            <w:shd w:val="clear" w:color="auto" w:fill="FFFFFF"/>
          </w:tcPr>
          <w:p w:rsidR="000F4F73" w:rsidRPr="00E3482E" w:rsidRDefault="000F4F73" w:rsidP="00704540">
            <w:pPr>
              <w:pStyle w:val="Text"/>
              <w:spacing w:before="40" w:line="269" w:lineRule="auto"/>
              <w:jc w:val="left"/>
              <w:rPr>
                <w:color w:val="000000"/>
                <w:sz w:val="22"/>
                <w:szCs w:val="22"/>
              </w:rPr>
            </w:pPr>
            <w:r w:rsidRPr="00E3482E">
              <w:rPr>
                <w:color w:val="000000"/>
                <w:sz w:val="22"/>
                <w:szCs w:val="22"/>
              </w:rPr>
              <w:t>Patients with progression</w:t>
            </w:r>
          </w:p>
        </w:tc>
        <w:tc>
          <w:tcPr>
            <w:tcW w:w="1276" w:type="dxa"/>
            <w:tcBorders>
              <w:top w:val="single" w:sz="4" w:space="0" w:color="auto"/>
              <w:left w:val="single" w:sz="4" w:space="0" w:color="auto"/>
              <w:bottom w:val="nil"/>
              <w:right w:val="nil"/>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173</w:t>
            </w:r>
          </w:p>
        </w:tc>
        <w:tc>
          <w:tcPr>
            <w:tcW w:w="1418" w:type="dxa"/>
            <w:tcBorders>
              <w:top w:val="single" w:sz="4" w:space="0" w:color="auto"/>
              <w:left w:val="nil"/>
              <w:bottom w:val="nil"/>
              <w:right w:val="single" w:sz="4" w:space="0" w:color="auto"/>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91</w:t>
            </w:r>
          </w:p>
        </w:tc>
        <w:tc>
          <w:tcPr>
            <w:tcW w:w="1275" w:type="dxa"/>
            <w:tcBorders>
              <w:top w:val="single" w:sz="4" w:space="0" w:color="auto"/>
              <w:left w:val="single" w:sz="4" w:space="0" w:color="auto"/>
              <w:bottom w:val="nil"/>
              <w:right w:val="nil"/>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278</w:t>
            </w:r>
          </w:p>
        </w:tc>
        <w:tc>
          <w:tcPr>
            <w:tcW w:w="1418" w:type="dxa"/>
            <w:tcBorders>
              <w:top w:val="single" w:sz="4" w:space="0" w:color="auto"/>
              <w:left w:val="nil"/>
              <w:bottom w:val="nil"/>
              <w:right w:val="single" w:sz="4" w:space="0" w:color="auto"/>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186</w:t>
            </w:r>
          </w:p>
        </w:tc>
      </w:tr>
      <w:tr w:rsidR="000F4F73" w:rsidRPr="00E3482E" w:rsidTr="000F4F73">
        <w:tc>
          <w:tcPr>
            <w:tcW w:w="4074" w:type="dxa"/>
            <w:tcBorders>
              <w:top w:val="nil"/>
              <w:left w:val="single" w:sz="4" w:space="0" w:color="auto"/>
              <w:bottom w:val="single" w:sz="4" w:space="0" w:color="auto"/>
              <w:right w:val="single" w:sz="4" w:space="0" w:color="auto"/>
            </w:tcBorders>
            <w:shd w:val="clear" w:color="auto" w:fill="FFFFFF"/>
          </w:tcPr>
          <w:p w:rsidR="000F4F73" w:rsidRPr="00E3482E" w:rsidRDefault="000F4F73" w:rsidP="000F4F73">
            <w:pPr>
              <w:pStyle w:val="Text"/>
              <w:spacing w:before="40" w:line="269" w:lineRule="auto"/>
              <w:jc w:val="left"/>
              <w:rPr>
                <w:color w:val="000000"/>
                <w:sz w:val="22"/>
                <w:szCs w:val="22"/>
              </w:rPr>
            </w:pPr>
            <w:r w:rsidRPr="00E3482E">
              <w:rPr>
                <w:color w:val="000000"/>
                <w:sz w:val="22"/>
                <w:szCs w:val="22"/>
              </w:rPr>
              <w:t>Patients with transformation</w:t>
            </w:r>
          </w:p>
        </w:tc>
        <w:tc>
          <w:tcPr>
            <w:tcW w:w="1276" w:type="dxa"/>
            <w:tcBorders>
              <w:top w:val="single" w:sz="4" w:space="0" w:color="auto"/>
              <w:left w:val="single" w:sz="4" w:space="0" w:color="auto"/>
              <w:bottom w:val="single" w:sz="4" w:space="0" w:color="auto"/>
              <w:right w:val="nil"/>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19/513 (4%)</w:t>
            </w:r>
          </w:p>
        </w:tc>
        <w:tc>
          <w:tcPr>
            <w:tcW w:w="1418" w:type="dxa"/>
            <w:tcBorders>
              <w:top w:val="single" w:sz="4" w:space="0" w:color="auto"/>
              <w:left w:val="nil"/>
              <w:bottom w:val="single" w:sz="4" w:space="0" w:color="auto"/>
              <w:right w:val="single" w:sz="4" w:space="0" w:color="auto"/>
            </w:tcBorders>
            <w:shd w:val="clear" w:color="auto" w:fill="FFFFFF"/>
          </w:tcPr>
          <w:p w:rsidR="000F4F73" w:rsidRPr="00E3482E" w:rsidRDefault="000F4F73" w:rsidP="000F4F73">
            <w:pPr>
              <w:pStyle w:val="Text"/>
              <w:spacing w:before="40" w:line="269" w:lineRule="auto"/>
              <w:jc w:val="center"/>
              <w:rPr>
                <w:color w:val="000000"/>
                <w:sz w:val="22"/>
                <w:szCs w:val="22"/>
              </w:rPr>
            </w:pPr>
            <w:r w:rsidRPr="00E3482E">
              <w:rPr>
                <w:color w:val="000000"/>
                <w:sz w:val="22"/>
                <w:szCs w:val="22"/>
              </w:rPr>
              <w:t>11/505   (2%)</w:t>
            </w:r>
          </w:p>
        </w:tc>
        <w:tc>
          <w:tcPr>
            <w:tcW w:w="1275" w:type="dxa"/>
            <w:tcBorders>
              <w:top w:val="single" w:sz="4" w:space="0" w:color="auto"/>
              <w:left w:val="single" w:sz="4" w:space="0" w:color="auto"/>
              <w:bottom w:val="single" w:sz="4" w:space="0" w:color="auto"/>
              <w:right w:val="nil"/>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24/114 (21%</w:t>
            </w:r>
            <w:r w:rsidR="00E456A5" w:rsidRPr="00E3482E">
              <w:rPr>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FFFFFF"/>
          </w:tcPr>
          <w:p w:rsidR="000F4F73" w:rsidRPr="00E3482E" w:rsidRDefault="000F4F73" w:rsidP="00704540">
            <w:pPr>
              <w:pStyle w:val="Text"/>
              <w:spacing w:before="40" w:line="269" w:lineRule="auto"/>
              <w:jc w:val="center"/>
              <w:rPr>
                <w:color w:val="000000"/>
                <w:sz w:val="22"/>
                <w:szCs w:val="22"/>
              </w:rPr>
            </w:pPr>
            <w:r w:rsidRPr="00E3482E">
              <w:rPr>
                <w:color w:val="000000"/>
                <w:sz w:val="22"/>
                <w:szCs w:val="22"/>
              </w:rPr>
              <w:t>16/80   (20%)</w:t>
            </w:r>
          </w:p>
        </w:tc>
      </w:tr>
    </w:tbl>
    <w:p w:rsidR="007267C1" w:rsidRPr="00E3482E" w:rsidRDefault="007267C1" w:rsidP="009A42F2">
      <w:pPr>
        <w:spacing w:before="60" w:line="259" w:lineRule="auto"/>
        <w:jc w:val="both"/>
        <w:rPr>
          <w:color w:val="000000"/>
          <w:lang w:val="en-GB"/>
        </w:rPr>
      </w:pPr>
      <w:r w:rsidRPr="00E3482E">
        <w:rPr>
          <w:i/>
          <w:color w:val="000000"/>
          <w:sz w:val="20"/>
          <w:szCs w:val="20"/>
          <w:lang w:val="en-GB"/>
        </w:rPr>
        <w:t>Abbreviations:</w:t>
      </w:r>
      <w:r w:rsidRPr="00E3482E">
        <w:rPr>
          <w:i/>
          <w:color w:val="000000"/>
          <w:sz w:val="20"/>
          <w:szCs w:val="20"/>
          <w:lang w:val="en-GB"/>
        </w:rPr>
        <w:tab/>
        <w:t xml:space="preserve">HR – hazard ratio; NR – not reached </w:t>
      </w:r>
    </w:p>
    <w:p w:rsidR="003B21E8" w:rsidRPr="00E3482E" w:rsidRDefault="003B21E8" w:rsidP="009A42F2">
      <w:pPr>
        <w:pStyle w:val="Text"/>
        <w:keepNext/>
        <w:spacing w:before="60" w:line="259" w:lineRule="auto"/>
        <w:rPr>
          <w:i/>
          <w:color w:val="000000"/>
          <w:sz w:val="20"/>
          <w:szCs w:val="20"/>
          <w:lang w:val="en-GB"/>
        </w:rPr>
      </w:pPr>
      <w:proofErr w:type="gramStart"/>
      <w:r w:rsidRPr="00E3482E">
        <w:rPr>
          <w:color w:val="000000"/>
          <w:vertAlign w:val="superscript"/>
          <w:lang w:val="en-GB"/>
        </w:rPr>
        <w:t>a</w:t>
      </w:r>
      <w:proofErr w:type="gramEnd"/>
      <w:r w:rsidRPr="00E3482E">
        <w:rPr>
          <w:i/>
          <w:color w:val="000000"/>
          <w:sz w:val="20"/>
          <w:szCs w:val="20"/>
          <w:lang w:val="en-GB"/>
        </w:rPr>
        <w:t xml:space="preserve"> Clinical cut-off: 14 January 2009. Median observation time: 25.5 months </w:t>
      </w:r>
    </w:p>
    <w:p w:rsidR="003B21E8" w:rsidRPr="00E3482E" w:rsidRDefault="003B21E8" w:rsidP="009A42F2">
      <w:pPr>
        <w:pStyle w:val="Text"/>
        <w:keepNext/>
        <w:spacing w:before="0" w:line="259" w:lineRule="auto"/>
        <w:rPr>
          <w:i/>
          <w:color w:val="000000"/>
          <w:sz w:val="20"/>
          <w:szCs w:val="20"/>
          <w:lang w:val="en-GB"/>
        </w:rPr>
      </w:pPr>
      <w:proofErr w:type="gramStart"/>
      <w:r w:rsidRPr="00E3482E">
        <w:rPr>
          <w:color w:val="000000"/>
          <w:vertAlign w:val="superscript"/>
          <w:lang w:val="en-GB"/>
        </w:rPr>
        <w:t>b</w:t>
      </w:r>
      <w:proofErr w:type="gramEnd"/>
      <w:r w:rsidRPr="00E3482E">
        <w:rPr>
          <w:i/>
          <w:color w:val="000000"/>
          <w:sz w:val="20"/>
          <w:szCs w:val="20"/>
          <w:lang w:val="en-GB"/>
        </w:rPr>
        <w:t xml:space="preserve"> Clinical cut-off: 31 January 2013. Median observation time: 73 months </w:t>
      </w:r>
    </w:p>
    <w:p w:rsidR="003B21E8" w:rsidRPr="00E3482E" w:rsidRDefault="003B21E8" w:rsidP="009A42F2">
      <w:pPr>
        <w:pStyle w:val="Text"/>
        <w:keepNext/>
        <w:spacing w:before="0" w:line="259" w:lineRule="auto"/>
        <w:rPr>
          <w:i/>
          <w:color w:val="000000"/>
          <w:sz w:val="20"/>
          <w:szCs w:val="20"/>
          <w:lang w:val="en-GB"/>
        </w:rPr>
      </w:pPr>
      <w:r w:rsidRPr="00E3482E">
        <w:rPr>
          <w:i/>
          <w:color w:val="000000"/>
          <w:sz w:val="20"/>
          <w:szCs w:val="20"/>
          <w:lang w:val="en-GB"/>
        </w:rPr>
        <w:t xml:space="preserve">   1 month=30.4375 days (</w:t>
      </w:r>
      <w:proofErr w:type="spellStart"/>
      <w:r w:rsidRPr="00E3482E">
        <w:rPr>
          <w:i/>
          <w:color w:val="000000"/>
          <w:sz w:val="20"/>
          <w:szCs w:val="20"/>
          <w:lang w:val="en-GB"/>
        </w:rPr>
        <w:t>ie</w:t>
      </w:r>
      <w:proofErr w:type="spellEnd"/>
      <w:r w:rsidRPr="00E3482E">
        <w:rPr>
          <w:i/>
          <w:color w:val="000000"/>
          <w:sz w:val="20"/>
          <w:szCs w:val="20"/>
          <w:lang w:val="en-GB"/>
        </w:rPr>
        <w:t xml:space="preserve"> 12 months=365.25 days)</w:t>
      </w:r>
    </w:p>
    <w:p w:rsidR="003B21E8" w:rsidRPr="00E3482E" w:rsidRDefault="003B21E8" w:rsidP="009A42F2">
      <w:pPr>
        <w:pStyle w:val="Text"/>
        <w:keepNext/>
        <w:spacing w:before="0" w:line="259" w:lineRule="auto"/>
        <w:rPr>
          <w:i/>
          <w:color w:val="000000"/>
          <w:sz w:val="20"/>
          <w:szCs w:val="20"/>
          <w:lang w:val="en-GB"/>
        </w:rPr>
      </w:pPr>
      <w:proofErr w:type="gramStart"/>
      <w:r w:rsidRPr="00E3482E">
        <w:rPr>
          <w:color w:val="000000"/>
          <w:vertAlign w:val="superscript"/>
          <w:lang w:val="en-GB"/>
        </w:rPr>
        <w:t>c</w:t>
      </w:r>
      <w:proofErr w:type="gramEnd"/>
      <w:r w:rsidRPr="00E3482E">
        <w:rPr>
          <w:i/>
          <w:color w:val="000000"/>
          <w:sz w:val="20"/>
          <w:szCs w:val="20"/>
          <w:lang w:val="en-GB"/>
        </w:rPr>
        <w:t xml:space="preserve"> Based on investigator assessments. </w:t>
      </w:r>
    </w:p>
    <w:p w:rsidR="00236C4C" w:rsidRPr="00E3482E" w:rsidRDefault="003B21E8" w:rsidP="009A42F2">
      <w:pPr>
        <w:spacing w:line="259" w:lineRule="auto"/>
        <w:jc w:val="both"/>
        <w:rPr>
          <w:color w:val="000000"/>
          <w:lang w:val="en-GB"/>
        </w:rPr>
      </w:pPr>
      <w:proofErr w:type="gramStart"/>
      <w:r w:rsidRPr="00E3482E">
        <w:rPr>
          <w:i/>
          <w:color w:val="000000"/>
          <w:sz w:val="20"/>
          <w:szCs w:val="20"/>
          <w:lang w:val="en-GB"/>
        </w:rPr>
        <w:t>p</w:t>
      </w:r>
      <w:proofErr w:type="gramEnd"/>
      <w:r w:rsidRPr="00E3482E">
        <w:rPr>
          <w:i/>
          <w:color w:val="000000"/>
          <w:sz w:val="20"/>
          <w:szCs w:val="20"/>
          <w:lang w:val="en-GB"/>
        </w:rPr>
        <w:t xml:space="preserve"> values and hazard ratios for time-to-event endpoints were calculated using the stratified log-rank test and stratified Cox regression, respectively. Stratification factors were induction treatment received and response to induction treatment. </w:t>
      </w:r>
      <w:proofErr w:type="gramStart"/>
      <w:r w:rsidRPr="00E3482E">
        <w:rPr>
          <w:i/>
          <w:color w:val="000000"/>
          <w:sz w:val="20"/>
          <w:szCs w:val="20"/>
          <w:lang w:val="en-GB"/>
        </w:rPr>
        <w:t>p</w:t>
      </w:r>
      <w:proofErr w:type="gramEnd"/>
      <w:r w:rsidRPr="00E3482E">
        <w:rPr>
          <w:i/>
          <w:color w:val="000000"/>
          <w:sz w:val="20"/>
          <w:szCs w:val="20"/>
          <w:lang w:val="en-GB"/>
        </w:rPr>
        <w:t xml:space="preserve"> values for response rates were calculated using the χ2 test, and odds ratios were calculated using logistic regression (response rate analyses were unadjusted).</w:t>
      </w:r>
    </w:p>
    <w:p w:rsidR="003B21E8" w:rsidRPr="00E3482E" w:rsidRDefault="003B21E8" w:rsidP="003B21E8">
      <w:pPr>
        <w:spacing w:before="200"/>
        <w:jc w:val="both"/>
        <w:rPr>
          <w:color w:val="000000"/>
          <w:lang w:val="en-GB"/>
        </w:rPr>
      </w:pPr>
      <w:r w:rsidRPr="00E3482E">
        <w:rPr>
          <w:color w:val="000000"/>
          <w:lang w:val="en-GB"/>
        </w:rPr>
        <w:t xml:space="preserve">Rituximab maintenance treatment provided consistent benefit in all subgroups tested: gender (male, female), age (&lt;60 years, </w:t>
      </w:r>
      <w:r w:rsidR="00094B27" w:rsidRPr="00E3482E">
        <w:rPr>
          <w:color w:val="000000"/>
          <w:lang w:val="en-GB"/>
        </w:rPr>
        <w:t>≥</w:t>
      </w:r>
      <w:r w:rsidRPr="00E3482E">
        <w:rPr>
          <w:color w:val="000000"/>
          <w:lang w:val="en-GB"/>
        </w:rPr>
        <w:t xml:space="preserve"> 60 years), FLIPI score (1, 2 or 3), induction therapy (R</w:t>
      </w:r>
      <w:r w:rsidRPr="00E3482E">
        <w:rPr>
          <w:color w:val="000000"/>
          <w:lang w:val="en-GB"/>
        </w:rPr>
        <w:noBreakHyphen/>
        <w:t>CHOP, R-CVP or R-FCM) and regardless of the quality of response to induction treatment (CR or PR).</w:t>
      </w:r>
    </w:p>
    <w:p w:rsidR="00236C4C" w:rsidRPr="00E3482E" w:rsidRDefault="003B21E8" w:rsidP="003B21E8">
      <w:pPr>
        <w:spacing w:before="120"/>
        <w:jc w:val="both"/>
        <w:rPr>
          <w:color w:val="000000"/>
          <w:lang w:val="en-GB"/>
        </w:rPr>
      </w:pPr>
      <w:r w:rsidRPr="00E3482E">
        <w:rPr>
          <w:color w:val="000000"/>
          <w:lang w:val="en-GB"/>
        </w:rPr>
        <w:t>There are currently no data to support superior efficacy for maintenance treatment given every 2 months over maintenance therapy given every 3 months, in either the relapsed/refractory or previously untreated setting.</w:t>
      </w:r>
    </w:p>
    <w:p w:rsidR="00D35DD4" w:rsidRPr="00982770" w:rsidRDefault="00D35DD4" w:rsidP="00F5092E">
      <w:pPr>
        <w:pStyle w:val="HeadingUnderlined"/>
        <w:rPr>
          <w:lang w:val="fr-FR"/>
        </w:rPr>
      </w:pPr>
      <w:r w:rsidRPr="00982770">
        <w:rPr>
          <w:lang w:val="fr-FR"/>
        </w:rPr>
        <w:t>Diffuse Large B-cell non-Hodgkin’s Lymphoma</w:t>
      </w:r>
    </w:p>
    <w:p w:rsidR="00D35DD4" w:rsidRPr="00E3482E" w:rsidRDefault="00D35DD4" w:rsidP="00D35DD4">
      <w:pPr>
        <w:spacing w:before="120"/>
        <w:jc w:val="both"/>
        <w:rPr>
          <w:color w:val="000000"/>
          <w:lang w:val="en-GB"/>
        </w:rPr>
      </w:pPr>
      <w:r w:rsidRPr="00E3482E">
        <w:rPr>
          <w:color w:val="000000"/>
          <w:lang w:val="en-GB"/>
        </w:rPr>
        <w:t xml:space="preserve">In a randomised, Phase III, open-label trial, a total of 399 previously untreated elderly ambulatory patients (age 60 to 80 years, ECOG performance status 0-2) with moderate to advanced (Ann </w:t>
      </w:r>
      <w:proofErr w:type="spellStart"/>
      <w:r w:rsidRPr="00E3482E">
        <w:rPr>
          <w:color w:val="000000"/>
          <w:lang w:val="en-GB"/>
        </w:rPr>
        <w:t>Arbor</w:t>
      </w:r>
      <w:proofErr w:type="spellEnd"/>
      <w:r w:rsidRPr="00E3482E">
        <w:rPr>
          <w:color w:val="000000"/>
          <w:lang w:val="en-GB"/>
        </w:rPr>
        <w:t xml:space="preserve"> stage II-IV) diffuse large B-cell lymphoma received standard CHOP chemotherapy (cyclophosphamide 750 mg/m</w:t>
      </w:r>
      <w:r w:rsidRPr="00E3482E">
        <w:rPr>
          <w:color w:val="000000"/>
          <w:vertAlign w:val="superscript"/>
          <w:lang w:val="en-GB"/>
        </w:rPr>
        <w:t>2</w:t>
      </w:r>
      <w:r w:rsidRPr="00E3482E">
        <w:rPr>
          <w:color w:val="000000"/>
          <w:lang w:val="en-GB"/>
        </w:rPr>
        <w:t>, doxorubicin 50 mg/m</w:t>
      </w:r>
      <w:r w:rsidRPr="00E3482E">
        <w:rPr>
          <w:color w:val="000000"/>
          <w:vertAlign w:val="superscript"/>
          <w:lang w:val="en-GB"/>
        </w:rPr>
        <w:t>2</w:t>
      </w:r>
      <w:r w:rsidRPr="00E3482E">
        <w:rPr>
          <w:color w:val="000000"/>
          <w:lang w:val="en-GB"/>
        </w:rPr>
        <w:t>, vincristine 1.4 mg/m</w:t>
      </w:r>
      <w:r w:rsidRPr="00E3482E">
        <w:rPr>
          <w:color w:val="000000"/>
          <w:vertAlign w:val="superscript"/>
          <w:lang w:val="en-GB"/>
        </w:rPr>
        <w:t>2</w:t>
      </w:r>
      <w:r w:rsidRPr="00E3482E">
        <w:rPr>
          <w:color w:val="000000"/>
          <w:lang w:val="en-GB"/>
        </w:rPr>
        <w:t xml:space="preserve"> up </w:t>
      </w:r>
      <w:r w:rsidRPr="00E3482E">
        <w:rPr>
          <w:color w:val="000000"/>
          <w:lang w:val="en-GB"/>
        </w:rPr>
        <w:lastRenderedPageBreak/>
        <w:t>to a maximum of 2 mg on day 1, and prednisone 40 mg/m</w:t>
      </w:r>
      <w:r w:rsidRPr="00E3482E">
        <w:rPr>
          <w:color w:val="000000"/>
          <w:vertAlign w:val="superscript"/>
          <w:lang w:val="en-GB"/>
        </w:rPr>
        <w:t>2</w:t>
      </w:r>
      <w:r w:rsidRPr="00E3482E">
        <w:rPr>
          <w:color w:val="000000"/>
          <w:lang w:val="en-GB"/>
        </w:rPr>
        <w:t>/day on days 1-5) every 3 weeks for eight cycles, or rituximab 375 mg/m</w:t>
      </w:r>
      <w:r w:rsidRPr="00E3482E">
        <w:rPr>
          <w:color w:val="000000"/>
          <w:vertAlign w:val="superscript"/>
          <w:lang w:val="en-GB"/>
        </w:rPr>
        <w:t>2</w:t>
      </w:r>
      <w:r w:rsidRPr="00E3482E">
        <w:rPr>
          <w:color w:val="000000"/>
          <w:lang w:val="en-GB"/>
        </w:rPr>
        <w:t xml:space="preserve"> administered as an intravenous infusion plus CHOP (R</w:t>
      </w:r>
      <w:r w:rsidRPr="00E3482E">
        <w:rPr>
          <w:color w:val="000000"/>
          <w:lang w:val="en-GB"/>
        </w:rPr>
        <w:noBreakHyphen/>
        <w:t>CHOP). Rituximab was administered on the first day of the treatment cycle.</w:t>
      </w:r>
    </w:p>
    <w:p w:rsidR="00D35DD4" w:rsidRPr="00E3482E" w:rsidRDefault="00D35DD4" w:rsidP="00D35DD4">
      <w:pPr>
        <w:spacing w:before="120"/>
        <w:jc w:val="both"/>
        <w:rPr>
          <w:color w:val="000000"/>
          <w:lang w:val="en-GB"/>
        </w:rPr>
      </w:pPr>
      <w:r w:rsidRPr="00E3482E">
        <w:rPr>
          <w:color w:val="000000"/>
          <w:lang w:val="en-GB"/>
        </w:rPr>
        <w:t>The final efficacy analysis included all randomised patients (197 CHOP, 202 R-CHOP), and had a median follow-up duration of approximately 31 months. The two treatment groups were well balanced in baseline characteristics and disease status. The final analysis confirmed that R</w:t>
      </w:r>
      <w:r w:rsidRPr="00E3482E">
        <w:rPr>
          <w:color w:val="000000"/>
          <w:lang w:val="en-GB"/>
        </w:rPr>
        <w:noBreakHyphen/>
        <w:t>CHOP significantly increased the duration of event-free survival (the primary efficacy parameter, where events were death, relapse or progression of lymphoma, or institution of a new anti-lymphoma treatment) (p=0.0001). Kaplan Meier estimates of the median duration of event-free survival were 35 months in the R-CHOP arm compared to 13 months in the CHOP arm, representing a risk reduction of 41%. At 24 months, estimates for overall survival were 68.2% in the R-CHOP arm compared to 57.4% in the CHOP arm. A subsequent analysis of the duration of overall survival, carried out with a median follow-up duration of 38 months, confirmed the benefit of R-CHOP over CHOP treatment (p=0.0094), representing a risk reduction of 33%.</w:t>
      </w:r>
    </w:p>
    <w:p w:rsidR="00D35DD4" w:rsidRPr="00E3482E" w:rsidRDefault="00D35DD4" w:rsidP="00D35DD4">
      <w:pPr>
        <w:spacing w:before="120"/>
        <w:jc w:val="both"/>
        <w:rPr>
          <w:color w:val="000000"/>
          <w:lang w:val="en-GB"/>
        </w:rPr>
      </w:pPr>
      <w:r w:rsidRPr="00E3482E">
        <w:rPr>
          <w:color w:val="000000"/>
          <w:lang w:val="en-GB"/>
        </w:rPr>
        <w:t>The analysis of all secondary parameters (response rates, progression-free survival, disease-free survival, duration of response) verified the treatment effect of R-CHOP compared to CHOP. The complete response rate after cycle 8 was 76.2% in the R-CHOP group and 62.4% in the CHOP group (p=0.0028). The risk of disease progression was reduced by 46% and the risk of relapse by 51%.</w:t>
      </w:r>
    </w:p>
    <w:p w:rsidR="003B21E8" w:rsidRPr="00E3482E" w:rsidRDefault="00D35DD4" w:rsidP="00D35DD4">
      <w:pPr>
        <w:spacing w:before="120"/>
        <w:jc w:val="both"/>
        <w:rPr>
          <w:color w:val="000000"/>
          <w:lang w:val="en-GB"/>
        </w:rPr>
      </w:pPr>
      <w:r w:rsidRPr="00E3482E">
        <w:rPr>
          <w:color w:val="000000"/>
          <w:lang w:val="en-GB"/>
        </w:rPr>
        <w:t xml:space="preserve">In all patient subgroups (gender, age, age-adjusted IPI, Ann </w:t>
      </w:r>
      <w:proofErr w:type="spellStart"/>
      <w:r w:rsidRPr="00E3482E">
        <w:rPr>
          <w:color w:val="000000"/>
          <w:lang w:val="en-GB"/>
        </w:rPr>
        <w:t>Arbor</w:t>
      </w:r>
      <w:proofErr w:type="spellEnd"/>
      <w:r w:rsidRPr="00E3482E">
        <w:rPr>
          <w:color w:val="000000"/>
          <w:lang w:val="en-GB"/>
        </w:rPr>
        <w:t xml:space="preserve"> stage, ECOG, Beta 2 </w:t>
      </w:r>
      <w:proofErr w:type="spellStart"/>
      <w:r w:rsidRPr="00E3482E">
        <w:rPr>
          <w:color w:val="000000"/>
          <w:lang w:val="en-GB"/>
        </w:rPr>
        <w:t>Microglobulin</w:t>
      </w:r>
      <w:proofErr w:type="spellEnd"/>
      <w:r w:rsidRPr="00E3482E">
        <w:rPr>
          <w:color w:val="000000"/>
          <w:lang w:val="en-GB"/>
        </w:rPr>
        <w:t xml:space="preserve">, LDH, Albumin, B-symptoms, Bulky disease, </w:t>
      </w:r>
      <w:proofErr w:type="spellStart"/>
      <w:r w:rsidRPr="00E3482E">
        <w:rPr>
          <w:color w:val="000000"/>
          <w:lang w:val="en-GB"/>
        </w:rPr>
        <w:t>extranodal</w:t>
      </w:r>
      <w:proofErr w:type="spellEnd"/>
      <w:r w:rsidRPr="00E3482E">
        <w:rPr>
          <w:color w:val="000000"/>
          <w:lang w:val="en-GB"/>
        </w:rPr>
        <w:t xml:space="preserve"> sites, bone marrow involvement), the risk ratios for event-free survival and overall survival (R-CHOP compared with CHOP) were less than 0.83 and 0.95 respectively, although the benefit with R-CHOP was not always statistically significant.</w:t>
      </w:r>
    </w:p>
    <w:p w:rsidR="00D35DD4" w:rsidRPr="00E3482E" w:rsidRDefault="00D35DD4" w:rsidP="00D35DD4">
      <w:pPr>
        <w:spacing w:before="120"/>
        <w:jc w:val="both"/>
        <w:rPr>
          <w:color w:val="000000"/>
          <w:lang w:val="en-GB"/>
        </w:rPr>
      </w:pPr>
      <w:r w:rsidRPr="00E3482E">
        <w:rPr>
          <w:color w:val="000000"/>
          <w:lang w:val="en-GB"/>
        </w:rPr>
        <w:t>A subsequent analysis of the duration of overall survival, carried out with a median follow-up duration of 60 months, confirmed the benefit of R-CHOP over CHOP treatment (p=0.0071), representing a risk reduction of 32%.</w:t>
      </w:r>
    </w:p>
    <w:p w:rsidR="00D35DD4" w:rsidRPr="00E3482E" w:rsidRDefault="00D35DD4" w:rsidP="00F5092E">
      <w:pPr>
        <w:pStyle w:val="HeadingUnderlined"/>
      </w:pPr>
      <w:r w:rsidRPr="00E3482E">
        <w:t xml:space="preserve">Chronic Lymphocytic </w:t>
      </w:r>
      <w:r w:rsidR="004B0692" w:rsidRPr="00E3482E">
        <w:t>Leukaemia</w:t>
      </w:r>
      <w:r w:rsidRPr="00E3482E">
        <w:t xml:space="preserve"> (CLL)</w:t>
      </w:r>
    </w:p>
    <w:p w:rsidR="00D35DD4" w:rsidRPr="00E3482E" w:rsidRDefault="00D35DD4" w:rsidP="00D35DD4">
      <w:pPr>
        <w:spacing w:before="120"/>
        <w:jc w:val="both"/>
        <w:rPr>
          <w:color w:val="000000"/>
          <w:lang w:val="en-GB"/>
        </w:rPr>
      </w:pPr>
      <w:r w:rsidRPr="00E3482E">
        <w:rPr>
          <w:color w:val="000000"/>
          <w:lang w:val="en-GB"/>
        </w:rPr>
        <w:t xml:space="preserve">In two open-label randomised studies, a total of 817 previously untreated patients and 552 patients with relapsed/refractory CLL were randomised to receive either </w:t>
      </w:r>
      <w:proofErr w:type="spellStart"/>
      <w:r w:rsidRPr="00E3482E">
        <w:rPr>
          <w:color w:val="000000"/>
          <w:lang w:val="en-GB"/>
        </w:rPr>
        <w:t>fludarabine</w:t>
      </w:r>
      <w:proofErr w:type="spellEnd"/>
      <w:r w:rsidRPr="00E3482E">
        <w:rPr>
          <w:color w:val="000000"/>
          <w:lang w:val="en-GB"/>
        </w:rPr>
        <w:t xml:space="preserve"> and cyclophosphamide (FC) chemotherapy (</w:t>
      </w:r>
      <w:proofErr w:type="spellStart"/>
      <w:r w:rsidRPr="00E3482E">
        <w:rPr>
          <w:color w:val="000000"/>
          <w:lang w:val="en-GB"/>
        </w:rPr>
        <w:t>fludarabine</w:t>
      </w:r>
      <w:proofErr w:type="spellEnd"/>
      <w:r w:rsidRPr="00E3482E">
        <w:rPr>
          <w:color w:val="000000"/>
          <w:lang w:val="en-GB"/>
        </w:rPr>
        <w:t xml:space="preserve"> 25 mg/m</w:t>
      </w:r>
      <w:r w:rsidRPr="00E3482E">
        <w:rPr>
          <w:color w:val="000000"/>
          <w:vertAlign w:val="superscript"/>
          <w:lang w:val="en-GB"/>
        </w:rPr>
        <w:t>2</w:t>
      </w:r>
      <w:r w:rsidRPr="00E3482E">
        <w:rPr>
          <w:color w:val="000000"/>
          <w:lang w:val="en-GB"/>
        </w:rPr>
        <w:t>, cyclophosphamide 250 mg/m</w:t>
      </w:r>
      <w:r w:rsidRPr="00E3482E">
        <w:rPr>
          <w:color w:val="000000"/>
          <w:vertAlign w:val="superscript"/>
          <w:lang w:val="en-GB"/>
        </w:rPr>
        <w:t>2</w:t>
      </w:r>
      <w:r w:rsidRPr="00E3482E">
        <w:rPr>
          <w:color w:val="000000"/>
          <w:lang w:val="en-GB"/>
        </w:rPr>
        <w:t>, days 1-3) every 4 weeks for 6 cycles or rituximab in combination with FC (R-FC). Rituximab was administered at a dosage of 375 mg/m</w:t>
      </w:r>
      <w:r w:rsidRPr="00E3482E">
        <w:rPr>
          <w:color w:val="000000"/>
          <w:vertAlign w:val="superscript"/>
          <w:lang w:val="en-GB"/>
        </w:rPr>
        <w:t>2</w:t>
      </w:r>
      <w:r w:rsidRPr="00E3482E">
        <w:rPr>
          <w:color w:val="000000"/>
          <w:lang w:val="en-GB"/>
        </w:rPr>
        <w:t xml:space="preserve"> during the first cycle one day prior to chemotherapy and at a dosage of 500 mg/m</w:t>
      </w:r>
      <w:r w:rsidRPr="00E3482E">
        <w:rPr>
          <w:color w:val="000000"/>
          <w:vertAlign w:val="superscript"/>
          <w:lang w:val="en-GB"/>
        </w:rPr>
        <w:t>2</w:t>
      </w:r>
      <w:r w:rsidRPr="00E3482E">
        <w:rPr>
          <w:color w:val="000000"/>
          <w:lang w:val="en-GB"/>
        </w:rPr>
        <w:t xml:space="preserve"> on day 1 of cycles 2-6. A total of 810 patients (403 R-FC, 407 FC) from the first-line study (Table 6) and 552 patients (276 R-FC, 276 FC) for the relapsed/refractory study (Table 8) were analysed for efficacy.</w:t>
      </w:r>
    </w:p>
    <w:p w:rsidR="00D35DD4" w:rsidRPr="00E3482E" w:rsidRDefault="004278AA" w:rsidP="00D35DD4">
      <w:pPr>
        <w:spacing w:before="120"/>
        <w:jc w:val="both"/>
        <w:rPr>
          <w:color w:val="000000"/>
          <w:lang w:val="en-GB"/>
        </w:rPr>
      </w:pPr>
      <w:r w:rsidRPr="00E3482E">
        <w:rPr>
          <w:color w:val="000000"/>
          <w:lang w:val="en-GB"/>
        </w:rPr>
        <w:t xml:space="preserve">In the first-line study, after a median observation time of 20.7 months, the primary endpoint of progression-free survival (PFS) was a median of 40 months in the R-FC group and a median of 32 months in the FC group (p&lt;0.0001, log-rank test). The analysis of overall survival demonstrated improved survival in favour of the R-FC arm (p=0.0427). These results were </w:t>
      </w:r>
      <w:r w:rsidRPr="00E3482E">
        <w:rPr>
          <w:color w:val="000000"/>
          <w:lang w:val="en-GB"/>
        </w:rPr>
        <w:lastRenderedPageBreak/>
        <w:t xml:space="preserve">confirmed with longer follow-up: after a median observation time of 48.1 months, the median PFS was 55 months in the R-FC group and 33 months in the FC group (p &lt; 0.0001, log-rank test) and overall survival analyses continued to show a significant benefit of R-FC treatment over FC chemotherapy alone (p = 0.0319, log-rank test). The benefit in terms of PFS was consistently observed in most patient subgroups analysed according to disease risk at baseline (i.e. </w:t>
      </w:r>
      <w:proofErr w:type="spellStart"/>
      <w:r w:rsidRPr="00E3482E">
        <w:rPr>
          <w:color w:val="000000"/>
          <w:lang w:val="en-GB"/>
        </w:rPr>
        <w:t>Binet</w:t>
      </w:r>
      <w:proofErr w:type="spellEnd"/>
      <w:r w:rsidRPr="00E3482E">
        <w:rPr>
          <w:color w:val="000000"/>
          <w:lang w:val="en-GB"/>
        </w:rPr>
        <w:t xml:space="preserve"> stages A-C) and was confirmed with longer follow-up (Table 7).</w:t>
      </w:r>
    </w:p>
    <w:p w:rsidR="004278AA" w:rsidRPr="00E3482E" w:rsidRDefault="004278AA" w:rsidP="00094B27">
      <w:pPr>
        <w:pStyle w:val="Tabletitle"/>
        <w:keepNext/>
        <w:spacing w:before="200" w:line="280" w:lineRule="atLeast"/>
        <w:ind w:left="907" w:hanging="907"/>
        <w:rPr>
          <w:color w:val="000000"/>
          <w:sz w:val="23"/>
          <w:szCs w:val="23"/>
        </w:rPr>
      </w:pPr>
      <w:r w:rsidRPr="00E3482E">
        <w:rPr>
          <w:color w:val="000000"/>
          <w:sz w:val="23"/>
          <w:szCs w:val="23"/>
        </w:rPr>
        <w:t xml:space="preserve">Table 6: </w:t>
      </w:r>
      <w:r w:rsidRPr="00E3482E">
        <w:rPr>
          <w:color w:val="000000"/>
          <w:sz w:val="23"/>
          <w:szCs w:val="23"/>
        </w:rPr>
        <w:tab/>
        <w:t xml:space="preserve">First-line treatment of </w:t>
      </w:r>
      <w:r w:rsidR="004E09E0" w:rsidRPr="00E3482E">
        <w:rPr>
          <w:color w:val="000000"/>
          <w:sz w:val="23"/>
          <w:szCs w:val="23"/>
        </w:rPr>
        <w:t>c</w:t>
      </w:r>
      <w:r w:rsidRPr="00E3482E">
        <w:rPr>
          <w:color w:val="000000"/>
          <w:sz w:val="23"/>
          <w:szCs w:val="23"/>
        </w:rPr>
        <w:t xml:space="preserve">hronic </w:t>
      </w:r>
      <w:r w:rsidR="004E09E0" w:rsidRPr="00E3482E">
        <w:rPr>
          <w:color w:val="000000"/>
          <w:sz w:val="23"/>
          <w:szCs w:val="23"/>
        </w:rPr>
        <w:t>l</w:t>
      </w:r>
      <w:r w:rsidRPr="00E3482E">
        <w:rPr>
          <w:color w:val="000000"/>
          <w:sz w:val="23"/>
          <w:szCs w:val="23"/>
        </w:rPr>
        <w:t xml:space="preserve">ymphocytic </w:t>
      </w:r>
      <w:r w:rsidR="004E09E0" w:rsidRPr="00E3482E">
        <w:rPr>
          <w:color w:val="000000"/>
          <w:sz w:val="23"/>
          <w:szCs w:val="23"/>
        </w:rPr>
        <w:t>l</w:t>
      </w:r>
      <w:r w:rsidRPr="00E3482E">
        <w:rPr>
          <w:color w:val="000000"/>
          <w:sz w:val="23"/>
          <w:szCs w:val="23"/>
        </w:rPr>
        <w:t xml:space="preserve">eukaemia - overview of efficacy results for rituximab plus FC vs FC alone (20.7 and 48.1 </w:t>
      </w:r>
      <w:proofErr w:type="gramStart"/>
      <w:r w:rsidRPr="00E3482E">
        <w:rPr>
          <w:color w:val="000000"/>
          <w:sz w:val="23"/>
          <w:szCs w:val="23"/>
        </w:rPr>
        <w:t>months</w:t>
      </w:r>
      <w:proofErr w:type="gramEnd"/>
      <w:r w:rsidRPr="00E3482E">
        <w:rPr>
          <w:color w:val="000000"/>
          <w:sz w:val="23"/>
          <w:szCs w:val="23"/>
        </w:rPr>
        <w:t xml:space="preserve"> median observation time)</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134"/>
        <w:gridCol w:w="1134"/>
        <w:gridCol w:w="1276"/>
        <w:gridCol w:w="1276"/>
        <w:gridCol w:w="2126"/>
      </w:tblGrid>
      <w:tr w:rsidR="00550DEA" w:rsidRPr="00E3482E" w:rsidTr="00F437E8">
        <w:tc>
          <w:tcPr>
            <w:tcW w:w="2515"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0"/>
              <w:jc w:val="left"/>
              <w:rPr>
                <w:b/>
                <w:color w:val="000000"/>
                <w:sz w:val="22"/>
                <w:szCs w:val="22"/>
              </w:rPr>
            </w:pPr>
            <w:r w:rsidRPr="00E3482E">
              <w:rPr>
                <w:b/>
                <w:color w:val="000000"/>
                <w:sz w:val="22"/>
                <w:szCs w:val="22"/>
              </w:rPr>
              <w:t>Efficacy Parameter</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Pr>
          <w:p w:rsidR="00550DEA" w:rsidRPr="00E3482E" w:rsidRDefault="00550DEA" w:rsidP="00094B27">
            <w:pPr>
              <w:pStyle w:val="Text"/>
              <w:keepNext/>
              <w:spacing w:before="0" w:line="269" w:lineRule="auto"/>
              <w:jc w:val="center"/>
              <w:rPr>
                <w:b/>
                <w:color w:val="000000"/>
                <w:sz w:val="22"/>
                <w:szCs w:val="22"/>
              </w:rPr>
            </w:pPr>
            <w:r w:rsidRPr="00E3482E">
              <w:rPr>
                <w:b/>
                <w:color w:val="000000"/>
                <w:sz w:val="22"/>
                <w:szCs w:val="22"/>
              </w:rPr>
              <w:t>Kaplan-Meier Estimate of Median Time to Event (months)</w:t>
            </w:r>
          </w:p>
        </w:tc>
        <w:tc>
          <w:tcPr>
            <w:tcW w:w="127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b/>
                <w:color w:val="000000"/>
                <w:sz w:val="22"/>
                <w:szCs w:val="22"/>
              </w:rPr>
            </w:pPr>
            <w:r w:rsidRPr="00E3482E">
              <w:rPr>
                <w:b/>
                <w:color w:val="000000"/>
                <w:sz w:val="22"/>
                <w:szCs w:val="22"/>
              </w:rPr>
              <w:t>Median Follow-up</w:t>
            </w:r>
          </w:p>
        </w:tc>
        <w:tc>
          <w:tcPr>
            <w:tcW w:w="212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b/>
                <w:color w:val="000000"/>
                <w:sz w:val="22"/>
                <w:szCs w:val="22"/>
              </w:rPr>
            </w:pPr>
            <w:r w:rsidRPr="00E3482E">
              <w:rPr>
                <w:b/>
                <w:color w:val="000000"/>
                <w:sz w:val="22"/>
                <w:szCs w:val="22"/>
              </w:rPr>
              <w:t>Hazard Ratio</w:t>
            </w:r>
          </w:p>
          <w:p w:rsidR="00550DEA" w:rsidRPr="00E3482E" w:rsidRDefault="00550DEA" w:rsidP="00094B27">
            <w:pPr>
              <w:pStyle w:val="Text"/>
              <w:keepNext/>
              <w:spacing w:before="0" w:line="269" w:lineRule="auto"/>
              <w:jc w:val="center"/>
              <w:rPr>
                <w:b/>
                <w:color w:val="000000"/>
                <w:sz w:val="22"/>
                <w:szCs w:val="22"/>
              </w:rPr>
            </w:pPr>
            <w:r w:rsidRPr="00E3482E">
              <w:rPr>
                <w:b/>
                <w:color w:val="000000"/>
                <w:sz w:val="22"/>
                <w:szCs w:val="22"/>
              </w:rPr>
              <w:t>R-FC vs FC</w:t>
            </w:r>
          </w:p>
        </w:tc>
      </w:tr>
      <w:tr w:rsidR="00F437E8" w:rsidRPr="00E3482E" w:rsidTr="00F437E8">
        <w:tc>
          <w:tcPr>
            <w:tcW w:w="2515" w:type="dxa"/>
            <w:tcBorders>
              <w:top w:val="nil"/>
              <w:left w:val="single" w:sz="4" w:space="0" w:color="auto"/>
              <w:bottom w:val="single" w:sz="4" w:space="0" w:color="auto"/>
              <w:right w:val="single" w:sz="4" w:space="0" w:color="auto"/>
            </w:tcBorders>
            <w:shd w:val="clear" w:color="auto" w:fill="FFFFFF"/>
          </w:tcPr>
          <w:p w:rsidR="004278AA" w:rsidRPr="00E3482E" w:rsidRDefault="004278AA" w:rsidP="00094B27">
            <w:pPr>
              <w:pStyle w:val="Text"/>
              <w:keepNext/>
              <w:spacing w:before="0"/>
              <w:jc w:val="left"/>
              <w:rPr>
                <w:b/>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278AA" w:rsidRPr="00E3482E" w:rsidRDefault="004278AA" w:rsidP="00094B27">
            <w:pPr>
              <w:pStyle w:val="Text"/>
              <w:keepNext/>
              <w:spacing w:before="0" w:line="269" w:lineRule="auto"/>
              <w:jc w:val="center"/>
              <w:rPr>
                <w:b/>
                <w:color w:val="000000"/>
                <w:sz w:val="22"/>
                <w:szCs w:val="22"/>
              </w:rPr>
            </w:pPr>
            <w:r w:rsidRPr="00E3482E">
              <w:rPr>
                <w:b/>
                <w:color w:val="000000"/>
                <w:sz w:val="22"/>
                <w:szCs w:val="22"/>
              </w:rPr>
              <w:t>FC</w:t>
            </w:r>
          </w:p>
          <w:p w:rsidR="004278AA" w:rsidRPr="00E3482E" w:rsidRDefault="004278AA" w:rsidP="00094B27">
            <w:pPr>
              <w:pStyle w:val="Text"/>
              <w:keepNext/>
              <w:spacing w:before="0" w:line="269" w:lineRule="auto"/>
              <w:jc w:val="center"/>
              <w:rPr>
                <w:b/>
                <w:color w:val="000000"/>
                <w:sz w:val="22"/>
                <w:szCs w:val="22"/>
              </w:rPr>
            </w:pPr>
            <w:r w:rsidRPr="00E3482E">
              <w:rPr>
                <w:b/>
                <w:color w:val="000000"/>
                <w:sz w:val="22"/>
                <w:szCs w:val="22"/>
              </w:rPr>
              <w:t>(N=407)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278AA" w:rsidRPr="00E3482E" w:rsidRDefault="004278AA" w:rsidP="00094B27">
            <w:pPr>
              <w:pStyle w:val="Text"/>
              <w:keepNext/>
              <w:spacing w:before="0" w:line="269" w:lineRule="auto"/>
              <w:jc w:val="center"/>
              <w:rPr>
                <w:b/>
                <w:color w:val="000000"/>
                <w:sz w:val="22"/>
                <w:szCs w:val="22"/>
              </w:rPr>
            </w:pPr>
            <w:r w:rsidRPr="00E3482E">
              <w:rPr>
                <w:b/>
                <w:color w:val="000000"/>
                <w:sz w:val="22"/>
                <w:szCs w:val="22"/>
              </w:rPr>
              <w:t>R-FC</w:t>
            </w:r>
          </w:p>
          <w:p w:rsidR="004278AA" w:rsidRPr="00E3482E" w:rsidRDefault="004278AA" w:rsidP="00094B27">
            <w:pPr>
              <w:pStyle w:val="Text"/>
              <w:keepNext/>
              <w:spacing w:before="0" w:line="269" w:lineRule="auto"/>
              <w:jc w:val="center"/>
              <w:rPr>
                <w:b/>
                <w:color w:val="000000"/>
                <w:sz w:val="22"/>
                <w:szCs w:val="22"/>
              </w:rPr>
            </w:pPr>
            <w:r w:rsidRPr="00E3482E">
              <w:rPr>
                <w:b/>
                <w:color w:val="000000"/>
                <w:sz w:val="22"/>
                <w:szCs w:val="22"/>
              </w:rPr>
              <w:t>(N=403)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278AA" w:rsidRPr="00E3482E" w:rsidRDefault="004278AA" w:rsidP="00094B27">
            <w:pPr>
              <w:pStyle w:val="Text"/>
              <w:keepNext/>
              <w:spacing w:before="0" w:line="269" w:lineRule="auto"/>
              <w:jc w:val="center"/>
              <w:rPr>
                <w:b/>
                <w:color w:val="000000"/>
                <w:sz w:val="22"/>
                <w:szCs w:val="22"/>
              </w:rPr>
            </w:pPr>
            <w:r w:rsidRPr="00E3482E">
              <w:rPr>
                <w:b/>
                <w:color w:val="000000"/>
                <w:sz w:val="22"/>
                <w:szCs w:val="22"/>
              </w:rPr>
              <w:t>Log-Rank p value</w:t>
            </w:r>
          </w:p>
        </w:tc>
        <w:tc>
          <w:tcPr>
            <w:tcW w:w="1276" w:type="dxa"/>
            <w:tcBorders>
              <w:top w:val="nil"/>
              <w:left w:val="single" w:sz="4" w:space="0" w:color="auto"/>
              <w:bottom w:val="single" w:sz="4" w:space="0" w:color="auto"/>
              <w:right w:val="single" w:sz="4" w:space="0" w:color="auto"/>
            </w:tcBorders>
            <w:shd w:val="clear" w:color="auto" w:fill="FFFFFF"/>
          </w:tcPr>
          <w:p w:rsidR="004278AA" w:rsidRPr="00E3482E" w:rsidRDefault="004278AA" w:rsidP="00094B27">
            <w:pPr>
              <w:pStyle w:val="Text"/>
              <w:keepNext/>
              <w:spacing w:before="0" w:line="269" w:lineRule="auto"/>
              <w:jc w:val="center"/>
              <w:rPr>
                <w:b/>
                <w:color w:val="000000"/>
                <w:sz w:val="22"/>
                <w:szCs w:val="22"/>
              </w:rPr>
            </w:pPr>
            <w:r w:rsidRPr="00E3482E">
              <w:rPr>
                <w:b/>
                <w:color w:val="000000"/>
                <w:sz w:val="22"/>
                <w:szCs w:val="22"/>
              </w:rPr>
              <w:t>(months)</w:t>
            </w:r>
          </w:p>
        </w:tc>
        <w:tc>
          <w:tcPr>
            <w:tcW w:w="2126" w:type="dxa"/>
            <w:tcBorders>
              <w:top w:val="nil"/>
              <w:left w:val="single" w:sz="4" w:space="0" w:color="auto"/>
              <w:bottom w:val="single" w:sz="4" w:space="0" w:color="auto"/>
              <w:right w:val="single" w:sz="4" w:space="0" w:color="auto"/>
            </w:tcBorders>
            <w:shd w:val="clear" w:color="auto" w:fill="FFFFFF"/>
          </w:tcPr>
          <w:p w:rsidR="004278AA" w:rsidRPr="00E3482E" w:rsidRDefault="004278AA" w:rsidP="00094B27">
            <w:pPr>
              <w:pStyle w:val="Text"/>
              <w:keepNext/>
              <w:spacing w:before="0" w:line="269" w:lineRule="auto"/>
              <w:jc w:val="center"/>
              <w:rPr>
                <w:b/>
                <w:color w:val="000000"/>
                <w:sz w:val="22"/>
                <w:szCs w:val="22"/>
              </w:rPr>
            </w:pPr>
            <w:r w:rsidRPr="00E3482E">
              <w:rPr>
                <w:b/>
                <w:color w:val="000000"/>
                <w:sz w:val="22"/>
                <w:szCs w:val="22"/>
              </w:rPr>
              <w:t>[95% CI]</w:t>
            </w:r>
          </w:p>
        </w:tc>
      </w:tr>
      <w:tr w:rsidR="004278AA" w:rsidRPr="00E3482E" w:rsidTr="00F437E8">
        <w:tc>
          <w:tcPr>
            <w:tcW w:w="2515" w:type="dxa"/>
            <w:tcBorders>
              <w:top w:val="single" w:sz="4" w:space="0" w:color="auto"/>
              <w:left w:val="single" w:sz="4" w:space="0" w:color="auto"/>
              <w:bottom w:val="nil"/>
              <w:right w:val="single" w:sz="4" w:space="0" w:color="auto"/>
            </w:tcBorders>
            <w:shd w:val="clear" w:color="auto" w:fill="FFFFFF"/>
          </w:tcPr>
          <w:p w:rsidR="004278AA" w:rsidRPr="00E3482E" w:rsidRDefault="00550DEA" w:rsidP="00094B27">
            <w:pPr>
              <w:pStyle w:val="Text"/>
              <w:keepNext/>
              <w:spacing w:before="40" w:line="269" w:lineRule="auto"/>
              <w:jc w:val="left"/>
              <w:rPr>
                <w:color w:val="000000"/>
                <w:sz w:val="22"/>
                <w:szCs w:val="22"/>
              </w:rPr>
            </w:pPr>
            <w:r w:rsidRPr="00E3482E">
              <w:rPr>
                <w:color w:val="000000"/>
                <w:sz w:val="22"/>
                <w:szCs w:val="22"/>
              </w:rPr>
              <w:t>Progression-free survival</w:t>
            </w:r>
          </w:p>
        </w:tc>
        <w:tc>
          <w:tcPr>
            <w:tcW w:w="1134" w:type="dxa"/>
            <w:tcBorders>
              <w:top w:val="single" w:sz="4" w:space="0" w:color="auto"/>
              <w:left w:val="single" w:sz="4" w:space="0" w:color="auto"/>
              <w:bottom w:val="nil"/>
              <w:right w:val="single" w:sz="4" w:space="0" w:color="auto"/>
            </w:tcBorders>
            <w:shd w:val="clear" w:color="auto" w:fill="FFFFFF"/>
          </w:tcPr>
          <w:p w:rsidR="004278AA" w:rsidRPr="00E3482E" w:rsidRDefault="00550DEA" w:rsidP="00094B27">
            <w:pPr>
              <w:pStyle w:val="Text"/>
              <w:keepNext/>
              <w:spacing w:before="40" w:line="269" w:lineRule="auto"/>
              <w:jc w:val="center"/>
              <w:rPr>
                <w:color w:val="000000"/>
                <w:sz w:val="22"/>
                <w:szCs w:val="22"/>
              </w:rPr>
            </w:pPr>
            <w:r w:rsidRPr="00E3482E">
              <w:rPr>
                <w:color w:val="000000"/>
                <w:sz w:val="22"/>
                <w:szCs w:val="22"/>
              </w:rPr>
              <w:t>32.2</w:t>
            </w:r>
          </w:p>
        </w:tc>
        <w:tc>
          <w:tcPr>
            <w:tcW w:w="1134" w:type="dxa"/>
            <w:tcBorders>
              <w:top w:val="single" w:sz="4" w:space="0" w:color="auto"/>
              <w:left w:val="single" w:sz="4" w:space="0" w:color="auto"/>
              <w:bottom w:val="nil"/>
              <w:right w:val="single" w:sz="4" w:space="0" w:color="auto"/>
            </w:tcBorders>
            <w:shd w:val="clear" w:color="auto" w:fill="FFFFFF"/>
          </w:tcPr>
          <w:p w:rsidR="004278AA" w:rsidRPr="00E3482E" w:rsidRDefault="00550DEA" w:rsidP="00094B27">
            <w:pPr>
              <w:pStyle w:val="Text"/>
              <w:keepNext/>
              <w:spacing w:before="40" w:line="269" w:lineRule="auto"/>
              <w:jc w:val="center"/>
              <w:rPr>
                <w:color w:val="000000"/>
                <w:sz w:val="22"/>
                <w:szCs w:val="22"/>
              </w:rPr>
            </w:pPr>
            <w:r w:rsidRPr="00E3482E">
              <w:rPr>
                <w:color w:val="000000"/>
                <w:sz w:val="22"/>
                <w:szCs w:val="22"/>
              </w:rPr>
              <w:t>39.8</w:t>
            </w:r>
          </w:p>
        </w:tc>
        <w:tc>
          <w:tcPr>
            <w:tcW w:w="1276" w:type="dxa"/>
            <w:tcBorders>
              <w:top w:val="single" w:sz="4" w:space="0" w:color="auto"/>
              <w:left w:val="single" w:sz="4" w:space="0" w:color="auto"/>
              <w:bottom w:val="nil"/>
              <w:right w:val="single" w:sz="4" w:space="0" w:color="auto"/>
            </w:tcBorders>
            <w:shd w:val="clear" w:color="auto" w:fill="FFFFFF"/>
          </w:tcPr>
          <w:p w:rsidR="004278AA" w:rsidRPr="00E3482E" w:rsidRDefault="00550DEA" w:rsidP="00094B27">
            <w:pPr>
              <w:pStyle w:val="Text"/>
              <w:keepNext/>
              <w:spacing w:before="40" w:line="269" w:lineRule="auto"/>
              <w:jc w:val="center"/>
              <w:rPr>
                <w:color w:val="000000"/>
                <w:sz w:val="22"/>
                <w:szCs w:val="22"/>
              </w:rPr>
            </w:pPr>
            <w:r w:rsidRPr="00E3482E">
              <w:rPr>
                <w:color w:val="000000"/>
                <w:sz w:val="22"/>
                <w:szCs w:val="22"/>
              </w:rPr>
              <w:t>&lt;0.0001</w:t>
            </w:r>
          </w:p>
        </w:tc>
        <w:tc>
          <w:tcPr>
            <w:tcW w:w="127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color w:val="000000"/>
                <w:sz w:val="22"/>
                <w:szCs w:val="22"/>
              </w:rPr>
            </w:pPr>
            <w:r w:rsidRPr="00E3482E">
              <w:rPr>
                <w:color w:val="000000"/>
                <w:sz w:val="22"/>
                <w:szCs w:val="22"/>
              </w:rPr>
              <w:t>20.7</w:t>
            </w:r>
          </w:p>
        </w:tc>
        <w:tc>
          <w:tcPr>
            <w:tcW w:w="2126" w:type="dxa"/>
            <w:tcBorders>
              <w:top w:val="single" w:sz="4" w:space="0" w:color="auto"/>
              <w:left w:val="single" w:sz="4" w:space="0" w:color="auto"/>
              <w:bottom w:val="nil"/>
              <w:right w:val="single" w:sz="4" w:space="0" w:color="auto"/>
            </w:tcBorders>
            <w:shd w:val="clear" w:color="auto" w:fill="FFFFFF"/>
          </w:tcPr>
          <w:p w:rsidR="004278AA" w:rsidRPr="00E3482E" w:rsidRDefault="004278AA" w:rsidP="00094B27">
            <w:pPr>
              <w:pStyle w:val="Text"/>
              <w:keepNext/>
              <w:spacing w:before="40" w:line="269" w:lineRule="auto"/>
              <w:jc w:val="center"/>
              <w:rPr>
                <w:color w:val="000000"/>
                <w:sz w:val="22"/>
                <w:szCs w:val="22"/>
              </w:rPr>
            </w:pPr>
            <w:r w:rsidRPr="00E3482E">
              <w:rPr>
                <w:color w:val="000000"/>
                <w:sz w:val="22"/>
                <w:szCs w:val="22"/>
              </w:rPr>
              <w:t>0.56</w:t>
            </w:r>
            <w:r w:rsidR="00F437E8" w:rsidRPr="00E3482E">
              <w:rPr>
                <w:color w:val="000000"/>
                <w:sz w:val="22"/>
                <w:szCs w:val="22"/>
              </w:rPr>
              <w:t xml:space="preserve"> </w:t>
            </w:r>
            <w:r w:rsidRPr="00E3482E">
              <w:rPr>
                <w:color w:val="000000"/>
                <w:sz w:val="22"/>
                <w:szCs w:val="22"/>
              </w:rPr>
              <w:t>[0.43, 0.72]</w:t>
            </w:r>
          </w:p>
        </w:tc>
      </w:tr>
      <w:tr w:rsidR="00550DEA" w:rsidRPr="00E3482E" w:rsidTr="00F437E8">
        <w:tc>
          <w:tcPr>
            <w:tcW w:w="2515"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left"/>
              <w:rPr>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32.8</w:t>
            </w:r>
          </w:p>
        </w:tc>
        <w:tc>
          <w:tcPr>
            <w:tcW w:w="1134"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55.3</w:t>
            </w:r>
          </w:p>
        </w:tc>
        <w:tc>
          <w:tcPr>
            <w:tcW w:w="1276"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&lt;0.0001</w:t>
            </w:r>
          </w:p>
        </w:tc>
        <w:tc>
          <w:tcPr>
            <w:tcW w:w="1276"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0.55</w:t>
            </w:r>
            <w:r w:rsidR="00F437E8" w:rsidRPr="00E3482E">
              <w:rPr>
                <w:color w:val="000000"/>
                <w:sz w:val="22"/>
                <w:szCs w:val="22"/>
              </w:rPr>
              <w:t xml:space="preserve"> </w:t>
            </w:r>
            <w:r w:rsidRPr="00E3482E">
              <w:rPr>
                <w:color w:val="000000"/>
                <w:sz w:val="22"/>
                <w:szCs w:val="22"/>
              </w:rPr>
              <w:t>[0.45, 0.66]</w:t>
            </w:r>
          </w:p>
        </w:tc>
      </w:tr>
      <w:tr w:rsidR="00550DEA" w:rsidRPr="00E3482E" w:rsidTr="00F437E8">
        <w:tc>
          <w:tcPr>
            <w:tcW w:w="2515"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left"/>
              <w:rPr>
                <w:color w:val="000000"/>
                <w:sz w:val="22"/>
                <w:szCs w:val="22"/>
              </w:rPr>
            </w:pPr>
            <w:r w:rsidRPr="00E3482E">
              <w:rPr>
                <w:color w:val="000000"/>
                <w:sz w:val="22"/>
                <w:szCs w:val="22"/>
              </w:rPr>
              <w:t>Overall Survival</w:t>
            </w:r>
          </w:p>
        </w:tc>
        <w:tc>
          <w:tcPr>
            <w:tcW w:w="1134"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color w:val="000000"/>
                <w:sz w:val="22"/>
                <w:szCs w:val="22"/>
              </w:rPr>
            </w:pPr>
            <w:r w:rsidRPr="00E3482E">
              <w:rPr>
                <w:color w:val="000000"/>
                <w:sz w:val="22"/>
                <w:szCs w:val="22"/>
              </w:rPr>
              <w:t>NR</w:t>
            </w:r>
          </w:p>
        </w:tc>
        <w:tc>
          <w:tcPr>
            <w:tcW w:w="1134"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color w:val="000000"/>
                <w:sz w:val="22"/>
                <w:szCs w:val="22"/>
              </w:rPr>
            </w:pPr>
            <w:r w:rsidRPr="00E3482E">
              <w:rPr>
                <w:color w:val="000000"/>
                <w:sz w:val="22"/>
                <w:szCs w:val="22"/>
              </w:rPr>
              <w:t>NR</w:t>
            </w:r>
          </w:p>
        </w:tc>
        <w:tc>
          <w:tcPr>
            <w:tcW w:w="127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color w:val="000000"/>
                <w:sz w:val="22"/>
                <w:szCs w:val="22"/>
              </w:rPr>
            </w:pPr>
            <w:r w:rsidRPr="00E3482E">
              <w:rPr>
                <w:color w:val="000000"/>
                <w:sz w:val="22"/>
                <w:szCs w:val="22"/>
              </w:rPr>
              <w:t>0.0427</w:t>
            </w:r>
          </w:p>
        </w:tc>
        <w:tc>
          <w:tcPr>
            <w:tcW w:w="127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color w:val="000000"/>
                <w:sz w:val="22"/>
                <w:szCs w:val="22"/>
              </w:rPr>
            </w:pPr>
            <w:r w:rsidRPr="00E3482E">
              <w:rPr>
                <w:color w:val="000000"/>
                <w:sz w:val="22"/>
                <w:szCs w:val="22"/>
              </w:rPr>
              <w:t>20.7</w:t>
            </w:r>
          </w:p>
        </w:tc>
        <w:tc>
          <w:tcPr>
            <w:tcW w:w="212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094B27">
            <w:pPr>
              <w:pStyle w:val="Text"/>
              <w:keepNext/>
              <w:spacing w:before="40" w:line="269" w:lineRule="auto"/>
              <w:jc w:val="center"/>
              <w:rPr>
                <w:color w:val="000000"/>
                <w:sz w:val="22"/>
                <w:szCs w:val="22"/>
              </w:rPr>
            </w:pPr>
            <w:r w:rsidRPr="00E3482E">
              <w:rPr>
                <w:color w:val="000000"/>
                <w:sz w:val="22"/>
                <w:szCs w:val="22"/>
              </w:rPr>
              <w:t>0.64</w:t>
            </w:r>
            <w:r w:rsidR="00F437E8" w:rsidRPr="00E3482E">
              <w:rPr>
                <w:color w:val="000000"/>
                <w:sz w:val="22"/>
                <w:szCs w:val="22"/>
              </w:rPr>
              <w:t xml:space="preserve"> </w:t>
            </w:r>
            <w:r w:rsidRPr="00E3482E">
              <w:rPr>
                <w:color w:val="000000"/>
                <w:sz w:val="22"/>
                <w:szCs w:val="22"/>
              </w:rPr>
              <w:t>[0.41, 1.00]</w:t>
            </w:r>
          </w:p>
        </w:tc>
      </w:tr>
      <w:tr w:rsidR="00550DEA" w:rsidRPr="00E3482E" w:rsidTr="00F437E8">
        <w:tc>
          <w:tcPr>
            <w:tcW w:w="2515"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left"/>
              <w:rPr>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NR</w:t>
            </w:r>
          </w:p>
        </w:tc>
        <w:tc>
          <w:tcPr>
            <w:tcW w:w="1134"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NR</w:t>
            </w:r>
          </w:p>
        </w:tc>
        <w:tc>
          <w:tcPr>
            <w:tcW w:w="1276"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0.0319</w:t>
            </w:r>
          </w:p>
        </w:tc>
        <w:tc>
          <w:tcPr>
            <w:tcW w:w="1276"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single" w:sz="4" w:space="0" w:color="auto"/>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0.73</w:t>
            </w:r>
            <w:r w:rsidR="00F437E8" w:rsidRPr="00E3482E">
              <w:rPr>
                <w:color w:val="000000"/>
                <w:sz w:val="22"/>
                <w:szCs w:val="22"/>
              </w:rPr>
              <w:t xml:space="preserve"> </w:t>
            </w:r>
            <w:r w:rsidRPr="00E3482E">
              <w:rPr>
                <w:color w:val="000000"/>
                <w:sz w:val="22"/>
                <w:szCs w:val="22"/>
              </w:rPr>
              <w:t>[0.54, 0.97]</w:t>
            </w:r>
          </w:p>
        </w:tc>
      </w:tr>
      <w:tr w:rsidR="00550DEA" w:rsidRPr="00E3482E" w:rsidTr="00F437E8">
        <w:tc>
          <w:tcPr>
            <w:tcW w:w="2515"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F437E8">
            <w:pPr>
              <w:pStyle w:val="Text"/>
              <w:spacing w:before="40" w:line="269" w:lineRule="auto"/>
              <w:jc w:val="left"/>
              <w:rPr>
                <w:color w:val="000000"/>
                <w:sz w:val="22"/>
                <w:szCs w:val="22"/>
              </w:rPr>
            </w:pPr>
            <w:r w:rsidRPr="00E3482E">
              <w:rPr>
                <w:color w:val="000000"/>
                <w:sz w:val="22"/>
                <w:szCs w:val="22"/>
              </w:rPr>
              <w:t>Event Free Survival</w:t>
            </w:r>
          </w:p>
        </w:tc>
        <w:tc>
          <w:tcPr>
            <w:tcW w:w="1134"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31.1</w:t>
            </w:r>
          </w:p>
        </w:tc>
        <w:tc>
          <w:tcPr>
            <w:tcW w:w="1134"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39.8</w:t>
            </w:r>
          </w:p>
        </w:tc>
        <w:tc>
          <w:tcPr>
            <w:tcW w:w="127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&lt;0.0001</w:t>
            </w:r>
          </w:p>
        </w:tc>
        <w:tc>
          <w:tcPr>
            <w:tcW w:w="127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20.7</w:t>
            </w:r>
          </w:p>
        </w:tc>
        <w:tc>
          <w:tcPr>
            <w:tcW w:w="2126" w:type="dxa"/>
            <w:tcBorders>
              <w:top w:val="single" w:sz="4" w:space="0" w:color="auto"/>
              <w:left w:val="single" w:sz="4" w:space="0" w:color="auto"/>
              <w:bottom w:val="nil"/>
              <w:right w:val="single" w:sz="4" w:space="0" w:color="auto"/>
            </w:tcBorders>
            <w:shd w:val="clear" w:color="auto" w:fill="FFFFFF"/>
          </w:tcPr>
          <w:p w:rsidR="00550DEA" w:rsidRPr="00E3482E" w:rsidRDefault="00550DEA" w:rsidP="00F437E8">
            <w:pPr>
              <w:pStyle w:val="Text"/>
              <w:spacing w:before="40" w:line="269" w:lineRule="auto"/>
              <w:jc w:val="center"/>
              <w:rPr>
                <w:color w:val="000000"/>
                <w:sz w:val="22"/>
                <w:szCs w:val="22"/>
              </w:rPr>
            </w:pPr>
            <w:r w:rsidRPr="00E3482E">
              <w:rPr>
                <w:color w:val="000000"/>
                <w:sz w:val="22"/>
                <w:szCs w:val="22"/>
              </w:rPr>
              <w:t>0.55</w:t>
            </w:r>
            <w:r w:rsidR="00F437E8" w:rsidRPr="00E3482E">
              <w:rPr>
                <w:color w:val="000000"/>
                <w:sz w:val="22"/>
                <w:szCs w:val="22"/>
              </w:rPr>
              <w:t xml:space="preserve"> </w:t>
            </w:r>
            <w:r w:rsidRPr="00E3482E">
              <w:rPr>
                <w:color w:val="000000"/>
                <w:sz w:val="22"/>
                <w:szCs w:val="22"/>
              </w:rPr>
              <w:t>[</w:t>
            </w:r>
            <w:r w:rsidR="008779A3" w:rsidRPr="00E3482E">
              <w:rPr>
                <w:color w:val="000000"/>
                <w:sz w:val="22"/>
                <w:szCs w:val="22"/>
              </w:rPr>
              <w:t>0.43, 0.70]</w:t>
            </w:r>
          </w:p>
        </w:tc>
      </w:tr>
      <w:tr w:rsidR="008779A3" w:rsidRPr="00E3482E" w:rsidTr="00F437E8">
        <w:tc>
          <w:tcPr>
            <w:tcW w:w="2515" w:type="dxa"/>
            <w:tcBorders>
              <w:top w:val="nil"/>
              <w:left w:val="single" w:sz="4" w:space="0" w:color="auto"/>
              <w:bottom w:val="single" w:sz="4" w:space="0" w:color="auto"/>
              <w:right w:val="single" w:sz="4" w:space="0" w:color="auto"/>
            </w:tcBorders>
            <w:shd w:val="clear" w:color="auto" w:fill="FFFFFF"/>
          </w:tcPr>
          <w:p w:rsidR="008779A3" w:rsidRPr="00E3482E" w:rsidRDefault="008779A3" w:rsidP="00F437E8">
            <w:pPr>
              <w:pStyle w:val="Text"/>
              <w:spacing w:before="40" w:line="269" w:lineRule="auto"/>
              <w:jc w:val="left"/>
              <w:rPr>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31.3</w:t>
            </w:r>
          </w:p>
        </w:tc>
        <w:tc>
          <w:tcPr>
            <w:tcW w:w="1134" w:type="dxa"/>
            <w:tcBorders>
              <w:top w:val="nil"/>
              <w:left w:val="single" w:sz="4" w:space="0" w:color="auto"/>
              <w:bottom w:val="single" w:sz="4" w:space="0" w:color="auto"/>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51.8</w:t>
            </w:r>
          </w:p>
        </w:tc>
        <w:tc>
          <w:tcPr>
            <w:tcW w:w="1276" w:type="dxa"/>
            <w:tcBorders>
              <w:top w:val="nil"/>
              <w:left w:val="single" w:sz="4" w:space="0" w:color="auto"/>
              <w:bottom w:val="single" w:sz="4" w:space="0" w:color="auto"/>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&lt;0.0001</w:t>
            </w:r>
          </w:p>
        </w:tc>
        <w:tc>
          <w:tcPr>
            <w:tcW w:w="1276" w:type="dxa"/>
            <w:tcBorders>
              <w:top w:val="nil"/>
              <w:left w:val="single" w:sz="4" w:space="0" w:color="auto"/>
              <w:bottom w:val="single" w:sz="4" w:space="0" w:color="auto"/>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single" w:sz="4" w:space="0" w:color="auto"/>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0.56</w:t>
            </w:r>
            <w:r w:rsidR="00F437E8" w:rsidRPr="00E3482E">
              <w:rPr>
                <w:color w:val="000000"/>
                <w:sz w:val="22"/>
                <w:szCs w:val="22"/>
              </w:rPr>
              <w:t xml:space="preserve"> </w:t>
            </w:r>
            <w:r w:rsidRPr="00E3482E">
              <w:rPr>
                <w:color w:val="000000"/>
                <w:sz w:val="22"/>
                <w:szCs w:val="22"/>
              </w:rPr>
              <w:t>[0.46, 0.67]</w:t>
            </w:r>
          </w:p>
        </w:tc>
      </w:tr>
      <w:tr w:rsidR="008779A3" w:rsidRPr="00E3482E" w:rsidTr="00F437E8">
        <w:tc>
          <w:tcPr>
            <w:tcW w:w="2515" w:type="dxa"/>
            <w:tcBorders>
              <w:top w:val="single" w:sz="4" w:space="0" w:color="auto"/>
              <w:left w:val="single" w:sz="4" w:space="0" w:color="auto"/>
              <w:bottom w:val="nil"/>
              <w:right w:val="single" w:sz="4" w:space="0" w:color="auto"/>
            </w:tcBorders>
            <w:shd w:val="clear" w:color="auto" w:fill="FFFFFF"/>
          </w:tcPr>
          <w:p w:rsidR="008779A3" w:rsidRPr="00E3482E" w:rsidRDefault="008779A3" w:rsidP="00F437E8">
            <w:pPr>
              <w:pStyle w:val="Text"/>
              <w:spacing w:before="40" w:line="269" w:lineRule="auto"/>
              <w:jc w:val="left"/>
              <w:rPr>
                <w:color w:val="000000"/>
                <w:sz w:val="22"/>
                <w:szCs w:val="22"/>
              </w:rPr>
            </w:pPr>
            <w:r w:rsidRPr="00E3482E">
              <w:rPr>
                <w:color w:val="000000"/>
                <w:sz w:val="22"/>
                <w:szCs w:val="22"/>
              </w:rPr>
              <w:t xml:space="preserve">Response rate (CR, </w:t>
            </w:r>
            <w:proofErr w:type="spellStart"/>
            <w:r w:rsidRPr="00E3482E">
              <w:rPr>
                <w:color w:val="000000"/>
                <w:sz w:val="22"/>
                <w:szCs w:val="22"/>
              </w:rPr>
              <w:t>nPR</w:t>
            </w:r>
            <w:proofErr w:type="spellEnd"/>
            <w:r w:rsidRPr="00E3482E">
              <w:rPr>
                <w:color w:val="000000"/>
                <w:sz w:val="22"/>
                <w:szCs w:val="22"/>
              </w:rPr>
              <w:t xml:space="preserve"> or PR)</w:t>
            </w:r>
          </w:p>
        </w:tc>
        <w:tc>
          <w:tcPr>
            <w:tcW w:w="1134" w:type="dxa"/>
            <w:tcBorders>
              <w:top w:val="single" w:sz="4" w:space="0" w:color="auto"/>
              <w:left w:val="single" w:sz="4" w:space="0" w:color="auto"/>
              <w:bottom w:val="nil"/>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72.7%</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72.6%</w:t>
            </w:r>
          </w:p>
        </w:tc>
        <w:tc>
          <w:tcPr>
            <w:tcW w:w="1134" w:type="dxa"/>
            <w:tcBorders>
              <w:top w:val="single" w:sz="4" w:space="0" w:color="auto"/>
              <w:left w:val="single" w:sz="4" w:space="0" w:color="auto"/>
              <w:bottom w:val="nil"/>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86.1%</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85.8%</w:t>
            </w:r>
          </w:p>
        </w:tc>
        <w:tc>
          <w:tcPr>
            <w:tcW w:w="1276" w:type="dxa"/>
            <w:tcBorders>
              <w:top w:val="single" w:sz="4" w:space="0" w:color="auto"/>
              <w:left w:val="single" w:sz="4" w:space="0" w:color="auto"/>
              <w:bottom w:val="nil"/>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&lt;0.0001</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&lt;0.0001</w:t>
            </w:r>
          </w:p>
        </w:tc>
        <w:tc>
          <w:tcPr>
            <w:tcW w:w="1276" w:type="dxa"/>
            <w:tcBorders>
              <w:top w:val="single" w:sz="4" w:space="0" w:color="auto"/>
              <w:left w:val="single" w:sz="4" w:space="0" w:color="auto"/>
              <w:bottom w:val="nil"/>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20.7</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48.1***</w:t>
            </w:r>
          </w:p>
        </w:tc>
        <w:tc>
          <w:tcPr>
            <w:tcW w:w="2126" w:type="dxa"/>
            <w:tcBorders>
              <w:top w:val="single" w:sz="4" w:space="0" w:color="auto"/>
              <w:left w:val="single" w:sz="4" w:space="0" w:color="auto"/>
              <w:bottom w:val="nil"/>
              <w:right w:val="single" w:sz="4" w:space="0" w:color="auto"/>
            </w:tcBorders>
            <w:shd w:val="clear" w:color="auto" w:fill="FFFFFF"/>
          </w:tcPr>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NA</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NA</w:t>
            </w:r>
          </w:p>
        </w:tc>
      </w:tr>
      <w:tr w:rsidR="008779A3" w:rsidRPr="00E3482E" w:rsidTr="00F437E8">
        <w:tc>
          <w:tcPr>
            <w:tcW w:w="2515" w:type="dxa"/>
            <w:tcBorders>
              <w:top w:val="nil"/>
              <w:left w:val="single" w:sz="4" w:space="0" w:color="auto"/>
              <w:bottom w:val="nil"/>
              <w:right w:val="single" w:sz="4" w:space="0" w:color="auto"/>
            </w:tcBorders>
            <w:shd w:val="clear" w:color="auto" w:fill="FFFFFF"/>
          </w:tcPr>
          <w:p w:rsidR="008779A3" w:rsidRPr="00E3482E" w:rsidRDefault="008779A3" w:rsidP="00F437E8">
            <w:pPr>
              <w:pStyle w:val="Text"/>
              <w:spacing w:line="269" w:lineRule="auto"/>
              <w:jc w:val="left"/>
              <w:rPr>
                <w:color w:val="000000"/>
                <w:sz w:val="22"/>
                <w:szCs w:val="22"/>
              </w:rPr>
            </w:pPr>
            <w:r w:rsidRPr="00E3482E">
              <w:rPr>
                <w:color w:val="000000"/>
                <w:sz w:val="22"/>
                <w:szCs w:val="22"/>
              </w:rPr>
              <w:t>CR rates</w:t>
            </w:r>
          </w:p>
        </w:tc>
        <w:tc>
          <w:tcPr>
            <w:tcW w:w="1134" w:type="dxa"/>
            <w:tcBorders>
              <w:top w:val="nil"/>
              <w:left w:val="single" w:sz="4" w:space="0" w:color="auto"/>
              <w:bottom w:val="nil"/>
              <w:right w:val="single" w:sz="4" w:space="0" w:color="auto"/>
            </w:tcBorders>
            <w:shd w:val="clear" w:color="auto" w:fill="FFFFFF"/>
          </w:tcPr>
          <w:p w:rsidR="008779A3" w:rsidRPr="00E3482E" w:rsidRDefault="008779A3" w:rsidP="00F437E8">
            <w:pPr>
              <w:pStyle w:val="Text"/>
              <w:spacing w:line="269" w:lineRule="auto"/>
              <w:jc w:val="center"/>
              <w:rPr>
                <w:color w:val="000000"/>
                <w:sz w:val="22"/>
                <w:szCs w:val="22"/>
              </w:rPr>
            </w:pPr>
            <w:r w:rsidRPr="00E3482E">
              <w:rPr>
                <w:color w:val="000000"/>
                <w:sz w:val="22"/>
                <w:szCs w:val="22"/>
              </w:rPr>
              <w:t>17.2%</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16.9%</w:t>
            </w:r>
          </w:p>
        </w:tc>
        <w:tc>
          <w:tcPr>
            <w:tcW w:w="1134" w:type="dxa"/>
            <w:tcBorders>
              <w:top w:val="nil"/>
              <w:left w:val="single" w:sz="4" w:space="0" w:color="auto"/>
              <w:bottom w:val="nil"/>
              <w:right w:val="single" w:sz="4" w:space="0" w:color="auto"/>
            </w:tcBorders>
            <w:shd w:val="clear" w:color="auto" w:fill="FFFFFF"/>
          </w:tcPr>
          <w:p w:rsidR="008779A3" w:rsidRPr="00E3482E" w:rsidRDefault="008779A3" w:rsidP="00F437E8">
            <w:pPr>
              <w:pStyle w:val="Text"/>
              <w:spacing w:line="269" w:lineRule="auto"/>
              <w:jc w:val="center"/>
              <w:rPr>
                <w:color w:val="000000"/>
                <w:sz w:val="22"/>
                <w:szCs w:val="22"/>
              </w:rPr>
            </w:pPr>
            <w:r w:rsidRPr="00E3482E">
              <w:rPr>
                <w:color w:val="000000"/>
                <w:sz w:val="22"/>
                <w:szCs w:val="22"/>
              </w:rPr>
              <w:t>36.0%</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36.0%</w:t>
            </w:r>
          </w:p>
        </w:tc>
        <w:tc>
          <w:tcPr>
            <w:tcW w:w="1276" w:type="dxa"/>
            <w:tcBorders>
              <w:top w:val="nil"/>
              <w:left w:val="single" w:sz="4" w:space="0" w:color="auto"/>
              <w:bottom w:val="nil"/>
              <w:right w:val="single" w:sz="4" w:space="0" w:color="auto"/>
            </w:tcBorders>
            <w:shd w:val="clear" w:color="auto" w:fill="FFFFFF"/>
          </w:tcPr>
          <w:p w:rsidR="008779A3" w:rsidRPr="00E3482E" w:rsidRDefault="008779A3" w:rsidP="00F437E8">
            <w:pPr>
              <w:pStyle w:val="Text"/>
              <w:spacing w:line="269" w:lineRule="auto"/>
              <w:jc w:val="center"/>
              <w:rPr>
                <w:color w:val="000000"/>
                <w:sz w:val="22"/>
                <w:szCs w:val="22"/>
              </w:rPr>
            </w:pPr>
            <w:r w:rsidRPr="00E3482E">
              <w:rPr>
                <w:color w:val="000000"/>
                <w:sz w:val="22"/>
                <w:szCs w:val="22"/>
              </w:rPr>
              <w:t>&lt;0.0001</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&lt;0.0001</w:t>
            </w:r>
          </w:p>
        </w:tc>
        <w:tc>
          <w:tcPr>
            <w:tcW w:w="1276" w:type="dxa"/>
            <w:tcBorders>
              <w:top w:val="nil"/>
              <w:left w:val="single" w:sz="4" w:space="0" w:color="auto"/>
              <w:bottom w:val="nil"/>
              <w:right w:val="single" w:sz="4" w:space="0" w:color="auto"/>
            </w:tcBorders>
            <w:shd w:val="clear" w:color="auto" w:fill="FFFFFF"/>
          </w:tcPr>
          <w:p w:rsidR="008779A3" w:rsidRPr="00E3482E" w:rsidRDefault="008779A3" w:rsidP="00F437E8">
            <w:pPr>
              <w:pStyle w:val="Text"/>
              <w:spacing w:line="269" w:lineRule="auto"/>
              <w:jc w:val="center"/>
              <w:rPr>
                <w:color w:val="000000"/>
                <w:sz w:val="22"/>
                <w:szCs w:val="22"/>
              </w:rPr>
            </w:pPr>
            <w:r w:rsidRPr="00E3482E">
              <w:rPr>
                <w:color w:val="000000"/>
                <w:sz w:val="22"/>
                <w:szCs w:val="22"/>
              </w:rPr>
              <w:t>20.7</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nil"/>
              <w:right w:val="single" w:sz="4" w:space="0" w:color="auto"/>
            </w:tcBorders>
            <w:shd w:val="clear" w:color="auto" w:fill="FFFFFF"/>
          </w:tcPr>
          <w:p w:rsidR="008779A3" w:rsidRPr="00E3482E" w:rsidRDefault="008779A3" w:rsidP="00F437E8">
            <w:pPr>
              <w:pStyle w:val="Text"/>
              <w:spacing w:line="269" w:lineRule="auto"/>
              <w:jc w:val="center"/>
              <w:rPr>
                <w:color w:val="000000"/>
                <w:sz w:val="22"/>
                <w:szCs w:val="22"/>
              </w:rPr>
            </w:pPr>
            <w:r w:rsidRPr="00E3482E">
              <w:rPr>
                <w:color w:val="000000"/>
                <w:sz w:val="22"/>
                <w:szCs w:val="22"/>
              </w:rPr>
              <w:t>NA</w:t>
            </w:r>
          </w:p>
          <w:p w:rsidR="008779A3" w:rsidRPr="00E3482E" w:rsidRDefault="008779A3" w:rsidP="00F437E8">
            <w:pPr>
              <w:pStyle w:val="Text"/>
              <w:spacing w:before="40" w:line="269" w:lineRule="auto"/>
              <w:jc w:val="center"/>
              <w:rPr>
                <w:color w:val="000000"/>
                <w:sz w:val="22"/>
                <w:szCs w:val="22"/>
              </w:rPr>
            </w:pPr>
            <w:r w:rsidRPr="00E3482E">
              <w:rPr>
                <w:color w:val="000000"/>
                <w:sz w:val="22"/>
                <w:szCs w:val="22"/>
              </w:rPr>
              <w:t>NA</w:t>
            </w:r>
          </w:p>
        </w:tc>
      </w:tr>
      <w:tr w:rsidR="008779A3" w:rsidRPr="00E3482E" w:rsidTr="00E6115D">
        <w:tc>
          <w:tcPr>
            <w:tcW w:w="2515" w:type="dxa"/>
            <w:tcBorders>
              <w:top w:val="nil"/>
              <w:left w:val="single" w:sz="4" w:space="0" w:color="auto"/>
              <w:bottom w:val="nil"/>
              <w:right w:val="single" w:sz="4" w:space="0" w:color="auto"/>
            </w:tcBorders>
            <w:shd w:val="clear" w:color="auto" w:fill="FFFFFF"/>
          </w:tcPr>
          <w:p w:rsidR="008779A3" w:rsidRPr="00E3482E" w:rsidRDefault="008779A3" w:rsidP="008779A3">
            <w:pPr>
              <w:pStyle w:val="Text"/>
              <w:spacing w:line="269" w:lineRule="auto"/>
              <w:jc w:val="left"/>
              <w:rPr>
                <w:color w:val="000000"/>
                <w:sz w:val="22"/>
                <w:szCs w:val="22"/>
              </w:rPr>
            </w:pPr>
            <w:r w:rsidRPr="00E3482E">
              <w:rPr>
                <w:color w:val="000000"/>
                <w:sz w:val="22"/>
                <w:szCs w:val="22"/>
              </w:rPr>
              <w:t>Duration of response*</w:t>
            </w:r>
          </w:p>
        </w:tc>
        <w:tc>
          <w:tcPr>
            <w:tcW w:w="1134" w:type="dxa"/>
            <w:tcBorders>
              <w:top w:val="nil"/>
              <w:left w:val="single" w:sz="4" w:space="0" w:color="auto"/>
              <w:bottom w:val="nil"/>
              <w:right w:val="single" w:sz="4" w:space="0" w:color="auto"/>
            </w:tcBorders>
            <w:shd w:val="clear" w:color="auto" w:fill="FFFFFF"/>
          </w:tcPr>
          <w:p w:rsidR="008779A3" w:rsidRPr="00E3482E" w:rsidRDefault="00F437E8" w:rsidP="008779A3">
            <w:pPr>
              <w:pStyle w:val="Text"/>
              <w:spacing w:line="269" w:lineRule="auto"/>
              <w:jc w:val="center"/>
              <w:rPr>
                <w:color w:val="000000"/>
                <w:sz w:val="22"/>
                <w:szCs w:val="22"/>
              </w:rPr>
            </w:pPr>
            <w:r w:rsidRPr="00E3482E">
              <w:rPr>
                <w:color w:val="000000"/>
                <w:sz w:val="22"/>
                <w:szCs w:val="22"/>
              </w:rPr>
              <w:t>34.7</w:t>
            </w:r>
          </w:p>
          <w:p w:rsidR="00F437E8" w:rsidRPr="00E3482E" w:rsidRDefault="00F437E8" w:rsidP="00F437E8">
            <w:pPr>
              <w:pStyle w:val="Text"/>
              <w:spacing w:before="40" w:line="269" w:lineRule="auto"/>
              <w:jc w:val="center"/>
              <w:rPr>
                <w:color w:val="000000"/>
                <w:sz w:val="22"/>
                <w:szCs w:val="22"/>
              </w:rPr>
            </w:pPr>
            <w:r w:rsidRPr="00E3482E">
              <w:rPr>
                <w:color w:val="000000"/>
                <w:sz w:val="22"/>
                <w:szCs w:val="22"/>
              </w:rPr>
              <w:t>36.2</w:t>
            </w:r>
          </w:p>
        </w:tc>
        <w:tc>
          <w:tcPr>
            <w:tcW w:w="1134" w:type="dxa"/>
            <w:tcBorders>
              <w:top w:val="nil"/>
              <w:left w:val="single" w:sz="4" w:space="0" w:color="auto"/>
              <w:bottom w:val="nil"/>
              <w:right w:val="single" w:sz="4" w:space="0" w:color="auto"/>
            </w:tcBorders>
            <w:shd w:val="clear" w:color="auto" w:fill="FFFFFF"/>
          </w:tcPr>
          <w:p w:rsidR="008779A3" w:rsidRPr="00E3482E" w:rsidRDefault="00F437E8" w:rsidP="008779A3">
            <w:pPr>
              <w:pStyle w:val="Text"/>
              <w:spacing w:line="269" w:lineRule="auto"/>
              <w:jc w:val="center"/>
              <w:rPr>
                <w:color w:val="000000"/>
                <w:sz w:val="22"/>
                <w:szCs w:val="22"/>
              </w:rPr>
            </w:pPr>
            <w:r w:rsidRPr="00E3482E">
              <w:rPr>
                <w:color w:val="000000"/>
                <w:sz w:val="22"/>
                <w:szCs w:val="22"/>
              </w:rPr>
              <w:t>40.2</w:t>
            </w:r>
          </w:p>
          <w:p w:rsidR="00F437E8" w:rsidRPr="00E3482E" w:rsidRDefault="00F437E8" w:rsidP="00F437E8">
            <w:pPr>
              <w:pStyle w:val="Text"/>
              <w:spacing w:before="40" w:line="269" w:lineRule="auto"/>
              <w:jc w:val="center"/>
              <w:rPr>
                <w:color w:val="000000"/>
                <w:sz w:val="22"/>
                <w:szCs w:val="22"/>
              </w:rPr>
            </w:pPr>
            <w:r w:rsidRPr="00E3482E">
              <w:rPr>
                <w:color w:val="000000"/>
                <w:sz w:val="22"/>
                <w:szCs w:val="22"/>
              </w:rPr>
              <w:t>57.3</w:t>
            </w:r>
          </w:p>
        </w:tc>
        <w:tc>
          <w:tcPr>
            <w:tcW w:w="1276" w:type="dxa"/>
            <w:tcBorders>
              <w:top w:val="nil"/>
              <w:left w:val="single" w:sz="4" w:space="0" w:color="auto"/>
              <w:bottom w:val="nil"/>
              <w:right w:val="single" w:sz="4" w:space="0" w:color="auto"/>
            </w:tcBorders>
            <w:shd w:val="clear" w:color="auto" w:fill="FFFFFF"/>
          </w:tcPr>
          <w:p w:rsidR="008779A3" w:rsidRPr="00E3482E" w:rsidRDefault="00F437E8" w:rsidP="008779A3">
            <w:pPr>
              <w:pStyle w:val="Text"/>
              <w:spacing w:line="269" w:lineRule="auto"/>
              <w:jc w:val="center"/>
              <w:rPr>
                <w:color w:val="000000"/>
                <w:sz w:val="22"/>
                <w:szCs w:val="22"/>
              </w:rPr>
            </w:pPr>
            <w:r w:rsidRPr="00E3482E">
              <w:rPr>
                <w:color w:val="000000"/>
                <w:sz w:val="22"/>
                <w:szCs w:val="22"/>
              </w:rPr>
              <w:t>0.0040</w:t>
            </w:r>
          </w:p>
          <w:p w:rsidR="00F437E8" w:rsidRPr="00E3482E" w:rsidRDefault="00F437E8" w:rsidP="00F437E8">
            <w:pPr>
              <w:pStyle w:val="Text"/>
              <w:spacing w:before="40" w:line="269" w:lineRule="auto"/>
              <w:jc w:val="center"/>
              <w:rPr>
                <w:color w:val="000000"/>
                <w:sz w:val="22"/>
                <w:szCs w:val="22"/>
              </w:rPr>
            </w:pPr>
            <w:r w:rsidRPr="00E3482E">
              <w:rPr>
                <w:color w:val="000000"/>
                <w:sz w:val="22"/>
                <w:szCs w:val="22"/>
              </w:rPr>
              <w:t>&lt;0.0001</w:t>
            </w:r>
          </w:p>
        </w:tc>
        <w:tc>
          <w:tcPr>
            <w:tcW w:w="1276" w:type="dxa"/>
            <w:tcBorders>
              <w:top w:val="nil"/>
              <w:left w:val="single" w:sz="4" w:space="0" w:color="auto"/>
              <w:bottom w:val="nil"/>
              <w:right w:val="single" w:sz="4" w:space="0" w:color="auto"/>
            </w:tcBorders>
            <w:shd w:val="clear" w:color="auto" w:fill="FFFFFF"/>
          </w:tcPr>
          <w:p w:rsidR="008779A3" w:rsidRPr="00E3482E" w:rsidRDefault="00F437E8" w:rsidP="008779A3">
            <w:pPr>
              <w:pStyle w:val="Text"/>
              <w:spacing w:line="269" w:lineRule="auto"/>
              <w:jc w:val="center"/>
              <w:rPr>
                <w:color w:val="000000"/>
                <w:sz w:val="22"/>
                <w:szCs w:val="22"/>
              </w:rPr>
            </w:pPr>
            <w:r w:rsidRPr="00E3482E">
              <w:rPr>
                <w:color w:val="000000"/>
                <w:sz w:val="22"/>
                <w:szCs w:val="22"/>
              </w:rPr>
              <w:t>20.7</w:t>
            </w:r>
          </w:p>
          <w:p w:rsidR="00F437E8" w:rsidRPr="00E3482E" w:rsidRDefault="00F437E8" w:rsidP="00F437E8">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nil"/>
              <w:right w:val="single" w:sz="4" w:space="0" w:color="auto"/>
            </w:tcBorders>
            <w:shd w:val="clear" w:color="auto" w:fill="FFFFFF"/>
          </w:tcPr>
          <w:p w:rsidR="008779A3" w:rsidRPr="00E3482E" w:rsidRDefault="00F437E8" w:rsidP="008779A3">
            <w:pPr>
              <w:pStyle w:val="Text"/>
              <w:spacing w:line="269" w:lineRule="auto"/>
              <w:jc w:val="center"/>
              <w:rPr>
                <w:color w:val="000000"/>
                <w:sz w:val="22"/>
                <w:szCs w:val="22"/>
              </w:rPr>
            </w:pPr>
            <w:r w:rsidRPr="00E3482E">
              <w:rPr>
                <w:color w:val="000000"/>
                <w:sz w:val="22"/>
                <w:szCs w:val="22"/>
              </w:rPr>
              <w:t>0.61 [0.43, 0.85]</w:t>
            </w:r>
          </w:p>
          <w:p w:rsidR="00F437E8" w:rsidRPr="00E3482E" w:rsidRDefault="00F437E8" w:rsidP="00F437E8">
            <w:pPr>
              <w:pStyle w:val="Text"/>
              <w:spacing w:before="40" w:line="269" w:lineRule="auto"/>
              <w:jc w:val="center"/>
              <w:rPr>
                <w:color w:val="000000"/>
                <w:sz w:val="22"/>
                <w:szCs w:val="22"/>
              </w:rPr>
            </w:pPr>
            <w:r w:rsidRPr="00E3482E">
              <w:rPr>
                <w:color w:val="000000"/>
                <w:sz w:val="22"/>
                <w:szCs w:val="22"/>
              </w:rPr>
              <w:t>0.56 [0.45, 0.70]</w:t>
            </w:r>
          </w:p>
        </w:tc>
      </w:tr>
      <w:tr w:rsidR="00F437E8" w:rsidRPr="00E3482E" w:rsidTr="00E6115D">
        <w:tc>
          <w:tcPr>
            <w:tcW w:w="2515" w:type="dxa"/>
            <w:tcBorders>
              <w:top w:val="nil"/>
              <w:left w:val="single" w:sz="4" w:space="0" w:color="auto"/>
              <w:bottom w:val="nil"/>
              <w:right w:val="single" w:sz="4" w:space="0" w:color="auto"/>
            </w:tcBorders>
            <w:shd w:val="clear" w:color="auto" w:fill="FFFFFF"/>
          </w:tcPr>
          <w:p w:rsidR="00F437E8" w:rsidRPr="00E3482E" w:rsidRDefault="00E6115D" w:rsidP="008779A3">
            <w:pPr>
              <w:pStyle w:val="Text"/>
              <w:spacing w:line="269" w:lineRule="auto"/>
              <w:jc w:val="left"/>
              <w:rPr>
                <w:color w:val="000000"/>
                <w:sz w:val="22"/>
                <w:szCs w:val="22"/>
              </w:rPr>
            </w:pPr>
            <w:r w:rsidRPr="00E3482E">
              <w:rPr>
                <w:color w:val="000000"/>
                <w:sz w:val="22"/>
                <w:szCs w:val="22"/>
              </w:rPr>
              <w:t>Disease free survival**</w:t>
            </w:r>
          </w:p>
        </w:tc>
        <w:tc>
          <w:tcPr>
            <w:tcW w:w="1134" w:type="dxa"/>
            <w:tcBorders>
              <w:top w:val="nil"/>
              <w:left w:val="single" w:sz="4" w:space="0" w:color="auto"/>
              <w:bottom w:val="nil"/>
              <w:right w:val="single" w:sz="4" w:space="0" w:color="auto"/>
            </w:tcBorders>
            <w:shd w:val="clear" w:color="auto" w:fill="FFFFFF"/>
          </w:tcPr>
          <w:p w:rsidR="00F437E8" w:rsidRPr="00E3482E" w:rsidRDefault="00E6115D" w:rsidP="008779A3">
            <w:pPr>
              <w:pStyle w:val="Text"/>
              <w:spacing w:line="269" w:lineRule="auto"/>
              <w:jc w:val="center"/>
              <w:rPr>
                <w:color w:val="000000"/>
                <w:sz w:val="22"/>
                <w:szCs w:val="22"/>
              </w:rPr>
            </w:pPr>
            <w:r w:rsidRPr="00E3482E">
              <w:rPr>
                <w:color w:val="000000"/>
                <w:sz w:val="22"/>
                <w:szCs w:val="22"/>
              </w:rPr>
              <w:t>NR</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48.9</w:t>
            </w:r>
          </w:p>
        </w:tc>
        <w:tc>
          <w:tcPr>
            <w:tcW w:w="1134" w:type="dxa"/>
            <w:tcBorders>
              <w:top w:val="nil"/>
              <w:left w:val="single" w:sz="4" w:space="0" w:color="auto"/>
              <w:bottom w:val="nil"/>
              <w:right w:val="single" w:sz="4" w:space="0" w:color="auto"/>
            </w:tcBorders>
            <w:shd w:val="clear" w:color="auto" w:fill="FFFFFF"/>
          </w:tcPr>
          <w:p w:rsidR="00F437E8" w:rsidRPr="00E3482E" w:rsidRDefault="00E6115D" w:rsidP="008779A3">
            <w:pPr>
              <w:pStyle w:val="Text"/>
              <w:spacing w:line="269" w:lineRule="auto"/>
              <w:jc w:val="center"/>
              <w:rPr>
                <w:color w:val="000000"/>
                <w:sz w:val="22"/>
                <w:szCs w:val="22"/>
              </w:rPr>
            </w:pPr>
            <w:r w:rsidRPr="00E3482E">
              <w:rPr>
                <w:color w:val="000000"/>
                <w:sz w:val="22"/>
                <w:szCs w:val="22"/>
              </w:rPr>
              <w:t>NR</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60.3</w:t>
            </w:r>
          </w:p>
        </w:tc>
        <w:tc>
          <w:tcPr>
            <w:tcW w:w="1276" w:type="dxa"/>
            <w:tcBorders>
              <w:top w:val="nil"/>
              <w:left w:val="single" w:sz="4" w:space="0" w:color="auto"/>
              <w:bottom w:val="nil"/>
              <w:right w:val="single" w:sz="4" w:space="0" w:color="auto"/>
            </w:tcBorders>
            <w:shd w:val="clear" w:color="auto" w:fill="FFFFFF"/>
          </w:tcPr>
          <w:p w:rsidR="00F437E8" w:rsidRPr="00E3482E" w:rsidRDefault="00E6115D" w:rsidP="008779A3">
            <w:pPr>
              <w:pStyle w:val="Text"/>
              <w:spacing w:line="269" w:lineRule="auto"/>
              <w:jc w:val="center"/>
              <w:rPr>
                <w:color w:val="000000"/>
                <w:sz w:val="22"/>
                <w:szCs w:val="22"/>
              </w:rPr>
            </w:pPr>
            <w:r w:rsidRPr="00E3482E">
              <w:rPr>
                <w:color w:val="000000"/>
                <w:sz w:val="22"/>
                <w:szCs w:val="22"/>
              </w:rPr>
              <w:t>0.7882</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0.0520</w:t>
            </w:r>
          </w:p>
        </w:tc>
        <w:tc>
          <w:tcPr>
            <w:tcW w:w="1276" w:type="dxa"/>
            <w:tcBorders>
              <w:top w:val="nil"/>
              <w:left w:val="single" w:sz="4" w:space="0" w:color="auto"/>
              <w:bottom w:val="nil"/>
              <w:right w:val="single" w:sz="4" w:space="0" w:color="auto"/>
            </w:tcBorders>
            <w:shd w:val="clear" w:color="auto" w:fill="FFFFFF"/>
          </w:tcPr>
          <w:p w:rsidR="00F437E8" w:rsidRPr="00E3482E" w:rsidRDefault="00E6115D" w:rsidP="008779A3">
            <w:pPr>
              <w:pStyle w:val="Text"/>
              <w:spacing w:line="269" w:lineRule="auto"/>
              <w:jc w:val="center"/>
              <w:rPr>
                <w:color w:val="000000"/>
                <w:sz w:val="22"/>
                <w:szCs w:val="22"/>
              </w:rPr>
            </w:pPr>
            <w:r w:rsidRPr="00E3482E">
              <w:rPr>
                <w:color w:val="000000"/>
                <w:sz w:val="22"/>
                <w:szCs w:val="22"/>
              </w:rPr>
              <w:t>20.7</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nil"/>
              <w:right w:val="single" w:sz="4" w:space="0" w:color="auto"/>
            </w:tcBorders>
            <w:shd w:val="clear" w:color="auto" w:fill="FFFFFF"/>
          </w:tcPr>
          <w:p w:rsidR="00F437E8" w:rsidRPr="00E3482E" w:rsidRDefault="00E6115D" w:rsidP="008779A3">
            <w:pPr>
              <w:pStyle w:val="Text"/>
              <w:spacing w:line="269" w:lineRule="auto"/>
              <w:jc w:val="center"/>
              <w:rPr>
                <w:color w:val="000000"/>
                <w:sz w:val="22"/>
                <w:szCs w:val="22"/>
              </w:rPr>
            </w:pPr>
            <w:r w:rsidRPr="00E3482E">
              <w:rPr>
                <w:color w:val="000000"/>
                <w:sz w:val="22"/>
                <w:szCs w:val="22"/>
              </w:rPr>
              <w:t>0.93 [0.44, 1.96]</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0.69 [0.47, 1.01]</w:t>
            </w:r>
          </w:p>
        </w:tc>
      </w:tr>
      <w:tr w:rsidR="00E6115D" w:rsidRPr="00E3482E" w:rsidTr="00E6115D">
        <w:tc>
          <w:tcPr>
            <w:tcW w:w="2515" w:type="dxa"/>
            <w:tcBorders>
              <w:top w:val="nil"/>
              <w:left w:val="single" w:sz="4" w:space="0" w:color="auto"/>
              <w:bottom w:val="single" w:sz="4" w:space="0" w:color="auto"/>
              <w:right w:val="single" w:sz="4" w:space="0" w:color="auto"/>
            </w:tcBorders>
            <w:shd w:val="clear" w:color="auto" w:fill="FFFFFF"/>
          </w:tcPr>
          <w:p w:rsidR="00E6115D" w:rsidRPr="00E3482E" w:rsidRDefault="00E6115D" w:rsidP="008779A3">
            <w:pPr>
              <w:pStyle w:val="Text"/>
              <w:spacing w:line="269" w:lineRule="auto"/>
              <w:jc w:val="left"/>
              <w:rPr>
                <w:color w:val="000000"/>
                <w:sz w:val="22"/>
                <w:szCs w:val="22"/>
              </w:rPr>
            </w:pPr>
            <w:r w:rsidRPr="00E3482E">
              <w:rPr>
                <w:color w:val="000000"/>
                <w:sz w:val="22"/>
                <w:szCs w:val="22"/>
              </w:rPr>
              <w:t>Time to new CLL treatment</w:t>
            </w:r>
          </w:p>
        </w:tc>
        <w:tc>
          <w:tcPr>
            <w:tcW w:w="1134" w:type="dxa"/>
            <w:tcBorders>
              <w:top w:val="nil"/>
              <w:left w:val="single" w:sz="4" w:space="0" w:color="auto"/>
              <w:bottom w:val="single" w:sz="4" w:space="0" w:color="auto"/>
              <w:right w:val="single" w:sz="4" w:space="0" w:color="auto"/>
            </w:tcBorders>
            <w:shd w:val="clear" w:color="auto" w:fill="FFFFFF"/>
          </w:tcPr>
          <w:p w:rsidR="00E6115D" w:rsidRPr="00E3482E" w:rsidRDefault="00E6115D" w:rsidP="008779A3">
            <w:pPr>
              <w:pStyle w:val="Text"/>
              <w:spacing w:line="269" w:lineRule="auto"/>
              <w:jc w:val="center"/>
              <w:rPr>
                <w:color w:val="000000"/>
                <w:sz w:val="22"/>
                <w:szCs w:val="22"/>
              </w:rPr>
            </w:pPr>
            <w:r w:rsidRPr="00E3482E">
              <w:rPr>
                <w:color w:val="000000"/>
                <w:sz w:val="22"/>
                <w:szCs w:val="22"/>
              </w:rPr>
              <w:t>NR</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47.2</w:t>
            </w:r>
          </w:p>
        </w:tc>
        <w:tc>
          <w:tcPr>
            <w:tcW w:w="1134" w:type="dxa"/>
            <w:tcBorders>
              <w:top w:val="nil"/>
              <w:left w:val="single" w:sz="4" w:space="0" w:color="auto"/>
              <w:bottom w:val="single" w:sz="4" w:space="0" w:color="auto"/>
              <w:right w:val="single" w:sz="4" w:space="0" w:color="auto"/>
            </w:tcBorders>
            <w:shd w:val="clear" w:color="auto" w:fill="FFFFFF"/>
          </w:tcPr>
          <w:p w:rsidR="00E6115D" w:rsidRPr="00E3482E" w:rsidRDefault="00E6115D" w:rsidP="008779A3">
            <w:pPr>
              <w:pStyle w:val="Text"/>
              <w:spacing w:line="269" w:lineRule="auto"/>
              <w:jc w:val="center"/>
              <w:rPr>
                <w:color w:val="000000"/>
                <w:sz w:val="22"/>
                <w:szCs w:val="22"/>
              </w:rPr>
            </w:pPr>
            <w:r w:rsidRPr="00E3482E">
              <w:rPr>
                <w:color w:val="000000"/>
                <w:sz w:val="22"/>
                <w:szCs w:val="22"/>
              </w:rPr>
              <w:t xml:space="preserve">NR </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69.7</w:t>
            </w:r>
          </w:p>
        </w:tc>
        <w:tc>
          <w:tcPr>
            <w:tcW w:w="1276" w:type="dxa"/>
            <w:tcBorders>
              <w:top w:val="nil"/>
              <w:left w:val="single" w:sz="4" w:space="0" w:color="auto"/>
              <w:bottom w:val="single" w:sz="4" w:space="0" w:color="auto"/>
              <w:right w:val="single" w:sz="4" w:space="0" w:color="auto"/>
            </w:tcBorders>
            <w:shd w:val="clear" w:color="auto" w:fill="FFFFFF"/>
          </w:tcPr>
          <w:p w:rsidR="00E6115D" w:rsidRPr="00E3482E" w:rsidRDefault="00E6115D" w:rsidP="008779A3">
            <w:pPr>
              <w:pStyle w:val="Text"/>
              <w:spacing w:line="269" w:lineRule="auto"/>
              <w:jc w:val="center"/>
              <w:rPr>
                <w:color w:val="000000"/>
                <w:sz w:val="22"/>
                <w:szCs w:val="22"/>
              </w:rPr>
            </w:pPr>
            <w:r w:rsidRPr="00E3482E">
              <w:rPr>
                <w:color w:val="000000"/>
                <w:sz w:val="22"/>
                <w:szCs w:val="22"/>
              </w:rPr>
              <w:t>0.0052</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&lt;0.0001</w:t>
            </w:r>
          </w:p>
        </w:tc>
        <w:tc>
          <w:tcPr>
            <w:tcW w:w="1276" w:type="dxa"/>
            <w:tcBorders>
              <w:top w:val="nil"/>
              <w:left w:val="single" w:sz="4" w:space="0" w:color="auto"/>
              <w:bottom w:val="single" w:sz="4" w:space="0" w:color="auto"/>
              <w:right w:val="single" w:sz="4" w:space="0" w:color="auto"/>
            </w:tcBorders>
            <w:shd w:val="clear" w:color="auto" w:fill="FFFFFF"/>
          </w:tcPr>
          <w:p w:rsidR="00E6115D" w:rsidRPr="00E3482E" w:rsidRDefault="00E6115D" w:rsidP="008779A3">
            <w:pPr>
              <w:pStyle w:val="Text"/>
              <w:spacing w:line="269" w:lineRule="auto"/>
              <w:jc w:val="center"/>
              <w:rPr>
                <w:color w:val="000000"/>
                <w:sz w:val="22"/>
                <w:szCs w:val="22"/>
              </w:rPr>
            </w:pPr>
            <w:r w:rsidRPr="00E3482E">
              <w:rPr>
                <w:color w:val="000000"/>
                <w:sz w:val="22"/>
                <w:szCs w:val="22"/>
              </w:rPr>
              <w:t>20.7</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single" w:sz="4" w:space="0" w:color="auto"/>
              <w:right w:val="single" w:sz="4" w:space="0" w:color="auto"/>
            </w:tcBorders>
            <w:shd w:val="clear" w:color="auto" w:fill="FFFFFF"/>
          </w:tcPr>
          <w:p w:rsidR="00E6115D" w:rsidRPr="00E3482E" w:rsidRDefault="00E6115D" w:rsidP="008779A3">
            <w:pPr>
              <w:pStyle w:val="Text"/>
              <w:spacing w:line="269" w:lineRule="auto"/>
              <w:jc w:val="center"/>
              <w:rPr>
                <w:color w:val="000000"/>
                <w:sz w:val="22"/>
                <w:szCs w:val="22"/>
              </w:rPr>
            </w:pPr>
            <w:r w:rsidRPr="00E3482E">
              <w:rPr>
                <w:color w:val="000000"/>
                <w:sz w:val="22"/>
                <w:szCs w:val="22"/>
              </w:rPr>
              <w:t>0.65 [0.47, 0.90]</w:t>
            </w:r>
          </w:p>
          <w:p w:rsidR="00E6115D" w:rsidRPr="00E3482E" w:rsidRDefault="00E6115D" w:rsidP="00E6115D">
            <w:pPr>
              <w:pStyle w:val="Text"/>
              <w:spacing w:before="40" w:line="269" w:lineRule="auto"/>
              <w:jc w:val="center"/>
              <w:rPr>
                <w:color w:val="000000"/>
                <w:sz w:val="22"/>
                <w:szCs w:val="22"/>
              </w:rPr>
            </w:pPr>
            <w:r w:rsidRPr="00E3482E">
              <w:rPr>
                <w:color w:val="000000"/>
                <w:sz w:val="22"/>
                <w:szCs w:val="22"/>
              </w:rPr>
              <w:t>0.58 [0.47, 0.72]</w:t>
            </w:r>
          </w:p>
        </w:tc>
      </w:tr>
    </w:tbl>
    <w:p w:rsidR="00E6115D" w:rsidRPr="00E3482E" w:rsidRDefault="00E6115D" w:rsidP="009A42F2">
      <w:pPr>
        <w:pStyle w:val="Text"/>
        <w:keepNext/>
        <w:tabs>
          <w:tab w:val="left" w:pos="426"/>
        </w:tabs>
        <w:spacing w:before="60" w:line="259" w:lineRule="auto"/>
        <w:rPr>
          <w:i/>
          <w:color w:val="000000"/>
          <w:sz w:val="20"/>
          <w:szCs w:val="20"/>
          <w:lang w:val="en-GB"/>
        </w:rPr>
      </w:pPr>
      <w:r w:rsidRPr="00E3482E">
        <w:rPr>
          <w:color w:val="000000"/>
          <w:vertAlign w:val="superscript"/>
          <w:lang w:val="en-GB"/>
        </w:rPr>
        <w:t>*</w:t>
      </w:r>
      <w:r w:rsidRPr="00E3482E">
        <w:rPr>
          <w:i/>
          <w:color w:val="000000"/>
          <w:sz w:val="20"/>
          <w:szCs w:val="20"/>
          <w:lang w:val="en-GB"/>
        </w:rPr>
        <w:t xml:space="preserve"> </w:t>
      </w:r>
      <w:r w:rsidRPr="00E3482E">
        <w:rPr>
          <w:i/>
          <w:color w:val="000000"/>
          <w:sz w:val="20"/>
          <w:szCs w:val="20"/>
          <w:lang w:val="en-GB"/>
        </w:rPr>
        <w:tab/>
      </w:r>
      <w:proofErr w:type="gramStart"/>
      <w:r w:rsidRPr="00E3482E">
        <w:rPr>
          <w:i/>
          <w:color w:val="000000"/>
          <w:sz w:val="20"/>
          <w:szCs w:val="20"/>
          <w:lang w:val="en-GB"/>
        </w:rPr>
        <w:t>only</w:t>
      </w:r>
      <w:proofErr w:type="gramEnd"/>
      <w:r w:rsidRPr="00E3482E">
        <w:rPr>
          <w:i/>
          <w:color w:val="000000"/>
          <w:sz w:val="20"/>
          <w:szCs w:val="20"/>
          <w:lang w:val="en-GB"/>
        </w:rPr>
        <w:t xml:space="preserve"> applicable to patients with CR, </w:t>
      </w:r>
      <w:proofErr w:type="spellStart"/>
      <w:r w:rsidRPr="00E3482E">
        <w:rPr>
          <w:i/>
          <w:color w:val="000000"/>
          <w:sz w:val="20"/>
          <w:szCs w:val="20"/>
          <w:lang w:val="en-GB"/>
        </w:rPr>
        <w:t>nPR</w:t>
      </w:r>
      <w:proofErr w:type="spellEnd"/>
      <w:r w:rsidRPr="00E3482E">
        <w:rPr>
          <w:i/>
          <w:color w:val="000000"/>
          <w:sz w:val="20"/>
          <w:szCs w:val="20"/>
          <w:lang w:val="en-GB"/>
        </w:rPr>
        <w:t xml:space="preserve"> or PR as end-of-treatment response </w:t>
      </w:r>
    </w:p>
    <w:p w:rsidR="00E6115D" w:rsidRPr="00E3482E" w:rsidRDefault="00E6115D" w:rsidP="009A42F2">
      <w:pPr>
        <w:pStyle w:val="Text"/>
        <w:keepNext/>
        <w:tabs>
          <w:tab w:val="left" w:pos="426"/>
        </w:tabs>
        <w:spacing w:before="0" w:line="259" w:lineRule="auto"/>
        <w:rPr>
          <w:i/>
          <w:color w:val="000000"/>
          <w:sz w:val="20"/>
          <w:szCs w:val="20"/>
          <w:lang w:val="en-GB"/>
        </w:rPr>
      </w:pPr>
      <w:r w:rsidRPr="00E3482E">
        <w:rPr>
          <w:color w:val="000000"/>
          <w:vertAlign w:val="superscript"/>
          <w:lang w:val="en-GB"/>
        </w:rPr>
        <w:t>***</w:t>
      </w:r>
      <w:r w:rsidRPr="00E3482E">
        <w:rPr>
          <w:i/>
          <w:color w:val="000000"/>
          <w:sz w:val="20"/>
          <w:szCs w:val="20"/>
          <w:lang w:val="en-GB"/>
        </w:rPr>
        <w:t xml:space="preserve"> </w:t>
      </w:r>
      <w:r w:rsidRPr="00E3482E">
        <w:rPr>
          <w:i/>
          <w:color w:val="000000"/>
          <w:sz w:val="20"/>
          <w:szCs w:val="20"/>
          <w:lang w:val="en-GB"/>
        </w:rPr>
        <w:tab/>
      </w:r>
      <w:proofErr w:type="gramStart"/>
      <w:r w:rsidRPr="00E3482E">
        <w:rPr>
          <w:i/>
          <w:color w:val="000000"/>
          <w:sz w:val="20"/>
          <w:szCs w:val="20"/>
          <w:lang w:val="en-GB"/>
        </w:rPr>
        <w:t>only</w:t>
      </w:r>
      <w:proofErr w:type="gramEnd"/>
      <w:r w:rsidRPr="00E3482E">
        <w:rPr>
          <w:i/>
          <w:color w:val="000000"/>
          <w:sz w:val="20"/>
          <w:szCs w:val="20"/>
          <w:lang w:val="en-GB"/>
        </w:rPr>
        <w:t xml:space="preserve"> applicable to patients with CR as end-of-treatment response </w:t>
      </w:r>
    </w:p>
    <w:p w:rsidR="00E6115D" w:rsidRPr="00E3482E" w:rsidRDefault="00E6115D" w:rsidP="009A42F2">
      <w:pPr>
        <w:pStyle w:val="Text"/>
        <w:keepNext/>
        <w:tabs>
          <w:tab w:val="left" w:pos="426"/>
        </w:tabs>
        <w:spacing w:before="0" w:line="259" w:lineRule="auto"/>
        <w:rPr>
          <w:i/>
          <w:color w:val="000000"/>
          <w:sz w:val="20"/>
          <w:szCs w:val="20"/>
          <w:lang w:val="en-GB"/>
        </w:rPr>
      </w:pPr>
      <w:r w:rsidRPr="00E3482E">
        <w:rPr>
          <w:color w:val="000000"/>
          <w:vertAlign w:val="superscript"/>
          <w:lang w:val="en-GB"/>
        </w:rPr>
        <w:t>***</w:t>
      </w:r>
      <w:r w:rsidRPr="00E3482E">
        <w:rPr>
          <w:i/>
          <w:color w:val="000000"/>
          <w:sz w:val="20"/>
          <w:szCs w:val="20"/>
          <w:lang w:val="en-GB"/>
        </w:rPr>
        <w:t xml:space="preserve"> </w:t>
      </w:r>
      <w:r w:rsidRPr="00E3482E">
        <w:rPr>
          <w:i/>
          <w:color w:val="000000"/>
          <w:sz w:val="20"/>
          <w:szCs w:val="20"/>
          <w:lang w:val="en-GB"/>
        </w:rPr>
        <w:tab/>
        <w:t xml:space="preserve">ITT population: 409 FC, 408 R-FC </w:t>
      </w:r>
    </w:p>
    <w:p w:rsidR="00E6115D" w:rsidRPr="00E3482E" w:rsidRDefault="00E6115D" w:rsidP="009A42F2">
      <w:pPr>
        <w:pStyle w:val="Text"/>
        <w:keepNext/>
        <w:spacing w:before="40" w:line="259" w:lineRule="auto"/>
        <w:rPr>
          <w:i/>
          <w:color w:val="000000"/>
          <w:sz w:val="20"/>
          <w:szCs w:val="20"/>
          <w:lang w:val="en-GB"/>
        </w:rPr>
      </w:pPr>
      <w:r w:rsidRPr="00E3482E">
        <w:rPr>
          <w:i/>
          <w:color w:val="000000"/>
          <w:sz w:val="20"/>
          <w:szCs w:val="20"/>
          <w:lang w:val="en-GB"/>
        </w:rPr>
        <w:t>Response rate and CR rates analysed using Chi-squared Test.</w:t>
      </w:r>
    </w:p>
    <w:p w:rsidR="00E6115D" w:rsidRPr="00E3482E" w:rsidRDefault="00E6115D" w:rsidP="009A42F2">
      <w:pPr>
        <w:spacing w:before="40" w:line="259" w:lineRule="auto"/>
        <w:jc w:val="both"/>
        <w:rPr>
          <w:color w:val="000000"/>
          <w:lang w:val="en-GB"/>
        </w:rPr>
      </w:pPr>
      <w:r w:rsidRPr="00E3482E">
        <w:rPr>
          <w:i/>
          <w:color w:val="000000"/>
          <w:sz w:val="20"/>
          <w:szCs w:val="20"/>
          <w:lang w:val="en-GB"/>
        </w:rPr>
        <w:t>Standard definitions and assessments for response were used in accordance with the National Cancer Institute-sponsored Working Group guidelines for CLL.</w:t>
      </w:r>
    </w:p>
    <w:p w:rsidR="00E6115D" w:rsidRPr="00E3482E" w:rsidRDefault="00E6115D" w:rsidP="009A42F2">
      <w:pPr>
        <w:spacing w:before="40" w:line="259" w:lineRule="auto"/>
        <w:ind w:left="1440" w:hanging="1440"/>
        <w:jc w:val="both"/>
        <w:rPr>
          <w:color w:val="000000"/>
          <w:lang w:val="en-GB"/>
        </w:rPr>
      </w:pPr>
      <w:r w:rsidRPr="00E3482E">
        <w:rPr>
          <w:i/>
          <w:color w:val="000000"/>
          <w:sz w:val="20"/>
          <w:szCs w:val="20"/>
          <w:lang w:val="en-GB"/>
        </w:rPr>
        <w:t>Abbreviations:</w:t>
      </w:r>
      <w:r w:rsidRPr="00E3482E">
        <w:rPr>
          <w:i/>
          <w:color w:val="000000"/>
          <w:sz w:val="20"/>
          <w:szCs w:val="20"/>
          <w:lang w:val="en-GB"/>
        </w:rPr>
        <w:tab/>
        <w:t xml:space="preserve">CR – complete response; </w:t>
      </w:r>
      <w:proofErr w:type="spellStart"/>
      <w:proofErr w:type="gramStart"/>
      <w:r w:rsidRPr="00E3482E">
        <w:rPr>
          <w:i/>
          <w:color w:val="000000"/>
          <w:sz w:val="20"/>
          <w:szCs w:val="20"/>
          <w:lang w:val="en-GB"/>
        </w:rPr>
        <w:t>nPR</w:t>
      </w:r>
      <w:proofErr w:type="spellEnd"/>
      <w:proofErr w:type="gramEnd"/>
      <w:r w:rsidRPr="00E3482E">
        <w:rPr>
          <w:i/>
          <w:color w:val="000000"/>
          <w:sz w:val="20"/>
          <w:szCs w:val="20"/>
          <w:lang w:val="en-GB"/>
        </w:rPr>
        <w:t xml:space="preserve"> – nodular partial response; PR – partial response; NA – not available; NR – not reached </w:t>
      </w:r>
    </w:p>
    <w:p w:rsidR="005C4EF3" w:rsidRPr="00E3482E" w:rsidRDefault="005C4EF3" w:rsidP="00094B27">
      <w:pPr>
        <w:pStyle w:val="Tabletitle"/>
        <w:spacing w:before="200" w:line="280" w:lineRule="atLeast"/>
        <w:ind w:left="907" w:hanging="907"/>
        <w:rPr>
          <w:color w:val="000000"/>
          <w:sz w:val="23"/>
          <w:szCs w:val="23"/>
        </w:rPr>
      </w:pPr>
      <w:r w:rsidRPr="00E3482E">
        <w:rPr>
          <w:color w:val="000000"/>
          <w:sz w:val="23"/>
          <w:szCs w:val="23"/>
        </w:rPr>
        <w:t xml:space="preserve">Table 7: </w:t>
      </w:r>
      <w:r w:rsidRPr="00E3482E">
        <w:rPr>
          <w:color w:val="000000"/>
          <w:sz w:val="23"/>
          <w:szCs w:val="23"/>
        </w:rPr>
        <w:tab/>
        <w:t xml:space="preserve">Hazard ratios of PFS according to </w:t>
      </w:r>
      <w:proofErr w:type="spellStart"/>
      <w:r w:rsidRPr="00E3482E">
        <w:rPr>
          <w:color w:val="000000"/>
          <w:sz w:val="23"/>
          <w:szCs w:val="23"/>
        </w:rPr>
        <w:t>Binet</w:t>
      </w:r>
      <w:proofErr w:type="spellEnd"/>
      <w:r w:rsidRPr="00E3482E">
        <w:rPr>
          <w:color w:val="000000"/>
          <w:sz w:val="23"/>
          <w:szCs w:val="23"/>
        </w:rPr>
        <w:t xml:space="preserve"> stage (ITT) (20.7 and 48.1 </w:t>
      </w:r>
      <w:proofErr w:type="gramStart"/>
      <w:r w:rsidRPr="00E3482E">
        <w:rPr>
          <w:color w:val="000000"/>
          <w:sz w:val="23"/>
          <w:szCs w:val="23"/>
        </w:rPr>
        <w:t>months</w:t>
      </w:r>
      <w:proofErr w:type="gramEnd"/>
      <w:r w:rsidRPr="00E3482E">
        <w:rPr>
          <w:color w:val="000000"/>
          <w:sz w:val="23"/>
          <w:szCs w:val="23"/>
        </w:rPr>
        <w:t xml:space="preserve"> median observation time)</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134"/>
        <w:gridCol w:w="1134"/>
        <w:gridCol w:w="1276"/>
        <w:gridCol w:w="2126"/>
        <w:gridCol w:w="1276"/>
      </w:tblGrid>
      <w:tr w:rsidR="005C4EF3" w:rsidRPr="00E3482E" w:rsidTr="005C4EF3">
        <w:tc>
          <w:tcPr>
            <w:tcW w:w="2515"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0"/>
              <w:jc w:val="center"/>
              <w:rPr>
                <w:b/>
                <w:color w:val="000000"/>
                <w:sz w:val="22"/>
                <w:szCs w:val="22"/>
              </w:rPr>
            </w:pPr>
            <w:r w:rsidRPr="00E3482E">
              <w:rPr>
                <w:b/>
                <w:color w:val="000000"/>
                <w:sz w:val="22"/>
                <w:szCs w:val="22"/>
              </w:rPr>
              <w:t>Progression-free survival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240" w:line="269" w:lineRule="auto"/>
              <w:jc w:val="center"/>
              <w:rPr>
                <w:b/>
                <w:color w:val="000000"/>
                <w:sz w:val="22"/>
                <w:szCs w:val="22"/>
              </w:rPr>
            </w:pPr>
            <w:r w:rsidRPr="00E3482E">
              <w:rPr>
                <w:b/>
                <w:color w:val="000000"/>
                <w:sz w:val="22"/>
                <w:szCs w:val="22"/>
              </w:rPr>
              <w:t>Number of patients</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b/>
                <w:color w:val="000000"/>
                <w:sz w:val="22"/>
                <w:szCs w:val="22"/>
              </w:rPr>
            </w:pPr>
            <w:r w:rsidRPr="00E3482E">
              <w:rPr>
                <w:b/>
                <w:color w:val="000000"/>
                <w:sz w:val="22"/>
                <w:szCs w:val="22"/>
              </w:rPr>
              <w:t>Median Follow-up</w:t>
            </w:r>
          </w:p>
        </w:tc>
        <w:tc>
          <w:tcPr>
            <w:tcW w:w="212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b/>
                <w:color w:val="000000"/>
                <w:sz w:val="22"/>
                <w:szCs w:val="22"/>
              </w:rPr>
            </w:pPr>
            <w:r w:rsidRPr="00E3482E">
              <w:rPr>
                <w:b/>
                <w:color w:val="000000"/>
                <w:sz w:val="22"/>
                <w:szCs w:val="22"/>
              </w:rPr>
              <w:t>Hazard Ratio</w:t>
            </w:r>
          </w:p>
          <w:p w:rsidR="005C4EF3" w:rsidRPr="00E3482E" w:rsidRDefault="005C4EF3" w:rsidP="005C4EF3">
            <w:pPr>
              <w:pStyle w:val="Text"/>
              <w:spacing w:before="0" w:line="269" w:lineRule="auto"/>
              <w:jc w:val="center"/>
              <w:rPr>
                <w:b/>
                <w:color w:val="000000"/>
                <w:sz w:val="22"/>
                <w:szCs w:val="22"/>
              </w:rPr>
            </w:pPr>
            <w:r w:rsidRPr="00E3482E">
              <w:rPr>
                <w:b/>
                <w:color w:val="000000"/>
                <w:sz w:val="22"/>
                <w:szCs w:val="22"/>
              </w:rPr>
              <w:t>R-FC vs FC</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b/>
                <w:color w:val="000000"/>
                <w:sz w:val="22"/>
                <w:szCs w:val="22"/>
              </w:rPr>
            </w:pPr>
            <w:r w:rsidRPr="00E3482E">
              <w:rPr>
                <w:b/>
                <w:color w:val="000000"/>
                <w:sz w:val="22"/>
                <w:szCs w:val="22"/>
              </w:rPr>
              <w:t>Log-Rank p value</w:t>
            </w:r>
          </w:p>
        </w:tc>
      </w:tr>
      <w:tr w:rsidR="005C4EF3" w:rsidRPr="00E3482E" w:rsidTr="005C4EF3">
        <w:tc>
          <w:tcPr>
            <w:tcW w:w="2515"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0"/>
              <w:jc w:val="left"/>
              <w:rPr>
                <w:b/>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0" w:line="269" w:lineRule="auto"/>
              <w:jc w:val="center"/>
              <w:rPr>
                <w:b/>
                <w:color w:val="000000"/>
                <w:sz w:val="22"/>
                <w:szCs w:val="22"/>
              </w:rPr>
            </w:pPr>
            <w:r w:rsidRPr="00E3482E">
              <w:rPr>
                <w:b/>
                <w:color w:val="000000"/>
                <w:sz w:val="22"/>
                <w:szCs w:val="22"/>
              </w:rPr>
              <w:t>FC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0" w:line="269" w:lineRule="auto"/>
              <w:jc w:val="center"/>
              <w:rPr>
                <w:b/>
                <w:color w:val="000000"/>
                <w:sz w:val="22"/>
                <w:szCs w:val="22"/>
              </w:rPr>
            </w:pPr>
            <w:r w:rsidRPr="00E3482E">
              <w:rPr>
                <w:b/>
                <w:color w:val="000000"/>
                <w:sz w:val="22"/>
                <w:szCs w:val="22"/>
              </w:rPr>
              <w:t>R-FC</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0" w:line="269" w:lineRule="auto"/>
              <w:jc w:val="center"/>
              <w:rPr>
                <w:b/>
                <w:color w:val="000000"/>
                <w:sz w:val="22"/>
                <w:szCs w:val="22"/>
              </w:rPr>
            </w:pPr>
            <w:r w:rsidRPr="00E3482E">
              <w:rPr>
                <w:b/>
                <w:color w:val="000000"/>
                <w:sz w:val="22"/>
                <w:szCs w:val="22"/>
              </w:rPr>
              <w:t>(months)</w:t>
            </w:r>
          </w:p>
        </w:tc>
        <w:tc>
          <w:tcPr>
            <w:tcW w:w="212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0" w:line="269" w:lineRule="auto"/>
              <w:jc w:val="center"/>
              <w:rPr>
                <w:b/>
                <w:color w:val="000000"/>
                <w:sz w:val="22"/>
                <w:szCs w:val="22"/>
              </w:rPr>
            </w:pPr>
            <w:r w:rsidRPr="00E3482E">
              <w:rPr>
                <w:b/>
                <w:color w:val="000000"/>
                <w:sz w:val="22"/>
                <w:szCs w:val="22"/>
              </w:rPr>
              <w:t>[95% CI]</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0" w:line="269" w:lineRule="auto"/>
              <w:jc w:val="center"/>
              <w:rPr>
                <w:b/>
                <w:color w:val="000000"/>
                <w:sz w:val="22"/>
                <w:szCs w:val="22"/>
              </w:rPr>
            </w:pPr>
          </w:p>
        </w:tc>
      </w:tr>
      <w:tr w:rsidR="005C4EF3" w:rsidRPr="00E3482E" w:rsidTr="005C4EF3">
        <w:tc>
          <w:tcPr>
            <w:tcW w:w="2515"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left"/>
              <w:rPr>
                <w:color w:val="000000"/>
                <w:sz w:val="22"/>
                <w:szCs w:val="22"/>
              </w:rPr>
            </w:pPr>
            <w:proofErr w:type="spellStart"/>
            <w:r w:rsidRPr="00E3482E">
              <w:rPr>
                <w:color w:val="000000"/>
                <w:sz w:val="22"/>
                <w:szCs w:val="22"/>
              </w:rPr>
              <w:lastRenderedPageBreak/>
              <w:t>Binet</w:t>
            </w:r>
            <w:proofErr w:type="spellEnd"/>
            <w:r w:rsidRPr="00E3482E">
              <w:rPr>
                <w:color w:val="000000"/>
                <w:sz w:val="22"/>
                <w:szCs w:val="22"/>
              </w:rPr>
              <w:t xml:space="preserve"> Stage A</w:t>
            </w:r>
          </w:p>
        </w:tc>
        <w:tc>
          <w:tcPr>
            <w:tcW w:w="1134"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22</w:t>
            </w:r>
          </w:p>
        </w:tc>
        <w:tc>
          <w:tcPr>
            <w:tcW w:w="1134"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18</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20.7</w:t>
            </w:r>
          </w:p>
        </w:tc>
        <w:tc>
          <w:tcPr>
            <w:tcW w:w="212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0.13 [0.03, 0.61]</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0.0025</w:t>
            </w:r>
          </w:p>
        </w:tc>
      </w:tr>
      <w:tr w:rsidR="005C4EF3" w:rsidRPr="00E3482E" w:rsidTr="005C4EF3">
        <w:tc>
          <w:tcPr>
            <w:tcW w:w="2515"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left"/>
              <w:rPr>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22</w:t>
            </w:r>
          </w:p>
        </w:tc>
        <w:tc>
          <w:tcPr>
            <w:tcW w:w="1134"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18</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0.39 [0.15, 0.98]</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0.0370</w:t>
            </w:r>
          </w:p>
        </w:tc>
      </w:tr>
      <w:tr w:rsidR="005C4EF3" w:rsidRPr="00E3482E" w:rsidTr="005C4EF3">
        <w:tc>
          <w:tcPr>
            <w:tcW w:w="2515"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left"/>
              <w:rPr>
                <w:color w:val="000000"/>
                <w:sz w:val="22"/>
                <w:szCs w:val="22"/>
              </w:rPr>
            </w:pPr>
            <w:proofErr w:type="spellStart"/>
            <w:r w:rsidRPr="00E3482E">
              <w:rPr>
                <w:color w:val="000000"/>
                <w:sz w:val="22"/>
                <w:szCs w:val="22"/>
              </w:rPr>
              <w:t>Binet</w:t>
            </w:r>
            <w:proofErr w:type="spellEnd"/>
            <w:r w:rsidRPr="00E3482E">
              <w:rPr>
                <w:color w:val="000000"/>
                <w:sz w:val="22"/>
                <w:szCs w:val="22"/>
              </w:rPr>
              <w:t xml:space="preserve"> Stage B</w:t>
            </w:r>
          </w:p>
        </w:tc>
        <w:tc>
          <w:tcPr>
            <w:tcW w:w="1134"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257</w:t>
            </w:r>
          </w:p>
        </w:tc>
        <w:tc>
          <w:tcPr>
            <w:tcW w:w="1134"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259</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20.7</w:t>
            </w:r>
          </w:p>
        </w:tc>
        <w:tc>
          <w:tcPr>
            <w:tcW w:w="212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0.45 [0.32, 0.63]</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&lt;0.0001</w:t>
            </w:r>
          </w:p>
        </w:tc>
      </w:tr>
      <w:tr w:rsidR="005C4EF3" w:rsidRPr="00E3482E" w:rsidTr="005C4EF3">
        <w:tc>
          <w:tcPr>
            <w:tcW w:w="2515"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left"/>
              <w:rPr>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259</w:t>
            </w:r>
          </w:p>
        </w:tc>
        <w:tc>
          <w:tcPr>
            <w:tcW w:w="1134"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263</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0.52 [0.41, 0.66]</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&lt;0.0001</w:t>
            </w:r>
          </w:p>
        </w:tc>
      </w:tr>
      <w:tr w:rsidR="005C4EF3" w:rsidRPr="00E3482E" w:rsidTr="005C4EF3">
        <w:tc>
          <w:tcPr>
            <w:tcW w:w="2515"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left"/>
              <w:rPr>
                <w:color w:val="000000"/>
                <w:sz w:val="22"/>
                <w:szCs w:val="22"/>
              </w:rPr>
            </w:pPr>
            <w:proofErr w:type="spellStart"/>
            <w:r w:rsidRPr="00E3482E">
              <w:rPr>
                <w:color w:val="000000"/>
                <w:sz w:val="22"/>
                <w:szCs w:val="22"/>
              </w:rPr>
              <w:t>Binet</w:t>
            </w:r>
            <w:proofErr w:type="spellEnd"/>
            <w:r w:rsidRPr="00E3482E">
              <w:rPr>
                <w:color w:val="000000"/>
                <w:sz w:val="22"/>
                <w:szCs w:val="22"/>
              </w:rPr>
              <w:t xml:space="preserve"> Stage C</w:t>
            </w:r>
          </w:p>
        </w:tc>
        <w:tc>
          <w:tcPr>
            <w:tcW w:w="1134"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126</w:t>
            </w:r>
          </w:p>
        </w:tc>
        <w:tc>
          <w:tcPr>
            <w:tcW w:w="1134"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125</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20.7</w:t>
            </w:r>
          </w:p>
        </w:tc>
        <w:tc>
          <w:tcPr>
            <w:tcW w:w="212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0.88 [0.58, 1.33]</w:t>
            </w:r>
          </w:p>
        </w:tc>
        <w:tc>
          <w:tcPr>
            <w:tcW w:w="1276" w:type="dxa"/>
            <w:tcBorders>
              <w:top w:val="single" w:sz="4" w:space="0" w:color="auto"/>
              <w:left w:val="single" w:sz="4" w:space="0" w:color="auto"/>
              <w:bottom w:val="nil"/>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0.5341</w:t>
            </w:r>
          </w:p>
        </w:tc>
      </w:tr>
      <w:tr w:rsidR="005C4EF3" w:rsidRPr="00E3482E" w:rsidTr="005C4EF3">
        <w:tc>
          <w:tcPr>
            <w:tcW w:w="2515"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left"/>
              <w:rPr>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126</w:t>
            </w:r>
          </w:p>
        </w:tc>
        <w:tc>
          <w:tcPr>
            <w:tcW w:w="1134"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126</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48.1*</w:t>
            </w:r>
          </w:p>
        </w:tc>
        <w:tc>
          <w:tcPr>
            <w:tcW w:w="212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0.68 [0.49, 0.95]</w:t>
            </w:r>
          </w:p>
        </w:tc>
        <w:tc>
          <w:tcPr>
            <w:tcW w:w="1276" w:type="dxa"/>
            <w:tcBorders>
              <w:top w:val="nil"/>
              <w:left w:val="single" w:sz="4" w:space="0" w:color="auto"/>
              <w:bottom w:val="single" w:sz="4" w:space="0" w:color="auto"/>
              <w:right w:val="single" w:sz="4" w:space="0" w:color="auto"/>
            </w:tcBorders>
            <w:shd w:val="clear" w:color="auto" w:fill="FFFFFF"/>
          </w:tcPr>
          <w:p w:rsidR="005C4EF3" w:rsidRPr="00E3482E" w:rsidRDefault="005C4EF3" w:rsidP="005C4EF3">
            <w:pPr>
              <w:pStyle w:val="Text"/>
              <w:spacing w:before="40" w:line="269" w:lineRule="auto"/>
              <w:jc w:val="center"/>
              <w:rPr>
                <w:color w:val="000000"/>
                <w:sz w:val="22"/>
                <w:szCs w:val="22"/>
              </w:rPr>
            </w:pPr>
            <w:r w:rsidRPr="00E3482E">
              <w:rPr>
                <w:color w:val="000000"/>
                <w:sz w:val="22"/>
                <w:szCs w:val="22"/>
              </w:rPr>
              <w:t>0.0215</w:t>
            </w:r>
          </w:p>
        </w:tc>
      </w:tr>
    </w:tbl>
    <w:p w:rsidR="00C92347" w:rsidRPr="00E3482E" w:rsidRDefault="00C92347" w:rsidP="009A42F2">
      <w:pPr>
        <w:pStyle w:val="Text"/>
        <w:keepNext/>
        <w:spacing w:before="60" w:line="259" w:lineRule="auto"/>
        <w:rPr>
          <w:i/>
          <w:color w:val="000000"/>
          <w:sz w:val="20"/>
          <w:szCs w:val="20"/>
          <w:lang w:val="en-GB"/>
        </w:rPr>
      </w:pPr>
      <w:r w:rsidRPr="00E3482E">
        <w:rPr>
          <w:color w:val="000000"/>
          <w:vertAlign w:val="superscript"/>
          <w:lang w:val="en-GB"/>
        </w:rPr>
        <w:t>*</w:t>
      </w:r>
      <w:r w:rsidRPr="00E3482E">
        <w:rPr>
          <w:i/>
          <w:color w:val="000000"/>
          <w:sz w:val="20"/>
          <w:szCs w:val="20"/>
          <w:lang w:val="en-GB"/>
        </w:rPr>
        <w:t xml:space="preserve"> ITT population: 409 FC, 408 R-FC </w:t>
      </w:r>
    </w:p>
    <w:p w:rsidR="00C92347" w:rsidRPr="00E3482E" w:rsidRDefault="00C92347" w:rsidP="00C92347">
      <w:pPr>
        <w:spacing w:before="120"/>
        <w:jc w:val="both"/>
        <w:rPr>
          <w:color w:val="000000"/>
          <w:lang w:val="en-GB"/>
        </w:rPr>
      </w:pPr>
      <w:r w:rsidRPr="00E3482E">
        <w:rPr>
          <w:color w:val="000000"/>
          <w:lang w:val="en-GB"/>
        </w:rPr>
        <w:t xml:space="preserve">In a case series of 30 previously untreated patients with CLL, an overall response rate of 97% was achieved with rituximab in combination with </w:t>
      </w:r>
      <w:proofErr w:type="spellStart"/>
      <w:r w:rsidRPr="00E3482E">
        <w:rPr>
          <w:color w:val="000000"/>
          <w:lang w:val="en-GB"/>
        </w:rPr>
        <w:t>fludarabine</w:t>
      </w:r>
      <w:proofErr w:type="spellEnd"/>
      <w:r w:rsidRPr="00E3482E">
        <w:rPr>
          <w:color w:val="000000"/>
          <w:lang w:val="en-GB"/>
        </w:rPr>
        <w:t xml:space="preserve">, cyclophosphamide and </w:t>
      </w:r>
      <w:proofErr w:type="spellStart"/>
      <w:r w:rsidRPr="00E3482E">
        <w:rPr>
          <w:color w:val="000000"/>
          <w:lang w:val="en-GB"/>
        </w:rPr>
        <w:t>mitoxantrone</w:t>
      </w:r>
      <w:proofErr w:type="spellEnd"/>
      <w:r w:rsidRPr="00E3482E">
        <w:rPr>
          <w:color w:val="000000"/>
          <w:lang w:val="en-GB"/>
        </w:rPr>
        <w:t xml:space="preserve"> (FCM). Survival was not reported. In another case series of 64 previously untreated patients with CLL, an overall response rate of 91% and a median PFS of 32.6 months were achieved with rituximab in combination with </w:t>
      </w:r>
      <w:proofErr w:type="spellStart"/>
      <w:r w:rsidRPr="00E3482E">
        <w:rPr>
          <w:color w:val="000000"/>
          <w:lang w:val="en-GB"/>
        </w:rPr>
        <w:t>pentostatin</w:t>
      </w:r>
      <w:proofErr w:type="spellEnd"/>
      <w:r w:rsidRPr="00E3482E">
        <w:rPr>
          <w:color w:val="000000"/>
          <w:lang w:val="en-GB"/>
        </w:rPr>
        <w:t xml:space="preserve"> and cyclophosphamide (PC).</w:t>
      </w:r>
    </w:p>
    <w:p w:rsidR="00D35DD4" w:rsidRPr="00E3482E" w:rsidRDefault="00C92347" w:rsidP="00C92347">
      <w:pPr>
        <w:spacing w:before="120"/>
        <w:jc w:val="both"/>
        <w:rPr>
          <w:color w:val="000000"/>
          <w:lang w:val="en-GB"/>
        </w:rPr>
      </w:pPr>
      <w:r w:rsidRPr="00E3482E">
        <w:rPr>
          <w:color w:val="000000"/>
          <w:lang w:val="en-GB"/>
        </w:rPr>
        <w:t>In the relapsed/refractory study, the median PFS (primary endpoint) was 30.6 months in the R-FC group and 20.6 months in the FC group (p=0.0002, log-rank test). The benefit in terms of PFS was observed in almost all patient subgroups analysed according to disease risk at baseline. A non-significant trend towards improvement in overall survival was reported in the R-FC arm compared to the FC arm.</w:t>
      </w:r>
    </w:p>
    <w:p w:rsidR="00F74ABA" w:rsidRPr="00E3482E" w:rsidRDefault="00F74ABA" w:rsidP="00CE75ED">
      <w:pPr>
        <w:pStyle w:val="Tabletitle"/>
        <w:tabs>
          <w:tab w:val="clear" w:pos="1134"/>
        </w:tabs>
        <w:spacing w:before="200"/>
        <w:ind w:left="907" w:right="-113" w:hanging="907"/>
        <w:rPr>
          <w:color w:val="000000"/>
          <w:sz w:val="23"/>
          <w:szCs w:val="23"/>
        </w:rPr>
      </w:pPr>
      <w:r w:rsidRPr="00E3482E">
        <w:rPr>
          <w:color w:val="000000"/>
          <w:sz w:val="23"/>
          <w:szCs w:val="23"/>
        </w:rPr>
        <w:t xml:space="preserve">Table 8: </w:t>
      </w:r>
      <w:r w:rsidRPr="00E3482E">
        <w:rPr>
          <w:color w:val="000000"/>
          <w:sz w:val="23"/>
          <w:szCs w:val="23"/>
        </w:rPr>
        <w:tab/>
        <w:t xml:space="preserve">Treatment of relapsed/refractory </w:t>
      </w:r>
      <w:r w:rsidR="004E09E0" w:rsidRPr="00E3482E">
        <w:rPr>
          <w:color w:val="000000"/>
          <w:sz w:val="23"/>
          <w:szCs w:val="23"/>
        </w:rPr>
        <w:t>c</w:t>
      </w:r>
      <w:r w:rsidRPr="00E3482E">
        <w:rPr>
          <w:color w:val="000000"/>
          <w:sz w:val="23"/>
          <w:szCs w:val="23"/>
        </w:rPr>
        <w:t xml:space="preserve">hronic </w:t>
      </w:r>
      <w:r w:rsidR="004E09E0" w:rsidRPr="00E3482E">
        <w:rPr>
          <w:color w:val="000000"/>
          <w:sz w:val="23"/>
          <w:szCs w:val="23"/>
        </w:rPr>
        <w:t>l</w:t>
      </w:r>
      <w:r w:rsidRPr="00E3482E">
        <w:rPr>
          <w:color w:val="000000"/>
          <w:sz w:val="23"/>
          <w:szCs w:val="23"/>
        </w:rPr>
        <w:t xml:space="preserve">ymphocytic </w:t>
      </w:r>
      <w:r w:rsidR="004E09E0" w:rsidRPr="00E3482E">
        <w:rPr>
          <w:color w:val="000000"/>
          <w:sz w:val="23"/>
          <w:szCs w:val="23"/>
        </w:rPr>
        <w:t>l</w:t>
      </w:r>
      <w:r w:rsidRPr="00E3482E">
        <w:rPr>
          <w:color w:val="000000"/>
          <w:sz w:val="23"/>
          <w:szCs w:val="23"/>
        </w:rPr>
        <w:t xml:space="preserve">eukaemia </w:t>
      </w:r>
      <w:r w:rsidR="004E09E0" w:rsidRPr="00E3482E">
        <w:rPr>
          <w:color w:val="000000"/>
          <w:sz w:val="23"/>
          <w:szCs w:val="23"/>
        </w:rPr>
        <w:t>-</w:t>
      </w:r>
      <w:r w:rsidRPr="00E3482E">
        <w:rPr>
          <w:color w:val="000000"/>
          <w:sz w:val="23"/>
          <w:szCs w:val="23"/>
        </w:rPr>
        <w:t xml:space="preserve"> overview of efficacy results for rituximab plus FC vs FC alone (25.3 months median observation time)</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6"/>
        <w:gridCol w:w="1417"/>
        <w:gridCol w:w="1276"/>
        <w:gridCol w:w="1276"/>
        <w:gridCol w:w="2126"/>
      </w:tblGrid>
      <w:tr w:rsidR="00F74ABA" w:rsidRPr="00E3482E" w:rsidTr="00F74ABA">
        <w:tc>
          <w:tcPr>
            <w:tcW w:w="3366" w:type="dxa"/>
            <w:tcBorders>
              <w:top w:val="single" w:sz="4" w:space="0" w:color="auto"/>
              <w:left w:val="single" w:sz="4" w:space="0" w:color="auto"/>
              <w:bottom w:val="nil"/>
              <w:right w:val="single" w:sz="4" w:space="0" w:color="auto"/>
            </w:tcBorders>
            <w:shd w:val="clear" w:color="auto" w:fill="FFFFFF"/>
          </w:tcPr>
          <w:p w:rsidR="00F74ABA" w:rsidRPr="00E3482E" w:rsidRDefault="00F74ABA" w:rsidP="00D57FBD">
            <w:pPr>
              <w:pStyle w:val="Text"/>
              <w:spacing w:before="40"/>
              <w:jc w:val="center"/>
              <w:rPr>
                <w:b/>
                <w:color w:val="000000"/>
                <w:sz w:val="22"/>
                <w:szCs w:val="22"/>
              </w:rPr>
            </w:pPr>
            <w:r w:rsidRPr="00E3482E">
              <w:rPr>
                <w:b/>
                <w:color w:val="000000"/>
                <w:sz w:val="22"/>
                <w:szCs w:val="22"/>
              </w:rPr>
              <w:t>Efficacy Parameter</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b/>
                <w:color w:val="000000"/>
                <w:sz w:val="22"/>
                <w:szCs w:val="22"/>
              </w:rPr>
            </w:pPr>
            <w:r w:rsidRPr="00E3482E">
              <w:rPr>
                <w:b/>
                <w:color w:val="000000"/>
                <w:sz w:val="22"/>
                <w:szCs w:val="22"/>
              </w:rPr>
              <w:t>Kaplan-Meier Estimate of Median Time to Event (months)</w:t>
            </w:r>
          </w:p>
        </w:tc>
        <w:tc>
          <w:tcPr>
            <w:tcW w:w="2126" w:type="dxa"/>
            <w:tcBorders>
              <w:top w:val="single" w:sz="4" w:space="0" w:color="auto"/>
              <w:left w:val="single" w:sz="4" w:space="0" w:color="auto"/>
              <w:bottom w:val="nil"/>
              <w:right w:val="single" w:sz="4" w:space="0" w:color="auto"/>
            </w:tcBorders>
            <w:shd w:val="clear" w:color="auto" w:fill="FFFFFF"/>
          </w:tcPr>
          <w:p w:rsidR="00F74ABA" w:rsidRPr="00E3482E" w:rsidRDefault="00F74ABA" w:rsidP="00F74ABA">
            <w:pPr>
              <w:pStyle w:val="Text"/>
              <w:spacing w:line="269" w:lineRule="auto"/>
              <w:jc w:val="center"/>
              <w:rPr>
                <w:b/>
                <w:color w:val="000000"/>
                <w:sz w:val="22"/>
                <w:szCs w:val="22"/>
              </w:rPr>
            </w:pPr>
            <w:r w:rsidRPr="00E3482E">
              <w:rPr>
                <w:b/>
                <w:color w:val="000000"/>
                <w:sz w:val="22"/>
                <w:szCs w:val="22"/>
              </w:rPr>
              <w:t xml:space="preserve">Hazard Ratio </w:t>
            </w:r>
            <w:r w:rsidRPr="00E3482E">
              <w:rPr>
                <w:b/>
                <w:color w:val="000000"/>
                <w:sz w:val="22"/>
                <w:szCs w:val="22"/>
              </w:rPr>
              <w:br/>
              <w:t>R-FC vs FC</w:t>
            </w:r>
          </w:p>
        </w:tc>
      </w:tr>
      <w:tr w:rsidR="00F74ABA" w:rsidRPr="00E3482E" w:rsidTr="00F74ABA">
        <w:tc>
          <w:tcPr>
            <w:tcW w:w="3366" w:type="dxa"/>
            <w:tcBorders>
              <w:top w:val="nil"/>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0"/>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0" w:line="269" w:lineRule="auto"/>
              <w:jc w:val="center"/>
              <w:rPr>
                <w:b/>
                <w:color w:val="000000"/>
                <w:sz w:val="22"/>
                <w:szCs w:val="22"/>
              </w:rPr>
            </w:pPr>
            <w:r w:rsidRPr="00E3482E">
              <w:rPr>
                <w:b/>
                <w:color w:val="000000"/>
                <w:sz w:val="22"/>
                <w:szCs w:val="22"/>
              </w:rPr>
              <w:t>FC</w:t>
            </w:r>
          </w:p>
          <w:p w:rsidR="00F74ABA" w:rsidRPr="00E3482E" w:rsidRDefault="00F74ABA" w:rsidP="00F74ABA">
            <w:pPr>
              <w:pStyle w:val="Text"/>
              <w:spacing w:before="0" w:line="269" w:lineRule="auto"/>
              <w:jc w:val="center"/>
              <w:rPr>
                <w:b/>
                <w:color w:val="000000"/>
                <w:sz w:val="22"/>
                <w:szCs w:val="22"/>
              </w:rPr>
            </w:pPr>
            <w:r w:rsidRPr="00E3482E">
              <w:rPr>
                <w:b/>
                <w:color w:val="000000"/>
                <w:sz w:val="22"/>
                <w:szCs w:val="22"/>
              </w:rPr>
              <w:t>(N=276)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0" w:line="269" w:lineRule="auto"/>
              <w:jc w:val="center"/>
              <w:rPr>
                <w:b/>
                <w:color w:val="000000"/>
                <w:sz w:val="22"/>
                <w:szCs w:val="22"/>
              </w:rPr>
            </w:pPr>
            <w:r w:rsidRPr="00E3482E">
              <w:rPr>
                <w:b/>
                <w:color w:val="000000"/>
                <w:sz w:val="22"/>
                <w:szCs w:val="22"/>
              </w:rPr>
              <w:t>R-FC</w:t>
            </w:r>
          </w:p>
          <w:p w:rsidR="00F74ABA" w:rsidRPr="00E3482E" w:rsidRDefault="00F74ABA" w:rsidP="00F74ABA">
            <w:pPr>
              <w:pStyle w:val="Text"/>
              <w:spacing w:before="0" w:line="269" w:lineRule="auto"/>
              <w:jc w:val="center"/>
              <w:rPr>
                <w:b/>
                <w:color w:val="000000"/>
                <w:sz w:val="22"/>
                <w:szCs w:val="22"/>
              </w:rPr>
            </w:pPr>
            <w:r w:rsidRPr="00E3482E">
              <w:rPr>
                <w:b/>
                <w:color w:val="000000"/>
                <w:sz w:val="22"/>
                <w:szCs w:val="22"/>
              </w:rPr>
              <w:t>(N=276)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0" w:line="269" w:lineRule="auto"/>
              <w:jc w:val="center"/>
              <w:rPr>
                <w:b/>
                <w:color w:val="000000"/>
                <w:sz w:val="22"/>
                <w:szCs w:val="22"/>
              </w:rPr>
            </w:pPr>
            <w:r w:rsidRPr="00E3482E">
              <w:rPr>
                <w:b/>
                <w:color w:val="000000"/>
                <w:sz w:val="22"/>
                <w:szCs w:val="22"/>
              </w:rPr>
              <w:t>Log-Rank p value</w:t>
            </w:r>
          </w:p>
        </w:tc>
        <w:tc>
          <w:tcPr>
            <w:tcW w:w="2126" w:type="dxa"/>
            <w:tcBorders>
              <w:top w:val="nil"/>
              <w:left w:val="single" w:sz="4" w:space="0" w:color="auto"/>
              <w:bottom w:val="single" w:sz="4" w:space="0" w:color="auto"/>
              <w:right w:val="single" w:sz="4" w:space="0" w:color="auto"/>
            </w:tcBorders>
            <w:shd w:val="clear" w:color="auto" w:fill="FFFFFF"/>
          </w:tcPr>
          <w:p w:rsidR="00F74ABA" w:rsidRPr="00E3482E" w:rsidRDefault="00F74ABA" w:rsidP="00F74ABA">
            <w:pPr>
              <w:pStyle w:val="Text"/>
              <w:spacing w:before="0" w:line="269" w:lineRule="auto"/>
              <w:jc w:val="center"/>
              <w:rPr>
                <w:b/>
                <w:color w:val="000000"/>
                <w:sz w:val="22"/>
                <w:szCs w:val="22"/>
              </w:rPr>
            </w:pPr>
            <w:r w:rsidRPr="00E3482E">
              <w:rPr>
                <w:b/>
                <w:color w:val="000000"/>
                <w:sz w:val="22"/>
                <w:szCs w:val="22"/>
              </w:rPr>
              <w:t>[95% CI]</w:t>
            </w:r>
          </w:p>
        </w:tc>
      </w:tr>
      <w:tr w:rsidR="00F74ABA" w:rsidRPr="00E3482E" w:rsidTr="00F74ABA">
        <w:tc>
          <w:tcPr>
            <w:tcW w:w="336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left"/>
              <w:rPr>
                <w:color w:val="000000"/>
                <w:sz w:val="22"/>
                <w:szCs w:val="22"/>
              </w:rPr>
            </w:pPr>
            <w:r w:rsidRPr="00E3482E">
              <w:rPr>
                <w:color w:val="000000"/>
                <w:sz w:val="22"/>
                <w:szCs w:val="22"/>
              </w:rPr>
              <w:t>Progression-free survival</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20.6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0.0002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0.65 [0.51, 0.82]</w:t>
            </w:r>
          </w:p>
        </w:tc>
      </w:tr>
      <w:tr w:rsidR="00F74ABA" w:rsidRPr="00E3482E" w:rsidTr="00F74ABA">
        <w:tc>
          <w:tcPr>
            <w:tcW w:w="336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left"/>
              <w:rPr>
                <w:color w:val="000000"/>
                <w:sz w:val="22"/>
                <w:szCs w:val="22"/>
              </w:rPr>
            </w:pPr>
            <w:r w:rsidRPr="00E3482E">
              <w:rPr>
                <w:color w:val="000000"/>
                <w:sz w:val="22"/>
                <w:szCs w:val="22"/>
              </w:rPr>
              <w:t>Overall Survival</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51.9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NR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0.2874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0.83 [0.59, 1.17]</w:t>
            </w:r>
          </w:p>
        </w:tc>
      </w:tr>
      <w:tr w:rsidR="00F74ABA" w:rsidRPr="00E3482E" w:rsidTr="00F74ABA">
        <w:tc>
          <w:tcPr>
            <w:tcW w:w="3366" w:type="dxa"/>
            <w:tcBorders>
              <w:top w:val="single" w:sz="4" w:space="0" w:color="auto"/>
              <w:left w:val="single" w:sz="4" w:space="0" w:color="auto"/>
              <w:bottom w:val="nil"/>
              <w:right w:val="single" w:sz="4" w:space="0" w:color="auto"/>
            </w:tcBorders>
            <w:shd w:val="clear" w:color="auto" w:fill="FFFFFF"/>
          </w:tcPr>
          <w:p w:rsidR="00F74ABA" w:rsidRPr="00E3482E" w:rsidRDefault="00F74ABA" w:rsidP="00D57FBD">
            <w:pPr>
              <w:pStyle w:val="Text"/>
              <w:spacing w:before="40" w:line="269" w:lineRule="auto"/>
              <w:jc w:val="left"/>
              <w:rPr>
                <w:color w:val="000000"/>
                <w:sz w:val="22"/>
                <w:szCs w:val="22"/>
              </w:rPr>
            </w:pPr>
            <w:r w:rsidRPr="00E3482E">
              <w:rPr>
                <w:color w:val="000000"/>
                <w:sz w:val="22"/>
                <w:szCs w:val="22"/>
              </w:rPr>
              <w:t xml:space="preserve">Response rate (CR, </w:t>
            </w:r>
            <w:proofErr w:type="spellStart"/>
            <w:r w:rsidRPr="00E3482E">
              <w:rPr>
                <w:color w:val="000000"/>
                <w:sz w:val="22"/>
                <w:szCs w:val="22"/>
              </w:rPr>
              <w:t>nPR</w:t>
            </w:r>
            <w:proofErr w:type="spellEnd"/>
            <w:r w:rsidRPr="00E3482E">
              <w:rPr>
                <w:color w:val="000000"/>
                <w:sz w:val="22"/>
                <w:szCs w:val="22"/>
              </w:rPr>
              <w:t>, or PR)</w:t>
            </w:r>
          </w:p>
        </w:tc>
        <w:tc>
          <w:tcPr>
            <w:tcW w:w="1417" w:type="dxa"/>
            <w:tcBorders>
              <w:top w:val="single" w:sz="4" w:space="0" w:color="auto"/>
              <w:left w:val="single" w:sz="4" w:space="0" w:color="auto"/>
              <w:bottom w:val="nil"/>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58.0%</w:t>
            </w:r>
          </w:p>
        </w:tc>
        <w:tc>
          <w:tcPr>
            <w:tcW w:w="1276" w:type="dxa"/>
            <w:tcBorders>
              <w:top w:val="single" w:sz="4" w:space="0" w:color="auto"/>
              <w:left w:val="single" w:sz="4" w:space="0" w:color="auto"/>
              <w:bottom w:val="nil"/>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69.9%</w:t>
            </w:r>
          </w:p>
        </w:tc>
        <w:tc>
          <w:tcPr>
            <w:tcW w:w="1276" w:type="dxa"/>
            <w:tcBorders>
              <w:top w:val="single" w:sz="4" w:space="0" w:color="auto"/>
              <w:left w:val="single" w:sz="4" w:space="0" w:color="auto"/>
              <w:bottom w:val="nil"/>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0.0034</w:t>
            </w:r>
          </w:p>
        </w:tc>
        <w:tc>
          <w:tcPr>
            <w:tcW w:w="2126" w:type="dxa"/>
            <w:tcBorders>
              <w:top w:val="single" w:sz="4" w:space="0" w:color="auto"/>
              <w:left w:val="single" w:sz="4" w:space="0" w:color="auto"/>
              <w:bottom w:val="nil"/>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NA</w:t>
            </w:r>
          </w:p>
        </w:tc>
      </w:tr>
      <w:tr w:rsidR="00F74ABA" w:rsidRPr="00E3482E" w:rsidTr="00F74ABA">
        <w:tc>
          <w:tcPr>
            <w:tcW w:w="3366" w:type="dxa"/>
            <w:tcBorders>
              <w:top w:val="nil"/>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left"/>
              <w:rPr>
                <w:color w:val="000000"/>
                <w:sz w:val="22"/>
                <w:szCs w:val="22"/>
              </w:rPr>
            </w:pPr>
            <w:r w:rsidRPr="00E3482E">
              <w:rPr>
                <w:color w:val="000000"/>
                <w:sz w:val="22"/>
                <w:szCs w:val="22"/>
              </w:rPr>
              <w:t>CR rates</w:t>
            </w:r>
          </w:p>
        </w:tc>
        <w:tc>
          <w:tcPr>
            <w:tcW w:w="1417" w:type="dxa"/>
            <w:tcBorders>
              <w:top w:val="nil"/>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13.0%</w:t>
            </w:r>
          </w:p>
        </w:tc>
        <w:tc>
          <w:tcPr>
            <w:tcW w:w="1276" w:type="dxa"/>
            <w:tcBorders>
              <w:top w:val="nil"/>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24.3%</w:t>
            </w:r>
          </w:p>
        </w:tc>
        <w:tc>
          <w:tcPr>
            <w:tcW w:w="1276" w:type="dxa"/>
            <w:tcBorders>
              <w:top w:val="nil"/>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0.0007</w:t>
            </w:r>
          </w:p>
        </w:tc>
        <w:tc>
          <w:tcPr>
            <w:tcW w:w="2126" w:type="dxa"/>
            <w:tcBorders>
              <w:top w:val="nil"/>
              <w:left w:val="single" w:sz="4" w:space="0" w:color="auto"/>
              <w:bottom w:val="single" w:sz="4" w:space="0" w:color="auto"/>
              <w:right w:val="single" w:sz="4" w:space="0" w:color="auto"/>
            </w:tcBorders>
            <w:shd w:val="clear" w:color="auto" w:fill="FFFFFF"/>
          </w:tcPr>
          <w:p w:rsidR="00F74ABA" w:rsidRPr="00E3482E" w:rsidRDefault="00F74ABA" w:rsidP="00D57FBD">
            <w:pPr>
              <w:pStyle w:val="Text"/>
              <w:spacing w:before="40" w:line="269" w:lineRule="auto"/>
              <w:jc w:val="center"/>
              <w:rPr>
                <w:color w:val="000000"/>
                <w:sz w:val="22"/>
                <w:szCs w:val="22"/>
              </w:rPr>
            </w:pPr>
            <w:r w:rsidRPr="00E3482E">
              <w:rPr>
                <w:color w:val="000000"/>
                <w:sz w:val="22"/>
                <w:szCs w:val="22"/>
              </w:rPr>
              <w:t>NA</w:t>
            </w:r>
          </w:p>
        </w:tc>
      </w:tr>
    </w:tbl>
    <w:p w:rsidR="00F74ABA" w:rsidRPr="00E3482E" w:rsidRDefault="00F74ABA" w:rsidP="009A42F2">
      <w:pPr>
        <w:pStyle w:val="Text"/>
        <w:keepNext/>
        <w:spacing w:before="40" w:line="259" w:lineRule="auto"/>
        <w:rPr>
          <w:i/>
          <w:color w:val="000000"/>
          <w:sz w:val="20"/>
          <w:szCs w:val="20"/>
          <w:lang w:val="en-GB"/>
        </w:rPr>
      </w:pPr>
      <w:r w:rsidRPr="00E3482E">
        <w:rPr>
          <w:i/>
          <w:color w:val="000000"/>
          <w:sz w:val="20"/>
          <w:szCs w:val="20"/>
          <w:lang w:val="en-GB"/>
        </w:rPr>
        <w:t>Response rate and CR rates analysed using Chi-squared Test.</w:t>
      </w:r>
    </w:p>
    <w:p w:rsidR="00F74ABA" w:rsidRPr="00E3482E" w:rsidRDefault="00F74ABA" w:rsidP="009A42F2">
      <w:pPr>
        <w:spacing w:before="40" w:line="259" w:lineRule="auto"/>
        <w:jc w:val="both"/>
        <w:rPr>
          <w:color w:val="000000"/>
          <w:lang w:val="en-GB"/>
        </w:rPr>
      </w:pPr>
      <w:r w:rsidRPr="00E3482E">
        <w:rPr>
          <w:i/>
          <w:color w:val="000000"/>
          <w:sz w:val="20"/>
          <w:szCs w:val="20"/>
          <w:lang w:val="en-GB"/>
        </w:rPr>
        <w:t>Standard definitions and assessments for response were used in accordance with the National Cancer Institute-sponsored Working Group guidelines for CLL.</w:t>
      </w:r>
    </w:p>
    <w:p w:rsidR="00F74ABA" w:rsidRPr="00E3482E" w:rsidRDefault="00F74ABA" w:rsidP="009A42F2">
      <w:pPr>
        <w:spacing w:before="40" w:line="259" w:lineRule="auto"/>
        <w:ind w:left="1440" w:hanging="1440"/>
        <w:jc w:val="both"/>
        <w:rPr>
          <w:color w:val="000000"/>
          <w:lang w:val="en-GB"/>
        </w:rPr>
      </w:pPr>
      <w:r w:rsidRPr="00E3482E">
        <w:rPr>
          <w:i/>
          <w:color w:val="000000"/>
          <w:sz w:val="20"/>
          <w:szCs w:val="20"/>
          <w:lang w:val="en-GB"/>
        </w:rPr>
        <w:t>Abbreviations:</w:t>
      </w:r>
      <w:r w:rsidRPr="00E3482E">
        <w:rPr>
          <w:i/>
          <w:color w:val="000000"/>
          <w:sz w:val="20"/>
          <w:szCs w:val="20"/>
          <w:lang w:val="en-GB"/>
        </w:rPr>
        <w:tab/>
        <w:t xml:space="preserve">CR – complete response; </w:t>
      </w:r>
      <w:proofErr w:type="spellStart"/>
      <w:proofErr w:type="gramStart"/>
      <w:r w:rsidRPr="00E3482E">
        <w:rPr>
          <w:i/>
          <w:color w:val="000000"/>
          <w:sz w:val="20"/>
          <w:szCs w:val="20"/>
          <w:lang w:val="en-GB"/>
        </w:rPr>
        <w:t>nPR</w:t>
      </w:r>
      <w:proofErr w:type="spellEnd"/>
      <w:proofErr w:type="gramEnd"/>
      <w:r w:rsidRPr="00E3482E">
        <w:rPr>
          <w:i/>
          <w:color w:val="000000"/>
          <w:sz w:val="20"/>
          <w:szCs w:val="20"/>
          <w:lang w:val="en-GB"/>
        </w:rPr>
        <w:t xml:space="preserve"> – nodular partial response; PR – partial response; NA – not available; NR – not reached </w:t>
      </w:r>
    </w:p>
    <w:p w:rsidR="00C92347" w:rsidRPr="00E3482E" w:rsidRDefault="00F74ABA" w:rsidP="00F74ABA">
      <w:pPr>
        <w:spacing w:before="200"/>
        <w:jc w:val="both"/>
        <w:rPr>
          <w:color w:val="000000"/>
          <w:lang w:val="en-GB"/>
        </w:rPr>
      </w:pPr>
      <w:r w:rsidRPr="00E3482E">
        <w:rPr>
          <w:color w:val="000000"/>
          <w:lang w:val="en-GB"/>
        </w:rPr>
        <w:t xml:space="preserve">In relapsed/refractory CLL patients, response rates of 70% or greater have been reported in small studies of the following chemotherapy regimens with </w:t>
      </w:r>
      <w:r w:rsidR="00A0486A" w:rsidRPr="00E3482E">
        <w:rPr>
          <w:color w:val="000000"/>
          <w:lang w:val="en-GB"/>
        </w:rPr>
        <w:t>rituximab</w:t>
      </w:r>
      <w:r w:rsidRPr="00E3482E">
        <w:rPr>
          <w:color w:val="000000"/>
          <w:lang w:val="en-GB"/>
        </w:rPr>
        <w:t>: FCM (</w:t>
      </w:r>
      <w:proofErr w:type="spellStart"/>
      <w:r w:rsidRPr="00E3482E">
        <w:rPr>
          <w:color w:val="000000"/>
          <w:lang w:val="en-GB"/>
        </w:rPr>
        <w:t>fludarabine</w:t>
      </w:r>
      <w:proofErr w:type="spellEnd"/>
      <w:r w:rsidRPr="00E3482E">
        <w:rPr>
          <w:color w:val="000000"/>
          <w:lang w:val="en-GB"/>
        </w:rPr>
        <w:t xml:space="preserve">, cyclophosphamide, </w:t>
      </w:r>
      <w:proofErr w:type="spellStart"/>
      <w:r w:rsidRPr="00E3482E">
        <w:rPr>
          <w:color w:val="000000"/>
          <w:lang w:val="en-GB"/>
        </w:rPr>
        <w:t>mitoxantrone</w:t>
      </w:r>
      <w:proofErr w:type="spellEnd"/>
      <w:r w:rsidRPr="00E3482E">
        <w:rPr>
          <w:color w:val="000000"/>
          <w:lang w:val="en-GB"/>
        </w:rPr>
        <w:t>), PC (</w:t>
      </w:r>
      <w:proofErr w:type="spellStart"/>
      <w:r w:rsidRPr="00E3482E">
        <w:rPr>
          <w:color w:val="000000"/>
          <w:lang w:val="en-GB"/>
        </w:rPr>
        <w:t>pentostatin</w:t>
      </w:r>
      <w:proofErr w:type="spellEnd"/>
      <w:r w:rsidRPr="00E3482E">
        <w:rPr>
          <w:color w:val="000000"/>
          <w:lang w:val="en-GB"/>
        </w:rPr>
        <w:t>, cyclophosphamide), PCM (</w:t>
      </w:r>
      <w:proofErr w:type="spellStart"/>
      <w:r w:rsidRPr="00E3482E">
        <w:rPr>
          <w:color w:val="000000"/>
          <w:lang w:val="en-GB"/>
        </w:rPr>
        <w:t>pentostatin</w:t>
      </w:r>
      <w:proofErr w:type="spellEnd"/>
      <w:r w:rsidRPr="00E3482E">
        <w:rPr>
          <w:color w:val="000000"/>
          <w:lang w:val="en-GB"/>
        </w:rPr>
        <w:t xml:space="preserve">, cyclophosphamide, </w:t>
      </w:r>
      <w:proofErr w:type="spellStart"/>
      <w:r w:rsidRPr="00E3482E">
        <w:rPr>
          <w:color w:val="000000"/>
          <w:lang w:val="en-GB"/>
        </w:rPr>
        <w:t>mitoxantrone</w:t>
      </w:r>
      <w:proofErr w:type="spellEnd"/>
      <w:r w:rsidRPr="00E3482E">
        <w:rPr>
          <w:color w:val="000000"/>
          <w:lang w:val="en-GB"/>
        </w:rPr>
        <w:t xml:space="preserve">), CHOP (cyclophosphamide, doxorubicin, vincristine, prednisolone), </w:t>
      </w:r>
      <w:proofErr w:type="spellStart"/>
      <w:r w:rsidRPr="00E3482E">
        <w:rPr>
          <w:color w:val="000000"/>
          <w:lang w:val="en-GB"/>
        </w:rPr>
        <w:t>bendamustine</w:t>
      </w:r>
      <w:proofErr w:type="spellEnd"/>
      <w:r w:rsidRPr="00E3482E">
        <w:rPr>
          <w:color w:val="000000"/>
          <w:lang w:val="en-GB"/>
        </w:rPr>
        <w:t xml:space="preserve"> and </w:t>
      </w:r>
      <w:proofErr w:type="spellStart"/>
      <w:r w:rsidRPr="00E3482E">
        <w:rPr>
          <w:color w:val="000000"/>
          <w:lang w:val="en-GB"/>
        </w:rPr>
        <w:t>cladribine</w:t>
      </w:r>
      <w:proofErr w:type="spellEnd"/>
      <w:r w:rsidRPr="00E3482E">
        <w:rPr>
          <w:color w:val="000000"/>
          <w:lang w:val="en-GB"/>
        </w:rPr>
        <w:t>.</w:t>
      </w:r>
    </w:p>
    <w:p w:rsidR="00A0486A" w:rsidRPr="00E3482E" w:rsidRDefault="00A0486A" w:rsidP="00F5092E">
      <w:pPr>
        <w:pStyle w:val="HeadingUnderlined"/>
      </w:pPr>
      <w:r w:rsidRPr="00E3482E">
        <w:t>Rheumatoid Arthritis (RA)</w:t>
      </w:r>
    </w:p>
    <w:p w:rsidR="00A0486A" w:rsidRPr="00E3482E" w:rsidRDefault="00A0486A" w:rsidP="00A0486A">
      <w:pPr>
        <w:spacing w:before="120"/>
        <w:jc w:val="both"/>
        <w:rPr>
          <w:color w:val="000000"/>
          <w:lang w:val="en-GB"/>
        </w:rPr>
      </w:pPr>
      <w:r w:rsidRPr="00E3482E">
        <w:rPr>
          <w:color w:val="000000"/>
          <w:lang w:val="en-GB"/>
        </w:rPr>
        <w:t>The efficacy and safety of rituximab in alleviating the symptoms and signs of RA was demonstrated in three randomised, controlled, double-blind, multicentre studies.</w:t>
      </w:r>
    </w:p>
    <w:p w:rsidR="004278AA" w:rsidRPr="00E3482E" w:rsidRDefault="00A0486A" w:rsidP="00A0486A">
      <w:pPr>
        <w:spacing w:before="120"/>
        <w:jc w:val="both"/>
        <w:rPr>
          <w:color w:val="000000"/>
          <w:lang w:val="en-GB"/>
        </w:rPr>
      </w:pPr>
      <w:r w:rsidRPr="00E3482E">
        <w:rPr>
          <w:color w:val="000000"/>
          <w:lang w:val="en-GB"/>
        </w:rPr>
        <w:lastRenderedPageBreak/>
        <w:t xml:space="preserve">Study 1, WA17042 (REFLEX), was a double blind comparative study which included 517 patients that had experienced an inadequate response or intolerance to one or more TNF inhibitor therapies. Eligible patients had severe active RA, diagnosed according to the criteria of the American College of Rheumatology (ACR). The study population was comprised of adult patients aged ≥18 years with RA for at least 6 months who had experienced an inadequate response to previous treatment with an anti-TNF therapy. The primary endpoint was the percent of patients who achieved an ACR20 response at week 24. Patients received 2 x 1000 mg IV infusions of rituximab, each following an IV infusion of 100 mg </w:t>
      </w:r>
      <w:proofErr w:type="spellStart"/>
      <w:r w:rsidRPr="00E3482E">
        <w:rPr>
          <w:color w:val="000000"/>
          <w:lang w:val="en-GB"/>
        </w:rPr>
        <w:t>methylprednisone</w:t>
      </w:r>
      <w:proofErr w:type="spellEnd"/>
      <w:r w:rsidRPr="00E3482E">
        <w:rPr>
          <w:color w:val="000000"/>
          <w:lang w:val="en-GB"/>
        </w:rPr>
        <w:t xml:space="preserve"> and separated by an interval of 15 days. All patients received concomitant oral methotrexate (MTX) (10-25 mg/week) and 60 mg oral prednisone on days 2-7 and 30 mg on days 8-14 following the first infusion. Patients were followed beyond week 24 for long term endpoints, including radiographic assessment at 56 weeks. During this time patients could receive further courses of rituximab under an open label extension study protocol (see </w:t>
      </w:r>
      <w:r w:rsidRPr="00E3482E">
        <w:rPr>
          <w:i/>
          <w:color w:val="000000"/>
          <w:lang w:val="en-GB"/>
        </w:rPr>
        <w:t>Radiographic Response</w:t>
      </w:r>
      <w:r w:rsidRPr="00E3482E">
        <w:rPr>
          <w:color w:val="000000"/>
          <w:lang w:val="en-GB"/>
        </w:rPr>
        <w:t>).</w:t>
      </w:r>
    </w:p>
    <w:p w:rsidR="00A0486A" w:rsidRPr="00E3482E" w:rsidRDefault="00A0486A" w:rsidP="00A0486A">
      <w:pPr>
        <w:spacing w:before="120"/>
        <w:jc w:val="both"/>
        <w:rPr>
          <w:color w:val="000000"/>
          <w:lang w:val="en-GB"/>
        </w:rPr>
      </w:pPr>
      <w:r w:rsidRPr="00E3482E">
        <w:rPr>
          <w:color w:val="000000"/>
          <w:lang w:val="en-GB"/>
        </w:rPr>
        <w:t>Study 2, WA17043 (DANCER), was a randomised, double-blind, double-dummy, controlled, 3 x 3 multifactorial study which compared two different dose levels of rituximab (2 x 1000 mg or 2 x 500 mg) given with or without one of two corticosteroid infusion regimens in combination with weekly MTX. All patients received concomitant oral methotrexate. The primary endpoint was the proportion of RF (Rheumatoid Factor) positive patients with an ACR20 response at week 24. The study population was comprised of adult patients aged ≥ 18 years with RA who had previously failed 1-5 DMARDs and who currently had an inadequate response to MTX.</w:t>
      </w:r>
    </w:p>
    <w:p w:rsidR="00A0486A" w:rsidRPr="00E3482E" w:rsidRDefault="00A0486A" w:rsidP="00A0486A">
      <w:pPr>
        <w:spacing w:before="120"/>
        <w:jc w:val="both"/>
        <w:rPr>
          <w:color w:val="000000"/>
          <w:lang w:val="en-GB"/>
        </w:rPr>
      </w:pPr>
      <w:r w:rsidRPr="00E3482E">
        <w:rPr>
          <w:color w:val="000000"/>
          <w:lang w:val="en-GB"/>
        </w:rPr>
        <w:t>Study 3 was a double-blind, double-dummy, controlled study evaluating rituximab monotherapy, and rituximab in combination with either cyclophosphamide or MTX in patients with active RA who had not responded to one or more prior DMARDs. The primary endpoint was the proportion of patients with an ACR50 response at week 24. The study population was comprised of adult patients aged ≥ 21 years with RA who had failed 1-5 DMARDs, were RF seropositive at screening, and who currently had a partial clinical response to MTX monotherapy.</w:t>
      </w:r>
    </w:p>
    <w:p w:rsidR="00A0486A" w:rsidRPr="00E3482E" w:rsidRDefault="00A0486A" w:rsidP="00A0486A">
      <w:pPr>
        <w:spacing w:before="120"/>
        <w:jc w:val="both"/>
        <w:rPr>
          <w:color w:val="000000"/>
          <w:lang w:val="en-GB"/>
        </w:rPr>
      </w:pPr>
      <w:r w:rsidRPr="00E3482E">
        <w:rPr>
          <w:color w:val="000000"/>
          <w:lang w:val="en-GB"/>
        </w:rPr>
        <w:t>An ACR20 response was defined as at least a 20% improvement, compared to baseline, in both swollen and tender joint counts (SJC and TJC), as well as in 3 out of 5 additional parameters: physician’s global assessment of disease activity, patient’s global assessment of disease activity, patient’s assessment of pain, Health Assessment Questionnaire Disability Index (HAQ-DI) and C-reactive protein (CRP).</w:t>
      </w:r>
    </w:p>
    <w:p w:rsidR="00A0486A" w:rsidRPr="00E3482E" w:rsidRDefault="00A0486A" w:rsidP="00A0486A">
      <w:pPr>
        <w:spacing w:before="120"/>
        <w:jc w:val="both"/>
        <w:rPr>
          <w:color w:val="000000"/>
          <w:lang w:val="en-GB"/>
        </w:rPr>
      </w:pPr>
      <w:r w:rsidRPr="00E3482E">
        <w:rPr>
          <w:color w:val="000000"/>
          <w:lang w:val="en-GB"/>
        </w:rPr>
        <w:t>The comparator drug in all three studies was weekly MTX (10-25 mg weekly).</w:t>
      </w:r>
    </w:p>
    <w:p w:rsidR="00A0486A" w:rsidRPr="00E3482E" w:rsidRDefault="00A0486A" w:rsidP="00F5092E">
      <w:pPr>
        <w:pStyle w:val="Heading2"/>
      </w:pPr>
      <w:r w:rsidRPr="00E3482E">
        <w:t>Disease Activity Outcomes</w:t>
      </w:r>
    </w:p>
    <w:p w:rsidR="00A0486A" w:rsidRPr="00E3482E" w:rsidRDefault="00A0486A" w:rsidP="00A0486A">
      <w:pPr>
        <w:spacing w:before="120"/>
        <w:jc w:val="both"/>
        <w:rPr>
          <w:color w:val="000000"/>
          <w:lang w:val="en-GB"/>
        </w:rPr>
      </w:pPr>
      <w:r w:rsidRPr="00E3482E">
        <w:rPr>
          <w:color w:val="000000"/>
          <w:lang w:val="en-GB"/>
        </w:rPr>
        <w:t xml:space="preserve">In all three studies, rituximab 2 x 1000 mg + MTX significantly increased the proportion of patients achieving at least a 20% improvement in ACR score compared with patients treated with MTX alone (Table 9). The treatment effect was similar in patients independent of age, gender, body surface area, </w:t>
      </w:r>
      <w:proofErr w:type="gramStart"/>
      <w:r w:rsidRPr="00E3482E">
        <w:rPr>
          <w:color w:val="000000"/>
          <w:lang w:val="en-GB"/>
        </w:rPr>
        <w:t>race</w:t>
      </w:r>
      <w:proofErr w:type="gramEnd"/>
      <w:r w:rsidRPr="00E3482E">
        <w:rPr>
          <w:color w:val="000000"/>
          <w:lang w:val="en-GB"/>
        </w:rPr>
        <w:t>, number of prior treatments or disease status.</w:t>
      </w:r>
    </w:p>
    <w:p w:rsidR="00A0486A" w:rsidRPr="00E3482E" w:rsidRDefault="00A0486A" w:rsidP="00A0486A">
      <w:pPr>
        <w:spacing w:before="120"/>
        <w:jc w:val="both"/>
        <w:rPr>
          <w:color w:val="000000"/>
          <w:lang w:val="en-GB"/>
        </w:rPr>
      </w:pPr>
      <w:r w:rsidRPr="00E3482E">
        <w:rPr>
          <w:color w:val="000000"/>
          <w:lang w:val="en-GB"/>
        </w:rPr>
        <w:t>Clinically and statistically significant improvement was also noted on all individual components of the ACR response (tender and swollen joint counts, patient and physician global assessment, disability index scores (HAQ), pain assessment and CRP (mg/</w:t>
      </w:r>
      <w:proofErr w:type="spellStart"/>
      <w:r w:rsidRPr="00E3482E">
        <w:rPr>
          <w:color w:val="000000"/>
          <w:lang w:val="en-GB"/>
        </w:rPr>
        <w:t>dL</w:t>
      </w:r>
      <w:proofErr w:type="spellEnd"/>
      <w:r w:rsidRPr="00E3482E">
        <w:rPr>
          <w:color w:val="000000"/>
          <w:lang w:val="en-GB"/>
        </w:rPr>
        <w:t>).</w:t>
      </w:r>
    </w:p>
    <w:p w:rsidR="00A0486A" w:rsidRPr="00E3482E" w:rsidRDefault="00A0486A" w:rsidP="00A0486A">
      <w:pPr>
        <w:pStyle w:val="Tabletitle"/>
        <w:spacing w:before="200"/>
        <w:ind w:left="964" w:hanging="964"/>
        <w:rPr>
          <w:color w:val="000000"/>
          <w:sz w:val="23"/>
          <w:szCs w:val="23"/>
        </w:rPr>
      </w:pPr>
      <w:r w:rsidRPr="00E3482E">
        <w:rPr>
          <w:color w:val="000000"/>
          <w:sz w:val="23"/>
          <w:szCs w:val="23"/>
        </w:rPr>
        <w:lastRenderedPageBreak/>
        <w:t>Table 9:</w:t>
      </w:r>
      <w:r w:rsidRPr="00E3482E">
        <w:rPr>
          <w:color w:val="000000"/>
          <w:sz w:val="23"/>
          <w:szCs w:val="23"/>
        </w:rPr>
        <w:tab/>
        <w:t xml:space="preserve">Cross-study comparison of ACR responses at Week 24 (ITT </w:t>
      </w:r>
      <w:r w:rsidR="004E09E0" w:rsidRPr="00E3482E">
        <w:rPr>
          <w:color w:val="000000"/>
          <w:sz w:val="23"/>
          <w:szCs w:val="23"/>
        </w:rPr>
        <w:t>p</w:t>
      </w:r>
      <w:r w:rsidRPr="00E3482E">
        <w:rPr>
          <w:color w:val="000000"/>
          <w:sz w:val="23"/>
          <w:szCs w:val="23"/>
        </w:rPr>
        <w:t>opulation)</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3"/>
        <w:gridCol w:w="1701"/>
        <w:gridCol w:w="1842"/>
        <w:gridCol w:w="1985"/>
      </w:tblGrid>
      <w:tr w:rsidR="00A0486A" w:rsidRPr="00E3482E" w:rsidTr="00A0486A">
        <w:tc>
          <w:tcPr>
            <w:tcW w:w="3933" w:type="dxa"/>
            <w:tcBorders>
              <w:top w:val="single" w:sz="4" w:space="0" w:color="auto"/>
              <w:left w:val="single" w:sz="4" w:space="0" w:color="auto"/>
              <w:bottom w:val="single" w:sz="4" w:space="0" w:color="auto"/>
              <w:right w:val="single" w:sz="4" w:space="0" w:color="auto"/>
            </w:tcBorders>
            <w:shd w:val="clear" w:color="auto" w:fill="FFFFFF"/>
          </w:tcPr>
          <w:p w:rsidR="00A0486A" w:rsidRPr="00E3482E" w:rsidRDefault="00A0486A" w:rsidP="00340249">
            <w:pPr>
              <w:pStyle w:val="Text"/>
              <w:spacing w:before="40" w:line="269" w:lineRule="auto"/>
              <w:jc w:val="center"/>
              <w:rPr>
                <w:b/>
                <w:color w:val="000000"/>
                <w:sz w:val="22"/>
                <w:szCs w:val="22"/>
              </w:rPr>
            </w:pPr>
            <w:r w:rsidRPr="00E3482E">
              <w:rPr>
                <w:b/>
                <w:color w:val="000000"/>
                <w:sz w:val="22"/>
                <w:szCs w:val="22"/>
              </w:rPr>
              <w:t>Study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0486A" w:rsidRPr="00E3482E" w:rsidRDefault="00A0486A" w:rsidP="00340249">
            <w:pPr>
              <w:pStyle w:val="Text"/>
              <w:spacing w:before="40" w:line="269" w:lineRule="auto"/>
              <w:jc w:val="center"/>
              <w:rPr>
                <w:b/>
                <w:color w:val="000000"/>
                <w:sz w:val="22"/>
                <w:szCs w:val="22"/>
              </w:rPr>
            </w:pPr>
            <w:r w:rsidRPr="00E3482E">
              <w:rPr>
                <w:b/>
                <w:bCs/>
                <w:color w:val="000000"/>
                <w:sz w:val="22"/>
                <w:szCs w:val="22"/>
              </w:rPr>
              <w:t>ACR Response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486A" w:rsidRPr="00E3482E" w:rsidRDefault="00A0486A" w:rsidP="00340249">
            <w:pPr>
              <w:pStyle w:val="Text"/>
              <w:spacing w:before="40" w:line="269" w:lineRule="auto"/>
              <w:jc w:val="center"/>
              <w:rPr>
                <w:b/>
                <w:color w:val="000000"/>
                <w:sz w:val="22"/>
                <w:szCs w:val="22"/>
              </w:rPr>
            </w:pPr>
            <w:proofErr w:type="spellStart"/>
            <w:r w:rsidRPr="00E3482E">
              <w:rPr>
                <w:b/>
                <w:color w:val="000000"/>
                <w:sz w:val="22"/>
                <w:szCs w:val="22"/>
              </w:rPr>
              <w:t>Placebo+MTX</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0486A" w:rsidRPr="00E3482E" w:rsidRDefault="00A0486A" w:rsidP="00340249">
            <w:pPr>
              <w:pStyle w:val="Text"/>
              <w:spacing w:before="40" w:line="269" w:lineRule="auto"/>
              <w:jc w:val="center"/>
              <w:rPr>
                <w:b/>
                <w:color w:val="000000"/>
                <w:sz w:val="22"/>
                <w:szCs w:val="22"/>
              </w:rPr>
            </w:pPr>
            <w:proofErr w:type="spellStart"/>
            <w:r w:rsidRPr="00E3482E">
              <w:rPr>
                <w:b/>
                <w:color w:val="000000"/>
                <w:sz w:val="22"/>
                <w:szCs w:val="22"/>
              </w:rPr>
              <w:t>Rituximab+MTX</w:t>
            </w:r>
            <w:proofErr w:type="spellEnd"/>
          </w:p>
        </w:tc>
      </w:tr>
      <w:tr w:rsidR="00A0486A" w:rsidRPr="00E3482E" w:rsidTr="00A0486A">
        <w:tc>
          <w:tcPr>
            <w:tcW w:w="3933" w:type="dxa"/>
            <w:tcBorders>
              <w:top w:val="single" w:sz="4" w:space="0" w:color="auto"/>
              <w:left w:val="single" w:sz="4" w:space="0" w:color="auto"/>
              <w:bottom w:val="single" w:sz="4" w:space="0" w:color="auto"/>
              <w:right w:val="single" w:sz="4" w:space="0" w:color="auto"/>
            </w:tcBorders>
            <w:shd w:val="clear" w:color="auto" w:fill="FFFFFF"/>
          </w:tcPr>
          <w:p w:rsidR="00A0486A" w:rsidRPr="00E3482E" w:rsidRDefault="00340249" w:rsidP="00340249">
            <w:pPr>
              <w:pStyle w:val="Text"/>
              <w:spacing w:before="240" w:line="269" w:lineRule="auto"/>
              <w:jc w:val="left"/>
              <w:rPr>
                <w:b/>
                <w:color w:val="000000"/>
                <w:sz w:val="22"/>
                <w:szCs w:val="22"/>
              </w:rPr>
            </w:pPr>
            <w:r w:rsidRPr="00E3482E">
              <w:rPr>
                <w:b/>
                <w:color w:val="000000"/>
                <w:sz w:val="22"/>
                <w:szCs w:val="22"/>
              </w:rPr>
              <w:t>Study 1 REFLEX</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340249">
            <w:pPr>
              <w:pStyle w:val="Text"/>
              <w:spacing w:before="0" w:line="269" w:lineRule="auto"/>
              <w:jc w:val="center"/>
              <w:rPr>
                <w:color w:val="000000"/>
                <w:sz w:val="22"/>
                <w:szCs w:val="22"/>
              </w:rPr>
            </w:pPr>
          </w:p>
          <w:p w:rsidR="00A0486A" w:rsidRPr="00E3482E" w:rsidRDefault="00340249" w:rsidP="00340249">
            <w:pPr>
              <w:pStyle w:val="Text"/>
              <w:spacing w:before="0" w:line="269" w:lineRule="auto"/>
              <w:jc w:val="center"/>
              <w:rPr>
                <w:color w:val="000000"/>
                <w:sz w:val="22"/>
                <w:szCs w:val="22"/>
              </w:rPr>
            </w:pPr>
            <w:r w:rsidRPr="00E3482E">
              <w:rPr>
                <w:color w:val="000000"/>
                <w:sz w:val="22"/>
                <w:szCs w:val="22"/>
              </w:rPr>
              <w:t>ACR20</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ACR50</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ACR70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0486A" w:rsidRPr="00E3482E" w:rsidRDefault="00340249" w:rsidP="00340249">
            <w:pPr>
              <w:pStyle w:val="Text"/>
              <w:spacing w:before="40" w:line="269" w:lineRule="auto"/>
              <w:jc w:val="center"/>
              <w:rPr>
                <w:b/>
                <w:color w:val="000000"/>
                <w:sz w:val="22"/>
                <w:szCs w:val="22"/>
              </w:rPr>
            </w:pPr>
            <w:r w:rsidRPr="00E3482E">
              <w:rPr>
                <w:b/>
                <w:color w:val="000000"/>
                <w:sz w:val="22"/>
                <w:szCs w:val="22"/>
              </w:rPr>
              <w:t>(N=201)</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36 (18%)</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11 (5%)</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3 (1%)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0486A" w:rsidRPr="00E3482E" w:rsidRDefault="00340249" w:rsidP="00340249">
            <w:pPr>
              <w:pStyle w:val="Text"/>
              <w:spacing w:before="40" w:line="269" w:lineRule="auto"/>
              <w:jc w:val="center"/>
              <w:rPr>
                <w:b/>
                <w:color w:val="000000"/>
                <w:sz w:val="22"/>
                <w:szCs w:val="22"/>
              </w:rPr>
            </w:pPr>
            <w:r w:rsidRPr="00E3482E">
              <w:rPr>
                <w:b/>
                <w:color w:val="000000"/>
                <w:sz w:val="22"/>
                <w:szCs w:val="22"/>
              </w:rPr>
              <w:t>(N=298)</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153 (51%)</w:t>
            </w:r>
            <w:r w:rsidRPr="00E3482E">
              <w:rPr>
                <w:color w:val="000000"/>
                <w:sz w:val="22"/>
                <w:szCs w:val="22"/>
                <w:vertAlign w:val="superscript"/>
              </w:rPr>
              <w:t>1</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80 (27%)</w:t>
            </w:r>
            <w:r w:rsidRPr="00E3482E">
              <w:rPr>
                <w:color w:val="000000"/>
                <w:sz w:val="22"/>
                <w:szCs w:val="22"/>
                <w:vertAlign w:val="superscript"/>
              </w:rPr>
              <w:t>1</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37 (12%)</w:t>
            </w:r>
            <w:r w:rsidRPr="00E3482E">
              <w:rPr>
                <w:color w:val="000000"/>
                <w:sz w:val="22"/>
                <w:szCs w:val="22"/>
                <w:vertAlign w:val="superscript"/>
              </w:rPr>
              <w:t>1</w:t>
            </w:r>
          </w:p>
        </w:tc>
      </w:tr>
      <w:tr w:rsidR="00340249" w:rsidRPr="00E3482E" w:rsidTr="00340249">
        <w:tc>
          <w:tcPr>
            <w:tcW w:w="3933"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340249">
            <w:pPr>
              <w:pStyle w:val="Text"/>
              <w:spacing w:before="240" w:line="269" w:lineRule="auto"/>
              <w:jc w:val="left"/>
              <w:rPr>
                <w:b/>
                <w:color w:val="000000"/>
                <w:sz w:val="22"/>
                <w:szCs w:val="22"/>
              </w:rPr>
            </w:pPr>
            <w:r w:rsidRPr="00E3482E">
              <w:rPr>
                <w:b/>
                <w:color w:val="000000"/>
                <w:sz w:val="22"/>
                <w:szCs w:val="22"/>
              </w:rPr>
              <w:t>Study 2 DANCER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D57FBD">
            <w:pPr>
              <w:pStyle w:val="Text"/>
              <w:spacing w:before="0" w:line="269" w:lineRule="auto"/>
              <w:jc w:val="center"/>
              <w:rPr>
                <w:color w:val="000000"/>
                <w:sz w:val="22"/>
                <w:szCs w:val="22"/>
              </w:rPr>
            </w:pPr>
          </w:p>
          <w:p w:rsidR="00340249" w:rsidRPr="00E3482E" w:rsidRDefault="00340249" w:rsidP="00D57FBD">
            <w:pPr>
              <w:pStyle w:val="Text"/>
              <w:spacing w:before="0" w:line="269" w:lineRule="auto"/>
              <w:jc w:val="center"/>
              <w:rPr>
                <w:color w:val="000000"/>
                <w:sz w:val="22"/>
                <w:szCs w:val="22"/>
              </w:rPr>
            </w:pPr>
            <w:r w:rsidRPr="00E3482E">
              <w:rPr>
                <w:color w:val="000000"/>
                <w:sz w:val="22"/>
                <w:szCs w:val="22"/>
              </w:rPr>
              <w:t>ACR20</w:t>
            </w:r>
          </w:p>
          <w:p w:rsidR="00340249" w:rsidRPr="00E3482E" w:rsidRDefault="00340249" w:rsidP="00D57FBD">
            <w:pPr>
              <w:pStyle w:val="Text"/>
              <w:spacing w:before="0" w:line="269" w:lineRule="auto"/>
              <w:jc w:val="center"/>
              <w:rPr>
                <w:color w:val="000000"/>
                <w:sz w:val="22"/>
                <w:szCs w:val="22"/>
              </w:rPr>
            </w:pPr>
            <w:r w:rsidRPr="00E3482E">
              <w:rPr>
                <w:color w:val="000000"/>
                <w:sz w:val="22"/>
                <w:szCs w:val="22"/>
              </w:rPr>
              <w:t>ACR50</w:t>
            </w:r>
          </w:p>
          <w:p w:rsidR="00340249" w:rsidRPr="00E3482E" w:rsidRDefault="00340249" w:rsidP="00D57FBD">
            <w:pPr>
              <w:pStyle w:val="Text"/>
              <w:spacing w:before="0" w:line="269" w:lineRule="auto"/>
              <w:jc w:val="center"/>
              <w:rPr>
                <w:color w:val="000000"/>
                <w:sz w:val="22"/>
                <w:szCs w:val="22"/>
              </w:rPr>
            </w:pPr>
            <w:r w:rsidRPr="00E3482E">
              <w:rPr>
                <w:color w:val="000000"/>
                <w:sz w:val="22"/>
                <w:szCs w:val="22"/>
              </w:rPr>
              <w:t>ACR70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D57FBD">
            <w:pPr>
              <w:pStyle w:val="Text"/>
              <w:spacing w:before="40" w:line="269" w:lineRule="auto"/>
              <w:jc w:val="center"/>
              <w:rPr>
                <w:b/>
                <w:color w:val="000000"/>
                <w:sz w:val="22"/>
                <w:szCs w:val="22"/>
              </w:rPr>
            </w:pPr>
            <w:r w:rsidRPr="00E3482E">
              <w:rPr>
                <w:b/>
                <w:color w:val="000000"/>
                <w:sz w:val="22"/>
                <w:szCs w:val="22"/>
              </w:rPr>
              <w:t>(N=143)</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45 (31%)</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19 (13%)</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6 (4%)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D57FBD">
            <w:pPr>
              <w:pStyle w:val="Text"/>
              <w:spacing w:before="40" w:line="269" w:lineRule="auto"/>
              <w:jc w:val="center"/>
              <w:rPr>
                <w:b/>
                <w:color w:val="000000"/>
                <w:sz w:val="22"/>
                <w:szCs w:val="22"/>
              </w:rPr>
            </w:pPr>
            <w:r w:rsidRPr="00E3482E">
              <w:rPr>
                <w:b/>
                <w:color w:val="000000"/>
                <w:sz w:val="22"/>
                <w:szCs w:val="22"/>
              </w:rPr>
              <w:t>(N=185)</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96 (52%)</w:t>
            </w:r>
            <w:r w:rsidRPr="00E3482E">
              <w:rPr>
                <w:color w:val="000000"/>
                <w:sz w:val="22"/>
                <w:szCs w:val="22"/>
                <w:vertAlign w:val="superscript"/>
              </w:rPr>
              <w:t>2</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61 (33%)</w:t>
            </w:r>
            <w:r w:rsidRPr="00E3482E">
              <w:rPr>
                <w:color w:val="000000"/>
                <w:sz w:val="22"/>
                <w:szCs w:val="22"/>
                <w:vertAlign w:val="superscript"/>
              </w:rPr>
              <w:t>2</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28 (15%)</w:t>
            </w:r>
            <w:r w:rsidRPr="00E3482E">
              <w:rPr>
                <w:color w:val="000000"/>
                <w:sz w:val="22"/>
                <w:szCs w:val="22"/>
                <w:vertAlign w:val="superscript"/>
              </w:rPr>
              <w:t>2</w:t>
            </w:r>
          </w:p>
        </w:tc>
      </w:tr>
      <w:tr w:rsidR="00340249" w:rsidRPr="00E3482E" w:rsidTr="007267C1">
        <w:trPr>
          <w:cantSplit/>
        </w:trPr>
        <w:tc>
          <w:tcPr>
            <w:tcW w:w="3933"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340249">
            <w:pPr>
              <w:pStyle w:val="Text"/>
              <w:spacing w:before="240" w:line="269" w:lineRule="auto"/>
              <w:jc w:val="left"/>
              <w:rPr>
                <w:b/>
                <w:color w:val="000000"/>
                <w:sz w:val="22"/>
                <w:szCs w:val="22"/>
              </w:rPr>
            </w:pPr>
            <w:r w:rsidRPr="00E3482E">
              <w:rPr>
                <w:b/>
                <w:color w:val="000000"/>
                <w:sz w:val="22"/>
                <w:szCs w:val="22"/>
              </w:rPr>
              <w:t>Study 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D57FBD">
            <w:pPr>
              <w:pStyle w:val="Text"/>
              <w:spacing w:before="0" w:line="269" w:lineRule="auto"/>
              <w:jc w:val="center"/>
              <w:rPr>
                <w:color w:val="000000"/>
                <w:sz w:val="22"/>
                <w:szCs w:val="22"/>
              </w:rPr>
            </w:pPr>
          </w:p>
          <w:p w:rsidR="00340249" w:rsidRPr="00E3482E" w:rsidRDefault="00340249" w:rsidP="00D57FBD">
            <w:pPr>
              <w:pStyle w:val="Text"/>
              <w:spacing w:before="0" w:line="269" w:lineRule="auto"/>
              <w:jc w:val="center"/>
              <w:rPr>
                <w:color w:val="000000"/>
                <w:sz w:val="22"/>
                <w:szCs w:val="22"/>
              </w:rPr>
            </w:pPr>
            <w:r w:rsidRPr="00E3482E">
              <w:rPr>
                <w:color w:val="000000"/>
                <w:sz w:val="22"/>
                <w:szCs w:val="22"/>
              </w:rPr>
              <w:t>ACR20</w:t>
            </w:r>
          </w:p>
          <w:p w:rsidR="00340249" w:rsidRPr="00E3482E" w:rsidRDefault="00340249" w:rsidP="00D57FBD">
            <w:pPr>
              <w:pStyle w:val="Text"/>
              <w:spacing w:before="0" w:line="269" w:lineRule="auto"/>
              <w:jc w:val="center"/>
              <w:rPr>
                <w:color w:val="000000"/>
                <w:sz w:val="22"/>
                <w:szCs w:val="22"/>
              </w:rPr>
            </w:pPr>
            <w:r w:rsidRPr="00E3482E">
              <w:rPr>
                <w:color w:val="000000"/>
                <w:sz w:val="22"/>
                <w:szCs w:val="22"/>
              </w:rPr>
              <w:t>ACR50</w:t>
            </w:r>
          </w:p>
          <w:p w:rsidR="00340249" w:rsidRPr="00E3482E" w:rsidRDefault="00340249" w:rsidP="00D57FBD">
            <w:pPr>
              <w:pStyle w:val="Text"/>
              <w:spacing w:before="0" w:line="269" w:lineRule="auto"/>
              <w:jc w:val="center"/>
              <w:rPr>
                <w:color w:val="000000"/>
                <w:sz w:val="22"/>
                <w:szCs w:val="22"/>
              </w:rPr>
            </w:pPr>
            <w:r w:rsidRPr="00E3482E">
              <w:rPr>
                <w:color w:val="000000"/>
                <w:sz w:val="22"/>
                <w:szCs w:val="22"/>
              </w:rPr>
              <w:t>ACR70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D57FBD">
            <w:pPr>
              <w:pStyle w:val="Text"/>
              <w:spacing w:before="40" w:line="269" w:lineRule="auto"/>
              <w:jc w:val="center"/>
              <w:rPr>
                <w:b/>
                <w:color w:val="000000"/>
                <w:sz w:val="22"/>
                <w:szCs w:val="22"/>
              </w:rPr>
            </w:pPr>
            <w:r w:rsidRPr="00E3482E">
              <w:rPr>
                <w:b/>
                <w:color w:val="000000"/>
                <w:sz w:val="22"/>
                <w:szCs w:val="22"/>
              </w:rPr>
              <w:t>(N=40)</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15 (38%)</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5 (13%)</w:t>
            </w:r>
          </w:p>
          <w:p w:rsidR="00340249" w:rsidRPr="00E3482E" w:rsidRDefault="00340249" w:rsidP="00340249">
            <w:pPr>
              <w:pStyle w:val="Text"/>
              <w:spacing w:before="0" w:line="269" w:lineRule="auto"/>
              <w:jc w:val="center"/>
              <w:rPr>
                <w:b/>
                <w:color w:val="000000"/>
                <w:sz w:val="22"/>
                <w:szCs w:val="22"/>
              </w:rPr>
            </w:pPr>
            <w:r w:rsidRPr="00E3482E">
              <w:rPr>
                <w:color w:val="000000"/>
                <w:sz w:val="22"/>
                <w:szCs w:val="22"/>
              </w:rPr>
              <w:t>2 (5%)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40249" w:rsidRPr="00E3482E" w:rsidRDefault="00340249" w:rsidP="00D57FBD">
            <w:pPr>
              <w:pStyle w:val="Text"/>
              <w:spacing w:before="40" w:line="269" w:lineRule="auto"/>
              <w:jc w:val="center"/>
              <w:rPr>
                <w:b/>
                <w:color w:val="000000"/>
                <w:sz w:val="22"/>
                <w:szCs w:val="22"/>
              </w:rPr>
            </w:pPr>
            <w:r w:rsidRPr="00E3482E">
              <w:rPr>
                <w:b/>
                <w:color w:val="000000"/>
                <w:sz w:val="22"/>
                <w:szCs w:val="22"/>
              </w:rPr>
              <w:t>(N=40)</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28 (70%)</w:t>
            </w:r>
            <w:r w:rsidRPr="00E3482E">
              <w:rPr>
                <w:color w:val="000000"/>
                <w:sz w:val="22"/>
                <w:szCs w:val="22"/>
                <w:vertAlign w:val="superscript"/>
              </w:rPr>
              <w:t>3</w:t>
            </w:r>
          </w:p>
          <w:p w:rsidR="00340249" w:rsidRPr="00E3482E" w:rsidRDefault="00340249" w:rsidP="00340249">
            <w:pPr>
              <w:pStyle w:val="Text"/>
              <w:spacing w:before="0" w:line="269" w:lineRule="auto"/>
              <w:jc w:val="center"/>
              <w:rPr>
                <w:color w:val="000000"/>
                <w:sz w:val="22"/>
                <w:szCs w:val="22"/>
              </w:rPr>
            </w:pPr>
            <w:r w:rsidRPr="00E3482E">
              <w:rPr>
                <w:color w:val="000000"/>
                <w:sz w:val="22"/>
                <w:szCs w:val="22"/>
              </w:rPr>
              <w:t>17 (43%)</w:t>
            </w:r>
            <w:r w:rsidRPr="00E3482E">
              <w:rPr>
                <w:color w:val="000000"/>
                <w:sz w:val="22"/>
                <w:szCs w:val="22"/>
                <w:vertAlign w:val="superscript"/>
              </w:rPr>
              <w:t>3</w:t>
            </w:r>
          </w:p>
          <w:p w:rsidR="00340249" w:rsidRPr="00E3482E" w:rsidRDefault="00340249" w:rsidP="00340249">
            <w:pPr>
              <w:pStyle w:val="Text"/>
              <w:spacing w:before="0" w:line="269" w:lineRule="auto"/>
              <w:jc w:val="center"/>
              <w:rPr>
                <w:b/>
                <w:color w:val="000000"/>
                <w:sz w:val="22"/>
                <w:szCs w:val="22"/>
              </w:rPr>
            </w:pPr>
            <w:r w:rsidRPr="00E3482E">
              <w:rPr>
                <w:color w:val="000000"/>
                <w:sz w:val="22"/>
                <w:szCs w:val="22"/>
              </w:rPr>
              <w:t>9 (23%)</w:t>
            </w:r>
            <w:r w:rsidRPr="00E3482E">
              <w:rPr>
                <w:color w:val="000000"/>
                <w:sz w:val="22"/>
                <w:szCs w:val="22"/>
                <w:vertAlign w:val="superscript"/>
              </w:rPr>
              <w:t>3</w:t>
            </w:r>
          </w:p>
        </w:tc>
      </w:tr>
    </w:tbl>
    <w:p w:rsidR="00340249" w:rsidRPr="00E3482E" w:rsidRDefault="00D57FBD" w:rsidP="00340249">
      <w:pPr>
        <w:pStyle w:val="Text"/>
        <w:keepNext/>
        <w:spacing w:before="60" w:line="269" w:lineRule="auto"/>
        <w:rPr>
          <w:i/>
          <w:color w:val="000000"/>
          <w:sz w:val="20"/>
          <w:szCs w:val="20"/>
          <w:lang w:val="en-GB"/>
        </w:rPr>
      </w:pPr>
      <w:r w:rsidRPr="00E3482E">
        <w:rPr>
          <w:color w:val="000000"/>
          <w:vertAlign w:val="superscript"/>
          <w:lang w:val="en-GB"/>
        </w:rPr>
        <w:t>1</w:t>
      </w:r>
      <w:r w:rsidRPr="00E3482E">
        <w:rPr>
          <w:i/>
          <w:color w:val="000000"/>
          <w:sz w:val="20"/>
          <w:szCs w:val="20"/>
          <w:lang w:val="en-GB"/>
        </w:rPr>
        <w:t xml:space="preserve"> p ≤ 0.0001;</w:t>
      </w:r>
      <w:r w:rsidRPr="00E3482E">
        <w:rPr>
          <w:i/>
          <w:color w:val="000000"/>
          <w:sz w:val="20"/>
          <w:szCs w:val="20"/>
          <w:lang w:val="en-GB"/>
        </w:rPr>
        <w:tab/>
      </w:r>
      <w:r w:rsidRPr="00E3482E">
        <w:rPr>
          <w:color w:val="000000"/>
          <w:vertAlign w:val="superscript"/>
          <w:lang w:val="en-GB"/>
        </w:rPr>
        <w:t>2</w:t>
      </w:r>
      <w:r w:rsidRPr="00E3482E">
        <w:rPr>
          <w:i/>
          <w:color w:val="000000"/>
          <w:sz w:val="20"/>
          <w:szCs w:val="20"/>
          <w:lang w:val="en-GB"/>
        </w:rPr>
        <w:t xml:space="preserve"> p ≤ 0.001;</w:t>
      </w:r>
      <w:r w:rsidRPr="00E3482E">
        <w:rPr>
          <w:i/>
          <w:color w:val="000000"/>
          <w:sz w:val="20"/>
          <w:szCs w:val="20"/>
          <w:lang w:val="en-GB"/>
        </w:rPr>
        <w:tab/>
      </w:r>
      <w:r w:rsidRPr="00E3482E">
        <w:rPr>
          <w:color w:val="000000"/>
          <w:vertAlign w:val="superscript"/>
          <w:lang w:val="en-GB"/>
        </w:rPr>
        <w:t>3</w:t>
      </w:r>
      <w:r w:rsidRPr="00E3482E">
        <w:rPr>
          <w:i/>
          <w:color w:val="000000"/>
          <w:sz w:val="20"/>
          <w:szCs w:val="20"/>
          <w:lang w:val="en-GB"/>
        </w:rPr>
        <w:t xml:space="preserve"> p ≤ 0.05;</w:t>
      </w:r>
    </w:p>
    <w:p w:rsidR="00A0486A" w:rsidRPr="00E3482E" w:rsidRDefault="00D57FBD" w:rsidP="00D57FBD">
      <w:pPr>
        <w:spacing w:before="200"/>
        <w:jc w:val="both"/>
        <w:rPr>
          <w:color w:val="000000"/>
          <w:lang w:val="en-GB"/>
        </w:rPr>
      </w:pPr>
      <w:proofErr w:type="spellStart"/>
      <w:r w:rsidRPr="00E3482E">
        <w:rPr>
          <w:color w:val="000000"/>
          <w:lang w:val="en-GB"/>
        </w:rPr>
        <w:t>Rituximab+MTX</w:t>
      </w:r>
      <w:proofErr w:type="spellEnd"/>
      <w:r w:rsidRPr="00E3482E">
        <w:rPr>
          <w:color w:val="000000"/>
          <w:lang w:val="en-GB"/>
        </w:rPr>
        <w:t xml:space="preserve"> treated patients had a significantly greater reduction in disease activity score (DAS28) than patients treated with MTX alone. A good to moderate EULAR response was achieved by significantly more </w:t>
      </w:r>
      <w:proofErr w:type="spellStart"/>
      <w:r w:rsidRPr="00E3482E">
        <w:rPr>
          <w:color w:val="000000"/>
          <w:lang w:val="en-GB"/>
        </w:rPr>
        <w:t>Rituximab+MTX</w:t>
      </w:r>
      <w:proofErr w:type="spellEnd"/>
      <w:r w:rsidRPr="00E3482E">
        <w:rPr>
          <w:color w:val="000000"/>
          <w:lang w:val="en-GB"/>
        </w:rPr>
        <w:t xml:space="preserve"> treated patients compared to patients treated with MTX alone (Table 10).</w:t>
      </w:r>
    </w:p>
    <w:p w:rsidR="00D57FBD" w:rsidRPr="00E3482E" w:rsidRDefault="00D57FBD" w:rsidP="00141F6A">
      <w:pPr>
        <w:pStyle w:val="Tabletitle"/>
        <w:keepNext/>
        <w:spacing w:before="200"/>
        <w:ind w:left="1021" w:right="-57" w:hanging="1021"/>
        <w:rPr>
          <w:color w:val="000000"/>
          <w:sz w:val="23"/>
          <w:szCs w:val="23"/>
        </w:rPr>
      </w:pPr>
      <w:r w:rsidRPr="00E3482E">
        <w:rPr>
          <w:color w:val="000000"/>
          <w:sz w:val="23"/>
          <w:szCs w:val="23"/>
        </w:rPr>
        <w:t>Table 10:</w:t>
      </w:r>
      <w:r w:rsidRPr="00E3482E">
        <w:rPr>
          <w:color w:val="000000"/>
          <w:sz w:val="23"/>
          <w:szCs w:val="23"/>
        </w:rPr>
        <w:tab/>
        <w:t xml:space="preserve">Cross-study comparison of DAS and EULAR responses at Week 24 (ITT </w:t>
      </w:r>
      <w:r w:rsidR="004E09E0" w:rsidRPr="00E3482E">
        <w:rPr>
          <w:color w:val="000000"/>
          <w:sz w:val="23"/>
          <w:szCs w:val="23"/>
        </w:rPr>
        <w:t>p</w:t>
      </w:r>
      <w:r w:rsidRPr="00E3482E">
        <w:rPr>
          <w:color w:val="000000"/>
          <w:sz w:val="23"/>
          <w:szCs w:val="23"/>
        </w:rPr>
        <w:t>opulation)</w:t>
      </w:r>
    </w:p>
    <w:tbl>
      <w:tblPr>
        <w:tblW w:w="77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3"/>
        <w:gridCol w:w="1842"/>
        <w:gridCol w:w="1985"/>
      </w:tblGrid>
      <w:tr w:rsidR="00D57FBD" w:rsidRPr="00E3482E" w:rsidTr="00D57FBD">
        <w:tc>
          <w:tcPr>
            <w:tcW w:w="3933"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141F6A">
            <w:pPr>
              <w:pStyle w:val="Text"/>
              <w:keepNext/>
              <w:spacing w:before="40" w:line="269" w:lineRule="auto"/>
              <w:jc w:val="center"/>
              <w:rPr>
                <w:b/>
                <w:color w:val="000000"/>
                <w:sz w:val="22"/>
                <w:szCs w:val="22"/>
              </w:rPr>
            </w:pPr>
            <w:r w:rsidRPr="00E3482E">
              <w:rPr>
                <w:b/>
                <w:color w:val="000000"/>
                <w:sz w:val="22"/>
                <w:szCs w:val="22"/>
              </w:rPr>
              <w:t>Study</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141F6A">
            <w:pPr>
              <w:pStyle w:val="Text"/>
              <w:keepNext/>
              <w:spacing w:before="40" w:line="269" w:lineRule="auto"/>
              <w:jc w:val="center"/>
              <w:rPr>
                <w:b/>
                <w:color w:val="000000"/>
                <w:sz w:val="22"/>
                <w:szCs w:val="22"/>
              </w:rPr>
            </w:pPr>
            <w:proofErr w:type="spellStart"/>
            <w:r w:rsidRPr="00E3482E">
              <w:rPr>
                <w:b/>
                <w:color w:val="000000"/>
                <w:sz w:val="22"/>
                <w:szCs w:val="22"/>
              </w:rPr>
              <w:t>Placebo+MTX</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141F6A">
            <w:pPr>
              <w:pStyle w:val="Text"/>
              <w:keepNext/>
              <w:spacing w:before="40" w:line="269" w:lineRule="auto"/>
              <w:jc w:val="center"/>
              <w:rPr>
                <w:b/>
                <w:color w:val="000000"/>
                <w:sz w:val="22"/>
                <w:szCs w:val="22"/>
              </w:rPr>
            </w:pPr>
            <w:proofErr w:type="spellStart"/>
            <w:r w:rsidRPr="00E3482E">
              <w:rPr>
                <w:b/>
                <w:color w:val="000000"/>
                <w:sz w:val="22"/>
                <w:szCs w:val="22"/>
              </w:rPr>
              <w:t>Rituximab+MTX</w:t>
            </w:r>
            <w:proofErr w:type="spellEnd"/>
            <w:r w:rsidRPr="00E3482E">
              <w:rPr>
                <w:b/>
                <w:color w:val="000000"/>
                <w:sz w:val="22"/>
                <w:szCs w:val="22"/>
              </w:rPr>
              <w:t xml:space="preserve"> 2x1g</w:t>
            </w:r>
          </w:p>
        </w:tc>
      </w:tr>
      <w:tr w:rsidR="00D57FBD" w:rsidRPr="00E3482E" w:rsidTr="00D57FBD">
        <w:tc>
          <w:tcPr>
            <w:tcW w:w="3933"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141F6A">
            <w:pPr>
              <w:pStyle w:val="Text"/>
              <w:keepNext/>
              <w:spacing w:before="40" w:line="269" w:lineRule="auto"/>
              <w:jc w:val="left"/>
              <w:rPr>
                <w:b/>
                <w:color w:val="000000"/>
                <w:sz w:val="22"/>
                <w:szCs w:val="22"/>
              </w:rPr>
            </w:pPr>
            <w:r w:rsidRPr="00E3482E">
              <w:rPr>
                <w:b/>
                <w:color w:val="000000"/>
                <w:sz w:val="22"/>
                <w:szCs w:val="22"/>
              </w:rPr>
              <w:t>Study 1</w:t>
            </w:r>
          </w:p>
          <w:p w:rsidR="00D57FBD" w:rsidRPr="00E3482E" w:rsidRDefault="00D57FBD" w:rsidP="00141F6A">
            <w:pPr>
              <w:pStyle w:val="Text"/>
              <w:keepNext/>
              <w:spacing w:before="0" w:line="269" w:lineRule="auto"/>
              <w:jc w:val="left"/>
              <w:rPr>
                <w:color w:val="000000"/>
                <w:sz w:val="22"/>
                <w:szCs w:val="22"/>
              </w:rPr>
            </w:pPr>
            <w:r w:rsidRPr="00E3482E">
              <w:rPr>
                <w:color w:val="000000"/>
                <w:sz w:val="22"/>
                <w:szCs w:val="22"/>
              </w:rPr>
              <w:t>Change in DAS28 [Mean (SD)]</w:t>
            </w:r>
          </w:p>
          <w:p w:rsidR="00D57FBD" w:rsidRPr="00E3482E" w:rsidRDefault="00D57FBD" w:rsidP="00141F6A">
            <w:pPr>
              <w:pStyle w:val="Text"/>
              <w:keepNext/>
              <w:tabs>
                <w:tab w:val="right" w:pos="3683"/>
              </w:tabs>
              <w:spacing w:before="0" w:line="269" w:lineRule="auto"/>
              <w:jc w:val="left"/>
              <w:rPr>
                <w:color w:val="000000"/>
                <w:sz w:val="22"/>
                <w:szCs w:val="22"/>
              </w:rPr>
            </w:pPr>
            <w:r w:rsidRPr="00E3482E">
              <w:rPr>
                <w:color w:val="000000"/>
                <w:sz w:val="22"/>
                <w:szCs w:val="22"/>
              </w:rPr>
              <w:t>EULAR Response (%):</w:t>
            </w:r>
            <w:r w:rsidRPr="00E3482E">
              <w:rPr>
                <w:color w:val="000000"/>
                <w:sz w:val="22"/>
                <w:szCs w:val="22"/>
              </w:rPr>
              <w:tab/>
              <w:t>None</w:t>
            </w:r>
          </w:p>
          <w:p w:rsidR="00D57FBD" w:rsidRPr="00E3482E" w:rsidRDefault="00D57FBD" w:rsidP="00141F6A">
            <w:pPr>
              <w:pStyle w:val="Text"/>
              <w:keepNext/>
              <w:tabs>
                <w:tab w:val="right" w:pos="3683"/>
              </w:tabs>
              <w:spacing w:before="0" w:line="269" w:lineRule="auto"/>
              <w:jc w:val="left"/>
              <w:rPr>
                <w:color w:val="000000"/>
                <w:sz w:val="22"/>
                <w:szCs w:val="22"/>
              </w:rPr>
            </w:pPr>
            <w:r w:rsidRPr="00E3482E">
              <w:rPr>
                <w:color w:val="000000"/>
                <w:sz w:val="22"/>
                <w:szCs w:val="22"/>
              </w:rPr>
              <w:tab/>
              <w:t>Moderate</w:t>
            </w:r>
          </w:p>
          <w:p w:rsidR="00D57FBD" w:rsidRPr="00E3482E" w:rsidRDefault="00D57FBD" w:rsidP="00141F6A">
            <w:pPr>
              <w:pStyle w:val="Text"/>
              <w:keepNext/>
              <w:tabs>
                <w:tab w:val="right" w:pos="3683"/>
              </w:tabs>
              <w:spacing w:before="0" w:line="269" w:lineRule="auto"/>
              <w:jc w:val="left"/>
              <w:rPr>
                <w:color w:val="000000"/>
                <w:sz w:val="22"/>
                <w:szCs w:val="22"/>
              </w:rPr>
            </w:pPr>
            <w:r w:rsidRPr="00E3482E">
              <w:rPr>
                <w:color w:val="000000"/>
                <w:sz w:val="22"/>
                <w:szCs w:val="22"/>
              </w:rPr>
              <w:t xml:space="preserve"> </w:t>
            </w:r>
            <w:r w:rsidRPr="00E3482E">
              <w:rPr>
                <w:color w:val="000000"/>
                <w:sz w:val="22"/>
                <w:szCs w:val="22"/>
              </w:rPr>
              <w:tab/>
              <w:t>Good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141F6A">
            <w:pPr>
              <w:pStyle w:val="Text"/>
              <w:keepNext/>
              <w:spacing w:before="40" w:line="269" w:lineRule="auto"/>
              <w:jc w:val="center"/>
              <w:rPr>
                <w:b/>
                <w:color w:val="000000"/>
                <w:sz w:val="22"/>
                <w:szCs w:val="22"/>
              </w:rPr>
            </w:pPr>
            <w:r w:rsidRPr="00E3482E">
              <w:rPr>
                <w:b/>
                <w:color w:val="000000"/>
                <w:sz w:val="22"/>
                <w:szCs w:val="22"/>
              </w:rPr>
              <w:t>(N=201)</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-0.4 (1.2)</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78%</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20%</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141F6A">
            <w:pPr>
              <w:pStyle w:val="Text"/>
              <w:keepNext/>
              <w:spacing w:before="40" w:line="269" w:lineRule="auto"/>
              <w:jc w:val="center"/>
              <w:rPr>
                <w:b/>
                <w:color w:val="000000"/>
                <w:sz w:val="22"/>
                <w:szCs w:val="22"/>
              </w:rPr>
            </w:pPr>
            <w:r w:rsidRPr="00E3482E">
              <w:rPr>
                <w:b/>
                <w:color w:val="000000"/>
                <w:sz w:val="22"/>
                <w:szCs w:val="22"/>
              </w:rPr>
              <w:t>(N=298)</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-1.9 (1.6)*</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35%</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50%</w:t>
            </w:r>
          </w:p>
          <w:p w:rsidR="00D57FBD" w:rsidRPr="00E3482E" w:rsidRDefault="00D57FBD" w:rsidP="00141F6A">
            <w:pPr>
              <w:pStyle w:val="Text"/>
              <w:keepNext/>
              <w:spacing w:before="0" w:line="269" w:lineRule="auto"/>
              <w:jc w:val="center"/>
              <w:rPr>
                <w:color w:val="000000"/>
                <w:sz w:val="22"/>
                <w:szCs w:val="22"/>
              </w:rPr>
            </w:pPr>
            <w:r w:rsidRPr="00E3482E">
              <w:rPr>
                <w:color w:val="000000"/>
                <w:sz w:val="22"/>
                <w:szCs w:val="22"/>
              </w:rPr>
              <w:t>15%</w:t>
            </w:r>
          </w:p>
        </w:tc>
      </w:tr>
      <w:tr w:rsidR="00D57FBD" w:rsidRPr="00E3482E" w:rsidTr="00D57FBD">
        <w:tc>
          <w:tcPr>
            <w:tcW w:w="3933"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D57FBD">
            <w:pPr>
              <w:pStyle w:val="Text"/>
              <w:spacing w:before="40" w:line="269" w:lineRule="auto"/>
              <w:jc w:val="left"/>
              <w:rPr>
                <w:b/>
                <w:color w:val="000000"/>
                <w:sz w:val="22"/>
                <w:szCs w:val="22"/>
              </w:rPr>
            </w:pPr>
            <w:r w:rsidRPr="00E3482E">
              <w:rPr>
                <w:b/>
                <w:color w:val="000000"/>
                <w:sz w:val="22"/>
                <w:szCs w:val="22"/>
              </w:rPr>
              <w:t>Study 2</w:t>
            </w:r>
          </w:p>
          <w:p w:rsidR="00D57FBD" w:rsidRPr="00E3482E" w:rsidRDefault="00D57FBD" w:rsidP="00D57FBD">
            <w:pPr>
              <w:pStyle w:val="Text"/>
              <w:spacing w:before="0" w:line="269" w:lineRule="auto"/>
              <w:jc w:val="left"/>
              <w:rPr>
                <w:color w:val="000000"/>
                <w:sz w:val="22"/>
                <w:szCs w:val="22"/>
              </w:rPr>
            </w:pPr>
            <w:r w:rsidRPr="00E3482E">
              <w:rPr>
                <w:color w:val="000000"/>
                <w:sz w:val="22"/>
                <w:szCs w:val="22"/>
              </w:rPr>
              <w:t>Change in DAS28 [Mean (SD)]</w:t>
            </w:r>
          </w:p>
          <w:p w:rsidR="00D57FBD" w:rsidRPr="00E3482E" w:rsidRDefault="00D57FBD" w:rsidP="00D57FBD">
            <w:pPr>
              <w:pStyle w:val="Text"/>
              <w:tabs>
                <w:tab w:val="right" w:pos="3683"/>
              </w:tabs>
              <w:spacing w:before="0" w:line="269" w:lineRule="auto"/>
              <w:jc w:val="left"/>
              <w:rPr>
                <w:color w:val="000000"/>
                <w:sz w:val="22"/>
                <w:szCs w:val="22"/>
              </w:rPr>
            </w:pPr>
            <w:r w:rsidRPr="00E3482E">
              <w:rPr>
                <w:color w:val="000000"/>
                <w:sz w:val="22"/>
                <w:szCs w:val="22"/>
              </w:rPr>
              <w:t>EULAR Response (%):</w:t>
            </w:r>
            <w:r w:rsidRPr="00E3482E">
              <w:rPr>
                <w:color w:val="000000"/>
                <w:sz w:val="22"/>
                <w:szCs w:val="22"/>
              </w:rPr>
              <w:tab/>
              <w:t>None</w:t>
            </w:r>
          </w:p>
          <w:p w:rsidR="00D57FBD" w:rsidRPr="00E3482E" w:rsidRDefault="00D57FBD" w:rsidP="00D57FBD">
            <w:pPr>
              <w:pStyle w:val="Text"/>
              <w:tabs>
                <w:tab w:val="right" w:pos="3683"/>
              </w:tabs>
              <w:spacing w:before="0" w:line="269" w:lineRule="auto"/>
              <w:jc w:val="left"/>
              <w:rPr>
                <w:color w:val="000000"/>
                <w:sz w:val="22"/>
                <w:szCs w:val="22"/>
              </w:rPr>
            </w:pPr>
            <w:r w:rsidRPr="00E3482E">
              <w:rPr>
                <w:color w:val="000000"/>
                <w:sz w:val="22"/>
                <w:szCs w:val="22"/>
              </w:rPr>
              <w:tab/>
              <w:t>Moderate</w:t>
            </w:r>
          </w:p>
          <w:p w:rsidR="00D57FBD" w:rsidRPr="00E3482E" w:rsidRDefault="00D57FBD" w:rsidP="00D57FBD">
            <w:pPr>
              <w:pStyle w:val="Text"/>
              <w:tabs>
                <w:tab w:val="right" w:pos="3683"/>
              </w:tabs>
              <w:spacing w:before="0" w:line="269" w:lineRule="auto"/>
              <w:jc w:val="left"/>
              <w:rPr>
                <w:color w:val="000000"/>
                <w:sz w:val="22"/>
                <w:szCs w:val="22"/>
              </w:rPr>
            </w:pPr>
            <w:r w:rsidRPr="00E3482E">
              <w:rPr>
                <w:color w:val="000000"/>
                <w:sz w:val="22"/>
                <w:szCs w:val="22"/>
              </w:rPr>
              <w:t xml:space="preserve"> </w:t>
            </w:r>
            <w:r w:rsidRPr="00E3482E">
              <w:rPr>
                <w:color w:val="000000"/>
                <w:sz w:val="22"/>
                <w:szCs w:val="22"/>
              </w:rPr>
              <w:tab/>
              <w:t>Good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D57FBD">
            <w:pPr>
              <w:pStyle w:val="Text"/>
              <w:spacing w:before="40" w:line="269" w:lineRule="auto"/>
              <w:jc w:val="center"/>
              <w:rPr>
                <w:b/>
                <w:color w:val="000000"/>
                <w:sz w:val="22"/>
                <w:szCs w:val="22"/>
              </w:rPr>
            </w:pPr>
            <w:r w:rsidRPr="00E3482E">
              <w:rPr>
                <w:b/>
                <w:color w:val="000000"/>
                <w:sz w:val="22"/>
                <w:szCs w:val="22"/>
              </w:rPr>
              <w:t>(N=143)</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-0.8 (1.4)</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61%</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35%</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D57FBD">
            <w:pPr>
              <w:pStyle w:val="Text"/>
              <w:spacing w:before="40" w:line="269" w:lineRule="auto"/>
              <w:jc w:val="center"/>
              <w:rPr>
                <w:b/>
                <w:color w:val="000000"/>
                <w:sz w:val="22"/>
                <w:szCs w:val="22"/>
              </w:rPr>
            </w:pPr>
            <w:r w:rsidRPr="00E3482E">
              <w:rPr>
                <w:b/>
                <w:color w:val="000000"/>
                <w:sz w:val="22"/>
                <w:szCs w:val="22"/>
              </w:rPr>
              <w:t>(N=185)</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-2.0 (1.6)</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37%</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40%</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23%</w:t>
            </w:r>
          </w:p>
        </w:tc>
      </w:tr>
      <w:tr w:rsidR="00D57FBD" w:rsidRPr="00E3482E" w:rsidTr="00D57FBD">
        <w:tc>
          <w:tcPr>
            <w:tcW w:w="3933"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D57FBD">
            <w:pPr>
              <w:pStyle w:val="Text"/>
              <w:spacing w:before="40" w:line="269" w:lineRule="auto"/>
              <w:jc w:val="left"/>
              <w:rPr>
                <w:b/>
                <w:color w:val="000000"/>
                <w:sz w:val="22"/>
                <w:szCs w:val="22"/>
              </w:rPr>
            </w:pPr>
            <w:r w:rsidRPr="00E3482E">
              <w:rPr>
                <w:b/>
                <w:color w:val="000000"/>
                <w:sz w:val="22"/>
                <w:szCs w:val="22"/>
              </w:rPr>
              <w:t>Study 3</w:t>
            </w:r>
          </w:p>
          <w:p w:rsidR="00D57FBD" w:rsidRPr="00E3482E" w:rsidRDefault="00D57FBD" w:rsidP="00D57FBD">
            <w:pPr>
              <w:pStyle w:val="Text"/>
              <w:spacing w:before="0" w:line="269" w:lineRule="auto"/>
              <w:jc w:val="left"/>
              <w:rPr>
                <w:color w:val="000000"/>
                <w:sz w:val="22"/>
                <w:szCs w:val="22"/>
              </w:rPr>
            </w:pPr>
            <w:r w:rsidRPr="00E3482E">
              <w:rPr>
                <w:color w:val="000000"/>
                <w:sz w:val="22"/>
                <w:szCs w:val="22"/>
              </w:rPr>
              <w:t>Change in DAS28 [Mean (SD)]</w:t>
            </w:r>
          </w:p>
          <w:p w:rsidR="00D57FBD" w:rsidRPr="00E3482E" w:rsidRDefault="00D57FBD" w:rsidP="00D57FBD">
            <w:pPr>
              <w:pStyle w:val="Text"/>
              <w:tabs>
                <w:tab w:val="right" w:pos="3683"/>
              </w:tabs>
              <w:spacing w:before="0" w:line="269" w:lineRule="auto"/>
              <w:jc w:val="left"/>
              <w:rPr>
                <w:color w:val="000000"/>
                <w:sz w:val="22"/>
                <w:szCs w:val="22"/>
              </w:rPr>
            </w:pPr>
            <w:r w:rsidRPr="00E3482E">
              <w:rPr>
                <w:color w:val="000000"/>
                <w:sz w:val="22"/>
                <w:szCs w:val="22"/>
              </w:rPr>
              <w:t>EULAR Response (%):</w:t>
            </w:r>
            <w:r w:rsidRPr="00E3482E">
              <w:rPr>
                <w:color w:val="000000"/>
                <w:sz w:val="22"/>
                <w:szCs w:val="22"/>
              </w:rPr>
              <w:tab/>
              <w:t>None</w:t>
            </w:r>
          </w:p>
          <w:p w:rsidR="00D57FBD" w:rsidRPr="00E3482E" w:rsidRDefault="00D57FBD" w:rsidP="00D57FBD">
            <w:pPr>
              <w:pStyle w:val="Text"/>
              <w:tabs>
                <w:tab w:val="right" w:pos="3683"/>
              </w:tabs>
              <w:spacing w:before="0" w:line="269" w:lineRule="auto"/>
              <w:jc w:val="left"/>
              <w:rPr>
                <w:color w:val="000000"/>
                <w:sz w:val="22"/>
                <w:szCs w:val="22"/>
              </w:rPr>
            </w:pPr>
            <w:r w:rsidRPr="00E3482E">
              <w:rPr>
                <w:color w:val="000000"/>
                <w:sz w:val="22"/>
                <w:szCs w:val="22"/>
              </w:rPr>
              <w:tab/>
              <w:t>Moderate</w:t>
            </w:r>
          </w:p>
          <w:p w:rsidR="00D57FBD" w:rsidRPr="00E3482E" w:rsidRDefault="00D57FBD" w:rsidP="00D57FBD">
            <w:pPr>
              <w:pStyle w:val="Text"/>
              <w:tabs>
                <w:tab w:val="right" w:pos="3683"/>
              </w:tabs>
              <w:spacing w:before="0" w:line="269" w:lineRule="auto"/>
              <w:jc w:val="left"/>
              <w:rPr>
                <w:color w:val="000000"/>
                <w:sz w:val="22"/>
                <w:szCs w:val="22"/>
              </w:rPr>
            </w:pPr>
            <w:r w:rsidRPr="00E3482E">
              <w:rPr>
                <w:color w:val="000000"/>
                <w:sz w:val="22"/>
                <w:szCs w:val="22"/>
              </w:rPr>
              <w:t xml:space="preserve"> </w:t>
            </w:r>
            <w:r w:rsidRPr="00E3482E">
              <w:rPr>
                <w:color w:val="000000"/>
                <w:sz w:val="22"/>
                <w:szCs w:val="22"/>
              </w:rPr>
              <w:tab/>
              <w:t>Good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D57FBD">
            <w:pPr>
              <w:pStyle w:val="Text"/>
              <w:spacing w:before="40" w:line="269" w:lineRule="auto"/>
              <w:jc w:val="center"/>
              <w:rPr>
                <w:b/>
                <w:color w:val="000000"/>
                <w:sz w:val="22"/>
                <w:szCs w:val="22"/>
              </w:rPr>
            </w:pPr>
            <w:r w:rsidRPr="00E3482E">
              <w:rPr>
                <w:b/>
                <w:color w:val="000000"/>
                <w:sz w:val="22"/>
                <w:szCs w:val="22"/>
              </w:rPr>
              <w:t>(N=40)</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-1.3 (1.2)</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50%</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45%</w:t>
            </w:r>
          </w:p>
          <w:p w:rsidR="00D57FBD" w:rsidRPr="00E3482E" w:rsidRDefault="00D57FBD" w:rsidP="00D57FBD">
            <w:pPr>
              <w:pStyle w:val="Text"/>
              <w:spacing w:before="0" w:line="269" w:lineRule="auto"/>
              <w:jc w:val="center"/>
              <w:rPr>
                <w:b/>
                <w:color w:val="000000"/>
                <w:sz w:val="22"/>
                <w:szCs w:val="22"/>
              </w:rPr>
            </w:pPr>
            <w:r w:rsidRPr="00E3482E">
              <w:rPr>
                <w:color w:val="000000"/>
                <w:sz w:val="22"/>
                <w:szCs w:val="22"/>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57FBD" w:rsidRPr="00E3482E" w:rsidRDefault="00D57FBD" w:rsidP="00D57FBD">
            <w:pPr>
              <w:pStyle w:val="Text"/>
              <w:spacing w:before="40" w:line="269" w:lineRule="auto"/>
              <w:jc w:val="center"/>
              <w:rPr>
                <w:b/>
                <w:color w:val="000000"/>
                <w:sz w:val="22"/>
                <w:szCs w:val="22"/>
              </w:rPr>
            </w:pPr>
            <w:r w:rsidRPr="00E3482E">
              <w:rPr>
                <w:b/>
                <w:color w:val="000000"/>
                <w:sz w:val="22"/>
                <w:szCs w:val="22"/>
              </w:rPr>
              <w:t>(N=40)</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-2.6 (1.3)</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18%</w:t>
            </w:r>
          </w:p>
          <w:p w:rsidR="00D57FBD" w:rsidRPr="00E3482E" w:rsidRDefault="00D57FBD" w:rsidP="00D57FBD">
            <w:pPr>
              <w:pStyle w:val="Text"/>
              <w:spacing w:before="0" w:line="269" w:lineRule="auto"/>
              <w:jc w:val="center"/>
              <w:rPr>
                <w:color w:val="000000"/>
                <w:sz w:val="22"/>
                <w:szCs w:val="22"/>
              </w:rPr>
            </w:pPr>
            <w:r w:rsidRPr="00E3482E">
              <w:rPr>
                <w:color w:val="000000"/>
                <w:sz w:val="22"/>
                <w:szCs w:val="22"/>
              </w:rPr>
              <w:t>63%</w:t>
            </w:r>
          </w:p>
          <w:p w:rsidR="00D57FBD" w:rsidRPr="00E3482E" w:rsidRDefault="00D57FBD" w:rsidP="00D57FBD">
            <w:pPr>
              <w:pStyle w:val="Text"/>
              <w:spacing w:before="0" w:line="269" w:lineRule="auto"/>
              <w:jc w:val="center"/>
              <w:rPr>
                <w:b/>
                <w:color w:val="000000"/>
                <w:sz w:val="22"/>
                <w:szCs w:val="22"/>
              </w:rPr>
            </w:pPr>
            <w:r w:rsidRPr="00E3482E">
              <w:rPr>
                <w:color w:val="000000"/>
                <w:sz w:val="22"/>
                <w:szCs w:val="22"/>
              </w:rPr>
              <w:t>20%</w:t>
            </w:r>
          </w:p>
        </w:tc>
      </w:tr>
    </w:tbl>
    <w:p w:rsidR="00D57FBD" w:rsidRPr="00E3482E" w:rsidRDefault="00907A92" w:rsidP="00D57FBD">
      <w:pPr>
        <w:pStyle w:val="Text"/>
        <w:keepNext/>
        <w:spacing w:before="60" w:line="269" w:lineRule="auto"/>
        <w:rPr>
          <w:i/>
          <w:color w:val="000000"/>
          <w:sz w:val="20"/>
          <w:szCs w:val="20"/>
          <w:lang w:val="en-GB"/>
        </w:rPr>
      </w:pPr>
      <w:r w:rsidRPr="00E3482E">
        <w:rPr>
          <w:color w:val="000000"/>
          <w:vertAlign w:val="superscript"/>
          <w:lang w:val="en-GB"/>
        </w:rPr>
        <w:t>*</w:t>
      </w:r>
      <w:r w:rsidR="00D57FBD" w:rsidRPr="00E3482E">
        <w:rPr>
          <w:i/>
          <w:color w:val="000000"/>
          <w:sz w:val="20"/>
          <w:szCs w:val="20"/>
          <w:lang w:val="en-GB"/>
        </w:rPr>
        <w:t xml:space="preserve"> </w:t>
      </w:r>
      <w:proofErr w:type="gramStart"/>
      <w:r w:rsidR="00D57FBD" w:rsidRPr="00E3482E">
        <w:rPr>
          <w:i/>
          <w:color w:val="000000"/>
          <w:sz w:val="20"/>
          <w:szCs w:val="20"/>
          <w:lang w:val="en-GB"/>
        </w:rPr>
        <w:t>p</w:t>
      </w:r>
      <w:proofErr w:type="gramEnd"/>
      <w:r w:rsidR="00D57FBD" w:rsidRPr="00E3482E">
        <w:rPr>
          <w:i/>
          <w:color w:val="000000"/>
          <w:sz w:val="20"/>
          <w:szCs w:val="20"/>
          <w:lang w:val="en-GB"/>
        </w:rPr>
        <w:t xml:space="preserve"> </w:t>
      </w:r>
      <w:r w:rsidRPr="00E3482E">
        <w:rPr>
          <w:i/>
          <w:color w:val="000000"/>
          <w:sz w:val="20"/>
          <w:szCs w:val="20"/>
          <w:lang w:val="en-GB"/>
        </w:rPr>
        <w:t>value &lt;</w:t>
      </w:r>
      <w:r w:rsidR="00D57FBD" w:rsidRPr="00E3482E">
        <w:rPr>
          <w:i/>
          <w:color w:val="000000"/>
          <w:sz w:val="20"/>
          <w:szCs w:val="20"/>
          <w:lang w:val="en-GB"/>
        </w:rPr>
        <w:t xml:space="preserve"> 0.0001; p </w:t>
      </w:r>
      <w:r w:rsidRPr="00E3482E">
        <w:rPr>
          <w:i/>
          <w:color w:val="000000"/>
          <w:sz w:val="20"/>
          <w:szCs w:val="20"/>
          <w:lang w:val="en-GB"/>
        </w:rPr>
        <w:t>values not calculated for studies 2 and 3.</w:t>
      </w:r>
    </w:p>
    <w:p w:rsidR="00907A92" w:rsidRPr="00E3482E" w:rsidRDefault="00907A92" w:rsidP="00F5092E">
      <w:pPr>
        <w:pStyle w:val="Heading2"/>
      </w:pPr>
      <w:r w:rsidRPr="00E3482E">
        <w:t>Radiographic Response</w:t>
      </w:r>
    </w:p>
    <w:p w:rsidR="00D57FBD" w:rsidRPr="00E3482E" w:rsidRDefault="00907A92" w:rsidP="00A0486A">
      <w:pPr>
        <w:spacing w:before="120"/>
        <w:jc w:val="both"/>
        <w:rPr>
          <w:color w:val="000000"/>
          <w:lang w:val="en-GB"/>
        </w:rPr>
      </w:pPr>
      <w:r w:rsidRPr="00E3482E">
        <w:rPr>
          <w:color w:val="000000"/>
          <w:lang w:val="en-GB"/>
        </w:rPr>
        <w:t xml:space="preserve">In Study WA17042 (REFLEX), structural joint damage was assessed radiographically and expressed as changes in </w:t>
      </w:r>
      <w:proofErr w:type="spellStart"/>
      <w:r w:rsidRPr="00E3482E">
        <w:rPr>
          <w:color w:val="000000"/>
          <w:lang w:val="en-GB"/>
        </w:rPr>
        <w:t>Genant</w:t>
      </w:r>
      <w:proofErr w:type="spellEnd"/>
      <w:r w:rsidRPr="00E3482E">
        <w:rPr>
          <w:color w:val="000000"/>
          <w:lang w:val="en-GB"/>
        </w:rPr>
        <w:t xml:space="preserve">-modified Total Sharp Score (TSS) and its components, the erosion score (ES) and the joint space narrowing (JSN) score. </w:t>
      </w:r>
      <w:proofErr w:type="spellStart"/>
      <w:r w:rsidRPr="00E3482E">
        <w:rPr>
          <w:color w:val="000000"/>
          <w:lang w:val="en-GB"/>
        </w:rPr>
        <w:t>Rituximab+MTX</w:t>
      </w:r>
      <w:proofErr w:type="spellEnd"/>
      <w:r w:rsidRPr="00E3482E">
        <w:rPr>
          <w:color w:val="000000"/>
          <w:lang w:val="en-GB"/>
        </w:rPr>
        <w:t xml:space="preserve"> slowed the </w:t>
      </w:r>
      <w:r w:rsidRPr="00E3482E">
        <w:rPr>
          <w:color w:val="000000"/>
          <w:lang w:val="en-GB"/>
        </w:rPr>
        <w:lastRenderedPageBreak/>
        <w:t xml:space="preserve">progression of structural damage compared to </w:t>
      </w:r>
      <w:proofErr w:type="spellStart"/>
      <w:r w:rsidRPr="00E3482E">
        <w:rPr>
          <w:color w:val="000000"/>
          <w:lang w:val="en-GB"/>
        </w:rPr>
        <w:t>placebo+MTX</w:t>
      </w:r>
      <w:proofErr w:type="spellEnd"/>
      <w:r w:rsidRPr="00E3482E">
        <w:rPr>
          <w:color w:val="000000"/>
          <w:lang w:val="en-GB"/>
        </w:rPr>
        <w:t xml:space="preserve"> after 1 year (Table 11). 70% of patients initially randomised to </w:t>
      </w:r>
      <w:proofErr w:type="spellStart"/>
      <w:r w:rsidRPr="00E3482E">
        <w:rPr>
          <w:color w:val="000000"/>
          <w:lang w:val="en-GB"/>
        </w:rPr>
        <w:t>Rituximab+MTX</w:t>
      </w:r>
      <w:proofErr w:type="spellEnd"/>
      <w:r w:rsidRPr="00E3482E">
        <w:rPr>
          <w:color w:val="000000"/>
          <w:lang w:val="en-GB"/>
        </w:rPr>
        <w:t xml:space="preserve"> and 72% of patients initially randomised to </w:t>
      </w:r>
      <w:proofErr w:type="spellStart"/>
      <w:r w:rsidRPr="00E3482E">
        <w:rPr>
          <w:color w:val="000000"/>
          <w:lang w:val="en-GB"/>
        </w:rPr>
        <w:t>placebo+MTX</w:t>
      </w:r>
      <w:proofErr w:type="spellEnd"/>
      <w:r w:rsidRPr="00E3482E">
        <w:rPr>
          <w:color w:val="000000"/>
          <w:lang w:val="en-GB"/>
        </w:rPr>
        <w:t xml:space="preserve"> were evaluated radiographically at year 2. Progression of structural damage in </w:t>
      </w:r>
      <w:proofErr w:type="spellStart"/>
      <w:r w:rsidRPr="00E3482E">
        <w:rPr>
          <w:color w:val="000000"/>
          <w:lang w:val="en-GB"/>
        </w:rPr>
        <w:t>Rituximab+MTX</w:t>
      </w:r>
      <w:proofErr w:type="spellEnd"/>
      <w:r w:rsidRPr="00E3482E">
        <w:rPr>
          <w:color w:val="000000"/>
          <w:lang w:val="en-GB"/>
        </w:rPr>
        <w:t xml:space="preserve"> patients was further reduced in the second year of treatment (Table 11).</w:t>
      </w:r>
    </w:p>
    <w:p w:rsidR="006A7513" w:rsidRPr="00E3482E" w:rsidRDefault="006A7513" w:rsidP="00CE75ED">
      <w:pPr>
        <w:pStyle w:val="Tabletitle"/>
        <w:keepNext/>
        <w:spacing w:before="200"/>
        <w:ind w:left="1021" w:hanging="1021"/>
        <w:rPr>
          <w:color w:val="000000"/>
          <w:sz w:val="23"/>
          <w:szCs w:val="23"/>
        </w:rPr>
      </w:pPr>
      <w:r w:rsidRPr="00E3482E">
        <w:rPr>
          <w:color w:val="000000"/>
          <w:sz w:val="23"/>
          <w:szCs w:val="23"/>
        </w:rPr>
        <w:t xml:space="preserve">Table 11: </w:t>
      </w:r>
      <w:r w:rsidRPr="00E3482E">
        <w:rPr>
          <w:color w:val="000000"/>
          <w:sz w:val="23"/>
          <w:szCs w:val="23"/>
        </w:rPr>
        <w:tab/>
        <w:t>Mean radiographic change from baseline to 104 weeks</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9"/>
        <w:gridCol w:w="1559"/>
        <w:gridCol w:w="1276"/>
        <w:gridCol w:w="2268"/>
        <w:gridCol w:w="1559"/>
      </w:tblGrid>
      <w:tr w:rsidR="007E7E42" w:rsidRPr="00E3482E" w:rsidTr="004B0B13">
        <w:tc>
          <w:tcPr>
            <w:tcW w:w="9461" w:type="dxa"/>
            <w:gridSpan w:val="5"/>
            <w:tcBorders>
              <w:top w:val="single" w:sz="4" w:space="0" w:color="auto"/>
              <w:left w:val="single" w:sz="4" w:space="0" w:color="auto"/>
              <w:bottom w:val="single" w:sz="4" w:space="0" w:color="auto"/>
              <w:right w:val="single" w:sz="4" w:space="0" w:color="auto"/>
            </w:tcBorders>
            <w:shd w:val="clear" w:color="auto" w:fill="FFFFFF"/>
          </w:tcPr>
          <w:p w:rsidR="007E7E42" w:rsidRPr="00E3482E" w:rsidRDefault="007E7E42" w:rsidP="006A7513">
            <w:pPr>
              <w:pStyle w:val="Text"/>
              <w:keepNext/>
              <w:spacing w:line="269" w:lineRule="auto"/>
              <w:jc w:val="center"/>
              <w:rPr>
                <w:b/>
                <w:color w:val="000000"/>
                <w:sz w:val="22"/>
                <w:szCs w:val="22"/>
              </w:rPr>
            </w:pPr>
            <w:r w:rsidRPr="00E3482E">
              <w:rPr>
                <w:b/>
                <w:color w:val="000000"/>
                <w:sz w:val="22"/>
                <w:szCs w:val="22"/>
              </w:rPr>
              <w:t>Inadequate Response to TNF Antagonists</w:t>
            </w:r>
          </w:p>
        </w:tc>
      </w:tr>
      <w:tr w:rsidR="006A7513" w:rsidRPr="00E3482E" w:rsidTr="007E7E42">
        <w:trPr>
          <w:cantSplit/>
        </w:trPr>
        <w:tc>
          <w:tcPr>
            <w:tcW w:w="279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0"/>
              <w:jc w:val="center"/>
              <w:rPr>
                <w:b/>
                <w:color w:val="000000"/>
                <w:sz w:val="22"/>
                <w:szCs w:val="22"/>
              </w:rPr>
            </w:pPr>
            <w:r w:rsidRPr="00E3482E">
              <w:rPr>
                <w:b/>
                <w:color w:val="000000"/>
                <w:sz w:val="22"/>
                <w:szCs w:val="22"/>
              </w:rPr>
              <w:t>Parameter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0" w:line="269" w:lineRule="auto"/>
              <w:jc w:val="center"/>
              <w:rPr>
                <w:b/>
                <w:color w:val="000000"/>
                <w:sz w:val="22"/>
                <w:szCs w:val="22"/>
              </w:rPr>
            </w:pPr>
            <w:r w:rsidRPr="00E3482E">
              <w:rPr>
                <w:b/>
                <w:color w:val="000000"/>
                <w:sz w:val="22"/>
                <w:szCs w:val="22"/>
              </w:rPr>
              <w:t xml:space="preserve">Rituximab +MTX </w:t>
            </w:r>
            <w:r w:rsidRPr="00E3482E">
              <w:rPr>
                <w:color w:val="000000"/>
                <w:sz w:val="22"/>
                <w:szCs w:val="22"/>
                <w:vertAlign w:val="superscript"/>
              </w:rPr>
              <w:t>b</w:t>
            </w:r>
          </w:p>
          <w:p w:rsidR="006A7513" w:rsidRPr="00E3482E" w:rsidRDefault="006A7513" w:rsidP="004B0B13">
            <w:pPr>
              <w:pStyle w:val="Text"/>
              <w:spacing w:before="0" w:line="269" w:lineRule="auto"/>
              <w:jc w:val="center"/>
              <w:rPr>
                <w:color w:val="000000"/>
                <w:sz w:val="22"/>
                <w:szCs w:val="22"/>
              </w:rPr>
            </w:pPr>
            <w:r w:rsidRPr="00E3482E">
              <w:rPr>
                <w:color w:val="000000"/>
                <w:sz w:val="22"/>
                <w:szCs w:val="22"/>
              </w:rPr>
              <w:t>(2 x 1000 mg)</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6A7513">
            <w:pPr>
              <w:pStyle w:val="Text"/>
              <w:spacing w:before="0" w:line="269" w:lineRule="auto"/>
              <w:jc w:val="center"/>
              <w:rPr>
                <w:b/>
                <w:color w:val="000000"/>
                <w:sz w:val="22"/>
                <w:szCs w:val="22"/>
              </w:rPr>
            </w:pPr>
            <w:r w:rsidRPr="00E3482E">
              <w:rPr>
                <w:b/>
                <w:color w:val="000000"/>
                <w:sz w:val="22"/>
                <w:szCs w:val="22"/>
              </w:rPr>
              <w:t xml:space="preserve">Placebo +MTX </w:t>
            </w:r>
            <w:r w:rsidRPr="00E3482E">
              <w:rPr>
                <w:color w:val="000000"/>
                <w:sz w:val="22"/>
                <w:szCs w:val="22"/>
                <w:vertAlign w:val="superscript"/>
              </w:rPr>
              <w:t>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0" w:line="269" w:lineRule="auto"/>
              <w:jc w:val="center"/>
              <w:rPr>
                <w:b/>
                <w:color w:val="000000"/>
                <w:sz w:val="22"/>
                <w:szCs w:val="22"/>
              </w:rPr>
            </w:pPr>
            <w:r w:rsidRPr="00E3482E">
              <w:rPr>
                <w:b/>
                <w:color w:val="000000"/>
                <w:sz w:val="22"/>
                <w:szCs w:val="22"/>
              </w:rPr>
              <w:t xml:space="preserve">Treatment Difference </w:t>
            </w:r>
            <w:r w:rsidRPr="00E3482E">
              <w:rPr>
                <w:color w:val="000000"/>
                <w:sz w:val="22"/>
                <w:szCs w:val="22"/>
              </w:rPr>
              <w:t>(Placebo – Rituximab)</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6A7513">
            <w:pPr>
              <w:pStyle w:val="Text"/>
              <w:spacing w:before="0" w:line="269" w:lineRule="auto"/>
              <w:jc w:val="center"/>
              <w:rPr>
                <w:b/>
                <w:color w:val="000000"/>
                <w:sz w:val="22"/>
                <w:szCs w:val="22"/>
              </w:rPr>
            </w:pPr>
            <w:r w:rsidRPr="00E3482E">
              <w:rPr>
                <w:b/>
                <w:color w:val="000000"/>
                <w:sz w:val="22"/>
                <w:szCs w:val="22"/>
              </w:rPr>
              <w:t>95% CI</w:t>
            </w:r>
          </w:p>
        </w:tc>
      </w:tr>
      <w:tr w:rsidR="006A7513" w:rsidRPr="00E3482E" w:rsidTr="007E7E42">
        <w:tc>
          <w:tcPr>
            <w:tcW w:w="279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left"/>
              <w:rPr>
                <w:color w:val="000000"/>
                <w:sz w:val="22"/>
                <w:szCs w:val="22"/>
                <w:u w:val="single"/>
              </w:rPr>
            </w:pPr>
            <w:r w:rsidRPr="00E3482E">
              <w:rPr>
                <w:color w:val="000000"/>
                <w:sz w:val="22"/>
                <w:szCs w:val="22"/>
                <w:u w:val="single"/>
              </w:rPr>
              <w:t>Change during first year</w:t>
            </w:r>
          </w:p>
          <w:p w:rsidR="006A7513" w:rsidRPr="00E3482E" w:rsidRDefault="006A7513" w:rsidP="006A7513">
            <w:pPr>
              <w:pStyle w:val="Text"/>
              <w:spacing w:before="0" w:line="269" w:lineRule="auto"/>
              <w:jc w:val="left"/>
              <w:rPr>
                <w:color w:val="000000"/>
                <w:sz w:val="22"/>
                <w:szCs w:val="22"/>
              </w:rPr>
            </w:pPr>
            <w:r w:rsidRPr="00E3482E">
              <w:rPr>
                <w:color w:val="000000"/>
                <w:sz w:val="22"/>
                <w:szCs w:val="22"/>
              </w:rPr>
              <w:t>TSS</w:t>
            </w:r>
          </w:p>
          <w:p w:rsidR="006A7513" w:rsidRPr="00E3482E" w:rsidRDefault="006A7513" w:rsidP="006A7513">
            <w:pPr>
              <w:pStyle w:val="Text"/>
              <w:spacing w:before="0" w:line="269" w:lineRule="auto"/>
              <w:jc w:val="left"/>
              <w:rPr>
                <w:color w:val="000000"/>
                <w:sz w:val="22"/>
                <w:szCs w:val="22"/>
              </w:rPr>
            </w:pPr>
            <w:r w:rsidRPr="00E3482E">
              <w:rPr>
                <w:color w:val="000000"/>
                <w:sz w:val="22"/>
                <w:szCs w:val="22"/>
              </w:rPr>
              <w:t>ES</w:t>
            </w:r>
          </w:p>
          <w:p w:rsidR="006A7513" w:rsidRPr="00E3482E" w:rsidRDefault="006A7513" w:rsidP="006A7513">
            <w:pPr>
              <w:pStyle w:val="Text"/>
              <w:spacing w:before="0" w:line="269" w:lineRule="auto"/>
              <w:jc w:val="left"/>
              <w:rPr>
                <w:color w:val="000000"/>
                <w:sz w:val="22"/>
                <w:szCs w:val="22"/>
              </w:rPr>
            </w:pPr>
            <w:r w:rsidRPr="00E3482E">
              <w:rPr>
                <w:color w:val="000000"/>
                <w:sz w:val="22"/>
                <w:szCs w:val="22"/>
              </w:rPr>
              <w:t>JSN score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0.66</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0.44</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1.78</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1.19</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0.59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1.12</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0.75</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(0.48, 1.76)</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(0.32, 1.18)</w:t>
            </w:r>
          </w:p>
          <w:p w:rsidR="006A7513" w:rsidRPr="00E3482E" w:rsidRDefault="006A7513" w:rsidP="006A7513">
            <w:pPr>
              <w:pStyle w:val="Text"/>
              <w:spacing w:before="0" w:line="269" w:lineRule="auto"/>
              <w:jc w:val="center"/>
              <w:rPr>
                <w:color w:val="000000"/>
                <w:sz w:val="22"/>
                <w:szCs w:val="22"/>
              </w:rPr>
            </w:pPr>
            <w:r w:rsidRPr="00E3482E">
              <w:rPr>
                <w:color w:val="000000"/>
                <w:sz w:val="22"/>
                <w:szCs w:val="22"/>
              </w:rPr>
              <w:t>(0.11, 0.63)</w:t>
            </w:r>
          </w:p>
        </w:tc>
      </w:tr>
      <w:tr w:rsidR="006A7513" w:rsidRPr="00E3482E" w:rsidTr="007E7E42">
        <w:tc>
          <w:tcPr>
            <w:tcW w:w="279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left"/>
              <w:rPr>
                <w:color w:val="000000"/>
                <w:sz w:val="22"/>
                <w:szCs w:val="22"/>
                <w:u w:val="single"/>
              </w:rPr>
            </w:pPr>
            <w:r w:rsidRPr="00E3482E">
              <w:rPr>
                <w:color w:val="000000"/>
                <w:sz w:val="22"/>
                <w:szCs w:val="22"/>
                <w:u w:val="single"/>
              </w:rPr>
              <w:t>Change during second year</w:t>
            </w:r>
            <w:r w:rsidRPr="00E3482E">
              <w:rPr>
                <w:color w:val="000000"/>
                <w:sz w:val="22"/>
                <w:szCs w:val="22"/>
              </w:rPr>
              <w:t xml:space="preserve"> </w:t>
            </w:r>
            <w:r w:rsidRPr="00E3482E">
              <w:rPr>
                <w:color w:val="000000"/>
                <w:sz w:val="22"/>
                <w:szCs w:val="22"/>
                <w:vertAlign w:val="superscript"/>
              </w:rPr>
              <w:t>a</w:t>
            </w:r>
          </w:p>
          <w:p w:rsidR="006A7513" w:rsidRPr="00E3482E" w:rsidRDefault="006A7513" w:rsidP="006A7513">
            <w:pPr>
              <w:pStyle w:val="Text"/>
              <w:spacing w:before="40" w:line="269" w:lineRule="auto"/>
              <w:jc w:val="left"/>
              <w:rPr>
                <w:color w:val="000000"/>
                <w:sz w:val="22"/>
                <w:szCs w:val="22"/>
                <w:u w:val="single"/>
              </w:rPr>
            </w:pPr>
            <w:r w:rsidRPr="00E3482E">
              <w:rPr>
                <w:color w:val="000000"/>
                <w:sz w:val="22"/>
                <w:szCs w:val="22"/>
                <w:u w:val="single"/>
              </w:rPr>
              <w:t>TSS</w:t>
            </w:r>
          </w:p>
          <w:p w:rsidR="006A7513" w:rsidRPr="00E3482E" w:rsidRDefault="006A7513" w:rsidP="006A7513">
            <w:pPr>
              <w:pStyle w:val="Text"/>
              <w:spacing w:before="40" w:line="269" w:lineRule="auto"/>
              <w:jc w:val="left"/>
              <w:rPr>
                <w:color w:val="000000"/>
                <w:sz w:val="22"/>
                <w:szCs w:val="22"/>
                <w:u w:val="single"/>
              </w:rPr>
            </w:pPr>
            <w:r w:rsidRPr="00E3482E">
              <w:rPr>
                <w:color w:val="000000"/>
                <w:sz w:val="22"/>
                <w:szCs w:val="22"/>
                <w:u w:val="single"/>
              </w:rPr>
              <w:t>ES</w:t>
            </w:r>
          </w:p>
          <w:p w:rsidR="006A7513" w:rsidRPr="00E3482E" w:rsidRDefault="006A7513" w:rsidP="006A7513">
            <w:pPr>
              <w:pStyle w:val="Text"/>
              <w:spacing w:before="40" w:line="269" w:lineRule="auto"/>
              <w:jc w:val="left"/>
              <w:rPr>
                <w:color w:val="000000"/>
                <w:sz w:val="22"/>
                <w:szCs w:val="22"/>
                <w:u w:val="single"/>
              </w:rPr>
            </w:pPr>
            <w:r w:rsidRPr="00E3482E">
              <w:rPr>
                <w:color w:val="000000"/>
                <w:sz w:val="22"/>
                <w:szCs w:val="22"/>
                <w:u w:val="single"/>
              </w:rPr>
              <w:t>JSN score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7E7E42" w:rsidP="006A7513">
            <w:pPr>
              <w:pStyle w:val="Text"/>
              <w:spacing w:before="40" w:line="269" w:lineRule="auto"/>
              <w:jc w:val="center"/>
              <w:rPr>
                <w:color w:val="000000"/>
                <w:sz w:val="22"/>
                <w:szCs w:val="22"/>
              </w:rPr>
            </w:pPr>
            <w:r w:rsidRPr="00E3482E">
              <w:rPr>
                <w:color w:val="000000"/>
                <w:sz w:val="22"/>
                <w:szCs w:val="22"/>
              </w:rPr>
              <w:t>0.48</w:t>
            </w:r>
          </w:p>
          <w:p w:rsidR="006A7513" w:rsidRPr="00E3482E" w:rsidRDefault="007E7E42" w:rsidP="006A7513">
            <w:pPr>
              <w:pStyle w:val="Text"/>
              <w:spacing w:before="40" w:line="269" w:lineRule="auto"/>
              <w:jc w:val="center"/>
              <w:rPr>
                <w:color w:val="000000"/>
                <w:sz w:val="22"/>
                <w:szCs w:val="22"/>
              </w:rPr>
            </w:pPr>
            <w:r w:rsidRPr="00E3482E">
              <w:rPr>
                <w:color w:val="000000"/>
                <w:sz w:val="22"/>
                <w:szCs w:val="22"/>
              </w:rPr>
              <w:t>0.28</w:t>
            </w:r>
          </w:p>
          <w:p w:rsidR="006A7513" w:rsidRPr="00E3482E" w:rsidRDefault="006A7513" w:rsidP="006A7513">
            <w:pPr>
              <w:pStyle w:val="Text"/>
              <w:spacing w:before="40" w:line="269" w:lineRule="auto"/>
              <w:jc w:val="center"/>
              <w:rPr>
                <w:color w:val="000000"/>
                <w:sz w:val="22"/>
                <w:szCs w:val="22"/>
              </w:rPr>
            </w:pPr>
            <w:r w:rsidRPr="00E3482E">
              <w:rPr>
                <w:color w:val="000000"/>
                <w:sz w:val="22"/>
                <w:szCs w:val="22"/>
              </w:rPr>
              <w:t>0.2</w:t>
            </w:r>
            <w:r w:rsidR="007E7E42" w:rsidRPr="00E3482E">
              <w:rPr>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7E7E42" w:rsidP="006A7513">
            <w:pPr>
              <w:pStyle w:val="Text"/>
              <w:spacing w:before="40" w:line="269" w:lineRule="auto"/>
              <w:jc w:val="center"/>
              <w:rPr>
                <w:color w:val="000000"/>
                <w:sz w:val="22"/>
                <w:szCs w:val="22"/>
              </w:rPr>
            </w:pPr>
            <w:r w:rsidRPr="00E3482E">
              <w:rPr>
                <w:color w:val="000000"/>
                <w:sz w:val="22"/>
                <w:szCs w:val="22"/>
              </w:rPr>
              <w:t>1.04</w:t>
            </w:r>
          </w:p>
          <w:p w:rsidR="006A7513" w:rsidRPr="00E3482E" w:rsidRDefault="007E7E42" w:rsidP="006A7513">
            <w:pPr>
              <w:pStyle w:val="Text"/>
              <w:spacing w:before="40" w:line="269" w:lineRule="auto"/>
              <w:jc w:val="center"/>
              <w:rPr>
                <w:color w:val="000000"/>
                <w:sz w:val="22"/>
                <w:szCs w:val="22"/>
              </w:rPr>
            </w:pPr>
            <w:r w:rsidRPr="00E3482E">
              <w:rPr>
                <w:color w:val="000000"/>
                <w:sz w:val="22"/>
                <w:szCs w:val="22"/>
              </w:rPr>
              <w:t>0.62</w:t>
            </w:r>
          </w:p>
          <w:p w:rsidR="006A7513" w:rsidRPr="00E3482E" w:rsidRDefault="007E7E42" w:rsidP="006A7513">
            <w:pPr>
              <w:pStyle w:val="Text"/>
              <w:spacing w:before="40" w:line="269" w:lineRule="auto"/>
              <w:jc w:val="center"/>
              <w:rPr>
                <w:color w:val="000000"/>
                <w:sz w:val="22"/>
                <w:szCs w:val="22"/>
              </w:rPr>
            </w:pPr>
            <w:r w:rsidRPr="00E3482E">
              <w:rPr>
                <w:color w:val="000000"/>
                <w:sz w:val="22"/>
                <w:szCs w:val="22"/>
              </w:rPr>
              <w:t>0.42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7E7E42" w:rsidP="006A7513">
            <w:pPr>
              <w:pStyle w:val="Text"/>
              <w:spacing w:before="40" w:line="269" w:lineRule="auto"/>
              <w:jc w:val="center"/>
              <w:rPr>
                <w:color w:val="000000"/>
                <w:sz w:val="22"/>
                <w:szCs w:val="22"/>
              </w:rPr>
            </w:pPr>
            <w:r w:rsidRPr="00E3482E">
              <w:rPr>
                <w:color w:val="000000"/>
                <w:sz w:val="22"/>
                <w:szCs w:val="22"/>
              </w:rPr>
              <w:t>-</w:t>
            </w:r>
          </w:p>
          <w:p w:rsidR="007E7E42" w:rsidRPr="00E3482E" w:rsidRDefault="007E7E42" w:rsidP="006A7513">
            <w:pPr>
              <w:pStyle w:val="Text"/>
              <w:spacing w:before="40" w:line="269" w:lineRule="auto"/>
              <w:jc w:val="center"/>
              <w:rPr>
                <w:color w:val="000000"/>
                <w:sz w:val="22"/>
                <w:szCs w:val="22"/>
              </w:rPr>
            </w:pPr>
            <w:r w:rsidRPr="00E3482E">
              <w:rPr>
                <w:color w:val="000000"/>
                <w:sz w:val="22"/>
                <w:szCs w:val="22"/>
              </w:rPr>
              <w:t>-</w:t>
            </w:r>
          </w:p>
          <w:p w:rsidR="006A7513" w:rsidRPr="00E3482E" w:rsidRDefault="007E7E42" w:rsidP="007E7E42">
            <w:pPr>
              <w:pStyle w:val="Text"/>
              <w:spacing w:before="40" w:line="269" w:lineRule="auto"/>
              <w:jc w:val="center"/>
              <w:rPr>
                <w:color w:val="000000"/>
                <w:sz w:val="22"/>
                <w:szCs w:val="22"/>
              </w:rPr>
            </w:pPr>
            <w:r w:rsidRPr="00E3482E">
              <w:rPr>
                <w:color w:val="000000"/>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A7513" w:rsidRPr="00E3482E" w:rsidRDefault="006A7513" w:rsidP="004B0B13">
            <w:pPr>
              <w:pStyle w:val="Text"/>
              <w:spacing w:before="40" w:line="269" w:lineRule="auto"/>
              <w:jc w:val="center"/>
              <w:rPr>
                <w:color w:val="000000"/>
                <w:sz w:val="22"/>
                <w:szCs w:val="22"/>
              </w:rPr>
            </w:pPr>
          </w:p>
          <w:p w:rsidR="006A7513" w:rsidRPr="00E3482E" w:rsidRDefault="007E7E42" w:rsidP="007E7E42">
            <w:pPr>
              <w:pStyle w:val="Text"/>
              <w:spacing w:before="40" w:line="269" w:lineRule="auto"/>
              <w:jc w:val="center"/>
              <w:rPr>
                <w:color w:val="000000"/>
                <w:sz w:val="22"/>
                <w:szCs w:val="22"/>
              </w:rPr>
            </w:pPr>
            <w:r w:rsidRPr="00E3482E">
              <w:rPr>
                <w:color w:val="000000"/>
                <w:sz w:val="22"/>
                <w:szCs w:val="22"/>
              </w:rPr>
              <w:t>-</w:t>
            </w:r>
          </w:p>
          <w:p w:rsidR="007E7E42" w:rsidRPr="00E3482E" w:rsidRDefault="007E7E42" w:rsidP="007E7E42">
            <w:pPr>
              <w:pStyle w:val="Text"/>
              <w:spacing w:before="40" w:line="269" w:lineRule="auto"/>
              <w:jc w:val="center"/>
              <w:rPr>
                <w:color w:val="000000"/>
                <w:sz w:val="22"/>
                <w:szCs w:val="22"/>
              </w:rPr>
            </w:pPr>
            <w:r w:rsidRPr="00E3482E">
              <w:rPr>
                <w:color w:val="000000"/>
                <w:sz w:val="22"/>
                <w:szCs w:val="22"/>
              </w:rPr>
              <w:t>-</w:t>
            </w:r>
          </w:p>
          <w:p w:rsidR="007E7E42" w:rsidRPr="00E3482E" w:rsidRDefault="007E7E42" w:rsidP="007E7E42">
            <w:pPr>
              <w:pStyle w:val="Text"/>
              <w:spacing w:before="40" w:line="269" w:lineRule="auto"/>
              <w:jc w:val="center"/>
              <w:rPr>
                <w:color w:val="000000"/>
                <w:sz w:val="22"/>
                <w:szCs w:val="22"/>
              </w:rPr>
            </w:pPr>
            <w:r w:rsidRPr="00E3482E">
              <w:rPr>
                <w:color w:val="000000"/>
                <w:sz w:val="22"/>
                <w:szCs w:val="22"/>
              </w:rPr>
              <w:t>-</w:t>
            </w:r>
          </w:p>
        </w:tc>
      </w:tr>
    </w:tbl>
    <w:p w:rsidR="007E7E42" w:rsidRPr="00E3482E" w:rsidRDefault="007E7E42" w:rsidP="009A42F2">
      <w:pPr>
        <w:pStyle w:val="Text"/>
        <w:keepNext/>
        <w:spacing w:before="60" w:line="259" w:lineRule="auto"/>
        <w:rPr>
          <w:i/>
          <w:color w:val="000000"/>
          <w:sz w:val="20"/>
          <w:szCs w:val="20"/>
          <w:lang w:val="en-GB"/>
        </w:rPr>
      </w:pPr>
      <w:proofErr w:type="gramStart"/>
      <w:r w:rsidRPr="00E3482E">
        <w:rPr>
          <w:color w:val="000000"/>
          <w:vertAlign w:val="superscript"/>
          <w:lang w:val="en-GB"/>
        </w:rPr>
        <w:t>a</w:t>
      </w:r>
      <w:proofErr w:type="gramEnd"/>
      <w:r w:rsidRPr="00E3482E">
        <w:rPr>
          <w:i/>
          <w:color w:val="000000"/>
          <w:sz w:val="20"/>
          <w:szCs w:val="20"/>
          <w:lang w:val="en-GB"/>
        </w:rPr>
        <w:t xml:space="preserve"> Based on radiographic scoring following 104 weeks of observation </w:t>
      </w:r>
    </w:p>
    <w:p w:rsidR="007E7E42" w:rsidRPr="00E3482E" w:rsidRDefault="007E7E42" w:rsidP="009A42F2">
      <w:pPr>
        <w:pStyle w:val="Text"/>
        <w:keepNext/>
        <w:spacing w:before="0" w:line="259" w:lineRule="auto"/>
        <w:rPr>
          <w:i/>
          <w:color w:val="000000"/>
          <w:sz w:val="20"/>
          <w:szCs w:val="20"/>
          <w:lang w:val="en-GB"/>
        </w:rPr>
      </w:pPr>
      <w:proofErr w:type="gramStart"/>
      <w:r w:rsidRPr="00E3482E">
        <w:rPr>
          <w:color w:val="000000"/>
          <w:vertAlign w:val="superscript"/>
          <w:lang w:val="en-GB"/>
        </w:rPr>
        <w:t>b</w:t>
      </w:r>
      <w:proofErr w:type="gramEnd"/>
      <w:r w:rsidRPr="00E3482E">
        <w:rPr>
          <w:i/>
          <w:color w:val="000000"/>
          <w:sz w:val="20"/>
          <w:szCs w:val="20"/>
          <w:lang w:val="en-GB"/>
        </w:rPr>
        <w:t xml:space="preserve"> Patients received up to 2 years of treatment with </w:t>
      </w:r>
      <w:proofErr w:type="spellStart"/>
      <w:r w:rsidRPr="00E3482E">
        <w:rPr>
          <w:i/>
          <w:color w:val="000000"/>
          <w:sz w:val="20"/>
          <w:szCs w:val="20"/>
          <w:lang w:val="en-GB"/>
        </w:rPr>
        <w:t>rituximab+MTX</w:t>
      </w:r>
      <w:proofErr w:type="spellEnd"/>
      <w:r w:rsidRPr="00E3482E">
        <w:rPr>
          <w:i/>
          <w:color w:val="000000"/>
          <w:sz w:val="20"/>
          <w:szCs w:val="20"/>
          <w:lang w:val="en-GB"/>
        </w:rPr>
        <w:t xml:space="preserve"> </w:t>
      </w:r>
    </w:p>
    <w:p w:rsidR="007E7E42" w:rsidRPr="00E3482E" w:rsidRDefault="007E7E42" w:rsidP="009A42F2">
      <w:pPr>
        <w:pStyle w:val="Text"/>
        <w:keepNext/>
        <w:spacing w:before="0" w:line="259" w:lineRule="auto"/>
        <w:rPr>
          <w:i/>
          <w:color w:val="000000"/>
          <w:sz w:val="20"/>
          <w:szCs w:val="20"/>
          <w:lang w:val="en-GB"/>
        </w:rPr>
      </w:pPr>
      <w:proofErr w:type="gramStart"/>
      <w:r w:rsidRPr="00E3482E">
        <w:rPr>
          <w:color w:val="000000"/>
          <w:vertAlign w:val="superscript"/>
          <w:lang w:val="en-GB"/>
        </w:rPr>
        <w:t>c</w:t>
      </w:r>
      <w:proofErr w:type="gramEnd"/>
      <w:r w:rsidRPr="00E3482E">
        <w:rPr>
          <w:i/>
          <w:color w:val="000000"/>
          <w:sz w:val="20"/>
          <w:szCs w:val="20"/>
          <w:lang w:val="en-GB"/>
        </w:rPr>
        <w:t xml:space="preserve"> Patients receiving </w:t>
      </w:r>
      <w:proofErr w:type="spellStart"/>
      <w:r w:rsidRPr="00E3482E">
        <w:rPr>
          <w:i/>
          <w:color w:val="000000"/>
          <w:sz w:val="20"/>
          <w:szCs w:val="20"/>
          <w:lang w:val="en-GB"/>
        </w:rPr>
        <w:t>placebo+MTX</w:t>
      </w:r>
      <w:proofErr w:type="spellEnd"/>
      <w:r w:rsidRPr="00E3482E">
        <w:rPr>
          <w:i/>
          <w:color w:val="000000"/>
          <w:sz w:val="20"/>
          <w:szCs w:val="20"/>
          <w:lang w:val="en-GB"/>
        </w:rPr>
        <w:t xml:space="preserve"> could receive retreatment with </w:t>
      </w:r>
      <w:proofErr w:type="spellStart"/>
      <w:r w:rsidRPr="00E3482E">
        <w:rPr>
          <w:i/>
          <w:color w:val="000000"/>
          <w:sz w:val="20"/>
          <w:szCs w:val="20"/>
          <w:lang w:val="en-GB"/>
        </w:rPr>
        <w:t>rituximab+MTX</w:t>
      </w:r>
      <w:proofErr w:type="spellEnd"/>
      <w:r w:rsidRPr="00E3482E">
        <w:rPr>
          <w:i/>
          <w:color w:val="000000"/>
          <w:sz w:val="20"/>
          <w:szCs w:val="20"/>
          <w:lang w:val="en-GB"/>
        </w:rPr>
        <w:t xml:space="preserve"> from week 16 onwards</w:t>
      </w:r>
    </w:p>
    <w:p w:rsidR="00A0486A" w:rsidRPr="00E3482E" w:rsidRDefault="007E7E42" w:rsidP="007E7E42">
      <w:pPr>
        <w:spacing w:before="200"/>
        <w:jc w:val="both"/>
        <w:rPr>
          <w:color w:val="000000"/>
          <w:lang w:val="en-GB"/>
        </w:rPr>
      </w:pPr>
      <w:r w:rsidRPr="00E3482E">
        <w:rPr>
          <w:color w:val="000000"/>
          <w:lang w:val="en-GB"/>
        </w:rPr>
        <w:t xml:space="preserve">Following 2 years of treatment with </w:t>
      </w:r>
      <w:proofErr w:type="spellStart"/>
      <w:r w:rsidRPr="00E3482E">
        <w:rPr>
          <w:color w:val="000000"/>
          <w:lang w:val="en-GB"/>
        </w:rPr>
        <w:t>rituximab+MTX</w:t>
      </w:r>
      <w:proofErr w:type="spellEnd"/>
      <w:r w:rsidRPr="00E3482E">
        <w:rPr>
          <w:color w:val="000000"/>
          <w:lang w:val="en-GB"/>
        </w:rPr>
        <w:t xml:space="preserve">, 57% of patients had no progression of structural damage. During the first year, 60% of </w:t>
      </w:r>
      <w:proofErr w:type="spellStart"/>
      <w:r w:rsidRPr="00E3482E">
        <w:rPr>
          <w:color w:val="000000"/>
          <w:lang w:val="en-GB"/>
        </w:rPr>
        <w:t>rituximab+MTX</w:t>
      </w:r>
      <w:proofErr w:type="spellEnd"/>
      <w:r w:rsidRPr="00E3482E">
        <w:rPr>
          <w:color w:val="000000"/>
          <w:lang w:val="en-GB"/>
        </w:rPr>
        <w:t xml:space="preserve"> treated patients had no progression, defined as a change in TSS of zero or less compared to baseline, compared to 46% of </w:t>
      </w:r>
      <w:proofErr w:type="spellStart"/>
      <w:r w:rsidRPr="00E3482E">
        <w:rPr>
          <w:color w:val="000000"/>
          <w:lang w:val="en-GB"/>
        </w:rPr>
        <w:t>placebo+MTX</w:t>
      </w:r>
      <w:proofErr w:type="spellEnd"/>
      <w:r w:rsidRPr="00E3482E">
        <w:rPr>
          <w:color w:val="000000"/>
          <w:lang w:val="en-GB"/>
        </w:rPr>
        <w:t xml:space="preserve"> treated patients. In their second year of treatment with </w:t>
      </w:r>
      <w:proofErr w:type="spellStart"/>
      <w:r w:rsidRPr="00E3482E">
        <w:rPr>
          <w:color w:val="000000"/>
          <w:lang w:val="en-GB"/>
        </w:rPr>
        <w:t>rituximab+MTX</w:t>
      </w:r>
      <w:proofErr w:type="spellEnd"/>
      <w:r w:rsidRPr="00E3482E">
        <w:rPr>
          <w:color w:val="000000"/>
          <w:lang w:val="en-GB"/>
        </w:rPr>
        <w:t xml:space="preserve">, more patients had no progression than in the first year (68% vs. 60%), and 87% of the </w:t>
      </w:r>
      <w:proofErr w:type="spellStart"/>
      <w:r w:rsidRPr="00E3482E">
        <w:rPr>
          <w:color w:val="000000"/>
          <w:lang w:val="en-GB"/>
        </w:rPr>
        <w:t>rituximab+MTX</w:t>
      </w:r>
      <w:proofErr w:type="spellEnd"/>
      <w:r w:rsidRPr="00E3482E">
        <w:rPr>
          <w:color w:val="000000"/>
          <w:lang w:val="en-GB"/>
        </w:rPr>
        <w:t xml:space="preserve"> treated patients who had no progression in the first year also had no progression in the second year.</w:t>
      </w:r>
    </w:p>
    <w:p w:rsidR="007E7E42" w:rsidRPr="00E3482E" w:rsidRDefault="007E7E42" w:rsidP="00F5092E">
      <w:pPr>
        <w:pStyle w:val="Heading2"/>
      </w:pPr>
      <w:r w:rsidRPr="00E3482E">
        <w:t>Quality of life outcomes</w:t>
      </w:r>
    </w:p>
    <w:p w:rsidR="00A0486A" w:rsidRPr="00E3482E" w:rsidRDefault="007E7E42" w:rsidP="00A0486A">
      <w:pPr>
        <w:spacing w:before="120"/>
        <w:jc w:val="both"/>
        <w:rPr>
          <w:color w:val="000000"/>
          <w:lang w:val="en-GB"/>
        </w:rPr>
      </w:pPr>
      <w:proofErr w:type="spellStart"/>
      <w:r w:rsidRPr="00E3482E">
        <w:rPr>
          <w:color w:val="000000"/>
          <w:lang w:val="en-GB"/>
        </w:rPr>
        <w:t>Rituximab+MTX</w:t>
      </w:r>
      <w:proofErr w:type="spellEnd"/>
      <w:r w:rsidRPr="00E3482E">
        <w:rPr>
          <w:color w:val="000000"/>
          <w:lang w:val="en-GB"/>
        </w:rPr>
        <w:t xml:space="preserve"> treated patients reported an improvement in all patient-reported outcomes such as Health Assessment Questionnaire Disability Index (HAQ-DI), Functional Assessment of Chronic Illness Therapy-Fatigue (FACIT-F) and Short Form-36 (SF-36) questionnaires. Significant reductions in disability index (HAQ-DI), fatigue (FACIT-F) (Table 12), and improvement in both the physical health score (PHS) and mental health score (MHS) of the SF-36 were observed in patients treated with </w:t>
      </w:r>
      <w:proofErr w:type="spellStart"/>
      <w:r w:rsidRPr="00E3482E">
        <w:rPr>
          <w:color w:val="000000"/>
          <w:lang w:val="en-GB"/>
        </w:rPr>
        <w:t>rituximab+MTX</w:t>
      </w:r>
      <w:proofErr w:type="spellEnd"/>
      <w:r w:rsidRPr="00E3482E">
        <w:rPr>
          <w:color w:val="000000"/>
          <w:lang w:val="en-GB"/>
        </w:rPr>
        <w:t xml:space="preserve"> compared to patients treated with MTX alone.</w:t>
      </w:r>
    </w:p>
    <w:p w:rsidR="000C0A52" w:rsidRPr="00E3482E" w:rsidRDefault="000C0A52" w:rsidP="00CE75ED">
      <w:pPr>
        <w:pStyle w:val="Tabletitle"/>
        <w:spacing w:before="200"/>
        <w:ind w:left="1021" w:hanging="1021"/>
        <w:rPr>
          <w:color w:val="000000"/>
          <w:sz w:val="23"/>
          <w:szCs w:val="23"/>
        </w:rPr>
      </w:pPr>
      <w:r w:rsidRPr="00E3482E">
        <w:rPr>
          <w:color w:val="000000"/>
          <w:sz w:val="23"/>
          <w:szCs w:val="23"/>
        </w:rPr>
        <w:t>Table 12:</w:t>
      </w:r>
      <w:r w:rsidRPr="00E3482E">
        <w:rPr>
          <w:color w:val="000000"/>
          <w:sz w:val="23"/>
          <w:szCs w:val="23"/>
        </w:rPr>
        <w:tab/>
        <w:t xml:space="preserve">Physical </w:t>
      </w:r>
      <w:r w:rsidR="00D87756" w:rsidRPr="00E3482E">
        <w:rPr>
          <w:color w:val="000000"/>
          <w:sz w:val="23"/>
          <w:szCs w:val="23"/>
        </w:rPr>
        <w:t>f</w:t>
      </w:r>
      <w:r w:rsidRPr="00E3482E">
        <w:rPr>
          <w:color w:val="000000"/>
          <w:sz w:val="23"/>
          <w:szCs w:val="23"/>
        </w:rPr>
        <w:t xml:space="preserve">unction and </w:t>
      </w:r>
      <w:r w:rsidR="00D87756" w:rsidRPr="00E3482E">
        <w:rPr>
          <w:color w:val="000000"/>
          <w:sz w:val="23"/>
          <w:szCs w:val="23"/>
        </w:rPr>
        <w:t>q</w:t>
      </w:r>
      <w:r w:rsidRPr="00E3482E">
        <w:rPr>
          <w:color w:val="000000"/>
          <w:sz w:val="23"/>
          <w:szCs w:val="23"/>
        </w:rPr>
        <w:t xml:space="preserve">uality of </w:t>
      </w:r>
      <w:r w:rsidR="00D87756" w:rsidRPr="00E3482E">
        <w:rPr>
          <w:color w:val="000000"/>
          <w:sz w:val="23"/>
          <w:szCs w:val="23"/>
        </w:rPr>
        <w:t>l</w:t>
      </w:r>
      <w:r w:rsidRPr="00E3482E">
        <w:rPr>
          <w:color w:val="000000"/>
          <w:sz w:val="23"/>
          <w:szCs w:val="23"/>
        </w:rPr>
        <w:t xml:space="preserve">ife </w:t>
      </w:r>
      <w:r w:rsidR="00D87756" w:rsidRPr="00E3482E">
        <w:rPr>
          <w:color w:val="000000"/>
          <w:sz w:val="23"/>
          <w:szCs w:val="23"/>
        </w:rPr>
        <w:t>o</w:t>
      </w:r>
      <w:r w:rsidRPr="00E3482E">
        <w:rPr>
          <w:color w:val="000000"/>
          <w:sz w:val="23"/>
          <w:szCs w:val="23"/>
        </w:rPr>
        <w:t>utcomes at Week 24 in Study 1</w:t>
      </w:r>
    </w:p>
    <w:tbl>
      <w:tblPr>
        <w:tblW w:w="77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3"/>
        <w:gridCol w:w="1842"/>
        <w:gridCol w:w="1985"/>
      </w:tblGrid>
      <w:tr w:rsidR="000C0A52" w:rsidRPr="00E3482E" w:rsidTr="002F24BB">
        <w:tc>
          <w:tcPr>
            <w:tcW w:w="3933"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center"/>
              <w:rPr>
                <w:b/>
                <w:color w:val="000000"/>
                <w:sz w:val="22"/>
                <w:szCs w:val="22"/>
              </w:rPr>
            </w:pPr>
            <w:r w:rsidRPr="00E3482E">
              <w:rPr>
                <w:b/>
                <w:color w:val="000000"/>
                <w:sz w:val="22"/>
                <w:szCs w:val="22"/>
              </w:rPr>
              <w:t>WA17042 (REFLEX; TNF-IR)</w:t>
            </w:r>
          </w:p>
          <w:p w:rsidR="000C0A52" w:rsidRPr="00E3482E" w:rsidRDefault="000C0A52" w:rsidP="000C0A52">
            <w:pPr>
              <w:pStyle w:val="Text"/>
              <w:spacing w:before="40" w:line="269" w:lineRule="auto"/>
              <w:jc w:val="center"/>
              <w:rPr>
                <w:b/>
                <w:color w:val="000000"/>
                <w:sz w:val="22"/>
                <w:szCs w:val="22"/>
              </w:rPr>
            </w:pPr>
            <w:r w:rsidRPr="00E3482E">
              <w:rPr>
                <w:b/>
                <w:color w:val="000000"/>
                <w:sz w:val="22"/>
                <w:szCs w:val="22"/>
              </w:rPr>
              <w:t>Outcome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center"/>
              <w:rPr>
                <w:b/>
                <w:color w:val="000000"/>
                <w:sz w:val="22"/>
                <w:szCs w:val="22"/>
              </w:rPr>
            </w:pPr>
            <w:proofErr w:type="spellStart"/>
            <w:r w:rsidRPr="00E3482E">
              <w:rPr>
                <w:b/>
                <w:color w:val="000000"/>
                <w:sz w:val="22"/>
                <w:szCs w:val="22"/>
              </w:rPr>
              <w:t>Placebo+MTX</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center"/>
              <w:rPr>
                <w:b/>
                <w:color w:val="000000"/>
                <w:sz w:val="22"/>
                <w:szCs w:val="22"/>
              </w:rPr>
            </w:pPr>
            <w:proofErr w:type="spellStart"/>
            <w:r w:rsidRPr="00E3482E">
              <w:rPr>
                <w:b/>
                <w:color w:val="000000"/>
                <w:sz w:val="22"/>
                <w:szCs w:val="22"/>
              </w:rPr>
              <w:t>Rituximab+MTX</w:t>
            </w:r>
            <w:proofErr w:type="spellEnd"/>
            <w:r w:rsidRPr="00E3482E">
              <w:rPr>
                <w:b/>
                <w:color w:val="000000"/>
                <w:sz w:val="22"/>
                <w:szCs w:val="22"/>
              </w:rPr>
              <w:t xml:space="preserve"> 2 x 1000 mg</w:t>
            </w:r>
          </w:p>
        </w:tc>
      </w:tr>
      <w:tr w:rsidR="000C0A52" w:rsidRPr="00E3482E" w:rsidTr="002F24BB">
        <w:tc>
          <w:tcPr>
            <w:tcW w:w="3933" w:type="dxa"/>
            <w:tcBorders>
              <w:top w:val="single" w:sz="4" w:space="0" w:color="auto"/>
              <w:left w:val="single" w:sz="4" w:space="0" w:color="auto"/>
              <w:bottom w:val="single" w:sz="4" w:space="0" w:color="auto"/>
              <w:right w:val="single" w:sz="4" w:space="0" w:color="auto"/>
            </w:tcBorders>
            <w:shd w:val="clear" w:color="auto" w:fill="FFFFFF"/>
          </w:tcPr>
          <w:p w:rsidR="000C0A52" w:rsidRPr="00982770" w:rsidRDefault="000C0A52" w:rsidP="002F24BB">
            <w:pPr>
              <w:pStyle w:val="Text"/>
              <w:spacing w:before="40" w:line="269" w:lineRule="auto"/>
              <w:jc w:val="left"/>
              <w:rPr>
                <w:b/>
                <w:color w:val="000000"/>
                <w:sz w:val="22"/>
                <w:szCs w:val="22"/>
                <w:lang w:val="it-IT"/>
              </w:rPr>
            </w:pPr>
          </w:p>
          <w:p w:rsidR="000C0A52" w:rsidRPr="00982770" w:rsidRDefault="000C0A52" w:rsidP="000C0A52">
            <w:pPr>
              <w:pStyle w:val="Text"/>
              <w:spacing w:before="0" w:line="269" w:lineRule="auto"/>
              <w:jc w:val="left"/>
              <w:rPr>
                <w:color w:val="000000"/>
                <w:sz w:val="22"/>
                <w:szCs w:val="22"/>
                <w:lang w:val="it-IT"/>
              </w:rPr>
            </w:pPr>
            <w:r w:rsidRPr="00982770">
              <w:rPr>
                <w:color w:val="000000"/>
                <w:sz w:val="22"/>
                <w:szCs w:val="22"/>
                <w:lang w:val="it-IT"/>
              </w:rPr>
              <w:t>Mean change in HAQ-DI</w:t>
            </w:r>
          </w:p>
          <w:p w:rsidR="000C0A52" w:rsidRPr="00982770" w:rsidRDefault="000C0A52" w:rsidP="000C0A52">
            <w:pPr>
              <w:pStyle w:val="Text"/>
              <w:spacing w:before="0" w:line="269" w:lineRule="auto"/>
              <w:jc w:val="left"/>
              <w:rPr>
                <w:color w:val="000000"/>
                <w:sz w:val="22"/>
                <w:szCs w:val="22"/>
                <w:lang w:val="it-IT"/>
              </w:rPr>
            </w:pPr>
            <w:r w:rsidRPr="00982770">
              <w:rPr>
                <w:color w:val="000000"/>
                <w:sz w:val="22"/>
                <w:szCs w:val="22"/>
                <w:lang w:val="it-IT"/>
              </w:rPr>
              <w:lastRenderedPageBreak/>
              <w:t>% HAQ-DI MCID</w:t>
            </w:r>
          </w:p>
          <w:p w:rsidR="000C0A52" w:rsidRPr="00E3482E" w:rsidRDefault="000C0A52" w:rsidP="000C0A52">
            <w:pPr>
              <w:pStyle w:val="Text"/>
              <w:spacing w:before="0" w:line="269" w:lineRule="auto"/>
              <w:jc w:val="left"/>
              <w:rPr>
                <w:color w:val="000000"/>
                <w:sz w:val="22"/>
                <w:szCs w:val="22"/>
              </w:rPr>
            </w:pPr>
            <w:r w:rsidRPr="00E3482E">
              <w:rPr>
                <w:color w:val="000000"/>
                <w:sz w:val="22"/>
                <w:szCs w:val="22"/>
              </w:rPr>
              <w:t>Mean change in FACIT-F</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center"/>
              <w:rPr>
                <w:b/>
                <w:color w:val="000000"/>
                <w:sz w:val="22"/>
                <w:szCs w:val="22"/>
              </w:rPr>
            </w:pPr>
            <w:r w:rsidRPr="00E3482E">
              <w:rPr>
                <w:b/>
                <w:color w:val="000000"/>
                <w:sz w:val="22"/>
                <w:szCs w:val="22"/>
              </w:rPr>
              <w:lastRenderedPageBreak/>
              <w:t>(N=201)</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-0.1</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lastRenderedPageBreak/>
              <w:t>20%</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center"/>
              <w:rPr>
                <w:b/>
                <w:color w:val="000000"/>
                <w:sz w:val="22"/>
                <w:szCs w:val="22"/>
              </w:rPr>
            </w:pPr>
            <w:r w:rsidRPr="00E3482E">
              <w:rPr>
                <w:b/>
                <w:color w:val="000000"/>
                <w:sz w:val="22"/>
                <w:szCs w:val="22"/>
              </w:rPr>
              <w:lastRenderedPageBreak/>
              <w:t>(N=298)</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w:t>
            </w:r>
            <w:r w:rsidR="000E6331" w:rsidRPr="00E3482E">
              <w:rPr>
                <w:color w:val="000000"/>
                <w:sz w:val="22"/>
                <w:szCs w:val="22"/>
              </w:rPr>
              <w:t>0</w:t>
            </w:r>
            <w:r w:rsidRPr="00E3482E">
              <w:rPr>
                <w:color w:val="000000"/>
                <w:sz w:val="22"/>
                <w:szCs w:val="22"/>
              </w:rPr>
              <w:t>.4 ***</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lastRenderedPageBreak/>
              <w:t>51%</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-9.1 ***</w:t>
            </w:r>
          </w:p>
        </w:tc>
      </w:tr>
      <w:tr w:rsidR="000C0A52" w:rsidRPr="00E3482E" w:rsidTr="000C0A52">
        <w:trPr>
          <w:cantSplit/>
        </w:trPr>
        <w:tc>
          <w:tcPr>
            <w:tcW w:w="3933"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left"/>
              <w:rPr>
                <w:b/>
                <w:color w:val="000000"/>
                <w:sz w:val="22"/>
                <w:szCs w:val="22"/>
              </w:rPr>
            </w:pPr>
          </w:p>
          <w:p w:rsidR="000C0A52" w:rsidRPr="00E3482E" w:rsidRDefault="000C0A52" w:rsidP="002F24BB">
            <w:pPr>
              <w:pStyle w:val="Text"/>
              <w:spacing w:before="0" w:line="269" w:lineRule="auto"/>
              <w:jc w:val="left"/>
              <w:rPr>
                <w:color w:val="000000"/>
                <w:sz w:val="22"/>
                <w:szCs w:val="22"/>
              </w:rPr>
            </w:pPr>
            <w:r w:rsidRPr="00E3482E">
              <w:rPr>
                <w:color w:val="000000"/>
                <w:sz w:val="22"/>
                <w:szCs w:val="22"/>
              </w:rPr>
              <w:t>Mean change in SF-36 PHS</w:t>
            </w:r>
          </w:p>
          <w:p w:rsidR="000C0A52" w:rsidRPr="00E3482E" w:rsidRDefault="000C0A52" w:rsidP="002F24BB">
            <w:pPr>
              <w:pStyle w:val="Text"/>
              <w:spacing w:before="0" w:line="269" w:lineRule="auto"/>
              <w:jc w:val="left"/>
              <w:rPr>
                <w:color w:val="000000"/>
                <w:sz w:val="22"/>
                <w:szCs w:val="22"/>
              </w:rPr>
            </w:pPr>
            <w:r w:rsidRPr="00E3482E">
              <w:rPr>
                <w:color w:val="000000"/>
                <w:sz w:val="22"/>
                <w:szCs w:val="22"/>
              </w:rPr>
              <w:t>% SF-36 PHS MCID</w:t>
            </w:r>
          </w:p>
          <w:p w:rsidR="000C0A52" w:rsidRPr="00E3482E" w:rsidRDefault="000C0A52" w:rsidP="000C0A52">
            <w:pPr>
              <w:pStyle w:val="Text"/>
              <w:spacing w:before="0" w:line="269" w:lineRule="auto"/>
              <w:jc w:val="left"/>
              <w:rPr>
                <w:color w:val="000000"/>
                <w:sz w:val="22"/>
                <w:szCs w:val="22"/>
              </w:rPr>
            </w:pPr>
            <w:r w:rsidRPr="00E3482E">
              <w:rPr>
                <w:color w:val="000000"/>
                <w:sz w:val="22"/>
                <w:szCs w:val="22"/>
              </w:rPr>
              <w:t>Mean change in SF-36 MHS</w:t>
            </w:r>
          </w:p>
          <w:p w:rsidR="000C0A52" w:rsidRPr="00E3482E" w:rsidRDefault="000C0A52" w:rsidP="000C0A52">
            <w:pPr>
              <w:pStyle w:val="Text"/>
              <w:spacing w:before="0" w:line="269" w:lineRule="auto"/>
              <w:jc w:val="left"/>
              <w:rPr>
                <w:color w:val="000000"/>
                <w:sz w:val="22"/>
                <w:szCs w:val="22"/>
              </w:rPr>
            </w:pPr>
            <w:r w:rsidRPr="00E3482E">
              <w:rPr>
                <w:color w:val="000000"/>
                <w:sz w:val="22"/>
                <w:szCs w:val="22"/>
              </w:rPr>
              <w:t>% SF-36 MHS MCID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center"/>
              <w:rPr>
                <w:b/>
                <w:color w:val="000000"/>
                <w:sz w:val="22"/>
                <w:szCs w:val="22"/>
              </w:rPr>
            </w:pPr>
            <w:r w:rsidRPr="00E3482E">
              <w:rPr>
                <w:b/>
                <w:color w:val="000000"/>
                <w:sz w:val="22"/>
                <w:szCs w:val="22"/>
              </w:rPr>
              <w:t>(N=197)</w:t>
            </w:r>
          </w:p>
          <w:p w:rsidR="000C0A52" w:rsidRPr="00E3482E" w:rsidRDefault="000C0A52" w:rsidP="002F24BB">
            <w:pPr>
              <w:pStyle w:val="Text"/>
              <w:spacing w:before="0" w:line="269" w:lineRule="auto"/>
              <w:jc w:val="center"/>
              <w:rPr>
                <w:color w:val="000000"/>
                <w:sz w:val="22"/>
                <w:szCs w:val="22"/>
              </w:rPr>
            </w:pPr>
            <w:r w:rsidRPr="00E3482E">
              <w:rPr>
                <w:color w:val="000000"/>
                <w:sz w:val="22"/>
                <w:szCs w:val="22"/>
              </w:rPr>
              <w:t>0.9</w:t>
            </w:r>
          </w:p>
          <w:p w:rsidR="000C0A52" w:rsidRPr="00E3482E" w:rsidRDefault="000C0A52" w:rsidP="002F24BB">
            <w:pPr>
              <w:pStyle w:val="Text"/>
              <w:spacing w:before="0" w:line="269" w:lineRule="auto"/>
              <w:jc w:val="center"/>
              <w:rPr>
                <w:color w:val="000000"/>
                <w:sz w:val="22"/>
                <w:szCs w:val="22"/>
              </w:rPr>
            </w:pPr>
            <w:r w:rsidRPr="00E3482E">
              <w:rPr>
                <w:color w:val="000000"/>
                <w:sz w:val="22"/>
                <w:szCs w:val="22"/>
              </w:rPr>
              <w:t>13%</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1.3</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20%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C0A52" w:rsidRPr="00E3482E" w:rsidRDefault="000C0A52" w:rsidP="002F24BB">
            <w:pPr>
              <w:pStyle w:val="Text"/>
              <w:spacing w:before="40" w:line="269" w:lineRule="auto"/>
              <w:jc w:val="center"/>
              <w:rPr>
                <w:b/>
                <w:color w:val="000000"/>
                <w:sz w:val="22"/>
                <w:szCs w:val="22"/>
              </w:rPr>
            </w:pPr>
            <w:r w:rsidRPr="00E3482E">
              <w:rPr>
                <w:b/>
                <w:color w:val="000000"/>
                <w:sz w:val="22"/>
                <w:szCs w:val="22"/>
              </w:rPr>
              <w:t>(N=294)</w:t>
            </w:r>
          </w:p>
          <w:p w:rsidR="000C0A52" w:rsidRPr="00E3482E" w:rsidRDefault="000C0A52" w:rsidP="002F24BB">
            <w:pPr>
              <w:pStyle w:val="Text"/>
              <w:spacing w:before="0" w:line="269" w:lineRule="auto"/>
              <w:jc w:val="center"/>
              <w:rPr>
                <w:color w:val="000000"/>
                <w:sz w:val="22"/>
                <w:szCs w:val="22"/>
              </w:rPr>
            </w:pPr>
            <w:r w:rsidRPr="00E3482E">
              <w:rPr>
                <w:color w:val="000000"/>
                <w:sz w:val="22"/>
                <w:szCs w:val="22"/>
              </w:rPr>
              <w:t>5.8 ***</w:t>
            </w:r>
          </w:p>
          <w:p w:rsidR="000C0A52" w:rsidRPr="00E3482E" w:rsidRDefault="000C0A52" w:rsidP="002F24BB">
            <w:pPr>
              <w:pStyle w:val="Text"/>
              <w:spacing w:before="0" w:line="269" w:lineRule="auto"/>
              <w:jc w:val="center"/>
              <w:rPr>
                <w:color w:val="000000"/>
                <w:sz w:val="22"/>
                <w:szCs w:val="22"/>
              </w:rPr>
            </w:pPr>
            <w:r w:rsidRPr="00E3482E">
              <w:rPr>
                <w:color w:val="000000"/>
                <w:sz w:val="22"/>
                <w:szCs w:val="22"/>
              </w:rPr>
              <w:t>48% ***</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4.7 **</w:t>
            </w:r>
          </w:p>
          <w:p w:rsidR="000C0A52" w:rsidRPr="00E3482E" w:rsidRDefault="000C0A52" w:rsidP="000C0A52">
            <w:pPr>
              <w:pStyle w:val="Text"/>
              <w:spacing w:before="0" w:line="269" w:lineRule="auto"/>
              <w:jc w:val="center"/>
              <w:rPr>
                <w:color w:val="000000"/>
                <w:sz w:val="22"/>
                <w:szCs w:val="22"/>
              </w:rPr>
            </w:pPr>
            <w:r w:rsidRPr="00E3482E">
              <w:rPr>
                <w:color w:val="000000"/>
                <w:sz w:val="22"/>
                <w:szCs w:val="22"/>
              </w:rPr>
              <w:t>38% **</w:t>
            </w:r>
          </w:p>
        </w:tc>
      </w:tr>
    </w:tbl>
    <w:p w:rsidR="000C0A52" w:rsidRPr="00E3482E" w:rsidRDefault="000C0A52" w:rsidP="009A42F2">
      <w:pPr>
        <w:pStyle w:val="Text"/>
        <w:keepNext/>
        <w:spacing w:before="60" w:line="259" w:lineRule="auto"/>
        <w:rPr>
          <w:i/>
          <w:color w:val="000000"/>
          <w:sz w:val="20"/>
          <w:szCs w:val="20"/>
          <w:lang w:val="en-GB"/>
        </w:rPr>
      </w:pPr>
      <w:r w:rsidRPr="00E3482E">
        <w:rPr>
          <w:i/>
          <w:color w:val="000000"/>
          <w:sz w:val="20"/>
          <w:szCs w:val="20"/>
          <w:lang w:val="en-GB"/>
        </w:rPr>
        <w:t xml:space="preserve">Significant difference from placebo at the primary time point: **p ≤ 0.001 </w:t>
      </w:r>
      <w:r w:rsidRPr="00E3482E">
        <w:rPr>
          <w:i/>
          <w:color w:val="000000"/>
          <w:sz w:val="20"/>
          <w:szCs w:val="20"/>
          <w:lang w:val="en-GB"/>
        </w:rPr>
        <w:tab/>
        <w:t xml:space="preserve">***p ≤ 0.0001 </w:t>
      </w:r>
    </w:p>
    <w:p w:rsidR="000C0A52" w:rsidRPr="00E3482E" w:rsidRDefault="000C0A52" w:rsidP="009A42F2">
      <w:pPr>
        <w:pStyle w:val="Text"/>
        <w:keepNext/>
        <w:spacing w:before="40" w:line="259" w:lineRule="auto"/>
        <w:rPr>
          <w:i/>
          <w:color w:val="000000"/>
          <w:sz w:val="20"/>
          <w:szCs w:val="20"/>
          <w:lang w:val="en-GB"/>
        </w:rPr>
      </w:pPr>
      <w:r w:rsidRPr="00E3482E">
        <w:rPr>
          <w:i/>
          <w:color w:val="000000"/>
          <w:sz w:val="20"/>
          <w:szCs w:val="20"/>
          <w:lang w:val="en-GB"/>
        </w:rPr>
        <w:t>MCID (minimum clinically important difference): HAQ-DI ≥0.22, SF-36 PHS &gt;5.42, SF-36 MHS &gt;6.33</w:t>
      </w:r>
    </w:p>
    <w:p w:rsidR="00A0486A" w:rsidRPr="00E3482E" w:rsidRDefault="000C0A52" w:rsidP="000C0A52">
      <w:pPr>
        <w:spacing w:before="240"/>
        <w:jc w:val="both"/>
        <w:rPr>
          <w:color w:val="000000"/>
          <w:lang w:val="en-GB"/>
        </w:rPr>
      </w:pPr>
      <w:r w:rsidRPr="00E3482E">
        <w:rPr>
          <w:color w:val="000000"/>
          <w:lang w:val="en-GB"/>
        </w:rPr>
        <w:t xml:space="preserve">At week 24, in all three studies, the proportion of </w:t>
      </w:r>
      <w:proofErr w:type="spellStart"/>
      <w:r w:rsidRPr="00E3482E">
        <w:rPr>
          <w:color w:val="000000"/>
          <w:lang w:val="en-GB"/>
        </w:rPr>
        <w:t>Rituximab+MTX</w:t>
      </w:r>
      <w:proofErr w:type="spellEnd"/>
      <w:r w:rsidRPr="00E3482E">
        <w:rPr>
          <w:color w:val="000000"/>
          <w:lang w:val="en-GB"/>
        </w:rPr>
        <w:t xml:space="preserve"> treated patients showing a clinically relevant improvement in HAQ-DI (defined as an individual total score decrease of &gt;0.25) was higher than among patients receiving MTX alone.</w:t>
      </w:r>
    </w:p>
    <w:p w:rsidR="000C0A52" w:rsidRPr="00E3482E" w:rsidRDefault="000C0A52" w:rsidP="00F5092E">
      <w:pPr>
        <w:pStyle w:val="Heading2"/>
      </w:pPr>
      <w:r w:rsidRPr="00E3482E">
        <w:t>Laboratory evaluations</w:t>
      </w:r>
    </w:p>
    <w:p w:rsidR="000C0A52" w:rsidRPr="00E3482E" w:rsidRDefault="000C0A52" w:rsidP="000C0A52">
      <w:pPr>
        <w:spacing w:before="120"/>
        <w:jc w:val="both"/>
        <w:rPr>
          <w:color w:val="000000"/>
          <w:lang w:val="en-GB"/>
        </w:rPr>
      </w:pPr>
      <w:r w:rsidRPr="00E3482E">
        <w:rPr>
          <w:color w:val="000000"/>
          <w:lang w:val="en-GB"/>
        </w:rPr>
        <w:t>Approximately 10% of patients with RA tested positive for HACA (Human Anti-Chimeric Antibody) in clinical studies. The emergence of HACA was not associated with clinical deterioration or with an increased risk of reactions to subsequent infusions in the majority of patients. The presence of HACA may be associated with worsening of infusion or allergic reactions after the second infusion of subsequent courses, and failure to deplete B cells after receipt of further treatment courses has been observed rarely.</w:t>
      </w:r>
    </w:p>
    <w:p w:rsidR="000C0A52" w:rsidRPr="00E3482E" w:rsidRDefault="000C0A52" w:rsidP="000C0A52">
      <w:pPr>
        <w:spacing w:before="120"/>
        <w:jc w:val="both"/>
        <w:rPr>
          <w:color w:val="000000"/>
          <w:lang w:val="en-GB"/>
        </w:rPr>
      </w:pPr>
      <w:r w:rsidRPr="00E3482E">
        <w:rPr>
          <w:color w:val="000000"/>
          <w:lang w:val="en-GB"/>
        </w:rPr>
        <w:t xml:space="preserve">In Study 1 WA17042 (REFLEX), 15/308 (4.8%) </w:t>
      </w:r>
      <w:proofErr w:type="spellStart"/>
      <w:r w:rsidRPr="00E3482E">
        <w:rPr>
          <w:color w:val="000000"/>
          <w:lang w:val="en-GB"/>
        </w:rPr>
        <w:t>rituximab+MTX</w:t>
      </w:r>
      <w:proofErr w:type="spellEnd"/>
      <w:r w:rsidRPr="00E3482E">
        <w:rPr>
          <w:color w:val="000000"/>
          <w:lang w:val="en-GB"/>
        </w:rPr>
        <w:t xml:space="preserve"> treated patients and 8/209 (3.8%) patients treated with MTX alone were anti-nuclear antibody (ANA) negative at day 1 and became ANA positive at week 16 and/or week 24. The adverse event profile in these patients did not provide any evidence of new onset autoimmune disease.</w:t>
      </w:r>
    </w:p>
    <w:p w:rsidR="000C0A52" w:rsidRPr="00E3482E" w:rsidRDefault="000C0A52" w:rsidP="000C0A52">
      <w:pPr>
        <w:spacing w:before="120"/>
        <w:jc w:val="both"/>
        <w:rPr>
          <w:color w:val="000000"/>
          <w:lang w:val="en-GB"/>
        </w:rPr>
      </w:pPr>
      <w:r w:rsidRPr="00E3482E">
        <w:rPr>
          <w:color w:val="000000"/>
          <w:lang w:val="en-GB"/>
        </w:rPr>
        <w:t>In RF-positive patients, marked decreases were observed in RF concentrations following treatment with rituximab in all three studies (range 45-64%).</w:t>
      </w:r>
    </w:p>
    <w:p w:rsidR="007E7E42" w:rsidRPr="00E3482E" w:rsidRDefault="000C0A52" w:rsidP="000C0A52">
      <w:pPr>
        <w:spacing w:before="120"/>
        <w:jc w:val="both"/>
        <w:rPr>
          <w:color w:val="000000"/>
          <w:lang w:val="en-GB"/>
        </w:rPr>
      </w:pPr>
      <w:proofErr w:type="spellStart"/>
      <w:r w:rsidRPr="00E3482E">
        <w:rPr>
          <w:color w:val="000000"/>
          <w:lang w:val="en-GB"/>
        </w:rPr>
        <w:t>Hyperuricaemia</w:t>
      </w:r>
      <w:proofErr w:type="spellEnd"/>
      <w:r w:rsidRPr="00E3482E">
        <w:rPr>
          <w:color w:val="000000"/>
          <w:lang w:val="en-GB"/>
        </w:rPr>
        <w:t xml:space="preserve"> (Grade 3/4) occurred in 143/950 (15%) patients, with the majority post-infusion on days 1 and/or 15. It was not associated with any clinical symptoms, and none of these patients developed evidence of renal disease. Increases in serum uric acid are often associated with the catabolism of DNA. This finding is consistent with the destruction of B cells resulting from rituximab therapy.</w:t>
      </w:r>
    </w:p>
    <w:p w:rsidR="0068411C" w:rsidRPr="00E3482E" w:rsidRDefault="0068411C" w:rsidP="0068411C">
      <w:pPr>
        <w:spacing w:before="120"/>
        <w:jc w:val="both"/>
        <w:rPr>
          <w:color w:val="000000"/>
          <w:lang w:val="en-GB"/>
        </w:rPr>
      </w:pPr>
      <w:proofErr w:type="spellStart"/>
      <w:r w:rsidRPr="00E3482E">
        <w:rPr>
          <w:color w:val="000000"/>
          <w:lang w:val="en-GB"/>
        </w:rPr>
        <w:t>Hypophosphataemia</w:t>
      </w:r>
      <w:proofErr w:type="spellEnd"/>
      <w:r w:rsidRPr="00E3482E">
        <w:rPr>
          <w:color w:val="000000"/>
          <w:lang w:val="en-GB"/>
        </w:rPr>
        <w:t xml:space="preserve"> (Grade 3) occurred in 193/950 (21%) patients. There was also one case of Grade 4 </w:t>
      </w:r>
      <w:proofErr w:type="spellStart"/>
      <w:r w:rsidRPr="00E3482E">
        <w:rPr>
          <w:color w:val="000000"/>
          <w:lang w:val="en-GB"/>
        </w:rPr>
        <w:t>hypophosphataemia</w:t>
      </w:r>
      <w:proofErr w:type="spellEnd"/>
      <w:r w:rsidRPr="00E3482E">
        <w:rPr>
          <w:color w:val="000000"/>
          <w:lang w:val="en-GB"/>
        </w:rPr>
        <w:t xml:space="preserve">. Most cases </w:t>
      </w:r>
      <w:proofErr w:type="gramStart"/>
      <w:r w:rsidRPr="00E3482E">
        <w:rPr>
          <w:color w:val="000000"/>
          <w:lang w:val="en-GB"/>
        </w:rPr>
        <w:t>occurred</w:t>
      </w:r>
      <w:proofErr w:type="gramEnd"/>
      <w:r w:rsidRPr="00E3482E">
        <w:rPr>
          <w:color w:val="000000"/>
          <w:lang w:val="en-GB"/>
        </w:rPr>
        <w:t xml:space="preserve"> post-infusion, where patients received oral and/or IV corticosteroids. Low phosphate levels are associated with corticosteroid treatment and osteoporosis.</w:t>
      </w:r>
    </w:p>
    <w:p w:rsidR="0068411C" w:rsidRPr="00E3482E" w:rsidRDefault="0068411C" w:rsidP="0068411C">
      <w:pPr>
        <w:spacing w:before="120"/>
        <w:jc w:val="both"/>
        <w:rPr>
          <w:color w:val="000000"/>
          <w:lang w:val="en-GB"/>
        </w:rPr>
      </w:pPr>
      <w:r w:rsidRPr="00E3482E">
        <w:rPr>
          <w:color w:val="000000"/>
          <w:lang w:val="en-GB"/>
        </w:rPr>
        <w:t xml:space="preserve">Plasma total immunoglobulin concentrations, total lymphocytes counts, and white cells generally remained within normal limits following rituximab treatment, with the exception of a transient drop in white cell counts over the first four weeks following therapy. Lymphopenia (Grade 3/4) was experienced by 679/1003 (68%) of patients compared to 52%-54% of patients who experienced Grade 3 lymphopenia and 1%-3% of patients who experienced Grade 4 lymphopenia in the 24-week double-blind populations. Most cases occurred immediately after </w:t>
      </w:r>
      <w:r w:rsidRPr="00E3482E">
        <w:rPr>
          <w:color w:val="000000"/>
          <w:lang w:val="en-GB"/>
        </w:rPr>
        <w:lastRenderedPageBreak/>
        <w:t>the first infusion, consistent with peripheral B-cell depletion, and lymphocyte numbers recovered thereafter. The majority of the Grade 4 cases were transient though 6 patients had more persistent Grade 4 lymphopenia, one of whom had a serious infection (2 occurrences of pneumonia in a diabetic patient; both cases resolved). All 6 patients had low lymphocyte counts before exposure to rituximab, including 2 patients who experienced up to Grade 4 lymphopenia whilst on placebo. A total of 17 non</w:t>
      </w:r>
      <w:r w:rsidR="00141F6A">
        <w:rPr>
          <w:color w:val="000000"/>
          <w:lang w:val="en-GB"/>
        </w:rPr>
        <w:t>-</w:t>
      </w:r>
      <w:r w:rsidRPr="00E3482E">
        <w:rPr>
          <w:color w:val="000000"/>
          <w:lang w:val="en-GB"/>
        </w:rPr>
        <w:t>serious infections were reported all of which resolved without sequelae. Neutropenia (Grade 3/4) was also observed at a higher rate in rituximab-treated patients compared to placebo (0.94% vs. 0.27%) (</w:t>
      </w:r>
      <w:proofErr w:type="gramStart"/>
      <w:r w:rsidRPr="00E3482E">
        <w:rPr>
          <w:color w:val="000000"/>
          <w:lang w:val="en-GB"/>
        </w:rPr>
        <w:t>see</w:t>
      </w:r>
      <w:proofErr w:type="gramEnd"/>
      <w:r w:rsidRPr="00E3482E">
        <w:rPr>
          <w:color w:val="000000"/>
          <w:lang w:val="en-GB"/>
        </w:rPr>
        <w:t xml:space="preserve"> </w:t>
      </w:r>
      <w:r w:rsidRPr="00E3482E">
        <w:rPr>
          <w:b/>
          <w:color w:val="000000"/>
          <w:lang w:val="en-GB"/>
        </w:rPr>
        <w:t>ADVERSE EVENTS</w:t>
      </w:r>
      <w:r w:rsidRPr="00E3482E">
        <w:rPr>
          <w:color w:val="000000"/>
          <w:lang w:val="en-GB"/>
        </w:rPr>
        <w:t xml:space="preserve"> – </w:t>
      </w:r>
      <w:r w:rsidRPr="00E3482E">
        <w:rPr>
          <w:i/>
          <w:color w:val="000000"/>
          <w:lang w:val="en-GB"/>
        </w:rPr>
        <w:t>Experience from Clinical Trials in Rheumatoid Arthritis, Laboratory abnormalities</w:t>
      </w:r>
      <w:r w:rsidRPr="00E3482E">
        <w:rPr>
          <w:color w:val="000000"/>
          <w:lang w:val="en-GB"/>
        </w:rPr>
        <w:t>).</w:t>
      </w:r>
    </w:p>
    <w:p w:rsidR="0068411C" w:rsidRPr="00E3482E" w:rsidRDefault="0068411C" w:rsidP="0068411C">
      <w:pPr>
        <w:spacing w:before="120"/>
        <w:jc w:val="both"/>
        <w:rPr>
          <w:color w:val="000000"/>
          <w:lang w:val="en-GB"/>
        </w:rPr>
      </w:pPr>
      <w:r w:rsidRPr="00E3482E">
        <w:rPr>
          <w:color w:val="000000"/>
          <w:lang w:val="en-GB"/>
        </w:rPr>
        <w:t>Titres of IgG antigen specific antibody to mumps, rubella, varicella, tetanus toxoid, influenza and streptococcus pneumococci remained stable over 24 weeks following exposure to rituximab in RA patients.</w:t>
      </w:r>
    </w:p>
    <w:p w:rsidR="0068411C" w:rsidRPr="00E3482E" w:rsidRDefault="0068411C" w:rsidP="0068411C">
      <w:pPr>
        <w:spacing w:before="120"/>
        <w:jc w:val="both"/>
        <w:rPr>
          <w:color w:val="000000"/>
          <w:lang w:val="en-GB"/>
        </w:rPr>
      </w:pPr>
      <w:r w:rsidRPr="00E3482E">
        <w:rPr>
          <w:color w:val="000000"/>
          <w:lang w:val="en-GB"/>
        </w:rPr>
        <w:t xml:space="preserve">The effect of rituximab on a variety of biomarkers was evaluated in patients enrolled into Study 3. This </w:t>
      </w:r>
      <w:proofErr w:type="spellStart"/>
      <w:r w:rsidRPr="00E3482E">
        <w:rPr>
          <w:color w:val="000000"/>
          <w:lang w:val="en-GB"/>
        </w:rPr>
        <w:t>substudy</w:t>
      </w:r>
      <w:proofErr w:type="spellEnd"/>
      <w:r w:rsidRPr="00E3482E">
        <w:rPr>
          <w:color w:val="000000"/>
          <w:lang w:val="en-GB"/>
        </w:rPr>
        <w:t xml:space="preserve"> evaluated the impact of a single treatment course of rituximab on levels of biochemical markers, including markers of inflammation [Interleukin 6, C Reactive protein, Serum amyloid type A protein, Protein S100 isotypes A8 and A9], autoantibody (RF and anti-CCP immunoglobulin) production and bone turnover [osteocalcin and procollagen 1 N terminal peptide (P1NP). Rituximab treatment, whether as monotherapy or in combination with MTX or cyclophosphamide reduced the levels of inflammatory markers significantly, relative to MTX alone, over the first 24 weeks of follow-</w:t>
      </w:r>
      <w:proofErr w:type="gramStart"/>
      <w:r w:rsidRPr="00E3482E">
        <w:rPr>
          <w:color w:val="000000"/>
          <w:lang w:val="en-GB"/>
        </w:rPr>
        <w:t>up.</w:t>
      </w:r>
      <w:proofErr w:type="gramEnd"/>
      <w:r w:rsidRPr="00E3482E">
        <w:rPr>
          <w:color w:val="000000"/>
          <w:lang w:val="en-GB"/>
        </w:rPr>
        <w:t xml:space="preserve"> Levels of markers of bone turnover, osteocalcin and P1NP, increased significantly in the </w:t>
      </w:r>
      <w:proofErr w:type="spellStart"/>
      <w:r w:rsidRPr="00E3482E">
        <w:rPr>
          <w:color w:val="000000"/>
          <w:lang w:val="en-GB"/>
        </w:rPr>
        <w:t>rituximab+MTX</w:t>
      </w:r>
      <w:proofErr w:type="spellEnd"/>
      <w:r w:rsidRPr="00E3482E">
        <w:rPr>
          <w:color w:val="000000"/>
          <w:lang w:val="en-GB"/>
        </w:rPr>
        <w:t xml:space="preserve"> groups compared to MTX alone.</w:t>
      </w:r>
    </w:p>
    <w:p w:rsidR="0068411C" w:rsidRPr="00E3482E" w:rsidRDefault="0068411C" w:rsidP="00F5092E">
      <w:pPr>
        <w:pStyle w:val="Heading2"/>
      </w:pPr>
      <w:r w:rsidRPr="00E3482E">
        <w:t>Multiple Course Therapy</w:t>
      </w:r>
    </w:p>
    <w:p w:rsidR="0068411C" w:rsidRPr="00E3482E" w:rsidRDefault="0068411C" w:rsidP="0068411C">
      <w:pPr>
        <w:spacing w:before="120"/>
        <w:jc w:val="both"/>
        <w:rPr>
          <w:color w:val="000000"/>
          <w:lang w:val="en-GB"/>
        </w:rPr>
      </w:pPr>
      <w:r w:rsidRPr="00E3482E">
        <w:rPr>
          <w:color w:val="000000"/>
          <w:lang w:val="en-GB"/>
        </w:rPr>
        <w:t>Following completion of the 24-week double blind comparative study period, patients were permitted to enrol into an open-label long term follow up study. Patients received subsequent courses of rituximab as needed according to the treating clinician’s assessment of disease activity and irrespective of the peripheral B lymphocyte count.</w:t>
      </w:r>
    </w:p>
    <w:p w:rsidR="0068411C" w:rsidRPr="00E3482E" w:rsidRDefault="0068411C" w:rsidP="0068411C">
      <w:pPr>
        <w:spacing w:before="120"/>
        <w:jc w:val="both"/>
        <w:rPr>
          <w:color w:val="000000"/>
          <w:lang w:val="en-GB"/>
        </w:rPr>
      </w:pPr>
      <w:r w:rsidRPr="00E3482E">
        <w:rPr>
          <w:color w:val="000000"/>
          <w:lang w:val="en-GB"/>
        </w:rPr>
        <w:t>The all exposure population in the three double blind controlled trials (one Phase III and two Phase II trials) was 990 patients. Of these, 301 patients received a second course of rituximab 1000 mg x 2 + MTX, and 46 patients received a third course of rituximab 1000 mg x 2 + MTX.</w:t>
      </w:r>
    </w:p>
    <w:p w:rsidR="0068411C" w:rsidRPr="00E3482E" w:rsidRDefault="0068411C" w:rsidP="0068411C">
      <w:pPr>
        <w:spacing w:before="120"/>
        <w:jc w:val="both"/>
        <w:rPr>
          <w:color w:val="000000"/>
          <w:lang w:val="en-GB"/>
        </w:rPr>
      </w:pPr>
      <w:r w:rsidRPr="00E3482E">
        <w:rPr>
          <w:color w:val="000000"/>
          <w:lang w:val="en-GB"/>
        </w:rPr>
        <w:t>At the point of data cut-off, 24.7% (193/781) of patients who had enrolled in the rituximab 1000 mg x 2 + MTX arms of the Phase II and Phase III studies had been retreated (point of data cut-off was defined as the time when all patients had been followed up for at least 24 weeks). Also at the data cut-off point, the majority of patients from the double-blind comparative study period had received one course of treatment in the year. Kaplan-Meier analysis of time to second treatment course (censoring patients who did not receive a second treatment course or who withdrew from the study) shows an estimated median time for retreatment in the prior anti-TNF population of 364 days (interquartile range: 245-559 days) (Figure 1), and 547 days (interquartile range: 302-889 days) in the no prior anti-TNF population (Figure 2).</w:t>
      </w:r>
    </w:p>
    <w:p w:rsidR="0068411C" w:rsidRPr="00E3482E" w:rsidRDefault="0068411C" w:rsidP="0068411C">
      <w:pPr>
        <w:spacing w:before="120"/>
        <w:jc w:val="both"/>
        <w:rPr>
          <w:color w:val="000000"/>
          <w:lang w:val="en-GB"/>
        </w:rPr>
      </w:pPr>
      <w:r w:rsidRPr="00E3482E">
        <w:rPr>
          <w:color w:val="000000"/>
          <w:lang w:val="en-GB"/>
        </w:rPr>
        <w:t xml:space="preserve">The time interval between courses was variable. The majority of patients, who had two treatment courses at the time of cut-off, received their second course of treatment 6 to 12 months after the </w:t>
      </w:r>
      <w:r w:rsidRPr="00E3482E">
        <w:rPr>
          <w:color w:val="000000"/>
          <w:lang w:val="en-GB"/>
        </w:rPr>
        <w:lastRenderedPageBreak/>
        <w:t>first treatment course. Some patients required even less frequent retreatment. The response to further therapy was at least the same magnitude as that following the initial treatment course, as evidenced by the change from baseline DAS28 (Figure 3).</w:t>
      </w:r>
    </w:p>
    <w:p w:rsidR="007E7E42" w:rsidRPr="00E3482E" w:rsidRDefault="0068411C" w:rsidP="0068411C">
      <w:pPr>
        <w:spacing w:before="120"/>
        <w:jc w:val="both"/>
        <w:rPr>
          <w:color w:val="000000"/>
          <w:lang w:val="en-GB"/>
        </w:rPr>
      </w:pPr>
      <w:r w:rsidRPr="00E3482E">
        <w:rPr>
          <w:color w:val="000000"/>
          <w:lang w:val="en-GB"/>
        </w:rPr>
        <w:t xml:space="preserve">Since many patients in the prior anti-TNF population remain in the studies after a single course of treatment with </w:t>
      </w:r>
      <w:proofErr w:type="spellStart"/>
      <w:r w:rsidRPr="00E3482E">
        <w:rPr>
          <w:color w:val="000000"/>
          <w:lang w:val="en-GB"/>
        </w:rPr>
        <w:t>rituximab+MTX</w:t>
      </w:r>
      <w:proofErr w:type="spellEnd"/>
      <w:r w:rsidRPr="00E3482E">
        <w:rPr>
          <w:color w:val="000000"/>
          <w:lang w:val="en-GB"/>
        </w:rPr>
        <w:t>, these results are subject to change as the observation period increases.</w:t>
      </w:r>
    </w:p>
    <w:p w:rsidR="0068411C" w:rsidRPr="00E3482E" w:rsidRDefault="0068411C" w:rsidP="00141F6A">
      <w:pPr>
        <w:pStyle w:val="Tabletitle"/>
        <w:keepNext/>
        <w:spacing w:before="200"/>
        <w:ind w:left="1021" w:right="-113" w:hanging="1021"/>
        <w:rPr>
          <w:color w:val="000000"/>
          <w:sz w:val="23"/>
          <w:szCs w:val="23"/>
        </w:rPr>
      </w:pPr>
      <w:r w:rsidRPr="00E3482E">
        <w:rPr>
          <w:color w:val="000000"/>
          <w:sz w:val="23"/>
          <w:szCs w:val="23"/>
        </w:rPr>
        <w:t>Figure 1:</w:t>
      </w:r>
      <w:r w:rsidRPr="00E3482E">
        <w:rPr>
          <w:color w:val="000000"/>
          <w:sz w:val="23"/>
          <w:szCs w:val="23"/>
        </w:rPr>
        <w:tab/>
      </w:r>
      <w:r w:rsidR="004E09E0" w:rsidRPr="00E3482E">
        <w:rPr>
          <w:color w:val="000000"/>
          <w:sz w:val="23"/>
          <w:szCs w:val="23"/>
        </w:rPr>
        <w:t>Kaplan-Meier a</w:t>
      </w:r>
      <w:r w:rsidRPr="00E3482E">
        <w:rPr>
          <w:color w:val="000000"/>
          <w:sz w:val="23"/>
          <w:szCs w:val="23"/>
        </w:rPr>
        <w:t xml:space="preserve">nalysis of </w:t>
      </w:r>
      <w:r w:rsidR="004E09E0" w:rsidRPr="00E3482E">
        <w:rPr>
          <w:color w:val="000000"/>
          <w:sz w:val="23"/>
          <w:szCs w:val="23"/>
        </w:rPr>
        <w:t>t</w:t>
      </w:r>
      <w:r w:rsidRPr="00E3482E">
        <w:rPr>
          <w:color w:val="000000"/>
          <w:sz w:val="23"/>
          <w:szCs w:val="23"/>
        </w:rPr>
        <w:t xml:space="preserve">ime to </w:t>
      </w:r>
      <w:r w:rsidR="004E09E0" w:rsidRPr="00E3482E">
        <w:rPr>
          <w:color w:val="000000"/>
          <w:sz w:val="23"/>
          <w:szCs w:val="23"/>
        </w:rPr>
        <w:t>s</w:t>
      </w:r>
      <w:r w:rsidRPr="00E3482E">
        <w:rPr>
          <w:color w:val="000000"/>
          <w:sz w:val="23"/>
          <w:szCs w:val="23"/>
        </w:rPr>
        <w:t xml:space="preserve">econd </w:t>
      </w:r>
      <w:r w:rsidR="004E09E0" w:rsidRPr="00E3482E">
        <w:rPr>
          <w:color w:val="000000"/>
          <w:sz w:val="23"/>
          <w:szCs w:val="23"/>
        </w:rPr>
        <w:t>t</w:t>
      </w:r>
      <w:r w:rsidRPr="00E3482E">
        <w:rPr>
          <w:color w:val="000000"/>
          <w:sz w:val="23"/>
          <w:szCs w:val="23"/>
        </w:rPr>
        <w:t xml:space="preserve">reatment </w:t>
      </w:r>
      <w:r w:rsidR="004E09E0" w:rsidRPr="00E3482E">
        <w:rPr>
          <w:color w:val="000000"/>
          <w:sz w:val="23"/>
          <w:szCs w:val="23"/>
        </w:rPr>
        <w:t>c</w:t>
      </w:r>
      <w:r w:rsidRPr="00E3482E">
        <w:rPr>
          <w:color w:val="000000"/>
          <w:sz w:val="23"/>
          <w:szCs w:val="23"/>
        </w:rPr>
        <w:t xml:space="preserve">ourse, </w:t>
      </w:r>
      <w:r w:rsidR="004E09E0" w:rsidRPr="00E3482E">
        <w:rPr>
          <w:color w:val="000000"/>
          <w:sz w:val="23"/>
          <w:szCs w:val="23"/>
        </w:rPr>
        <w:t>p</w:t>
      </w:r>
      <w:r w:rsidRPr="00E3482E">
        <w:rPr>
          <w:color w:val="000000"/>
          <w:sz w:val="23"/>
          <w:szCs w:val="23"/>
        </w:rPr>
        <w:t xml:space="preserve">rior </w:t>
      </w:r>
      <w:r w:rsidR="004E09E0" w:rsidRPr="00E3482E">
        <w:rPr>
          <w:color w:val="000000"/>
          <w:sz w:val="23"/>
          <w:szCs w:val="23"/>
        </w:rPr>
        <w:t>a</w:t>
      </w:r>
      <w:r w:rsidRPr="00E3482E">
        <w:rPr>
          <w:color w:val="000000"/>
          <w:sz w:val="23"/>
          <w:szCs w:val="23"/>
        </w:rPr>
        <w:t xml:space="preserve">nti-TNF </w:t>
      </w:r>
      <w:r w:rsidR="004E09E0" w:rsidRPr="00E3482E">
        <w:rPr>
          <w:color w:val="000000"/>
          <w:sz w:val="23"/>
          <w:szCs w:val="23"/>
        </w:rPr>
        <w:t>p</w:t>
      </w:r>
      <w:r w:rsidRPr="00E3482E">
        <w:rPr>
          <w:color w:val="000000"/>
          <w:sz w:val="23"/>
          <w:szCs w:val="23"/>
        </w:rPr>
        <w:t>opulation</w:t>
      </w:r>
    </w:p>
    <w:p w:rsidR="007E7E42" w:rsidRPr="00E3482E" w:rsidRDefault="00D53717" w:rsidP="00141F6A">
      <w:pPr>
        <w:keepNext/>
        <w:spacing w:line="240" w:lineRule="auto"/>
        <w:jc w:val="center"/>
        <w:rPr>
          <w:noProof/>
          <w:color w:val="000000"/>
          <w:lang w:eastAsia="en-AU"/>
        </w:rPr>
      </w:pPr>
      <w:r>
        <w:rPr>
          <w:noProof/>
          <w:color w:val="000000"/>
          <w:lang w:eastAsia="en-AU"/>
        </w:rPr>
        <w:drawing>
          <wp:inline distT="0" distB="0" distL="0" distR="0">
            <wp:extent cx="4572000"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2600325"/>
                    </a:xfrm>
                    <a:prstGeom prst="rect">
                      <a:avLst/>
                    </a:prstGeom>
                    <a:noFill/>
                    <a:ln>
                      <a:noFill/>
                    </a:ln>
                  </pic:spPr>
                </pic:pic>
              </a:graphicData>
            </a:graphic>
          </wp:inline>
        </w:drawing>
      </w:r>
    </w:p>
    <w:p w:rsidR="0068411C" w:rsidRPr="00E3482E" w:rsidRDefault="0068411C" w:rsidP="0068411C">
      <w:pPr>
        <w:pStyle w:val="Text"/>
        <w:keepNext/>
        <w:spacing w:before="60" w:line="269" w:lineRule="auto"/>
        <w:ind w:firstLine="720"/>
        <w:rPr>
          <w:i/>
          <w:color w:val="000000"/>
          <w:sz w:val="20"/>
          <w:szCs w:val="20"/>
          <w:lang w:val="en-GB"/>
        </w:rPr>
      </w:pPr>
      <w:r w:rsidRPr="00E3482E">
        <w:rPr>
          <w:i/>
          <w:color w:val="000000"/>
          <w:sz w:val="20"/>
          <w:szCs w:val="20"/>
          <w:lang w:val="en-GB"/>
        </w:rPr>
        <w:t>Survival function = Probability of not switching to re-treatment</w:t>
      </w:r>
      <w:r w:rsidR="004C65BB" w:rsidRPr="00E3482E">
        <w:rPr>
          <w:i/>
          <w:color w:val="000000"/>
          <w:sz w:val="20"/>
          <w:szCs w:val="20"/>
          <w:lang w:val="en-GB"/>
        </w:rPr>
        <w:tab/>
      </w:r>
      <w:r w:rsidR="004C65BB" w:rsidRPr="00E3482E">
        <w:rPr>
          <w:i/>
          <w:color w:val="000000"/>
          <w:sz w:val="20"/>
          <w:szCs w:val="20"/>
          <w:lang w:val="en-GB"/>
        </w:rPr>
        <w:tab/>
      </w:r>
      <w:r w:rsidR="004C65BB" w:rsidRPr="00E3482E">
        <w:rPr>
          <w:i/>
          <w:color w:val="000000"/>
          <w:sz w:val="20"/>
          <w:szCs w:val="20"/>
          <w:lang w:val="en-GB"/>
        </w:rPr>
        <w:tab/>
        <w:t>n = 525</w:t>
      </w:r>
      <w:r w:rsidRPr="00E3482E">
        <w:rPr>
          <w:i/>
          <w:color w:val="000000"/>
          <w:sz w:val="20"/>
          <w:szCs w:val="20"/>
          <w:lang w:val="en-GB"/>
        </w:rPr>
        <w:t xml:space="preserve"> </w:t>
      </w:r>
    </w:p>
    <w:p w:rsidR="004C65BB" w:rsidRPr="00E3482E" w:rsidRDefault="004C65BB" w:rsidP="004C65BB">
      <w:pPr>
        <w:pStyle w:val="Text"/>
        <w:keepNext/>
        <w:spacing w:before="0" w:line="240" w:lineRule="auto"/>
        <w:ind w:firstLine="720"/>
        <w:rPr>
          <w:i/>
          <w:color w:val="000000"/>
          <w:sz w:val="20"/>
          <w:szCs w:val="20"/>
          <w:lang w:val="en-GB"/>
        </w:rPr>
      </w:pPr>
    </w:p>
    <w:p w:rsidR="004C65BB" w:rsidRPr="00E3482E" w:rsidRDefault="004C65BB" w:rsidP="00CE75ED">
      <w:pPr>
        <w:pStyle w:val="Tabletitle"/>
        <w:spacing w:before="200"/>
        <w:ind w:left="1021" w:hanging="1021"/>
        <w:rPr>
          <w:color w:val="000000"/>
          <w:sz w:val="23"/>
          <w:szCs w:val="23"/>
        </w:rPr>
      </w:pPr>
      <w:r w:rsidRPr="00E3482E">
        <w:rPr>
          <w:color w:val="000000"/>
          <w:sz w:val="23"/>
          <w:szCs w:val="23"/>
        </w:rPr>
        <w:t>Figure 2:</w:t>
      </w:r>
      <w:r w:rsidRPr="00E3482E">
        <w:rPr>
          <w:color w:val="000000"/>
          <w:sz w:val="23"/>
          <w:szCs w:val="23"/>
        </w:rPr>
        <w:tab/>
        <w:t xml:space="preserve">Kaplan-Meier </w:t>
      </w:r>
      <w:r w:rsidR="004E09E0" w:rsidRPr="00E3482E">
        <w:rPr>
          <w:color w:val="000000"/>
          <w:sz w:val="23"/>
          <w:szCs w:val="23"/>
        </w:rPr>
        <w:t>a</w:t>
      </w:r>
      <w:r w:rsidRPr="00E3482E">
        <w:rPr>
          <w:color w:val="000000"/>
          <w:sz w:val="23"/>
          <w:szCs w:val="23"/>
        </w:rPr>
        <w:t xml:space="preserve">nalysis of </w:t>
      </w:r>
      <w:r w:rsidR="004E09E0" w:rsidRPr="00E3482E">
        <w:rPr>
          <w:color w:val="000000"/>
          <w:sz w:val="23"/>
          <w:szCs w:val="23"/>
        </w:rPr>
        <w:t>t</w:t>
      </w:r>
      <w:r w:rsidRPr="00E3482E">
        <w:rPr>
          <w:color w:val="000000"/>
          <w:sz w:val="23"/>
          <w:szCs w:val="23"/>
        </w:rPr>
        <w:t xml:space="preserve">ime to </w:t>
      </w:r>
      <w:r w:rsidR="004E09E0" w:rsidRPr="00E3482E">
        <w:rPr>
          <w:color w:val="000000"/>
          <w:sz w:val="23"/>
          <w:szCs w:val="23"/>
        </w:rPr>
        <w:t>s</w:t>
      </w:r>
      <w:r w:rsidRPr="00E3482E">
        <w:rPr>
          <w:color w:val="000000"/>
          <w:sz w:val="23"/>
          <w:szCs w:val="23"/>
        </w:rPr>
        <w:t xml:space="preserve">econd </w:t>
      </w:r>
      <w:r w:rsidR="004E09E0" w:rsidRPr="00E3482E">
        <w:rPr>
          <w:color w:val="000000"/>
          <w:sz w:val="23"/>
          <w:szCs w:val="23"/>
        </w:rPr>
        <w:t>t</w:t>
      </w:r>
      <w:r w:rsidRPr="00E3482E">
        <w:rPr>
          <w:color w:val="000000"/>
          <w:sz w:val="23"/>
          <w:szCs w:val="23"/>
        </w:rPr>
        <w:t xml:space="preserve">reatment </w:t>
      </w:r>
      <w:r w:rsidR="004E09E0" w:rsidRPr="00E3482E">
        <w:rPr>
          <w:color w:val="000000"/>
          <w:sz w:val="23"/>
          <w:szCs w:val="23"/>
        </w:rPr>
        <w:t>c</w:t>
      </w:r>
      <w:r w:rsidRPr="00E3482E">
        <w:rPr>
          <w:color w:val="000000"/>
          <w:sz w:val="23"/>
          <w:szCs w:val="23"/>
        </w:rPr>
        <w:t xml:space="preserve">ourse, </w:t>
      </w:r>
      <w:r w:rsidR="004E09E0" w:rsidRPr="00E3482E">
        <w:rPr>
          <w:color w:val="000000"/>
          <w:sz w:val="23"/>
          <w:szCs w:val="23"/>
        </w:rPr>
        <w:t>n</w:t>
      </w:r>
      <w:r w:rsidRPr="00E3482E">
        <w:rPr>
          <w:color w:val="000000"/>
          <w:sz w:val="23"/>
          <w:szCs w:val="23"/>
        </w:rPr>
        <w:t xml:space="preserve">o </w:t>
      </w:r>
      <w:r w:rsidR="004E09E0" w:rsidRPr="00E3482E">
        <w:rPr>
          <w:color w:val="000000"/>
          <w:sz w:val="23"/>
          <w:szCs w:val="23"/>
        </w:rPr>
        <w:t>p</w:t>
      </w:r>
      <w:r w:rsidRPr="00E3482E">
        <w:rPr>
          <w:color w:val="000000"/>
          <w:sz w:val="23"/>
          <w:szCs w:val="23"/>
        </w:rPr>
        <w:t xml:space="preserve">rior </w:t>
      </w:r>
      <w:r w:rsidR="004E09E0" w:rsidRPr="00E3482E">
        <w:rPr>
          <w:color w:val="000000"/>
          <w:sz w:val="23"/>
          <w:szCs w:val="23"/>
        </w:rPr>
        <w:t>a</w:t>
      </w:r>
      <w:r w:rsidRPr="00E3482E">
        <w:rPr>
          <w:color w:val="000000"/>
          <w:sz w:val="23"/>
          <w:szCs w:val="23"/>
        </w:rPr>
        <w:t xml:space="preserve">nti-TNF </w:t>
      </w:r>
      <w:r w:rsidR="004E09E0" w:rsidRPr="00E3482E">
        <w:rPr>
          <w:color w:val="000000"/>
          <w:sz w:val="23"/>
          <w:szCs w:val="23"/>
        </w:rPr>
        <w:t>p</w:t>
      </w:r>
      <w:r w:rsidRPr="00E3482E">
        <w:rPr>
          <w:color w:val="000000"/>
          <w:sz w:val="23"/>
          <w:szCs w:val="23"/>
        </w:rPr>
        <w:t>opulation</w:t>
      </w:r>
    </w:p>
    <w:p w:rsidR="0068411C" w:rsidRPr="00E3482E" w:rsidRDefault="00D53717" w:rsidP="004C65BB">
      <w:pPr>
        <w:spacing w:line="240" w:lineRule="auto"/>
        <w:jc w:val="center"/>
        <w:rPr>
          <w:noProof/>
          <w:color w:val="000000"/>
          <w:lang w:eastAsia="en-AU"/>
        </w:rPr>
      </w:pPr>
      <w:r>
        <w:rPr>
          <w:noProof/>
          <w:color w:val="000000"/>
          <w:lang w:eastAsia="en-AU"/>
        </w:rPr>
        <w:drawing>
          <wp:inline distT="0" distB="0" distL="0" distR="0">
            <wp:extent cx="4572000" cy="2562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2562225"/>
                    </a:xfrm>
                    <a:prstGeom prst="rect">
                      <a:avLst/>
                    </a:prstGeom>
                    <a:noFill/>
                    <a:ln>
                      <a:noFill/>
                    </a:ln>
                  </pic:spPr>
                </pic:pic>
              </a:graphicData>
            </a:graphic>
          </wp:inline>
        </w:drawing>
      </w:r>
    </w:p>
    <w:p w:rsidR="004C65BB" w:rsidRPr="00E3482E" w:rsidRDefault="004C65BB" w:rsidP="004C65BB">
      <w:pPr>
        <w:pStyle w:val="Text"/>
        <w:keepNext/>
        <w:spacing w:before="60" w:line="269" w:lineRule="auto"/>
        <w:ind w:firstLine="720"/>
        <w:rPr>
          <w:i/>
          <w:color w:val="000000"/>
          <w:sz w:val="20"/>
          <w:szCs w:val="20"/>
          <w:lang w:val="en-GB"/>
        </w:rPr>
      </w:pPr>
      <w:r w:rsidRPr="00E3482E">
        <w:rPr>
          <w:i/>
          <w:color w:val="000000"/>
          <w:sz w:val="20"/>
          <w:szCs w:val="20"/>
          <w:lang w:val="en-GB"/>
        </w:rPr>
        <w:t>Survival function = Probability of not switching to re-treatment</w:t>
      </w:r>
      <w:r w:rsidRPr="00E3482E">
        <w:rPr>
          <w:i/>
          <w:color w:val="000000"/>
          <w:sz w:val="20"/>
          <w:szCs w:val="20"/>
          <w:lang w:val="en-GB"/>
        </w:rPr>
        <w:tab/>
      </w:r>
      <w:r w:rsidRPr="00E3482E">
        <w:rPr>
          <w:i/>
          <w:color w:val="000000"/>
          <w:sz w:val="20"/>
          <w:szCs w:val="20"/>
          <w:lang w:val="en-GB"/>
        </w:rPr>
        <w:tab/>
      </w:r>
      <w:r w:rsidRPr="00E3482E">
        <w:rPr>
          <w:i/>
          <w:color w:val="000000"/>
          <w:sz w:val="20"/>
          <w:szCs w:val="20"/>
          <w:lang w:val="en-GB"/>
        </w:rPr>
        <w:tab/>
        <w:t>n = 256</w:t>
      </w:r>
    </w:p>
    <w:p w:rsidR="004C65BB" w:rsidRPr="00E3482E" w:rsidRDefault="004C65BB" w:rsidP="004C65BB">
      <w:pPr>
        <w:pStyle w:val="Text"/>
        <w:spacing w:before="0" w:line="240" w:lineRule="auto"/>
        <w:ind w:firstLine="720"/>
        <w:rPr>
          <w:i/>
          <w:color w:val="000000"/>
          <w:sz w:val="20"/>
          <w:szCs w:val="20"/>
          <w:lang w:val="en-GB"/>
        </w:rPr>
      </w:pPr>
    </w:p>
    <w:p w:rsidR="004C65BB" w:rsidRPr="00E3482E" w:rsidRDefault="004C65BB" w:rsidP="004173DE">
      <w:pPr>
        <w:pStyle w:val="Tabletitle"/>
        <w:keepNext/>
        <w:spacing w:before="200"/>
        <w:ind w:left="1021" w:hanging="1021"/>
        <w:rPr>
          <w:color w:val="000000"/>
          <w:sz w:val="23"/>
          <w:szCs w:val="23"/>
        </w:rPr>
      </w:pPr>
      <w:r w:rsidRPr="00E3482E">
        <w:rPr>
          <w:color w:val="000000"/>
          <w:sz w:val="23"/>
          <w:szCs w:val="23"/>
        </w:rPr>
        <w:lastRenderedPageBreak/>
        <w:t>Figure 3:</w:t>
      </w:r>
      <w:r w:rsidRPr="00E3482E">
        <w:rPr>
          <w:color w:val="000000"/>
          <w:sz w:val="23"/>
          <w:szCs w:val="23"/>
        </w:rPr>
        <w:tab/>
        <w:t xml:space="preserve">Mean </w:t>
      </w:r>
      <w:r w:rsidR="004E09E0" w:rsidRPr="00E3482E">
        <w:rPr>
          <w:color w:val="000000"/>
          <w:sz w:val="23"/>
          <w:szCs w:val="23"/>
        </w:rPr>
        <w:t>c</w:t>
      </w:r>
      <w:r w:rsidRPr="00E3482E">
        <w:rPr>
          <w:color w:val="000000"/>
          <w:sz w:val="23"/>
          <w:szCs w:val="23"/>
        </w:rPr>
        <w:t xml:space="preserve">hange in DAS28 </w:t>
      </w:r>
      <w:r w:rsidR="004E09E0" w:rsidRPr="00E3482E">
        <w:rPr>
          <w:color w:val="000000"/>
          <w:sz w:val="23"/>
          <w:szCs w:val="23"/>
        </w:rPr>
        <w:t>o</w:t>
      </w:r>
      <w:r w:rsidRPr="00E3482E">
        <w:rPr>
          <w:color w:val="000000"/>
          <w:sz w:val="23"/>
          <w:szCs w:val="23"/>
        </w:rPr>
        <w:t xml:space="preserve">ver </w:t>
      </w:r>
      <w:r w:rsidR="004E09E0" w:rsidRPr="00E3482E">
        <w:rPr>
          <w:color w:val="000000"/>
          <w:sz w:val="23"/>
          <w:szCs w:val="23"/>
        </w:rPr>
        <w:t>t</w:t>
      </w:r>
      <w:r w:rsidRPr="00E3482E">
        <w:rPr>
          <w:color w:val="000000"/>
          <w:sz w:val="23"/>
          <w:szCs w:val="23"/>
        </w:rPr>
        <w:t xml:space="preserve">ime </w:t>
      </w:r>
      <w:r w:rsidR="004E09E0" w:rsidRPr="00E3482E">
        <w:rPr>
          <w:color w:val="000000"/>
          <w:sz w:val="23"/>
          <w:szCs w:val="23"/>
        </w:rPr>
        <w:t>f</w:t>
      </w:r>
      <w:r w:rsidRPr="00E3482E">
        <w:rPr>
          <w:color w:val="000000"/>
          <w:sz w:val="23"/>
          <w:szCs w:val="23"/>
        </w:rPr>
        <w:t xml:space="preserve">ollowing </w:t>
      </w:r>
      <w:r w:rsidR="004E09E0" w:rsidRPr="00E3482E">
        <w:rPr>
          <w:color w:val="000000"/>
          <w:sz w:val="23"/>
          <w:szCs w:val="23"/>
        </w:rPr>
        <w:t>f</w:t>
      </w:r>
      <w:r w:rsidRPr="00E3482E">
        <w:rPr>
          <w:color w:val="000000"/>
          <w:sz w:val="23"/>
          <w:szCs w:val="23"/>
        </w:rPr>
        <w:t xml:space="preserve">irst and </w:t>
      </w:r>
      <w:r w:rsidR="004E09E0" w:rsidRPr="00E3482E">
        <w:rPr>
          <w:color w:val="000000"/>
          <w:sz w:val="23"/>
          <w:szCs w:val="23"/>
        </w:rPr>
        <w:t>s</w:t>
      </w:r>
      <w:r w:rsidRPr="00E3482E">
        <w:rPr>
          <w:color w:val="000000"/>
          <w:sz w:val="23"/>
          <w:szCs w:val="23"/>
        </w:rPr>
        <w:t xml:space="preserve">econd </w:t>
      </w:r>
      <w:r w:rsidR="004E09E0" w:rsidRPr="00E3482E">
        <w:rPr>
          <w:color w:val="000000"/>
          <w:sz w:val="23"/>
          <w:szCs w:val="23"/>
        </w:rPr>
        <w:t>c</w:t>
      </w:r>
      <w:r w:rsidRPr="00E3482E">
        <w:rPr>
          <w:color w:val="000000"/>
          <w:sz w:val="23"/>
          <w:szCs w:val="23"/>
        </w:rPr>
        <w:t xml:space="preserve">ourse </w:t>
      </w:r>
      <w:r w:rsidR="004E09E0" w:rsidRPr="00E3482E">
        <w:rPr>
          <w:color w:val="000000"/>
          <w:sz w:val="23"/>
          <w:szCs w:val="23"/>
        </w:rPr>
        <w:t>t</w:t>
      </w:r>
      <w:r w:rsidRPr="00E3482E">
        <w:rPr>
          <w:color w:val="000000"/>
          <w:sz w:val="23"/>
          <w:szCs w:val="23"/>
        </w:rPr>
        <w:t>herapy (</w:t>
      </w:r>
      <w:r w:rsidR="004E09E0" w:rsidRPr="00E3482E">
        <w:rPr>
          <w:color w:val="000000"/>
          <w:sz w:val="23"/>
          <w:szCs w:val="23"/>
        </w:rPr>
        <w:t>p</w:t>
      </w:r>
      <w:r w:rsidRPr="00E3482E">
        <w:rPr>
          <w:color w:val="000000"/>
          <w:sz w:val="23"/>
          <w:szCs w:val="23"/>
        </w:rPr>
        <w:t>rior anti-TNF population)</w:t>
      </w:r>
    </w:p>
    <w:p w:rsidR="004C65BB" w:rsidRPr="00E3482E" w:rsidRDefault="00D53717" w:rsidP="004173DE">
      <w:pPr>
        <w:keepNext/>
        <w:spacing w:before="120"/>
        <w:jc w:val="center"/>
        <w:rPr>
          <w:noProof/>
          <w:color w:val="000000"/>
          <w:lang w:eastAsia="en-AU"/>
        </w:rPr>
      </w:pPr>
      <w:r>
        <w:rPr>
          <w:noProof/>
          <w:color w:val="000000"/>
          <w:lang w:eastAsia="en-AU"/>
        </w:rPr>
        <w:drawing>
          <wp:inline distT="0" distB="0" distL="0" distR="0">
            <wp:extent cx="4219575" cy="3429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9575" cy="3429000"/>
                    </a:xfrm>
                    <a:prstGeom prst="rect">
                      <a:avLst/>
                    </a:prstGeom>
                    <a:noFill/>
                    <a:ln>
                      <a:noFill/>
                    </a:ln>
                  </pic:spPr>
                </pic:pic>
              </a:graphicData>
            </a:graphic>
          </wp:inline>
        </w:drawing>
      </w:r>
    </w:p>
    <w:p w:rsidR="004C65BB" w:rsidRPr="00E3482E" w:rsidRDefault="004C65BB" w:rsidP="00302DDB">
      <w:pPr>
        <w:spacing w:line="240" w:lineRule="auto"/>
        <w:jc w:val="center"/>
        <w:rPr>
          <w:color w:val="000000"/>
          <w:lang w:val="en-GB"/>
        </w:rPr>
      </w:pPr>
    </w:p>
    <w:p w:rsidR="004C65BB" w:rsidRPr="00E3482E" w:rsidRDefault="004C65BB" w:rsidP="00F5092E">
      <w:pPr>
        <w:pStyle w:val="Heading2"/>
      </w:pPr>
      <w:r w:rsidRPr="00E3482E">
        <w:t>120 Minute Infusion Rate Study (ML25641) in Rheumatoid Arthritis</w:t>
      </w:r>
    </w:p>
    <w:p w:rsidR="004C65BB" w:rsidRPr="00E3482E" w:rsidRDefault="004C65BB" w:rsidP="004C65BB">
      <w:pPr>
        <w:spacing w:before="120"/>
        <w:jc w:val="both"/>
        <w:rPr>
          <w:color w:val="000000"/>
          <w:lang w:val="en-GB"/>
        </w:rPr>
      </w:pPr>
      <w:r w:rsidRPr="00E3482E">
        <w:rPr>
          <w:color w:val="000000"/>
          <w:lang w:val="en-GB"/>
        </w:rPr>
        <w:t>Study 4, a multi-centre, open-label single-arm trial, 351 patients with moderate to severe active RA, who had an inadequate response to at least one TNF inhibitor and were receiving MTX, were to receive 2 courses of rituximab treatment. Patients who were naïve to prior rituximab therapy (n=306) and those who had received 1 to 2 prior courses of rituximab 6-9 months prior to baseline (n=45) were eligible for enrolment.</w:t>
      </w:r>
    </w:p>
    <w:p w:rsidR="0068411C" w:rsidRPr="00E3482E" w:rsidRDefault="004C65BB" w:rsidP="004C65BB">
      <w:pPr>
        <w:spacing w:before="120"/>
        <w:jc w:val="both"/>
        <w:rPr>
          <w:color w:val="000000"/>
          <w:lang w:val="en-GB"/>
        </w:rPr>
      </w:pPr>
      <w:r w:rsidRPr="00E3482E">
        <w:rPr>
          <w:color w:val="000000"/>
          <w:lang w:val="en-GB"/>
        </w:rPr>
        <w:t xml:space="preserve">Patients received 2 courses of rituximab 1000mg x 2 + MTX treatment, the first course was administered on Days 1 and 15 and the second course 6 months later on Days 168 and 182. The first infusion of the first course (Day 1 infusion) was administered over a 4.25 hour period. The second infusion of the first course (Day 15 infusion) and both infusions in the second course (Day 168 and 182 infusions) were administered over 120 minutes. Any patient experiencing a serious infusion-related reaction with any infusion was withdrawn from the study. In this study, an infusion-related reaction (IRR) was defined as any adverse event that occurred during or within 24 hours following the infusion of rituximab and met pre-specified criteria for adverse event terms for IRRs. IRRs were defined as serious if they met one of the following seriousness criteria: fatal, life-threatening, required inpatient hospitalisation or prolongation of existing </w:t>
      </w:r>
      <w:proofErr w:type="gramStart"/>
      <w:r w:rsidRPr="00E3482E">
        <w:rPr>
          <w:color w:val="000000"/>
          <w:lang w:val="en-GB"/>
        </w:rPr>
        <w:t>hospitalisation,</w:t>
      </w:r>
      <w:proofErr w:type="gramEnd"/>
      <w:r w:rsidRPr="00E3482E">
        <w:rPr>
          <w:color w:val="000000"/>
          <w:lang w:val="en-GB"/>
        </w:rPr>
        <w:t xml:space="preserve"> resulted in persistent or significant disability / incapacity, were medically significant.</w:t>
      </w:r>
    </w:p>
    <w:p w:rsidR="004C65BB" w:rsidRPr="00E3482E" w:rsidRDefault="004C65BB" w:rsidP="004C65BB">
      <w:pPr>
        <w:spacing w:before="120"/>
        <w:jc w:val="both"/>
        <w:rPr>
          <w:color w:val="000000"/>
          <w:lang w:val="en-GB"/>
        </w:rPr>
      </w:pPr>
      <w:r w:rsidRPr="00E3482E">
        <w:rPr>
          <w:color w:val="000000"/>
          <w:lang w:val="en-GB"/>
        </w:rPr>
        <w:t>The primary objective of this study was to assess the safety of administering the second infusion of the first study course of rituximab over 120 minutes in rheumatoid arthritis patients.</w:t>
      </w:r>
    </w:p>
    <w:p w:rsidR="0068411C" w:rsidRPr="00E3482E" w:rsidRDefault="004C65BB" w:rsidP="004C65BB">
      <w:pPr>
        <w:spacing w:before="120"/>
        <w:jc w:val="both"/>
        <w:rPr>
          <w:color w:val="000000"/>
          <w:lang w:val="en-GB"/>
        </w:rPr>
      </w:pPr>
      <w:r w:rsidRPr="00E3482E">
        <w:rPr>
          <w:color w:val="000000"/>
          <w:lang w:val="en-GB"/>
        </w:rPr>
        <w:lastRenderedPageBreak/>
        <w:t>The incidence of IRRs at Day 15 was 6.5% (95% CI</w:t>
      </w:r>
      <w:r w:rsidR="008A7E2A" w:rsidRPr="00E3482E">
        <w:rPr>
          <w:color w:val="000000"/>
          <w:lang w:val="en-GB"/>
        </w:rPr>
        <w:t xml:space="preserve">: </w:t>
      </w:r>
      <w:r w:rsidRPr="00E3482E">
        <w:rPr>
          <w:color w:val="000000"/>
          <w:lang w:val="en-GB"/>
        </w:rPr>
        <w:t xml:space="preserve"> 4.1%-9.7%) consistent with the rate observed historically. There were no serious IRRs observed. Data observed for the infusions on Days 168 and 182 (120 minute infusion) demonstrates a low incidence of IRRs, similar to the rates observed historically, with no serious IRRs occurring (see </w:t>
      </w:r>
      <w:r w:rsidRPr="00E3482E">
        <w:rPr>
          <w:b/>
          <w:color w:val="000000"/>
          <w:lang w:val="en-GB"/>
        </w:rPr>
        <w:t>ADVERSE EVENTS</w:t>
      </w:r>
      <w:r w:rsidRPr="00E3482E">
        <w:rPr>
          <w:color w:val="000000"/>
          <w:lang w:val="en-GB"/>
        </w:rPr>
        <w:t xml:space="preserve"> </w:t>
      </w:r>
      <w:r w:rsidR="008A7E2A" w:rsidRPr="00E3482E">
        <w:rPr>
          <w:color w:val="000000"/>
          <w:lang w:val="en-GB"/>
        </w:rPr>
        <w:t xml:space="preserve">- </w:t>
      </w:r>
      <w:r w:rsidRPr="00E3482E">
        <w:rPr>
          <w:i/>
          <w:color w:val="000000"/>
          <w:lang w:val="en-GB"/>
        </w:rPr>
        <w:t>Experience from Clinical Trials in Rheumatoid Arthritis</w:t>
      </w:r>
      <w:r w:rsidRPr="00E3482E">
        <w:rPr>
          <w:color w:val="000000"/>
          <w:lang w:val="en-GB"/>
        </w:rPr>
        <w:t>).</w:t>
      </w:r>
    </w:p>
    <w:p w:rsidR="00302DDB" w:rsidRPr="00E3482E" w:rsidRDefault="00302DDB" w:rsidP="00F5092E">
      <w:pPr>
        <w:pStyle w:val="HeadingUnderlined"/>
      </w:pPr>
      <w:r w:rsidRPr="00E3482E">
        <w:t xml:space="preserve">Granulomatosis with </w:t>
      </w:r>
      <w:r w:rsidR="00E456A5" w:rsidRPr="00E3482E">
        <w:t>p</w:t>
      </w:r>
      <w:r w:rsidRPr="00E3482E">
        <w:t xml:space="preserve">olyangiitis (Wegener’s) and Microscopic </w:t>
      </w:r>
      <w:r w:rsidR="00E456A5" w:rsidRPr="00E3482E">
        <w:t>p</w:t>
      </w:r>
      <w:r w:rsidRPr="00E3482E">
        <w:t>olyangiitis</w:t>
      </w:r>
    </w:p>
    <w:p w:rsidR="00302DDB" w:rsidRPr="00E3482E" w:rsidRDefault="00302DDB" w:rsidP="00302DDB">
      <w:pPr>
        <w:spacing w:before="120"/>
        <w:jc w:val="both"/>
        <w:rPr>
          <w:color w:val="000000"/>
          <w:lang w:val="en-GB"/>
        </w:rPr>
      </w:pPr>
      <w:r w:rsidRPr="00E3482E">
        <w:rPr>
          <w:color w:val="000000"/>
          <w:lang w:val="en-GB"/>
        </w:rPr>
        <w:t>A total of 197 patients with severely, active GPA and MPA were enrolled and treated in study ITN021AI (RAVE), a phase II/III, active controlled, randomised, double-blind, multicentre, non-inferiority study. Patients were 15 years of age or older, diagnosed with severely, active GPA (75% of patients) or MPA (24% of patients) according to the Chapel Hill Consensus conference criteria (1% of patients had unknown GPA and MPA type).</w:t>
      </w:r>
    </w:p>
    <w:p w:rsidR="00302DDB" w:rsidRPr="00E3482E" w:rsidRDefault="00302DDB" w:rsidP="00302DDB">
      <w:pPr>
        <w:spacing w:before="120"/>
        <w:jc w:val="both"/>
        <w:rPr>
          <w:color w:val="000000"/>
          <w:lang w:val="en-GB"/>
        </w:rPr>
      </w:pPr>
      <w:r w:rsidRPr="00E3482E">
        <w:rPr>
          <w:color w:val="000000"/>
          <w:lang w:val="en-GB"/>
        </w:rPr>
        <w:t>Patients were randomised in a 1:1 ratio to receive either oral cyclophosphamide (CYC) daily (2mg/kg/day) for 3-6 months followed by azathioprine, or rituximab (375 mg/m</w:t>
      </w:r>
      <w:r w:rsidRPr="00E3482E">
        <w:rPr>
          <w:color w:val="000000"/>
          <w:vertAlign w:val="superscript"/>
          <w:lang w:val="en-GB"/>
        </w:rPr>
        <w:t>2</w:t>
      </w:r>
      <w:r w:rsidRPr="00E3482E">
        <w:rPr>
          <w:color w:val="000000"/>
          <w:lang w:val="en-GB"/>
        </w:rPr>
        <w:t xml:space="preserve">) once weekly for 4 weeks. Patients in both arms received 1000 mg of pulse IV methylprednisolone (or another equivalent-dose glucocorticoid) per day for 1 to 3 days, followed by oral prednisone (1 mg/kg/day, not exceeding 80 mg/day). Prednisone tapering was to be completed by 6 months from the start of study treatment. For prophylaxis against pneumocystis </w:t>
      </w:r>
      <w:proofErr w:type="spellStart"/>
      <w:r w:rsidRPr="00E3482E">
        <w:rPr>
          <w:color w:val="000000"/>
          <w:lang w:val="en-GB"/>
        </w:rPr>
        <w:t>jiroveci</w:t>
      </w:r>
      <w:proofErr w:type="spellEnd"/>
      <w:r w:rsidRPr="00E3482E">
        <w:rPr>
          <w:color w:val="000000"/>
          <w:lang w:val="en-GB"/>
        </w:rPr>
        <w:t xml:space="preserve"> pneumonia patients in both treatment arms received trimethoprim/ sulfamethoxazole unless contraindicated.</w:t>
      </w:r>
    </w:p>
    <w:p w:rsidR="004C65BB" w:rsidRPr="00E3482E" w:rsidRDefault="00302DDB" w:rsidP="00302DDB">
      <w:pPr>
        <w:spacing w:before="120"/>
        <w:jc w:val="both"/>
        <w:rPr>
          <w:color w:val="000000"/>
          <w:lang w:val="en-GB"/>
        </w:rPr>
      </w:pPr>
      <w:r w:rsidRPr="00E3482E">
        <w:rPr>
          <w:color w:val="000000"/>
          <w:lang w:val="en-GB"/>
        </w:rPr>
        <w:t xml:space="preserve">Study exclusion criteria included diagnosis of </w:t>
      </w:r>
      <w:proofErr w:type="spellStart"/>
      <w:r w:rsidRPr="00E3482E">
        <w:rPr>
          <w:color w:val="000000"/>
          <w:lang w:val="en-GB"/>
        </w:rPr>
        <w:t>Eosinophylic</w:t>
      </w:r>
      <w:proofErr w:type="spellEnd"/>
      <w:r w:rsidRPr="00E3482E">
        <w:rPr>
          <w:color w:val="000000"/>
          <w:lang w:val="en-GB"/>
        </w:rPr>
        <w:t xml:space="preserve"> Granulomatosis with </w:t>
      </w:r>
      <w:proofErr w:type="spellStart"/>
      <w:r w:rsidRPr="00E3482E">
        <w:rPr>
          <w:color w:val="000000"/>
          <w:lang w:val="en-GB"/>
        </w:rPr>
        <w:t>polyangiitis</w:t>
      </w:r>
      <w:proofErr w:type="spellEnd"/>
      <w:r w:rsidRPr="00E3482E">
        <w:rPr>
          <w:color w:val="000000"/>
          <w:lang w:val="en-GB"/>
        </w:rPr>
        <w:t xml:space="preserve"> (</w:t>
      </w:r>
      <w:proofErr w:type="spellStart"/>
      <w:r w:rsidRPr="00E3482E">
        <w:rPr>
          <w:color w:val="000000"/>
          <w:lang w:val="en-GB"/>
        </w:rPr>
        <w:t>Churg</w:t>
      </w:r>
      <w:proofErr w:type="spellEnd"/>
      <w:r w:rsidRPr="00E3482E">
        <w:rPr>
          <w:color w:val="000000"/>
          <w:lang w:val="en-GB"/>
        </w:rPr>
        <w:t xml:space="preserve"> Strauss syndrome), active infection (including active or documented hepatitis B or C), severe hepatic impairment or significant renal impairment (serum creatinine &gt;4.0). Subjects requiring mechanical ventilation were also excluded.</w:t>
      </w:r>
    </w:p>
    <w:p w:rsidR="00302DDB" w:rsidRPr="00E3482E" w:rsidRDefault="00302DDB" w:rsidP="00302DDB">
      <w:pPr>
        <w:spacing w:before="120"/>
        <w:jc w:val="both"/>
        <w:rPr>
          <w:color w:val="000000"/>
          <w:lang w:val="en-GB"/>
        </w:rPr>
      </w:pPr>
      <w:r w:rsidRPr="00E3482E">
        <w:rPr>
          <w:color w:val="000000"/>
          <w:lang w:val="en-GB"/>
        </w:rPr>
        <w:t>Patient demographic characteristics were similar between the treatment arms in terms of age at disease onset, gender, primary race, and ethnicity. The median patient age was 52.0 years with a range of 15 to 92 years. At baseline disease assessment</w:t>
      </w:r>
      <w:r w:rsidR="00141F6A">
        <w:rPr>
          <w:color w:val="000000"/>
          <w:lang w:val="en-GB"/>
        </w:rPr>
        <w:t>,</w:t>
      </w:r>
      <w:r w:rsidRPr="00E3482E">
        <w:rPr>
          <w:color w:val="000000"/>
          <w:lang w:val="en-GB"/>
        </w:rPr>
        <w:t xml:space="preserve"> the majority of patients in each arm had pulmonary, systemic, or ear/nose/throat involvement. 65/99 patients in the rituximab arm and 65/98 patients in the CYC arm had renal involvement. Other disease characteristics were generally balanced between the two treatment arms with the exception of estimated creatinine clearance. Mean (SD) creatinine clearance (estimated by Cockcroft-Gault formula) was 76.51 (46.27) and 91.40 (49.24) mL/min for the rituximab and CYC arms, respectively. The median values were also lower in the rituximab arm compared with the CYC arm (67.61 vs. 87.47 mL/min, respectively).</w:t>
      </w:r>
    </w:p>
    <w:p w:rsidR="004C65BB" w:rsidRPr="00E3482E" w:rsidRDefault="00302DDB" w:rsidP="00302DDB">
      <w:pPr>
        <w:spacing w:before="120"/>
        <w:jc w:val="both"/>
        <w:rPr>
          <w:color w:val="000000"/>
          <w:lang w:val="en-GB"/>
        </w:rPr>
      </w:pPr>
      <w:r w:rsidRPr="00E3482E">
        <w:rPr>
          <w:color w:val="000000"/>
          <w:lang w:val="en-GB"/>
        </w:rPr>
        <w:t>The primary outcome measure was achievement of complete remission (CR) at 6 months defined as a Birmingham Vasculitis Activity Score for Wegener’s Granulomatosis (BVAS/WG) of 0, and off glucocorticoid therapy. The pre-specified non-inferiority margin for the treatment difference was 20%. The study demonstrated non-inferiority of rituximab to CYC for CR at 6 months (Table 13). In addition, the CR rate in the rituximab arm was significantly greater than the estimated CR rate in patients with severe GPA and MPA not treated or treated only with glucocorticoids, based on historical control data.</w:t>
      </w:r>
    </w:p>
    <w:p w:rsidR="004C65BB" w:rsidRPr="00E3482E" w:rsidRDefault="00302DDB" w:rsidP="00A0486A">
      <w:pPr>
        <w:spacing w:before="120"/>
        <w:jc w:val="both"/>
        <w:rPr>
          <w:color w:val="000000"/>
          <w:lang w:val="en-GB"/>
        </w:rPr>
      </w:pPr>
      <w:r w:rsidRPr="00E3482E">
        <w:rPr>
          <w:color w:val="000000"/>
          <w:lang w:val="en-GB"/>
        </w:rPr>
        <w:lastRenderedPageBreak/>
        <w:t>Efficacy was observed both for patients with newly diagnosed GPA and MPA and for patients with relapsing disease. As RAVE did not investigate alternative rituximab doses or infusion schedules, and no prior dose-finding studies were performed, an optimal dose has not been determined. Since corticosteroids were not used in all patients beyond 6 months, no conclusions can be drawn on the need for additional use. Any further corticosteroid use should be at the physician’s discretion.</w:t>
      </w:r>
    </w:p>
    <w:p w:rsidR="00302DDB" w:rsidRPr="00E3482E" w:rsidRDefault="00302DDB" w:rsidP="004E09E0">
      <w:pPr>
        <w:pStyle w:val="Tabletitle"/>
        <w:spacing w:before="200"/>
        <w:ind w:left="1021" w:right="-170" w:hanging="1021"/>
        <w:rPr>
          <w:color w:val="000000"/>
          <w:sz w:val="23"/>
          <w:szCs w:val="23"/>
        </w:rPr>
      </w:pPr>
      <w:r w:rsidRPr="00E3482E">
        <w:rPr>
          <w:color w:val="000000"/>
          <w:sz w:val="23"/>
          <w:szCs w:val="23"/>
        </w:rPr>
        <w:t>Table 13:</w:t>
      </w:r>
      <w:r w:rsidRPr="00E3482E">
        <w:rPr>
          <w:color w:val="000000"/>
          <w:sz w:val="23"/>
          <w:szCs w:val="23"/>
        </w:rPr>
        <w:tab/>
        <w:t xml:space="preserve">Percentage of </w:t>
      </w:r>
      <w:r w:rsidR="004E09E0" w:rsidRPr="00E3482E">
        <w:rPr>
          <w:color w:val="000000"/>
          <w:sz w:val="23"/>
          <w:szCs w:val="23"/>
        </w:rPr>
        <w:t>p</w:t>
      </w:r>
      <w:r w:rsidRPr="00E3482E">
        <w:rPr>
          <w:color w:val="000000"/>
          <w:sz w:val="23"/>
          <w:szCs w:val="23"/>
        </w:rPr>
        <w:t xml:space="preserve">atients who achieved </w:t>
      </w:r>
      <w:r w:rsidR="004E09E0" w:rsidRPr="00E3482E">
        <w:rPr>
          <w:color w:val="000000"/>
          <w:sz w:val="23"/>
          <w:szCs w:val="23"/>
        </w:rPr>
        <w:t>c</w:t>
      </w:r>
      <w:r w:rsidRPr="00E3482E">
        <w:rPr>
          <w:color w:val="000000"/>
          <w:sz w:val="23"/>
          <w:szCs w:val="23"/>
        </w:rPr>
        <w:t xml:space="preserve">omplete </w:t>
      </w:r>
      <w:r w:rsidR="004E09E0" w:rsidRPr="00E3482E">
        <w:rPr>
          <w:color w:val="000000"/>
          <w:sz w:val="23"/>
          <w:szCs w:val="23"/>
        </w:rPr>
        <w:t>r</w:t>
      </w:r>
      <w:r w:rsidRPr="00E3482E">
        <w:rPr>
          <w:color w:val="000000"/>
          <w:sz w:val="23"/>
          <w:szCs w:val="23"/>
        </w:rPr>
        <w:t xml:space="preserve">emission at 6 </w:t>
      </w:r>
      <w:r w:rsidR="004E09E0" w:rsidRPr="00E3482E">
        <w:rPr>
          <w:color w:val="000000"/>
          <w:sz w:val="23"/>
          <w:szCs w:val="23"/>
        </w:rPr>
        <w:t>m</w:t>
      </w:r>
      <w:r w:rsidRPr="00E3482E">
        <w:rPr>
          <w:color w:val="000000"/>
          <w:sz w:val="23"/>
          <w:szCs w:val="23"/>
        </w:rPr>
        <w:t>onths (I</w:t>
      </w:r>
      <w:r w:rsidR="004E09E0" w:rsidRPr="00E3482E">
        <w:rPr>
          <w:color w:val="000000"/>
          <w:sz w:val="23"/>
          <w:szCs w:val="23"/>
        </w:rPr>
        <w:t>TT p</w:t>
      </w:r>
      <w:r w:rsidRPr="00E3482E">
        <w:rPr>
          <w:color w:val="000000"/>
          <w:sz w:val="23"/>
          <w:szCs w:val="23"/>
        </w:rPr>
        <w:t>opulation)</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3"/>
        <w:gridCol w:w="2127"/>
        <w:gridCol w:w="2268"/>
        <w:gridCol w:w="2693"/>
      </w:tblGrid>
      <w:tr w:rsidR="00302DDB" w:rsidRPr="00E3482E" w:rsidTr="00B01E14">
        <w:tc>
          <w:tcPr>
            <w:tcW w:w="2373"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2F24BB">
            <w:pPr>
              <w:pStyle w:val="Text"/>
              <w:spacing w:before="40" w:line="269" w:lineRule="auto"/>
              <w:jc w:val="center"/>
              <w:rPr>
                <w:b/>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2F24BB">
            <w:pPr>
              <w:pStyle w:val="Text"/>
              <w:spacing w:before="40" w:line="269" w:lineRule="auto"/>
              <w:jc w:val="center"/>
              <w:rPr>
                <w:b/>
                <w:bCs/>
                <w:color w:val="000000"/>
                <w:sz w:val="22"/>
                <w:szCs w:val="22"/>
              </w:rPr>
            </w:pPr>
            <w:r w:rsidRPr="00E3482E">
              <w:rPr>
                <w:b/>
                <w:bCs/>
                <w:color w:val="000000"/>
                <w:sz w:val="22"/>
                <w:szCs w:val="22"/>
              </w:rPr>
              <w:t>Rituximab</w:t>
            </w:r>
          </w:p>
          <w:p w:rsidR="00302DDB" w:rsidRPr="00E3482E" w:rsidRDefault="00302DDB" w:rsidP="002F24BB">
            <w:pPr>
              <w:pStyle w:val="Text"/>
              <w:spacing w:before="40" w:line="269" w:lineRule="auto"/>
              <w:jc w:val="center"/>
              <w:rPr>
                <w:color w:val="000000"/>
                <w:sz w:val="22"/>
                <w:szCs w:val="22"/>
              </w:rPr>
            </w:pPr>
            <w:r w:rsidRPr="00E3482E">
              <w:rPr>
                <w:bCs/>
                <w:color w:val="000000"/>
                <w:sz w:val="22"/>
                <w:szCs w:val="22"/>
              </w:rPr>
              <w:t>(n=99)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2F24BB">
            <w:pPr>
              <w:pStyle w:val="Text"/>
              <w:spacing w:before="40" w:line="269" w:lineRule="auto"/>
              <w:jc w:val="center"/>
              <w:rPr>
                <w:b/>
                <w:color w:val="000000"/>
                <w:sz w:val="22"/>
                <w:szCs w:val="22"/>
              </w:rPr>
            </w:pPr>
            <w:r w:rsidRPr="00E3482E">
              <w:rPr>
                <w:b/>
                <w:color w:val="000000"/>
                <w:sz w:val="22"/>
                <w:szCs w:val="22"/>
              </w:rPr>
              <w:t>CYC</w:t>
            </w:r>
          </w:p>
          <w:p w:rsidR="00302DDB" w:rsidRPr="00E3482E" w:rsidRDefault="00302DDB" w:rsidP="00302DDB">
            <w:pPr>
              <w:pStyle w:val="Text"/>
              <w:spacing w:before="40" w:line="269" w:lineRule="auto"/>
              <w:jc w:val="center"/>
              <w:rPr>
                <w:color w:val="000000"/>
                <w:sz w:val="22"/>
                <w:szCs w:val="22"/>
              </w:rPr>
            </w:pPr>
            <w:r w:rsidRPr="00E3482E">
              <w:rPr>
                <w:color w:val="000000"/>
                <w:sz w:val="22"/>
                <w:szCs w:val="22"/>
              </w:rPr>
              <w:t>(n=98)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2F24BB">
            <w:pPr>
              <w:pStyle w:val="Text"/>
              <w:spacing w:before="40" w:line="269" w:lineRule="auto"/>
              <w:jc w:val="center"/>
              <w:rPr>
                <w:b/>
                <w:color w:val="000000"/>
                <w:sz w:val="22"/>
                <w:szCs w:val="22"/>
              </w:rPr>
            </w:pPr>
            <w:r w:rsidRPr="00E3482E">
              <w:rPr>
                <w:b/>
                <w:color w:val="000000"/>
                <w:sz w:val="22"/>
                <w:szCs w:val="22"/>
              </w:rPr>
              <w:t>Treatment Difference</w:t>
            </w:r>
          </w:p>
          <w:p w:rsidR="00302DDB" w:rsidRPr="00E3482E" w:rsidRDefault="00302DDB" w:rsidP="002F24BB">
            <w:pPr>
              <w:pStyle w:val="Text"/>
              <w:spacing w:before="40" w:line="269" w:lineRule="auto"/>
              <w:jc w:val="center"/>
              <w:rPr>
                <w:color w:val="000000"/>
                <w:sz w:val="22"/>
                <w:szCs w:val="22"/>
              </w:rPr>
            </w:pPr>
            <w:r w:rsidRPr="00E3482E">
              <w:rPr>
                <w:color w:val="000000"/>
                <w:sz w:val="22"/>
                <w:szCs w:val="22"/>
              </w:rPr>
              <w:t>(rituximab-CYC)</w:t>
            </w:r>
          </w:p>
        </w:tc>
      </w:tr>
      <w:tr w:rsidR="00302DDB" w:rsidRPr="00E3482E" w:rsidTr="00B01E14">
        <w:tc>
          <w:tcPr>
            <w:tcW w:w="2373"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left"/>
              <w:rPr>
                <w:b/>
                <w:color w:val="000000"/>
                <w:sz w:val="22"/>
                <w:szCs w:val="22"/>
              </w:rPr>
            </w:pPr>
            <w:r w:rsidRPr="00E3482E">
              <w:rPr>
                <w:b/>
                <w:color w:val="000000"/>
                <w:sz w:val="22"/>
                <w:szCs w:val="22"/>
              </w:rPr>
              <w:t>Rate</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center"/>
              <w:rPr>
                <w:color w:val="000000"/>
                <w:sz w:val="22"/>
                <w:szCs w:val="22"/>
              </w:rPr>
            </w:pPr>
            <w:r w:rsidRPr="00E3482E">
              <w:rPr>
                <w:color w:val="000000"/>
                <w:sz w:val="22"/>
                <w:szCs w:val="22"/>
              </w:rPr>
              <w:t>63.6%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center"/>
              <w:rPr>
                <w:color w:val="000000"/>
                <w:sz w:val="22"/>
                <w:szCs w:val="22"/>
              </w:rPr>
            </w:pPr>
            <w:r w:rsidRPr="00E3482E">
              <w:rPr>
                <w:color w:val="000000"/>
                <w:sz w:val="22"/>
                <w:szCs w:val="22"/>
              </w:rPr>
              <w:t>53.1%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center"/>
              <w:rPr>
                <w:color w:val="000000"/>
                <w:sz w:val="22"/>
                <w:szCs w:val="22"/>
              </w:rPr>
            </w:pPr>
            <w:r w:rsidRPr="00E3482E">
              <w:rPr>
                <w:color w:val="000000"/>
                <w:sz w:val="22"/>
                <w:szCs w:val="22"/>
              </w:rPr>
              <w:t>10.6%</w:t>
            </w:r>
          </w:p>
        </w:tc>
      </w:tr>
      <w:tr w:rsidR="00302DDB" w:rsidRPr="00E3482E" w:rsidTr="00B01E14">
        <w:tc>
          <w:tcPr>
            <w:tcW w:w="2373"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left"/>
              <w:rPr>
                <w:b/>
                <w:color w:val="000000"/>
                <w:sz w:val="22"/>
                <w:szCs w:val="22"/>
              </w:rPr>
            </w:pPr>
            <w:r w:rsidRPr="00E3482E">
              <w:rPr>
                <w:b/>
                <w:color w:val="000000"/>
                <w:sz w:val="22"/>
                <w:szCs w:val="22"/>
              </w:rPr>
              <w:t>95.1% CI</w:t>
            </w:r>
            <w:r w:rsidRPr="00E3482E">
              <w:rPr>
                <w:color w:val="000000"/>
                <w:sz w:val="22"/>
                <w:szCs w:val="22"/>
                <w:vertAlign w:val="superscript"/>
              </w:rPr>
              <w:t xml:space="preserve"> b</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center"/>
              <w:rPr>
                <w:color w:val="000000"/>
                <w:sz w:val="22"/>
                <w:szCs w:val="22"/>
              </w:rPr>
            </w:pPr>
            <w:r w:rsidRPr="00E3482E">
              <w:rPr>
                <w:color w:val="000000"/>
                <w:sz w:val="22"/>
                <w:szCs w:val="22"/>
              </w:rPr>
              <w:t>[54.1, 73.2%]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center"/>
              <w:rPr>
                <w:color w:val="000000"/>
                <w:sz w:val="22"/>
                <w:szCs w:val="22"/>
              </w:rPr>
            </w:pPr>
            <w:r w:rsidRPr="00E3482E">
              <w:rPr>
                <w:color w:val="000000"/>
                <w:sz w:val="22"/>
                <w:szCs w:val="22"/>
              </w:rPr>
              <w:t>[43.1, 63.0%]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2DDB" w:rsidRPr="00E3482E" w:rsidRDefault="00302DDB" w:rsidP="00302DDB">
            <w:pPr>
              <w:pStyle w:val="Text"/>
              <w:spacing w:before="60" w:after="60" w:line="269" w:lineRule="auto"/>
              <w:jc w:val="center"/>
              <w:rPr>
                <w:color w:val="000000"/>
                <w:sz w:val="22"/>
                <w:szCs w:val="22"/>
              </w:rPr>
            </w:pPr>
            <w:r w:rsidRPr="00E3482E">
              <w:rPr>
                <w:color w:val="000000"/>
                <w:sz w:val="22"/>
                <w:szCs w:val="22"/>
              </w:rPr>
              <w:t xml:space="preserve">(-3.2, 24.3%) </w:t>
            </w:r>
            <w:r w:rsidRPr="00E3482E">
              <w:rPr>
                <w:color w:val="000000"/>
                <w:sz w:val="22"/>
                <w:szCs w:val="22"/>
                <w:vertAlign w:val="superscript"/>
              </w:rPr>
              <w:t>a</w:t>
            </w:r>
          </w:p>
        </w:tc>
      </w:tr>
    </w:tbl>
    <w:p w:rsidR="00B01E14" w:rsidRPr="00E3482E" w:rsidRDefault="00B01E14" w:rsidP="009A42F2">
      <w:pPr>
        <w:pStyle w:val="Text"/>
        <w:keepNext/>
        <w:spacing w:before="60" w:line="22" w:lineRule="atLeast"/>
        <w:ind w:left="170" w:hanging="170"/>
        <w:rPr>
          <w:i/>
          <w:color w:val="000000"/>
          <w:sz w:val="20"/>
          <w:szCs w:val="20"/>
          <w:lang w:val="en-GB"/>
        </w:rPr>
      </w:pPr>
      <w:proofErr w:type="gramStart"/>
      <w:r w:rsidRPr="00E3482E">
        <w:rPr>
          <w:color w:val="000000"/>
          <w:vertAlign w:val="superscript"/>
          <w:lang w:val="en-GB"/>
        </w:rPr>
        <w:t>a</w:t>
      </w:r>
      <w:proofErr w:type="gramEnd"/>
      <w:r w:rsidRPr="00E3482E">
        <w:rPr>
          <w:i/>
          <w:color w:val="000000"/>
          <w:sz w:val="20"/>
          <w:szCs w:val="20"/>
          <w:lang w:val="en-GB"/>
        </w:rPr>
        <w:t xml:space="preserve"> Non-inferiority was demonstrated since the lower bound (</w:t>
      </w:r>
      <w:r w:rsidR="000E6331" w:rsidRPr="00E3482E">
        <w:rPr>
          <w:i/>
          <w:color w:val="000000"/>
          <w:sz w:val="20"/>
          <w:szCs w:val="20"/>
          <w:lang w:val="en-GB"/>
        </w:rPr>
        <w:t>-</w:t>
      </w:r>
      <w:r w:rsidRPr="00E3482E">
        <w:rPr>
          <w:i/>
          <w:color w:val="000000"/>
          <w:sz w:val="20"/>
          <w:szCs w:val="20"/>
          <w:lang w:val="en-GB"/>
        </w:rPr>
        <w:t xml:space="preserve">3.2%) was higher than the pre-determined non-inferiority margin ( -20%). </w:t>
      </w:r>
    </w:p>
    <w:p w:rsidR="00B01E14" w:rsidRPr="00E3482E" w:rsidRDefault="00B01E14" w:rsidP="009A42F2">
      <w:pPr>
        <w:pStyle w:val="Text"/>
        <w:keepNext/>
        <w:spacing w:before="0" w:line="22" w:lineRule="atLeast"/>
        <w:ind w:left="170" w:hanging="170"/>
        <w:rPr>
          <w:i/>
          <w:color w:val="000000"/>
          <w:sz w:val="20"/>
          <w:szCs w:val="20"/>
          <w:lang w:val="en-GB"/>
        </w:rPr>
      </w:pPr>
      <w:proofErr w:type="gramStart"/>
      <w:r w:rsidRPr="00E3482E">
        <w:rPr>
          <w:color w:val="000000"/>
          <w:vertAlign w:val="superscript"/>
          <w:lang w:val="en-GB"/>
        </w:rPr>
        <w:t>b</w:t>
      </w:r>
      <w:proofErr w:type="gramEnd"/>
      <w:r w:rsidRPr="00E3482E">
        <w:rPr>
          <w:i/>
          <w:color w:val="000000"/>
          <w:sz w:val="20"/>
          <w:szCs w:val="20"/>
          <w:lang w:val="en-GB"/>
        </w:rPr>
        <w:t xml:space="preserve"> The 95.1% confidence level reflects an additional 0.001 alpha to account for an interim efficacy analysis.</w:t>
      </w:r>
    </w:p>
    <w:p w:rsidR="00B01E14" w:rsidRPr="00E3482E" w:rsidRDefault="00B01E14" w:rsidP="009A42F2">
      <w:pPr>
        <w:pStyle w:val="Text"/>
        <w:keepNext/>
        <w:spacing w:before="0" w:line="22" w:lineRule="atLeast"/>
        <w:rPr>
          <w:i/>
          <w:color w:val="000000"/>
          <w:sz w:val="20"/>
          <w:szCs w:val="20"/>
          <w:lang w:val="en-GB"/>
        </w:rPr>
      </w:pPr>
      <w:r w:rsidRPr="00E3482E">
        <w:rPr>
          <w:i/>
          <w:color w:val="000000"/>
          <w:sz w:val="20"/>
          <w:szCs w:val="20"/>
          <w:lang w:val="en-GB"/>
        </w:rPr>
        <w:t>CI = confidence interval</w:t>
      </w:r>
    </w:p>
    <w:p w:rsidR="00B01E14" w:rsidRPr="00E3482E" w:rsidRDefault="00B01E14" w:rsidP="00CE75ED">
      <w:pPr>
        <w:pStyle w:val="Tabletitle"/>
        <w:spacing w:before="200"/>
        <w:ind w:left="1021" w:hanging="1021"/>
        <w:rPr>
          <w:color w:val="000000"/>
          <w:sz w:val="23"/>
          <w:szCs w:val="23"/>
        </w:rPr>
      </w:pPr>
      <w:r w:rsidRPr="00E3482E">
        <w:rPr>
          <w:color w:val="000000"/>
          <w:sz w:val="23"/>
          <w:szCs w:val="23"/>
        </w:rPr>
        <w:t>Table 14:</w:t>
      </w:r>
      <w:r w:rsidRPr="00E3482E">
        <w:rPr>
          <w:color w:val="000000"/>
          <w:sz w:val="23"/>
          <w:szCs w:val="23"/>
        </w:rPr>
        <w:tab/>
        <w:t xml:space="preserve">Complete </w:t>
      </w:r>
      <w:r w:rsidR="00CE75ED" w:rsidRPr="00E3482E">
        <w:rPr>
          <w:color w:val="000000"/>
          <w:sz w:val="23"/>
          <w:szCs w:val="23"/>
        </w:rPr>
        <w:t>r</w:t>
      </w:r>
      <w:r w:rsidRPr="00E3482E">
        <w:rPr>
          <w:color w:val="000000"/>
          <w:sz w:val="23"/>
          <w:szCs w:val="23"/>
        </w:rPr>
        <w:t xml:space="preserve">emission at 6 </w:t>
      </w:r>
      <w:r w:rsidR="00CE75ED" w:rsidRPr="00E3482E">
        <w:rPr>
          <w:color w:val="000000"/>
          <w:sz w:val="23"/>
          <w:szCs w:val="23"/>
        </w:rPr>
        <w:t>m</w:t>
      </w:r>
      <w:r w:rsidRPr="00E3482E">
        <w:rPr>
          <w:color w:val="000000"/>
          <w:sz w:val="23"/>
          <w:szCs w:val="23"/>
        </w:rPr>
        <w:t>onths by disease status at enrolment</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3"/>
        <w:gridCol w:w="2127"/>
        <w:gridCol w:w="2268"/>
        <w:gridCol w:w="2693"/>
      </w:tblGrid>
      <w:tr w:rsidR="00B01E14" w:rsidRPr="00E3482E" w:rsidTr="002F24BB">
        <w:tc>
          <w:tcPr>
            <w:tcW w:w="237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2F24BB">
            <w:pPr>
              <w:pStyle w:val="Text"/>
              <w:spacing w:before="40" w:line="269" w:lineRule="auto"/>
              <w:jc w:val="center"/>
              <w:rPr>
                <w:b/>
                <w:color w:val="000000"/>
                <w:sz w:val="22"/>
                <w:szCs w:val="22"/>
              </w:rPr>
            </w:pPr>
            <w:r w:rsidRPr="00E3482E">
              <w:rPr>
                <w:b/>
                <w:color w:val="000000"/>
                <w:sz w:val="22"/>
                <w:szCs w:val="22"/>
              </w:rPr>
              <w:t>Complete remission</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40" w:line="269" w:lineRule="auto"/>
              <w:jc w:val="center"/>
              <w:rPr>
                <w:b/>
                <w:bCs/>
                <w:color w:val="000000"/>
                <w:sz w:val="22"/>
                <w:szCs w:val="22"/>
              </w:rPr>
            </w:pPr>
            <w:r w:rsidRPr="00E3482E">
              <w:rPr>
                <w:b/>
                <w:bCs/>
                <w:color w:val="000000"/>
                <w:sz w:val="22"/>
                <w:szCs w:val="22"/>
              </w:rPr>
              <w:t>Rituximab</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40" w:line="269" w:lineRule="auto"/>
              <w:jc w:val="center"/>
              <w:rPr>
                <w:b/>
                <w:color w:val="000000"/>
                <w:sz w:val="22"/>
                <w:szCs w:val="22"/>
              </w:rPr>
            </w:pPr>
            <w:r w:rsidRPr="00E3482E">
              <w:rPr>
                <w:b/>
                <w:color w:val="000000"/>
                <w:sz w:val="22"/>
                <w:szCs w:val="22"/>
              </w:rPr>
              <w:t>CYC</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40" w:line="269" w:lineRule="auto"/>
              <w:jc w:val="center"/>
              <w:rPr>
                <w:color w:val="000000"/>
                <w:sz w:val="22"/>
                <w:szCs w:val="22"/>
              </w:rPr>
            </w:pPr>
            <w:r w:rsidRPr="00E3482E">
              <w:rPr>
                <w:b/>
                <w:color w:val="000000"/>
                <w:sz w:val="22"/>
                <w:szCs w:val="22"/>
              </w:rPr>
              <w:t>Difference [CI 95%]</w:t>
            </w:r>
          </w:p>
        </w:tc>
      </w:tr>
      <w:tr w:rsidR="00B01E14" w:rsidRPr="00E3482E" w:rsidTr="00B01E14">
        <w:tc>
          <w:tcPr>
            <w:tcW w:w="237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left"/>
              <w:rPr>
                <w:b/>
                <w:color w:val="000000"/>
                <w:sz w:val="22"/>
                <w:szCs w:val="22"/>
              </w:rPr>
            </w:pPr>
            <w:r w:rsidRPr="00E3482E">
              <w:rPr>
                <w:b/>
                <w:color w:val="000000"/>
                <w:sz w:val="22"/>
                <w:szCs w:val="22"/>
              </w:rPr>
              <w:t>All patients</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(n = 99)</w:t>
            </w: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63.6%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(n = 9</w:t>
            </w:r>
            <w:r w:rsidR="000E6331" w:rsidRPr="00E3482E">
              <w:rPr>
                <w:color w:val="000000"/>
                <w:sz w:val="22"/>
                <w:szCs w:val="22"/>
              </w:rPr>
              <w:t>8</w:t>
            </w:r>
            <w:r w:rsidRPr="00E3482E">
              <w:rPr>
                <w:color w:val="000000"/>
                <w:sz w:val="22"/>
                <w:szCs w:val="22"/>
              </w:rPr>
              <w:t>)</w:t>
            </w: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53.1%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10.6% [-3.2, 24.3]</w:t>
            </w:r>
          </w:p>
        </w:tc>
      </w:tr>
      <w:tr w:rsidR="00B01E14" w:rsidRPr="00E3482E" w:rsidTr="002F24BB">
        <w:tc>
          <w:tcPr>
            <w:tcW w:w="237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left"/>
              <w:rPr>
                <w:b/>
                <w:color w:val="000000"/>
                <w:sz w:val="22"/>
                <w:szCs w:val="22"/>
              </w:rPr>
            </w:pPr>
            <w:r w:rsidRPr="00E3482E">
              <w:rPr>
                <w:b/>
                <w:color w:val="000000"/>
                <w:sz w:val="22"/>
                <w:szCs w:val="22"/>
              </w:rPr>
              <w:t>Newly diagnosed</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(n = 48)</w:t>
            </w: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60.4%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(n = 48)</w:t>
            </w: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64.6%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-4.2% [-23.6, 15.3]</w:t>
            </w:r>
          </w:p>
        </w:tc>
      </w:tr>
      <w:tr w:rsidR="00B01E14" w:rsidRPr="00E3482E" w:rsidTr="002F24BB">
        <w:tc>
          <w:tcPr>
            <w:tcW w:w="237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left"/>
              <w:rPr>
                <w:b/>
                <w:color w:val="000000"/>
                <w:sz w:val="22"/>
                <w:szCs w:val="22"/>
              </w:rPr>
            </w:pPr>
            <w:r w:rsidRPr="00E3482E">
              <w:rPr>
                <w:b/>
                <w:color w:val="000000"/>
                <w:sz w:val="22"/>
                <w:szCs w:val="22"/>
              </w:rPr>
              <w:t>Relapsing</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(n = 51)</w:t>
            </w: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66.7%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(n = 50)</w:t>
            </w: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42.0%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01E14" w:rsidRPr="00E3482E" w:rsidRDefault="00B01E14" w:rsidP="00B01E14">
            <w:pPr>
              <w:pStyle w:val="Text"/>
              <w:spacing w:before="60" w:after="60" w:line="269" w:lineRule="auto"/>
              <w:jc w:val="center"/>
              <w:rPr>
                <w:color w:val="000000"/>
                <w:sz w:val="22"/>
                <w:szCs w:val="22"/>
              </w:rPr>
            </w:pPr>
          </w:p>
          <w:p w:rsidR="00B01E14" w:rsidRPr="00E3482E" w:rsidRDefault="00B01E14" w:rsidP="00B01E14">
            <w:pPr>
              <w:pStyle w:val="Text"/>
              <w:spacing w:before="60" w:after="60" w:line="269" w:lineRule="auto"/>
              <w:jc w:val="center"/>
              <w:rPr>
                <w:color w:val="000000"/>
                <w:sz w:val="22"/>
                <w:szCs w:val="22"/>
              </w:rPr>
            </w:pPr>
            <w:r w:rsidRPr="00E3482E">
              <w:rPr>
                <w:color w:val="000000"/>
                <w:sz w:val="22"/>
                <w:szCs w:val="22"/>
              </w:rPr>
              <w:t>24.7% [5.8, 43.6]</w:t>
            </w:r>
          </w:p>
        </w:tc>
      </w:tr>
    </w:tbl>
    <w:p w:rsidR="00AB5FA3" w:rsidRPr="00E3482E" w:rsidRDefault="00AB5FA3" w:rsidP="00F5092E">
      <w:pPr>
        <w:pStyle w:val="Heading2"/>
      </w:pPr>
      <w:r w:rsidRPr="00E3482E">
        <w:t>Retreatment</w:t>
      </w:r>
    </w:p>
    <w:p w:rsidR="00302DDB" w:rsidRPr="00E3482E" w:rsidRDefault="00AB5FA3" w:rsidP="00141F6A">
      <w:pPr>
        <w:pStyle w:val="PItext"/>
        <w:rPr>
          <w:lang w:val="en-GB"/>
        </w:rPr>
      </w:pPr>
      <w:r w:rsidRPr="00E3482E">
        <w:rPr>
          <w:lang w:val="en-GB"/>
        </w:rPr>
        <w:t>Based upon investigator judgment, 15 patients received a second course of rituximab therapy for treatment of relapse of disease activity which occurred between 6 and 18 months after the first course of rituximab. The limited data from the present study preclude any conclusions regarding the efficacy of subsequent courses of rituximab in patients with GPA or MPA.</w:t>
      </w:r>
    </w:p>
    <w:p w:rsidR="00E723F3" w:rsidRPr="00E3482E" w:rsidRDefault="00E723F3" w:rsidP="00F5092E">
      <w:pPr>
        <w:pStyle w:val="Heading2"/>
      </w:pPr>
      <w:r w:rsidRPr="00E3482E">
        <w:t xml:space="preserve">Comparability of </w:t>
      </w:r>
      <w:r w:rsidR="00982770">
        <w:t>RIXIMYO</w:t>
      </w:r>
      <w:r w:rsidR="00982770" w:rsidRPr="003629C5">
        <w:rPr>
          <w:vertAlign w:val="superscript"/>
        </w:rPr>
        <w:t>®</w:t>
      </w:r>
      <w:r w:rsidRPr="00E3482E">
        <w:t xml:space="preserve"> to </w:t>
      </w:r>
      <w:r w:rsidR="00BF1193">
        <w:t>MABTHERA</w:t>
      </w:r>
      <w:r w:rsidR="00BF1193" w:rsidRPr="003629C5">
        <w:rPr>
          <w:vertAlign w:val="superscript"/>
        </w:rPr>
        <w:t>®</w:t>
      </w:r>
      <w:r w:rsidR="003629C5" w:rsidRPr="00E3482E">
        <w:t xml:space="preserve"> </w:t>
      </w:r>
    </w:p>
    <w:p w:rsidR="00E723F3" w:rsidRPr="00E3482E" w:rsidRDefault="00E723F3" w:rsidP="00E723F3">
      <w:pPr>
        <w:spacing w:before="120"/>
        <w:jc w:val="both"/>
        <w:rPr>
          <w:rStyle w:val="SubtleEmphasis"/>
          <w:color w:val="000000"/>
        </w:rPr>
      </w:pPr>
      <w:r w:rsidRPr="00E3482E">
        <w:rPr>
          <w:rStyle w:val="SubtleEmphasis"/>
          <w:color w:val="000000"/>
        </w:rPr>
        <w:t>Non-Hodgkin’s Lymphoma</w:t>
      </w:r>
    </w:p>
    <w:p w:rsidR="00E723F3" w:rsidRPr="00E3482E" w:rsidRDefault="00E723F3" w:rsidP="00E723F3">
      <w:pPr>
        <w:spacing w:before="120"/>
        <w:jc w:val="both"/>
        <w:rPr>
          <w:color w:val="000000"/>
          <w:lang w:val="en-GB"/>
        </w:rPr>
      </w:pPr>
      <w:r w:rsidRPr="00E3482E">
        <w:rPr>
          <w:color w:val="000000"/>
          <w:lang w:val="en-GB"/>
        </w:rPr>
        <w:t xml:space="preserve">The efficacy and safety of </w:t>
      </w:r>
      <w:r w:rsidR="00982770">
        <w:rPr>
          <w:color w:val="000000"/>
          <w:lang w:val="en-GB"/>
        </w:rPr>
        <w:t>RIXIMYO</w:t>
      </w:r>
      <w:r w:rsidR="00982770" w:rsidRPr="003629C5">
        <w:rPr>
          <w:color w:val="000000"/>
          <w:vertAlign w:val="superscript"/>
          <w:lang w:val="en-GB"/>
        </w:rPr>
        <w:t>®</w:t>
      </w:r>
      <w:r w:rsidRPr="00E3482E">
        <w:rPr>
          <w:color w:val="000000"/>
          <w:lang w:val="en-GB"/>
        </w:rPr>
        <w:t xml:space="preserve"> was compared to the reference medicine in a pivotal randomized, double-blind clinical study (GP13-301) in adult patients with previously untreated, Stage III/IV, CD20-positive follicular non-Hodgkin’s lymphoma. </w:t>
      </w:r>
    </w:p>
    <w:p w:rsidR="00E723F3" w:rsidRPr="00E3482E" w:rsidRDefault="00E723F3" w:rsidP="00E723F3">
      <w:pPr>
        <w:spacing w:before="120"/>
        <w:jc w:val="both"/>
        <w:rPr>
          <w:color w:val="000000"/>
          <w:lang w:val="en-GB"/>
        </w:rPr>
      </w:pPr>
      <w:r w:rsidRPr="00E3482E">
        <w:rPr>
          <w:color w:val="000000"/>
          <w:lang w:val="en-GB"/>
        </w:rPr>
        <w:t xml:space="preserve">The study comprised two phases: combination therapy with cyclophosphamide, vincristine and prednisone (CVP) for 8 </w:t>
      </w:r>
      <w:proofErr w:type="gramStart"/>
      <w:r w:rsidRPr="00E3482E">
        <w:rPr>
          <w:color w:val="000000"/>
          <w:lang w:val="en-GB"/>
        </w:rPr>
        <w:t>treatment</w:t>
      </w:r>
      <w:proofErr w:type="gramEnd"/>
      <w:r w:rsidRPr="00E3482E">
        <w:rPr>
          <w:color w:val="000000"/>
          <w:lang w:val="en-GB"/>
        </w:rPr>
        <w:t xml:space="preserve"> cycles; followed by a maintenance phase where responders were continued on </w:t>
      </w:r>
      <w:r w:rsidR="00982770">
        <w:rPr>
          <w:color w:val="000000"/>
          <w:lang w:val="en-GB"/>
        </w:rPr>
        <w:t>RIXIMYO</w:t>
      </w:r>
      <w:r w:rsidR="00982770" w:rsidRPr="003629C5">
        <w:rPr>
          <w:color w:val="000000"/>
          <w:vertAlign w:val="superscript"/>
          <w:lang w:val="en-GB"/>
        </w:rPr>
        <w:t>®</w:t>
      </w:r>
      <w:r w:rsidR="00466B3F" w:rsidRPr="00E3482E">
        <w:rPr>
          <w:color w:val="000000"/>
          <w:lang w:val="en-GB"/>
        </w:rPr>
        <w:t xml:space="preserve"> </w:t>
      </w:r>
      <w:r w:rsidRPr="00E3482E">
        <w:rPr>
          <w:color w:val="000000"/>
          <w:lang w:val="en-GB"/>
        </w:rPr>
        <w:t xml:space="preserve">or </w:t>
      </w:r>
      <w:r w:rsidR="003629C5" w:rsidRPr="00E3482E">
        <w:rPr>
          <w:color w:val="000000"/>
        </w:rPr>
        <w:t xml:space="preserve">reference medicine </w:t>
      </w:r>
      <w:r w:rsidRPr="00E3482E">
        <w:rPr>
          <w:color w:val="000000"/>
          <w:lang w:val="en-GB"/>
        </w:rPr>
        <w:t xml:space="preserve">monotherapy for 2 years.  </w:t>
      </w:r>
    </w:p>
    <w:p w:rsidR="00C24378" w:rsidRPr="00E3482E" w:rsidRDefault="00C24378" w:rsidP="00F11870">
      <w:pPr>
        <w:pStyle w:val="PItext"/>
        <w:rPr>
          <w:rStyle w:val="SubtleEmphasis"/>
          <w:i w:val="0"/>
          <w:color w:val="000000"/>
        </w:rPr>
      </w:pPr>
      <w:r w:rsidRPr="00E3482E">
        <w:rPr>
          <w:rStyle w:val="SubtleEmphasis"/>
          <w:i w:val="0"/>
          <w:color w:val="000000"/>
        </w:rPr>
        <w:t xml:space="preserve">Based on primary and secondary efficacy outcomes, the equivalence between </w:t>
      </w:r>
      <w:r w:rsidR="00982770">
        <w:rPr>
          <w:rStyle w:val="SubtleEmphasis"/>
          <w:i w:val="0"/>
          <w:color w:val="000000"/>
        </w:rPr>
        <w:t>RIXIMYO</w:t>
      </w:r>
      <w:r w:rsidR="00982770" w:rsidRPr="003629C5">
        <w:rPr>
          <w:rStyle w:val="SubtleEmphasis"/>
          <w:i w:val="0"/>
          <w:color w:val="000000"/>
          <w:vertAlign w:val="superscript"/>
        </w:rPr>
        <w:t>®</w:t>
      </w:r>
      <w:r w:rsidRPr="00E3482E">
        <w:rPr>
          <w:rStyle w:val="SubtleEmphasis"/>
          <w:i w:val="0"/>
          <w:color w:val="000000"/>
        </w:rPr>
        <w:t xml:space="preserve"> and </w:t>
      </w:r>
      <w:r w:rsidR="003629C5" w:rsidRPr="00E3482E">
        <w:t xml:space="preserve">the reference medicine </w:t>
      </w:r>
      <w:r w:rsidRPr="00E3482E">
        <w:rPr>
          <w:rStyle w:val="SubtleEmphasis"/>
          <w:i w:val="0"/>
          <w:color w:val="000000"/>
        </w:rPr>
        <w:t xml:space="preserve">in terms of overall response rate for tumour assessment, </w:t>
      </w:r>
      <w:r w:rsidR="009E12B4">
        <w:rPr>
          <w:rStyle w:val="SubtleEmphasis"/>
          <w:i w:val="0"/>
          <w:color w:val="000000"/>
        </w:rPr>
        <w:t xml:space="preserve">and similar </w:t>
      </w:r>
      <w:r w:rsidRPr="00E3482E">
        <w:rPr>
          <w:rStyle w:val="SubtleEmphasis"/>
          <w:i w:val="0"/>
          <w:color w:val="000000"/>
        </w:rPr>
        <w:lastRenderedPageBreak/>
        <w:t>complete response, partial response, stable disease and progressive disease, in patients with untreated, advanced stage follicular lymphoma is demonstrated.</w:t>
      </w:r>
    </w:p>
    <w:p w:rsidR="00E723F3" w:rsidRPr="00E3482E" w:rsidRDefault="00E723F3" w:rsidP="00F11870">
      <w:pPr>
        <w:pStyle w:val="PItext"/>
        <w:rPr>
          <w:lang w:val="en-GB"/>
        </w:rPr>
      </w:pPr>
      <w:r w:rsidRPr="00E3482E">
        <w:rPr>
          <w:lang w:val="en-GB"/>
        </w:rPr>
        <w:t>The primary endpoint, Overall Response Rate (ORR) on completion of the combination treatment phase, was equivalent between the two treatments (</w:t>
      </w:r>
      <w:r w:rsidR="00736FEA" w:rsidRPr="00E3482E">
        <w:rPr>
          <w:lang w:val="en-GB"/>
        </w:rPr>
        <w:t xml:space="preserve">see </w:t>
      </w:r>
      <w:r w:rsidRPr="00E3482E">
        <w:rPr>
          <w:lang w:val="en-GB"/>
        </w:rPr>
        <w:t>Table 15).</w:t>
      </w:r>
    </w:p>
    <w:p w:rsidR="00E723F3" w:rsidRPr="00F11870" w:rsidRDefault="00E723F3" w:rsidP="00141F6A">
      <w:pPr>
        <w:pStyle w:val="Tabletitle"/>
        <w:rPr>
          <w:sz w:val="23"/>
          <w:szCs w:val="23"/>
        </w:rPr>
      </w:pPr>
      <w:r w:rsidRPr="00F11870">
        <w:rPr>
          <w:sz w:val="23"/>
          <w:szCs w:val="23"/>
        </w:rPr>
        <w:t>Table 15:</w:t>
      </w:r>
      <w:r w:rsidRPr="00F11870">
        <w:rPr>
          <w:sz w:val="23"/>
          <w:szCs w:val="23"/>
        </w:rPr>
        <w:tab/>
        <w:t>Primary efficacy analysis of ORR based on the modified response criteria for malignant lymphoma (PPS)</w:t>
      </w:r>
    </w:p>
    <w:tbl>
      <w:tblPr>
        <w:tblW w:w="94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6"/>
        <w:gridCol w:w="2553"/>
        <w:gridCol w:w="2553"/>
        <w:gridCol w:w="2553"/>
      </w:tblGrid>
      <w:tr w:rsidR="00E723F3" w:rsidRPr="00F11870" w:rsidTr="00E723F3">
        <w:tc>
          <w:tcPr>
            <w:tcW w:w="1805" w:type="dxa"/>
            <w:tcBorders>
              <w:top w:val="single" w:sz="4" w:space="0" w:color="auto"/>
              <w:left w:val="single" w:sz="4" w:space="0" w:color="auto"/>
              <w:bottom w:val="single" w:sz="4" w:space="0" w:color="auto"/>
              <w:right w:val="single" w:sz="4" w:space="0" w:color="auto"/>
            </w:tcBorders>
            <w:shd w:val="clear" w:color="auto" w:fill="FFFFFF"/>
          </w:tcPr>
          <w:p w:rsidR="00E723F3" w:rsidRPr="00F11870" w:rsidRDefault="00E723F3">
            <w:pPr>
              <w:pStyle w:val="Text"/>
              <w:spacing w:before="60" w:after="60" w:line="256" w:lineRule="auto"/>
              <w:jc w:val="left"/>
              <w:rPr>
                <w:b/>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982770">
            <w:pPr>
              <w:pStyle w:val="Text"/>
              <w:spacing w:before="60" w:line="256" w:lineRule="auto"/>
              <w:jc w:val="center"/>
              <w:rPr>
                <w:b/>
                <w:color w:val="000000"/>
                <w:sz w:val="22"/>
                <w:szCs w:val="22"/>
              </w:rPr>
            </w:pPr>
            <w:r w:rsidRPr="00F11870">
              <w:rPr>
                <w:b/>
                <w:color w:val="000000"/>
                <w:sz w:val="22"/>
                <w:szCs w:val="22"/>
              </w:rPr>
              <w:t>RIXIMYO</w:t>
            </w:r>
            <w:r w:rsidRPr="00F11870">
              <w:rPr>
                <w:b/>
                <w:color w:val="000000"/>
                <w:sz w:val="22"/>
                <w:szCs w:val="22"/>
                <w:vertAlign w:val="superscript"/>
              </w:rPr>
              <w:t>®</w:t>
            </w:r>
          </w:p>
          <w:p w:rsidR="00E723F3" w:rsidRPr="00F11870" w:rsidRDefault="00E723F3">
            <w:pPr>
              <w:pStyle w:val="Text"/>
              <w:spacing w:before="0" w:line="256" w:lineRule="auto"/>
              <w:jc w:val="center"/>
              <w:rPr>
                <w:b/>
                <w:color w:val="000000"/>
                <w:sz w:val="22"/>
                <w:szCs w:val="22"/>
              </w:rPr>
            </w:pPr>
            <w:r w:rsidRPr="00F11870">
              <w:rPr>
                <w:b/>
                <w:color w:val="000000"/>
                <w:sz w:val="22"/>
                <w:szCs w:val="22"/>
              </w:rPr>
              <w:t>N=311</w:t>
            </w:r>
          </w:p>
          <w:p w:rsidR="00E723F3" w:rsidRPr="00F11870" w:rsidRDefault="00E723F3">
            <w:pPr>
              <w:pStyle w:val="Text"/>
              <w:spacing w:before="0" w:line="256" w:lineRule="auto"/>
              <w:jc w:val="center"/>
              <w:rPr>
                <w:color w:val="000000"/>
                <w:sz w:val="22"/>
                <w:szCs w:val="22"/>
              </w:rPr>
            </w:pPr>
            <w:proofErr w:type="gramStart"/>
            <w:r w:rsidRPr="00F11870">
              <w:rPr>
                <w:color w:val="000000"/>
                <w:sz w:val="22"/>
                <w:szCs w:val="22"/>
              </w:rPr>
              <w:t>n</w:t>
            </w:r>
            <w:proofErr w:type="gramEnd"/>
            <w:r w:rsidRPr="00F11870">
              <w:rPr>
                <w:color w:val="000000"/>
                <w:sz w:val="22"/>
                <w:szCs w:val="22"/>
              </w:rPr>
              <w:t xml:space="preserve"> (%) [90% CI]</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3A085E" w:rsidRDefault="00991E39">
            <w:pPr>
              <w:pStyle w:val="Text"/>
              <w:spacing w:before="60" w:line="256" w:lineRule="auto"/>
              <w:jc w:val="center"/>
              <w:rPr>
                <w:b/>
                <w:color w:val="000000"/>
                <w:sz w:val="22"/>
                <w:szCs w:val="22"/>
                <w:lang w:val="it-IT"/>
              </w:rPr>
            </w:pPr>
            <w:r w:rsidRPr="003A085E">
              <w:rPr>
                <w:b/>
                <w:color w:val="000000"/>
                <w:sz w:val="22"/>
                <w:szCs w:val="22"/>
                <w:lang w:val="it-IT"/>
              </w:rPr>
              <w:t>Reference Medicine</w:t>
            </w:r>
          </w:p>
          <w:p w:rsidR="00E723F3" w:rsidRPr="003A085E" w:rsidRDefault="00E723F3">
            <w:pPr>
              <w:pStyle w:val="Text"/>
              <w:spacing w:before="0" w:line="256" w:lineRule="auto"/>
              <w:jc w:val="center"/>
              <w:rPr>
                <w:b/>
                <w:color w:val="000000"/>
                <w:sz w:val="22"/>
                <w:szCs w:val="22"/>
                <w:lang w:val="it-IT"/>
              </w:rPr>
            </w:pPr>
            <w:r w:rsidRPr="003A085E">
              <w:rPr>
                <w:b/>
                <w:color w:val="000000"/>
                <w:sz w:val="22"/>
                <w:szCs w:val="22"/>
                <w:lang w:val="it-IT"/>
              </w:rPr>
              <w:t>N=313</w:t>
            </w:r>
          </w:p>
          <w:p w:rsidR="00E723F3" w:rsidRPr="003A085E" w:rsidRDefault="00E723F3">
            <w:pPr>
              <w:pStyle w:val="Text"/>
              <w:spacing w:before="0" w:line="256" w:lineRule="auto"/>
              <w:jc w:val="center"/>
              <w:rPr>
                <w:color w:val="000000"/>
                <w:sz w:val="22"/>
                <w:szCs w:val="22"/>
                <w:lang w:val="it-IT"/>
              </w:rPr>
            </w:pPr>
            <w:r w:rsidRPr="003A085E">
              <w:rPr>
                <w:color w:val="000000"/>
                <w:sz w:val="22"/>
                <w:szCs w:val="22"/>
                <w:lang w:val="it-IT"/>
              </w:rPr>
              <w:t>n (%) [90% CI]</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60" w:line="256" w:lineRule="auto"/>
              <w:jc w:val="center"/>
              <w:rPr>
                <w:b/>
                <w:color w:val="000000"/>
                <w:sz w:val="22"/>
                <w:szCs w:val="22"/>
              </w:rPr>
            </w:pPr>
            <w:r w:rsidRPr="00F11870">
              <w:rPr>
                <w:b/>
                <w:color w:val="000000"/>
                <w:sz w:val="22"/>
                <w:szCs w:val="22"/>
              </w:rPr>
              <w:t xml:space="preserve">Difference </w:t>
            </w:r>
          </w:p>
          <w:p w:rsidR="00E723F3" w:rsidRPr="00F11870" w:rsidRDefault="00E723F3">
            <w:pPr>
              <w:pStyle w:val="Text"/>
              <w:spacing w:before="0" w:line="256" w:lineRule="auto"/>
              <w:jc w:val="center"/>
              <w:rPr>
                <w:b/>
                <w:color w:val="000000"/>
                <w:sz w:val="22"/>
                <w:szCs w:val="22"/>
              </w:rPr>
            </w:pPr>
            <w:r w:rsidRPr="00F11870">
              <w:rPr>
                <w:color w:val="000000"/>
                <w:sz w:val="22"/>
                <w:szCs w:val="22"/>
              </w:rPr>
              <w:t>(</w:t>
            </w:r>
            <w:r w:rsidR="00982770" w:rsidRPr="00F11870">
              <w:rPr>
                <w:color w:val="000000"/>
                <w:sz w:val="22"/>
                <w:szCs w:val="22"/>
              </w:rPr>
              <w:t>RIXIMYO</w:t>
            </w:r>
            <w:r w:rsidR="00982770" w:rsidRPr="0073746C">
              <w:rPr>
                <w:color w:val="000000"/>
                <w:sz w:val="22"/>
                <w:szCs w:val="22"/>
                <w:vertAlign w:val="superscript"/>
              </w:rPr>
              <w:t>®</w:t>
            </w:r>
            <w:r w:rsidRPr="00F11870">
              <w:rPr>
                <w:b/>
                <w:color w:val="000000"/>
                <w:sz w:val="22"/>
                <w:szCs w:val="22"/>
              </w:rPr>
              <w:t xml:space="preserve"> - </w:t>
            </w:r>
            <w:r w:rsidR="00991E39" w:rsidRPr="00F11870">
              <w:rPr>
                <w:color w:val="000000"/>
                <w:sz w:val="22"/>
                <w:szCs w:val="22"/>
              </w:rPr>
              <w:t>reference medicine</w:t>
            </w:r>
            <w:r w:rsidRPr="00F11870">
              <w:rPr>
                <w:b/>
                <w:color w:val="000000"/>
                <w:sz w:val="22"/>
                <w:szCs w:val="22"/>
              </w:rPr>
              <w:t>)</w:t>
            </w:r>
          </w:p>
        </w:tc>
      </w:tr>
      <w:tr w:rsidR="00E723F3" w:rsidRPr="00F11870" w:rsidTr="00E723F3">
        <w:tc>
          <w:tcPr>
            <w:tcW w:w="180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60" w:after="60" w:line="256" w:lineRule="auto"/>
              <w:jc w:val="left"/>
              <w:rPr>
                <w:b/>
                <w:color w:val="000000"/>
                <w:sz w:val="22"/>
                <w:szCs w:val="22"/>
              </w:rPr>
            </w:pPr>
            <w:r w:rsidRPr="00F11870">
              <w:rPr>
                <w:b/>
                <w:color w:val="000000"/>
                <w:sz w:val="22"/>
                <w:szCs w:val="22"/>
              </w:rPr>
              <w:t>Overall response rate (CR or PR)</w:t>
            </w:r>
          </w:p>
        </w:tc>
        <w:tc>
          <w:tcPr>
            <w:tcW w:w="2552" w:type="dxa"/>
            <w:tcBorders>
              <w:top w:val="single" w:sz="4" w:space="0" w:color="auto"/>
              <w:left w:val="single" w:sz="4" w:space="0" w:color="auto"/>
              <w:bottom w:val="nil"/>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271 (87.1%)</w:t>
            </w:r>
          </w:p>
        </w:tc>
        <w:tc>
          <w:tcPr>
            <w:tcW w:w="2552" w:type="dxa"/>
            <w:tcBorders>
              <w:top w:val="single" w:sz="4" w:space="0" w:color="auto"/>
              <w:left w:val="single" w:sz="4" w:space="0" w:color="auto"/>
              <w:bottom w:val="nil"/>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274 (87.5%)</w:t>
            </w:r>
          </w:p>
        </w:tc>
        <w:tc>
          <w:tcPr>
            <w:tcW w:w="2552" w:type="dxa"/>
            <w:tcBorders>
              <w:top w:val="single" w:sz="4" w:space="0" w:color="auto"/>
              <w:left w:val="single" w:sz="4" w:space="0" w:color="auto"/>
              <w:bottom w:val="nil"/>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-0.40%</w:t>
            </w:r>
          </w:p>
        </w:tc>
      </w:tr>
      <w:tr w:rsidR="00E723F3" w:rsidRPr="00F11870" w:rsidTr="00E723F3">
        <w:tc>
          <w:tcPr>
            <w:tcW w:w="1805" w:type="dxa"/>
            <w:vMerge/>
            <w:tcBorders>
              <w:top w:val="single" w:sz="4" w:space="0" w:color="auto"/>
              <w:left w:val="single" w:sz="4" w:space="0" w:color="auto"/>
              <w:bottom w:val="single" w:sz="4" w:space="0" w:color="auto"/>
              <w:right w:val="single" w:sz="4" w:space="0" w:color="auto"/>
            </w:tcBorders>
            <w:vAlign w:val="center"/>
            <w:hideMark/>
          </w:tcPr>
          <w:p w:rsidR="00E723F3" w:rsidRPr="00F11870" w:rsidRDefault="00E723F3">
            <w:pPr>
              <w:spacing w:line="240" w:lineRule="auto"/>
              <w:rPr>
                <w:b/>
                <w:color w:val="000000"/>
                <w:sz w:val="22"/>
                <w:szCs w:val="22"/>
              </w:rPr>
            </w:pPr>
          </w:p>
        </w:tc>
        <w:tc>
          <w:tcPr>
            <w:tcW w:w="2552" w:type="dxa"/>
            <w:tcBorders>
              <w:top w:val="nil"/>
              <w:left w:val="single" w:sz="4" w:space="0" w:color="auto"/>
              <w:bottom w:val="nil"/>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 xml:space="preserve">[83.59, 90.15] </w:t>
            </w:r>
            <w:r w:rsidRPr="00F11870">
              <w:rPr>
                <w:color w:val="000000"/>
                <w:sz w:val="22"/>
                <w:szCs w:val="22"/>
                <w:vertAlign w:val="superscript"/>
              </w:rPr>
              <w:t>1</w:t>
            </w:r>
          </w:p>
        </w:tc>
        <w:tc>
          <w:tcPr>
            <w:tcW w:w="2552" w:type="dxa"/>
            <w:tcBorders>
              <w:top w:val="nil"/>
              <w:left w:val="single" w:sz="4" w:space="0" w:color="auto"/>
              <w:bottom w:val="nil"/>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 xml:space="preserve">[84.04, 90.49] </w:t>
            </w:r>
            <w:r w:rsidRPr="00F11870">
              <w:rPr>
                <w:color w:val="000000"/>
                <w:sz w:val="22"/>
                <w:szCs w:val="22"/>
                <w:vertAlign w:val="superscript"/>
              </w:rPr>
              <w:t>1</w:t>
            </w:r>
          </w:p>
        </w:tc>
        <w:tc>
          <w:tcPr>
            <w:tcW w:w="2552" w:type="dxa"/>
            <w:tcBorders>
              <w:top w:val="nil"/>
              <w:left w:val="single" w:sz="4" w:space="0" w:color="auto"/>
              <w:bottom w:val="nil"/>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95% CI: [-5.94, 5.14]</w:t>
            </w:r>
            <w:r w:rsidRPr="00F11870">
              <w:rPr>
                <w:color w:val="000000"/>
                <w:sz w:val="22"/>
                <w:szCs w:val="22"/>
                <w:vertAlign w:val="superscript"/>
              </w:rPr>
              <w:t xml:space="preserve"> 2</w:t>
            </w:r>
          </w:p>
        </w:tc>
      </w:tr>
      <w:tr w:rsidR="00E723F3" w:rsidRPr="00F11870" w:rsidTr="00E723F3">
        <w:tc>
          <w:tcPr>
            <w:tcW w:w="1805" w:type="dxa"/>
            <w:vMerge/>
            <w:tcBorders>
              <w:top w:val="single" w:sz="4" w:space="0" w:color="auto"/>
              <w:left w:val="single" w:sz="4" w:space="0" w:color="auto"/>
              <w:bottom w:val="single" w:sz="4" w:space="0" w:color="auto"/>
              <w:right w:val="single" w:sz="4" w:space="0" w:color="auto"/>
            </w:tcBorders>
            <w:vAlign w:val="center"/>
            <w:hideMark/>
          </w:tcPr>
          <w:p w:rsidR="00E723F3" w:rsidRPr="00F11870" w:rsidRDefault="00E723F3">
            <w:pPr>
              <w:spacing w:line="240" w:lineRule="auto"/>
              <w:rPr>
                <w:b/>
                <w:color w:val="000000"/>
                <w:sz w:val="22"/>
                <w:szCs w:val="22"/>
              </w:rPr>
            </w:pPr>
          </w:p>
        </w:tc>
        <w:tc>
          <w:tcPr>
            <w:tcW w:w="2552" w:type="dxa"/>
            <w:tcBorders>
              <w:top w:val="nil"/>
              <w:left w:val="single" w:sz="4" w:space="0" w:color="auto"/>
              <w:bottom w:val="single" w:sz="4" w:space="0" w:color="auto"/>
              <w:right w:val="single" w:sz="4" w:space="0" w:color="auto"/>
            </w:tcBorders>
            <w:shd w:val="clear" w:color="auto" w:fill="FFFFFF"/>
          </w:tcPr>
          <w:p w:rsidR="00E723F3" w:rsidRPr="00F11870" w:rsidRDefault="00E723F3">
            <w:pPr>
              <w:pStyle w:val="Text"/>
              <w:spacing w:before="20" w:after="40"/>
              <w:jc w:val="center"/>
              <w:rPr>
                <w:color w:val="000000"/>
                <w:sz w:val="22"/>
                <w:szCs w:val="22"/>
              </w:rPr>
            </w:pPr>
          </w:p>
        </w:tc>
        <w:tc>
          <w:tcPr>
            <w:tcW w:w="2552" w:type="dxa"/>
            <w:tcBorders>
              <w:top w:val="nil"/>
              <w:left w:val="single" w:sz="4" w:space="0" w:color="auto"/>
              <w:bottom w:val="single" w:sz="4" w:space="0" w:color="auto"/>
              <w:right w:val="single" w:sz="4" w:space="0" w:color="auto"/>
            </w:tcBorders>
            <w:shd w:val="clear" w:color="auto" w:fill="FFFFFF"/>
          </w:tcPr>
          <w:p w:rsidR="00E723F3" w:rsidRPr="00F11870" w:rsidRDefault="00E723F3">
            <w:pPr>
              <w:pStyle w:val="Text"/>
              <w:spacing w:before="20" w:after="40"/>
              <w:jc w:val="center"/>
              <w:rPr>
                <w:color w:val="000000"/>
                <w:sz w:val="22"/>
                <w:szCs w:val="22"/>
              </w:rPr>
            </w:pPr>
          </w:p>
        </w:tc>
        <w:tc>
          <w:tcPr>
            <w:tcW w:w="2552" w:type="dxa"/>
            <w:tcBorders>
              <w:top w:val="nil"/>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90% CI: [-5.10, 4.30]</w:t>
            </w:r>
            <w:r w:rsidRPr="00F11870">
              <w:rPr>
                <w:color w:val="000000"/>
                <w:sz w:val="22"/>
                <w:szCs w:val="22"/>
                <w:vertAlign w:val="superscript"/>
              </w:rPr>
              <w:t xml:space="preserve"> 2</w:t>
            </w:r>
          </w:p>
        </w:tc>
      </w:tr>
    </w:tbl>
    <w:p w:rsidR="00E723F3" w:rsidRPr="00E3482E" w:rsidRDefault="00E723F3" w:rsidP="00E723F3">
      <w:pPr>
        <w:pStyle w:val="Text"/>
        <w:keepNext/>
        <w:spacing w:before="60" w:line="22" w:lineRule="atLeast"/>
        <w:ind w:left="170" w:hanging="170"/>
        <w:rPr>
          <w:i/>
          <w:color w:val="000000"/>
          <w:sz w:val="20"/>
          <w:szCs w:val="20"/>
          <w:lang w:val="en-GB"/>
        </w:rPr>
      </w:pPr>
      <w:r w:rsidRPr="00E3482E">
        <w:rPr>
          <w:color w:val="000000"/>
          <w:vertAlign w:val="superscript"/>
          <w:lang w:val="en-GB"/>
        </w:rPr>
        <w:t>1</w:t>
      </w:r>
      <w:r w:rsidRPr="00E3482E">
        <w:rPr>
          <w:i/>
          <w:color w:val="000000"/>
          <w:sz w:val="20"/>
          <w:szCs w:val="20"/>
          <w:lang w:val="en-GB"/>
        </w:rPr>
        <w:t xml:space="preserve"> The 90% CIs of ORR are exact intervals derived using the </w:t>
      </w:r>
      <w:proofErr w:type="spellStart"/>
      <w:r w:rsidRPr="00E3482E">
        <w:rPr>
          <w:i/>
          <w:color w:val="000000"/>
          <w:sz w:val="20"/>
          <w:szCs w:val="20"/>
          <w:lang w:val="en-GB"/>
        </w:rPr>
        <w:t>Clopper</w:t>
      </w:r>
      <w:proofErr w:type="spellEnd"/>
      <w:r w:rsidRPr="00E3482E">
        <w:rPr>
          <w:i/>
          <w:color w:val="000000"/>
          <w:sz w:val="20"/>
          <w:szCs w:val="20"/>
          <w:lang w:val="en-GB"/>
        </w:rPr>
        <w:t xml:space="preserve">-Pearson formula. </w:t>
      </w:r>
    </w:p>
    <w:p w:rsidR="00E723F3" w:rsidRPr="00E3482E" w:rsidRDefault="00E723F3" w:rsidP="00E723F3">
      <w:pPr>
        <w:pStyle w:val="Text"/>
        <w:keepNext/>
        <w:spacing w:before="0" w:line="22" w:lineRule="atLeast"/>
        <w:ind w:left="170" w:hanging="170"/>
        <w:rPr>
          <w:i/>
          <w:color w:val="000000"/>
          <w:sz w:val="20"/>
          <w:szCs w:val="20"/>
          <w:lang w:val="en-GB"/>
        </w:rPr>
      </w:pPr>
      <w:r w:rsidRPr="00E3482E">
        <w:rPr>
          <w:color w:val="000000"/>
          <w:vertAlign w:val="superscript"/>
          <w:lang w:val="en-GB"/>
        </w:rPr>
        <w:t>2</w:t>
      </w:r>
      <w:r w:rsidRPr="00E3482E">
        <w:rPr>
          <w:i/>
          <w:color w:val="000000"/>
          <w:sz w:val="20"/>
          <w:szCs w:val="20"/>
          <w:lang w:val="en-GB"/>
        </w:rPr>
        <w:t xml:space="preserve"> The 95% and 90% CIs for differences in proportions are based on normal approximation to the binomial distribution.</w:t>
      </w:r>
    </w:p>
    <w:p w:rsidR="00E723F3" w:rsidRPr="00E3482E" w:rsidRDefault="00E723F3" w:rsidP="00E723F3">
      <w:pPr>
        <w:pStyle w:val="Text"/>
        <w:keepNext/>
        <w:spacing w:before="0" w:line="22" w:lineRule="atLeast"/>
        <w:rPr>
          <w:i/>
          <w:color w:val="000000"/>
          <w:sz w:val="20"/>
          <w:szCs w:val="20"/>
          <w:lang w:val="it-IT"/>
        </w:rPr>
      </w:pPr>
      <w:r w:rsidRPr="00E3482E">
        <w:rPr>
          <w:i/>
          <w:color w:val="000000"/>
          <w:sz w:val="20"/>
          <w:szCs w:val="20"/>
          <w:lang w:val="it-IT"/>
        </w:rPr>
        <w:t xml:space="preserve">PPS = Per protocol set;  CI = confidence interval </w:t>
      </w:r>
    </w:p>
    <w:p w:rsidR="00E723F3" w:rsidRPr="00E3482E" w:rsidRDefault="00E723F3" w:rsidP="00E723F3">
      <w:pPr>
        <w:pStyle w:val="Text"/>
        <w:keepNext/>
        <w:spacing w:before="0" w:line="22" w:lineRule="atLeast"/>
        <w:rPr>
          <w:i/>
          <w:color w:val="000000"/>
          <w:sz w:val="20"/>
          <w:szCs w:val="20"/>
          <w:lang w:val="en-GB"/>
        </w:rPr>
      </w:pPr>
      <w:r w:rsidRPr="00E3482E">
        <w:rPr>
          <w:i/>
          <w:color w:val="000000"/>
          <w:sz w:val="20"/>
          <w:szCs w:val="20"/>
          <w:lang w:val="en-GB"/>
        </w:rPr>
        <w:t>ORR = Overall response rate; CR = complete response; PR = partial response</w:t>
      </w:r>
    </w:p>
    <w:p w:rsidR="004B2144" w:rsidRPr="00E3482E" w:rsidRDefault="00E723F3" w:rsidP="004A3E75">
      <w:pPr>
        <w:spacing w:before="200"/>
        <w:jc w:val="both"/>
        <w:rPr>
          <w:color w:val="000000"/>
          <w:lang w:val="en-GB"/>
        </w:rPr>
      </w:pPr>
      <w:r w:rsidRPr="00E3482E">
        <w:rPr>
          <w:color w:val="000000"/>
          <w:lang w:val="en-GB"/>
        </w:rPr>
        <w:t>The</w:t>
      </w:r>
      <w:r w:rsidR="00736FEA" w:rsidRPr="00E3482E">
        <w:rPr>
          <w:color w:val="000000"/>
          <w:lang w:val="en-GB"/>
        </w:rPr>
        <w:t xml:space="preserve"> key secondary endpoint is the</w:t>
      </w:r>
      <w:r w:rsidRPr="00E3482E">
        <w:rPr>
          <w:color w:val="000000"/>
          <w:lang w:val="en-GB"/>
        </w:rPr>
        <w:t xml:space="preserve"> best overall response </w:t>
      </w:r>
      <w:r w:rsidR="004B2144" w:rsidRPr="00E3482E">
        <w:rPr>
          <w:color w:val="000000"/>
          <w:lang w:val="en-GB"/>
        </w:rPr>
        <w:t>(BOR)</w:t>
      </w:r>
      <w:proofErr w:type="gramStart"/>
      <w:r w:rsidRPr="00E3482E">
        <w:rPr>
          <w:color w:val="000000"/>
          <w:lang w:val="en-GB"/>
        </w:rPr>
        <w:t>,</w:t>
      </w:r>
      <w:proofErr w:type="gramEnd"/>
      <w:r w:rsidRPr="00E3482E">
        <w:rPr>
          <w:color w:val="000000"/>
          <w:lang w:val="en-GB"/>
        </w:rPr>
        <w:t xml:space="preserve"> defined as the best disease response recorded from randomization until progression, start of new anticancer treatment, </w:t>
      </w:r>
      <w:r w:rsidR="004A3E75" w:rsidRPr="00E3482E">
        <w:rPr>
          <w:color w:val="000000"/>
          <w:lang w:val="en-GB"/>
        </w:rPr>
        <w:t>or end of the study’s combination phase, whichever came first</w:t>
      </w:r>
      <w:r w:rsidR="00736FEA" w:rsidRPr="00E3482E">
        <w:rPr>
          <w:color w:val="000000"/>
          <w:lang w:val="en-GB"/>
        </w:rPr>
        <w:t>.</w:t>
      </w:r>
      <w:r w:rsidR="004A3E75" w:rsidRPr="00E3482E">
        <w:rPr>
          <w:color w:val="000000"/>
          <w:lang w:val="en-GB"/>
        </w:rPr>
        <w:t xml:space="preserve"> The </w:t>
      </w:r>
      <w:r w:rsidR="00736FEA" w:rsidRPr="00E3482E">
        <w:rPr>
          <w:color w:val="000000"/>
          <w:lang w:val="en-GB"/>
        </w:rPr>
        <w:t xml:space="preserve">BOR </w:t>
      </w:r>
      <w:r w:rsidR="004A3E75" w:rsidRPr="00E3482E">
        <w:rPr>
          <w:color w:val="000000"/>
          <w:lang w:val="en-GB"/>
        </w:rPr>
        <w:t>results</w:t>
      </w:r>
      <w:r w:rsidR="006B6A6C" w:rsidRPr="00E3482E">
        <w:rPr>
          <w:color w:val="000000"/>
          <w:lang w:val="en-GB"/>
        </w:rPr>
        <w:t xml:space="preserve"> </w:t>
      </w:r>
      <w:r w:rsidR="004A3E75" w:rsidRPr="00E3482E">
        <w:rPr>
          <w:color w:val="000000"/>
          <w:lang w:val="en-GB"/>
        </w:rPr>
        <w:t xml:space="preserve">indicate that the proportion of patients in each of the response categories (Complete Response, Partial Response, Stable Disease and Progressive Disease), and their associated 90% </w:t>
      </w:r>
      <w:r w:rsidR="00466B3F" w:rsidRPr="00E3482E">
        <w:rPr>
          <w:color w:val="000000"/>
          <w:lang w:val="en-GB"/>
        </w:rPr>
        <w:t>confidence intervals</w:t>
      </w:r>
      <w:r w:rsidR="004A3E75" w:rsidRPr="00E3482E">
        <w:rPr>
          <w:color w:val="000000"/>
          <w:lang w:val="en-GB"/>
        </w:rPr>
        <w:t xml:space="preserve">, </w:t>
      </w:r>
      <w:r w:rsidR="00466B3F" w:rsidRPr="00E3482E">
        <w:rPr>
          <w:color w:val="000000"/>
          <w:lang w:val="en-GB"/>
        </w:rPr>
        <w:t xml:space="preserve">for </w:t>
      </w:r>
      <w:r w:rsidR="00982770">
        <w:rPr>
          <w:color w:val="000000"/>
          <w:lang w:val="en-GB"/>
        </w:rPr>
        <w:t>RIXIMYO</w:t>
      </w:r>
      <w:r w:rsidR="00982770" w:rsidRPr="00991E39">
        <w:rPr>
          <w:color w:val="000000"/>
          <w:vertAlign w:val="superscript"/>
          <w:lang w:val="en-GB"/>
        </w:rPr>
        <w:t>®</w:t>
      </w:r>
      <w:r w:rsidR="00466B3F" w:rsidRPr="00E3482E">
        <w:rPr>
          <w:color w:val="000000"/>
          <w:lang w:val="en-GB"/>
        </w:rPr>
        <w:t xml:space="preserve"> </w:t>
      </w:r>
      <w:r w:rsidR="004A3E75" w:rsidRPr="00E3482E">
        <w:rPr>
          <w:color w:val="000000"/>
          <w:lang w:val="en-GB"/>
        </w:rPr>
        <w:t xml:space="preserve">and </w:t>
      </w:r>
      <w:r w:rsidR="00991E39" w:rsidRPr="00E3482E">
        <w:rPr>
          <w:color w:val="000000"/>
        </w:rPr>
        <w:t xml:space="preserve">the reference medicine </w:t>
      </w:r>
      <w:r w:rsidR="004A3E75" w:rsidRPr="00E3482E">
        <w:rPr>
          <w:color w:val="000000"/>
          <w:lang w:val="en-GB"/>
        </w:rPr>
        <w:t>were similar</w:t>
      </w:r>
      <w:r w:rsidR="004B2144" w:rsidRPr="00E3482E">
        <w:rPr>
          <w:color w:val="000000"/>
          <w:lang w:val="en-GB"/>
        </w:rPr>
        <w:t xml:space="preserve"> (see Table 16).</w:t>
      </w:r>
    </w:p>
    <w:p w:rsidR="004B2144" w:rsidRPr="00F11870" w:rsidRDefault="004B2144" w:rsidP="004B2144">
      <w:pPr>
        <w:pStyle w:val="Tabletitle"/>
        <w:keepNext/>
        <w:tabs>
          <w:tab w:val="left" w:pos="720"/>
        </w:tabs>
        <w:spacing w:before="200"/>
        <w:ind w:left="1021" w:hanging="1021"/>
        <w:rPr>
          <w:color w:val="000000"/>
          <w:sz w:val="23"/>
          <w:szCs w:val="23"/>
        </w:rPr>
      </w:pPr>
      <w:r w:rsidRPr="00F11870">
        <w:rPr>
          <w:color w:val="000000"/>
          <w:sz w:val="23"/>
          <w:szCs w:val="23"/>
        </w:rPr>
        <w:t>Table 16:</w:t>
      </w:r>
      <w:r w:rsidRPr="00F11870">
        <w:rPr>
          <w:color w:val="000000"/>
          <w:sz w:val="23"/>
          <w:szCs w:val="23"/>
        </w:rPr>
        <w:tab/>
        <w:t>Secondary efficacy analysis of BOR based on the central blinded tumour assessments (PPS)</w:t>
      </w:r>
    </w:p>
    <w:tbl>
      <w:tblPr>
        <w:tblW w:w="94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3"/>
        <w:gridCol w:w="3154"/>
        <w:gridCol w:w="3154"/>
      </w:tblGrid>
      <w:tr w:rsidR="00736FEA" w:rsidRPr="003A085E" w:rsidTr="00EB5996">
        <w:tc>
          <w:tcPr>
            <w:tcW w:w="3153" w:type="dxa"/>
            <w:tcBorders>
              <w:top w:val="single" w:sz="4" w:space="0" w:color="auto"/>
              <w:left w:val="single" w:sz="4" w:space="0" w:color="auto"/>
              <w:bottom w:val="single" w:sz="4" w:space="0" w:color="auto"/>
              <w:right w:val="single" w:sz="4" w:space="0" w:color="auto"/>
            </w:tcBorders>
            <w:shd w:val="clear" w:color="auto" w:fill="FFFFFF"/>
          </w:tcPr>
          <w:p w:rsidR="004B2144" w:rsidRPr="00F11870" w:rsidRDefault="004B2144" w:rsidP="00C91E06">
            <w:pPr>
              <w:pStyle w:val="Text"/>
              <w:spacing w:before="60" w:after="60" w:line="256" w:lineRule="auto"/>
              <w:jc w:val="left"/>
              <w:rPr>
                <w:b/>
                <w:color w:val="000000"/>
                <w:sz w:val="22"/>
                <w:szCs w:val="22"/>
              </w:rPr>
            </w:pPr>
            <w:r w:rsidRPr="00F11870">
              <w:rPr>
                <w:b/>
                <w:color w:val="000000"/>
                <w:sz w:val="22"/>
                <w:szCs w:val="22"/>
              </w:rPr>
              <w:t>Best Overall Response</w:t>
            </w:r>
          </w:p>
        </w:tc>
        <w:tc>
          <w:tcPr>
            <w:tcW w:w="3154" w:type="dxa"/>
            <w:tcBorders>
              <w:top w:val="single" w:sz="4" w:space="0" w:color="auto"/>
              <w:left w:val="single" w:sz="4" w:space="0" w:color="auto"/>
              <w:bottom w:val="single" w:sz="4" w:space="0" w:color="auto"/>
              <w:right w:val="single" w:sz="4" w:space="0" w:color="auto"/>
            </w:tcBorders>
            <w:shd w:val="clear" w:color="auto" w:fill="FFFFFF"/>
            <w:hideMark/>
          </w:tcPr>
          <w:p w:rsidR="004B2144" w:rsidRPr="00F11870" w:rsidRDefault="00982770" w:rsidP="00C91E06">
            <w:pPr>
              <w:pStyle w:val="Text"/>
              <w:spacing w:before="60" w:line="256" w:lineRule="auto"/>
              <w:jc w:val="center"/>
              <w:rPr>
                <w:b/>
                <w:color w:val="000000"/>
                <w:sz w:val="22"/>
                <w:szCs w:val="22"/>
              </w:rPr>
            </w:pPr>
            <w:r w:rsidRPr="00F11870">
              <w:rPr>
                <w:b/>
                <w:color w:val="000000"/>
                <w:sz w:val="22"/>
                <w:szCs w:val="22"/>
              </w:rPr>
              <w:t>RIXIMYO</w:t>
            </w:r>
            <w:r w:rsidRPr="00F11870">
              <w:rPr>
                <w:b/>
                <w:color w:val="000000"/>
                <w:sz w:val="22"/>
                <w:szCs w:val="22"/>
                <w:vertAlign w:val="superscript"/>
              </w:rPr>
              <w:t>®</w:t>
            </w:r>
          </w:p>
          <w:p w:rsidR="004B2144" w:rsidRPr="00F11870" w:rsidRDefault="004B2144" w:rsidP="00C91E06">
            <w:pPr>
              <w:pStyle w:val="Text"/>
              <w:spacing w:before="0" w:line="256" w:lineRule="auto"/>
              <w:jc w:val="center"/>
              <w:rPr>
                <w:b/>
                <w:color w:val="000000"/>
                <w:sz w:val="22"/>
                <w:szCs w:val="22"/>
              </w:rPr>
            </w:pPr>
            <w:r w:rsidRPr="00F11870">
              <w:rPr>
                <w:b/>
                <w:color w:val="000000"/>
                <w:sz w:val="22"/>
                <w:szCs w:val="22"/>
              </w:rPr>
              <w:t>N=311</w:t>
            </w:r>
          </w:p>
          <w:p w:rsidR="004B2144" w:rsidRPr="00F11870" w:rsidRDefault="004B2144" w:rsidP="00C91E06">
            <w:pPr>
              <w:pStyle w:val="Text"/>
              <w:spacing w:before="0" w:line="256" w:lineRule="auto"/>
              <w:jc w:val="center"/>
              <w:rPr>
                <w:color w:val="000000"/>
                <w:sz w:val="22"/>
                <w:szCs w:val="22"/>
                <w:vertAlign w:val="superscript"/>
              </w:rPr>
            </w:pPr>
            <w:proofErr w:type="gramStart"/>
            <w:r w:rsidRPr="00F11870">
              <w:rPr>
                <w:color w:val="000000"/>
                <w:sz w:val="22"/>
                <w:szCs w:val="22"/>
              </w:rPr>
              <w:t>n</w:t>
            </w:r>
            <w:proofErr w:type="gramEnd"/>
            <w:r w:rsidRPr="00F11870">
              <w:rPr>
                <w:color w:val="000000"/>
                <w:sz w:val="22"/>
                <w:szCs w:val="22"/>
              </w:rPr>
              <w:t xml:space="preserve"> (%) [90% CI]</w:t>
            </w:r>
            <w:r w:rsidR="00466B3F" w:rsidRPr="00F11870">
              <w:rPr>
                <w:color w:val="000000"/>
                <w:sz w:val="22"/>
                <w:szCs w:val="22"/>
                <w:vertAlign w:val="superscript"/>
              </w:rPr>
              <w:t>1</w:t>
            </w:r>
          </w:p>
        </w:tc>
        <w:tc>
          <w:tcPr>
            <w:tcW w:w="3154" w:type="dxa"/>
            <w:tcBorders>
              <w:top w:val="single" w:sz="4" w:space="0" w:color="auto"/>
              <w:left w:val="single" w:sz="4" w:space="0" w:color="auto"/>
              <w:bottom w:val="single" w:sz="4" w:space="0" w:color="auto"/>
              <w:right w:val="single" w:sz="4" w:space="0" w:color="auto"/>
            </w:tcBorders>
            <w:shd w:val="clear" w:color="auto" w:fill="FFFFFF"/>
            <w:hideMark/>
          </w:tcPr>
          <w:p w:rsidR="004B2144" w:rsidRPr="003A085E" w:rsidRDefault="00991E39" w:rsidP="00C91E06">
            <w:pPr>
              <w:pStyle w:val="Text"/>
              <w:spacing w:before="60" w:line="256" w:lineRule="auto"/>
              <w:jc w:val="center"/>
              <w:rPr>
                <w:b/>
                <w:color w:val="000000"/>
                <w:sz w:val="22"/>
                <w:szCs w:val="22"/>
                <w:lang w:val="it-IT"/>
              </w:rPr>
            </w:pPr>
            <w:r w:rsidRPr="003A085E">
              <w:rPr>
                <w:b/>
                <w:color w:val="000000"/>
                <w:sz w:val="22"/>
                <w:szCs w:val="22"/>
                <w:lang w:val="it-IT"/>
              </w:rPr>
              <w:t xml:space="preserve">Reference Medicine </w:t>
            </w:r>
          </w:p>
          <w:p w:rsidR="004B2144" w:rsidRPr="003A085E" w:rsidRDefault="004B2144" w:rsidP="00C91E06">
            <w:pPr>
              <w:pStyle w:val="Text"/>
              <w:spacing w:before="0" w:line="256" w:lineRule="auto"/>
              <w:jc w:val="center"/>
              <w:rPr>
                <w:b/>
                <w:color w:val="000000"/>
                <w:sz w:val="22"/>
                <w:szCs w:val="22"/>
                <w:lang w:val="it-IT"/>
              </w:rPr>
            </w:pPr>
            <w:r w:rsidRPr="003A085E">
              <w:rPr>
                <w:b/>
                <w:color w:val="000000"/>
                <w:sz w:val="22"/>
                <w:szCs w:val="22"/>
                <w:lang w:val="it-IT"/>
              </w:rPr>
              <w:t>N=313</w:t>
            </w:r>
          </w:p>
          <w:p w:rsidR="004B2144" w:rsidRPr="003A085E" w:rsidRDefault="004B2144" w:rsidP="00C91E06">
            <w:pPr>
              <w:pStyle w:val="Text"/>
              <w:spacing w:before="0" w:line="256" w:lineRule="auto"/>
              <w:jc w:val="center"/>
              <w:rPr>
                <w:color w:val="000000"/>
                <w:sz w:val="22"/>
                <w:szCs w:val="22"/>
                <w:vertAlign w:val="superscript"/>
                <w:lang w:val="it-IT"/>
              </w:rPr>
            </w:pPr>
            <w:r w:rsidRPr="003A085E">
              <w:rPr>
                <w:color w:val="000000"/>
                <w:sz w:val="22"/>
                <w:szCs w:val="22"/>
                <w:lang w:val="it-IT"/>
              </w:rPr>
              <w:t>n (%) [90% CI]</w:t>
            </w:r>
            <w:r w:rsidR="00466B3F" w:rsidRPr="003A085E">
              <w:rPr>
                <w:color w:val="000000"/>
                <w:sz w:val="22"/>
                <w:szCs w:val="22"/>
                <w:vertAlign w:val="superscript"/>
                <w:lang w:val="it-IT"/>
              </w:rPr>
              <w:t>1</w:t>
            </w:r>
          </w:p>
        </w:tc>
      </w:tr>
      <w:tr w:rsidR="00736FEA" w:rsidRPr="00F11870" w:rsidTr="00736FEA">
        <w:tc>
          <w:tcPr>
            <w:tcW w:w="3153" w:type="dxa"/>
            <w:vMerge w:val="restart"/>
            <w:tcBorders>
              <w:top w:val="single" w:sz="4" w:space="0" w:color="auto"/>
              <w:left w:val="single" w:sz="4" w:space="0" w:color="auto"/>
              <w:bottom w:val="nil"/>
              <w:right w:val="single" w:sz="4" w:space="0" w:color="auto"/>
            </w:tcBorders>
            <w:shd w:val="clear" w:color="auto" w:fill="FFFFFF"/>
            <w:hideMark/>
          </w:tcPr>
          <w:p w:rsidR="004B2144" w:rsidRPr="00F11870" w:rsidRDefault="004B2144" w:rsidP="00C91E06">
            <w:pPr>
              <w:pStyle w:val="Text"/>
              <w:spacing w:before="60" w:after="60" w:line="256" w:lineRule="auto"/>
              <w:jc w:val="left"/>
              <w:rPr>
                <w:b/>
                <w:color w:val="000000"/>
                <w:sz w:val="22"/>
                <w:szCs w:val="22"/>
              </w:rPr>
            </w:pPr>
            <w:r w:rsidRPr="00F11870">
              <w:rPr>
                <w:b/>
                <w:color w:val="000000"/>
                <w:sz w:val="22"/>
                <w:szCs w:val="22"/>
              </w:rPr>
              <w:t>Complete Response</w:t>
            </w:r>
          </w:p>
        </w:tc>
        <w:tc>
          <w:tcPr>
            <w:tcW w:w="3154" w:type="dxa"/>
            <w:tcBorders>
              <w:top w:val="single" w:sz="4" w:space="0" w:color="auto"/>
              <w:left w:val="single" w:sz="4" w:space="0" w:color="auto"/>
              <w:bottom w:val="nil"/>
              <w:right w:val="single" w:sz="4" w:space="0" w:color="auto"/>
            </w:tcBorders>
            <w:shd w:val="clear" w:color="auto" w:fill="FFFFFF"/>
            <w:hideMark/>
          </w:tcPr>
          <w:p w:rsidR="004B2144" w:rsidRPr="00F11870" w:rsidRDefault="004B2144" w:rsidP="00C91E06">
            <w:pPr>
              <w:pStyle w:val="Text"/>
              <w:spacing w:before="20" w:after="40"/>
              <w:jc w:val="center"/>
              <w:rPr>
                <w:color w:val="000000"/>
                <w:sz w:val="22"/>
                <w:szCs w:val="22"/>
              </w:rPr>
            </w:pPr>
            <w:r w:rsidRPr="00F11870">
              <w:rPr>
                <w:color w:val="000000"/>
                <w:sz w:val="22"/>
                <w:szCs w:val="22"/>
              </w:rPr>
              <w:t>46 (14.8%)</w:t>
            </w:r>
          </w:p>
        </w:tc>
        <w:tc>
          <w:tcPr>
            <w:tcW w:w="3154" w:type="dxa"/>
            <w:tcBorders>
              <w:top w:val="single" w:sz="4" w:space="0" w:color="auto"/>
              <w:left w:val="single" w:sz="4" w:space="0" w:color="auto"/>
              <w:bottom w:val="nil"/>
              <w:right w:val="single" w:sz="4" w:space="0" w:color="auto"/>
            </w:tcBorders>
            <w:shd w:val="clear" w:color="auto" w:fill="FFFFFF"/>
            <w:hideMark/>
          </w:tcPr>
          <w:p w:rsidR="004B2144" w:rsidRPr="00F11870" w:rsidRDefault="004B2144" w:rsidP="00C91E06">
            <w:pPr>
              <w:pStyle w:val="Text"/>
              <w:spacing w:before="20" w:after="40"/>
              <w:jc w:val="center"/>
              <w:rPr>
                <w:color w:val="000000"/>
                <w:sz w:val="22"/>
                <w:szCs w:val="22"/>
              </w:rPr>
            </w:pPr>
            <w:r w:rsidRPr="00F11870">
              <w:rPr>
                <w:color w:val="000000"/>
                <w:sz w:val="22"/>
                <w:szCs w:val="22"/>
              </w:rPr>
              <w:t>42 (13.4%)</w:t>
            </w:r>
          </w:p>
        </w:tc>
      </w:tr>
      <w:tr w:rsidR="00736FEA" w:rsidRPr="00F11870" w:rsidTr="00141F6A">
        <w:tc>
          <w:tcPr>
            <w:tcW w:w="3153" w:type="dxa"/>
            <w:vMerge/>
            <w:tcBorders>
              <w:top w:val="single" w:sz="4" w:space="0" w:color="auto"/>
              <w:left w:val="single" w:sz="4" w:space="0" w:color="auto"/>
              <w:bottom w:val="single" w:sz="4" w:space="0" w:color="auto"/>
              <w:right w:val="single" w:sz="4" w:space="0" w:color="auto"/>
            </w:tcBorders>
            <w:vAlign w:val="center"/>
            <w:hideMark/>
          </w:tcPr>
          <w:p w:rsidR="004B2144" w:rsidRPr="00F11870" w:rsidRDefault="004B2144" w:rsidP="00C91E06">
            <w:pPr>
              <w:spacing w:line="240" w:lineRule="auto"/>
              <w:rPr>
                <w:b/>
                <w:color w:val="000000"/>
                <w:sz w:val="22"/>
                <w:szCs w:val="22"/>
              </w:rPr>
            </w:pPr>
          </w:p>
        </w:tc>
        <w:tc>
          <w:tcPr>
            <w:tcW w:w="3154" w:type="dxa"/>
            <w:tcBorders>
              <w:top w:val="nil"/>
              <w:left w:val="single" w:sz="4" w:space="0" w:color="auto"/>
              <w:bottom w:val="single" w:sz="4" w:space="0" w:color="auto"/>
              <w:right w:val="single" w:sz="4" w:space="0" w:color="auto"/>
            </w:tcBorders>
            <w:shd w:val="clear" w:color="auto" w:fill="FFFFFF"/>
            <w:hideMark/>
          </w:tcPr>
          <w:p w:rsidR="004B2144" w:rsidRPr="00F11870" w:rsidRDefault="004B2144" w:rsidP="00C91E06">
            <w:pPr>
              <w:pStyle w:val="Text"/>
              <w:spacing w:before="20" w:after="40"/>
              <w:jc w:val="center"/>
              <w:rPr>
                <w:color w:val="000000"/>
                <w:sz w:val="22"/>
                <w:szCs w:val="22"/>
              </w:rPr>
            </w:pPr>
            <w:r w:rsidRPr="00F11870">
              <w:rPr>
                <w:color w:val="000000"/>
                <w:sz w:val="22"/>
                <w:szCs w:val="22"/>
              </w:rPr>
              <w:t>[11.6, 18.5]</w:t>
            </w:r>
          </w:p>
        </w:tc>
        <w:tc>
          <w:tcPr>
            <w:tcW w:w="3154" w:type="dxa"/>
            <w:tcBorders>
              <w:top w:val="nil"/>
              <w:left w:val="single" w:sz="4" w:space="0" w:color="auto"/>
              <w:bottom w:val="single" w:sz="4" w:space="0" w:color="auto"/>
              <w:right w:val="single" w:sz="4" w:space="0" w:color="auto"/>
            </w:tcBorders>
            <w:shd w:val="clear" w:color="auto" w:fill="FFFFFF"/>
            <w:hideMark/>
          </w:tcPr>
          <w:p w:rsidR="004B2144" w:rsidRPr="00F11870" w:rsidRDefault="004B2144" w:rsidP="00141F6A">
            <w:pPr>
              <w:pStyle w:val="Text"/>
              <w:spacing w:before="20" w:after="40"/>
              <w:jc w:val="center"/>
              <w:rPr>
                <w:color w:val="000000"/>
                <w:sz w:val="22"/>
                <w:szCs w:val="22"/>
              </w:rPr>
            </w:pPr>
            <w:r w:rsidRPr="00F11870">
              <w:rPr>
                <w:color w:val="000000"/>
                <w:sz w:val="22"/>
                <w:szCs w:val="22"/>
              </w:rPr>
              <w:t>[10.4, 17.0]</w:t>
            </w:r>
          </w:p>
        </w:tc>
      </w:tr>
      <w:tr w:rsidR="00736FEA" w:rsidRPr="00F11870" w:rsidTr="00141F6A">
        <w:tc>
          <w:tcPr>
            <w:tcW w:w="3153" w:type="dxa"/>
            <w:tcBorders>
              <w:top w:val="single" w:sz="4" w:space="0" w:color="auto"/>
              <w:left w:val="single" w:sz="4" w:space="0" w:color="auto"/>
              <w:bottom w:val="nil"/>
              <w:right w:val="single" w:sz="4" w:space="0" w:color="auto"/>
            </w:tcBorders>
            <w:vAlign w:val="center"/>
          </w:tcPr>
          <w:p w:rsidR="004B2144" w:rsidRPr="00F11870" w:rsidRDefault="004B2144" w:rsidP="004B2144">
            <w:pPr>
              <w:spacing w:line="240" w:lineRule="auto"/>
              <w:rPr>
                <w:b/>
                <w:color w:val="000000"/>
                <w:sz w:val="22"/>
                <w:szCs w:val="22"/>
              </w:rPr>
            </w:pPr>
            <w:r w:rsidRPr="00F11870">
              <w:rPr>
                <w:b/>
                <w:color w:val="000000"/>
                <w:sz w:val="22"/>
                <w:szCs w:val="22"/>
              </w:rPr>
              <w:t>Partial Response</w:t>
            </w:r>
          </w:p>
        </w:tc>
        <w:tc>
          <w:tcPr>
            <w:tcW w:w="3154" w:type="dxa"/>
            <w:tcBorders>
              <w:top w:val="single" w:sz="4" w:space="0" w:color="auto"/>
              <w:left w:val="single" w:sz="4" w:space="0" w:color="auto"/>
              <w:bottom w:val="nil"/>
              <w:right w:val="single" w:sz="4" w:space="0" w:color="auto"/>
            </w:tcBorders>
            <w:shd w:val="clear" w:color="auto" w:fill="FFFFFF"/>
          </w:tcPr>
          <w:p w:rsidR="004B2144" w:rsidRPr="00F11870" w:rsidRDefault="004B2144" w:rsidP="004B2144">
            <w:pPr>
              <w:pStyle w:val="Text"/>
              <w:spacing w:before="20" w:after="40"/>
              <w:jc w:val="center"/>
              <w:rPr>
                <w:color w:val="000000"/>
                <w:sz w:val="22"/>
                <w:szCs w:val="22"/>
              </w:rPr>
            </w:pPr>
            <w:r w:rsidRPr="00F11870">
              <w:rPr>
                <w:color w:val="000000"/>
                <w:sz w:val="22"/>
                <w:szCs w:val="22"/>
              </w:rPr>
              <w:t>225 (72.3%)</w:t>
            </w:r>
          </w:p>
        </w:tc>
        <w:tc>
          <w:tcPr>
            <w:tcW w:w="3154" w:type="dxa"/>
            <w:tcBorders>
              <w:top w:val="single" w:sz="4" w:space="0" w:color="auto"/>
              <w:left w:val="single" w:sz="4" w:space="0" w:color="auto"/>
              <w:bottom w:val="nil"/>
              <w:right w:val="single" w:sz="4" w:space="0" w:color="auto"/>
            </w:tcBorders>
            <w:shd w:val="clear" w:color="auto" w:fill="FFFFFF"/>
          </w:tcPr>
          <w:p w:rsidR="004B2144" w:rsidRPr="00F11870" w:rsidRDefault="004B2144" w:rsidP="004B2144">
            <w:pPr>
              <w:pStyle w:val="Text"/>
              <w:spacing w:before="20" w:after="40"/>
              <w:jc w:val="center"/>
              <w:rPr>
                <w:color w:val="000000"/>
                <w:sz w:val="22"/>
                <w:szCs w:val="22"/>
              </w:rPr>
            </w:pPr>
            <w:r w:rsidRPr="00F11870">
              <w:rPr>
                <w:color w:val="000000"/>
                <w:sz w:val="22"/>
                <w:szCs w:val="22"/>
              </w:rPr>
              <w:t>232 (74.1)</w:t>
            </w:r>
          </w:p>
        </w:tc>
      </w:tr>
      <w:tr w:rsidR="00736FEA" w:rsidRPr="00F11870" w:rsidTr="00141F6A">
        <w:tc>
          <w:tcPr>
            <w:tcW w:w="3153" w:type="dxa"/>
            <w:tcBorders>
              <w:top w:val="nil"/>
              <w:left w:val="single" w:sz="4" w:space="0" w:color="auto"/>
              <w:bottom w:val="single" w:sz="4" w:space="0" w:color="auto"/>
              <w:right w:val="single" w:sz="4" w:space="0" w:color="auto"/>
            </w:tcBorders>
            <w:vAlign w:val="center"/>
          </w:tcPr>
          <w:p w:rsidR="004B2144" w:rsidRPr="00F11870" w:rsidRDefault="004B2144" w:rsidP="004B2144">
            <w:pPr>
              <w:spacing w:line="240" w:lineRule="auto"/>
              <w:rPr>
                <w:b/>
                <w:color w:val="000000"/>
                <w:sz w:val="22"/>
                <w:szCs w:val="22"/>
              </w:rPr>
            </w:pPr>
          </w:p>
        </w:tc>
        <w:tc>
          <w:tcPr>
            <w:tcW w:w="3154" w:type="dxa"/>
            <w:tcBorders>
              <w:top w:val="nil"/>
              <w:left w:val="single" w:sz="4" w:space="0" w:color="auto"/>
              <w:bottom w:val="single" w:sz="4" w:space="0" w:color="auto"/>
              <w:right w:val="single" w:sz="4" w:space="0" w:color="auto"/>
            </w:tcBorders>
            <w:shd w:val="clear" w:color="auto" w:fill="FFFFFF"/>
          </w:tcPr>
          <w:p w:rsidR="004B2144" w:rsidRPr="00F11870" w:rsidRDefault="004B2144" w:rsidP="004B2144">
            <w:pPr>
              <w:pStyle w:val="Text"/>
              <w:spacing w:before="20" w:after="40"/>
              <w:jc w:val="center"/>
              <w:rPr>
                <w:color w:val="000000"/>
                <w:sz w:val="22"/>
                <w:szCs w:val="22"/>
              </w:rPr>
            </w:pPr>
            <w:r w:rsidRPr="00F11870">
              <w:rPr>
                <w:color w:val="000000"/>
                <w:sz w:val="22"/>
                <w:szCs w:val="22"/>
              </w:rPr>
              <w:t>[67.9, 76.5]</w:t>
            </w:r>
          </w:p>
        </w:tc>
        <w:tc>
          <w:tcPr>
            <w:tcW w:w="3154" w:type="dxa"/>
            <w:tcBorders>
              <w:top w:val="nil"/>
              <w:left w:val="single" w:sz="4" w:space="0" w:color="auto"/>
              <w:bottom w:val="single" w:sz="4" w:space="0" w:color="auto"/>
              <w:right w:val="single" w:sz="4" w:space="0" w:color="auto"/>
            </w:tcBorders>
            <w:shd w:val="clear" w:color="auto" w:fill="FFFFFF"/>
          </w:tcPr>
          <w:p w:rsidR="004B2144" w:rsidRPr="00F11870" w:rsidRDefault="004B2144" w:rsidP="00141F6A">
            <w:pPr>
              <w:pStyle w:val="Text"/>
              <w:spacing w:before="20" w:after="40"/>
              <w:jc w:val="center"/>
              <w:rPr>
                <w:color w:val="000000"/>
                <w:sz w:val="22"/>
                <w:szCs w:val="22"/>
              </w:rPr>
            </w:pPr>
            <w:r w:rsidRPr="00F11870">
              <w:rPr>
                <w:color w:val="000000"/>
                <w:sz w:val="22"/>
                <w:szCs w:val="22"/>
              </w:rPr>
              <w:t>[</w:t>
            </w:r>
            <w:r w:rsidR="00466B3F" w:rsidRPr="00F11870">
              <w:rPr>
                <w:color w:val="000000"/>
                <w:sz w:val="22"/>
                <w:szCs w:val="22"/>
              </w:rPr>
              <w:t>69.7, 78.2</w:t>
            </w:r>
            <w:r w:rsidRPr="00F11870">
              <w:rPr>
                <w:color w:val="000000"/>
                <w:sz w:val="22"/>
                <w:szCs w:val="22"/>
              </w:rPr>
              <w:t>]</w:t>
            </w:r>
          </w:p>
        </w:tc>
      </w:tr>
      <w:tr w:rsidR="00736FEA" w:rsidRPr="00F11870" w:rsidTr="00141F6A">
        <w:tc>
          <w:tcPr>
            <w:tcW w:w="3153" w:type="dxa"/>
            <w:tcBorders>
              <w:top w:val="single" w:sz="4" w:space="0" w:color="auto"/>
              <w:left w:val="single" w:sz="4" w:space="0" w:color="auto"/>
              <w:bottom w:val="nil"/>
              <w:right w:val="single" w:sz="4" w:space="0" w:color="auto"/>
            </w:tcBorders>
            <w:vAlign w:val="center"/>
          </w:tcPr>
          <w:p w:rsidR="004B2144" w:rsidRPr="00F11870" w:rsidRDefault="004B2144" w:rsidP="004B2144">
            <w:pPr>
              <w:spacing w:line="240" w:lineRule="auto"/>
              <w:rPr>
                <w:b/>
                <w:color w:val="000000"/>
                <w:sz w:val="22"/>
                <w:szCs w:val="22"/>
              </w:rPr>
            </w:pPr>
            <w:r w:rsidRPr="00F11870">
              <w:rPr>
                <w:b/>
                <w:color w:val="000000"/>
                <w:sz w:val="22"/>
                <w:szCs w:val="22"/>
              </w:rPr>
              <w:t>Stable Disease</w:t>
            </w:r>
          </w:p>
        </w:tc>
        <w:tc>
          <w:tcPr>
            <w:tcW w:w="3154" w:type="dxa"/>
            <w:tcBorders>
              <w:top w:val="single" w:sz="4" w:space="0" w:color="auto"/>
              <w:left w:val="single" w:sz="4" w:space="0" w:color="auto"/>
              <w:bottom w:val="nil"/>
              <w:right w:val="single" w:sz="4" w:space="0" w:color="auto"/>
            </w:tcBorders>
            <w:shd w:val="clear" w:color="auto" w:fill="FFFFFF"/>
          </w:tcPr>
          <w:p w:rsidR="004B2144" w:rsidRPr="00F11870" w:rsidRDefault="004B2144" w:rsidP="004B2144">
            <w:pPr>
              <w:pStyle w:val="Text"/>
              <w:spacing w:before="20" w:after="40"/>
              <w:jc w:val="center"/>
              <w:rPr>
                <w:color w:val="000000"/>
                <w:sz w:val="22"/>
                <w:szCs w:val="22"/>
              </w:rPr>
            </w:pPr>
            <w:r w:rsidRPr="00F11870">
              <w:rPr>
                <w:color w:val="000000"/>
                <w:sz w:val="22"/>
                <w:szCs w:val="22"/>
              </w:rPr>
              <w:t>20 (6.4%)</w:t>
            </w:r>
          </w:p>
        </w:tc>
        <w:tc>
          <w:tcPr>
            <w:tcW w:w="3154" w:type="dxa"/>
            <w:tcBorders>
              <w:top w:val="single" w:sz="4" w:space="0" w:color="auto"/>
              <w:left w:val="single" w:sz="4" w:space="0" w:color="auto"/>
              <w:bottom w:val="nil"/>
              <w:right w:val="single" w:sz="4" w:space="0" w:color="auto"/>
            </w:tcBorders>
            <w:shd w:val="clear" w:color="auto" w:fill="FFFFFF"/>
          </w:tcPr>
          <w:p w:rsidR="004B2144" w:rsidRPr="00F11870" w:rsidRDefault="00466B3F" w:rsidP="004B2144">
            <w:pPr>
              <w:pStyle w:val="Text"/>
              <w:spacing w:before="20" w:after="40"/>
              <w:jc w:val="center"/>
              <w:rPr>
                <w:color w:val="000000"/>
                <w:sz w:val="22"/>
                <w:szCs w:val="22"/>
              </w:rPr>
            </w:pPr>
            <w:r w:rsidRPr="00F11870">
              <w:rPr>
                <w:color w:val="000000"/>
                <w:sz w:val="22"/>
                <w:szCs w:val="22"/>
              </w:rPr>
              <w:t>20 (6.4%</w:t>
            </w:r>
            <w:r w:rsidR="004B2144" w:rsidRPr="00F11870">
              <w:rPr>
                <w:color w:val="000000"/>
                <w:sz w:val="22"/>
                <w:szCs w:val="22"/>
              </w:rPr>
              <w:t>)</w:t>
            </w:r>
          </w:p>
        </w:tc>
      </w:tr>
      <w:tr w:rsidR="00736FEA" w:rsidRPr="00F11870" w:rsidTr="00141F6A">
        <w:tc>
          <w:tcPr>
            <w:tcW w:w="3153" w:type="dxa"/>
            <w:tcBorders>
              <w:top w:val="nil"/>
              <w:left w:val="single" w:sz="4" w:space="0" w:color="auto"/>
              <w:bottom w:val="single" w:sz="4" w:space="0" w:color="auto"/>
              <w:right w:val="single" w:sz="4" w:space="0" w:color="auto"/>
            </w:tcBorders>
            <w:vAlign w:val="center"/>
          </w:tcPr>
          <w:p w:rsidR="004B2144" w:rsidRPr="00F11870" w:rsidRDefault="004B2144" w:rsidP="004B2144">
            <w:pPr>
              <w:spacing w:line="240" w:lineRule="auto"/>
              <w:rPr>
                <w:b/>
                <w:color w:val="000000"/>
                <w:sz w:val="22"/>
                <w:szCs w:val="22"/>
              </w:rPr>
            </w:pPr>
          </w:p>
        </w:tc>
        <w:tc>
          <w:tcPr>
            <w:tcW w:w="3154" w:type="dxa"/>
            <w:tcBorders>
              <w:top w:val="nil"/>
              <w:left w:val="single" w:sz="4" w:space="0" w:color="auto"/>
              <w:bottom w:val="single" w:sz="4" w:space="0" w:color="auto"/>
              <w:right w:val="single" w:sz="4" w:space="0" w:color="auto"/>
            </w:tcBorders>
            <w:shd w:val="clear" w:color="auto" w:fill="FFFFFF"/>
          </w:tcPr>
          <w:p w:rsidR="004B2144" w:rsidRPr="00F11870" w:rsidRDefault="004B2144" w:rsidP="004B2144">
            <w:pPr>
              <w:pStyle w:val="Text"/>
              <w:spacing w:before="20" w:after="40"/>
              <w:jc w:val="center"/>
              <w:rPr>
                <w:color w:val="000000"/>
                <w:sz w:val="22"/>
                <w:szCs w:val="22"/>
              </w:rPr>
            </w:pPr>
            <w:r w:rsidRPr="00F11870">
              <w:rPr>
                <w:color w:val="000000"/>
                <w:sz w:val="22"/>
                <w:szCs w:val="22"/>
              </w:rPr>
              <w:t>[4.3, 9.2]</w:t>
            </w:r>
          </w:p>
        </w:tc>
        <w:tc>
          <w:tcPr>
            <w:tcW w:w="3154" w:type="dxa"/>
            <w:tcBorders>
              <w:top w:val="nil"/>
              <w:left w:val="single" w:sz="4" w:space="0" w:color="auto"/>
              <w:bottom w:val="single" w:sz="4" w:space="0" w:color="auto"/>
              <w:right w:val="single" w:sz="4" w:space="0" w:color="auto"/>
            </w:tcBorders>
            <w:shd w:val="clear" w:color="auto" w:fill="FFFFFF"/>
          </w:tcPr>
          <w:p w:rsidR="004B2144" w:rsidRPr="00F11870" w:rsidRDefault="00466B3F" w:rsidP="00141F6A">
            <w:pPr>
              <w:pStyle w:val="Text"/>
              <w:spacing w:before="20" w:after="40"/>
              <w:jc w:val="center"/>
              <w:rPr>
                <w:color w:val="000000"/>
                <w:sz w:val="22"/>
                <w:szCs w:val="22"/>
              </w:rPr>
            </w:pPr>
            <w:r w:rsidRPr="00F11870">
              <w:rPr>
                <w:color w:val="000000"/>
                <w:sz w:val="22"/>
                <w:szCs w:val="22"/>
              </w:rPr>
              <w:t>[4.3, 9.1</w:t>
            </w:r>
            <w:r w:rsidR="004B2144" w:rsidRPr="00F11870">
              <w:rPr>
                <w:color w:val="000000"/>
                <w:sz w:val="22"/>
                <w:szCs w:val="22"/>
              </w:rPr>
              <w:t>]</w:t>
            </w:r>
          </w:p>
        </w:tc>
      </w:tr>
      <w:tr w:rsidR="00736FEA" w:rsidRPr="00F11870" w:rsidTr="00141F6A">
        <w:tc>
          <w:tcPr>
            <w:tcW w:w="3153" w:type="dxa"/>
            <w:tcBorders>
              <w:top w:val="single" w:sz="4" w:space="0" w:color="auto"/>
              <w:left w:val="single" w:sz="4" w:space="0" w:color="auto"/>
              <w:bottom w:val="nil"/>
              <w:right w:val="single" w:sz="4" w:space="0" w:color="auto"/>
            </w:tcBorders>
            <w:vAlign w:val="center"/>
          </w:tcPr>
          <w:p w:rsidR="004B2144" w:rsidRPr="00F11870" w:rsidRDefault="004B2144" w:rsidP="004B2144">
            <w:pPr>
              <w:spacing w:line="240" w:lineRule="auto"/>
              <w:rPr>
                <w:b/>
                <w:color w:val="000000"/>
                <w:sz w:val="22"/>
                <w:szCs w:val="22"/>
              </w:rPr>
            </w:pPr>
            <w:r w:rsidRPr="00F11870">
              <w:rPr>
                <w:b/>
                <w:color w:val="000000"/>
                <w:sz w:val="22"/>
                <w:szCs w:val="22"/>
              </w:rPr>
              <w:t>Progressive Disease</w:t>
            </w:r>
          </w:p>
        </w:tc>
        <w:tc>
          <w:tcPr>
            <w:tcW w:w="3154" w:type="dxa"/>
            <w:tcBorders>
              <w:top w:val="single" w:sz="4" w:space="0" w:color="auto"/>
              <w:left w:val="single" w:sz="4" w:space="0" w:color="auto"/>
              <w:bottom w:val="nil"/>
              <w:right w:val="single" w:sz="4" w:space="0" w:color="auto"/>
            </w:tcBorders>
            <w:shd w:val="clear" w:color="auto" w:fill="FFFFFF"/>
          </w:tcPr>
          <w:p w:rsidR="004B2144" w:rsidRPr="00F11870" w:rsidRDefault="004B2144" w:rsidP="004B2144">
            <w:pPr>
              <w:pStyle w:val="Text"/>
              <w:spacing w:before="20" w:after="40"/>
              <w:jc w:val="center"/>
              <w:rPr>
                <w:color w:val="000000"/>
                <w:sz w:val="22"/>
                <w:szCs w:val="22"/>
              </w:rPr>
            </w:pPr>
            <w:r w:rsidRPr="00F11870">
              <w:rPr>
                <w:color w:val="000000"/>
                <w:sz w:val="22"/>
                <w:szCs w:val="22"/>
              </w:rPr>
              <w:t>1 (0.3%)</w:t>
            </w:r>
          </w:p>
        </w:tc>
        <w:tc>
          <w:tcPr>
            <w:tcW w:w="3154" w:type="dxa"/>
            <w:tcBorders>
              <w:top w:val="single" w:sz="4" w:space="0" w:color="auto"/>
              <w:left w:val="single" w:sz="4" w:space="0" w:color="auto"/>
              <w:bottom w:val="nil"/>
              <w:right w:val="single" w:sz="4" w:space="0" w:color="auto"/>
            </w:tcBorders>
            <w:shd w:val="clear" w:color="auto" w:fill="FFFFFF"/>
          </w:tcPr>
          <w:p w:rsidR="004B2144" w:rsidRPr="00F11870" w:rsidRDefault="00466B3F" w:rsidP="004B2144">
            <w:pPr>
              <w:pStyle w:val="Text"/>
              <w:spacing w:before="20" w:after="40"/>
              <w:jc w:val="center"/>
              <w:rPr>
                <w:color w:val="000000"/>
                <w:sz w:val="22"/>
                <w:szCs w:val="22"/>
              </w:rPr>
            </w:pPr>
            <w:r w:rsidRPr="00F11870">
              <w:rPr>
                <w:color w:val="000000"/>
                <w:sz w:val="22"/>
                <w:szCs w:val="22"/>
              </w:rPr>
              <w:t>3</w:t>
            </w:r>
            <w:r w:rsidR="004B2144" w:rsidRPr="00F11870">
              <w:rPr>
                <w:color w:val="000000"/>
                <w:sz w:val="22"/>
                <w:szCs w:val="22"/>
              </w:rPr>
              <w:t xml:space="preserve"> (</w:t>
            </w:r>
            <w:r w:rsidRPr="00F11870">
              <w:rPr>
                <w:color w:val="000000"/>
                <w:sz w:val="22"/>
                <w:szCs w:val="22"/>
              </w:rPr>
              <w:t>1.0</w:t>
            </w:r>
            <w:r w:rsidR="004B2144" w:rsidRPr="00F11870">
              <w:rPr>
                <w:color w:val="000000"/>
                <w:sz w:val="22"/>
                <w:szCs w:val="22"/>
              </w:rPr>
              <w:t>%)</w:t>
            </w:r>
          </w:p>
        </w:tc>
      </w:tr>
      <w:tr w:rsidR="00736FEA" w:rsidRPr="00F11870" w:rsidTr="00141F6A">
        <w:tc>
          <w:tcPr>
            <w:tcW w:w="3153" w:type="dxa"/>
            <w:tcBorders>
              <w:top w:val="nil"/>
              <w:left w:val="single" w:sz="4" w:space="0" w:color="auto"/>
              <w:bottom w:val="single" w:sz="4" w:space="0" w:color="auto"/>
              <w:right w:val="single" w:sz="4" w:space="0" w:color="auto"/>
            </w:tcBorders>
            <w:vAlign w:val="center"/>
          </w:tcPr>
          <w:p w:rsidR="004B2144" w:rsidRPr="00F11870" w:rsidRDefault="004B2144" w:rsidP="004B2144">
            <w:pPr>
              <w:spacing w:line="240" w:lineRule="auto"/>
              <w:rPr>
                <w:b/>
                <w:color w:val="000000"/>
                <w:sz w:val="22"/>
                <w:szCs w:val="22"/>
              </w:rPr>
            </w:pPr>
          </w:p>
        </w:tc>
        <w:tc>
          <w:tcPr>
            <w:tcW w:w="3154" w:type="dxa"/>
            <w:tcBorders>
              <w:top w:val="nil"/>
              <w:left w:val="single" w:sz="4" w:space="0" w:color="auto"/>
              <w:bottom w:val="single" w:sz="4" w:space="0" w:color="auto"/>
              <w:right w:val="single" w:sz="4" w:space="0" w:color="auto"/>
            </w:tcBorders>
            <w:shd w:val="clear" w:color="auto" w:fill="FFFFFF"/>
          </w:tcPr>
          <w:p w:rsidR="004B2144" w:rsidRPr="00F11870" w:rsidRDefault="004B2144" w:rsidP="004B2144">
            <w:pPr>
              <w:pStyle w:val="Text"/>
              <w:spacing w:before="20" w:after="40"/>
              <w:jc w:val="center"/>
              <w:rPr>
                <w:color w:val="000000"/>
                <w:sz w:val="22"/>
                <w:szCs w:val="22"/>
              </w:rPr>
            </w:pPr>
            <w:r w:rsidRPr="00F11870">
              <w:rPr>
                <w:color w:val="000000"/>
                <w:sz w:val="22"/>
                <w:szCs w:val="22"/>
              </w:rPr>
              <w:t>[0.0, 1.5]</w:t>
            </w:r>
          </w:p>
        </w:tc>
        <w:tc>
          <w:tcPr>
            <w:tcW w:w="3154" w:type="dxa"/>
            <w:tcBorders>
              <w:top w:val="nil"/>
              <w:left w:val="single" w:sz="4" w:space="0" w:color="auto"/>
              <w:bottom w:val="single" w:sz="4" w:space="0" w:color="auto"/>
              <w:right w:val="single" w:sz="4" w:space="0" w:color="auto"/>
            </w:tcBorders>
            <w:shd w:val="clear" w:color="auto" w:fill="FFFFFF"/>
          </w:tcPr>
          <w:p w:rsidR="004B2144" w:rsidRPr="00F11870" w:rsidRDefault="004B2144" w:rsidP="00141F6A">
            <w:pPr>
              <w:pStyle w:val="Text"/>
              <w:spacing w:before="20" w:after="40"/>
              <w:jc w:val="center"/>
              <w:rPr>
                <w:color w:val="000000"/>
                <w:sz w:val="22"/>
                <w:szCs w:val="22"/>
              </w:rPr>
            </w:pPr>
            <w:r w:rsidRPr="00F11870">
              <w:rPr>
                <w:color w:val="000000"/>
                <w:sz w:val="22"/>
                <w:szCs w:val="22"/>
              </w:rPr>
              <w:t>[</w:t>
            </w:r>
            <w:r w:rsidR="00466B3F" w:rsidRPr="00F11870">
              <w:rPr>
                <w:color w:val="000000"/>
                <w:sz w:val="22"/>
                <w:szCs w:val="22"/>
              </w:rPr>
              <w:t>0.3, 2.5</w:t>
            </w:r>
            <w:r w:rsidRPr="00F11870">
              <w:rPr>
                <w:color w:val="000000"/>
                <w:sz w:val="22"/>
                <w:szCs w:val="22"/>
              </w:rPr>
              <w:t>]</w:t>
            </w:r>
          </w:p>
        </w:tc>
      </w:tr>
      <w:tr w:rsidR="00736FEA" w:rsidRPr="00F11870" w:rsidTr="00141F6A">
        <w:tc>
          <w:tcPr>
            <w:tcW w:w="3153" w:type="dxa"/>
            <w:tcBorders>
              <w:top w:val="single" w:sz="4" w:space="0" w:color="auto"/>
              <w:left w:val="single" w:sz="4" w:space="0" w:color="auto"/>
              <w:bottom w:val="single" w:sz="4" w:space="0" w:color="auto"/>
              <w:right w:val="single" w:sz="4" w:space="0" w:color="auto"/>
            </w:tcBorders>
            <w:vAlign w:val="center"/>
          </w:tcPr>
          <w:p w:rsidR="00466B3F" w:rsidRPr="00F11870" w:rsidRDefault="00466B3F" w:rsidP="004B2144">
            <w:pPr>
              <w:spacing w:line="240" w:lineRule="auto"/>
              <w:rPr>
                <w:b/>
                <w:color w:val="000000"/>
                <w:sz w:val="22"/>
                <w:szCs w:val="22"/>
              </w:rPr>
            </w:pPr>
            <w:r w:rsidRPr="00F11870">
              <w:rPr>
                <w:b/>
                <w:color w:val="000000"/>
                <w:sz w:val="22"/>
                <w:szCs w:val="22"/>
              </w:rPr>
              <w:t>Unknown/Missing</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466B3F" w:rsidRPr="00F11870" w:rsidRDefault="00466B3F" w:rsidP="004B2144">
            <w:pPr>
              <w:pStyle w:val="Text"/>
              <w:spacing w:before="20" w:after="40"/>
              <w:jc w:val="center"/>
              <w:rPr>
                <w:color w:val="000000"/>
                <w:sz w:val="22"/>
                <w:szCs w:val="22"/>
              </w:rPr>
            </w:pPr>
            <w:r w:rsidRPr="00F11870">
              <w:rPr>
                <w:color w:val="000000"/>
                <w:sz w:val="22"/>
                <w:szCs w:val="22"/>
              </w:rPr>
              <w:t>19 (6.1%)</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466B3F" w:rsidRPr="00F11870" w:rsidRDefault="00466B3F" w:rsidP="004B2144">
            <w:pPr>
              <w:pStyle w:val="Text"/>
              <w:spacing w:before="20" w:after="40"/>
              <w:jc w:val="center"/>
              <w:rPr>
                <w:color w:val="000000"/>
                <w:sz w:val="22"/>
                <w:szCs w:val="22"/>
              </w:rPr>
            </w:pPr>
            <w:r w:rsidRPr="00F11870">
              <w:rPr>
                <w:color w:val="000000"/>
                <w:sz w:val="22"/>
                <w:szCs w:val="22"/>
              </w:rPr>
              <w:t>16 (5.1%)</w:t>
            </w:r>
          </w:p>
        </w:tc>
      </w:tr>
    </w:tbl>
    <w:p w:rsidR="00466B3F" w:rsidRPr="00E3482E" w:rsidRDefault="00466B3F" w:rsidP="00F10B4B">
      <w:pPr>
        <w:pStyle w:val="Text"/>
        <w:keepNext/>
        <w:spacing w:before="60" w:line="22" w:lineRule="atLeast"/>
        <w:ind w:left="170" w:hanging="170"/>
        <w:rPr>
          <w:i/>
          <w:color w:val="000000"/>
          <w:sz w:val="20"/>
          <w:szCs w:val="20"/>
          <w:lang w:val="en-GB"/>
        </w:rPr>
      </w:pPr>
      <w:r w:rsidRPr="00E3482E">
        <w:rPr>
          <w:color w:val="000000"/>
          <w:vertAlign w:val="superscript"/>
          <w:lang w:val="en-GB"/>
        </w:rPr>
        <w:lastRenderedPageBreak/>
        <w:t>1</w:t>
      </w:r>
      <w:r w:rsidRPr="00E3482E">
        <w:rPr>
          <w:i/>
          <w:color w:val="000000"/>
          <w:sz w:val="20"/>
          <w:szCs w:val="20"/>
          <w:lang w:val="en-GB"/>
        </w:rPr>
        <w:t xml:space="preserve"> The 90% CIs of ORR are exact intervals derived using the </w:t>
      </w:r>
      <w:proofErr w:type="spellStart"/>
      <w:r w:rsidRPr="00E3482E">
        <w:rPr>
          <w:i/>
          <w:color w:val="000000"/>
          <w:sz w:val="20"/>
          <w:szCs w:val="20"/>
          <w:lang w:val="en-GB"/>
        </w:rPr>
        <w:t>Clopper</w:t>
      </w:r>
      <w:proofErr w:type="spellEnd"/>
      <w:r w:rsidRPr="00E3482E">
        <w:rPr>
          <w:i/>
          <w:color w:val="000000"/>
          <w:sz w:val="20"/>
          <w:szCs w:val="20"/>
          <w:lang w:val="en-GB"/>
        </w:rPr>
        <w:t xml:space="preserve">-Pearson formula. </w:t>
      </w:r>
    </w:p>
    <w:p w:rsidR="00E723F3" w:rsidRPr="00E3482E" w:rsidRDefault="00466B3F" w:rsidP="00F10B4B">
      <w:pPr>
        <w:pStyle w:val="Text"/>
        <w:keepNext/>
        <w:spacing w:before="0" w:line="22" w:lineRule="atLeast"/>
        <w:rPr>
          <w:i/>
          <w:color w:val="000000"/>
          <w:sz w:val="20"/>
          <w:szCs w:val="20"/>
          <w:lang w:val="it-IT"/>
        </w:rPr>
      </w:pPr>
      <w:r w:rsidRPr="00E3482E">
        <w:rPr>
          <w:i/>
          <w:color w:val="000000"/>
          <w:sz w:val="20"/>
          <w:szCs w:val="20"/>
          <w:lang w:val="it-IT"/>
        </w:rPr>
        <w:t xml:space="preserve">PPS = Per protocol set;  CI = confidence interval </w:t>
      </w:r>
    </w:p>
    <w:p w:rsidR="00A76A72" w:rsidRPr="003F1402" w:rsidRDefault="003F1402" w:rsidP="00E723F3">
      <w:pPr>
        <w:spacing w:before="200"/>
        <w:jc w:val="both"/>
        <w:rPr>
          <w:rStyle w:val="SubtleEmphasis"/>
          <w:i w:val="0"/>
          <w:color w:val="000000"/>
        </w:rPr>
      </w:pPr>
      <w:r>
        <w:rPr>
          <w:rStyle w:val="SubtleEmphasis"/>
          <w:i w:val="0"/>
          <w:color w:val="000000"/>
        </w:rPr>
        <w:t>This study was not powered to detect any difference across arms in the secondary endpoints PFS and OS. Based on a descriptive analysis using a December 2016 data cut-off date (with median follow-up about 24 months in each arm), the hazard ratio for PFS was 1</w:t>
      </w:r>
      <w:r w:rsidRPr="00D47286">
        <w:rPr>
          <w:rStyle w:val="SubtleEmphasis"/>
          <w:i w:val="0"/>
          <w:color w:val="000000"/>
        </w:rPr>
        <w:t>.31</w:t>
      </w:r>
      <w:r w:rsidR="00055B55" w:rsidRPr="00D47286">
        <w:rPr>
          <w:rStyle w:val="SubtleEmphasis"/>
          <w:i w:val="0"/>
          <w:color w:val="000000"/>
        </w:rPr>
        <w:t xml:space="preserve"> </w:t>
      </w:r>
      <w:r w:rsidR="00D47286" w:rsidRPr="00D47286">
        <w:rPr>
          <w:iCs/>
          <w:lang w:eastAsia="en-AU"/>
        </w:rPr>
        <w:t>(90% CI 1.02-1.69)</w:t>
      </w:r>
      <w:r w:rsidR="00055B55" w:rsidRPr="00D47286">
        <w:rPr>
          <w:rStyle w:val="SubtleEmphasis"/>
          <w:i w:val="0"/>
          <w:color w:val="000000"/>
        </w:rPr>
        <w:t>.</w:t>
      </w:r>
      <w:r>
        <w:rPr>
          <w:rStyle w:val="SubtleEmphasis"/>
          <w:i w:val="0"/>
          <w:color w:val="000000"/>
        </w:rPr>
        <w:t xml:space="preserve"> </w:t>
      </w:r>
      <w:r w:rsidR="00055B55">
        <w:rPr>
          <w:rStyle w:val="SubtleEmphasis"/>
          <w:i w:val="0"/>
          <w:color w:val="000000"/>
        </w:rPr>
        <w:t>M</w:t>
      </w:r>
      <w:r>
        <w:rPr>
          <w:rStyle w:val="SubtleEmphasis"/>
          <w:i w:val="0"/>
          <w:color w:val="000000"/>
        </w:rPr>
        <w:t>ore progression</w:t>
      </w:r>
      <w:r w:rsidR="00055B55">
        <w:rPr>
          <w:rStyle w:val="SubtleEmphasis"/>
          <w:i w:val="0"/>
          <w:color w:val="000000"/>
        </w:rPr>
        <w:t>-free survival events were recorded</w:t>
      </w:r>
      <w:r>
        <w:rPr>
          <w:rStyle w:val="SubtleEmphasis"/>
          <w:i w:val="0"/>
          <w:color w:val="000000"/>
        </w:rPr>
        <w:t xml:space="preserve"> in the RIXIMYO</w:t>
      </w:r>
      <w:r w:rsidRPr="003F1402">
        <w:rPr>
          <w:rStyle w:val="SubtleEmphasis"/>
          <w:i w:val="0"/>
          <w:color w:val="000000"/>
          <w:vertAlign w:val="superscript"/>
        </w:rPr>
        <w:t>®</w:t>
      </w:r>
      <w:r>
        <w:rPr>
          <w:rStyle w:val="SubtleEmphasis"/>
          <w:i w:val="0"/>
          <w:color w:val="000000"/>
        </w:rPr>
        <w:t xml:space="preserve"> arm than the reference arm. However, PFS outcomes were not mature at this time (e.g. median PFS had not been reached in either arm)</w:t>
      </w:r>
      <w:r w:rsidR="000C6CCE">
        <w:rPr>
          <w:rStyle w:val="SubtleEmphasis"/>
          <w:i w:val="0"/>
          <w:color w:val="000000"/>
        </w:rPr>
        <w:t>.</w:t>
      </w:r>
      <w:r>
        <w:rPr>
          <w:rStyle w:val="SubtleEmphasis"/>
          <w:i w:val="0"/>
          <w:color w:val="000000"/>
        </w:rPr>
        <w:t xml:space="preserve"> </w:t>
      </w:r>
      <w:r w:rsidR="000C6CCE">
        <w:rPr>
          <w:rStyle w:val="SubtleEmphasis"/>
          <w:i w:val="0"/>
          <w:color w:val="000000"/>
        </w:rPr>
        <w:t>F</w:t>
      </w:r>
      <w:r>
        <w:rPr>
          <w:rStyle w:val="SubtleEmphasis"/>
          <w:i w:val="0"/>
          <w:color w:val="000000"/>
        </w:rPr>
        <w:t>or both PFS and OS, it is expected outcomes will remain immature even at study end</w:t>
      </w:r>
      <w:r w:rsidR="000C6CCE">
        <w:rPr>
          <w:rStyle w:val="SubtleEmphasis"/>
          <w:i w:val="0"/>
          <w:color w:val="000000"/>
        </w:rPr>
        <w:t xml:space="preserve"> </w:t>
      </w:r>
      <w:r w:rsidR="000C6CCE" w:rsidRPr="007E52E0">
        <w:rPr>
          <w:rStyle w:val="SubtleEmphasis"/>
          <w:i w:val="0"/>
          <w:color w:val="000000"/>
        </w:rPr>
        <w:t>and should therefore be interpreted with caution</w:t>
      </w:r>
      <w:r w:rsidRPr="007E52E0">
        <w:rPr>
          <w:rStyle w:val="SubtleEmphasis"/>
          <w:i w:val="0"/>
          <w:color w:val="000000"/>
        </w:rPr>
        <w:t>.</w:t>
      </w:r>
    </w:p>
    <w:p w:rsidR="00E723F3" w:rsidRPr="00E3482E" w:rsidRDefault="00E723F3" w:rsidP="00E723F3">
      <w:pPr>
        <w:spacing w:before="200"/>
        <w:jc w:val="both"/>
        <w:rPr>
          <w:rStyle w:val="SubtleEmphasis"/>
          <w:color w:val="000000"/>
        </w:rPr>
      </w:pPr>
      <w:r w:rsidRPr="00E3482E">
        <w:rPr>
          <w:rStyle w:val="SubtleEmphasis"/>
          <w:color w:val="000000"/>
        </w:rPr>
        <w:t>Rheumatoid Arthritis</w:t>
      </w:r>
    </w:p>
    <w:p w:rsidR="00E723F3" w:rsidRPr="00E3482E" w:rsidRDefault="00E723F3" w:rsidP="00E723F3">
      <w:pPr>
        <w:spacing w:before="200"/>
        <w:jc w:val="both"/>
        <w:rPr>
          <w:color w:val="000000"/>
          <w:lang w:val="en-GB"/>
        </w:rPr>
      </w:pPr>
      <w:r w:rsidRPr="00E3482E">
        <w:rPr>
          <w:color w:val="000000"/>
          <w:lang w:val="en-GB"/>
        </w:rPr>
        <w:t xml:space="preserve">The efficacy and safety of </w:t>
      </w:r>
      <w:r w:rsidR="00982770">
        <w:rPr>
          <w:color w:val="000000"/>
          <w:lang w:val="en-GB"/>
        </w:rPr>
        <w:t>RIXIMYO</w:t>
      </w:r>
      <w:r w:rsidR="00982770" w:rsidRPr="00991E39">
        <w:rPr>
          <w:color w:val="000000"/>
          <w:vertAlign w:val="superscript"/>
          <w:lang w:val="en-GB"/>
        </w:rPr>
        <w:t>®</w:t>
      </w:r>
      <w:r w:rsidR="00BE5199" w:rsidRPr="00E3482E">
        <w:rPr>
          <w:color w:val="000000"/>
          <w:lang w:val="en-GB"/>
        </w:rPr>
        <w:t xml:space="preserve"> has been</w:t>
      </w:r>
      <w:r w:rsidR="00466B3F" w:rsidRPr="00E3482E">
        <w:rPr>
          <w:color w:val="000000"/>
          <w:lang w:val="en-GB"/>
        </w:rPr>
        <w:t xml:space="preserve"> </w:t>
      </w:r>
      <w:r w:rsidRPr="00E3482E">
        <w:rPr>
          <w:color w:val="000000"/>
          <w:lang w:val="en-GB"/>
        </w:rPr>
        <w:t>demonstrated</w:t>
      </w:r>
      <w:r w:rsidR="00C51C29" w:rsidRPr="00E3482E">
        <w:rPr>
          <w:color w:val="000000"/>
          <w:lang w:val="en-GB"/>
        </w:rPr>
        <w:t xml:space="preserve">, and therapeutic </w:t>
      </w:r>
      <w:r w:rsidR="00CB30A0">
        <w:rPr>
          <w:color w:val="000000"/>
          <w:lang w:val="en-GB"/>
        </w:rPr>
        <w:t>similarity</w:t>
      </w:r>
      <w:r w:rsidR="00C51C29" w:rsidRPr="00E3482E">
        <w:rPr>
          <w:color w:val="000000"/>
          <w:lang w:val="en-GB"/>
        </w:rPr>
        <w:t xml:space="preserve"> demonstrated,</w:t>
      </w:r>
      <w:r w:rsidRPr="00E3482E">
        <w:rPr>
          <w:color w:val="000000"/>
          <w:lang w:val="en-GB"/>
        </w:rPr>
        <w:t xml:space="preserve"> in a randomized, double-blind clinical study (GP13-201) in patients with active rheumatoid arthritis</w:t>
      </w:r>
      <w:r w:rsidR="00B161DD">
        <w:rPr>
          <w:color w:val="000000"/>
          <w:lang w:val="en-GB"/>
        </w:rPr>
        <w:t xml:space="preserve"> </w:t>
      </w:r>
      <w:r w:rsidR="00B161DD">
        <w:t>concomitant</w:t>
      </w:r>
      <w:r w:rsidR="00A82C57">
        <w:t>ly treated</w:t>
      </w:r>
      <w:r w:rsidR="00B161DD">
        <w:t xml:space="preserve"> with MTX</w:t>
      </w:r>
      <w:r w:rsidR="00E148CF" w:rsidRPr="00E3482E">
        <w:rPr>
          <w:color w:val="000000"/>
          <w:lang w:val="en-GB"/>
        </w:rPr>
        <w:t>.</w:t>
      </w:r>
      <w:r w:rsidRPr="00E3482E">
        <w:rPr>
          <w:color w:val="000000"/>
          <w:lang w:val="en-GB"/>
        </w:rPr>
        <w:t xml:space="preserve"> </w:t>
      </w:r>
      <w:r w:rsidR="001472E8">
        <w:rPr>
          <w:color w:val="000000"/>
          <w:lang w:val="en-GB"/>
        </w:rPr>
        <w:t>The study was c</w:t>
      </w:r>
      <w:r w:rsidR="00C51C29" w:rsidRPr="00E3482E">
        <w:rPr>
          <w:color w:val="000000"/>
          <w:lang w:val="en-GB"/>
        </w:rPr>
        <w:t xml:space="preserve">onducted </w:t>
      </w:r>
      <w:r w:rsidRPr="00E3482E">
        <w:rPr>
          <w:color w:val="000000"/>
          <w:lang w:val="en-GB"/>
        </w:rPr>
        <w:t xml:space="preserve">in 173 patients treated with either </w:t>
      </w:r>
      <w:r w:rsidR="00982770">
        <w:rPr>
          <w:color w:val="000000"/>
          <w:lang w:val="en-GB"/>
        </w:rPr>
        <w:t>RIXIMYO</w:t>
      </w:r>
      <w:r w:rsidR="00982770" w:rsidRPr="00991E39">
        <w:rPr>
          <w:color w:val="000000"/>
          <w:vertAlign w:val="superscript"/>
          <w:lang w:val="en-GB"/>
        </w:rPr>
        <w:t>®</w:t>
      </w:r>
      <w:r w:rsidR="00466B3F" w:rsidRPr="00E3482E">
        <w:rPr>
          <w:color w:val="000000"/>
          <w:lang w:val="en-GB"/>
        </w:rPr>
        <w:t xml:space="preserve"> </w:t>
      </w:r>
      <w:r w:rsidRPr="00E3482E">
        <w:rPr>
          <w:color w:val="000000"/>
          <w:lang w:val="en-GB"/>
        </w:rPr>
        <w:t xml:space="preserve">or </w:t>
      </w:r>
      <w:r w:rsidR="00991E39" w:rsidRPr="00E3482E">
        <w:rPr>
          <w:color w:val="000000"/>
        </w:rPr>
        <w:t xml:space="preserve">the reference </w:t>
      </w:r>
      <w:proofErr w:type="gramStart"/>
      <w:r w:rsidR="00991E39" w:rsidRPr="00E3482E">
        <w:rPr>
          <w:color w:val="000000"/>
        </w:rPr>
        <w:t>medicine</w:t>
      </w:r>
      <w:r w:rsidR="00991E39">
        <w:rPr>
          <w:color w:val="000000"/>
        </w:rPr>
        <w:t>,</w:t>
      </w:r>
      <w:proofErr w:type="gramEnd"/>
      <w:r w:rsidR="00991E39" w:rsidRPr="00E3482E">
        <w:rPr>
          <w:color w:val="000000"/>
        </w:rPr>
        <w:t xml:space="preserve"> </w:t>
      </w:r>
      <w:r w:rsidRPr="00E3482E">
        <w:rPr>
          <w:color w:val="000000"/>
          <w:lang w:val="en-GB"/>
        </w:rPr>
        <w:t xml:space="preserve">the main efficacy endpoint was </w:t>
      </w:r>
      <w:r w:rsidR="00C51C29" w:rsidRPr="00E3482E">
        <w:rPr>
          <w:color w:val="000000"/>
          <w:lang w:val="en-GB"/>
        </w:rPr>
        <w:t xml:space="preserve">the </w:t>
      </w:r>
      <w:r w:rsidRPr="00E3482E">
        <w:rPr>
          <w:color w:val="000000"/>
          <w:lang w:val="en-GB"/>
        </w:rPr>
        <w:t>change from baseline in DAS28 (CRP)</w:t>
      </w:r>
      <w:r w:rsidR="00E148CF" w:rsidRPr="00E3482E">
        <w:rPr>
          <w:color w:val="000000"/>
          <w:lang w:val="en-GB"/>
        </w:rPr>
        <w:t xml:space="preserve"> disease activity score</w:t>
      </w:r>
      <w:r w:rsidRPr="00E3482E">
        <w:rPr>
          <w:color w:val="000000"/>
          <w:lang w:val="en-GB"/>
        </w:rPr>
        <w:t xml:space="preserve"> at Week 24</w:t>
      </w:r>
      <w:r w:rsidR="00E148CF" w:rsidRPr="00E3482E">
        <w:rPr>
          <w:color w:val="000000"/>
          <w:lang w:val="en-GB"/>
        </w:rPr>
        <w:t>. The mean change was nearly identical between the two treatment groups</w:t>
      </w:r>
      <w:r w:rsidRPr="00E3482E">
        <w:rPr>
          <w:color w:val="000000"/>
          <w:lang w:val="en-GB"/>
        </w:rPr>
        <w:t xml:space="preserve"> (</w:t>
      </w:r>
      <w:r w:rsidR="00BE5199" w:rsidRPr="00E3482E">
        <w:rPr>
          <w:color w:val="000000"/>
          <w:lang w:val="en-GB"/>
        </w:rPr>
        <w:t xml:space="preserve">see </w:t>
      </w:r>
      <w:r w:rsidRPr="00E3482E">
        <w:rPr>
          <w:color w:val="000000"/>
          <w:lang w:val="en-GB"/>
        </w:rPr>
        <w:t>Table 1</w:t>
      </w:r>
      <w:r w:rsidR="00EC294E" w:rsidRPr="00E3482E">
        <w:rPr>
          <w:color w:val="000000"/>
          <w:lang w:val="en-GB"/>
        </w:rPr>
        <w:t>7</w:t>
      </w:r>
      <w:r w:rsidRPr="00E3482E">
        <w:rPr>
          <w:color w:val="000000"/>
          <w:lang w:val="en-GB"/>
        </w:rPr>
        <w:t>).</w:t>
      </w:r>
    </w:p>
    <w:p w:rsidR="00E723F3" w:rsidRPr="00F11870" w:rsidRDefault="00E723F3" w:rsidP="00E723F3">
      <w:pPr>
        <w:pStyle w:val="Tabletitle"/>
        <w:keepNext/>
        <w:spacing w:before="200" w:line="280" w:lineRule="atLeast"/>
        <w:ind w:left="1021" w:right="-57" w:hanging="1021"/>
        <w:rPr>
          <w:color w:val="000000"/>
          <w:sz w:val="23"/>
          <w:szCs w:val="23"/>
        </w:rPr>
      </w:pPr>
      <w:r w:rsidRPr="00F11870">
        <w:rPr>
          <w:color w:val="000000"/>
          <w:sz w:val="23"/>
          <w:szCs w:val="23"/>
        </w:rPr>
        <w:t>Table 1</w:t>
      </w:r>
      <w:r w:rsidR="00EC294E" w:rsidRPr="00F11870">
        <w:rPr>
          <w:color w:val="000000"/>
          <w:sz w:val="23"/>
          <w:szCs w:val="23"/>
        </w:rPr>
        <w:t>7</w:t>
      </w:r>
      <w:r w:rsidRPr="00F11870">
        <w:rPr>
          <w:color w:val="000000"/>
          <w:sz w:val="23"/>
          <w:szCs w:val="23"/>
        </w:rPr>
        <w:t>:</w:t>
      </w:r>
      <w:r w:rsidRPr="00F11870">
        <w:rPr>
          <w:color w:val="000000"/>
          <w:sz w:val="23"/>
          <w:szCs w:val="23"/>
        </w:rPr>
        <w:tab/>
        <w:t xml:space="preserve">Change from baseline in DAS28 (CRP) at Week 24: Comparison between </w:t>
      </w:r>
      <w:r w:rsidR="00982770" w:rsidRPr="00F11870">
        <w:rPr>
          <w:color w:val="000000"/>
          <w:sz w:val="23"/>
          <w:szCs w:val="23"/>
        </w:rPr>
        <w:t>RIXIMYO</w:t>
      </w:r>
      <w:r w:rsidR="00982770" w:rsidRPr="00F11870">
        <w:rPr>
          <w:color w:val="000000"/>
          <w:sz w:val="23"/>
          <w:szCs w:val="23"/>
          <w:vertAlign w:val="superscript"/>
        </w:rPr>
        <w:t>®</w:t>
      </w:r>
      <w:r w:rsidRPr="00F11870">
        <w:rPr>
          <w:color w:val="000000"/>
          <w:sz w:val="23"/>
          <w:szCs w:val="23"/>
        </w:rPr>
        <w:t xml:space="preserve"> and </w:t>
      </w:r>
      <w:r w:rsidR="00991E39" w:rsidRPr="00F11870">
        <w:rPr>
          <w:color w:val="000000"/>
          <w:sz w:val="23"/>
          <w:szCs w:val="23"/>
        </w:rPr>
        <w:t xml:space="preserve">the </w:t>
      </w:r>
      <w:r w:rsidR="00907287">
        <w:rPr>
          <w:color w:val="000000"/>
          <w:sz w:val="23"/>
          <w:szCs w:val="23"/>
        </w:rPr>
        <w:t>r</w:t>
      </w:r>
      <w:r w:rsidR="00141F6A" w:rsidRPr="00F11870">
        <w:rPr>
          <w:color w:val="000000"/>
          <w:sz w:val="23"/>
          <w:szCs w:val="23"/>
        </w:rPr>
        <w:t xml:space="preserve">eference </w:t>
      </w:r>
      <w:r w:rsidR="00907287">
        <w:rPr>
          <w:color w:val="000000"/>
          <w:sz w:val="23"/>
          <w:szCs w:val="23"/>
        </w:rPr>
        <w:t>m</w:t>
      </w:r>
      <w:r w:rsidR="00141F6A" w:rsidRPr="00F11870">
        <w:rPr>
          <w:color w:val="000000"/>
          <w:sz w:val="23"/>
          <w:szCs w:val="23"/>
        </w:rPr>
        <w:t xml:space="preserve">edicine </w:t>
      </w:r>
      <w:r w:rsidRPr="00F11870">
        <w:rPr>
          <w:color w:val="000000"/>
          <w:sz w:val="23"/>
          <w:szCs w:val="23"/>
        </w:rPr>
        <w:t>using repeated measures mixed model (PP Analysis Set)</w:t>
      </w:r>
    </w:p>
    <w:tbl>
      <w:tblPr>
        <w:tblW w:w="94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0"/>
        <w:gridCol w:w="2129"/>
        <w:gridCol w:w="2127"/>
        <w:gridCol w:w="2269"/>
      </w:tblGrid>
      <w:tr w:rsidR="00E723F3" w:rsidRPr="00F11870" w:rsidTr="00141F6A">
        <w:tc>
          <w:tcPr>
            <w:tcW w:w="2940"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60" w:after="60" w:line="256" w:lineRule="auto"/>
              <w:jc w:val="left"/>
              <w:rPr>
                <w:b/>
                <w:color w:val="000000"/>
                <w:sz w:val="22"/>
                <w:szCs w:val="22"/>
              </w:rPr>
            </w:pPr>
            <w:r w:rsidRPr="00F11870">
              <w:rPr>
                <w:b/>
                <w:color w:val="000000"/>
                <w:sz w:val="22"/>
                <w:szCs w:val="22"/>
              </w:rPr>
              <w:t>Treatment group</w:t>
            </w:r>
          </w:p>
        </w:tc>
        <w:tc>
          <w:tcPr>
            <w:tcW w:w="2129"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60" w:line="256" w:lineRule="auto"/>
              <w:jc w:val="center"/>
              <w:rPr>
                <w:b/>
                <w:color w:val="000000"/>
                <w:sz w:val="22"/>
                <w:szCs w:val="22"/>
              </w:rPr>
            </w:pPr>
            <w:r w:rsidRPr="00F11870">
              <w:rPr>
                <w:b/>
                <w:color w:val="000000"/>
                <w:sz w:val="22"/>
                <w:szCs w:val="22"/>
              </w:rPr>
              <w:t xml:space="preserve">LS Mean </w:t>
            </w:r>
            <w:r w:rsidRPr="00F11870">
              <w:rPr>
                <w:color w:val="000000"/>
                <w:sz w:val="22"/>
                <w:szCs w:val="22"/>
                <w:vertAlign w:val="superscript"/>
              </w:rPr>
              <w:t>1</w:t>
            </w:r>
          </w:p>
          <w:p w:rsidR="00E723F3" w:rsidRPr="00F11870" w:rsidRDefault="00E723F3">
            <w:pPr>
              <w:pStyle w:val="Text"/>
              <w:spacing w:before="0" w:line="256" w:lineRule="auto"/>
              <w:jc w:val="center"/>
              <w:rPr>
                <w:color w:val="000000"/>
                <w:sz w:val="22"/>
                <w:szCs w:val="22"/>
              </w:rPr>
            </w:pPr>
            <w:r w:rsidRPr="00F11870">
              <w:rPr>
                <w:color w:val="000000"/>
                <w:sz w:val="22"/>
                <w:szCs w:val="22"/>
              </w:rPr>
              <w:t>(standard error)</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60" w:line="256" w:lineRule="auto"/>
              <w:jc w:val="center"/>
              <w:rPr>
                <w:b/>
                <w:color w:val="000000"/>
                <w:sz w:val="22"/>
                <w:szCs w:val="22"/>
              </w:rPr>
            </w:pPr>
            <w:r w:rsidRPr="00F11870">
              <w:rPr>
                <w:b/>
                <w:color w:val="000000"/>
                <w:sz w:val="22"/>
                <w:szCs w:val="22"/>
              </w:rPr>
              <w:t>LS Mean difference</w:t>
            </w:r>
          </w:p>
          <w:p w:rsidR="00E723F3" w:rsidRPr="00F11870" w:rsidRDefault="00E723F3">
            <w:pPr>
              <w:pStyle w:val="Text"/>
              <w:spacing w:before="0" w:line="256" w:lineRule="auto"/>
              <w:jc w:val="center"/>
              <w:rPr>
                <w:color w:val="000000"/>
                <w:sz w:val="22"/>
                <w:szCs w:val="22"/>
              </w:rPr>
            </w:pPr>
            <w:r w:rsidRPr="00F11870">
              <w:rPr>
                <w:color w:val="000000"/>
                <w:sz w:val="22"/>
                <w:szCs w:val="22"/>
              </w:rPr>
              <w:t>(standard error)</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60" w:line="256" w:lineRule="auto"/>
              <w:jc w:val="center"/>
              <w:rPr>
                <w:b/>
                <w:color w:val="000000"/>
                <w:sz w:val="22"/>
                <w:szCs w:val="22"/>
              </w:rPr>
            </w:pPr>
            <w:r w:rsidRPr="00F11870">
              <w:rPr>
                <w:b/>
                <w:color w:val="000000"/>
                <w:sz w:val="22"/>
                <w:szCs w:val="22"/>
              </w:rPr>
              <w:t>95% CI of difference</w:t>
            </w:r>
          </w:p>
        </w:tc>
      </w:tr>
      <w:tr w:rsidR="00E723F3" w:rsidRPr="00F11870" w:rsidTr="00141F6A">
        <w:tc>
          <w:tcPr>
            <w:tcW w:w="2940"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982770">
            <w:pPr>
              <w:pStyle w:val="Text"/>
              <w:spacing w:before="60" w:after="60" w:line="256" w:lineRule="auto"/>
              <w:jc w:val="left"/>
              <w:rPr>
                <w:color w:val="000000"/>
                <w:sz w:val="22"/>
                <w:szCs w:val="22"/>
              </w:rPr>
            </w:pPr>
            <w:r w:rsidRPr="00F11870">
              <w:rPr>
                <w:b/>
                <w:color w:val="000000"/>
                <w:sz w:val="22"/>
                <w:szCs w:val="22"/>
              </w:rPr>
              <w:t>RIXIMYO</w:t>
            </w:r>
            <w:r w:rsidRPr="00F11870">
              <w:rPr>
                <w:b/>
                <w:color w:val="000000"/>
                <w:sz w:val="22"/>
                <w:szCs w:val="22"/>
                <w:vertAlign w:val="superscript"/>
              </w:rPr>
              <w:t>®</w:t>
            </w:r>
            <w:r w:rsidR="00E723F3" w:rsidRPr="00F11870">
              <w:rPr>
                <w:b/>
                <w:color w:val="000000"/>
                <w:sz w:val="22"/>
                <w:szCs w:val="22"/>
              </w:rPr>
              <w:t xml:space="preserve"> </w:t>
            </w:r>
            <w:r w:rsidR="00E723F3" w:rsidRPr="00F11870">
              <w:rPr>
                <w:color w:val="000000"/>
                <w:sz w:val="22"/>
                <w:szCs w:val="22"/>
              </w:rPr>
              <w:t>(N=85)</w:t>
            </w:r>
          </w:p>
        </w:tc>
        <w:tc>
          <w:tcPr>
            <w:tcW w:w="2129"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-2.16 (0.142)</w:t>
            </w:r>
          </w:p>
        </w:tc>
        <w:tc>
          <w:tcPr>
            <w:tcW w:w="2127" w:type="dxa"/>
            <w:tcBorders>
              <w:top w:val="single" w:sz="4" w:space="0" w:color="auto"/>
              <w:left w:val="single" w:sz="4" w:space="0" w:color="auto"/>
              <w:bottom w:val="nil"/>
              <w:right w:val="single" w:sz="4" w:space="0" w:color="auto"/>
            </w:tcBorders>
            <w:shd w:val="clear" w:color="auto" w:fill="FFFFFF"/>
            <w:hideMark/>
          </w:tcPr>
          <w:p w:rsidR="00E723F3" w:rsidRPr="00F11870" w:rsidRDefault="00E723F3">
            <w:pPr>
              <w:pStyle w:val="Text"/>
              <w:spacing w:before="60"/>
              <w:jc w:val="center"/>
              <w:rPr>
                <w:color w:val="000000"/>
                <w:sz w:val="22"/>
                <w:szCs w:val="22"/>
              </w:rPr>
            </w:pPr>
            <w:r w:rsidRPr="00F11870">
              <w:rPr>
                <w:color w:val="000000"/>
                <w:sz w:val="22"/>
                <w:szCs w:val="22"/>
              </w:rPr>
              <w:t>0.07 (0.201)</w:t>
            </w:r>
          </w:p>
        </w:tc>
        <w:tc>
          <w:tcPr>
            <w:tcW w:w="2269" w:type="dxa"/>
            <w:tcBorders>
              <w:top w:val="single" w:sz="4" w:space="0" w:color="auto"/>
              <w:left w:val="single" w:sz="4" w:space="0" w:color="auto"/>
              <w:bottom w:val="nil"/>
              <w:right w:val="single" w:sz="4" w:space="0" w:color="auto"/>
            </w:tcBorders>
            <w:shd w:val="clear" w:color="auto" w:fill="FFFFFF"/>
            <w:hideMark/>
          </w:tcPr>
          <w:p w:rsidR="00E723F3" w:rsidRPr="00F11870" w:rsidRDefault="00E723F3">
            <w:pPr>
              <w:pStyle w:val="Text"/>
              <w:spacing w:before="60"/>
              <w:jc w:val="center"/>
              <w:rPr>
                <w:color w:val="000000"/>
                <w:sz w:val="22"/>
                <w:szCs w:val="22"/>
              </w:rPr>
            </w:pPr>
            <w:r w:rsidRPr="00F11870">
              <w:rPr>
                <w:color w:val="000000"/>
                <w:sz w:val="22"/>
                <w:szCs w:val="22"/>
              </w:rPr>
              <w:t>[-0.328, 0.462]</w:t>
            </w:r>
            <w:r w:rsidRPr="00F11870">
              <w:rPr>
                <w:b/>
                <w:color w:val="000000"/>
                <w:sz w:val="22"/>
                <w:szCs w:val="22"/>
              </w:rPr>
              <w:t xml:space="preserve"> </w:t>
            </w:r>
            <w:r w:rsidRPr="00F11870">
              <w:rPr>
                <w:color w:val="000000"/>
                <w:sz w:val="22"/>
                <w:szCs w:val="22"/>
                <w:vertAlign w:val="superscript"/>
              </w:rPr>
              <w:t>2</w:t>
            </w:r>
          </w:p>
        </w:tc>
      </w:tr>
      <w:tr w:rsidR="00E723F3" w:rsidRPr="00F11870" w:rsidTr="00141F6A">
        <w:tc>
          <w:tcPr>
            <w:tcW w:w="2940"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991E39">
            <w:pPr>
              <w:pStyle w:val="Text"/>
              <w:spacing w:before="60" w:after="60" w:line="256" w:lineRule="auto"/>
              <w:jc w:val="left"/>
              <w:rPr>
                <w:color w:val="000000"/>
                <w:sz w:val="22"/>
                <w:szCs w:val="22"/>
              </w:rPr>
            </w:pPr>
            <w:r w:rsidRPr="00F11870">
              <w:rPr>
                <w:b/>
                <w:color w:val="000000"/>
                <w:sz w:val="22"/>
                <w:szCs w:val="22"/>
                <w:lang w:val="en-GB"/>
              </w:rPr>
              <w:t>R</w:t>
            </w:r>
            <w:proofErr w:type="spellStart"/>
            <w:r w:rsidRPr="00F11870">
              <w:rPr>
                <w:b/>
                <w:color w:val="000000"/>
                <w:sz w:val="22"/>
                <w:szCs w:val="22"/>
              </w:rPr>
              <w:t>eference</w:t>
            </w:r>
            <w:proofErr w:type="spellEnd"/>
            <w:r w:rsidRPr="00F11870">
              <w:rPr>
                <w:b/>
                <w:color w:val="000000"/>
                <w:sz w:val="22"/>
                <w:szCs w:val="22"/>
              </w:rPr>
              <w:t xml:space="preserve"> Medicine</w:t>
            </w:r>
            <w:r w:rsidR="00E723F3" w:rsidRPr="00F11870">
              <w:rPr>
                <w:b/>
                <w:color w:val="000000"/>
                <w:sz w:val="22"/>
                <w:szCs w:val="22"/>
              </w:rPr>
              <w:t xml:space="preserve"> </w:t>
            </w:r>
            <w:r w:rsidR="00E723F3" w:rsidRPr="00F11870">
              <w:rPr>
                <w:color w:val="000000"/>
                <w:sz w:val="22"/>
                <w:szCs w:val="22"/>
              </w:rPr>
              <w:t>(N=82)</w:t>
            </w:r>
          </w:p>
        </w:tc>
        <w:tc>
          <w:tcPr>
            <w:tcW w:w="2129" w:type="dxa"/>
            <w:tcBorders>
              <w:top w:val="single" w:sz="4" w:space="0" w:color="auto"/>
              <w:left w:val="single" w:sz="4" w:space="0" w:color="auto"/>
              <w:bottom w:val="single" w:sz="4" w:space="0" w:color="auto"/>
              <w:right w:val="single" w:sz="4" w:space="0" w:color="auto"/>
            </w:tcBorders>
            <w:shd w:val="clear" w:color="auto" w:fill="FFFFFF"/>
            <w:hideMark/>
          </w:tcPr>
          <w:p w:rsidR="00E723F3" w:rsidRPr="00F11870" w:rsidRDefault="00E723F3">
            <w:pPr>
              <w:pStyle w:val="Text"/>
              <w:spacing w:before="20" w:after="40"/>
              <w:jc w:val="center"/>
              <w:rPr>
                <w:color w:val="000000"/>
                <w:sz w:val="22"/>
                <w:szCs w:val="22"/>
              </w:rPr>
            </w:pPr>
            <w:r w:rsidRPr="00F11870">
              <w:rPr>
                <w:color w:val="000000"/>
                <w:sz w:val="22"/>
                <w:szCs w:val="22"/>
              </w:rPr>
              <w:t>-2.23 (0.143)</w:t>
            </w:r>
          </w:p>
        </w:tc>
        <w:tc>
          <w:tcPr>
            <w:tcW w:w="2127" w:type="dxa"/>
            <w:tcBorders>
              <w:top w:val="nil"/>
              <w:left w:val="single" w:sz="4" w:space="0" w:color="auto"/>
              <w:bottom w:val="single" w:sz="4" w:space="0" w:color="auto"/>
              <w:right w:val="single" w:sz="4" w:space="0" w:color="auto"/>
            </w:tcBorders>
            <w:shd w:val="clear" w:color="auto" w:fill="FFFFFF"/>
          </w:tcPr>
          <w:p w:rsidR="00E723F3" w:rsidRPr="00F11870" w:rsidRDefault="00E723F3">
            <w:pPr>
              <w:pStyle w:val="Text"/>
              <w:spacing w:before="20" w:after="40"/>
              <w:jc w:val="center"/>
              <w:rPr>
                <w:color w:val="000000"/>
                <w:sz w:val="22"/>
                <w:szCs w:val="22"/>
              </w:rPr>
            </w:pPr>
          </w:p>
        </w:tc>
        <w:tc>
          <w:tcPr>
            <w:tcW w:w="2269" w:type="dxa"/>
            <w:tcBorders>
              <w:top w:val="nil"/>
              <w:left w:val="single" w:sz="4" w:space="0" w:color="auto"/>
              <w:bottom w:val="single" w:sz="4" w:space="0" w:color="auto"/>
              <w:right w:val="single" w:sz="4" w:space="0" w:color="auto"/>
            </w:tcBorders>
            <w:shd w:val="clear" w:color="auto" w:fill="FFFFFF"/>
          </w:tcPr>
          <w:p w:rsidR="00E723F3" w:rsidRPr="00F11870" w:rsidRDefault="00E723F3">
            <w:pPr>
              <w:pStyle w:val="Text"/>
              <w:spacing w:before="20" w:after="40"/>
              <w:jc w:val="center"/>
              <w:rPr>
                <w:color w:val="000000"/>
                <w:sz w:val="22"/>
                <w:szCs w:val="22"/>
              </w:rPr>
            </w:pPr>
          </w:p>
        </w:tc>
      </w:tr>
    </w:tbl>
    <w:p w:rsidR="00E723F3" w:rsidRPr="00E3482E" w:rsidRDefault="00E723F3" w:rsidP="00E723F3">
      <w:pPr>
        <w:pStyle w:val="Text"/>
        <w:keepNext/>
        <w:spacing w:before="60" w:line="22" w:lineRule="atLeast"/>
        <w:rPr>
          <w:i/>
          <w:color w:val="000000"/>
          <w:sz w:val="20"/>
          <w:szCs w:val="20"/>
          <w:lang w:val="en-GB"/>
        </w:rPr>
      </w:pPr>
      <w:r w:rsidRPr="00E3482E">
        <w:rPr>
          <w:i/>
          <w:color w:val="000000"/>
          <w:sz w:val="20"/>
          <w:szCs w:val="20"/>
          <w:lang w:val="en-GB"/>
        </w:rPr>
        <w:t xml:space="preserve">DAS28 = Disease activity score; CRP = C-reactive protein; LS = Least squares; PP = </w:t>
      </w:r>
      <w:proofErr w:type="gramStart"/>
      <w:r w:rsidRPr="00E3482E">
        <w:rPr>
          <w:i/>
          <w:color w:val="000000"/>
          <w:sz w:val="20"/>
          <w:szCs w:val="20"/>
          <w:lang w:val="en-GB"/>
        </w:rPr>
        <w:t>Per</w:t>
      </w:r>
      <w:proofErr w:type="gramEnd"/>
      <w:r w:rsidRPr="00E3482E">
        <w:rPr>
          <w:i/>
          <w:color w:val="000000"/>
          <w:sz w:val="20"/>
          <w:szCs w:val="20"/>
          <w:lang w:val="en-GB"/>
        </w:rPr>
        <w:t xml:space="preserve"> protocol; CI = confidence interval </w:t>
      </w:r>
    </w:p>
    <w:p w:rsidR="00E723F3" w:rsidRPr="00E3482E" w:rsidRDefault="00E723F3" w:rsidP="00E723F3">
      <w:pPr>
        <w:pStyle w:val="Text"/>
        <w:keepNext/>
        <w:spacing w:before="60" w:line="22" w:lineRule="atLeast"/>
        <w:rPr>
          <w:i/>
          <w:color w:val="000000"/>
          <w:sz w:val="20"/>
          <w:szCs w:val="20"/>
          <w:lang w:val="en-GB"/>
        </w:rPr>
      </w:pPr>
      <w:r w:rsidRPr="00E3482E">
        <w:rPr>
          <w:i/>
          <w:color w:val="000000"/>
          <w:vertAlign w:val="superscript"/>
          <w:lang w:val="en-GB"/>
        </w:rPr>
        <w:t>1</w:t>
      </w:r>
      <w:r w:rsidRPr="00E3482E">
        <w:rPr>
          <w:i/>
          <w:color w:val="000000"/>
          <w:sz w:val="20"/>
          <w:szCs w:val="20"/>
          <w:lang w:val="en-GB"/>
        </w:rPr>
        <w:t xml:space="preserve"> A negative change from baseline represents an improvement in RA assessment. </w:t>
      </w:r>
    </w:p>
    <w:p w:rsidR="00E723F3" w:rsidRPr="00E3482E" w:rsidRDefault="00E723F3" w:rsidP="00E723F3">
      <w:pPr>
        <w:pStyle w:val="Text"/>
        <w:keepNext/>
        <w:spacing w:before="60" w:line="22" w:lineRule="atLeast"/>
        <w:rPr>
          <w:i/>
          <w:color w:val="000000"/>
          <w:sz w:val="20"/>
          <w:szCs w:val="20"/>
          <w:lang w:val="en-GB"/>
        </w:rPr>
      </w:pPr>
      <w:r w:rsidRPr="00E3482E">
        <w:rPr>
          <w:i/>
          <w:color w:val="000000"/>
          <w:vertAlign w:val="superscript"/>
          <w:lang w:val="en-GB"/>
        </w:rPr>
        <w:t>2</w:t>
      </w:r>
      <w:r w:rsidRPr="00E3482E">
        <w:rPr>
          <w:i/>
          <w:color w:val="000000"/>
          <w:sz w:val="20"/>
          <w:szCs w:val="20"/>
          <w:lang w:val="en-GB"/>
        </w:rPr>
        <w:t xml:space="preserve"> The upper 95% CI being below 0.6 meets the criterion for non-inferiority.</w:t>
      </w:r>
    </w:p>
    <w:p w:rsidR="00772713" w:rsidRPr="00E3482E" w:rsidRDefault="00772713" w:rsidP="00F11870">
      <w:pPr>
        <w:pStyle w:val="paragraph"/>
        <w:rPr>
          <w:lang w:val="en-GB"/>
        </w:rPr>
      </w:pPr>
    </w:p>
    <w:p w:rsidR="001C4330" w:rsidRPr="00E3482E" w:rsidRDefault="001C4330" w:rsidP="00F11870">
      <w:pPr>
        <w:pStyle w:val="PItext"/>
        <w:rPr>
          <w:lang w:val="en-GB"/>
        </w:rPr>
      </w:pPr>
      <w:r w:rsidRPr="00E3482E">
        <w:rPr>
          <w:lang w:val="en-GB"/>
        </w:rPr>
        <w:t xml:space="preserve">Based on results for </w:t>
      </w:r>
      <w:r w:rsidR="000045A6" w:rsidRPr="00E3482E">
        <w:rPr>
          <w:lang w:val="en-GB"/>
        </w:rPr>
        <w:t>DAS28 at Week 24</w:t>
      </w:r>
      <w:r w:rsidR="006B6A6C" w:rsidRPr="00E3482E">
        <w:rPr>
          <w:lang w:val="en-GB"/>
        </w:rPr>
        <w:t xml:space="preserve"> </w:t>
      </w:r>
      <w:r w:rsidR="000045A6" w:rsidRPr="00E3482E">
        <w:rPr>
          <w:lang w:val="en-GB"/>
        </w:rPr>
        <w:t xml:space="preserve">and for </w:t>
      </w:r>
      <w:r w:rsidRPr="00E3482E">
        <w:rPr>
          <w:lang w:val="en-GB"/>
        </w:rPr>
        <w:t>other</w:t>
      </w:r>
      <w:r w:rsidR="000045A6" w:rsidRPr="00E3482E">
        <w:rPr>
          <w:lang w:val="en-GB"/>
        </w:rPr>
        <w:t xml:space="preserve"> secondary efficacy variable</w:t>
      </w:r>
      <w:r w:rsidRPr="00E3482E">
        <w:rPr>
          <w:lang w:val="en-GB"/>
        </w:rPr>
        <w:t>s,</w:t>
      </w:r>
      <w:r w:rsidR="000045A6" w:rsidRPr="00E3482E">
        <w:rPr>
          <w:lang w:val="en-GB"/>
        </w:rPr>
        <w:t xml:space="preserve"> ACR20 between Week 4 and Week 24</w:t>
      </w:r>
      <w:r w:rsidRPr="00E3482E">
        <w:rPr>
          <w:lang w:val="en-GB"/>
        </w:rPr>
        <w:t>,</w:t>
      </w:r>
      <w:r w:rsidR="000045A6" w:rsidRPr="00E3482E">
        <w:rPr>
          <w:lang w:val="en-GB"/>
        </w:rPr>
        <w:t xml:space="preserve"> and at Week 24</w:t>
      </w:r>
      <w:r w:rsidR="008419C0" w:rsidRPr="00E3482E">
        <w:rPr>
          <w:lang w:val="en-GB"/>
        </w:rPr>
        <w:t>,</w:t>
      </w:r>
      <w:r w:rsidR="006B6A6C" w:rsidRPr="00E3482E">
        <w:rPr>
          <w:lang w:val="en-GB"/>
        </w:rPr>
        <w:t xml:space="preserve"> </w:t>
      </w:r>
      <w:r w:rsidR="00982770">
        <w:rPr>
          <w:lang w:val="en-GB"/>
        </w:rPr>
        <w:t>RIXIMYO</w:t>
      </w:r>
      <w:r w:rsidR="00982770" w:rsidRPr="00991E39">
        <w:rPr>
          <w:vertAlign w:val="superscript"/>
          <w:lang w:val="en-GB"/>
        </w:rPr>
        <w:t>®</w:t>
      </w:r>
      <w:r w:rsidR="008419C0" w:rsidRPr="00E3482E">
        <w:rPr>
          <w:lang w:val="en-GB"/>
        </w:rPr>
        <w:t xml:space="preserve"> </w:t>
      </w:r>
      <w:r w:rsidRPr="00E3482E">
        <w:rPr>
          <w:lang w:val="en-GB"/>
        </w:rPr>
        <w:t xml:space="preserve">is demonstrated to be non-inferior </w:t>
      </w:r>
      <w:r w:rsidR="008419C0" w:rsidRPr="00E3482E">
        <w:rPr>
          <w:lang w:val="en-GB"/>
        </w:rPr>
        <w:t xml:space="preserve">to </w:t>
      </w:r>
      <w:r w:rsidR="00991E39" w:rsidRPr="00E3482E">
        <w:t xml:space="preserve">the reference medicine </w:t>
      </w:r>
      <w:r w:rsidR="000045A6" w:rsidRPr="00E3482E">
        <w:rPr>
          <w:lang w:val="en-GB"/>
        </w:rPr>
        <w:t>in patients with</w:t>
      </w:r>
      <w:r w:rsidR="008419C0" w:rsidRPr="00E3482E">
        <w:rPr>
          <w:lang w:val="en-GB"/>
        </w:rPr>
        <w:t xml:space="preserve"> rheumatoid arthritis</w:t>
      </w:r>
      <w:r w:rsidR="000045A6" w:rsidRPr="00E3482E">
        <w:rPr>
          <w:lang w:val="en-GB"/>
        </w:rPr>
        <w:t xml:space="preserve"> refractory or intolerant to standard DMARDs and one or up to three anti-TNF therapies.</w:t>
      </w:r>
    </w:p>
    <w:p w:rsidR="0066180B" w:rsidRPr="00982770" w:rsidRDefault="0066180B" w:rsidP="00F11870">
      <w:pPr>
        <w:pStyle w:val="Heading1"/>
        <w:rPr>
          <w:lang w:val="fr-FR"/>
        </w:rPr>
      </w:pPr>
      <w:r w:rsidRPr="00982770">
        <w:rPr>
          <w:lang w:val="fr-FR"/>
        </w:rPr>
        <w:t>INDICATIONS</w:t>
      </w:r>
    </w:p>
    <w:p w:rsidR="00AB5FA3" w:rsidRPr="00982770" w:rsidRDefault="00AB5FA3" w:rsidP="00F5092E">
      <w:pPr>
        <w:pStyle w:val="Heading2"/>
        <w:rPr>
          <w:lang w:val="fr-FR"/>
        </w:rPr>
      </w:pPr>
      <w:r w:rsidRPr="00982770">
        <w:rPr>
          <w:lang w:val="fr-FR"/>
        </w:rPr>
        <w:t>Non-Hodgkin’s Lymphoma (NHL)</w:t>
      </w:r>
    </w:p>
    <w:p w:rsidR="00AB5FA3" w:rsidRPr="00E3482E" w:rsidRDefault="00991E39" w:rsidP="00AB5FA3">
      <w:pPr>
        <w:spacing w:before="120"/>
        <w:rPr>
          <w:color w:val="000000"/>
          <w:lang w:val="en-GB"/>
        </w:rPr>
      </w:pPr>
      <w:r>
        <w:rPr>
          <w:color w:val="000000"/>
          <w:lang w:val="en-GB"/>
        </w:rPr>
        <w:t>RIXIMYO</w:t>
      </w:r>
      <w:r w:rsidRPr="00991E39">
        <w:rPr>
          <w:color w:val="000000"/>
          <w:vertAlign w:val="superscript"/>
          <w:lang w:val="en-GB"/>
        </w:rPr>
        <w:t>®</w:t>
      </w:r>
      <w:r w:rsidRPr="00E3482E">
        <w:rPr>
          <w:color w:val="000000"/>
          <w:lang w:val="en-GB"/>
        </w:rPr>
        <w:t xml:space="preserve"> </w:t>
      </w:r>
      <w:r w:rsidR="007267C1" w:rsidRPr="00E3482E">
        <w:rPr>
          <w:color w:val="000000"/>
          <w:lang w:val="en-GB"/>
        </w:rPr>
        <w:t>(rituximab)</w:t>
      </w:r>
      <w:r w:rsidR="00AB5FA3" w:rsidRPr="00E3482E">
        <w:rPr>
          <w:color w:val="000000"/>
          <w:lang w:val="en-GB"/>
        </w:rPr>
        <w:t xml:space="preserve"> is indicated for treatment of patients with:</w:t>
      </w:r>
    </w:p>
    <w:p w:rsidR="00AB5FA3" w:rsidRPr="00E3482E" w:rsidRDefault="00AB5FA3" w:rsidP="00AB5FA3">
      <w:pPr>
        <w:numPr>
          <w:ilvl w:val="0"/>
          <w:numId w:val="16"/>
        </w:numPr>
        <w:spacing w:before="40"/>
        <w:ind w:left="360"/>
        <w:jc w:val="both"/>
        <w:rPr>
          <w:color w:val="000000"/>
          <w:lang w:val="en-GB"/>
        </w:rPr>
      </w:pPr>
      <w:r w:rsidRPr="00E3482E">
        <w:rPr>
          <w:color w:val="000000"/>
          <w:lang w:val="en-GB"/>
        </w:rPr>
        <w:t>CD20 positive, previously untreated, Stage III/IV follicular, B-cell non-Hodgkin’s lymphoma,</w:t>
      </w:r>
    </w:p>
    <w:p w:rsidR="00AB5FA3" w:rsidRPr="00E3482E" w:rsidRDefault="00AB5FA3" w:rsidP="00AB5FA3">
      <w:pPr>
        <w:numPr>
          <w:ilvl w:val="0"/>
          <w:numId w:val="16"/>
        </w:numPr>
        <w:spacing w:before="40"/>
        <w:ind w:left="360"/>
        <w:jc w:val="both"/>
        <w:rPr>
          <w:color w:val="000000"/>
          <w:lang w:val="en-GB"/>
        </w:rPr>
      </w:pPr>
      <w:r w:rsidRPr="00E3482E">
        <w:rPr>
          <w:color w:val="000000"/>
          <w:lang w:val="en-GB"/>
        </w:rPr>
        <w:t xml:space="preserve">CD20 positive, relapsed or refractory low grade or follicular, B-cell non-Hodgkin's lymphoma, </w:t>
      </w:r>
    </w:p>
    <w:p w:rsidR="00AB5FA3" w:rsidRPr="00E3482E" w:rsidRDefault="00AB5FA3" w:rsidP="00AB5FA3">
      <w:pPr>
        <w:numPr>
          <w:ilvl w:val="0"/>
          <w:numId w:val="16"/>
        </w:numPr>
        <w:spacing w:before="40"/>
        <w:ind w:left="360"/>
        <w:jc w:val="both"/>
        <w:rPr>
          <w:color w:val="000000"/>
          <w:lang w:val="en-GB"/>
        </w:rPr>
      </w:pPr>
      <w:r w:rsidRPr="00E3482E">
        <w:rPr>
          <w:color w:val="000000"/>
          <w:lang w:val="en-GB"/>
        </w:rPr>
        <w:lastRenderedPageBreak/>
        <w:t>CD20 positive, diffuse large B-cell non-Hodgkin’s lymphoma, in combination with chemotherapy.</w:t>
      </w:r>
    </w:p>
    <w:p w:rsidR="00AB5FA3" w:rsidRPr="00E3482E" w:rsidRDefault="00AB5FA3" w:rsidP="00F5092E">
      <w:pPr>
        <w:pStyle w:val="Heading2"/>
      </w:pPr>
      <w:r w:rsidRPr="00E3482E">
        <w:t xml:space="preserve">Chronic Lymphocytic </w:t>
      </w:r>
      <w:r w:rsidR="004B0692" w:rsidRPr="00E3482E">
        <w:t>Leukaemia</w:t>
      </w:r>
      <w:r w:rsidRPr="00E3482E">
        <w:t xml:space="preserve"> (CLL)</w:t>
      </w:r>
    </w:p>
    <w:p w:rsidR="00AB5FA3" w:rsidRPr="00E3482E" w:rsidRDefault="00991E39" w:rsidP="00AB5FA3">
      <w:pPr>
        <w:spacing w:before="120"/>
        <w:jc w:val="both"/>
        <w:rPr>
          <w:color w:val="000000"/>
          <w:lang w:val="en-GB"/>
        </w:rPr>
      </w:pPr>
      <w:r>
        <w:rPr>
          <w:color w:val="000000"/>
          <w:lang w:val="en-GB"/>
        </w:rPr>
        <w:t>RIXIMYO</w:t>
      </w:r>
      <w:r w:rsidRPr="00991E39">
        <w:rPr>
          <w:color w:val="000000"/>
          <w:vertAlign w:val="superscript"/>
          <w:lang w:val="en-GB"/>
        </w:rPr>
        <w:t>®</w:t>
      </w:r>
      <w:r w:rsidRPr="00E3482E">
        <w:rPr>
          <w:color w:val="000000"/>
          <w:lang w:val="en-GB"/>
        </w:rPr>
        <w:t xml:space="preserve"> </w:t>
      </w:r>
      <w:r w:rsidR="007267C1" w:rsidRPr="00E3482E">
        <w:rPr>
          <w:color w:val="000000"/>
          <w:lang w:val="en-GB"/>
        </w:rPr>
        <w:t>(rituximab)</w:t>
      </w:r>
      <w:r w:rsidR="00AB5FA3" w:rsidRPr="00E3482E">
        <w:rPr>
          <w:color w:val="000000"/>
          <w:lang w:val="en-GB"/>
        </w:rPr>
        <w:t xml:space="preserve"> is indicated for the treatment of patients with CD20 positive chronic lymphocytic leukaemia in combination with chemotherapy.</w:t>
      </w:r>
    </w:p>
    <w:p w:rsidR="00AB5FA3" w:rsidRPr="00E3482E" w:rsidRDefault="00AB5FA3" w:rsidP="00F5092E">
      <w:pPr>
        <w:pStyle w:val="Heading2"/>
      </w:pPr>
      <w:r w:rsidRPr="00E3482E">
        <w:t>Rheumatoid Arthritis (RA)</w:t>
      </w:r>
    </w:p>
    <w:p w:rsidR="00AB5FA3" w:rsidRPr="00E3482E" w:rsidRDefault="00991E39" w:rsidP="00AB5FA3">
      <w:pPr>
        <w:spacing w:before="120"/>
        <w:jc w:val="both"/>
        <w:rPr>
          <w:color w:val="000000"/>
          <w:lang w:val="en-GB"/>
        </w:rPr>
      </w:pPr>
      <w:r>
        <w:rPr>
          <w:color w:val="000000"/>
          <w:lang w:val="en-GB"/>
        </w:rPr>
        <w:t>RIXIMYO</w:t>
      </w:r>
      <w:r w:rsidRPr="00991E39">
        <w:rPr>
          <w:color w:val="000000"/>
          <w:vertAlign w:val="superscript"/>
          <w:lang w:val="en-GB"/>
        </w:rPr>
        <w:t>®</w:t>
      </w:r>
      <w:r w:rsidR="007267C1" w:rsidRPr="00E3482E">
        <w:rPr>
          <w:color w:val="000000"/>
          <w:lang w:val="en-GB"/>
        </w:rPr>
        <w:t xml:space="preserve"> (rituximab)</w:t>
      </w:r>
      <w:r w:rsidR="00AB5FA3" w:rsidRPr="00E3482E">
        <w:rPr>
          <w:color w:val="000000"/>
          <w:lang w:val="en-GB"/>
        </w:rPr>
        <w:t xml:space="preserve"> in combination with methotrexate is indicated for the treatment of adult patients with severe, active rheumatoid arthritis who have had an inadequate response or intolerance to at least one tumour necrosis factor (TNF) inhibitor therapy.</w:t>
      </w:r>
    </w:p>
    <w:p w:rsidR="00445780" w:rsidRPr="00E3482E" w:rsidRDefault="00AB5FA3" w:rsidP="00AB5FA3">
      <w:pPr>
        <w:spacing w:before="120"/>
        <w:jc w:val="both"/>
        <w:rPr>
          <w:color w:val="000000"/>
          <w:lang w:val="en-GB"/>
        </w:rPr>
      </w:pPr>
      <w:r w:rsidRPr="00E3482E">
        <w:rPr>
          <w:color w:val="000000"/>
          <w:lang w:val="en-GB"/>
        </w:rPr>
        <w:t>Rituximab has been shown to reduce the rate of progression of joint damage as measured by x</w:t>
      </w:r>
      <w:r w:rsidRPr="00E3482E">
        <w:rPr>
          <w:color w:val="000000"/>
          <w:lang w:val="en-GB"/>
        </w:rPr>
        <w:noBreakHyphen/>
        <w:t>ray when given in combination with methotrexate.</w:t>
      </w:r>
      <w:r w:rsidR="005778BE" w:rsidRPr="00E3482E">
        <w:rPr>
          <w:color w:val="000000"/>
          <w:lang w:val="en-GB"/>
        </w:rPr>
        <w:t xml:space="preserve"> </w:t>
      </w:r>
    </w:p>
    <w:p w:rsidR="00AB5FA3" w:rsidRPr="00E3482E" w:rsidRDefault="00AB5FA3" w:rsidP="00F5092E">
      <w:pPr>
        <w:pStyle w:val="Heading2"/>
      </w:pPr>
      <w:r w:rsidRPr="00E3482E">
        <w:t>Granulomatosis with polyangiitis (Wegener’s) (GPA) and Microscopic polyangiitis (MPA)</w:t>
      </w:r>
    </w:p>
    <w:p w:rsidR="00AB5FA3" w:rsidRPr="00E3482E" w:rsidRDefault="00991E39" w:rsidP="00AB5FA3">
      <w:pPr>
        <w:spacing w:before="120"/>
        <w:jc w:val="both"/>
        <w:rPr>
          <w:color w:val="000000"/>
          <w:lang w:val="en-GB"/>
        </w:rPr>
      </w:pPr>
      <w:r>
        <w:rPr>
          <w:color w:val="000000"/>
          <w:lang w:val="en-GB"/>
        </w:rPr>
        <w:t>RIXIMYO</w:t>
      </w:r>
      <w:r w:rsidRPr="00991E39">
        <w:rPr>
          <w:color w:val="000000"/>
          <w:vertAlign w:val="superscript"/>
          <w:lang w:val="en-GB"/>
        </w:rPr>
        <w:t>®</w:t>
      </w:r>
      <w:r w:rsidR="00AB5FA3" w:rsidRPr="00E3482E">
        <w:rPr>
          <w:color w:val="000000"/>
          <w:lang w:val="en-GB"/>
        </w:rPr>
        <w:t xml:space="preserve"> </w:t>
      </w:r>
      <w:r w:rsidR="007267C1" w:rsidRPr="00E3482E">
        <w:rPr>
          <w:color w:val="000000"/>
          <w:lang w:val="en-GB"/>
        </w:rPr>
        <w:t xml:space="preserve">(rituximab) </w:t>
      </w:r>
      <w:r w:rsidR="00AB5FA3" w:rsidRPr="00E3482E">
        <w:rPr>
          <w:color w:val="000000"/>
          <w:lang w:val="en-GB"/>
        </w:rPr>
        <w:t xml:space="preserve">in combination with glucocorticoids is indicated for the induction of remission in patients with severely active Granulomatosis with </w:t>
      </w:r>
      <w:proofErr w:type="spellStart"/>
      <w:r w:rsidR="00AB5FA3" w:rsidRPr="00E3482E">
        <w:rPr>
          <w:color w:val="000000"/>
          <w:lang w:val="en-GB"/>
        </w:rPr>
        <w:t>polyangiitis</w:t>
      </w:r>
      <w:proofErr w:type="spellEnd"/>
      <w:r w:rsidR="00AB5FA3" w:rsidRPr="00E3482E">
        <w:rPr>
          <w:color w:val="000000"/>
          <w:lang w:val="en-GB"/>
        </w:rPr>
        <w:t xml:space="preserve"> (GPA, also known as Wegener’s granulomatosis) and Microscopic </w:t>
      </w:r>
      <w:proofErr w:type="spellStart"/>
      <w:r w:rsidR="00AB5FA3" w:rsidRPr="00E3482E">
        <w:rPr>
          <w:color w:val="000000"/>
          <w:lang w:val="en-GB"/>
        </w:rPr>
        <w:t>polyangiitis</w:t>
      </w:r>
      <w:proofErr w:type="spellEnd"/>
      <w:r w:rsidR="00AB5FA3" w:rsidRPr="00E3482E">
        <w:rPr>
          <w:color w:val="000000"/>
          <w:lang w:val="en-GB"/>
        </w:rPr>
        <w:t xml:space="preserve"> (MPA). The efficacy and safety of retreatment with rituximab have not been established.</w:t>
      </w:r>
    </w:p>
    <w:p w:rsidR="002969B0" w:rsidRPr="00E3482E" w:rsidRDefault="002969B0" w:rsidP="009B1509">
      <w:pPr>
        <w:rPr>
          <w:color w:val="000000"/>
          <w:lang w:val="en-GB"/>
        </w:rPr>
      </w:pPr>
    </w:p>
    <w:p w:rsidR="0066180B" w:rsidRPr="00E3482E" w:rsidRDefault="0066180B" w:rsidP="00F11870">
      <w:pPr>
        <w:pStyle w:val="Heading1"/>
      </w:pPr>
      <w:r w:rsidRPr="00E3482E">
        <w:t>CONTRAINDICATIONS</w:t>
      </w:r>
    </w:p>
    <w:p w:rsidR="005778BE" w:rsidRPr="00E3482E" w:rsidRDefault="00991E39" w:rsidP="007267C1">
      <w:pPr>
        <w:spacing w:before="120"/>
        <w:jc w:val="both"/>
        <w:rPr>
          <w:color w:val="000000"/>
          <w:lang w:val="en-GB"/>
        </w:rPr>
      </w:pPr>
      <w:r>
        <w:rPr>
          <w:color w:val="000000"/>
          <w:lang w:val="en-GB"/>
        </w:rPr>
        <w:t>RIXIMYO</w:t>
      </w:r>
      <w:r w:rsidRPr="00991E39">
        <w:rPr>
          <w:color w:val="000000"/>
          <w:vertAlign w:val="superscript"/>
          <w:lang w:val="en-GB"/>
        </w:rPr>
        <w:t>®</w:t>
      </w:r>
      <w:r w:rsidR="007267C1" w:rsidRPr="00E3482E">
        <w:rPr>
          <w:color w:val="000000"/>
          <w:lang w:val="en-GB"/>
        </w:rPr>
        <w:t xml:space="preserve"> is contraindicated in patients with known hypersensitivity to rituximab, to any of its excipients or to murine proteins.</w:t>
      </w:r>
    </w:p>
    <w:p w:rsidR="000256A0" w:rsidRPr="00E3482E" w:rsidRDefault="000256A0" w:rsidP="00932F63">
      <w:pPr>
        <w:rPr>
          <w:color w:val="000000"/>
          <w:lang w:val="en-GB"/>
        </w:rPr>
      </w:pPr>
    </w:p>
    <w:p w:rsidR="0066180B" w:rsidRDefault="0066180B" w:rsidP="00F11870">
      <w:pPr>
        <w:pStyle w:val="Heading1"/>
      </w:pPr>
      <w:r w:rsidRPr="00E3482E">
        <w:t>PRECAUTIONS</w:t>
      </w:r>
    </w:p>
    <w:p w:rsidR="00BF1193" w:rsidRPr="00BF1193" w:rsidRDefault="00BF1193" w:rsidP="00975F83">
      <w:pPr>
        <w:pStyle w:val="Heading2"/>
      </w:pPr>
      <w:r w:rsidRPr="00BF1193">
        <w:t>Traceability</w:t>
      </w:r>
    </w:p>
    <w:p w:rsidR="00BF1193" w:rsidRPr="00975F83" w:rsidRDefault="00BF1193" w:rsidP="00975F83">
      <w:pPr>
        <w:pStyle w:val="Default"/>
        <w:jc w:val="both"/>
        <w:rPr>
          <w:rFonts w:ascii="Times New Roman" w:hAnsi="Times New Roman" w:cs="Times New Roman"/>
          <w:lang w:val="en-AU"/>
        </w:rPr>
      </w:pPr>
      <w:r w:rsidRPr="00975F83">
        <w:rPr>
          <w:rFonts w:ascii="Times New Roman" w:hAnsi="Times New Roman" w:cs="Times New Roman"/>
          <w:lang w:val="en-AU"/>
        </w:rPr>
        <w:t xml:space="preserve">In order to improve the traceability of biological medicines, the trade name and the batch number of the administered product should be clearly recorded in the patient’s medical record and/or dispensing record. </w:t>
      </w:r>
    </w:p>
    <w:p w:rsidR="007267C1" w:rsidRPr="00E3482E" w:rsidRDefault="007267C1" w:rsidP="00F5092E">
      <w:pPr>
        <w:pStyle w:val="Heading2"/>
      </w:pPr>
      <w:r w:rsidRPr="00E3482E">
        <w:t>Progressive multifocal leukoencephalopathy (PML)</w:t>
      </w:r>
    </w:p>
    <w:p w:rsidR="00777D39" w:rsidRPr="00E3482E" w:rsidRDefault="007267C1" w:rsidP="007267C1">
      <w:pPr>
        <w:spacing w:before="120"/>
        <w:jc w:val="both"/>
        <w:rPr>
          <w:color w:val="000000"/>
        </w:rPr>
      </w:pPr>
      <w:r w:rsidRPr="00E3482E">
        <w:rPr>
          <w:color w:val="000000"/>
        </w:rPr>
        <w:t>Use of rituximab may be associated with an increased risk of progressive multifocal leukoencephalopathy (PML). Patients must be monitored for any new or worsening neurological symptoms or signs suggestive of PML. Physicians treating patients should consider PML in the differential diagnosis of patients reporting neurological symptoms and consultation with a neurologist should be considered as clinically indicated.</w:t>
      </w:r>
    </w:p>
    <w:p w:rsidR="007267C1" w:rsidRPr="00E3482E" w:rsidRDefault="007267C1" w:rsidP="007267C1">
      <w:pPr>
        <w:spacing w:before="120"/>
        <w:jc w:val="both"/>
        <w:rPr>
          <w:color w:val="000000"/>
        </w:rPr>
      </w:pPr>
      <w:r w:rsidRPr="00E3482E">
        <w:rPr>
          <w:color w:val="000000"/>
        </w:rPr>
        <w:t xml:space="preserve">Physicians should be particularly alert to symptoms suggestive of PML that the patient may not notice (e.g. cognitive, neurological or psychiatric symptoms). If such symptoms occur, further administration of rituximab should be immediately suspended until a diagnosis of PML has been excluded. To establish or exclude a diagnosis of PML evaluation including MRI scan, CSF </w:t>
      </w:r>
      <w:r w:rsidRPr="00E3482E">
        <w:rPr>
          <w:color w:val="000000"/>
        </w:rPr>
        <w:lastRenderedPageBreak/>
        <w:t>testing for JC viral DNA and repeat neurological assessments, should be considered. Once PML has been excluded, the administration of rituximab may resume.</w:t>
      </w:r>
    </w:p>
    <w:p w:rsidR="007267C1" w:rsidRPr="00E3482E" w:rsidRDefault="007267C1" w:rsidP="007267C1">
      <w:pPr>
        <w:spacing w:before="120"/>
        <w:jc w:val="both"/>
        <w:rPr>
          <w:color w:val="000000"/>
        </w:rPr>
      </w:pPr>
      <w:r w:rsidRPr="00E3482E">
        <w:rPr>
          <w:color w:val="000000"/>
        </w:rPr>
        <w:t>If a diagnosis of PML is confirmed, rituximab must be permanently discontinued. Patients should also be advised to inform their partner or caregivers about their treatment, since they may notice symptoms that the patient is not aware of.</w:t>
      </w:r>
    </w:p>
    <w:p w:rsidR="007267C1" w:rsidRPr="00E3482E" w:rsidRDefault="007267C1" w:rsidP="00F5092E">
      <w:pPr>
        <w:pStyle w:val="HeadingUnderlined"/>
      </w:pPr>
      <w:r w:rsidRPr="00E3482E">
        <w:t>Non-Hodgkin’s Lymphoma and Chronic Lymphocytic Leukaemia</w:t>
      </w:r>
    </w:p>
    <w:p w:rsidR="007267C1" w:rsidRPr="00E3482E" w:rsidRDefault="007267C1" w:rsidP="00F5092E">
      <w:pPr>
        <w:pStyle w:val="Heading2"/>
      </w:pPr>
      <w:r w:rsidRPr="00E3482E">
        <w:t>Infusion-related reactions</w:t>
      </w:r>
    </w:p>
    <w:p w:rsidR="007267C1" w:rsidRPr="00E3482E" w:rsidRDefault="007267C1" w:rsidP="007267C1">
      <w:pPr>
        <w:spacing w:before="120"/>
        <w:jc w:val="both"/>
        <w:rPr>
          <w:color w:val="000000"/>
        </w:rPr>
      </w:pPr>
      <w:r w:rsidRPr="00E3482E">
        <w:rPr>
          <w:color w:val="000000"/>
        </w:rPr>
        <w:t>Rituximab is associated with infusion-related reactions, which may be related to release of cytokines and/or other chemical mediators. Cytokine release syndrome may be indistinguishable from acute hypersensitivity reactions.</w:t>
      </w:r>
    </w:p>
    <w:p w:rsidR="006F5F0C" w:rsidRPr="00E3482E" w:rsidRDefault="006F5F0C" w:rsidP="006F5F0C">
      <w:pPr>
        <w:spacing w:before="120"/>
        <w:jc w:val="both"/>
        <w:rPr>
          <w:color w:val="000000"/>
        </w:rPr>
      </w:pPr>
      <w:r w:rsidRPr="00E3482E">
        <w:rPr>
          <w:color w:val="000000"/>
        </w:rPr>
        <w:t xml:space="preserve">Severe infusion-related reactions with fatal outcome have been reported during post-marketing use. Severe reactions usually manifested within 30 minutes to 2 hours after starting the first rituximab infusion, were characterised by pulmonary events and included, in some cases, rapid tumour lysis and features of tumour lysis syndrome in addition to fever, chills, rigors, hypotension, </w:t>
      </w:r>
      <w:proofErr w:type="spellStart"/>
      <w:r w:rsidRPr="00E3482E">
        <w:rPr>
          <w:color w:val="000000"/>
        </w:rPr>
        <w:t>urticaria</w:t>
      </w:r>
      <w:proofErr w:type="spellEnd"/>
      <w:r w:rsidRPr="00E3482E">
        <w:rPr>
          <w:color w:val="000000"/>
        </w:rPr>
        <w:t xml:space="preserve">, </w:t>
      </w:r>
      <w:proofErr w:type="spellStart"/>
      <w:r w:rsidRPr="00E3482E">
        <w:rPr>
          <w:color w:val="000000"/>
        </w:rPr>
        <w:t>angio</w:t>
      </w:r>
      <w:proofErr w:type="spellEnd"/>
      <w:r w:rsidRPr="00E3482E">
        <w:rPr>
          <w:color w:val="000000"/>
        </w:rPr>
        <w:t>-oedema and other symptoms. Patients with a high tumour burden or with a high number (&gt;25 x 10</w:t>
      </w:r>
      <w:r w:rsidRPr="00E3482E">
        <w:rPr>
          <w:color w:val="000000"/>
          <w:vertAlign w:val="superscript"/>
        </w:rPr>
        <w:t>9</w:t>
      </w:r>
      <w:r w:rsidRPr="00E3482E">
        <w:rPr>
          <w:color w:val="000000"/>
        </w:rPr>
        <w:t>/L) of circulating malignant cells such as patients with chronic lymphocytic leukaemia (CLL) and mantle cell lymphoma may be at higher risk of developing severe infusion-related reactions. Infusion reaction symptoms are usually reversible with interruption of the infusion. Treatment of infusion-related symptoms with an antihistamine and an analgesic/antipyretic (such as paracetamol) is recommended. Additional treatment with bronchodilators or IV saline may be indicated. In most cases, the infusion can be resumed at a 50% reduction in rate (e.g. from 100 mg/h to 50 mg/h) when symptoms have completely resolved. Most patients who have experienced non-life threatening infusion-related reactions have been able to complete the full course of rituximab therapy. Further treatment of patients after complete resolution of signs and symptoms has rarely resulted in repeated severe infusion-related reactions.</w:t>
      </w:r>
    </w:p>
    <w:p w:rsidR="007267C1" w:rsidRPr="00E3482E" w:rsidRDefault="006F5F0C" w:rsidP="006F5F0C">
      <w:pPr>
        <w:spacing w:before="120"/>
        <w:jc w:val="both"/>
        <w:rPr>
          <w:color w:val="000000"/>
        </w:rPr>
      </w:pPr>
      <w:r w:rsidRPr="00E3482E">
        <w:rPr>
          <w:color w:val="000000"/>
        </w:rPr>
        <w:t>Patients with a high number (&gt;25 x 10</w:t>
      </w:r>
      <w:r w:rsidRPr="00E3482E">
        <w:rPr>
          <w:color w:val="000000"/>
          <w:vertAlign w:val="superscript"/>
        </w:rPr>
        <w:t>9</w:t>
      </w:r>
      <w:r w:rsidRPr="00E3482E">
        <w:rPr>
          <w:color w:val="000000"/>
        </w:rPr>
        <w:t>/L) of circulating malignant cells or high tumour burden such as patients with CLL and mantle cell lymphoma, who may be at higher risk of especially severe infusion-related reactions, should only be treated with extreme caution and when other therapeutic alternatives have been exhausted. These patients should be very closely monitored throughout the first infusion. Consideration should be given to the use of a reduced infusion rate for the first infusion in these patients, or a split dosing over two days during the first cycle and any subsequent cycles if the lymphocyte count is still &gt;25 x 10</w:t>
      </w:r>
      <w:r w:rsidRPr="00E3482E">
        <w:rPr>
          <w:color w:val="000000"/>
          <w:vertAlign w:val="superscript"/>
        </w:rPr>
        <w:t>9</w:t>
      </w:r>
      <w:r w:rsidRPr="00E3482E">
        <w:rPr>
          <w:color w:val="000000"/>
        </w:rPr>
        <w:t>/L.</w:t>
      </w:r>
    </w:p>
    <w:p w:rsidR="006F5F0C" w:rsidRPr="00E3482E" w:rsidRDefault="006F5F0C" w:rsidP="006F5F0C">
      <w:pPr>
        <w:spacing w:before="120"/>
        <w:jc w:val="both"/>
        <w:rPr>
          <w:color w:val="000000"/>
        </w:rPr>
      </w:pPr>
      <w:r w:rsidRPr="00E3482E">
        <w:rPr>
          <w:i/>
          <w:color w:val="000000"/>
        </w:rPr>
        <w:t>Hypersensitivity Reactions/Anaphylaxis</w:t>
      </w:r>
      <w:r w:rsidRPr="00E3482E">
        <w:rPr>
          <w:color w:val="000000"/>
        </w:rPr>
        <w:t xml:space="preserve"> </w:t>
      </w:r>
    </w:p>
    <w:p w:rsidR="007267C1" w:rsidRPr="00E3482E" w:rsidRDefault="006F5F0C" w:rsidP="007267C1">
      <w:pPr>
        <w:spacing w:before="120"/>
        <w:jc w:val="both"/>
        <w:rPr>
          <w:color w:val="000000"/>
        </w:rPr>
      </w:pPr>
      <w:r w:rsidRPr="00E3482E">
        <w:rPr>
          <w:color w:val="000000"/>
        </w:rPr>
        <w:t>Anaphylactic and other hypersensitivity reactions have been reported following the intravenous administration of proteins to patients. Adrenaline, antihistamines and corticosteroids should be available for immediate use in the event of a hypersensitivity reaction to rituximab.</w:t>
      </w:r>
    </w:p>
    <w:p w:rsidR="006F5F0C" w:rsidRPr="00E3482E" w:rsidRDefault="006F5F0C" w:rsidP="00F5092E">
      <w:pPr>
        <w:pStyle w:val="Heading2"/>
      </w:pPr>
      <w:r w:rsidRPr="00E3482E">
        <w:lastRenderedPageBreak/>
        <w:t>Pulmonary events</w:t>
      </w:r>
    </w:p>
    <w:p w:rsidR="007267C1" w:rsidRPr="00E3482E" w:rsidRDefault="006F5F0C" w:rsidP="007267C1">
      <w:pPr>
        <w:spacing w:before="120"/>
        <w:jc w:val="both"/>
        <w:rPr>
          <w:color w:val="000000"/>
        </w:rPr>
      </w:pPr>
      <w:r w:rsidRPr="00E3482E">
        <w:rPr>
          <w:color w:val="000000"/>
        </w:rPr>
        <w:t>Pulmonary events have included hypoxia, lung infiltration, and acute respiratory failure. Some of these events have been preceded by severe bronchospasm and dyspnoea. In some cases, symptoms worsened over time, while in others initial improvement was followed by clinical deterioration. Therefore, patients experiencing pulmonary events or other severe infusion-related symptoms should be closely monitored until complete resolution of their symptoms occurs. Patients with a history of pulmonary insufficiency or those with pulmonary tumour infiltration may be at greater risk of poor outcome and should be treated with increased caution. Acute respiratory failure may be accompanied by events such as pulmonary interstitial infiltration or oedema, visible on a chest x-ray. The syndrome usually manifests itself within one or two hours of initiating the first IV infusion. Patients who experience severe pulmonary events should have their infusion interrupted immediately and should receive aggressive symptomatic treatment. Since initial improvement of clinical symptoms may be followed by deterioration, these patients should be closely monitored until the pulmonary event has resolved.</w:t>
      </w:r>
    </w:p>
    <w:p w:rsidR="006F5F0C" w:rsidRPr="00E3482E" w:rsidRDefault="006F5F0C" w:rsidP="00F5092E">
      <w:pPr>
        <w:pStyle w:val="Heading2"/>
      </w:pPr>
      <w:r w:rsidRPr="00E3482E">
        <w:t>Rapid tumour lysis</w:t>
      </w:r>
    </w:p>
    <w:p w:rsidR="007267C1" w:rsidRPr="00E3482E" w:rsidRDefault="006F5F0C" w:rsidP="007267C1">
      <w:pPr>
        <w:spacing w:before="120"/>
        <w:jc w:val="both"/>
        <w:rPr>
          <w:color w:val="000000"/>
        </w:rPr>
      </w:pPr>
      <w:r w:rsidRPr="00E3482E">
        <w:rPr>
          <w:color w:val="000000"/>
        </w:rPr>
        <w:t xml:space="preserve">Rituximab mediates the rapid lysis of benign and malignant CD20-positive cells. Signs and symptoms (e.g. </w:t>
      </w:r>
      <w:proofErr w:type="spellStart"/>
      <w:r w:rsidRPr="00E3482E">
        <w:rPr>
          <w:color w:val="000000"/>
        </w:rPr>
        <w:t>hyperuricaemia</w:t>
      </w:r>
      <w:proofErr w:type="spellEnd"/>
      <w:r w:rsidRPr="00E3482E">
        <w:rPr>
          <w:color w:val="000000"/>
        </w:rPr>
        <w:t xml:space="preserve">, hyperkalaemia, hypocalcaemia, acute renal failure, elevated LDH) consistent with tumour lysis syndrome (TLS) have been reported to occur after the first </w:t>
      </w:r>
      <w:r w:rsidR="00D6167E" w:rsidRPr="00E3482E">
        <w:rPr>
          <w:color w:val="000000"/>
        </w:rPr>
        <w:t>r</w:t>
      </w:r>
      <w:r w:rsidRPr="00E3482E">
        <w:rPr>
          <w:color w:val="000000"/>
        </w:rPr>
        <w:t>ituximab infusion in patients with high numbers of circulating malignant lymphocytes. Prophylaxis for TLS should be considered for patients at risk of developing rapid tumour lysis (e.g. patients with a high tumour burden or with a high number (&gt;25 x 10</w:t>
      </w:r>
      <w:r w:rsidRPr="00E3482E">
        <w:rPr>
          <w:color w:val="000000"/>
          <w:vertAlign w:val="superscript"/>
        </w:rPr>
        <w:t>9</w:t>
      </w:r>
      <w:r w:rsidRPr="00E3482E">
        <w:rPr>
          <w:color w:val="000000"/>
        </w:rPr>
        <w:t xml:space="preserve">/L) of circulating malignant cells such as patients with CLL and mantle cell lymphoma). These patients should be followed closely and appropriate laboratory monitoring performed. Appropriate medical therapy should be provided for patients who develop signs and symptoms consistent with rapid tumour lysis. Following treatment for and complete resolution of signs and symptoms, subsequent </w:t>
      </w:r>
      <w:r w:rsidR="00E6018B" w:rsidRPr="00E3482E">
        <w:rPr>
          <w:color w:val="000000"/>
        </w:rPr>
        <w:t>rituximab</w:t>
      </w:r>
      <w:r w:rsidRPr="00E3482E">
        <w:rPr>
          <w:color w:val="000000"/>
        </w:rPr>
        <w:t xml:space="preserve"> therapy has been administered in conjunction with prophylactic therapy for TLS in a limited number of cases.</w:t>
      </w:r>
    </w:p>
    <w:p w:rsidR="00E6018B" w:rsidRPr="00E3482E" w:rsidRDefault="00E6018B" w:rsidP="00F5092E">
      <w:pPr>
        <w:pStyle w:val="Heading2"/>
      </w:pPr>
      <w:r w:rsidRPr="00E3482E">
        <w:t>Cardiovascular</w:t>
      </w:r>
      <w:r w:rsidR="00B23BE1" w:rsidRPr="00E3482E">
        <w:t xml:space="preserve"> Events</w:t>
      </w:r>
    </w:p>
    <w:p w:rsidR="007267C1" w:rsidRPr="00E3482E" w:rsidRDefault="00E6018B" w:rsidP="007267C1">
      <w:pPr>
        <w:spacing w:before="120"/>
        <w:jc w:val="both"/>
        <w:rPr>
          <w:color w:val="000000"/>
        </w:rPr>
      </w:pPr>
      <w:r w:rsidRPr="00E3482E">
        <w:rPr>
          <w:color w:val="000000"/>
        </w:rPr>
        <w:t xml:space="preserve">Since hypotension may occur during rituximab infusion, consideration should be given to withholding antihypertensive medications 12 hours prior to and throughout rituximab infusion. Angina pectoris or cardiac </w:t>
      </w:r>
      <w:proofErr w:type="gramStart"/>
      <w:r w:rsidRPr="00E3482E">
        <w:rPr>
          <w:color w:val="000000"/>
        </w:rPr>
        <w:t>arrhythmia, such as atrial flutter and fibrillation, heart failure or myocardial infarction have</w:t>
      </w:r>
      <w:proofErr w:type="gramEnd"/>
      <w:r w:rsidRPr="00E3482E">
        <w:rPr>
          <w:color w:val="000000"/>
        </w:rPr>
        <w:t xml:space="preserve"> occurred in patients treated with rituximab. Therefore patients with a history of cardiac disease should be monitored closely. Infusions should be discontinued in the event of serious or life-threatening cardiac arrhythmias.</w:t>
      </w:r>
    </w:p>
    <w:p w:rsidR="00E6018B" w:rsidRPr="00E3482E" w:rsidRDefault="00E6018B" w:rsidP="00F5092E">
      <w:pPr>
        <w:pStyle w:val="Heading2"/>
      </w:pPr>
      <w:r w:rsidRPr="00E3482E">
        <w:t>Monitoring of Blood Counts</w:t>
      </w:r>
    </w:p>
    <w:p w:rsidR="00E6018B" w:rsidRPr="00E3482E" w:rsidRDefault="00E6018B" w:rsidP="00E6018B">
      <w:pPr>
        <w:spacing w:before="120"/>
        <w:jc w:val="both"/>
        <w:rPr>
          <w:color w:val="000000"/>
        </w:rPr>
      </w:pPr>
      <w:r w:rsidRPr="00E3482E">
        <w:rPr>
          <w:color w:val="000000"/>
        </w:rPr>
        <w:t xml:space="preserve">Although rituximab is not </w:t>
      </w:r>
      <w:proofErr w:type="spellStart"/>
      <w:r w:rsidRPr="00E3482E">
        <w:rPr>
          <w:color w:val="000000"/>
        </w:rPr>
        <w:t>myelosuppressive</w:t>
      </w:r>
      <w:proofErr w:type="spellEnd"/>
      <w:r w:rsidRPr="00E3482E">
        <w:rPr>
          <w:color w:val="000000"/>
        </w:rPr>
        <w:t xml:space="preserve"> in monotherapy, caution should be exercised when considering treatment of patients with neutrophil counts of &lt;1.5 x 10</w:t>
      </w:r>
      <w:r w:rsidRPr="00E3482E">
        <w:rPr>
          <w:color w:val="000000"/>
          <w:vertAlign w:val="superscript"/>
        </w:rPr>
        <w:t>9</w:t>
      </w:r>
      <w:r w:rsidRPr="00E3482E">
        <w:rPr>
          <w:color w:val="000000"/>
        </w:rPr>
        <w:t>/L and/or platelet counts of &lt;75 x 10</w:t>
      </w:r>
      <w:r w:rsidRPr="00E3482E">
        <w:rPr>
          <w:color w:val="000000"/>
          <w:vertAlign w:val="superscript"/>
        </w:rPr>
        <w:t>9</w:t>
      </w:r>
      <w:r w:rsidRPr="00E3482E">
        <w:rPr>
          <w:color w:val="000000"/>
        </w:rPr>
        <w:t>/L, as clinical experience with such patients is limited. Rituximab has been used in patients who underwent autologous bone marrow transplantation and in other risk groups with a presumable reduced bone marrow function without inducing myelotoxicity.</w:t>
      </w:r>
    </w:p>
    <w:p w:rsidR="007267C1" w:rsidRPr="00E3482E" w:rsidRDefault="00E6018B" w:rsidP="00E6018B">
      <w:pPr>
        <w:spacing w:before="120"/>
        <w:jc w:val="both"/>
        <w:rPr>
          <w:color w:val="000000"/>
        </w:rPr>
      </w:pPr>
      <w:r w:rsidRPr="00E3482E">
        <w:rPr>
          <w:color w:val="000000"/>
        </w:rPr>
        <w:lastRenderedPageBreak/>
        <w:t>Consideration should be given to the need for regular full blood counts, including platelet counts, during monotherapy with rituximab. When rituximab is given in combination with CHOP or CVP chemotherapy, regular full blood counts should be performed according to usual medical practice.</w:t>
      </w:r>
    </w:p>
    <w:p w:rsidR="00E6018B" w:rsidRPr="00E3482E" w:rsidRDefault="00FA73CA" w:rsidP="00F5092E">
      <w:pPr>
        <w:pStyle w:val="Heading2"/>
      </w:pPr>
      <w:r w:rsidRPr="00E3482E">
        <w:t>Infections</w:t>
      </w:r>
    </w:p>
    <w:p w:rsidR="00FA73CA" w:rsidRPr="00E3482E" w:rsidRDefault="00FA73CA" w:rsidP="00FA73CA">
      <w:pPr>
        <w:spacing w:before="120"/>
        <w:jc w:val="both"/>
        <w:rPr>
          <w:color w:val="000000"/>
        </w:rPr>
      </w:pPr>
      <w:r w:rsidRPr="00E3482E">
        <w:rPr>
          <w:color w:val="000000"/>
        </w:rPr>
        <w:t>Rituximab treatment should not be initiated in patients with severe active infections.</w:t>
      </w:r>
    </w:p>
    <w:p w:rsidR="00FA73CA" w:rsidRPr="00E3482E" w:rsidRDefault="00FA73CA" w:rsidP="00FA73CA">
      <w:pPr>
        <w:spacing w:before="120"/>
        <w:jc w:val="both"/>
        <w:rPr>
          <w:color w:val="000000"/>
        </w:rPr>
      </w:pPr>
      <w:r w:rsidRPr="00E3482E">
        <w:rPr>
          <w:color w:val="000000"/>
        </w:rPr>
        <w:t xml:space="preserve">Cases of Hepatitis B virus (HBV) reactivation, occasionally with fulminant hepatitis, hepatic failure, and death have been reported in some patients with </w:t>
      </w:r>
      <w:proofErr w:type="spellStart"/>
      <w:r w:rsidRPr="00E3482E">
        <w:rPr>
          <w:color w:val="000000"/>
        </w:rPr>
        <w:t>haematologic</w:t>
      </w:r>
      <w:proofErr w:type="spellEnd"/>
      <w:r w:rsidRPr="00E3482E">
        <w:rPr>
          <w:color w:val="000000"/>
        </w:rPr>
        <w:t xml:space="preserve"> malignancies treated with rituximab. The majority of patients received rituximab in combination with chemotherapy. Isolated cases have been reported in patients who either had evidence of antibodies against Hepatitis B surface antigen before treatment or did not have any such antibodies. The median time to diagnosis of hepatitis was approximately 4 months after the initiation of rituximab and approximately one month after the last dose. Analysis of events revealed rituximab use has been associated with hepatitis B (HB) reactivation in patients with positive HB surface antigen (</w:t>
      </w:r>
      <w:proofErr w:type="spellStart"/>
      <w:r w:rsidRPr="00E3482E">
        <w:rPr>
          <w:color w:val="000000"/>
        </w:rPr>
        <w:t>HBsAg+ve</w:t>
      </w:r>
      <w:proofErr w:type="spellEnd"/>
      <w:r w:rsidRPr="00E3482E">
        <w:rPr>
          <w:color w:val="000000"/>
        </w:rPr>
        <w:t>) as well as negative HB surface antigen and positive anti-HB core antibody (</w:t>
      </w:r>
      <w:proofErr w:type="spellStart"/>
      <w:r w:rsidRPr="00E3482E">
        <w:rPr>
          <w:color w:val="000000"/>
        </w:rPr>
        <w:t>HBsAg-ve</w:t>
      </w:r>
      <w:proofErr w:type="spellEnd"/>
      <w:r w:rsidRPr="00E3482E">
        <w:rPr>
          <w:color w:val="000000"/>
        </w:rPr>
        <w:t>/</w:t>
      </w:r>
      <w:proofErr w:type="spellStart"/>
      <w:r w:rsidRPr="00E3482E">
        <w:rPr>
          <w:color w:val="000000"/>
        </w:rPr>
        <w:t>HBcAb+ve</w:t>
      </w:r>
      <w:proofErr w:type="spellEnd"/>
      <w:r w:rsidRPr="00E3482E">
        <w:rPr>
          <w:color w:val="000000"/>
        </w:rPr>
        <w:t>), particularly when administered in combination with steroids or chemotherapy.</w:t>
      </w:r>
    </w:p>
    <w:p w:rsidR="00FA73CA" w:rsidRPr="00E3482E" w:rsidRDefault="00FA73CA" w:rsidP="00FA73CA">
      <w:pPr>
        <w:spacing w:before="120"/>
        <w:jc w:val="both"/>
        <w:rPr>
          <w:color w:val="000000"/>
        </w:rPr>
      </w:pPr>
      <w:r w:rsidRPr="00E3482E">
        <w:rPr>
          <w:color w:val="000000"/>
        </w:rPr>
        <w:t xml:space="preserve">HBV screening should be performed in all patients before initiation of treatment with rituximab. At a minimum this should include </w:t>
      </w:r>
      <w:proofErr w:type="spellStart"/>
      <w:r w:rsidRPr="00E3482E">
        <w:rPr>
          <w:color w:val="000000"/>
        </w:rPr>
        <w:t>HBsAg</w:t>
      </w:r>
      <w:proofErr w:type="spellEnd"/>
      <w:r w:rsidRPr="00E3482E">
        <w:rPr>
          <w:color w:val="000000"/>
        </w:rPr>
        <w:t xml:space="preserve">-status and </w:t>
      </w:r>
      <w:proofErr w:type="spellStart"/>
      <w:r w:rsidRPr="00E3482E">
        <w:rPr>
          <w:color w:val="000000"/>
        </w:rPr>
        <w:t>HBcAb</w:t>
      </w:r>
      <w:proofErr w:type="spellEnd"/>
      <w:r w:rsidRPr="00E3482E">
        <w:rPr>
          <w:color w:val="000000"/>
        </w:rPr>
        <w:t>-status. These can be complemented with other appropriate markers as per local guidelines. Patients with active HB disease should not be treated with rituximab. Reactivation of HBV infection is a well-known complication in patients with chronic hepatitis B, especially in those receiving cytotoxic or immunosuppressive therapy. In addition, non-Hodgkin’s lymphoma of itself may be an independent risk factor for HBV reactivation. Patients with positive HB serology should consult a liver disease specialist before the start of treatment and should be monitored and managed according to guidelines to prevent HB reactivation.</w:t>
      </w:r>
    </w:p>
    <w:p w:rsidR="00FA73CA" w:rsidRPr="00E3482E" w:rsidRDefault="00FA73CA" w:rsidP="00FA73CA">
      <w:pPr>
        <w:spacing w:before="120"/>
        <w:jc w:val="both"/>
        <w:rPr>
          <w:color w:val="000000"/>
        </w:rPr>
      </w:pPr>
      <w:r w:rsidRPr="00E3482E">
        <w:rPr>
          <w:color w:val="000000"/>
        </w:rPr>
        <w:t>In patients who develop reactivation of viral hepatitis B, rituximab and any concomitant chemotherapy should be discontinued and appropriate treatment including antiviral therapy initiated. There are insufficient data regarding the safety of resuming therapy with rituximab in patients who develop hepatitis subsequent to HBV reactivation.</w:t>
      </w:r>
    </w:p>
    <w:p w:rsidR="007267C1" w:rsidRPr="00E3482E" w:rsidRDefault="00FA73CA" w:rsidP="00FA73CA">
      <w:pPr>
        <w:spacing w:before="120"/>
        <w:jc w:val="both"/>
        <w:rPr>
          <w:color w:val="000000"/>
        </w:rPr>
      </w:pPr>
      <w:r w:rsidRPr="00E3482E">
        <w:rPr>
          <w:color w:val="000000"/>
        </w:rPr>
        <w:t>The following additional serious viral infections, either new, reactivated or exacerbated, have been identified in clinical studies or post-marketing reports. The majority of patients were profoundly immune-suppressed. These viral infections included JC virus [progressive multifocal leukoencephalopathy (PML)], cytomegalovirus, herpes simplex virus, parvovirus B19, varicella zoster virus, West Nile virus and hepatitis C. In some cases, the viral infections occurred up to one year following discontinuation of rituximab and have resulted in death.</w:t>
      </w:r>
    </w:p>
    <w:p w:rsidR="00FA73CA" w:rsidRPr="00E3482E" w:rsidRDefault="00FA73CA" w:rsidP="00F5092E">
      <w:pPr>
        <w:pStyle w:val="Heading2"/>
      </w:pPr>
      <w:r w:rsidRPr="00E3482E">
        <w:t>Skin Reactions</w:t>
      </w:r>
    </w:p>
    <w:p w:rsidR="00FA73CA" w:rsidRPr="00E3482E" w:rsidRDefault="00FA73CA" w:rsidP="007267C1">
      <w:pPr>
        <w:spacing w:before="120"/>
        <w:jc w:val="both"/>
        <w:rPr>
          <w:color w:val="000000"/>
        </w:rPr>
      </w:pPr>
      <w:r w:rsidRPr="00E3482E">
        <w:rPr>
          <w:color w:val="000000"/>
        </w:rPr>
        <w:t xml:space="preserve">Severe skin reactions such as toxic epidermal necrolysis and Stevens-Johnson syndrome, some with fatal outcome, have been reported (see </w:t>
      </w:r>
      <w:r w:rsidRPr="00E3482E">
        <w:rPr>
          <w:i/>
          <w:color w:val="000000"/>
        </w:rPr>
        <w:t xml:space="preserve">Post-Marketing Experience - Non-Hodgkin’s </w:t>
      </w:r>
      <w:r w:rsidRPr="00E3482E">
        <w:rPr>
          <w:i/>
          <w:color w:val="000000"/>
        </w:rPr>
        <w:lastRenderedPageBreak/>
        <w:t>Lymphoma and Chronic Lymphocytic Leukaemia</w:t>
      </w:r>
      <w:r w:rsidRPr="00E3482E">
        <w:rPr>
          <w:color w:val="000000"/>
        </w:rPr>
        <w:t>). In case of such an event, with a suspected relationship to rituximab, treatment should be permanently discontinued.</w:t>
      </w:r>
    </w:p>
    <w:p w:rsidR="00FA73CA" w:rsidRPr="00E3482E" w:rsidRDefault="00FA73CA" w:rsidP="00F5092E">
      <w:pPr>
        <w:pStyle w:val="Heading2"/>
      </w:pPr>
      <w:r w:rsidRPr="00E3482E">
        <w:t>Immunisation</w:t>
      </w:r>
    </w:p>
    <w:p w:rsidR="00FA73CA" w:rsidRPr="00E3482E" w:rsidRDefault="00FA73CA" w:rsidP="00FA73CA">
      <w:pPr>
        <w:spacing w:before="120"/>
        <w:jc w:val="both"/>
        <w:rPr>
          <w:color w:val="000000"/>
        </w:rPr>
      </w:pPr>
      <w:r w:rsidRPr="00E3482E">
        <w:rPr>
          <w:color w:val="000000"/>
        </w:rPr>
        <w:t>The safety of immunisation with live viral vaccines, following rituximab therapy has not been studied and vaccination with live virus vaccines is not recommended.</w:t>
      </w:r>
    </w:p>
    <w:p w:rsidR="00FA73CA" w:rsidRPr="00E3482E" w:rsidRDefault="00FA73CA" w:rsidP="00FA73CA">
      <w:pPr>
        <w:spacing w:before="120"/>
        <w:jc w:val="both"/>
        <w:rPr>
          <w:color w:val="000000"/>
        </w:rPr>
      </w:pPr>
      <w:r w:rsidRPr="00E3482E">
        <w:rPr>
          <w:color w:val="000000"/>
        </w:rPr>
        <w:t xml:space="preserve">Patients treated with rituximab may receive non-live vaccinations. However, with non-live vaccines response rates may be reduced. In a non-randomised study, patients with relapsed low-grade NHL who received rituximab monotherapy when compared to healthy untreated controls had a lower rate of response to vaccination with tetanus recall antigen (16% vs. 81%) and Keyhole Limpet </w:t>
      </w:r>
      <w:proofErr w:type="spellStart"/>
      <w:r w:rsidRPr="00E3482E">
        <w:rPr>
          <w:color w:val="000000"/>
        </w:rPr>
        <w:t>Haemocyanin</w:t>
      </w:r>
      <w:proofErr w:type="spellEnd"/>
      <w:r w:rsidRPr="00E3482E">
        <w:rPr>
          <w:color w:val="000000"/>
        </w:rPr>
        <w:t xml:space="preserve"> (KLH) </w:t>
      </w:r>
      <w:proofErr w:type="spellStart"/>
      <w:r w:rsidRPr="00E3482E">
        <w:rPr>
          <w:color w:val="000000"/>
        </w:rPr>
        <w:t>neoantigen</w:t>
      </w:r>
      <w:proofErr w:type="spellEnd"/>
      <w:r w:rsidRPr="00E3482E">
        <w:rPr>
          <w:color w:val="000000"/>
        </w:rPr>
        <w:t xml:space="preserve"> (4% vs. 76% when assessed for &gt; 2-fold increase in antibody </w:t>
      </w:r>
      <w:proofErr w:type="spellStart"/>
      <w:r w:rsidRPr="00E3482E">
        <w:rPr>
          <w:color w:val="000000"/>
        </w:rPr>
        <w:t>titer</w:t>
      </w:r>
      <w:proofErr w:type="spellEnd"/>
      <w:r w:rsidRPr="00E3482E">
        <w:rPr>
          <w:color w:val="000000"/>
        </w:rPr>
        <w:t>).</w:t>
      </w:r>
    </w:p>
    <w:p w:rsidR="00FA73CA" w:rsidRPr="00E3482E" w:rsidRDefault="00FA73CA" w:rsidP="00FA73CA">
      <w:pPr>
        <w:spacing w:before="120"/>
        <w:jc w:val="both"/>
        <w:rPr>
          <w:color w:val="000000"/>
        </w:rPr>
      </w:pPr>
      <w:r w:rsidRPr="00E3482E">
        <w:rPr>
          <w:color w:val="000000"/>
        </w:rPr>
        <w:t xml:space="preserve">Mean pre-therapeutic antibody </w:t>
      </w:r>
      <w:proofErr w:type="spellStart"/>
      <w:r w:rsidRPr="00E3482E">
        <w:rPr>
          <w:color w:val="000000"/>
        </w:rPr>
        <w:t>titers</w:t>
      </w:r>
      <w:proofErr w:type="spellEnd"/>
      <w:r w:rsidRPr="00E3482E">
        <w:rPr>
          <w:color w:val="000000"/>
        </w:rPr>
        <w:t xml:space="preserve"> against a panel of antigens (Streptococcus pneumoniae, influenza A, mumps, rubella, </w:t>
      </w:r>
      <w:proofErr w:type="gramStart"/>
      <w:r w:rsidRPr="00E3482E">
        <w:rPr>
          <w:color w:val="000000"/>
        </w:rPr>
        <w:t>varicella</w:t>
      </w:r>
      <w:proofErr w:type="gramEnd"/>
      <w:r w:rsidRPr="00E3482E">
        <w:rPr>
          <w:color w:val="000000"/>
        </w:rPr>
        <w:t>) were maintained for at least 6 months after treatment with rituximab.</w:t>
      </w:r>
    </w:p>
    <w:p w:rsidR="00FA73CA" w:rsidRPr="00E3482E" w:rsidRDefault="00FA73CA" w:rsidP="00F5092E">
      <w:pPr>
        <w:pStyle w:val="Heading2"/>
      </w:pPr>
      <w:r w:rsidRPr="00E3482E">
        <w:t>Progressive multifocal leukoencephalopathy (PML)</w:t>
      </w:r>
    </w:p>
    <w:p w:rsidR="007267C1" w:rsidRPr="00E3482E" w:rsidRDefault="00FA73CA" w:rsidP="007267C1">
      <w:pPr>
        <w:spacing w:before="120"/>
        <w:jc w:val="both"/>
        <w:rPr>
          <w:color w:val="000000"/>
        </w:rPr>
      </w:pPr>
      <w:r w:rsidRPr="00E3482E">
        <w:rPr>
          <w:color w:val="000000"/>
        </w:rPr>
        <w:t>Cases of progressive multifocal leukoencephalopathy (PML) have been reported during use of rituximab in NHL and CLL. The majority of patients had received rituximab in combination with chemotherapy or as part of a haematopoietic stem cell transplant (</w:t>
      </w:r>
      <w:r w:rsidR="00371064" w:rsidRPr="00E3482E">
        <w:rPr>
          <w:color w:val="000000"/>
        </w:rPr>
        <w:t>s</w:t>
      </w:r>
      <w:r w:rsidRPr="00E3482E">
        <w:rPr>
          <w:color w:val="000000"/>
        </w:rPr>
        <w:t xml:space="preserve">ee </w:t>
      </w:r>
      <w:r w:rsidRPr="00E3482E">
        <w:rPr>
          <w:b/>
          <w:color w:val="000000"/>
        </w:rPr>
        <w:t>BOXED WARNING</w:t>
      </w:r>
      <w:r w:rsidRPr="00E3482E">
        <w:rPr>
          <w:color w:val="000000"/>
        </w:rPr>
        <w:t xml:space="preserve">, </w:t>
      </w:r>
      <w:r w:rsidRPr="00E3482E">
        <w:rPr>
          <w:b/>
          <w:color w:val="000000"/>
        </w:rPr>
        <w:t>ADVERSE EFFECTS</w:t>
      </w:r>
      <w:r w:rsidRPr="00E3482E">
        <w:rPr>
          <w:color w:val="000000"/>
        </w:rPr>
        <w:t xml:space="preserve"> and </w:t>
      </w:r>
      <w:r w:rsidRPr="00E3482E">
        <w:rPr>
          <w:b/>
          <w:color w:val="000000"/>
        </w:rPr>
        <w:t>PRECAUTIONS</w:t>
      </w:r>
      <w:r w:rsidRPr="00E3482E">
        <w:rPr>
          <w:color w:val="000000"/>
        </w:rPr>
        <w:t xml:space="preserve"> - </w:t>
      </w:r>
      <w:r w:rsidRPr="00E3482E">
        <w:rPr>
          <w:i/>
          <w:color w:val="000000"/>
        </w:rPr>
        <w:t>Post-Marketing Experience</w:t>
      </w:r>
      <w:r w:rsidRPr="00E3482E">
        <w:rPr>
          <w:color w:val="000000"/>
        </w:rPr>
        <w:t>).</w:t>
      </w:r>
    </w:p>
    <w:p w:rsidR="00FA73CA" w:rsidRPr="00E3482E" w:rsidRDefault="00FA73CA" w:rsidP="00F5092E">
      <w:pPr>
        <w:pStyle w:val="HeadingUnderlined"/>
      </w:pPr>
      <w:r w:rsidRPr="00E3482E">
        <w:t xml:space="preserve">Rheumatoid Arthritis (RA), Granulomatosis with </w:t>
      </w:r>
      <w:r w:rsidR="00D6167E" w:rsidRPr="00E3482E">
        <w:t>p</w:t>
      </w:r>
      <w:r w:rsidRPr="00E3482E">
        <w:t xml:space="preserve">olyangiitis (Wegener’s) (GPA) and Microscopic </w:t>
      </w:r>
      <w:r w:rsidR="00D6167E" w:rsidRPr="00E3482E">
        <w:t>p</w:t>
      </w:r>
      <w:r w:rsidRPr="00E3482E">
        <w:t>olyangiitis (MPA)</w:t>
      </w:r>
    </w:p>
    <w:p w:rsidR="00FA73CA" w:rsidRPr="00E3482E" w:rsidRDefault="00FA73CA" w:rsidP="00FA73CA">
      <w:pPr>
        <w:spacing w:before="120"/>
        <w:jc w:val="both"/>
        <w:rPr>
          <w:color w:val="000000"/>
        </w:rPr>
      </w:pPr>
      <w:r w:rsidRPr="00E3482E">
        <w:rPr>
          <w:color w:val="000000"/>
        </w:rPr>
        <w:t>The efficacy and safety of rituximab for the treatment of autoimmune diseases other than RA, GPA and MPA have not been established.</w:t>
      </w:r>
    </w:p>
    <w:p w:rsidR="00FA73CA" w:rsidRPr="00E3482E" w:rsidRDefault="00FA73CA" w:rsidP="00FA73CA">
      <w:pPr>
        <w:spacing w:before="120"/>
        <w:jc w:val="both"/>
        <w:rPr>
          <w:color w:val="000000"/>
        </w:rPr>
      </w:pPr>
      <w:r w:rsidRPr="00E3482E">
        <w:rPr>
          <w:color w:val="000000"/>
        </w:rPr>
        <w:t xml:space="preserve">Rituximab in combination with glucocorticoids is indicated for the induction of remission in patients with severely active GPA and MPA. Limited data are available on the efficacy and safety of subsequent courses of rituximab in patients with GPA and </w:t>
      </w:r>
      <w:proofErr w:type="gramStart"/>
      <w:r w:rsidRPr="00E3482E">
        <w:rPr>
          <w:color w:val="000000"/>
        </w:rPr>
        <w:t>MPA,</w:t>
      </w:r>
      <w:proofErr w:type="gramEnd"/>
      <w:r w:rsidRPr="00E3482E">
        <w:rPr>
          <w:color w:val="000000"/>
        </w:rPr>
        <w:t xml:space="preserve"> hence the efficacy and safety of retreatment with rituximab for these diseases have not been established.</w:t>
      </w:r>
    </w:p>
    <w:p w:rsidR="007267C1" w:rsidRPr="00E3482E" w:rsidRDefault="00FA73CA" w:rsidP="00FA73CA">
      <w:pPr>
        <w:spacing w:before="120"/>
        <w:jc w:val="both"/>
        <w:rPr>
          <w:color w:val="000000"/>
        </w:rPr>
      </w:pPr>
      <w:r w:rsidRPr="00E3482E">
        <w:rPr>
          <w:color w:val="000000"/>
        </w:rPr>
        <w:t xml:space="preserve">Limited data from retrospective experience may suggest that vasculitis versus granulomatous disease manifestations of GPA have a differential treatment response to rituximab. These reports lack confirmatory data. Most available reports, including controlled studies, clearly show that both </w:t>
      </w:r>
      <w:proofErr w:type="spellStart"/>
      <w:r w:rsidRPr="00E3482E">
        <w:rPr>
          <w:color w:val="000000"/>
        </w:rPr>
        <w:t>vasculitic</w:t>
      </w:r>
      <w:proofErr w:type="spellEnd"/>
      <w:r w:rsidRPr="00E3482E">
        <w:rPr>
          <w:color w:val="000000"/>
        </w:rPr>
        <w:t xml:space="preserve"> and granulomatous disease manifestations of GPA respond well to rituximab.</w:t>
      </w:r>
    </w:p>
    <w:p w:rsidR="00FA73CA" w:rsidRPr="00E3482E" w:rsidRDefault="00FA73CA" w:rsidP="00F5092E">
      <w:pPr>
        <w:pStyle w:val="Heading2"/>
      </w:pPr>
      <w:r w:rsidRPr="00E3482E">
        <w:t>Infusion-related reactions</w:t>
      </w:r>
    </w:p>
    <w:p w:rsidR="00FA73CA" w:rsidRPr="00E3482E" w:rsidRDefault="00FA73CA" w:rsidP="00FA73CA">
      <w:pPr>
        <w:spacing w:before="120"/>
        <w:jc w:val="both"/>
        <w:rPr>
          <w:color w:val="000000"/>
        </w:rPr>
      </w:pPr>
      <w:r w:rsidRPr="00E3482E">
        <w:rPr>
          <w:color w:val="000000"/>
        </w:rPr>
        <w:t xml:space="preserve">Rituximab is associated with infusion-related reactions (IRRs), which may be related to release of cytokines and/or other chemical mediators. Premedication consisting of an analgesic/antipyretic drug and an antihistamine drug should always be administered before each infusion of rituximab. For </w:t>
      </w:r>
      <w:r w:rsidRPr="00E3482E">
        <w:rPr>
          <w:color w:val="000000"/>
          <w:u w:val="single"/>
        </w:rPr>
        <w:t>RA patients</w:t>
      </w:r>
      <w:r w:rsidR="00F11870">
        <w:rPr>
          <w:color w:val="000000"/>
          <w:u w:val="single"/>
        </w:rPr>
        <w:t>,</w:t>
      </w:r>
      <w:r w:rsidRPr="00E3482E">
        <w:rPr>
          <w:color w:val="000000"/>
        </w:rPr>
        <w:t xml:space="preserve"> premedication with glucocorticoids should also be administered before each infusion of </w:t>
      </w:r>
      <w:r w:rsidR="00371064" w:rsidRPr="00E3482E">
        <w:rPr>
          <w:color w:val="000000"/>
        </w:rPr>
        <w:t>rituximab</w:t>
      </w:r>
      <w:r w:rsidRPr="00E3482E">
        <w:rPr>
          <w:color w:val="000000"/>
        </w:rPr>
        <w:t xml:space="preserve"> in order to reduce the frequency and severity of </w:t>
      </w:r>
      <w:r w:rsidRPr="00E3482E">
        <w:rPr>
          <w:color w:val="000000"/>
        </w:rPr>
        <w:lastRenderedPageBreak/>
        <w:t xml:space="preserve">IRRs (see </w:t>
      </w:r>
      <w:r w:rsidRPr="00E3482E">
        <w:rPr>
          <w:b/>
          <w:color w:val="000000"/>
        </w:rPr>
        <w:t>ADVERSE EFFECTS</w:t>
      </w:r>
      <w:r w:rsidRPr="00E3482E">
        <w:rPr>
          <w:color w:val="000000"/>
        </w:rPr>
        <w:t xml:space="preserve"> - </w:t>
      </w:r>
      <w:r w:rsidRPr="00E3482E">
        <w:rPr>
          <w:i/>
          <w:color w:val="000000"/>
        </w:rPr>
        <w:t>Experience from Rheumatoid Arthritis Clinical Trials</w:t>
      </w:r>
      <w:r w:rsidRPr="00E3482E">
        <w:rPr>
          <w:color w:val="000000"/>
        </w:rPr>
        <w:t xml:space="preserve"> and </w:t>
      </w:r>
      <w:r w:rsidRPr="00E3482E">
        <w:rPr>
          <w:b/>
          <w:color w:val="000000"/>
        </w:rPr>
        <w:t>DOSAGE AND ADMINISTRATION</w:t>
      </w:r>
      <w:r w:rsidRPr="00E3482E">
        <w:rPr>
          <w:color w:val="000000"/>
        </w:rPr>
        <w:t xml:space="preserve"> – </w:t>
      </w:r>
      <w:r w:rsidRPr="00E3482E">
        <w:rPr>
          <w:i/>
          <w:color w:val="000000"/>
        </w:rPr>
        <w:t>Rheumatoid Arthritis</w:t>
      </w:r>
      <w:r w:rsidRPr="00E3482E">
        <w:rPr>
          <w:color w:val="000000"/>
        </w:rPr>
        <w:t>).</w:t>
      </w:r>
    </w:p>
    <w:p w:rsidR="00FA73CA" w:rsidRPr="00E3482E" w:rsidRDefault="00FA73CA" w:rsidP="00FA73CA">
      <w:pPr>
        <w:spacing w:before="120"/>
        <w:jc w:val="both"/>
        <w:rPr>
          <w:color w:val="000000"/>
        </w:rPr>
      </w:pPr>
      <w:r w:rsidRPr="00E3482E">
        <w:rPr>
          <w:color w:val="000000"/>
        </w:rPr>
        <w:t xml:space="preserve">For </w:t>
      </w:r>
      <w:r w:rsidRPr="00E3482E">
        <w:rPr>
          <w:color w:val="000000"/>
          <w:u w:val="single"/>
        </w:rPr>
        <w:t>RA patients</w:t>
      </w:r>
      <w:r w:rsidRPr="00E3482E">
        <w:rPr>
          <w:color w:val="000000"/>
        </w:rPr>
        <w:t xml:space="preserve">, most IRRs reported in clinical trials were mild to moderate in severity. Severe IRRs with fatal outcome have been reported in the post-marketing setting (see </w:t>
      </w:r>
      <w:r w:rsidRPr="00E3482E">
        <w:rPr>
          <w:i/>
          <w:color w:val="000000"/>
        </w:rPr>
        <w:t>Post-Marketing Experience – Rheumatoid Arthritis</w:t>
      </w:r>
      <w:r w:rsidRPr="00E3482E">
        <w:rPr>
          <w:color w:val="000000"/>
        </w:rPr>
        <w:t xml:space="preserve">). Closely monitor patients with pre-existing cardiac conditions and those who experienced prior cardiopulmonary adverse reactions. The most common symptoms were headache, pruritus, throat irritation, flushing, rash, </w:t>
      </w:r>
      <w:proofErr w:type="spellStart"/>
      <w:r w:rsidRPr="00E3482E">
        <w:rPr>
          <w:color w:val="000000"/>
        </w:rPr>
        <w:t>urticaria</w:t>
      </w:r>
      <w:proofErr w:type="spellEnd"/>
      <w:r w:rsidRPr="00E3482E">
        <w:rPr>
          <w:color w:val="000000"/>
        </w:rPr>
        <w:t xml:space="preserve">, hypertension, and pyrexia. In general, the proportion of patients experiencing any infusion reaction was higher following the first infusion of any treatment course than following the second infusion. Subsequent </w:t>
      </w:r>
      <w:r w:rsidR="00371064" w:rsidRPr="00E3482E">
        <w:rPr>
          <w:color w:val="000000"/>
        </w:rPr>
        <w:t>rituximab</w:t>
      </w:r>
      <w:r w:rsidRPr="00E3482E">
        <w:rPr>
          <w:color w:val="000000"/>
        </w:rPr>
        <w:t xml:space="preserve"> infusions were better tolerated by patients than the initial infusion. </w:t>
      </w:r>
      <w:proofErr w:type="gramStart"/>
      <w:r w:rsidRPr="00E3482E">
        <w:rPr>
          <w:color w:val="000000"/>
        </w:rPr>
        <w:t>Fewer</w:t>
      </w:r>
      <w:proofErr w:type="gramEnd"/>
      <w:r w:rsidRPr="00E3482E">
        <w:rPr>
          <w:color w:val="000000"/>
        </w:rPr>
        <w:t xml:space="preserve"> than 1% of patients experienced serious IRRs, with most of these reported during the first infusion of the first course (see </w:t>
      </w:r>
      <w:r w:rsidRPr="00E3482E">
        <w:rPr>
          <w:b/>
          <w:color w:val="000000"/>
        </w:rPr>
        <w:t>A</w:t>
      </w:r>
      <w:r w:rsidR="00371064" w:rsidRPr="00E3482E">
        <w:rPr>
          <w:b/>
          <w:color w:val="000000"/>
        </w:rPr>
        <w:t>DVERSE EFFECTS</w:t>
      </w:r>
      <w:r w:rsidRPr="00E3482E">
        <w:rPr>
          <w:color w:val="000000"/>
        </w:rPr>
        <w:t xml:space="preserve"> - </w:t>
      </w:r>
      <w:r w:rsidRPr="00E3482E">
        <w:rPr>
          <w:i/>
          <w:color w:val="000000"/>
        </w:rPr>
        <w:t>Experience from Rheumatoid Arthritis Clinical Trials</w:t>
      </w:r>
      <w:r w:rsidRPr="00E3482E">
        <w:rPr>
          <w:color w:val="000000"/>
        </w:rPr>
        <w:t>).</w:t>
      </w:r>
      <w:r w:rsidR="00F11870">
        <w:rPr>
          <w:color w:val="000000"/>
        </w:rPr>
        <w:t xml:space="preserve"> </w:t>
      </w:r>
      <w:r w:rsidRPr="00E3482E">
        <w:rPr>
          <w:color w:val="000000"/>
        </w:rPr>
        <w:t xml:space="preserve">The reactions reported were usually reversible with a reduction in rate, or interruption, of </w:t>
      </w:r>
      <w:r w:rsidR="00371064" w:rsidRPr="00E3482E">
        <w:rPr>
          <w:color w:val="000000"/>
        </w:rPr>
        <w:t>rituximab</w:t>
      </w:r>
      <w:r w:rsidRPr="00E3482E">
        <w:rPr>
          <w:color w:val="000000"/>
        </w:rPr>
        <w:t xml:space="preserve"> infusion and administration of an anti-pyretic, an antihistamine, and, occasionally, oxygen, IV saline or bronchodilators, and glucocorticoids if required. Depending on the severity of the IRR and the required interventions, temporarily or permanently discontinue </w:t>
      </w:r>
      <w:r w:rsidR="00371064" w:rsidRPr="00E3482E">
        <w:rPr>
          <w:color w:val="000000"/>
        </w:rPr>
        <w:t>rituximab</w:t>
      </w:r>
      <w:r w:rsidRPr="00E3482E">
        <w:rPr>
          <w:color w:val="000000"/>
        </w:rPr>
        <w:t>. In most cases, the infusion can be resumed at a 50% reduction in rate (e.g. from 100 mg/h to 50 mg/h) when symptoms have completely resolved.</w:t>
      </w:r>
    </w:p>
    <w:p w:rsidR="007267C1" w:rsidRPr="00E3482E" w:rsidRDefault="00FA73CA" w:rsidP="00FA73CA">
      <w:pPr>
        <w:spacing w:before="120"/>
        <w:jc w:val="both"/>
        <w:rPr>
          <w:color w:val="000000"/>
        </w:rPr>
      </w:pPr>
      <w:r w:rsidRPr="00E3482E">
        <w:rPr>
          <w:color w:val="000000"/>
        </w:rPr>
        <w:t xml:space="preserve">For </w:t>
      </w:r>
      <w:r w:rsidRPr="00E3482E">
        <w:rPr>
          <w:color w:val="000000"/>
          <w:u w:val="single"/>
        </w:rPr>
        <w:t>GPA and MPA patients</w:t>
      </w:r>
      <w:r w:rsidRPr="00E3482E">
        <w:rPr>
          <w:color w:val="000000"/>
        </w:rPr>
        <w:t xml:space="preserve">, IRRs were similar to those seen for RA patients in clinical trials (see </w:t>
      </w:r>
      <w:r w:rsidRPr="00E3482E">
        <w:rPr>
          <w:b/>
          <w:color w:val="000000"/>
        </w:rPr>
        <w:t>ADVERSE EFFECTS</w:t>
      </w:r>
      <w:r w:rsidRPr="00E3482E">
        <w:rPr>
          <w:color w:val="000000"/>
        </w:rPr>
        <w:t xml:space="preserve"> - </w:t>
      </w:r>
      <w:r w:rsidRPr="00E3482E">
        <w:rPr>
          <w:i/>
          <w:color w:val="000000"/>
        </w:rPr>
        <w:t xml:space="preserve">Clinical Trial Experience in Granulomatosis with </w:t>
      </w:r>
      <w:proofErr w:type="spellStart"/>
      <w:r w:rsidRPr="00E3482E">
        <w:rPr>
          <w:i/>
          <w:color w:val="000000"/>
        </w:rPr>
        <w:t>polyangiitis</w:t>
      </w:r>
      <w:proofErr w:type="spellEnd"/>
      <w:r w:rsidRPr="00E3482E">
        <w:rPr>
          <w:i/>
          <w:color w:val="000000"/>
        </w:rPr>
        <w:t xml:space="preserve"> (Wegener’s) (GPA) and Microscopic </w:t>
      </w:r>
      <w:proofErr w:type="spellStart"/>
      <w:r w:rsidRPr="00E3482E">
        <w:rPr>
          <w:i/>
          <w:color w:val="000000"/>
        </w:rPr>
        <w:t>polyangiitis</w:t>
      </w:r>
      <w:proofErr w:type="spellEnd"/>
      <w:r w:rsidRPr="00E3482E">
        <w:rPr>
          <w:i/>
          <w:color w:val="000000"/>
        </w:rPr>
        <w:t xml:space="preserve"> (MPA)</w:t>
      </w:r>
      <w:r w:rsidRPr="00E3482E">
        <w:rPr>
          <w:color w:val="000000"/>
        </w:rPr>
        <w:t xml:space="preserve">). For GPA and MPA patients, </w:t>
      </w:r>
      <w:r w:rsidR="00371064" w:rsidRPr="00E3482E">
        <w:rPr>
          <w:color w:val="000000"/>
        </w:rPr>
        <w:t>rituximab</w:t>
      </w:r>
      <w:r w:rsidRPr="00E3482E">
        <w:rPr>
          <w:color w:val="000000"/>
        </w:rPr>
        <w:t xml:space="preserve"> was given in combination with high doses of glucocorticoids (see </w:t>
      </w:r>
      <w:r w:rsidRPr="00E3482E">
        <w:rPr>
          <w:b/>
          <w:color w:val="000000"/>
        </w:rPr>
        <w:t>DOSAGE AND ADMINISTRATION</w:t>
      </w:r>
      <w:r w:rsidRPr="00E3482E">
        <w:rPr>
          <w:color w:val="000000"/>
        </w:rPr>
        <w:t xml:space="preserve">), which may reduce the incidence and severity of these events (see information for </w:t>
      </w:r>
      <w:r w:rsidRPr="00E3482E">
        <w:rPr>
          <w:color w:val="000000"/>
          <w:u w:val="single"/>
        </w:rPr>
        <w:t>RA indication</w:t>
      </w:r>
      <w:r w:rsidRPr="00E3482E">
        <w:rPr>
          <w:color w:val="000000"/>
        </w:rPr>
        <w:t xml:space="preserve"> above).</w:t>
      </w:r>
    </w:p>
    <w:p w:rsidR="00371064" w:rsidRPr="00E3482E" w:rsidRDefault="00371064" w:rsidP="00371064">
      <w:pPr>
        <w:spacing w:before="120"/>
        <w:jc w:val="both"/>
        <w:rPr>
          <w:color w:val="000000"/>
        </w:rPr>
      </w:pPr>
      <w:r w:rsidRPr="00E3482E">
        <w:rPr>
          <w:i/>
          <w:color w:val="000000"/>
        </w:rPr>
        <w:t>Hypersensitivity Reactions/Anaphylaxis</w:t>
      </w:r>
      <w:r w:rsidRPr="00E3482E">
        <w:rPr>
          <w:color w:val="000000"/>
        </w:rPr>
        <w:t xml:space="preserve"> </w:t>
      </w:r>
    </w:p>
    <w:p w:rsidR="00FA73CA" w:rsidRPr="00E3482E" w:rsidRDefault="00371064" w:rsidP="00FA73CA">
      <w:pPr>
        <w:spacing w:before="120"/>
        <w:jc w:val="both"/>
        <w:rPr>
          <w:color w:val="000000"/>
        </w:rPr>
      </w:pPr>
      <w:r w:rsidRPr="00E3482E">
        <w:rPr>
          <w:color w:val="000000"/>
        </w:rPr>
        <w:t>Anaphylactic and other hypersensitivity reactions have been reported following the intravenous administration of proteins to patients. Medicinal products for the treatment of hypersensitivity reactions, e.g., adrenaline, antihistamines and glucocorticoids, should be available for immediate use in the event of an allergic reaction during administration of rituximab. The presence of HACA may be associated with worsening infusion or allergic reactions after the second infusion of subsequent courses.</w:t>
      </w:r>
    </w:p>
    <w:p w:rsidR="00371064" w:rsidRPr="00E3482E" w:rsidRDefault="00371064" w:rsidP="00F5092E">
      <w:pPr>
        <w:pStyle w:val="Heading2"/>
      </w:pPr>
      <w:r w:rsidRPr="00E3482E">
        <w:t>Infections</w:t>
      </w:r>
    </w:p>
    <w:p w:rsidR="00371064" w:rsidRPr="00E3482E" w:rsidRDefault="00371064" w:rsidP="00371064">
      <w:pPr>
        <w:spacing w:before="120"/>
        <w:jc w:val="both"/>
        <w:rPr>
          <w:color w:val="000000"/>
        </w:rPr>
      </w:pPr>
      <w:r w:rsidRPr="00E3482E">
        <w:rPr>
          <w:color w:val="000000"/>
        </w:rPr>
        <w:t xml:space="preserve">Serious infections, including fatalities, can occur during therapy with rituximab. </w:t>
      </w:r>
      <w:proofErr w:type="gramStart"/>
      <w:r w:rsidRPr="00E3482E">
        <w:rPr>
          <w:color w:val="000000"/>
        </w:rPr>
        <w:t xml:space="preserve">Based on the mechanism of action of rituximab and the knowledge that B cells play an important role in maintaining normal immune response, patients may have an increased risk of infection following rituximab therapy (see </w:t>
      </w:r>
      <w:r w:rsidRPr="00E3482E">
        <w:rPr>
          <w:b/>
          <w:color w:val="000000"/>
        </w:rPr>
        <w:t>PHARMACOLOGY</w:t>
      </w:r>
      <w:r w:rsidRPr="00E3482E">
        <w:rPr>
          <w:color w:val="000000"/>
        </w:rPr>
        <w:t xml:space="preserve"> - </w:t>
      </w:r>
      <w:r w:rsidRPr="00E3482E">
        <w:rPr>
          <w:i/>
          <w:color w:val="000000"/>
        </w:rPr>
        <w:t>Pharmacodynamics</w:t>
      </w:r>
      <w:r w:rsidRPr="00E3482E">
        <w:rPr>
          <w:color w:val="000000"/>
        </w:rPr>
        <w:t>).</w:t>
      </w:r>
      <w:proofErr w:type="gramEnd"/>
      <w:r w:rsidRPr="00E3482E">
        <w:rPr>
          <w:color w:val="000000"/>
        </w:rPr>
        <w:t xml:space="preserve"> A small proportion of patients (approximately 8%) had prolonged peripheral B-cell depletion (&lt; 80 cells/</w:t>
      </w:r>
      <w:proofErr w:type="spellStart"/>
      <w:r w:rsidRPr="00E3482E">
        <w:rPr>
          <w:color w:val="000000"/>
        </w:rPr>
        <w:t>μl</w:t>
      </w:r>
      <w:proofErr w:type="spellEnd"/>
      <w:r w:rsidRPr="00E3482E">
        <w:rPr>
          <w:color w:val="000000"/>
        </w:rPr>
        <w:t>) lasting 2 years or more after their last dose of rituximab. Approximately a third of these patients had low B-cell counts (&lt;80 cells/</w:t>
      </w:r>
      <w:proofErr w:type="spellStart"/>
      <w:r w:rsidRPr="00E3482E">
        <w:rPr>
          <w:color w:val="000000"/>
        </w:rPr>
        <w:t>μL</w:t>
      </w:r>
      <w:proofErr w:type="spellEnd"/>
      <w:r w:rsidRPr="00E3482E">
        <w:rPr>
          <w:color w:val="000000"/>
        </w:rPr>
        <w:t>) prior to starting rituximab treatment.</w:t>
      </w:r>
    </w:p>
    <w:p w:rsidR="00371064" w:rsidRPr="00E3482E" w:rsidRDefault="00371064" w:rsidP="00371064">
      <w:pPr>
        <w:spacing w:before="120"/>
        <w:jc w:val="both"/>
        <w:rPr>
          <w:color w:val="000000"/>
        </w:rPr>
      </w:pPr>
      <w:r w:rsidRPr="00E3482E">
        <w:rPr>
          <w:color w:val="000000"/>
        </w:rPr>
        <w:lastRenderedPageBreak/>
        <w:t>Rituximab should not be administered to patients with an active infection or severely immunocompromised patients (e.g. where levels of CD4 or CD8 are very low). Physicians should exercise caution when considering the use of rituximab in patients with a history of recurring or chronic infections or with underlying conditions which may further predispose patients to serious infection. Patients who develop infection following rituximab therapy should be promptly evaluated and treated appropriately.</w:t>
      </w:r>
    </w:p>
    <w:p w:rsidR="00FA73CA" w:rsidRPr="00E3482E" w:rsidRDefault="00371064" w:rsidP="00371064">
      <w:pPr>
        <w:spacing w:before="120"/>
        <w:jc w:val="both"/>
        <w:rPr>
          <w:color w:val="000000"/>
        </w:rPr>
      </w:pPr>
      <w:r w:rsidRPr="00E3482E">
        <w:rPr>
          <w:color w:val="000000"/>
        </w:rPr>
        <w:t>Cases of reactivation of hepatitis B infection, including those with a fatal outcome, have been reported in RA, GPA and MPA patients receiving rituximab. Analysis of events revealed rituximab use has been associated with hepatitis B (HB) reactivation in patients with positive HB surface antigen (</w:t>
      </w:r>
      <w:proofErr w:type="spellStart"/>
      <w:r w:rsidRPr="00E3482E">
        <w:rPr>
          <w:color w:val="000000"/>
        </w:rPr>
        <w:t>HBsAg+ve</w:t>
      </w:r>
      <w:proofErr w:type="spellEnd"/>
      <w:r w:rsidRPr="00E3482E">
        <w:rPr>
          <w:color w:val="000000"/>
        </w:rPr>
        <w:t>) as well as negative HB surface antigen and positive anti-HB core antibody (</w:t>
      </w:r>
      <w:proofErr w:type="spellStart"/>
      <w:r w:rsidRPr="00E3482E">
        <w:rPr>
          <w:color w:val="000000"/>
        </w:rPr>
        <w:t>HBsAg-ve</w:t>
      </w:r>
      <w:proofErr w:type="spellEnd"/>
      <w:r w:rsidRPr="00E3482E">
        <w:rPr>
          <w:color w:val="000000"/>
        </w:rPr>
        <w:t>/</w:t>
      </w:r>
      <w:proofErr w:type="spellStart"/>
      <w:r w:rsidRPr="00E3482E">
        <w:rPr>
          <w:color w:val="000000"/>
        </w:rPr>
        <w:t>HBcAb+ve</w:t>
      </w:r>
      <w:proofErr w:type="spellEnd"/>
      <w:r w:rsidRPr="00E3482E">
        <w:rPr>
          <w:color w:val="000000"/>
        </w:rPr>
        <w:t>), particularly when administered in combination with steroids.</w:t>
      </w:r>
    </w:p>
    <w:p w:rsidR="00FA73CA" w:rsidRPr="00E3482E" w:rsidRDefault="00371064" w:rsidP="00FA73CA">
      <w:pPr>
        <w:spacing w:before="120"/>
        <w:jc w:val="both"/>
        <w:rPr>
          <w:color w:val="000000"/>
        </w:rPr>
      </w:pPr>
      <w:r w:rsidRPr="00E3482E">
        <w:rPr>
          <w:color w:val="000000"/>
        </w:rPr>
        <w:t xml:space="preserve">Hepatitis B virus (HBV) screening should be performed in all patients before initiation of treatment with rituximab. At a minimum this should include </w:t>
      </w:r>
      <w:proofErr w:type="spellStart"/>
      <w:r w:rsidRPr="00E3482E">
        <w:rPr>
          <w:color w:val="000000"/>
        </w:rPr>
        <w:t>HBsAg</w:t>
      </w:r>
      <w:proofErr w:type="spellEnd"/>
      <w:r w:rsidRPr="00E3482E">
        <w:rPr>
          <w:color w:val="000000"/>
        </w:rPr>
        <w:t xml:space="preserve">-status and </w:t>
      </w:r>
      <w:proofErr w:type="spellStart"/>
      <w:r w:rsidRPr="00E3482E">
        <w:rPr>
          <w:color w:val="000000"/>
        </w:rPr>
        <w:t>HBcAb</w:t>
      </w:r>
      <w:proofErr w:type="spellEnd"/>
      <w:r w:rsidRPr="00E3482E">
        <w:rPr>
          <w:color w:val="000000"/>
        </w:rPr>
        <w:t>-status. These can be complemented with other appropriate markers as per local guidelines. Patients with active HB disease should not be treated with rituximab. Patients with positive HB serology should consult a liver disease specialist before the start of treatment and should be monitored and managed according to guidelines to prevent HB reactivation.</w:t>
      </w:r>
    </w:p>
    <w:p w:rsidR="00371064" w:rsidRPr="00E3482E" w:rsidRDefault="00371064" w:rsidP="00F5092E">
      <w:pPr>
        <w:pStyle w:val="Heading2"/>
      </w:pPr>
      <w:r w:rsidRPr="00E3482E">
        <w:t>Skin Reactions</w:t>
      </w:r>
    </w:p>
    <w:p w:rsidR="00FA73CA" w:rsidRPr="00E3482E" w:rsidRDefault="00371064" w:rsidP="00FA73CA">
      <w:pPr>
        <w:spacing w:before="120"/>
        <w:jc w:val="both"/>
        <w:rPr>
          <w:color w:val="000000"/>
        </w:rPr>
      </w:pPr>
      <w:r w:rsidRPr="00E3482E">
        <w:rPr>
          <w:color w:val="000000"/>
        </w:rPr>
        <w:t xml:space="preserve">Severe skin reactions such as toxic epidermal necrolysis and Stevens-Johnson syndrome, some with fatal outcome, have been reported (see </w:t>
      </w:r>
      <w:r w:rsidRPr="00E3482E">
        <w:rPr>
          <w:i/>
          <w:color w:val="000000"/>
        </w:rPr>
        <w:t>Post-Marketing Experience – Rheumatoid Arthritis</w:t>
      </w:r>
      <w:r w:rsidRPr="00E3482E">
        <w:rPr>
          <w:color w:val="000000"/>
        </w:rPr>
        <w:t>). In case of such an event, with a suspected relationship to rituximab, treatment should be permanently discontinued. Re-administration must be carefully assessed based on the individual patient’s benefit-risk profile.</w:t>
      </w:r>
    </w:p>
    <w:p w:rsidR="00371064" w:rsidRPr="00E3482E" w:rsidRDefault="00371064" w:rsidP="00F5092E">
      <w:pPr>
        <w:pStyle w:val="Heading2"/>
      </w:pPr>
      <w:r w:rsidRPr="00E3482E">
        <w:t>Progressive multifocal leukoencephalopathy (PML)</w:t>
      </w:r>
    </w:p>
    <w:p w:rsidR="00371064" w:rsidRPr="00E3482E" w:rsidRDefault="00371064" w:rsidP="00FA73CA">
      <w:pPr>
        <w:spacing w:before="120"/>
        <w:jc w:val="both"/>
        <w:rPr>
          <w:color w:val="000000"/>
        </w:rPr>
      </w:pPr>
      <w:r w:rsidRPr="00E3482E">
        <w:rPr>
          <w:color w:val="000000"/>
        </w:rPr>
        <w:t xml:space="preserve">Cases of progressive multifocal leukoencephalopathy (PML) have been reported following use of rituximab for the treatment of autoimmune diseases including RA and GPA. Several but not all of the reported cases involved patients with recognised risk factors for PML, including the underlying disease and long term immunosuppressive therapy or chemotherapy (see </w:t>
      </w:r>
      <w:r w:rsidRPr="00E3482E">
        <w:rPr>
          <w:b/>
          <w:color w:val="000000"/>
        </w:rPr>
        <w:t>BOXED WARNING</w:t>
      </w:r>
      <w:r w:rsidRPr="00E3482E">
        <w:rPr>
          <w:color w:val="000000"/>
        </w:rPr>
        <w:t xml:space="preserve"> and </w:t>
      </w:r>
      <w:r w:rsidRPr="00E3482E">
        <w:rPr>
          <w:b/>
          <w:color w:val="000000"/>
        </w:rPr>
        <w:t>PRECAUTIONS</w:t>
      </w:r>
      <w:r w:rsidRPr="00E3482E">
        <w:rPr>
          <w:color w:val="000000"/>
        </w:rPr>
        <w:t xml:space="preserve">). The efficacy and safety of </w:t>
      </w:r>
      <w:r w:rsidR="002D12FE" w:rsidRPr="00E3482E">
        <w:rPr>
          <w:color w:val="000000"/>
        </w:rPr>
        <w:t>rituximab</w:t>
      </w:r>
      <w:r w:rsidRPr="00E3482E">
        <w:rPr>
          <w:color w:val="000000"/>
        </w:rPr>
        <w:t xml:space="preserve"> for the treatment of autoimmune diseases other than RA, GPA and MPA has not been established.</w:t>
      </w:r>
    </w:p>
    <w:p w:rsidR="00B23BE1" w:rsidRPr="00E3482E" w:rsidRDefault="00B23BE1" w:rsidP="00F5092E">
      <w:pPr>
        <w:pStyle w:val="Heading2"/>
      </w:pPr>
      <w:r w:rsidRPr="00E3482E">
        <w:t>Immunisation</w:t>
      </w:r>
    </w:p>
    <w:p w:rsidR="00B23BE1" w:rsidRPr="00E3482E" w:rsidRDefault="00B23BE1" w:rsidP="00B23BE1">
      <w:pPr>
        <w:spacing w:before="120"/>
        <w:jc w:val="both"/>
        <w:rPr>
          <w:color w:val="000000"/>
        </w:rPr>
      </w:pPr>
      <w:r w:rsidRPr="00E3482E">
        <w:rPr>
          <w:color w:val="000000"/>
        </w:rPr>
        <w:t xml:space="preserve">For </w:t>
      </w:r>
      <w:r w:rsidRPr="00E3482E">
        <w:rPr>
          <w:color w:val="000000"/>
          <w:u w:val="single"/>
        </w:rPr>
        <w:t>RA patients,</w:t>
      </w:r>
      <w:r w:rsidRPr="00E3482E">
        <w:rPr>
          <w:color w:val="000000"/>
        </w:rPr>
        <w:t xml:space="preserve"> physicians should review the patient’s vaccination status and follow current immunisation guidelines prior to treatment with rituximab. Vaccination should be completed at least 4 weeks prior to first administration of rituximab.</w:t>
      </w:r>
    </w:p>
    <w:p w:rsidR="00B23BE1" w:rsidRPr="00E3482E" w:rsidRDefault="00B23BE1" w:rsidP="00B23BE1">
      <w:pPr>
        <w:spacing w:before="120"/>
        <w:jc w:val="both"/>
        <w:rPr>
          <w:color w:val="000000"/>
        </w:rPr>
      </w:pPr>
      <w:r w:rsidRPr="00E3482E">
        <w:rPr>
          <w:color w:val="000000"/>
        </w:rPr>
        <w:t>The safety of immunisation with live viral vaccines following rituximab therapy has not been studied. Therefore</w:t>
      </w:r>
      <w:r w:rsidR="00F11870">
        <w:rPr>
          <w:color w:val="000000"/>
        </w:rPr>
        <w:t>,</w:t>
      </w:r>
      <w:r w:rsidRPr="00E3482E">
        <w:rPr>
          <w:color w:val="000000"/>
        </w:rPr>
        <w:t xml:space="preserve"> vaccination with live virus vaccines is not recommended whilst on rituximab or whilst peripherally B cell depleted.</w:t>
      </w:r>
    </w:p>
    <w:p w:rsidR="00B23BE1" w:rsidRPr="00E3482E" w:rsidRDefault="00B23BE1" w:rsidP="00B23BE1">
      <w:pPr>
        <w:spacing w:before="120"/>
        <w:jc w:val="both"/>
        <w:rPr>
          <w:color w:val="000000"/>
        </w:rPr>
      </w:pPr>
      <w:r w:rsidRPr="00E3482E">
        <w:rPr>
          <w:color w:val="000000"/>
        </w:rPr>
        <w:t xml:space="preserve">Patients treated with rituximab may receive non-live vaccinations. However, response rates to non-live vaccines may be reduced. In a randomised study, patients with RA treated with </w:t>
      </w:r>
      <w:r w:rsidRPr="00E3482E">
        <w:rPr>
          <w:color w:val="000000"/>
        </w:rPr>
        <w:lastRenderedPageBreak/>
        <w:t xml:space="preserve">rituximab and MTX had comparable response rates to tetanus recall antigen (39% vs. 42%), reduced rates to pneumococcal polysaccharide vaccine (43% vs. 82% to at least 2 pneumococcal antibody serotypes), and KLH </w:t>
      </w:r>
      <w:proofErr w:type="spellStart"/>
      <w:r w:rsidRPr="00E3482E">
        <w:rPr>
          <w:color w:val="000000"/>
        </w:rPr>
        <w:t>neoantigen</w:t>
      </w:r>
      <w:proofErr w:type="spellEnd"/>
      <w:r w:rsidRPr="00E3482E">
        <w:rPr>
          <w:color w:val="000000"/>
        </w:rPr>
        <w:t xml:space="preserve"> (34% vs. 80%), when given at least 6 months after rituximab as compared to patients only receiving MTX. Should non-live vaccinations be required whilst receiving rituximab therapy, these should be completed at least 4 weeks prior to commencing the next course of rituximab.</w:t>
      </w:r>
    </w:p>
    <w:p w:rsidR="00371064" w:rsidRPr="00E3482E" w:rsidRDefault="00B23BE1" w:rsidP="00B23BE1">
      <w:pPr>
        <w:spacing w:before="120"/>
        <w:jc w:val="both"/>
        <w:rPr>
          <w:color w:val="000000"/>
        </w:rPr>
      </w:pPr>
      <w:r w:rsidRPr="00E3482E">
        <w:rPr>
          <w:color w:val="000000"/>
        </w:rPr>
        <w:t xml:space="preserve">In the overall experience of rituximab repeat treatment in </w:t>
      </w:r>
      <w:r w:rsidRPr="00E3482E">
        <w:rPr>
          <w:color w:val="000000"/>
          <w:u w:val="single"/>
        </w:rPr>
        <w:t>RA patients</w:t>
      </w:r>
      <w:r w:rsidRPr="00E3482E">
        <w:rPr>
          <w:color w:val="000000"/>
        </w:rPr>
        <w:t xml:space="preserve"> over one year, the proportions of patients with positive antibody </w:t>
      </w:r>
      <w:proofErr w:type="spellStart"/>
      <w:r w:rsidRPr="00E3482E">
        <w:rPr>
          <w:color w:val="000000"/>
        </w:rPr>
        <w:t>titers</w:t>
      </w:r>
      <w:proofErr w:type="spellEnd"/>
      <w:r w:rsidRPr="00E3482E">
        <w:rPr>
          <w:color w:val="000000"/>
        </w:rPr>
        <w:t xml:space="preserve"> against </w:t>
      </w:r>
      <w:r w:rsidRPr="00E3482E">
        <w:rPr>
          <w:i/>
          <w:color w:val="000000"/>
        </w:rPr>
        <w:t>S. pneumoniae</w:t>
      </w:r>
      <w:r w:rsidRPr="00E3482E">
        <w:rPr>
          <w:color w:val="000000"/>
        </w:rPr>
        <w:t>, influenza, mumps, rubella, varicella and tetanus toxoid were generally similar to the proportions at baseline.</w:t>
      </w:r>
    </w:p>
    <w:p w:rsidR="00B23BE1" w:rsidRPr="00E3482E" w:rsidRDefault="00B23BE1" w:rsidP="00F5092E">
      <w:pPr>
        <w:pStyle w:val="Heading2"/>
      </w:pPr>
      <w:r w:rsidRPr="00E3482E">
        <w:t>Cardiovascular Events</w:t>
      </w:r>
    </w:p>
    <w:p w:rsidR="00371064" w:rsidRPr="00E3482E" w:rsidRDefault="00B23BE1" w:rsidP="00FA73CA">
      <w:pPr>
        <w:spacing w:before="120"/>
        <w:jc w:val="both"/>
        <w:rPr>
          <w:color w:val="000000"/>
        </w:rPr>
      </w:pPr>
      <w:r w:rsidRPr="00E3482E">
        <w:rPr>
          <w:color w:val="000000"/>
        </w:rPr>
        <w:t xml:space="preserve">Patients with a history of cardiac disease should be monitored closely during infusions. Infusions should be discontinued in the event of serious or life-threatening cardiac arrhythmias (see </w:t>
      </w:r>
      <w:r w:rsidRPr="00E3482E">
        <w:rPr>
          <w:b/>
          <w:color w:val="000000"/>
        </w:rPr>
        <w:t>PRECAUTIONS</w:t>
      </w:r>
      <w:r w:rsidRPr="00E3482E">
        <w:rPr>
          <w:color w:val="000000"/>
        </w:rPr>
        <w:t xml:space="preserve"> - </w:t>
      </w:r>
      <w:r w:rsidRPr="00E3482E">
        <w:rPr>
          <w:i/>
          <w:color w:val="000000"/>
        </w:rPr>
        <w:t>Cardiovascular Events</w:t>
      </w:r>
      <w:r w:rsidRPr="00E3482E">
        <w:rPr>
          <w:color w:val="000000"/>
        </w:rPr>
        <w:t xml:space="preserve"> under </w:t>
      </w:r>
      <w:r w:rsidRPr="00E3482E">
        <w:rPr>
          <w:i/>
          <w:color w:val="000000"/>
          <w:u w:val="single"/>
        </w:rPr>
        <w:t>Non-Hodgkin’s Lymphoma and Chronic Lymphocytic Leukaemia</w:t>
      </w:r>
      <w:r w:rsidRPr="00E3482E">
        <w:rPr>
          <w:color w:val="000000"/>
        </w:rPr>
        <w:t xml:space="preserve"> section). There are no data on the safety of rituximab in patients with moderate or severe heart failure (NYHA class III or IV) or severe, uncontrolled cardiovascular disease. In patients treated with rituximab, the occurrence of pre-existing ischaemic cardiac conditions becoming symptomatic, such as angina pectoris, has been observed, as well as cardiac arrhythmias such as atrial fibrillation and flutter. Therefore, in patients with a known cardiac history, the risk of cardiovascular complications resulting from infusion reactions should be considered before treatment with rituximab and patients monitored closely (see </w:t>
      </w:r>
      <w:r w:rsidRPr="00E3482E">
        <w:rPr>
          <w:b/>
          <w:color w:val="000000"/>
        </w:rPr>
        <w:t>PRECAUTIONS</w:t>
      </w:r>
      <w:r w:rsidRPr="00E3482E">
        <w:rPr>
          <w:color w:val="000000"/>
        </w:rPr>
        <w:t xml:space="preserve"> – </w:t>
      </w:r>
      <w:r w:rsidRPr="00E3482E">
        <w:rPr>
          <w:i/>
          <w:color w:val="000000"/>
        </w:rPr>
        <w:t>Infusion-related Reactions</w:t>
      </w:r>
      <w:r w:rsidRPr="00E3482E">
        <w:rPr>
          <w:color w:val="000000"/>
        </w:rPr>
        <w:t>). Since hypotension may occur during rituximab infusion, consideration should be given to withholding anti-hypertensive medications 12 hours prior to the rituximab infusion.</w:t>
      </w:r>
    </w:p>
    <w:p w:rsidR="00B23BE1" w:rsidRPr="00E3482E" w:rsidRDefault="00B23BE1" w:rsidP="00F5092E">
      <w:pPr>
        <w:pStyle w:val="Heading2"/>
      </w:pPr>
      <w:r w:rsidRPr="00E3482E">
        <w:t>Methotrexate (MTX) naïve populations with RA</w:t>
      </w:r>
    </w:p>
    <w:p w:rsidR="00371064" w:rsidRPr="00E3482E" w:rsidRDefault="00B23BE1" w:rsidP="00FA73CA">
      <w:pPr>
        <w:spacing w:before="120"/>
        <w:jc w:val="both"/>
        <w:rPr>
          <w:color w:val="000000"/>
        </w:rPr>
      </w:pPr>
      <w:r w:rsidRPr="00E3482E">
        <w:rPr>
          <w:color w:val="000000"/>
        </w:rPr>
        <w:t>The use of rituximab is not recommended in MTX-naïve patients since a favourable benefit-risk relationship has not been established.</w:t>
      </w:r>
    </w:p>
    <w:p w:rsidR="00B23BE1" w:rsidRPr="00E3482E" w:rsidRDefault="00B23BE1" w:rsidP="00F5092E">
      <w:pPr>
        <w:pStyle w:val="Heading2"/>
      </w:pPr>
      <w:r w:rsidRPr="00E3482E">
        <w:t>Use in GPA or MPA patients aged ≥ 65 years</w:t>
      </w:r>
    </w:p>
    <w:p w:rsidR="00371064" w:rsidRPr="00E3482E" w:rsidRDefault="00B23BE1" w:rsidP="00FA73CA">
      <w:pPr>
        <w:spacing w:before="120"/>
        <w:jc w:val="both"/>
        <w:rPr>
          <w:color w:val="000000"/>
        </w:rPr>
      </w:pPr>
      <w:r w:rsidRPr="00E3482E">
        <w:rPr>
          <w:color w:val="000000"/>
        </w:rPr>
        <w:t xml:space="preserve">In the RAVE study, GPA or MPA patients aged ≥ 65 years in both treatment groups demonstrated an increased risk of SAEs, ≥ Grade 3 AEs, death or hospitalisation. It is recommended that patients ≥ 65 years receiving treatment for GPA or MPA are monitored closely (see </w:t>
      </w:r>
      <w:r w:rsidRPr="00E3482E">
        <w:rPr>
          <w:b/>
          <w:color w:val="000000"/>
        </w:rPr>
        <w:t>ADVERSE EFFECTS</w:t>
      </w:r>
      <w:r w:rsidRPr="00E3482E">
        <w:rPr>
          <w:color w:val="000000"/>
        </w:rPr>
        <w:t>).</w:t>
      </w:r>
    </w:p>
    <w:p w:rsidR="00B23BE1" w:rsidRPr="00E3482E" w:rsidRDefault="00B23BE1" w:rsidP="00F5092E">
      <w:pPr>
        <w:pStyle w:val="Heading2"/>
      </w:pPr>
      <w:r w:rsidRPr="00E3482E">
        <w:t>Concomitant/Sequential Use of Other DMARDs in RA</w:t>
      </w:r>
    </w:p>
    <w:p w:rsidR="00B23BE1" w:rsidRPr="00E3482E" w:rsidRDefault="00B23BE1" w:rsidP="00B23BE1">
      <w:pPr>
        <w:spacing w:before="120"/>
        <w:jc w:val="both"/>
        <w:rPr>
          <w:color w:val="000000"/>
        </w:rPr>
      </w:pPr>
      <w:r w:rsidRPr="00E3482E">
        <w:rPr>
          <w:color w:val="000000"/>
        </w:rPr>
        <w:t xml:space="preserve">The concomitant use of rituximab and </w:t>
      </w:r>
      <w:proofErr w:type="spellStart"/>
      <w:r w:rsidRPr="00E3482E">
        <w:rPr>
          <w:color w:val="000000"/>
        </w:rPr>
        <w:t>antirheumatic</w:t>
      </w:r>
      <w:proofErr w:type="spellEnd"/>
      <w:r w:rsidRPr="00E3482E">
        <w:rPr>
          <w:color w:val="000000"/>
        </w:rPr>
        <w:t xml:space="preserve"> therapies other than those specified under the RA indication and dosing is not recommended.</w:t>
      </w:r>
    </w:p>
    <w:p w:rsidR="00371064" w:rsidRPr="00E3482E" w:rsidRDefault="00B23BE1" w:rsidP="00B23BE1">
      <w:pPr>
        <w:spacing w:before="120"/>
        <w:jc w:val="both"/>
        <w:rPr>
          <w:color w:val="000000"/>
        </w:rPr>
      </w:pPr>
      <w:r w:rsidRPr="00E3482E">
        <w:rPr>
          <w:color w:val="000000"/>
        </w:rPr>
        <w:t>Limited data are available on the safety of the use of biologic agents or DMARDs other than MTX in patients exhibiting peripheral B cell depletion following treatment with rituximab. If biologic agents and/or DMARDs are used following rituximab therapy, patients should be observed for signs of infection.</w:t>
      </w:r>
    </w:p>
    <w:p w:rsidR="00B23BE1" w:rsidRPr="00E3482E" w:rsidRDefault="00B23BE1" w:rsidP="00F5092E">
      <w:pPr>
        <w:pStyle w:val="Heading2"/>
      </w:pPr>
      <w:r w:rsidRPr="00E3482E">
        <w:lastRenderedPageBreak/>
        <w:t>Malignancy</w:t>
      </w:r>
    </w:p>
    <w:p w:rsidR="00371064" w:rsidRPr="00E3482E" w:rsidRDefault="00B23BE1" w:rsidP="00FA73CA">
      <w:pPr>
        <w:spacing w:before="120"/>
        <w:jc w:val="both"/>
        <w:rPr>
          <w:color w:val="000000"/>
        </w:rPr>
      </w:pPr>
      <w:r w:rsidRPr="00E3482E">
        <w:rPr>
          <w:color w:val="000000"/>
        </w:rPr>
        <w:t xml:space="preserve">Immunomodulatory drugs may increase the risk of malignancy. On the basis of limited experience with rituximab in RA patients (see </w:t>
      </w:r>
      <w:r w:rsidRPr="00E3482E">
        <w:rPr>
          <w:b/>
          <w:color w:val="000000"/>
        </w:rPr>
        <w:t>ADVERSE EFFECTS</w:t>
      </w:r>
      <w:r w:rsidRPr="00E3482E">
        <w:rPr>
          <w:color w:val="000000"/>
        </w:rPr>
        <w:t xml:space="preserve"> - </w:t>
      </w:r>
      <w:r w:rsidRPr="00E3482E">
        <w:rPr>
          <w:i/>
          <w:color w:val="000000"/>
        </w:rPr>
        <w:t>Experience from Rheumatoid Arthritis Clinical Trials</w:t>
      </w:r>
      <w:r w:rsidRPr="00E3482E">
        <w:rPr>
          <w:color w:val="000000"/>
        </w:rPr>
        <w:t>), a possible risk for the development of solid tumours cannot be excluded at this time, although present data do not seem to suggest any increased risk.</w:t>
      </w:r>
    </w:p>
    <w:p w:rsidR="00B23BE1" w:rsidRPr="00E3482E" w:rsidRDefault="00B23BE1" w:rsidP="00F5092E">
      <w:pPr>
        <w:pStyle w:val="Heading2"/>
      </w:pPr>
      <w:r w:rsidRPr="00E3482E">
        <w:t>Patients with Renal or Hepatic Impairment</w:t>
      </w:r>
    </w:p>
    <w:p w:rsidR="00B23BE1" w:rsidRPr="00E3482E" w:rsidRDefault="00B23BE1" w:rsidP="00B23BE1">
      <w:pPr>
        <w:spacing w:before="120"/>
        <w:jc w:val="both"/>
        <w:rPr>
          <w:color w:val="000000"/>
        </w:rPr>
      </w:pPr>
      <w:r w:rsidRPr="00E3482E">
        <w:rPr>
          <w:color w:val="000000"/>
        </w:rPr>
        <w:t>The safety and effectiveness of rituximab in patients with renal or hepatic impairment has not been established. MTX is contraindicated in such patients and since rituximab is given in combination with MTX these patients were not included in the clinical studies for RA.</w:t>
      </w:r>
    </w:p>
    <w:p w:rsidR="00371064" w:rsidRPr="00E3482E" w:rsidRDefault="00B23BE1" w:rsidP="00B23BE1">
      <w:pPr>
        <w:spacing w:before="120"/>
        <w:jc w:val="both"/>
        <w:rPr>
          <w:color w:val="000000"/>
        </w:rPr>
      </w:pPr>
      <w:r w:rsidRPr="00E3482E">
        <w:rPr>
          <w:color w:val="000000"/>
        </w:rPr>
        <w:t>In the RAVE study, significant renal impairment was associated with an increased risk of experiencing any adverse event including SAEs, infections, hospitalisation or death. This increased risk was regardless of treatment strategy (</w:t>
      </w:r>
      <w:r w:rsidR="00C915A8" w:rsidRPr="00E3482E">
        <w:rPr>
          <w:color w:val="000000"/>
        </w:rPr>
        <w:t>rituximab</w:t>
      </w:r>
      <w:r w:rsidRPr="00E3482E">
        <w:rPr>
          <w:color w:val="000000"/>
        </w:rPr>
        <w:t xml:space="preserve"> or CYC). It is recommended that patients with significant renal impairment receiving treatment for GPA or MPA are monitored closely (see </w:t>
      </w:r>
      <w:r w:rsidRPr="00E3482E">
        <w:rPr>
          <w:b/>
          <w:color w:val="000000"/>
        </w:rPr>
        <w:t>ADVERSE EFFECTS</w:t>
      </w:r>
      <w:r w:rsidRPr="00E3482E">
        <w:rPr>
          <w:color w:val="000000"/>
        </w:rPr>
        <w:t>).</w:t>
      </w:r>
    </w:p>
    <w:p w:rsidR="00C915A8" w:rsidRPr="00E3482E" w:rsidRDefault="00C915A8" w:rsidP="00F5092E">
      <w:pPr>
        <w:pStyle w:val="Heading2"/>
      </w:pPr>
      <w:r w:rsidRPr="00E3482E">
        <w:t>Effects on Fertility</w:t>
      </w:r>
    </w:p>
    <w:p w:rsidR="00C915A8" w:rsidRPr="00E3482E" w:rsidRDefault="00C915A8" w:rsidP="00FA73CA">
      <w:pPr>
        <w:spacing w:before="120"/>
        <w:jc w:val="both"/>
        <w:rPr>
          <w:color w:val="000000"/>
        </w:rPr>
      </w:pPr>
      <w:r w:rsidRPr="00E3482E">
        <w:rPr>
          <w:color w:val="000000"/>
        </w:rPr>
        <w:t>No animal studies have been performed to determine the effects of rituximab on fertility in males or females.</w:t>
      </w:r>
    </w:p>
    <w:p w:rsidR="00C915A8" w:rsidRPr="00E3482E" w:rsidRDefault="00C915A8" w:rsidP="00F5092E">
      <w:pPr>
        <w:pStyle w:val="Heading2"/>
      </w:pPr>
      <w:r w:rsidRPr="00E3482E">
        <w:t>Use in Pregnancy (Category C)</w:t>
      </w:r>
    </w:p>
    <w:p w:rsidR="00C915A8" w:rsidRPr="00E3482E" w:rsidRDefault="00C915A8" w:rsidP="00C915A8">
      <w:pPr>
        <w:spacing w:before="120"/>
        <w:jc w:val="both"/>
        <w:rPr>
          <w:color w:val="000000"/>
        </w:rPr>
      </w:pPr>
      <w:r w:rsidRPr="00E3482E">
        <w:rPr>
          <w:color w:val="000000"/>
        </w:rPr>
        <w:t xml:space="preserve">It is not known whether rituximab can cause foetal harm when administered to a pregnant woman. There are no adequate and well-controlled data from studies in pregnant </w:t>
      </w:r>
      <w:proofErr w:type="gramStart"/>
      <w:r w:rsidRPr="00E3482E">
        <w:rPr>
          <w:color w:val="000000"/>
        </w:rPr>
        <w:t>women,</w:t>
      </w:r>
      <w:proofErr w:type="gramEnd"/>
      <w:r w:rsidRPr="00E3482E">
        <w:rPr>
          <w:color w:val="000000"/>
        </w:rPr>
        <w:t xml:space="preserve"> however transient B-cell depletion and </w:t>
      </w:r>
      <w:proofErr w:type="spellStart"/>
      <w:r w:rsidRPr="00E3482E">
        <w:rPr>
          <w:color w:val="000000"/>
        </w:rPr>
        <w:t>lymphocytopenia</w:t>
      </w:r>
      <w:proofErr w:type="spellEnd"/>
      <w:r w:rsidRPr="00E3482E">
        <w:rPr>
          <w:color w:val="000000"/>
        </w:rPr>
        <w:t xml:space="preserve"> have been reported in some infants born to mothers exposed to rituximab. In clinical studies in patients with RA, three pregnancies occurred following exposure to </w:t>
      </w:r>
      <w:proofErr w:type="spellStart"/>
      <w:r w:rsidRPr="00E3482E">
        <w:rPr>
          <w:color w:val="000000"/>
        </w:rPr>
        <w:t>rituximab+MTX</w:t>
      </w:r>
      <w:proofErr w:type="spellEnd"/>
      <w:r w:rsidRPr="00E3482E">
        <w:rPr>
          <w:color w:val="000000"/>
        </w:rPr>
        <w:t xml:space="preserve"> with two resulting in spontaneous abortions and the third ongoing at the time. Rituximab has been shown to cause B-cell depletion in the monkey foetus. Rituximab should not be given to a pregnant woman, unless the potential benefit outweighs the potential risk.</w:t>
      </w:r>
    </w:p>
    <w:p w:rsidR="00C915A8" w:rsidRPr="00E3482E" w:rsidRDefault="00C915A8" w:rsidP="00C915A8">
      <w:pPr>
        <w:spacing w:before="120"/>
        <w:jc w:val="both"/>
        <w:rPr>
          <w:color w:val="000000"/>
        </w:rPr>
      </w:pPr>
      <w:r w:rsidRPr="00E3482E">
        <w:rPr>
          <w:color w:val="000000"/>
        </w:rPr>
        <w:t>Women of child-bearing potential must use effective contraceptive methods during treatment and for 12 months following rituximab therapy.</w:t>
      </w:r>
    </w:p>
    <w:p w:rsidR="00C915A8" w:rsidRPr="00E3482E" w:rsidRDefault="00C915A8" w:rsidP="00C915A8">
      <w:pPr>
        <w:spacing w:before="120"/>
        <w:jc w:val="both"/>
        <w:rPr>
          <w:color w:val="000000"/>
        </w:rPr>
      </w:pPr>
      <w:r w:rsidRPr="00E3482E">
        <w:rPr>
          <w:color w:val="000000"/>
        </w:rPr>
        <w:t xml:space="preserve">Developmental toxicity studies performed in </w:t>
      </w:r>
      <w:proofErr w:type="spellStart"/>
      <w:r w:rsidRPr="00E3482E">
        <w:rPr>
          <w:color w:val="000000"/>
        </w:rPr>
        <w:t>cynomolgus</w:t>
      </w:r>
      <w:proofErr w:type="spellEnd"/>
      <w:r w:rsidRPr="00E3482E">
        <w:rPr>
          <w:color w:val="000000"/>
        </w:rPr>
        <w:t xml:space="preserve"> monkeys revealed no evidence of </w:t>
      </w:r>
      <w:proofErr w:type="spellStart"/>
      <w:r w:rsidRPr="00E3482E">
        <w:rPr>
          <w:color w:val="000000"/>
        </w:rPr>
        <w:t>embryotoxicity</w:t>
      </w:r>
      <w:proofErr w:type="spellEnd"/>
      <w:r w:rsidRPr="00E3482E">
        <w:rPr>
          <w:color w:val="000000"/>
        </w:rPr>
        <w:t xml:space="preserve"> in utero at relative exposure levels (AUC) similar to that anticipated clinically. New born offspring of maternal animals exposed to rituximab during lactation and/or gestation showed no untoward toxicity except for depleted B cell populations during the post-natal phase at the same relative exposure. B cell levels in human neonates following maternal exposure to rituximab have not been studied.</w:t>
      </w:r>
    </w:p>
    <w:p w:rsidR="00C915A8" w:rsidRPr="00E3482E" w:rsidRDefault="00C915A8" w:rsidP="00F5092E">
      <w:pPr>
        <w:pStyle w:val="Heading2"/>
      </w:pPr>
      <w:r w:rsidRPr="00E3482E">
        <w:t>Use in Lactation</w:t>
      </w:r>
    </w:p>
    <w:p w:rsidR="00C915A8" w:rsidRPr="00E3482E" w:rsidRDefault="00C915A8" w:rsidP="00FA73CA">
      <w:pPr>
        <w:spacing w:before="120"/>
        <w:jc w:val="both"/>
        <w:rPr>
          <w:color w:val="000000"/>
        </w:rPr>
      </w:pPr>
      <w:r w:rsidRPr="00E3482E">
        <w:rPr>
          <w:color w:val="000000"/>
        </w:rPr>
        <w:t xml:space="preserve">It is not known whether rituximab is excreted in human milk. In monkey studies, rituximab was excreted in the milk and was detected in the serum of breast-fed infants. Reversible B-cell depletion was observed in all monkey infants exposed to rituximab via maternal transfer during </w:t>
      </w:r>
      <w:r w:rsidRPr="00E3482E">
        <w:rPr>
          <w:color w:val="000000"/>
        </w:rPr>
        <w:lastRenderedPageBreak/>
        <w:t>lactation and/or gestation. It is recommended that a nursing woman discontinue breastfeeding whilst undergoing treatment with rituximab.</w:t>
      </w:r>
    </w:p>
    <w:p w:rsidR="00C915A8" w:rsidRPr="00E3482E" w:rsidRDefault="00C915A8" w:rsidP="00F5092E">
      <w:pPr>
        <w:pStyle w:val="Heading2"/>
      </w:pPr>
      <w:r w:rsidRPr="00E3482E">
        <w:t>Paediatric Use</w:t>
      </w:r>
    </w:p>
    <w:p w:rsidR="00371064" w:rsidRPr="00E3482E" w:rsidRDefault="00C915A8" w:rsidP="00FA73CA">
      <w:pPr>
        <w:spacing w:before="120"/>
        <w:jc w:val="both"/>
        <w:rPr>
          <w:color w:val="000000"/>
        </w:rPr>
      </w:pPr>
      <w:r w:rsidRPr="00E3482E">
        <w:rPr>
          <w:color w:val="000000"/>
        </w:rPr>
        <w:t xml:space="preserve">The safety and effectiveness of rituximab in paediatric patients have not been established. </w:t>
      </w:r>
      <w:proofErr w:type="spellStart"/>
      <w:r w:rsidRPr="00E3482E">
        <w:rPr>
          <w:color w:val="000000"/>
        </w:rPr>
        <w:t>Hypogammaglobulinaemia</w:t>
      </w:r>
      <w:proofErr w:type="spellEnd"/>
      <w:r w:rsidRPr="00E3482E">
        <w:rPr>
          <w:color w:val="000000"/>
        </w:rPr>
        <w:t xml:space="preserve"> has been observed in paediatric patients treated with rituximab, in some cases severe and requiring long-term immunoglobulin substitution therapy. The consequences of long term B cell depletion in paediatric patients are unknown.</w:t>
      </w:r>
    </w:p>
    <w:p w:rsidR="00C915A8" w:rsidRPr="00E3482E" w:rsidRDefault="00C915A8" w:rsidP="00F5092E">
      <w:pPr>
        <w:pStyle w:val="Heading2"/>
      </w:pPr>
      <w:r w:rsidRPr="00E3482E">
        <w:t>Genotoxicity</w:t>
      </w:r>
    </w:p>
    <w:p w:rsidR="00371064" w:rsidRPr="00E3482E" w:rsidRDefault="00C915A8" w:rsidP="00FA73CA">
      <w:pPr>
        <w:spacing w:before="120"/>
        <w:jc w:val="both"/>
        <w:rPr>
          <w:color w:val="000000"/>
        </w:rPr>
      </w:pPr>
      <w:r w:rsidRPr="00E3482E">
        <w:rPr>
          <w:color w:val="000000"/>
        </w:rPr>
        <w:t>The genotoxic potential of rituximab has not been investigated.</w:t>
      </w:r>
    </w:p>
    <w:p w:rsidR="00C915A8" w:rsidRPr="00E3482E" w:rsidRDefault="00C915A8" w:rsidP="00F5092E">
      <w:pPr>
        <w:pStyle w:val="Heading2"/>
      </w:pPr>
      <w:r w:rsidRPr="00E3482E">
        <w:t>Carcinogenicity</w:t>
      </w:r>
    </w:p>
    <w:p w:rsidR="00C915A8" w:rsidRPr="00E3482E" w:rsidRDefault="00C915A8" w:rsidP="00C915A8">
      <w:pPr>
        <w:spacing w:before="120"/>
        <w:jc w:val="both"/>
        <w:rPr>
          <w:color w:val="000000"/>
        </w:rPr>
      </w:pPr>
      <w:r w:rsidRPr="00E3482E">
        <w:rPr>
          <w:color w:val="000000"/>
        </w:rPr>
        <w:t>The carcinogenic potential of rituximab has not been investigated.</w:t>
      </w:r>
    </w:p>
    <w:p w:rsidR="00C915A8" w:rsidRPr="00E3482E" w:rsidRDefault="00C915A8" w:rsidP="00F5092E">
      <w:pPr>
        <w:pStyle w:val="Heading2"/>
      </w:pPr>
      <w:r w:rsidRPr="00E3482E">
        <w:t>Driving and Operating Machinery</w:t>
      </w:r>
    </w:p>
    <w:p w:rsidR="00371064" w:rsidRPr="00E3482E" w:rsidRDefault="00C915A8" w:rsidP="00FA73CA">
      <w:pPr>
        <w:spacing w:before="120"/>
        <w:jc w:val="both"/>
        <w:rPr>
          <w:color w:val="000000"/>
        </w:rPr>
      </w:pPr>
      <w:r w:rsidRPr="00E3482E">
        <w:rPr>
          <w:color w:val="000000"/>
        </w:rPr>
        <w:t>It is not known whether rituximab has an effect on the ability to drive and operate machines, though the pharmacologic activity and adverse events reported to date do not indicate that such an effect is to be expected.</w:t>
      </w:r>
    </w:p>
    <w:p w:rsidR="00F63D7A" w:rsidRPr="00E3482E" w:rsidRDefault="00F63D7A" w:rsidP="007267C1">
      <w:pPr>
        <w:spacing w:before="120"/>
        <w:jc w:val="both"/>
        <w:rPr>
          <w:color w:val="000000"/>
        </w:rPr>
      </w:pPr>
    </w:p>
    <w:p w:rsidR="0066180B" w:rsidRPr="00E3482E" w:rsidRDefault="0066180B" w:rsidP="00F11870">
      <w:pPr>
        <w:pStyle w:val="Heading1"/>
      </w:pPr>
      <w:r w:rsidRPr="00E3482E">
        <w:t xml:space="preserve">Interactions with Other </w:t>
      </w:r>
      <w:r w:rsidR="002957CF" w:rsidRPr="00E3482E">
        <w:t>Medicines</w:t>
      </w:r>
    </w:p>
    <w:p w:rsidR="006F3434" w:rsidRPr="00E3482E" w:rsidRDefault="006F3434" w:rsidP="006F3434">
      <w:pPr>
        <w:spacing w:before="120"/>
        <w:jc w:val="both"/>
        <w:rPr>
          <w:color w:val="000000"/>
        </w:rPr>
      </w:pPr>
      <w:r w:rsidRPr="00E3482E">
        <w:rPr>
          <w:color w:val="000000"/>
        </w:rPr>
        <w:t>Currently, there are limited data on possible drug interactions with rituximab.</w:t>
      </w:r>
    </w:p>
    <w:p w:rsidR="006F3434" w:rsidRPr="00E3482E" w:rsidRDefault="006F3434" w:rsidP="006F3434">
      <w:pPr>
        <w:spacing w:before="120"/>
        <w:jc w:val="both"/>
        <w:rPr>
          <w:color w:val="000000"/>
        </w:rPr>
      </w:pPr>
      <w:r w:rsidRPr="00E3482E">
        <w:rPr>
          <w:color w:val="000000"/>
        </w:rPr>
        <w:t xml:space="preserve">In CLL patients, co-administration with intravenous rituximab did not appear to have an effect on the pharmacokinetics of </w:t>
      </w:r>
      <w:proofErr w:type="spellStart"/>
      <w:r w:rsidRPr="00E3482E">
        <w:rPr>
          <w:color w:val="000000"/>
        </w:rPr>
        <w:t>fludarabine</w:t>
      </w:r>
      <w:proofErr w:type="spellEnd"/>
      <w:r w:rsidRPr="00E3482E">
        <w:rPr>
          <w:color w:val="000000"/>
        </w:rPr>
        <w:t xml:space="preserve"> or cyclophosphamide. In addition, there was no apparent effect of </w:t>
      </w:r>
      <w:proofErr w:type="spellStart"/>
      <w:r w:rsidRPr="00E3482E">
        <w:rPr>
          <w:color w:val="000000"/>
        </w:rPr>
        <w:t>fludarabine</w:t>
      </w:r>
      <w:proofErr w:type="spellEnd"/>
      <w:r w:rsidRPr="00E3482E">
        <w:rPr>
          <w:color w:val="000000"/>
        </w:rPr>
        <w:t xml:space="preserve"> and cyclophosphamide on the pharmacokinetics of rituximab.</w:t>
      </w:r>
    </w:p>
    <w:p w:rsidR="006F3434" w:rsidRPr="00E3482E" w:rsidRDefault="006F3434" w:rsidP="006F3434">
      <w:pPr>
        <w:spacing w:before="120"/>
        <w:jc w:val="both"/>
        <w:rPr>
          <w:color w:val="000000"/>
        </w:rPr>
      </w:pPr>
      <w:r w:rsidRPr="00E3482E">
        <w:rPr>
          <w:color w:val="000000"/>
        </w:rPr>
        <w:t>Co-administration with MTX had no effect on the pharmacokinetics of intravenous rituximab in RA patients.</w:t>
      </w:r>
    </w:p>
    <w:p w:rsidR="006F3434" w:rsidRPr="00E3482E" w:rsidRDefault="006F3434" w:rsidP="006F3434">
      <w:pPr>
        <w:spacing w:before="120"/>
        <w:jc w:val="both"/>
        <w:rPr>
          <w:color w:val="000000"/>
        </w:rPr>
      </w:pPr>
      <w:r w:rsidRPr="00E3482E">
        <w:rPr>
          <w:color w:val="000000"/>
        </w:rPr>
        <w:t>Patients with human anti-mouse antibody or human anti-chimeric antibody (HAMA/HACA) titres may have allergic or hypersensitivity reactions when treated with other diagnostic or therapeutic monoclonal antibodies.</w:t>
      </w:r>
    </w:p>
    <w:p w:rsidR="006F3434" w:rsidRPr="00E3482E" w:rsidRDefault="006F3434" w:rsidP="006F3434">
      <w:pPr>
        <w:spacing w:before="120"/>
        <w:jc w:val="both"/>
        <w:rPr>
          <w:color w:val="000000"/>
        </w:rPr>
      </w:pPr>
      <w:r w:rsidRPr="00E3482E">
        <w:rPr>
          <w:color w:val="000000"/>
        </w:rPr>
        <w:t>The tolerability of simultaneously or sequential combination of rituximab with chemotherapy other than CHOP or CVP, or agents which are liable to cause depletion of normal B cells is not well defined.</w:t>
      </w:r>
    </w:p>
    <w:p w:rsidR="0008400F" w:rsidRPr="00E3482E" w:rsidRDefault="006F3434" w:rsidP="006F3434">
      <w:pPr>
        <w:spacing w:before="120"/>
        <w:jc w:val="both"/>
        <w:rPr>
          <w:color w:val="000000"/>
        </w:rPr>
      </w:pPr>
      <w:r w:rsidRPr="00E3482E">
        <w:rPr>
          <w:color w:val="000000"/>
        </w:rPr>
        <w:t>In a small cohort of patients with RA, 110 patients received subsequent therapy with other DMARDs (including biologicals). Patients received subsequent DMARDs 4-6 months following therapy with rituximab and generally while peripherally B cell depleted. The rate of clinically relevant infections was 7.8 per 100 patient years.</w:t>
      </w:r>
    </w:p>
    <w:p w:rsidR="008A3FFD" w:rsidRPr="00E3482E" w:rsidRDefault="008A3FFD" w:rsidP="00313421">
      <w:pPr>
        <w:rPr>
          <w:color w:val="000000"/>
          <w:lang w:val="en-GB"/>
        </w:rPr>
      </w:pPr>
    </w:p>
    <w:p w:rsidR="0066180B" w:rsidRPr="00E3482E" w:rsidRDefault="0066180B" w:rsidP="00F11870">
      <w:pPr>
        <w:pStyle w:val="Heading1"/>
      </w:pPr>
      <w:r w:rsidRPr="00E3482E">
        <w:lastRenderedPageBreak/>
        <w:t>ADVERSE EFFECTS</w:t>
      </w:r>
    </w:p>
    <w:p w:rsidR="008506C4" w:rsidRPr="00E3482E" w:rsidRDefault="008506C4" w:rsidP="00F5092E">
      <w:pPr>
        <w:pStyle w:val="HeadingUnderlined"/>
      </w:pPr>
      <w:bookmarkStart w:id="1" w:name="_Toc425574037"/>
      <w:r w:rsidRPr="00E3482E">
        <w:t>Experience from Clinical Trials in Haemato-Oncology</w:t>
      </w:r>
    </w:p>
    <w:p w:rsidR="008506C4" w:rsidRPr="00E3482E" w:rsidRDefault="008506C4" w:rsidP="008506C4">
      <w:pPr>
        <w:spacing w:before="120"/>
        <w:jc w:val="both"/>
        <w:rPr>
          <w:noProof/>
          <w:color w:val="000000"/>
        </w:rPr>
      </w:pPr>
      <w:r w:rsidRPr="00E3482E">
        <w:rPr>
          <w:noProof/>
          <w:color w:val="000000"/>
        </w:rPr>
        <w:t>The most common adverse reactions of rituximab (incidence ≥ 25%) observed in patients with NHL are infusion-related reactions, fever, chills, infection, asthenia and lymphopenia. The most important serious adverse reactions of rituximab are infusion-related reactions, tumour lysis syndrome, mucocutaneous toxicities, hepatitis B reactivation with fulminant hepatitis, PML, other viral infections, cardiac arrhythmias, renal toxicity, and bowel obstruction and perforation.</w:t>
      </w:r>
    </w:p>
    <w:p w:rsidR="0064734A" w:rsidRPr="00E3482E" w:rsidRDefault="008506C4" w:rsidP="008506C4">
      <w:pPr>
        <w:spacing w:before="120"/>
        <w:jc w:val="both"/>
        <w:rPr>
          <w:noProof/>
          <w:color w:val="000000"/>
        </w:rPr>
      </w:pPr>
      <w:r w:rsidRPr="00E3482E">
        <w:rPr>
          <w:noProof/>
          <w:color w:val="000000"/>
        </w:rPr>
        <w:t>The frequencies of adverse drug reactions (ADRs) reported with rituximab alone or in combination with chemotherapy are summarised in the tables below and are based on data from clinical trials. These ADRs had either occurred in single arm studies or had occurred with at least a 2% difference compared to the control arm in at least one of the major randomised clinical trials. ADRs are added to the appropriate category in the tables below according to the highest incidence seen in any of the major clinical trials. Within each frequency grouping ADRs are listed in descending order of severity. Frequencies are defined as very common ≥ 1/10 (≥ 10%), common ≥ 1/100 to &lt; 1/10 (≥ 1% to &lt; 10%) and uncommon ≥ 1/1,000 to &lt; 1/100 (≥ 0.1% to &lt; 1%).</w:t>
      </w:r>
      <w:r w:rsidR="005778BE" w:rsidRPr="00E3482E">
        <w:rPr>
          <w:noProof/>
          <w:color w:val="000000"/>
        </w:rPr>
        <w:t xml:space="preserve"> </w:t>
      </w:r>
    </w:p>
    <w:p w:rsidR="008506C4" w:rsidRPr="00E3482E" w:rsidRDefault="008506C4" w:rsidP="00F5092E">
      <w:pPr>
        <w:pStyle w:val="Heading2"/>
      </w:pPr>
      <w:r w:rsidRPr="00E3482E">
        <w:t>Rituximab monotherapy/maintenance therapy</w:t>
      </w:r>
    </w:p>
    <w:p w:rsidR="008506C4" w:rsidRPr="00E3482E" w:rsidRDefault="008506C4" w:rsidP="008506C4">
      <w:pPr>
        <w:spacing w:before="120"/>
        <w:jc w:val="both"/>
        <w:rPr>
          <w:noProof/>
          <w:color w:val="000000"/>
        </w:rPr>
      </w:pPr>
      <w:r w:rsidRPr="00E3482E">
        <w:rPr>
          <w:noProof/>
          <w:color w:val="000000"/>
        </w:rPr>
        <w:t xml:space="preserve">The ADRs in the table below are based on data from single-arm studies including 356 patients with low-grade or follicular lymphoma, treated with rituximab weekly as a single agent for the treatment or re-treatment of non-Hodgkin’s lymphoma (see </w:t>
      </w:r>
      <w:r w:rsidRPr="00E3482E">
        <w:rPr>
          <w:b/>
          <w:noProof/>
          <w:color w:val="000000"/>
        </w:rPr>
        <w:t>CLINICAL TRIALS</w:t>
      </w:r>
      <w:r w:rsidRPr="00E3482E">
        <w:rPr>
          <w:noProof/>
          <w:color w:val="000000"/>
        </w:rPr>
        <w:t xml:space="preserve">). The table also contains ADRs based on data from 671 patients with follicular lymphoma who received rituximab as maintenance therapy for up to 2 years following response to initial induction with CHOP, R-CHOP, R-CVP or R-FCM (see </w:t>
      </w:r>
      <w:r w:rsidRPr="00E3482E">
        <w:rPr>
          <w:b/>
          <w:noProof/>
          <w:color w:val="000000"/>
        </w:rPr>
        <w:t>CLINICAL TRIALS</w:t>
      </w:r>
      <w:r w:rsidRPr="00E3482E">
        <w:rPr>
          <w:noProof/>
          <w:color w:val="000000"/>
        </w:rPr>
        <w:t>). The ADRs were reported up to 12 months after treatment with monotherapy and up to 1 month after treatment with rituximab maintenance.</w:t>
      </w:r>
    </w:p>
    <w:p w:rsidR="00AA40A4" w:rsidRPr="00E3482E" w:rsidRDefault="00AA40A4" w:rsidP="00F10B4B">
      <w:pPr>
        <w:pStyle w:val="Tabletitle"/>
        <w:keepNext/>
        <w:spacing w:before="200" w:after="60"/>
        <w:ind w:left="1021" w:hanging="1021"/>
        <w:rPr>
          <w:color w:val="000000"/>
          <w:sz w:val="23"/>
          <w:szCs w:val="23"/>
        </w:rPr>
      </w:pPr>
      <w:r w:rsidRPr="00E3482E">
        <w:rPr>
          <w:color w:val="000000"/>
          <w:sz w:val="23"/>
          <w:szCs w:val="23"/>
        </w:rPr>
        <w:t>Table 1</w:t>
      </w:r>
      <w:r w:rsidR="00CE4CAE" w:rsidRPr="00E3482E">
        <w:rPr>
          <w:color w:val="000000"/>
          <w:sz w:val="23"/>
          <w:szCs w:val="23"/>
        </w:rPr>
        <w:t>8</w:t>
      </w:r>
      <w:r w:rsidRPr="00E3482E">
        <w:rPr>
          <w:color w:val="000000"/>
          <w:sz w:val="23"/>
          <w:szCs w:val="23"/>
        </w:rPr>
        <w:t>:</w:t>
      </w:r>
      <w:r w:rsidRPr="00E3482E">
        <w:rPr>
          <w:color w:val="000000"/>
          <w:sz w:val="23"/>
          <w:szCs w:val="23"/>
        </w:rPr>
        <w:tab/>
        <w:t>Summary of ADRs reported in patients with low-grade or follicular lymphoma receiving rituximab monotherapy (N = 356) or rituximab maintenance treatment (N</w:t>
      </w:r>
      <w:r w:rsidR="00CE75ED" w:rsidRPr="00E3482E">
        <w:rPr>
          <w:color w:val="000000"/>
          <w:sz w:val="23"/>
          <w:szCs w:val="23"/>
        </w:rPr>
        <w:t> </w:t>
      </w:r>
      <w:r w:rsidRPr="00E3482E">
        <w:rPr>
          <w:color w:val="000000"/>
          <w:sz w:val="23"/>
          <w:szCs w:val="23"/>
        </w:rPr>
        <w:t>= 671) in clinical trials</w:t>
      </w:r>
    </w:p>
    <w:tbl>
      <w:tblPr>
        <w:tblW w:w="96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8"/>
        <w:gridCol w:w="1746"/>
        <w:gridCol w:w="2910"/>
        <w:gridCol w:w="2619"/>
      </w:tblGrid>
      <w:tr w:rsidR="000007AE" w:rsidRPr="00E3482E" w:rsidTr="003E0C17">
        <w:trPr>
          <w:tblHeader/>
        </w:trPr>
        <w:tc>
          <w:tcPr>
            <w:tcW w:w="2328" w:type="dxa"/>
            <w:tcBorders>
              <w:top w:val="single" w:sz="4" w:space="0" w:color="auto"/>
              <w:left w:val="single" w:sz="4" w:space="0" w:color="auto"/>
              <w:bottom w:val="single" w:sz="4" w:space="0" w:color="auto"/>
              <w:right w:val="single" w:sz="4" w:space="0" w:color="auto"/>
            </w:tcBorders>
            <w:shd w:val="clear" w:color="auto" w:fill="F2F2F2"/>
          </w:tcPr>
          <w:p w:rsidR="00AA40A4" w:rsidRPr="00E3482E" w:rsidRDefault="00AA40A4" w:rsidP="00F10B4B">
            <w:pPr>
              <w:pStyle w:val="Text"/>
              <w:keepNext/>
              <w:spacing w:before="40" w:line="259" w:lineRule="auto"/>
              <w:jc w:val="center"/>
              <w:rPr>
                <w:b/>
                <w:color w:val="000000"/>
                <w:sz w:val="22"/>
                <w:szCs w:val="22"/>
              </w:rPr>
            </w:pPr>
            <w:r w:rsidRPr="00E3482E">
              <w:rPr>
                <w:b/>
                <w:color w:val="000000"/>
                <w:sz w:val="22"/>
                <w:szCs w:val="22"/>
              </w:rPr>
              <w:t>System Organ Class</w:t>
            </w:r>
          </w:p>
        </w:tc>
        <w:tc>
          <w:tcPr>
            <w:tcW w:w="1746" w:type="dxa"/>
            <w:tcBorders>
              <w:top w:val="single" w:sz="4" w:space="0" w:color="auto"/>
              <w:left w:val="single" w:sz="4" w:space="0" w:color="auto"/>
              <w:bottom w:val="single" w:sz="4" w:space="0" w:color="auto"/>
              <w:right w:val="single" w:sz="4" w:space="0" w:color="auto"/>
            </w:tcBorders>
            <w:shd w:val="clear" w:color="auto" w:fill="F2F2F2"/>
          </w:tcPr>
          <w:p w:rsidR="00AA40A4" w:rsidRPr="00E3482E" w:rsidRDefault="00AA40A4" w:rsidP="00F10B4B">
            <w:pPr>
              <w:pStyle w:val="Text"/>
              <w:keepNext/>
              <w:spacing w:before="20" w:line="259" w:lineRule="auto"/>
              <w:jc w:val="center"/>
              <w:rPr>
                <w:b/>
                <w:bCs/>
                <w:color w:val="000000"/>
                <w:sz w:val="22"/>
                <w:szCs w:val="22"/>
              </w:rPr>
            </w:pPr>
            <w:r w:rsidRPr="00E3482E">
              <w:rPr>
                <w:b/>
                <w:bCs/>
                <w:color w:val="000000"/>
                <w:sz w:val="22"/>
                <w:szCs w:val="22"/>
              </w:rPr>
              <w:t>Very Common</w:t>
            </w:r>
          </w:p>
          <w:p w:rsidR="00AA40A4" w:rsidRPr="00E3482E" w:rsidRDefault="00AA40A4" w:rsidP="00F10B4B">
            <w:pPr>
              <w:pStyle w:val="Text"/>
              <w:keepNext/>
              <w:spacing w:before="0" w:line="259" w:lineRule="auto"/>
              <w:jc w:val="center"/>
              <w:rPr>
                <w:bCs/>
                <w:color w:val="000000"/>
                <w:sz w:val="22"/>
                <w:szCs w:val="22"/>
              </w:rPr>
            </w:pPr>
            <w:r w:rsidRPr="00E3482E">
              <w:rPr>
                <w:bCs/>
                <w:color w:val="000000"/>
                <w:sz w:val="22"/>
                <w:szCs w:val="22"/>
              </w:rPr>
              <w:t>(≥ 10%)</w:t>
            </w:r>
          </w:p>
        </w:tc>
        <w:tc>
          <w:tcPr>
            <w:tcW w:w="2910" w:type="dxa"/>
            <w:tcBorders>
              <w:top w:val="single" w:sz="4" w:space="0" w:color="auto"/>
              <w:left w:val="single" w:sz="4" w:space="0" w:color="auto"/>
              <w:bottom w:val="single" w:sz="4" w:space="0" w:color="auto"/>
              <w:right w:val="single" w:sz="4" w:space="0" w:color="auto"/>
            </w:tcBorders>
            <w:shd w:val="clear" w:color="auto" w:fill="F2F2F2"/>
          </w:tcPr>
          <w:p w:rsidR="00AA40A4" w:rsidRPr="00E3482E" w:rsidRDefault="00AA40A4" w:rsidP="00F10B4B">
            <w:pPr>
              <w:pStyle w:val="Text"/>
              <w:keepNext/>
              <w:spacing w:before="20" w:line="259" w:lineRule="auto"/>
              <w:jc w:val="center"/>
              <w:rPr>
                <w:b/>
                <w:color w:val="000000"/>
                <w:sz w:val="22"/>
                <w:szCs w:val="22"/>
              </w:rPr>
            </w:pPr>
            <w:r w:rsidRPr="00E3482E">
              <w:rPr>
                <w:b/>
                <w:color w:val="000000"/>
                <w:sz w:val="22"/>
                <w:szCs w:val="22"/>
              </w:rPr>
              <w:t>Common</w:t>
            </w:r>
          </w:p>
          <w:p w:rsidR="00AA40A4" w:rsidRPr="00E3482E" w:rsidRDefault="00AA40A4" w:rsidP="00F10B4B">
            <w:pPr>
              <w:pStyle w:val="Text"/>
              <w:keepNext/>
              <w:spacing w:before="0" w:line="259" w:lineRule="auto"/>
              <w:jc w:val="center"/>
              <w:rPr>
                <w:color w:val="000000"/>
                <w:sz w:val="22"/>
                <w:szCs w:val="22"/>
              </w:rPr>
            </w:pPr>
            <w:r w:rsidRPr="00E3482E">
              <w:rPr>
                <w:color w:val="000000"/>
                <w:sz w:val="22"/>
                <w:szCs w:val="22"/>
              </w:rPr>
              <w:t>(≥1% to &lt;10%)</w:t>
            </w:r>
          </w:p>
        </w:tc>
        <w:tc>
          <w:tcPr>
            <w:tcW w:w="2619" w:type="dxa"/>
            <w:tcBorders>
              <w:top w:val="single" w:sz="4" w:space="0" w:color="auto"/>
              <w:left w:val="single" w:sz="4" w:space="0" w:color="auto"/>
              <w:bottom w:val="single" w:sz="4" w:space="0" w:color="auto"/>
              <w:right w:val="single" w:sz="4" w:space="0" w:color="auto"/>
            </w:tcBorders>
            <w:shd w:val="clear" w:color="auto" w:fill="F2F2F2"/>
          </w:tcPr>
          <w:p w:rsidR="00AA40A4" w:rsidRPr="00E3482E" w:rsidRDefault="00AA40A4" w:rsidP="00F10B4B">
            <w:pPr>
              <w:pStyle w:val="Text"/>
              <w:keepNext/>
              <w:spacing w:before="20" w:line="259" w:lineRule="auto"/>
              <w:jc w:val="center"/>
              <w:rPr>
                <w:b/>
                <w:color w:val="000000"/>
                <w:sz w:val="22"/>
                <w:szCs w:val="22"/>
              </w:rPr>
            </w:pPr>
            <w:r w:rsidRPr="00E3482E">
              <w:rPr>
                <w:b/>
                <w:color w:val="000000"/>
                <w:sz w:val="22"/>
                <w:szCs w:val="22"/>
              </w:rPr>
              <w:t>Uncommon</w:t>
            </w:r>
          </w:p>
          <w:p w:rsidR="00AA40A4" w:rsidRPr="00E3482E" w:rsidRDefault="00AA40A4" w:rsidP="00F10B4B">
            <w:pPr>
              <w:pStyle w:val="Text"/>
              <w:keepNext/>
              <w:spacing w:before="0" w:line="259" w:lineRule="auto"/>
              <w:jc w:val="center"/>
              <w:rPr>
                <w:color w:val="000000"/>
                <w:sz w:val="22"/>
                <w:szCs w:val="22"/>
              </w:rPr>
            </w:pPr>
            <w:r w:rsidRPr="00E3482E">
              <w:rPr>
                <w:color w:val="000000"/>
                <w:sz w:val="22"/>
                <w:szCs w:val="22"/>
              </w:rPr>
              <w:t>(≥ 0.1% to &lt;1%)</w:t>
            </w:r>
          </w:p>
        </w:tc>
      </w:tr>
      <w:tr w:rsidR="00AA40A4"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AA40A4" w:rsidRPr="00E3482E" w:rsidRDefault="00AA40A4" w:rsidP="00F10B4B">
            <w:pPr>
              <w:pStyle w:val="Text"/>
              <w:keepNext/>
              <w:spacing w:before="40" w:after="20" w:line="269" w:lineRule="auto"/>
              <w:jc w:val="left"/>
              <w:rPr>
                <w:b/>
                <w:color w:val="000000"/>
                <w:sz w:val="22"/>
                <w:szCs w:val="22"/>
              </w:rPr>
            </w:pPr>
            <w:r w:rsidRPr="00E3482E">
              <w:rPr>
                <w:b/>
                <w:color w:val="000000"/>
                <w:sz w:val="22"/>
                <w:szCs w:val="22"/>
              </w:rPr>
              <w:t>Infections and infestations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AA40A4" w:rsidRPr="00E3482E" w:rsidRDefault="00AA40A4" w:rsidP="00F10B4B">
            <w:pPr>
              <w:pStyle w:val="Text"/>
              <w:keepNext/>
              <w:spacing w:before="40" w:after="20" w:line="269" w:lineRule="auto"/>
              <w:jc w:val="left"/>
              <w:rPr>
                <w:color w:val="000000"/>
                <w:sz w:val="22"/>
                <w:szCs w:val="22"/>
              </w:rPr>
            </w:pPr>
            <w:r w:rsidRPr="00E3482E">
              <w:rPr>
                <w:color w:val="000000"/>
                <w:sz w:val="22"/>
                <w:szCs w:val="22"/>
              </w:rPr>
              <w:t>bacterial infections, viral</w:t>
            </w:r>
            <w:r w:rsidR="00844096" w:rsidRPr="00E3482E">
              <w:rPr>
                <w:color w:val="000000"/>
                <w:sz w:val="22"/>
                <w:szCs w:val="22"/>
              </w:rPr>
              <w:t> </w:t>
            </w:r>
            <w:r w:rsidRPr="00E3482E">
              <w:rPr>
                <w:color w:val="000000"/>
                <w:sz w:val="22"/>
                <w:szCs w:val="22"/>
              </w:rPr>
              <w:t>infections</w:t>
            </w: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AA40A4" w:rsidRPr="00E3482E" w:rsidRDefault="00AA40A4" w:rsidP="00F10B4B">
            <w:pPr>
              <w:pStyle w:val="Text"/>
              <w:keepNext/>
              <w:spacing w:before="40" w:line="269" w:lineRule="auto"/>
              <w:jc w:val="left"/>
              <w:rPr>
                <w:color w:val="000000"/>
                <w:sz w:val="22"/>
                <w:szCs w:val="22"/>
              </w:rPr>
            </w:pPr>
            <w:r w:rsidRPr="00E3482E">
              <w:rPr>
                <w:color w:val="000000"/>
                <w:sz w:val="22"/>
                <w:szCs w:val="22"/>
              </w:rPr>
              <w:t xml:space="preserve">sepsis, </w:t>
            </w:r>
            <w:r w:rsidRPr="00E3482E">
              <w:rPr>
                <w:color w:val="000000"/>
                <w:sz w:val="22"/>
                <w:szCs w:val="22"/>
                <w:vertAlign w:val="superscript"/>
              </w:rPr>
              <w:t>+</w:t>
            </w:r>
            <w:r w:rsidRPr="00E3482E">
              <w:rPr>
                <w:color w:val="000000"/>
                <w:sz w:val="22"/>
                <w:szCs w:val="22"/>
              </w:rPr>
              <w:t xml:space="preserve">pneumonia, </w:t>
            </w:r>
            <w:r w:rsidRPr="00E3482E">
              <w:rPr>
                <w:color w:val="000000"/>
                <w:sz w:val="22"/>
                <w:szCs w:val="22"/>
                <w:vertAlign w:val="superscript"/>
              </w:rPr>
              <w:t>+</w:t>
            </w:r>
            <w:r w:rsidRPr="00E3482E">
              <w:rPr>
                <w:color w:val="000000"/>
                <w:sz w:val="22"/>
                <w:szCs w:val="22"/>
              </w:rPr>
              <w:t xml:space="preserve">febrile infection, </w:t>
            </w:r>
            <w:r w:rsidRPr="00E3482E">
              <w:rPr>
                <w:color w:val="000000"/>
                <w:sz w:val="22"/>
                <w:szCs w:val="22"/>
                <w:vertAlign w:val="superscript"/>
              </w:rPr>
              <w:t>+</w:t>
            </w:r>
            <w:r w:rsidRPr="00E3482E">
              <w:rPr>
                <w:color w:val="000000"/>
                <w:sz w:val="22"/>
                <w:szCs w:val="22"/>
              </w:rPr>
              <w:t xml:space="preserve">herpes zoster, </w:t>
            </w:r>
            <w:r w:rsidRPr="00E3482E">
              <w:rPr>
                <w:color w:val="000000"/>
                <w:sz w:val="22"/>
                <w:szCs w:val="22"/>
                <w:vertAlign w:val="superscript"/>
              </w:rPr>
              <w:t>+</w:t>
            </w:r>
            <w:r w:rsidRPr="00E3482E">
              <w:rPr>
                <w:color w:val="000000"/>
                <w:sz w:val="22"/>
                <w:szCs w:val="22"/>
              </w:rPr>
              <w:t>respiratory tract infection, fungal infections, infections of unknown aetiology</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AA40A4" w:rsidRPr="00E3482E" w:rsidRDefault="00AA40A4" w:rsidP="00F10B4B">
            <w:pPr>
              <w:pStyle w:val="Text"/>
              <w:keepNext/>
              <w:spacing w:before="40" w:after="20" w:line="269" w:lineRule="auto"/>
              <w:jc w:val="left"/>
              <w:rPr>
                <w:color w:val="000000"/>
                <w:sz w:val="22"/>
                <w:szCs w:val="22"/>
              </w:rPr>
            </w:pP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b/>
                <w:color w:val="000000"/>
                <w:sz w:val="22"/>
                <w:szCs w:val="22"/>
              </w:rPr>
            </w:pPr>
            <w:r w:rsidRPr="00E3482E">
              <w:rPr>
                <w:b/>
                <w:color w:val="000000"/>
                <w:sz w:val="22"/>
                <w:szCs w:val="22"/>
              </w:rPr>
              <w:t>Blood and the lymphatic system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r w:rsidRPr="00E3482E">
              <w:rPr>
                <w:color w:val="000000"/>
                <w:sz w:val="22"/>
                <w:szCs w:val="22"/>
              </w:rPr>
              <w:t xml:space="preserve">neutropenia, </w:t>
            </w:r>
            <w:proofErr w:type="spellStart"/>
            <w:r w:rsidRPr="00E3482E">
              <w:rPr>
                <w:color w:val="000000"/>
                <w:sz w:val="22"/>
                <w:szCs w:val="22"/>
              </w:rPr>
              <w:t>leucopenia</w:t>
            </w:r>
            <w:proofErr w:type="spellEnd"/>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r w:rsidRPr="00E3482E">
              <w:rPr>
                <w:color w:val="000000"/>
                <w:sz w:val="22"/>
                <w:szCs w:val="22"/>
              </w:rPr>
              <w:t>anaemia, thrombocytopenia</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color w:val="000000"/>
                <w:sz w:val="22"/>
                <w:szCs w:val="22"/>
              </w:rPr>
            </w:pPr>
            <w:r w:rsidRPr="00E3482E">
              <w:rPr>
                <w:color w:val="000000"/>
                <w:sz w:val="22"/>
                <w:szCs w:val="22"/>
              </w:rPr>
              <w:t>coagulation disorders, transient aplastic anaemia, haemolytic anaemia, lymphadenopathy</w:t>
            </w: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b/>
                <w:color w:val="000000"/>
                <w:sz w:val="22"/>
                <w:szCs w:val="22"/>
              </w:rPr>
            </w:pPr>
            <w:r w:rsidRPr="00E3482E">
              <w:rPr>
                <w:b/>
                <w:color w:val="000000"/>
                <w:sz w:val="22"/>
                <w:szCs w:val="22"/>
              </w:rPr>
              <w:t>Immune system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r w:rsidRPr="00E3482E">
              <w:rPr>
                <w:color w:val="000000"/>
                <w:sz w:val="22"/>
                <w:szCs w:val="22"/>
              </w:rPr>
              <w:t>angioedema</w:t>
            </w: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0007AE" w:rsidP="000007AE">
            <w:pPr>
              <w:pStyle w:val="Text"/>
              <w:spacing w:before="40" w:after="20" w:line="269" w:lineRule="auto"/>
              <w:jc w:val="left"/>
              <w:rPr>
                <w:color w:val="000000"/>
                <w:sz w:val="22"/>
                <w:szCs w:val="22"/>
              </w:rPr>
            </w:pPr>
            <w:r w:rsidRPr="00E3482E">
              <w:rPr>
                <w:color w:val="000000"/>
                <w:sz w:val="22"/>
                <w:szCs w:val="22"/>
              </w:rPr>
              <w:t>h</w:t>
            </w:r>
            <w:r w:rsidR="00844096" w:rsidRPr="00E3482E">
              <w:rPr>
                <w:color w:val="000000"/>
                <w:sz w:val="22"/>
                <w:szCs w:val="22"/>
              </w:rPr>
              <w:t>ypersensitivity</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b/>
                <w:color w:val="000000"/>
                <w:sz w:val="22"/>
                <w:szCs w:val="22"/>
              </w:rPr>
            </w:pPr>
            <w:r w:rsidRPr="00E3482E">
              <w:rPr>
                <w:b/>
                <w:color w:val="000000"/>
                <w:sz w:val="22"/>
                <w:szCs w:val="22"/>
              </w:rPr>
              <w:lastRenderedPageBreak/>
              <w:t>Metabolism and nutrition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color w:val="000000"/>
                <w:sz w:val="22"/>
                <w:szCs w:val="22"/>
              </w:rPr>
            </w:pPr>
            <w:r w:rsidRPr="00E3482E">
              <w:rPr>
                <w:color w:val="000000"/>
                <w:sz w:val="22"/>
                <w:szCs w:val="22"/>
              </w:rPr>
              <w:t>hyperglycaemia, weight decrease, peripheral oedema, face oedema, increased LDH, hypocalcaemia</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b/>
                <w:color w:val="000000"/>
                <w:sz w:val="22"/>
                <w:szCs w:val="22"/>
              </w:rPr>
            </w:pPr>
            <w:r w:rsidRPr="00E3482E">
              <w:rPr>
                <w:b/>
                <w:color w:val="000000"/>
                <w:sz w:val="22"/>
                <w:szCs w:val="22"/>
              </w:rPr>
              <w:t>Psychiatric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color w:val="000000"/>
                <w:sz w:val="22"/>
                <w:szCs w:val="22"/>
              </w:rPr>
            </w:pPr>
            <w:r w:rsidRPr="00E3482E">
              <w:rPr>
                <w:color w:val="000000"/>
                <w:sz w:val="22"/>
                <w:szCs w:val="22"/>
              </w:rPr>
              <w:t>depression, nervousness</w:t>
            </w: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b/>
                <w:color w:val="000000"/>
                <w:sz w:val="22"/>
                <w:szCs w:val="22"/>
              </w:rPr>
            </w:pPr>
            <w:r w:rsidRPr="00E3482E">
              <w:rPr>
                <w:b/>
                <w:color w:val="000000"/>
                <w:sz w:val="22"/>
                <w:szCs w:val="22"/>
              </w:rPr>
              <w:t>Nervous system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color w:val="000000"/>
                <w:sz w:val="22"/>
                <w:szCs w:val="22"/>
              </w:rPr>
            </w:pPr>
            <w:proofErr w:type="spellStart"/>
            <w:r w:rsidRPr="00E3482E">
              <w:rPr>
                <w:color w:val="000000"/>
                <w:sz w:val="22"/>
                <w:szCs w:val="22"/>
              </w:rPr>
              <w:t>paresthesia</w:t>
            </w:r>
            <w:proofErr w:type="spellEnd"/>
            <w:r w:rsidRPr="00E3482E">
              <w:rPr>
                <w:color w:val="000000"/>
                <w:sz w:val="22"/>
                <w:szCs w:val="22"/>
              </w:rPr>
              <w:t>, hypoesthesia, agitation, insomnia, vasodilatation, dizziness, anxiety</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0007AE" w:rsidP="00AA40A4">
            <w:pPr>
              <w:pStyle w:val="Text"/>
              <w:spacing w:before="40" w:after="20" w:line="269" w:lineRule="auto"/>
              <w:jc w:val="left"/>
              <w:rPr>
                <w:color w:val="000000"/>
                <w:sz w:val="22"/>
                <w:szCs w:val="22"/>
              </w:rPr>
            </w:pPr>
            <w:proofErr w:type="spellStart"/>
            <w:r w:rsidRPr="00E3482E">
              <w:rPr>
                <w:color w:val="000000"/>
                <w:sz w:val="22"/>
                <w:szCs w:val="22"/>
              </w:rPr>
              <w:t>d</w:t>
            </w:r>
            <w:r w:rsidR="00844096" w:rsidRPr="00E3482E">
              <w:rPr>
                <w:color w:val="000000"/>
                <w:sz w:val="22"/>
                <w:szCs w:val="22"/>
              </w:rPr>
              <w:t>ysgeusia</w:t>
            </w:r>
            <w:proofErr w:type="spellEnd"/>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b/>
                <w:color w:val="000000"/>
                <w:sz w:val="22"/>
                <w:szCs w:val="22"/>
              </w:rPr>
            </w:pPr>
            <w:r w:rsidRPr="00E3482E">
              <w:rPr>
                <w:b/>
                <w:color w:val="000000"/>
                <w:sz w:val="22"/>
                <w:szCs w:val="22"/>
              </w:rPr>
              <w:t>Eye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color w:val="000000"/>
                <w:sz w:val="22"/>
                <w:szCs w:val="22"/>
              </w:rPr>
            </w:pPr>
            <w:r w:rsidRPr="00E3482E">
              <w:rPr>
                <w:color w:val="000000"/>
                <w:sz w:val="22"/>
                <w:szCs w:val="22"/>
              </w:rPr>
              <w:t>lacrimation disorder, conjunctivitis</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b/>
                <w:color w:val="000000"/>
                <w:sz w:val="22"/>
                <w:szCs w:val="22"/>
              </w:rPr>
            </w:pPr>
            <w:r w:rsidRPr="00E3482E">
              <w:rPr>
                <w:b/>
                <w:color w:val="000000"/>
                <w:sz w:val="22"/>
                <w:szCs w:val="22"/>
              </w:rPr>
              <w:t>Ear and labyrinth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r w:rsidRPr="00E3482E">
              <w:rPr>
                <w:color w:val="000000"/>
                <w:sz w:val="22"/>
                <w:szCs w:val="22"/>
              </w:rPr>
              <w:t>tinnitus, ear pain</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b/>
                <w:color w:val="000000"/>
                <w:sz w:val="22"/>
                <w:szCs w:val="22"/>
              </w:rPr>
            </w:pPr>
            <w:r w:rsidRPr="00E3482E">
              <w:rPr>
                <w:b/>
                <w:color w:val="000000"/>
                <w:sz w:val="22"/>
                <w:szCs w:val="22"/>
              </w:rPr>
              <w:t>Cardiac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r w:rsidRPr="00E3482E">
              <w:rPr>
                <w:color w:val="000000"/>
                <w:sz w:val="22"/>
                <w:szCs w:val="22"/>
                <w:vertAlign w:val="superscript"/>
              </w:rPr>
              <w:t>+</w:t>
            </w:r>
            <w:r w:rsidRPr="00E3482E">
              <w:rPr>
                <w:color w:val="000000"/>
                <w:sz w:val="22"/>
                <w:szCs w:val="22"/>
              </w:rPr>
              <w:t xml:space="preserve">myocardial infarction, arrhythmia, </w:t>
            </w:r>
            <w:r w:rsidRPr="00E3482E">
              <w:rPr>
                <w:color w:val="000000"/>
                <w:sz w:val="22"/>
                <w:szCs w:val="22"/>
                <w:vertAlign w:val="superscript"/>
              </w:rPr>
              <w:t>+</w:t>
            </w:r>
            <w:r w:rsidRPr="00E3482E">
              <w:rPr>
                <w:color w:val="000000"/>
                <w:sz w:val="22"/>
                <w:szCs w:val="22"/>
              </w:rPr>
              <w:t xml:space="preserve">atrial fibrillation, tachycardia, </w:t>
            </w:r>
            <w:r w:rsidRPr="00E3482E">
              <w:rPr>
                <w:color w:val="000000"/>
                <w:sz w:val="22"/>
                <w:szCs w:val="22"/>
                <w:vertAlign w:val="superscript"/>
              </w:rPr>
              <w:t>+</w:t>
            </w:r>
            <w:r w:rsidRPr="00E3482E">
              <w:rPr>
                <w:color w:val="000000"/>
                <w:sz w:val="22"/>
                <w:szCs w:val="22"/>
              </w:rPr>
              <w:t>cardiac disorder</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color w:val="000000"/>
                <w:sz w:val="22"/>
                <w:szCs w:val="22"/>
              </w:rPr>
            </w:pPr>
            <w:r w:rsidRPr="00E3482E">
              <w:rPr>
                <w:color w:val="000000"/>
                <w:sz w:val="22"/>
                <w:szCs w:val="22"/>
                <w:vertAlign w:val="superscript"/>
              </w:rPr>
              <w:t>+</w:t>
            </w:r>
            <w:r w:rsidRPr="00E3482E">
              <w:rPr>
                <w:color w:val="000000"/>
                <w:sz w:val="22"/>
                <w:szCs w:val="22"/>
              </w:rPr>
              <w:t xml:space="preserve">left ventricular failure, </w:t>
            </w:r>
            <w:r w:rsidRPr="00E3482E">
              <w:rPr>
                <w:color w:val="000000"/>
                <w:sz w:val="22"/>
                <w:szCs w:val="22"/>
                <w:vertAlign w:val="superscript"/>
              </w:rPr>
              <w:t>+</w:t>
            </w:r>
            <w:r w:rsidRPr="00E3482E">
              <w:rPr>
                <w:color w:val="000000"/>
                <w:sz w:val="22"/>
                <w:szCs w:val="22"/>
              </w:rPr>
              <w:t xml:space="preserve">supraventricular tachycardia, </w:t>
            </w:r>
            <w:r w:rsidRPr="00E3482E">
              <w:rPr>
                <w:color w:val="000000"/>
                <w:sz w:val="22"/>
                <w:szCs w:val="22"/>
                <w:vertAlign w:val="superscript"/>
              </w:rPr>
              <w:t>+</w:t>
            </w:r>
            <w:r w:rsidRPr="00E3482E">
              <w:rPr>
                <w:color w:val="000000"/>
                <w:sz w:val="22"/>
                <w:szCs w:val="22"/>
              </w:rPr>
              <w:t xml:space="preserve">ventricular tachycardia, </w:t>
            </w:r>
            <w:r w:rsidRPr="00E3482E">
              <w:rPr>
                <w:color w:val="000000"/>
                <w:sz w:val="22"/>
                <w:szCs w:val="22"/>
                <w:vertAlign w:val="superscript"/>
              </w:rPr>
              <w:t>+</w:t>
            </w:r>
            <w:r w:rsidRPr="00E3482E">
              <w:rPr>
                <w:color w:val="000000"/>
                <w:sz w:val="22"/>
                <w:szCs w:val="22"/>
              </w:rPr>
              <w:t xml:space="preserve">angina, </w:t>
            </w:r>
            <w:r w:rsidRPr="00E3482E">
              <w:rPr>
                <w:color w:val="000000"/>
                <w:sz w:val="22"/>
                <w:szCs w:val="22"/>
                <w:vertAlign w:val="superscript"/>
              </w:rPr>
              <w:t>+</w:t>
            </w:r>
            <w:r w:rsidRPr="00E3482E">
              <w:rPr>
                <w:color w:val="000000"/>
                <w:sz w:val="22"/>
                <w:szCs w:val="22"/>
              </w:rPr>
              <w:t xml:space="preserve">myocardial </w:t>
            </w:r>
            <w:proofErr w:type="spellStart"/>
            <w:r w:rsidRPr="00E3482E">
              <w:rPr>
                <w:color w:val="000000"/>
                <w:sz w:val="22"/>
                <w:szCs w:val="22"/>
              </w:rPr>
              <w:t>ischaemia</w:t>
            </w:r>
            <w:proofErr w:type="spellEnd"/>
            <w:r w:rsidRPr="00E3482E">
              <w:rPr>
                <w:color w:val="000000"/>
                <w:sz w:val="22"/>
                <w:szCs w:val="22"/>
              </w:rPr>
              <w:t>, bradycardia</w:t>
            </w: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b/>
                <w:color w:val="000000"/>
                <w:sz w:val="22"/>
                <w:szCs w:val="22"/>
              </w:rPr>
            </w:pPr>
            <w:r w:rsidRPr="00E3482E">
              <w:rPr>
                <w:b/>
                <w:color w:val="000000"/>
                <w:sz w:val="22"/>
                <w:szCs w:val="22"/>
              </w:rPr>
              <w:t>Vascular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color w:val="000000"/>
                <w:sz w:val="22"/>
                <w:szCs w:val="22"/>
              </w:rPr>
            </w:pPr>
            <w:r w:rsidRPr="00E3482E">
              <w:rPr>
                <w:color w:val="000000"/>
                <w:sz w:val="22"/>
                <w:szCs w:val="22"/>
              </w:rPr>
              <w:t>hypertension, orthostatic hypotension, hypotension</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r>
      <w:tr w:rsidR="00844096" w:rsidRPr="00E3482E" w:rsidTr="00396257">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0007AE">
            <w:pPr>
              <w:pStyle w:val="Text"/>
              <w:spacing w:before="40" w:line="269" w:lineRule="auto"/>
              <w:jc w:val="left"/>
              <w:rPr>
                <w:b/>
                <w:color w:val="000000"/>
                <w:sz w:val="22"/>
                <w:szCs w:val="22"/>
              </w:rPr>
            </w:pPr>
            <w:r w:rsidRPr="00E3482E">
              <w:rPr>
                <w:b/>
                <w:color w:val="000000"/>
                <w:sz w:val="22"/>
                <w:szCs w:val="22"/>
              </w:rPr>
              <w:t>Respiratory, thoracic and mediastinal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D6167E">
            <w:pPr>
              <w:pStyle w:val="Text"/>
              <w:spacing w:before="40" w:line="269" w:lineRule="auto"/>
              <w:jc w:val="left"/>
              <w:rPr>
                <w:color w:val="000000"/>
                <w:sz w:val="22"/>
                <w:szCs w:val="22"/>
              </w:rPr>
            </w:pPr>
            <w:r w:rsidRPr="00E3482E">
              <w:rPr>
                <w:color w:val="000000"/>
                <w:sz w:val="22"/>
                <w:szCs w:val="22"/>
              </w:rPr>
              <w:t>bronchospasm, respiratory disease, chest pain, dyspnoea, cough, rhinitis</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D6167E">
            <w:pPr>
              <w:pStyle w:val="Text"/>
              <w:spacing w:before="40" w:line="269" w:lineRule="auto"/>
              <w:jc w:val="left"/>
              <w:rPr>
                <w:color w:val="000000"/>
                <w:sz w:val="22"/>
                <w:szCs w:val="22"/>
              </w:rPr>
            </w:pPr>
            <w:r w:rsidRPr="00E3482E">
              <w:rPr>
                <w:color w:val="000000"/>
                <w:sz w:val="22"/>
                <w:szCs w:val="22"/>
              </w:rPr>
              <w:t>asthma, bronchiolitis obliterans, lung disorder, hypoxia</w:t>
            </w:r>
          </w:p>
        </w:tc>
      </w:tr>
      <w:tr w:rsidR="00844096" w:rsidRPr="00E3482E" w:rsidTr="00396257">
        <w:trPr>
          <w:cantSplit/>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b/>
                <w:color w:val="000000"/>
                <w:sz w:val="22"/>
                <w:szCs w:val="22"/>
              </w:rPr>
            </w:pPr>
            <w:r w:rsidRPr="00E3482E">
              <w:rPr>
                <w:b/>
                <w:color w:val="000000"/>
                <w:sz w:val="22"/>
                <w:szCs w:val="22"/>
              </w:rPr>
              <w:t>Gastrointestinal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r w:rsidRPr="00E3482E">
              <w:rPr>
                <w:color w:val="000000"/>
                <w:sz w:val="22"/>
                <w:szCs w:val="22"/>
              </w:rPr>
              <w:t>nausea</w:t>
            </w: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D6167E">
            <w:pPr>
              <w:pStyle w:val="Text"/>
              <w:spacing w:before="40" w:line="269" w:lineRule="auto"/>
              <w:jc w:val="left"/>
              <w:rPr>
                <w:color w:val="000000"/>
                <w:sz w:val="22"/>
                <w:szCs w:val="22"/>
              </w:rPr>
            </w:pPr>
            <w:r w:rsidRPr="00E3482E">
              <w:rPr>
                <w:color w:val="000000"/>
                <w:sz w:val="22"/>
                <w:szCs w:val="22"/>
              </w:rPr>
              <w:t>vomiting, diarrhoea, abdominal pain, dysphagia, stomatitis, constipation dyspepsia, anorexia, throat irritation</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844096" w:rsidRPr="00E3482E" w:rsidRDefault="00844096" w:rsidP="00AA40A4">
            <w:pPr>
              <w:pStyle w:val="Text"/>
              <w:spacing w:before="40" w:after="20" w:line="269" w:lineRule="auto"/>
              <w:jc w:val="left"/>
              <w:rPr>
                <w:color w:val="000000"/>
                <w:sz w:val="22"/>
                <w:szCs w:val="22"/>
              </w:rPr>
            </w:pPr>
            <w:r w:rsidRPr="00E3482E">
              <w:rPr>
                <w:color w:val="000000"/>
                <w:sz w:val="22"/>
                <w:szCs w:val="22"/>
              </w:rPr>
              <w:t>abdominal enlargement</w:t>
            </w:r>
          </w:p>
        </w:tc>
      </w:tr>
      <w:tr w:rsidR="000007AE" w:rsidRPr="00E3482E" w:rsidTr="00396257">
        <w:trPr>
          <w:cantSplit/>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b/>
                <w:color w:val="000000"/>
                <w:sz w:val="22"/>
                <w:szCs w:val="22"/>
              </w:rPr>
            </w:pPr>
            <w:r w:rsidRPr="00E3482E">
              <w:rPr>
                <w:b/>
                <w:color w:val="000000"/>
                <w:sz w:val="22"/>
                <w:szCs w:val="22"/>
              </w:rPr>
              <w:t>Skin and subcutaneous tissue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D6167E">
            <w:pPr>
              <w:pStyle w:val="Text"/>
              <w:spacing w:before="40" w:after="20" w:line="269" w:lineRule="auto"/>
              <w:jc w:val="left"/>
              <w:rPr>
                <w:color w:val="000000"/>
                <w:sz w:val="22"/>
                <w:szCs w:val="22"/>
              </w:rPr>
            </w:pPr>
            <w:proofErr w:type="spellStart"/>
            <w:r w:rsidRPr="00E3482E">
              <w:rPr>
                <w:color w:val="000000"/>
                <w:sz w:val="22"/>
                <w:szCs w:val="22"/>
              </w:rPr>
              <w:t>pruritis</w:t>
            </w:r>
            <w:proofErr w:type="spellEnd"/>
            <w:r w:rsidRPr="00E3482E">
              <w:rPr>
                <w:color w:val="000000"/>
                <w:sz w:val="22"/>
                <w:szCs w:val="22"/>
              </w:rPr>
              <w:t>, rash</w:t>
            </w: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D6167E">
            <w:pPr>
              <w:pStyle w:val="Text"/>
              <w:spacing w:before="40" w:line="269" w:lineRule="auto"/>
              <w:jc w:val="left"/>
              <w:rPr>
                <w:color w:val="000000"/>
                <w:sz w:val="22"/>
                <w:szCs w:val="22"/>
              </w:rPr>
            </w:pPr>
            <w:proofErr w:type="spellStart"/>
            <w:r w:rsidRPr="00E3482E">
              <w:rPr>
                <w:color w:val="000000"/>
                <w:sz w:val="22"/>
                <w:szCs w:val="22"/>
              </w:rPr>
              <w:t>urticaria</w:t>
            </w:r>
            <w:proofErr w:type="spellEnd"/>
            <w:r w:rsidRPr="00E3482E">
              <w:rPr>
                <w:color w:val="000000"/>
                <w:sz w:val="22"/>
                <w:szCs w:val="22"/>
              </w:rPr>
              <w:t xml:space="preserve">, </w:t>
            </w:r>
            <w:r w:rsidRPr="00E3482E">
              <w:rPr>
                <w:color w:val="000000"/>
                <w:sz w:val="22"/>
                <w:szCs w:val="22"/>
                <w:vertAlign w:val="superscript"/>
              </w:rPr>
              <w:t>+</w:t>
            </w:r>
            <w:r w:rsidRPr="00E3482E">
              <w:rPr>
                <w:color w:val="000000"/>
                <w:sz w:val="22"/>
                <w:szCs w:val="22"/>
              </w:rPr>
              <w:t>alopecia, sweating, night sweats</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color w:val="000000"/>
                <w:sz w:val="22"/>
                <w:szCs w:val="22"/>
              </w:rPr>
            </w:pPr>
          </w:p>
        </w:tc>
      </w:tr>
      <w:tr w:rsidR="000007AE" w:rsidRPr="00E3482E" w:rsidTr="00396257">
        <w:trPr>
          <w:cantSplit/>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b/>
                <w:color w:val="000000"/>
                <w:sz w:val="22"/>
                <w:szCs w:val="22"/>
              </w:rPr>
            </w:pPr>
            <w:r w:rsidRPr="00E3482E">
              <w:rPr>
                <w:b/>
                <w:color w:val="000000"/>
                <w:sz w:val="22"/>
                <w:szCs w:val="22"/>
              </w:rPr>
              <w:t>Musculoskeletal, connective tissue and bone disorders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D6167E">
            <w:pPr>
              <w:pStyle w:val="Text"/>
              <w:spacing w:before="40" w:line="269" w:lineRule="auto"/>
              <w:jc w:val="left"/>
              <w:rPr>
                <w:color w:val="000000"/>
                <w:sz w:val="22"/>
                <w:szCs w:val="22"/>
              </w:rPr>
            </w:pPr>
            <w:r w:rsidRPr="00E3482E">
              <w:rPr>
                <w:color w:val="000000"/>
                <w:sz w:val="22"/>
                <w:szCs w:val="22"/>
              </w:rPr>
              <w:t>hypertonia, myalgia, arthralgia, back pain, neck pain, pain</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color w:val="000000"/>
                <w:sz w:val="22"/>
                <w:szCs w:val="22"/>
              </w:rPr>
            </w:pPr>
          </w:p>
        </w:tc>
      </w:tr>
      <w:tr w:rsidR="000007AE" w:rsidRPr="00E3482E" w:rsidTr="00396257">
        <w:trPr>
          <w:cantSplit/>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b/>
                <w:color w:val="000000"/>
                <w:sz w:val="22"/>
                <w:szCs w:val="22"/>
              </w:rPr>
            </w:pPr>
            <w:r w:rsidRPr="00E3482E">
              <w:rPr>
                <w:b/>
                <w:color w:val="000000"/>
                <w:sz w:val="22"/>
                <w:szCs w:val="22"/>
              </w:rPr>
              <w:t>General disorders and administration site conditions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D6167E">
            <w:pPr>
              <w:pStyle w:val="Text"/>
              <w:spacing w:before="40" w:after="20" w:line="269" w:lineRule="auto"/>
              <w:jc w:val="left"/>
              <w:rPr>
                <w:color w:val="000000"/>
                <w:sz w:val="22"/>
                <w:szCs w:val="22"/>
              </w:rPr>
            </w:pPr>
            <w:r w:rsidRPr="00E3482E">
              <w:rPr>
                <w:color w:val="000000"/>
                <w:sz w:val="22"/>
                <w:szCs w:val="22"/>
              </w:rPr>
              <w:t>fever</w:t>
            </w:r>
            <w:r w:rsidR="00D6167E" w:rsidRPr="00E3482E">
              <w:rPr>
                <w:color w:val="000000"/>
                <w:sz w:val="22"/>
                <w:szCs w:val="22"/>
              </w:rPr>
              <w:t>, chills, asthenia</w:t>
            </w:r>
            <w:r w:rsidRPr="00E3482E">
              <w:rPr>
                <w:color w:val="000000"/>
                <w:sz w:val="22"/>
                <w:szCs w:val="22"/>
              </w:rPr>
              <w:t>, headache</w:t>
            </w: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0007AE">
            <w:pPr>
              <w:pStyle w:val="Text"/>
              <w:spacing w:before="40" w:line="269" w:lineRule="auto"/>
              <w:jc w:val="left"/>
              <w:rPr>
                <w:color w:val="000000"/>
                <w:sz w:val="22"/>
                <w:szCs w:val="22"/>
              </w:rPr>
            </w:pPr>
            <w:r w:rsidRPr="00E3482E">
              <w:rPr>
                <w:color w:val="000000"/>
                <w:sz w:val="22"/>
                <w:szCs w:val="22"/>
              </w:rPr>
              <w:t>tumour pain, flushing, malaise, cold syndrome</w:t>
            </w: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color w:val="000000"/>
                <w:sz w:val="22"/>
                <w:szCs w:val="22"/>
              </w:rPr>
            </w:pPr>
            <w:r w:rsidRPr="00E3482E">
              <w:rPr>
                <w:color w:val="000000"/>
                <w:sz w:val="22"/>
                <w:szCs w:val="22"/>
              </w:rPr>
              <w:t>infusion site pain</w:t>
            </w:r>
          </w:p>
        </w:tc>
      </w:tr>
      <w:tr w:rsidR="000007AE" w:rsidRPr="00E3482E" w:rsidTr="00396257">
        <w:trPr>
          <w:cantSplit/>
        </w:trPr>
        <w:tc>
          <w:tcPr>
            <w:tcW w:w="2328"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b/>
                <w:color w:val="000000"/>
                <w:sz w:val="22"/>
                <w:szCs w:val="22"/>
              </w:rPr>
            </w:pPr>
            <w:r w:rsidRPr="00E3482E">
              <w:rPr>
                <w:b/>
                <w:color w:val="000000"/>
                <w:sz w:val="22"/>
                <w:szCs w:val="22"/>
              </w:rPr>
              <w:t>Investigations</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color w:val="000000"/>
                <w:sz w:val="22"/>
                <w:szCs w:val="22"/>
              </w:rPr>
            </w:pPr>
            <w:r w:rsidRPr="00E3482E">
              <w:rPr>
                <w:color w:val="000000"/>
                <w:sz w:val="22"/>
                <w:szCs w:val="22"/>
              </w:rPr>
              <w:t>decreased IgG levels</w:t>
            </w:r>
          </w:p>
        </w:tc>
        <w:tc>
          <w:tcPr>
            <w:tcW w:w="2910"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0007AE">
            <w:pPr>
              <w:pStyle w:val="Text"/>
              <w:spacing w:before="40" w:line="269" w:lineRule="auto"/>
              <w:jc w:val="left"/>
              <w:rPr>
                <w:color w:val="000000"/>
                <w:sz w:val="22"/>
                <w:szCs w:val="22"/>
              </w:rPr>
            </w:pPr>
          </w:p>
        </w:tc>
        <w:tc>
          <w:tcPr>
            <w:tcW w:w="2619" w:type="dxa"/>
            <w:tcBorders>
              <w:top w:val="single" w:sz="4" w:space="0" w:color="auto"/>
              <w:left w:val="single" w:sz="4" w:space="0" w:color="auto"/>
              <w:bottom w:val="single" w:sz="4" w:space="0" w:color="auto"/>
              <w:right w:val="single" w:sz="4" w:space="0" w:color="auto"/>
            </w:tcBorders>
            <w:shd w:val="clear" w:color="auto" w:fill="FFFFFF"/>
          </w:tcPr>
          <w:p w:rsidR="000007AE" w:rsidRPr="00E3482E" w:rsidRDefault="000007AE" w:rsidP="00AA40A4">
            <w:pPr>
              <w:pStyle w:val="Text"/>
              <w:spacing w:before="40" w:after="20" w:line="269" w:lineRule="auto"/>
              <w:jc w:val="left"/>
              <w:rPr>
                <w:color w:val="000000"/>
                <w:sz w:val="22"/>
                <w:szCs w:val="22"/>
              </w:rPr>
            </w:pPr>
          </w:p>
        </w:tc>
      </w:tr>
    </w:tbl>
    <w:p w:rsidR="00396257" w:rsidRPr="00E3482E" w:rsidRDefault="00396257" w:rsidP="009A42F2">
      <w:pPr>
        <w:pStyle w:val="Text"/>
        <w:keepNext/>
        <w:spacing w:before="60" w:line="259" w:lineRule="auto"/>
        <w:rPr>
          <w:i/>
          <w:color w:val="000000"/>
          <w:sz w:val="20"/>
          <w:szCs w:val="20"/>
          <w:lang w:val="en-GB"/>
        </w:rPr>
      </w:pPr>
      <w:r w:rsidRPr="00E3482E">
        <w:rPr>
          <w:i/>
          <w:color w:val="000000"/>
          <w:sz w:val="20"/>
          <w:szCs w:val="20"/>
          <w:lang w:val="en-GB"/>
        </w:rPr>
        <w:lastRenderedPageBreak/>
        <w:t xml:space="preserve">For each term, the frequency count was based on reactions of all grades (from mild to severe), except for terms marked with "+" where the frequency count was based only on severe (≥ Grade 3 NCI common toxicity criteria) reactions. Only the highest frequency observed in either trial is reported. </w:t>
      </w:r>
    </w:p>
    <w:p w:rsidR="00240A63" w:rsidRPr="00E3482E" w:rsidRDefault="00240A63" w:rsidP="00F5092E">
      <w:pPr>
        <w:pStyle w:val="Heading2"/>
      </w:pPr>
      <w:r w:rsidRPr="00E3482E">
        <w:t>Rituximab in combination with chemotherapy in NHL and CLL</w:t>
      </w:r>
    </w:p>
    <w:p w:rsidR="00240A63" w:rsidRPr="00E3482E" w:rsidRDefault="00240A63" w:rsidP="00240A63">
      <w:pPr>
        <w:spacing w:before="120"/>
        <w:jc w:val="both"/>
        <w:rPr>
          <w:noProof/>
          <w:color w:val="000000"/>
        </w:rPr>
      </w:pPr>
      <w:r w:rsidRPr="00E3482E">
        <w:rPr>
          <w:noProof/>
          <w:color w:val="000000"/>
        </w:rPr>
        <w:t xml:space="preserve">The ADRs listed in the table below are based on rituximab-arm data from controlled clinical trials that occurred in addition to those seen with monotherapy/maintenance therapy and/or at a higher frequency grouping: 202 patients with diffuse large B-cell lymphoma (DLBCL) treated with R-CHOP, from 234 and 162 patients with follicular lymphoma treated with R-CHOP or R-CVP, respectively, and from 397 previously untreated CLL patients and 274 relapsed/refractory CLL patients treated with rituximab in combination with fludarabine and cyclophosphamide (R-FC) (see </w:t>
      </w:r>
      <w:r w:rsidRPr="00E3482E">
        <w:rPr>
          <w:b/>
          <w:noProof/>
          <w:color w:val="000000"/>
        </w:rPr>
        <w:t>CLINICAL TRIALS</w:t>
      </w:r>
      <w:r w:rsidRPr="00E3482E">
        <w:rPr>
          <w:noProof/>
          <w:color w:val="000000"/>
        </w:rPr>
        <w:t>).</w:t>
      </w:r>
    </w:p>
    <w:p w:rsidR="008506C4" w:rsidRPr="00E3482E" w:rsidRDefault="00240A63" w:rsidP="00240A63">
      <w:pPr>
        <w:spacing w:before="120"/>
        <w:jc w:val="both"/>
        <w:rPr>
          <w:noProof/>
          <w:color w:val="000000"/>
        </w:rPr>
      </w:pPr>
      <w:r w:rsidRPr="00E3482E">
        <w:rPr>
          <w:noProof/>
          <w:color w:val="000000"/>
        </w:rPr>
        <w:t>The safety information of rituximab in combination with certain chemotherapy regimens is limited. When rituximab is used with other chemotherapy medicines, prescribers are advised to consider the adverse reaction profile of the component medicine(s).</w:t>
      </w:r>
    </w:p>
    <w:p w:rsidR="00240A63" w:rsidRPr="00E3482E" w:rsidRDefault="00240A63" w:rsidP="00CE75ED">
      <w:pPr>
        <w:pStyle w:val="Tabletitle"/>
        <w:keepNext/>
        <w:spacing w:before="200" w:after="60"/>
        <w:ind w:left="908" w:right="-57" w:hanging="1021"/>
        <w:rPr>
          <w:color w:val="000000"/>
          <w:sz w:val="23"/>
          <w:szCs w:val="23"/>
        </w:rPr>
      </w:pPr>
      <w:r w:rsidRPr="00E3482E">
        <w:rPr>
          <w:color w:val="000000"/>
          <w:sz w:val="23"/>
          <w:szCs w:val="23"/>
        </w:rPr>
        <w:t>Table 1</w:t>
      </w:r>
      <w:r w:rsidR="00CE4CAE" w:rsidRPr="00E3482E">
        <w:rPr>
          <w:color w:val="000000"/>
          <w:sz w:val="23"/>
          <w:szCs w:val="23"/>
        </w:rPr>
        <w:t>9</w:t>
      </w:r>
      <w:r w:rsidRPr="00E3482E">
        <w:rPr>
          <w:color w:val="000000"/>
          <w:sz w:val="23"/>
          <w:szCs w:val="23"/>
        </w:rPr>
        <w:t>:</w:t>
      </w:r>
      <w:r w:rsidRPr="00E3482E">
        <w:rPr>
          <w:color w:val="000000"/>
          <w:sz w:val="23"/>
          <w:szCs w:val="23"/>
        </w:rPr>
        <w:tab/>
        <w:t>Summary of severe ADRs reported in patients receiving R-CHOP in DLBCL (N=202)</w:t>
      </w:r>
      <w:r w:rsidR="009A42F2" w:rsidRPr="00E3482E">
        <w:rPr>
          <w:color w:val="000000"/>
          <w:sz w:val="23"/>
          <w:szCs w:val="23"/>
        </w:rPr>
        <w:t>,</w:t>
      </w:r>
      <w:r w:rsidR="00E54416" w:rsidRPr="00E3482E">
        <w:rPr>
          <w:color w:val="000000"/>
          <w:sz w:val="23"/>
          <w:szCs w:val="23"/>
        </w:rPr>
        <w:t xml:space="preserve"> </w:t>
      </w:r>
      <w:r w:rsidRPr="00E3482E">
        <w:rPr>
          <w:color w:val="000000"/>
          <w:sz w:val="23"/>
          <w:szCs w:val="23"/>
        </w:rPr>
        <w:t xml:space="preserve">R-CHOP in follicular lymphoma (N=234), R-CVP in follicular lymphoma (N=162) </w:t>
      </w:r>
      <w:r w:rsidR="009A42F2" w:rsidRPr="00E3482E">
        <w:rPr>
          <w:color w:val="000000"/>
          <w:sz w:val="23"/>
          <w:szCs w:val="23"/>
        </w:rPr>
        <w:t>and</w:t>
      </w:r>
      <w:r w:rsidRPr="00E3482E">
        <w:rPr>
          <w:color w:val="000000"/>
          <w:sz w:val="23"/>
          <w:szCs w:val="23"/>
        </w:rPr>
        <w:t xml:space="preserve"> R-FC in previously untreated (N=397) or relapsed/refractory (N=274) CLL</w:t>
      </w:r>
    </w:p>
    <w:tbl>
      <w:tblPr>
        <w:tblW w:w="96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4"/>
        <w:gridCol w:w="2977"/>
        <w:gridCol w:w="2552"/>
      </w:tblGrid>
      <w:tr w:rsidR="00240A63" w:rsidRPr="00E3482E" w:rsidTr="00240A63">
        <w:trPr>
          <w:tblHeader/>
        </w:trPr>
        <w:tc>
          <w:tcPr>
            <w:tcW w:w="4074" w:type="dxa"/>
            <w:tcBorders>
              <w:top w:val="single" w:sz="4" w:space="0" w:color="auto"/>
              <w:left w:val="single" w:sz="4" w:space="0" w:color="auto"/>
              <w:bottom w:val="single" w:sz="4" w:space="0" w:color="auto"/>
              <w:right w:val="single" w:sz="4" w:space="0" w:color="auto"/>
            </w:tcBorders>
            <w:shd w:val="clear" w:color="auto" w:fill="F2F2F2"/>
          </w:tcPr>
          <w:p w:rsidR="00240A63" w:rsidRPr="00E3482E" w:rsidRDefault="00240A63" w:rsidP="009A42F2">
            <w:pPr>
              <w:pStyle w:val="Text"/>
              <w:spacing w:before="40" w:line="259" w:lineRule="auto"/>
              <w:jc w:val="center"/>
              <w:rPr>
                <w:b/>
                <w:color w:val="000000"/>
                <w:sz w:val="22"/>
                <w:szCs w:val="22"/>
              </w:rPr>
            </w:pPr>
            <w:r w:rsidRPr="00E3482E">
              <w:rPr>
                <w:b/>
                <w:color w:val="000000"/>
                <w:sz w:val="22"/>
                <w:szCs w:val="22"/>
              </w:rPr>
              <w:t>System Organ Class</w:t>
            </w:r>
          </w:p>
        </w:tc>
        <w:tc>
          <w:tcPr>
            <w:tcW w:w="2977" w:type="dxa"/>
            <w:tcBorders>
              <w:top w:val="single" w:sz="4" w:space="0" w:color="auto"/>
              <w:left w:val="single" w:sz="4" w:space="0" w:color="auto"/>
              <w:bottom w:val="single" w:sz="4" w:space="0" w:color="auto"/>
              <w:right w:val="single" w:sz="4" w:space="0" w:color="auto"/>
            </w:tcBorders>
            <w:shd w:val="clear" w:color="auto" w:fill="F2F2F2"/>
          </w:tcPr>
          <w:p w:rsidR="00240A63" w:rsidRPr="00E3482E" w:rsidRDefault="00240A63" w:rsidP="009A42F2">
            <w:pPr>
              <w:pStyle w:val="Text"/>
              <w:spacing w:before="20" w:line="259" w:lineRule="auto"/>
              <w:jc w:val="center"/>
              <w:rPr>
                <w:b/>
                <w:bCs/>
                <w:color w:val="000000"/>
                <w:sz w:val="22"/>
                <w:szCs w:val="22"/>
              </w:rPr>
            </w:pPr>
            <w:r w:rsidRPr="00E3482E">
              <w:rPr>
                <w:b/>
                <w:bCs/>
                <w:color w:val="000000"/>
                <w:sz w:val="22"/>
                <w:szCs w:val="22"/>
              </w:rPr>
              <w:t>Very Common</w:t>
            </w:r>
          </w:p>
          <w:p w:rsidR="00240A63" w:rsidRPr="00E3482E" w:rsidRDefault="00240A63" w:rsidP="009A42F2">
            <w:pPr>
              <w:pStyle w:val="Text"/>
              <w:spacing w:before="0" w:line="259" w:lineRule="auto"/>
              <w:jc w:val="center"/>
              <w:rPr>
                <w:bCs/>
                <w:color w:val="000000"/>
                <w:sz w:val="22"/>
                <w:szCs w:val="22"/>
              </w:rPr>
            </w:pPr>
            <w:r w:rsidRPr="00E3482E">
              <w:rPr>
                <w:bCs/>
                <w:color w:val="000000"/>
                <w:sz w:val="22"/>
                <w:szCs w:val="22"/>
              </w:rPr>
              <w:t>(≥ 10%)</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rsidR="00240A63" w:rsidRPr="00E3482E" w:rsidRDefault="00240A63" w:rsidP="009A42F2">
            <w:pPr>
              <w:pStyle w:val="Text"/>
              <w:spacing w:before="20" w:line="259" w:lineRule="auto"/>
              <w:jc w:val="center"/>
              <w:rPr>
                <w:b/>
                <w:color w:val="000000"/>
                <w:sz w:val="22"/>
                <w:szCs w:val="22"/>
              </w:rPr>
            </w:pPr>
            <w:r w:rsidRPr="00E3482E">
              <w:rPr>
                <w:b/>
                <w:color w:val="000000"/>
                <w:sz w:val="22"/>
                <w:szCs w:val="22"/>
              </w:rPr>
              <w:t>Common</w:t>
            </w:r>
          </w:p>
          <w:p w:rsidR="00240A63" w:rsidRPr="00E3482E" w:rsidRDefault="00240A63" w:rsidP="009A42F2">
            <w:pPr>
              <w:pStyle w:val="Text"/>
              <w:spacing w:before="0" w:line="259" w:lineRule="auto"/>
              <w:jc w:val="center"/>
              <w:rPr>
                <w:color w:val="000000"/>
                <w:sz w:val="22"/>
                <w:szCs w:val="22"/>
              </w:rPr>
            </w:pPr>
            <w:r w:rsidRPr="00E3482E">
              <w:rPr>
                <w:color w:val="000000"/>
                <w:sz w:val="22"/>
                <w:szCs w:val="22"/>
              </w:rPr>
              <w:t>(≥1% to &lt;10%)</w:t>
            </w:r>
          </w:p>
        </w:tc>
      </w:tr>
      <w:tr w:rsidR="00240A63" w:rsidRPr="00E3482E" w:rsidTr="00240A63">
        <w:tc>
          <w:tcPr>
            <w:tcW w:w="4074"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9A42F2">
            <w:pPr>
              <w:pStyle w:val="Text"/>
              <w:spacing w:before="40" w:after="20" w:line="269" w:lineRule="auto"/>
              <w:jc w:val="left"/>
              <w:rPr>
                <w:b/>
                <w:color w:val="000000"/>
                <w:sz w:val="22"/>
                <w:szCs w:val="22"/>
              </w:rPr>
            </w:pPr>
            <w:r w:rsidRPr="00E3482E">
              <w:rPr>
                <w:b/>
                <w:color w:val="000000"/>
                <w:sz w:val="22"/>
                <w:szCs w:val="22"/>
              </w:rPr>
              <w:t>Infections and infestations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240A63">
            <w:pPr>
              <w:pStyle w:val="Text"/>
              <w:spacing w:before="40" w:after="20" w:line="269" w:lineRule="auto"/>
              <w:jc w:val="left"/>
              <w:rPr>
                <w:color w:val="000000"/>
                <w:sz w:val="22"/>
                <w:szCs w:val="22"/>
              </w:rPr>
            </w:pPr>
            <w:r w:rsidRPr="00E3482E">
              <w:rPr>
                <w:color w:val="000000"/>
                <w:sz w:val="22"/>
                <w:szCs w:val="22"/>
              </w:rPr>
              <w:t>bronchitis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240A63">
            <w:pPr>
              <w:pStyle w:val="Text"/>
              <w:spacing w:before="40" w:line="269" w:lineRule="auto"/>
              <w:jc w:val="left"/>
              <w:rPr>
                <w:color w:val="000000"/>
                <w:sz w:val="22"/>
                <w:szCs w:val="22"/>
              </w:rPr>
            </w:pPr>
            <w:r w:rsidRPr="00E3482E">
              <w:rPr>
                <w:color w:val="000000"/>
                <w:sz w:val="22"/>
                <w:szCs w:val="22"/>
              </w:rPr>
              <w:t>acute bronchitis, sinusitis, hepatitis B</w:t>
            </w:r>
            <w:r w:rsidRPr="00E3482E">
              <w:rPr>
                <w:color w:val="000000"/>
                <w:sz w:val="22"/>
                <w:szCs w:val="22"/>
                <w:vertAlign w:val="superscript"/>
              </w:rPr>
              <w:t>*</w:t>
            </w:r>
          </w:p>
        </w:tc>
      </w:tr>
      <w:tr w:rsidR="00240A63" w:rsidRPr="00E3482E" w:rsidTr="00240A63">
        <w:tc>
          <w:tcPr>
            <w:tcW w:w="4074"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9A42F2">
            <w:pPr>
              <w:pStyle w:val="Text"/>
              <w:spacing w:before="40" w:after="20" w:line="269" w:lineRule="auto"/>
              <w:jc w:val="left"/>
              <w:rPr>
                <w:b/>
                <w:color w:val="000000"/>
                <w:sz w:val="22"/>
                <w:szCs w:val="22"/>
              </w:rPr>
            </w:pPr>
            <w:r w:rsidRPr="00E3482E">
              <w:rPr>
                <w:b/>
                <w:color w:val="000000"/>
                <w:sz w:val="22"/>
                <w:szCs w:val="22"/>
              </w:rPr>
              <w:t>Blood and the lymphatic system disorders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240A63">
            <w:pPr>
              <w:pStyle w:val="Text"/>
              <w:spacing w:before="40" w:after="20" w:line="269" w:lineRule="auto"/>
              <w:jc w:val="left"/>
              <w:rPr>
                <w:color w:val="000000"/>
                <w:sz w:val="22"/>
                <w:szCs w:val="22"/>
              </w:rPr>
            </w:pPr>
            <w:r w:rsidRPr="00E3482E">
              <w:rPr>
                <w:color w:val="000000"/>
                <w:sz w:val="22"/>
                <w:szCs w:val="22"/>
              </w:rPr>
              <w:t>neutropenia</w:t>
            </w:r>
            <w:r w:rsidRPr="00E3482E">
              <w:rPr>
                <w:color w:val="000000"/>
                <w:sz w:val="22"/>
                <w:szCs w:val="22"/>
                <w:vertAlign w:val="superscript"/>
              </w:rPr>
              <w:t>#</w:t>
            </w:r>
            <w:r w:rsidRPr="00E3482E">
              <w:rPr>
                <w:color w:val="000000"/>
                <w:sz w:val="22"/>
                <w:szCs w:val="22"/>
              </w:rPr>
              <w:t>, febrile neutropenia, thrombocytopenia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D6167E" w:rsidP="00240A63">
            <w:pPr>
              <w:pStyle w:val="Text"/>
              <w:spacing w:before="40" w:line="269" w:lineRule="auto"/>
              <w:jc w:val="left"/>
              <w:rPr>
                <w:color w:val="000000"/>
                <w:sz w:val="22"/>
                <w:szCs w:val="22"/>
              </w:rPr>
            </w:pPr>
            <w:r w:rsidRPr="00E3482E">
              <w:rPr>
                <w:color w:val="000000"/>
                <w:sz w:val="22"/>
                <w:szCs w:val="22"/>
              </w:rPr>
              <w:t xml:space="preserve">pancytopenia, </w:t>
            </w:r>
            <w:proofErr w:type="spellStart"/>
            <w:r w:rsidRPr="00E3482E">
              <w:rPr>
                <w:color w:val="000000"/>
                <w:sz w:val="22"/>
                <w:szCs w:val="22"/>
              </w:rPr>
              <w:t>granulocytopenia</w:t>
            </w:r>
            <w:proofErr w:type="spellEnd"/>
          </w:p>
        </w:tc>
      </w:tr>
      <w:tr w:rsidR="00240A63" w:rsidRPr="00E3482E" w:rsidTr="00240A63">
        <w:tc>
          <w:tcPr>
            <w:tcW w:w="4074"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9A42F2">
            <w:pPr>
              <w:pStyle w:val="Text"/>
              <w:spacing w:before="40" w:after="20" w:line="269" w:lineRule="auto"/>
              <w:jc w:val="left"/>
              <w:rPr>
                <w:b/>
                <w:color w:val="000000"/>
                <w:sz w:val="22"/>
                <w:szCs w:val="22"/>
              </w:rPr>
            </w:pPr>
            <w:r w:rsidRPr="00E3482E">
              <w:rPr>
                <w:b/>
                <w:color w:val="000000"/>
                <w:sz w:val="22"/>
                <w:szCs w:val="22"/>
              </w:rPr>
              <w:t>Skin and subcutaneous tissue disorders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240A63">
            <w:pPr>
              <w:pStyle w:val="Text"/>
              <w:spacing w:before="40" w:after="20" w:line="269" w:lineRule="auto"/>
              <w:jc w:val="left"/>
              <w:rPr>
                <w:color w:val="000000"/>
                <w:sz w:val="22"/>
                <w:szCs w:val="22"/>
              </w:rPr>
            </w:pPr>
            <w:r w:rsidRPr="00E3482E">
              <w:rPr>
                <w:color w:val="000000"/>
                <w:sz w:val="22"/>
                <w:szCs w:val="22"/>
              </w:rPr>
              <w:t>alopecia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240A63">
            <w:pPr>
              <w:pStyle w:val="Text"/>
              <w:spacing w:before="40" w:line="269" w:lineRule="auto"/>
              <w:jc w:val="left"/>
              <w:rPr>
                <w:color w:val="000000"/>
                <w:sz w:val="22"/>
                <w:szCs w:val="22"/>
              </w:rPr>
            </w:pPr>
            <w:r w:rsidRPr="00E3482E">
              <w:rPr>
                <w:color w:val="000000"/>
                <w:sz w:val="22"/>
                <w:szCs w:val="22"/>
              </w:rPr>
              <w:t>skin disorder</w:t>
            </w:r>
          </w:p>
        </w:tc>
      </w:tr>
      <w:tr w:rsidR="00240A63" w:rsidRPr="00E3482E" w:rsidTr="00240A63">
        <w:tc>
          <w:tcPr>
            <w:tcW w:w="4074"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9A42F2">
            <w:pPr>
              <w:pStyle w:val="Text"/>
              <w:spacing w:before="40" w:after="20" w:line="269" w:lineRule="auto"/>
              <w:jc w:val="left"/>
              <w:rPr>
                <w:b/>
                <w:color w:val="000000"/>
                <w:sz w:val="22"/>
                <w:szCs w:val="22"/>
              </w:rPr>
            </w:pPr>
            <w:r w:rsidRPr="00E3482E">
              <w:rPr>
                <w:b/>
                <w:color w:val="000000"/>
                <w:sz w:val="22"/>
                <w:szCs w:val="22"/>
              </w:rPr>
              <w:t>General disorders and administration site conditions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240A63">
            <w:pPr>
              <w:pStyle w:val="Text"/>
              <w:spacing w:before="40" w:after="20" w:line="269" w:lineRule="auto"/>
              <w:jc w:val="left"/>
              <w:rPr>
                <w:color w:val="000000"/>
                <w:sz w:val="22"/>
                <w:szCs w:val="22"/>
              </w:rPr>
            </w:pPr>
            <w:r w:rsidRPr="00E3482E">
              <w:rPr>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40A63" w:rsidRPr="00E3482E" w:rsidRDefault="00240A63" w:rsidP="00240A63">
            <w:pPr>
              <w:pStyle w:val="Text"/>
              <w:spacing w:before="40" w:line="269" w:lineRule="auto"/>
              <w:jc w:val="left"/>
              <w:rPr>
                <w:color w:val="000000"/>
                <w:sz w:val="22"/>
                <w:szCs w:val="22"/>
              </w:rPr>
            </w:pPr>
            <w:r w:rsidRPr="00E3482E">
              <w:rPr>
                <w:color w:val="000000"/>
                <w:sz w:val="22"/>
                <w:szCs w:val="22"/>
              </w:rPr>
              <w:t>fatigue, shivering</w:t>
            </w:r>
          </w:p>
        </w:tc>
      </w:tr>
    </w:tbl>
    <w:p w:rsidR="009A42F2" w:rsidRPr="00E3482E" w:rsidRDefault="009A42F2" w:rsidP="009A42F2">
      <w:pPr>
        <w:pStyle w:val="Text"/>
        <w:keepNext/>
        <w:spacing w:before="60" w:line="259" w:lineRule="auto"/>
        <w:rPr>
          <w:i/>
          <w:color w:val="000000"/>
          <w:sz w:val="20"/>
          <w:szCs w:val="20"/>
          <w:lang w:val="en-GB"/>
        </w:rPr>
      </w:pPr>
      <w:r w:rsidRPr="00E3482E">
        <w:rPr>
          <w:i/>
          <w:color w:val="000000"/>
          <w:sz w:val="20"/>
          <w:szCs w:val="20"/>
          <w:vertAlign w:val="superscript"/>
          <w:lang w:val="en-GB"/>
        </w:rPr>
        <w:t>*</w:t>
      </w:r>
      <w:r w:rsidRPr="00E3482E">
        <w:rPr>
          <w:i/>
          <w:color w:val="000000"/>
          <w:sz w:val="20"/>
          <w:szCs w:val="20"/>
          <w:lang w:val="en-GB"/>
        </w:rPr>
        <w:t xml:space="preserve"> includes reactivation and primary infections; frequency based on R-FC regimen in relapsed/refractory CLL</w:t>
      </w:r>
    </w:p>
    <w:p w:rsidR="009A42F2" w:rsidRPr="00E3482E" w:rsidRDefault="009A42F2" w:rsidP="009A42F2">
      <w:pPr>
        <w:pStyle w:val="Text"/>
        <w:keepNext/>
        <w:spacing w:before="40" w:line="259" w:lineRule="auto"/>
        <w:rPr>
          <w:i/>
          <w:color w:val="000000"/>
          <w:sz w:val="20"/>
          <w:szCs w:val="20"/>
          <w:lang w:val="en-GB"/>
        </w:rPr>
      </w:pPr>
      <w:r w:rsidRPr="00E3482E">
        <w:rPr>
          <w:i/>
          <w:color w:val="000000"/>
          <w:sz w:val="20"/>
          <w:szCs w:val="20"/>
          <w:lang w:val="en-GB"/>
        </w:rPr>
        <w:t>Frequency count was based on only severe reactions defined in clinical trials as ≥ Grade 3 NCI common toxicity criteria. Only the highest frequency observed in any trial is reported.</w:t>
      </w:r>
    </w:p>
    <w:p w:rsidR="00240A63" w:rsidRPr="00E3482E" w:rsidRDefault="009A42F2" w:rsidP="009A42F2">
      <w:pPr>
        <w:pStyle w:val="Text"/>
        <w:keepNext/>
        <w:spacing w:before="40" w:line="259" w:lineRule="auto"/>
        <w:rPr>
          <w:i/>
          <w:color w:val="000000"/>
          <w:sz w:val="20"/>
          <w:szCs w:val="20"/>
          <w:lang w:val="en-GB"/>
        </w:rPr>
      </w:pPr>
      <w:r w:rsidRPr="00E3482E">
        <w:rPr>
          <w:i/>
          <w:color w:val="000000"/>
          <w:sz w:val="20"/>
          <w:szCs w:val="20"/>
          <w:vertAlign w:val="superscript"/>
          <w:lang w:val="en-GB"/>
        </w:rPr>
        <w:t>#</w:t>
      </w:r>
      <w:r w:rsidRPr="00E3482E">
        <w:rPr>
          <w:i/>
          <w:color w:val="000000"/>
          <w:sz w:val="20"/>
          <w:szCs w:val="20"/>
          <w:lang w:val="en-GB"/>
        </w:rPr>
        <w:t xml:space="preserve"> prolonged and/or delayed onset neutropenia after completion of an R-FC course in previously untreated or relapsed/refractory CLL</w:t>
      </w:r>
    </w:p>
    <w:p w:rsidR="008506C4" w:rsidRPr="00E3482E" w:rsidRDefault="009A42F2" w:rsidP="008506C4">
      <w:pPr>
        <w:spacing w:before="120"/>
        <w:jc w:val="both"/>
        <w:rPr>
          <w:noProof/>
          <w:color w:val="000000"/>
        </w:rPr>
      </w:pPr>
      <w:r w:rsidRPr="00E3482E">
        <w:rPr>
          <w:noProof/>
          <w:color w:val="000000"/>
        </w:rPr>
        <w:t>The following terms have been reported as adverse events, however, were reported at a similar (&lt;2% difference between the groups) or lower incidence in the rituximab-arms compared to control arms: haematotoxicity, neutropenic infection, urinary tract infection, septic shock, superinfection lung, implant infection, septicaemia staphylococcal, lung infection, rhinorrhoea, pulmonary oedema, cardiac failure, sensory disturbance, venous thrombosis, mucosal inflammation nos, influenza-like illness, oedema lower limb, abnormal ejection fraction, pyrexia, general physical health deterioration, fall, multi-organ failure, venous thrombosis deep limb, positive blood culture, diabetes mellitus inadequate control.</w:t>
      </w:r>
    </w:p>
    <w:p w:rsidR="009A42F2" w:rsidRPr="00E3482E" w:rsidRDefault="009A42F2" w:rsidP="009A42F2">
      <w:pPr>
        <w:pStyle w:val="Heading6"/>
        <w:rPr>
          <w:color w:val="000000"/>
        </w:rPr>
      </w:pPr>
      <w:r w:rsidRPr="00E3482E">
        <w:rPr>
          <w:color w:val="000000"/>
        </w:rPr>
        <w:t>Further information on selected, serious adverse drug reactions</w:t>
      </w:r>
    </w:p>
    <w:p w:rsidR="009A42F2" w:rsidRPr="00E3482E" w:rsidRDefault="00E54416" w:rsidP="00F5092E">
      <w:pPr>
        <w:pStyle w:val="Heading2"/>
      </w:pPr>
      <w:r w:rsidRPr="00E3482E">
        <w:lastRenderedPageBreak/>
        <w:t>Infusion-related reactions</w:t>
      </w:r>
    </w:p>
    <w:p w:rsidR="00E54416" w:rsidRPr="00E3482E" w:rsidRDefault="00E54416" w:rsidP="00E54416">
      <w:pPr>
        <w:spacing w:before="120"/>
        <w:jc w:val="both"/>
        <w:rPr>
          <w:rStyle w:val="SubtleEmphasis"/>
          <w:color w:val="000000"/>
        </w:rPr>
      </w:pPr>
      <w:r w:rsidRPr="00E3482E">
        <w:rPr>
          <w:rStyle w:val="SubtleEmphasis"/>
          <w:color w:val="000000"/>
        </w:rPr>
        <w:t xml:space="preserve">Monotherapy – 4 weeks treatment </w:t>
      </w:r>
    </w:p>
    <w:p w:rsidR="008506C4" w:rsidRPr="00E3482E" w:rsidRDefault="00E54416" w:rsidP="008506C4">
      <w:pPr>
        <w:spacing w:before="120"/>
        <w:jc w:val="both"/>
        <w:rPr>
          <w:noProof/>
          <w:color w:val="000000"/>
        </w:rPr>
      </w:pPr>
      <w:r w:rsidRPr="00E3482E">
        <w:rPr>
          <w:noProof/>
          <w:color w:val="000000"/>
        </w:rPr>
        <w:t>Signs and symptoms suggestive of an IRR were reported in more than 50% of patients in clinical trials, and were predominantly seen during the first infusion. Hypotension, fever, chills, rigors, urticaria, bronchospasm, sensation of tongue or throat swelling (angioedema), nausea, fatigue, headache, pruritus, dyspnea, rhinitis, vomiting, flushing, and pain at disease sites have occurred in association with rituximab infusion as part of an infusion-related symptom complex. Some features of TLS have also been observed.</w:t>
      </w:r>
    </w:p>
    <w:p w:rsidR="00E54416" w:rsidRPr="00E3482E" w:rsidRDefault="00E54416" w:rsidP="00E54416">
      <w:pPr>
        <w:spacing w:before="120"/>
        <w:jc w:val="both"/>
        <w:rPr>
          <w:rStyle w:val="SubtleEmphasis"/>
          <w:color w:val="000000"/>
        </w:rPr>
      </w:pPr>
      <w:r w:rsidRPr="00E3482E">
        <w:rPr>
          <w:rStyle w:val="SubtleEmphasis"/>
          <w:color w:val="000000"/>
        </w:rPr>
        <w:t xml:space="preserve">Maintenance Treatment (NHL) up to 2 years </w:t>
      </w:r>
    </w:p>
    <w:p w:rsidR="008506C4" w:rsidRPr="00E3482E" w:rsidRDefault="00E54416" w:rsidP="008506C4">
      <w:pPr>
        <w:spacing w:before="120"/>
        <w:jc w:val="both"/>
        <w:rPr>
          <w:noProof/>
          <w:color w:val="000000"/>
        </w:rPr>
      </w:pPr>
      <w:r w:rsidRPr="00E3482E">
        <w:rPr>
          <w:noProof/>
          <w:color w:val="000000"/>
        </w:rPr>
        <w:t>Non-serious signs and symptoms suggestive of an infusion-related reaction were reported in 41% of patients for general disorders (mainly asthenia, pyrexia, influenza like illness, pain) and in 7% of patients for immune system disorders (hypersensitivity). Serious infusion-related reactions (defined as serious adverse events starting during or within one day of a rituximab infusion) occurred in &lt; 1% of patients treated with rituximab maintenance.</w:t>
      </w:r>
    </w:p>
    <w:p w:rsidR="00E54416" w:rsidRPr="00E3482E" w:rsidRDefault="00E54416" w:rsidP="00E54416">
      <w:pPr>
        <w:spacing w:before="120"/>
        <w:jc w:val="both"/>
        <w:rPr>
          <w:rStyle w:val="SubtleEmphasis"/>
          <w:color w:val="000000"/>
        </w:rPr>
      </w:pPr>
      <w:r w:rsidRPr="00E3482E">
        <w:rPr>
          <w:rStyle w:val="SubtleEmphasis"/>
          <w:color w:val="000000"/>
        </w:rPr>
        <w:t xml:space="preserve">Combination Therapy (R-CVP in NHL; R-CHOP in DLBCL; R-FC in CLL) </w:t>
      </w:r>
    </w:p>
    <w:p w:rsidR="008506C4" w:rsidRPr="00E3482E" w:rsidRDefault="00E54416" w:rsidP="008506C4">
      <w:pPr>
        <w:spacing w:before="120"/>
        <w:jc w:val="both"/>
        <w:rPr>
          <w:noProof/>
          <w:color w:val="000000"/>
        </w:rPr>
      </w:pPr>
      <w:r w:rsidRPr="00E3482E">
        <w:rPr>
          <w:noProof/>
          <w:color w:val="000000"/>
        </w:rPr>
        <w:t>Severe IRRs occurred in up to 12% of all patients at the time of the first treatment cycle with rituximab in combination with chemotherapy. The incidence of infusion-related symptoms decreased substantially with subsequent infusions and is &lt;1% of patients by the eighth cycle. The signs and symptoms were consistent with those observed during monotherapy. Additional reactions reported were dyspepsia, rash, hypertension, tachycardia, and features of TLS. Isolated cases of myocardial infarction, atrial fibrillation, pulmonary oedema and acute reversible thrombocytopenia were also reported.</w:t>
      </w:r>
    </w:p>
    <w:p w:rsidR="00E54416" w:rsidRPr="00E3482E" w:rsidRDefault="00E54416" w:rsidP="00F5092E">
      <w:pPr>
        <w:pStyle w:val="Heading2"/>
      </w:pPr>
      <w:r w:rsidRPr="00E3482E">
        <w:t>Infections</w:t>
      </w:r>
    </w:p>
    <w:p w:rsidR="00E54416" w:rsidRPr="00E3482E" w:rsidRDefault="00E54416" w:rsidP="00E54416">
      <w:pPr>
        <w:keepNext/>
        <w:spacing w:before="120"/>
        <w:jc w:val="both"/>
        <w:rPr>
          <w:rStyle w:val="SubtleEmphasis"/>
          <w:color w:val="000000"/>
        </w:rPr>
      </w:pPr>
      <w:r w:rsidRPr="00E3482E">
        <w:rPr>
          <w:rStyle w:val="SubtleEmphasis"/>
          <w:color w:val="000000"/>
        </w:rPr>
        <w:t xml:space="preserve">Monotherapy – 4 weeks treatment </w:t>
      </w:r>
    </w:p>
    <w:p w:rsidR="008506C4" w:rsidRPr="00E3482E" w:rsidRDefault="00E54416" w:rsidP="008506C4">
      <w:pPr>
        <w:spacing w:before="120"/>
        <w:jc w:val="both"/>
        <w:rPr>
          <w:noProof/>
          <w:color w:val="000000"/>
        </w:rPr>
      </w:pPr>
      <w:r w:rsidRPr="00E3482E">
        <w:rPr>
          <w:noProof/>
          <w:color w:val="000000"/>
        </w:rPr>
        <w:t>Rituximab induced B-cell depletion in 70% to 80% of patients and was associated with decreased serum immunoglobulins in only a minority of patients. Bacterial, viral, fungal and unknown etiology infections, irrespective of causal assessment, occurred in 30.3% of 356 patients. Severe infectious events (Grade 3 or 4), including sepsis occurred in 3.9% of patients.</w:t>
      </w:r>
    </w:p>
    <w:p w:rsidR="00E54416" w:rsidRPr="00E3482E" w:rsidRDefault="00E54416" w:rsidP="00E54416">
      <w:pPr>
        <w:spacing w:before="120"/>
        <w:jc w:val="both"/>
        <w:rPr>
          <w:rStyle w:val="SubtleEmphasis"/>
          <w:color w:val="000000"/>
        </w:rPr>
      </w:pPr>
      <w:r w:rsidRPr="00E3482E">
        <w:rPr>
          <w:rStyle w:val="SubtleEmphasis"/>
          <w:color w:val="000000"/>
        </w:rPr>
        <w:t xml:space="preserve">Maintenance Treatment (NHL) up to 2 years </w:t>
      </w:r>
    </w:p>
    <w:p w:rsidR="00E54416" w:rsidRPr="00E3482E" w:rsidRDefault="00E54416" w:rsidP="00E54416">
      <w:pPr>
        <w:spacing w:before="120"/>
        <w:jc w:val="both"/>
        <w:rPr>
          <w:noProof/>
          <w:color w:val="000000"/>
        </w:rPr>
      </w:pPr>
      <w:r w:rsidRPr="00E3482E">
        <w:rPr>
          <w:noProof/>
          <w:color w:val="000000"/>
        </w:rPr>
        <w:t>Higher frequencies of infections overall, including Grade 3 or 4 infections, were observed during rituximab treatment. The incidence of Grade 3 to 4 infections was 3% of patients on observation and 11% with rituximab maintenance. There was no cumulative toxicity in terms of infections reported over the 2-year maintenance period.</w:t>
      </w:r>
    </w:p>
    <w:p w:rsidR="008506C4" w:rsidRPr="00E3482E" w:rsidRDefault="00E54416" w:rsidP="00E54416">
      <w:pPr>
        <w:spacing w:before="120"/>
        <w:jc w:val="both"/>
        <w:rPr>
          <w:noProof/>
          <w:color w:val="000000"/>
        </w:rPr>
      </w:pPr>
      <w:r w:rsidRPr="00E3482E">
        <w:rPr>
          <w:noProof/>
          <w:color w:val="000000"/>
        </w:rPr>
        <w:t xml:space="preserve">Data from clinical trials included cases of fatal PML in NHL patients that occurred after disease progression and retreatment (see </w:t>
      </w:r>
      <w:r w:rsidRPr="00E3482E">
        <w:rPr>
          <w:b/>
          <w:noProof/>
          <w:color w:val="000000"/>
        </w:rPr>
        <w:t>BOXED WARNING</w:t>
      </w:r>
      <w:r w:rsidRPr="00E3482E">
        <w:rPr>
          <w:noProof/>
          <w:color w:val="000000"/>
        </w:rPr>
        <w:t xml:space="preserve"> and </w:t>
      </w:r>
      <w:r w:rsidRPr="00E3482E">
        <w:rPr>
          <w:b/>
          <w:noProof/>
          <w:color w:val="000000"/>
        </w:rPr>
        <w:t>PRECAUTIONS</w:t>
      </w:r>
      <w:r w:rsidRPr="00E3482E">
        <w:rPr>
          <w:noProof/>
          <w:color w:val="000000"/>
        </w:rPr>
        <w:t>).</w:t>
      </w:r>
    </w:p>
    <w:p w:rsidR="00E54416" w:rsidRPr="00E3482E" w:rsidRDefault="00E54416" w:rsidP="00E54416">
      <w:pPr>
        <w:spacing w:before="120"/>
        <w:jc w:val="both"/>
        <w:rPr>
          <w:rStyle w:val="SubtleEmphasis"/>
          <w:color w:val="000000"/>
        </w:rPr>
      </w:pPr>
      <w:r w:rsidRPr="00E3482E">
        <w:rPr>
          <w:rStyle w:val="SubtleEmphasis"/>
          <w:color w:val="000000"/>
        </w:rPr>
        <w:t xml:space="preserve">Combination Therapy (R-CVP in NHL; R-CHOP in DLBCL; R-FC in CLL) </w:t>
      </w:r>
    </w:p>
    <w:p w:rsidR="00E54416" w:rsidRPr="00E3482E" w:rsidRDefault="00E54416" w:rsidP="00E54416">
      <w:pPr>
        <w:spacing w:before="120"/>
        <w:jc w:val="both"/>
        <w:rPr>
          <w:noProof/>
          <w:color w:val="000000"/>
        </w:rPr>
      </w:pPr>
      <w:r w:rsidRPr="00E3482E">
        <w:rPr>
          <w:noProof/>
          <w:color w:val="000000"/>
        </w:rPr>
        <w:t xml:space="preserve">No increase in the frequency of infections or infestations was observed in the rituximab arm of the R-CVP study. The most common infections were upper respiratory tract infections which </w:t>
      </w:r>
      <w:r w:rsidRPr="00E3482E">
        <w:rPr>
          <w:noProof/>
          <w:color w:val="000000"/>
        </w:rPr>
        <w:lastRenderedPageBreak/>
        <w:t>were reported for 12.3% patients on R-CVP and 16.4% patients receiving CVP. Serious infections were reported in 4.3% of the patients receiving R-CVP and 4.4% of the patients receiving CVP. No life threatening infections were reported during this study.</w:t>
      </w:r>
    </w:p>
    <w:p w:rsidR="00E54416" w:rsidRPr="00E3482E" w:rsidRDefault="00E54416" w:rsidP="00E54416">
      <w:pPr>
        <w:spacing w:before="120"/>
        <w:jc w:val="both"/>
        <w:rPr>
          <w:noProof/>
          <w:color w:val="000000"/>
        </w:rPr>
      </w:pPr>
      <w:r w:rsidRPr="00E3482E">
        <w:rPr>
          <w:noProof/>
          <w:color w:val="000000"/>
        </w:rPr>
        <w:t>In the R-CHOP study the overall incidence of Grade 2 to 4 infections was 45.5% in the R-CHOP group and 42.3% in the CHOP group. Grade 2 to 4 fungal infections were more frequent in the R-CHOP group (4.5% vs. 2.6% in the CHOP group); this difference was due to a higher incidence of localised Candida infections during the treatment period. The incidence of Grade 2 to 4 herpes zoster was higher in the R-CHOP group (4.5%) than in the CHOP group (1.5%). The proportion of patients with Grade 2 to 4 infections and/or febrile neutropenia was 55.4% in the R-CHOP group and 51.5% in the CHOP group.</w:t>
      </w:r>
    </w:p>
    <w:p w:rsidR="008506C4" w:rsidRPr="00E3482E" w:rsidRDefault="00E54416" w:rsidP="00E54416">
      <w:pPr>
        <w:spacing w:before="120"/>
        <w:jc w:val="both"/>
        <w:rPr>
          <w:noProof/>
          <w:color w:val="000000"/>
        </w:rPr>
      </w:pPr>
      <w:r w:rsidRPr="00E3482E">
        <w:rPr>
          <w:noProof/>
          <w:color w:val="000000"/>
        </w:rPr>
        <w:t>In patients with CLL, the incidence of Grade 3 or 4 during treatment or within 28 days of the end of treatment was 18% with R-FC in the first-line setting and 19% in the relapsed/refractory setting and comparable with the FC group. The incidence of Grade 3 or 4 hepatitis B infection (reactivation and primary infection) was 2% with R-FC vs. 0% with FC.</w:t>
      </w:r>
    </w:p>
    <w:p w:rsidR="00E54416" w:rsidRPr="00E3482E" w:rsidRDefault="00E54416" w:rsidP="00F5092E">
      <w:pPr>
        <w:pStyle w:val="Heading2"/>
      </w:pPr>
      <w:r w:rsidRPr="00E3482E">
        <w:t>Haematologic Events</w:t>
      </w:r>
    </w:p>
    <w:p w:rsidR="00E54416" w:rsidRPr="00E3482E" w:rsidRDefault="00E54416" w:rsidP="00E54416">
      <w:pPr>
        <w:keepNext/>
        <w:spacing w:before="120"/>
        <w:jc w:val="both"/>
        <w:rPr>
          <w:rStyle w:val="SubtleEmphasis"/>
          <w:color w:val="000000"/>
        </w:rPr>
      </w:pPr>
      <w:r w:rsidRPr="00E3482E">
        <w:rPr>
          <w:rStyle w:val="SubtleEmphasis"/>
          <w:color w:val="000000"/>
        </w:rPr>
        <w:t xml:space="preserve">Monotherapy – 4 weeks treatment </w:t>
      </w:r>
    </w:p>
    <w:p w:rsidR="008506C4" w:rsidRPr="00E3482E" w:rsidRDefault="00E54416" w:rsidP="008506C4">
      <w:pPr>
        <w:spacing w:before="120"/>
        <w:jc w:val="both"/>
        <w:rPr>
          <w:noProof/>
          <w:color w:val="000000"/>
        </w:rPr>
      </w:pPr>
      <w:r w:rsidRPr="00E3482E">
        <w:rPr>
          <w:noProof/>
          <w:color w:val="000000"/>
        </w:rPr>
        <w:t>Severe (Grade 3 and 4) neutropenia was reported in 4.2% of patients, severe anaemia was reported in 1.1% of patients and severe thrombocytopenia was reported in 1.7% of patients. A single occurrence of transient aplastic anaemia (pure red cell aplasia) and two occurrences of haemolytic anaemia following rituximab therapy were reported.</w:t>
      </w:r>
    </w:p>
    <w:p w:rsidR="00E54416" w:rsidRPr="00E3482E" w:rsidRDefault="00E54416" w:rsidP="00E54416">
      <w:pPr>
        <w:keepNext/>
        <w:spacing w:before="120"/>
        <w:jc w:val="both"/>
        <w:rPr>
          <w:rStyle w:val="SubtleEmphasis"/>
          <w:color w:val="000000"/>
        </w:rPr>
      </w:pPr>
      <w:r w:rsidRPr="00E3482E">
        <w:rPr>
          <w:rStyle w:val="SubtleEmphasis"/>
          <w:color w:val="000000"/>
        </w:rPr>
        <w:t xml:space="preserve">Maintenance Treatment (NHL) up to 2 years </w:t>
      </w:r>
    </w:p>
    <w:p w:rsidR="008506C4" w:rsidRPr="00E3482E" w:rsidRDefault="00E54416" w:rsidP="008506C4">
      <w:pPr>
        <w:spacing w:before="120"/>
        <w:jc w:val="both"/>
        <w:rPr>
          <w:noProof/>
          <w:color w:val="000000"/>
        </w:rPr>
      </w:pPr>
      <w:r w:rsidRPr="00E3482E">
        <w:rPr>
          <w:noProof/>
          <w:color w:val="000000"/>
        </w:rPr>
        <w:t>There was a higher incidence of Grade 3-4 neutropenia (rituximab 11%, observation 5%) and leucopenia (rituximab 5%, observation 2%) in the rituximab arm compared to the observation arm. The incidence of Grade 3 to 4 thrombocytopenia (rituximab &lt; 1%, observation 1%) was low. In approximately half of the patients with available data on B-cell recovery after end of rituximab induction treatment, it took 12 months or more for their B-cell levels to return to normal values.</w:t>
      </w:r>
    </w:p>
    <w:p w:rsidR="00E54416" w:rsidRPr="00E3482E" w:rsidRDefault="00E54416" w:rsidP="00E54416">
      <w:pPr>
        <w:spacing w:before="120"/>
        <w:jc w:val="both"/>
        <w:rPr>
          <w:color w:val="000000"/>
        </w:rPr>
      </w:pPr>
      <w:r w:rsidRPr="00E3482E">
        <w:rPr>
          <w:i/>
          <w:color w:val="000000"/>
        </w:rPr>
        <w:t>Combination Therapy (R-CVP in NHL; R-CHOP in DLBCL; R-FC in CLL)</w:t>
      </w:r>
      <w:r w:rsidRPr="00E3482E">
        <w:rPr>
          <w:color w:val="000000"/>
        </w:rPr>
        <w:t xml:space="preserve"> </w:t>
      </w:r>
    </w:p>
    <w:p w:rsidR="00E54416" w:rsidRPr="00E3482E" w:rsidRDefault="00E54416" w:rsidP="00E54416">
      <w:pPr>
        <w:spacing w:before="120"/>
        <w:jc w:val="both"/>
        <w:rPr>
          <w:noProof/>
          <w:color w:val="000000"/>
        </w:rPr>
      </w:pPr>
      <w:r w:rsidRPr="00E3482E">
        <w:rPr>
          <w:noProof/>
          <w:color w:val="000000"/>
        </w:rPr>
        <w:t xml:space="preserve">During treatment in studies of rituximab in combination with chemotherapy, Grade 3 and 4 leucopenia (R-CHOP 88% vs. CHOP 79%; R-FC 23% vs. FC 12%), neutropenia (R-CVP 24% vs. CVP 14%; R-CHOP 97% vs. CHOP 88%; R-FC 30% vs. FC 19% in previously untreated CLL), were usually reported with higher frequencies when compared to chemotherapy alone. However, the higher incidence of neutropenia in patients treated with </w:t>
      </w:r>
      <w:r w:rsidR="00B13079" w:rsidRPr="00E3482E">
        <w:rPr>
          <w:noProof/>
          <w:color w:val="000000"/>
        </w:rPr>
        <w:t>rituximab</w:t>
      </w:r>
      <w:r w:rsidRPr="00E3482E">
        <w:rPr>
          <w:noProof/>
          <w:color w:val="000000"/>
        </w:rPr>
        <w:t xml:space="preserve"> and chemotherapy was not associated with a higher incidence of infections and infestations compared to patients treated with chemotherapy alone. Studies in previously untreated and relapsed/refractory CLL have established that in some cases neutropenia was prolonged or with a late onset following treatment in the </w:t>
      </w:r>
      <w:r w:rsidR="00B13079" w:rsidRPr="00E3482E">
        <w:rPr>
          <w:noProof/>
          <w:color w:val="000000"/>
        </w:rPr>
        <w:t>rituximab</w:t>
      </w:r>
      <w:r w:rsidRPr="00E3482E">
        <w:rPr>
          <w:noProof/>
          <w:color w:val="000000"/>
        </w:rPr>
        <w:t xml:space="preserve"> plus FC group.</w:t>
      </w:r>
    </w:p>
    <w:p w:rsidR="008506C4" w:rsidRPr="00E3482E" w:rsidRDefault="00E54416" w:rsidP="00E54416">
      <w:pPr>
        <w:spacing w:before="120"/>
        <w:jc w:val="both"/>
        <w:rPr>
          <w:noProof/>
          <w:color w:val="000000"/>
        </w:rPr>
      </w:pPr>
      <w:r w:rsidRPr="00E3482E">
        <w:rPr>
          <w:noProof/>
          <w:color w:val="000000"/>
        </w:rPr>
        <w:t xml:space="preserve">No relevant difference between the treatment arms was observed with respect to Grade 3 and 4 anaemia or thrombocytopenia. In the CLL first-line study, Grade 3 or 4 anaemia was reported by </w:t>
      </w:r>
      <w:r w:rsidRPr="00E3482E">
        <w:rPr>
          <w:noProof/>
          <w:color w:val="000000"/>
        </w:rPr>
        <w:lastRenderedPageBreak/>
        <w:t>4% of patients treated with R-FC compared to 7% of patients receiving FC, and Grade 3 or 4 thrombocytopenia was reported by 7% of patients in the R-FC group compared to 10% of patients in the FC group. In the relapsed/refractory CLL study, adverse events of Grade 3 or 4 anaemia were reported in 12% of patients treated with R-FC compared to 13% of</w:t>
      </w:r>
      <w:r w:rsidR="00B13079" w:rsidRPr="00E3482E">
        <w:rPr>
          <w:noProof/>
          <w:color w:val="000000"/>
        </w:rPr>
        <w:t xml:space="preserve"> patients receiving FC and Grade 3 or 4 thrombocytopenia was reported by 11% of patients in the R-FC group compared to 9% of patients in the FC group.</w:t>
      </w:r>
    </w:p>
    <w:p w:rsidR="00B13079" w:rsidRPr="00E3482E" w:rsidRDefault="00B13079" w:rsidP="00F5092E">
      <w:pPr>
        <w:pStyle w:val="Heading2"/>
      </w:pPr>
      <w:r w:rsidRPr="00E3482E">
        <w:t>Cardiovascular Events</w:t>
      </w:r>
    </w:p>
    <w:p w:rsidR="00B13079" w:rsidRPr="00E3482E" w:rsidRDefault="00B13079" w:rsidP="00B13079">
      <w:pPr>
        <w:keepNext/>
        <w:spacing w:before="120"/>
        <w:jc w:val="both"/>
        <w:rPr>
          <w:color w:val="000000"/>
        </w:rPr>
      </w:pPr>
      <w:r w:rsidRPr="00E3482E">
        <w:rPr>
          <w:i/>
          <w:color w:val="000000"/>
        </w:rPr>
        <w:t>Monotherapy – 4 weeks treatment</w:t>
      </w:r>
      <w:r w:rsidRPr="00E3482E">
        <w:rPr>
          <w:color w:val="000000"/>
        </w:rPr>
        <w:t xml:space="preserve"> </w:t>
      </w:r>
    </w:p>
    <w:p w:rsidR="00B13079" w:rsidRPr="00E3482E" w:rsidRDefault="00B13079" w:rsidP="00E54416">
      <w:pPr>
        <w:spacing w:before="120"/>
        <w:jc w:val="both"/>
        <w:rPr>
          <w:noProof/>
          <w:color w:val="000000"/>
        </w:rPr>
      </w:pPr>
      <w:r w:rsidRPr="00E3482E">
        <w:rPr>
          <w:noProof/>
          <w:color w:val="000000"/>
        </w:rPr>
        <w:t>Cardiovascular events were reported in 18.8% of patients during the treatment period. The most frequently reported events were hypotension and hypertension. Cases of Grade 3 or 4 arrhythmia (including ventricular and supraventricular tachycardia) and angina pectoris during a rituximab infusion were reported.</w:t>
      </w:r>
    </w:p>
    <w:p w:rsidR="00B13079" w:rsidRPr="00E3482E" w:rsidRDefault="00B13079" w:rsidP="00B13079">
      <w:pPr>
        <w:keepNext/>
        <w:spacing w:before="120"/>
        <w:jc w:val="both"/>
        <w:rPr>
          <w:color w:val="000000"/>
        </w:rPr>
      </w:pPr>
      <w:r w:rsidRPr="00E3482E">
        <w:rPr>
          <w:i/>
          <w:color w:val="000000"/>
        </w:rPr>
        <w:t>Maintenance Treatment (NHL) up to 2 years</w:t>
      </w:r>
      <w:r w:rsidRPr="00E3482E">
        <w:rPr>
          <w:color w:val="000000"/>
        </w:rPr>
        <w:t xml:space="preserve"> </w:t>
      </w:r>
    </w:p>
    <w:p w:rsidR="00B13079" w:rsidRPr="00E3482E" w:rsidRDefault="00B13079" w:rsidP="00E54416">
      <w:pPr>
        <w:spacing w:before="120"/>
        <w:jc w:val="both"/>
        <w:rPr>
          <w:noProof/>
          <w:color w:val="000000"/>
        </w:rPr>
      </w:pPr>
      <w:r w:rsidRPr="00E3482E">
        <w:rPr>
          <w:noProof/>
          <w:color w:val="000000"/>
        </w:rPr>
        <w:t>The incidence of Grade 3 to 4 cardiac disorders was comparable between the two treatment groups (5% in rituximab</w:t>
      </w:r>
      <w:r w:rsidR="00403C16" w:rsidRPr="00E3482E">
        <w:rPr>
          <w:noProof/>
          <w:color w:val="000000"/>
        </w:rPr>
        <w:t>, 4% in observation</w:t>
      </w:r>
      <w:r w:rsidRPr="00E3482E">
        <w:rPr>
          <w:noProof/>
          <w:color w:val="000000"/>
        </w:rPr>
        <w:t>). Cardiac events were reported as serious adverse event in &lt; 1 % of patients on observation and in 3% of patients on rituximab: atrial fibrillation (1%), myocardial infarction (1%), left ventricular failure (&lt; 1%), myocardial ischaemia (&lt; 1%), cardiomyopathy (&lt;1%).</w:t>
      </w:r>
    </w:p>
    <w:p w:rsidR="00B13079" w:rsidRPr="00E3482E" w:rsidRDefault="00B13079" w:rsidP="00B13079">
      <w:pPr>
        <w:keepNext/>
        <w:spacing w:before="120"/>
        <w:jc w:val="both"/>
        <w:rPr>
          <w:color w:val="000000"/>
        </w:rPr>
      </w:pPr>
      <w:r w:rsidRPr="00E3482E">
        <w:rPr>
          <w:i/>
          <w:color w:val="000000"/>
        </w:rPr>
        <w:t>Combination Therapy (R-CVP in NHL; R-CHOP in DLBCL; R-FC in CLL)</w:t>
      </w:r>
      <w:r w:rsidRPr="00E3482E">
        <w:rPr>
          <w:color w:val="000000"/>
        </w:rPr>
        <w:t xml:space="preserve"> </w:t>
      </w:r>
    </w:p>
    <w:p w:rsidR="00B13079" w:rsidRPr="00E3482E" w:rsidRDefault="00B13079" w:rsidP="00B13079">
      <w:pPr>
        <w:spacing w:before="120"/>
        <w:jc w:val="both"/>
        <w:rPr>
          <w:noProof/>
          <w:color w:val="000000"/>
        </w:rPr>
      </w:pPr>
      <w:r w:rsidRPr="00E3482E">
        <w:rPr>
          <w:noProof/>
          <w:color w:val="000000"/>
        </w:rPr>
        <w:t>In the R-CVP study the incidence of serious adverse events cardiac disorders was low (1% R-CVP, 2% CVP).</w:t>
      </w:r>
    </w:p>
    <w:p w:rsidR="00B13079" w:rsidRPr="00E3482E" w:rsidRDefault="00B13079" w:rsidP="00B13079">
      <w:pPr>
        <w:spacing w:before="120"/>
        <w:jc w:val="both"/>
        <w:rPr>
          <w:noProof/>
          <w:color w:val="000000"/>
        </w:rPr>
      </w:pPr>
      <w:r w:rsidRPr="00E3482E">
        <w:rPr>
          <w:noProof/>
          <w:color w:val="000000"/>
        </w:rPr>
        <w:t>In the R-CHOP study the incidence of Grade 3 and 4 cardiac arrhythmias, predominantly supraventricular arrhythmias such as tachycardia and atrial flutter/fibrillation, was higher in the R-CHOP group (6.9% of patients) as compared to the CHOP group (1.5% of patients). All of these arrhythmias either occurred in the context of a rituximab infusion or were associated with predisposing conditions such as fever, infection, acute myocardial infarction or pre-existing respiratory and cardiovascular disease. No difference between the R-CHOP and CHOP group was observed in the incidence of other Grade 3 and 4 cardiac events including heart failure, myocardial disease and manifestations of coronary artery disease.</w:t>
      </w:r>
    </w:p>
    <w:p w:rsidR="00B13079" w:rsidRPr="00E3482E" w:rsidRDefault="00B13079" w:rsidP="00B13079">
      <w:pPr>
        <w:spacing w:before="120"/>
        <w:jc w:val="both"/>
        <w:rPr>
          <w:noProof/>
          <w:color w:val="000000"/>
        </w:rPr>
      </w:pPr>
      <w:r w:rsidRPr="00E3482E">
        <w:rPr>
          <w:noProof/>
          <w:color w:val="000000"/>
        </w:rPr>
        <w:t>In CLL, the overall incidence of Grade 3 or 4 cardiac disorders was low both in the first-line study (4% R-FC vs. 3% FC) and in the relapsed/refractory study (4% R-FC vs. 4% FC).</w:t>
      </w:r>
    </w:p>
    <w:p w:rsidR="00B13079" w:rsidRPr="00E3482E" w:rsidRDefault="00B13079" w:rsidP="00F5092E">
      <w:pPr>
        <w:pStyle w:val="Heading2"/>
      </w:pPr>
      <w:r w:rsidRPr="00E3482E">
        <w:t>Hypogammaglobulinaemia</w:t>
      </w:r>
    </w:p>
    <w:p w:rsidR="00B13079" w:rsidRPr="00E3482E" w:rsidRDefault="00B13079" w:rsidP="00B13079">
      <w:pPr>
        <w:keepNext/>
        <w:spacing w:before="120"/>
        <w:jc w:val="both"/>
        <w:rPr>
          <w:color w:val="000000"/>
        </w:rPr>
      </w:pPr>
      <w:r w:rsidRPr="00E3482E">
        <w:rPr>
          <w:i/>
          <w:color w:val="000000"/>
        </w:rPr>
        <w:t>Maintenance Treatment (NHL) up to 2 years</w:t>
      </w:r>
      <w:r w:rsidRPr="00E3482E">
        <w:rPr>
          <w:color w:val="000000"/>
        </w:rPr>
        <w:t xml:space="preserve"> </w:t>
      </w:r>
    </w:p>
    <w:p w:rsidR="00B13079" w:rsidRPr="00E3482E" w:rsidRDefault="00B13079" w:rsidP="00E54416">
      <w:pPr>
        <w:spacing w:before="120"/>
        <w:jc w:val="both"/>
        <w:rPr>
          <w:noProof/>
          <w:color w:val="000000"/>
        </w:rPr>
      </w:pPr>
      <w:r w:rsidRPr="00E3482E">
        <w:rPr>
          <w:noProof/>
          <w:color w:val="000000"/>
        </w:rPr>
        <w:t xml:space="preserve">After induction treatment, median IgG levels were below the lower limit of normal (LLN) (&lt; 7 g/L) in both the observation and the rituximab groups. In the observation group, the median IgG level subsequently increased to above the LLN, but remained constant during rituximab treatment. The proportion of patients with IgG levels below the LLN was about 60% in the rituximab group throughout the 2 year treatment period, while it decreased in the observation </w:t>
      </w:r>
      <w:r w:rsidRPr="00E3482E">
        <w:rPr>
          <w:noProof/>
          <w:color w:val="000000"/>
        </w:rPr>
        <w:lastRenderedPageBreak/>
        <w:t>group (36% after 2 years). Monitoring of IgG levels should be considered for patients treated with rituximab. IV Ig substitution may be indicated for patients with decreased IgG levels.</w:t>
      </w:r>
    </w:p>
    <w:p w:rsidR="00B13079" w:rsidRPr="00E3482E" w:rsidRDefault="00B13079" w:rsidP="00F5092E">
      <w:pPr>
        <w:pStyle w:val="Heading2"/>
      </w:pPr>
      <w:r w:rsidRPr="00E3482E">
        <w:t>Neurologic Events</w:t>
      </w:r>
    </w:p>
    <w:p w:rsidR="00B13079" w:rsidRPr="00E3482E" w:rsidRDefault="00B13079" w:rsidP="00B13079">
      <w:pPr>
        <w:keepNext/>
        <w:spacing w:before="120"/>
        <w:jc w:val="both"/>
        <w:rPr>
          <w:color w:val="000000"/>
        </w:rPr>
      </w:pPr>
      <w:r w:rsidRPr="00E3482E">
        <w:rPr>
          <w:i/>
          <w:color w:val="000000"/>
        </w:rPr>
        <w:t>Combination Therapy (R-CVP in NHL; R-CHOP in DLBCL; R-FC in CLL)</w:t>
      </w:r>
      <w:r w:rsidRPr="00E3482E">
        <w:rPr>
          <w:color w:val="000000"/>
        </w:rPr>
        <w:t xml:space="preserve"> </w:t>
      </w:r>
    </w:p>
    <w:p w:rsidR="00B13079" w:rsidRPr="00E3482E" w:rsidRDefault="00B13079" w:rsidP="00B13079">
      <w:pPr>
        <w:spacing w:before="120"/>
        <w:jc w:val="both"/>
        <w:rPr>
          <w:noProof/>
          <w:color w:val="000000"/>
        </w:rPr>
      </w:pPr>
      <w:r w:rsidRPr="00E3482E">
        <w:rPr>
          <w:noProof/>
          <w:color w:val="000000"/>
        </w:rPr>
        <w:t>During the treatment period 2% of patients in the R-CHOP group, all with cardiovascular risk factors, experienced thromboembolic cerebrovascular accidents during the first treatment cycle. There was no difference between the treatment groups in the incidence of other thromboembolic events. In contrast, 1.5% of patients had cerebrovascular events in the CHOP group, all of which occurred during the follow-up period.</w:t>
      </w:r>
    </w:p>
    <w:p w:rsidR="008506C4" w:rsidRPr="00E3482E" w:rsidRDefault="00B13079" w:rsidP="00B13079">
      <w:pPr>
        <w:spacing w:before="120"/>
        <w:jc w:val="both"/>
        <w:rPr>
          <w:noProof/>
          <w:color w:val="000000"/>
        </w:rPr>
      </w:pPr>
      <w:r w:rsidRPr="00E3482E">
        <w:rPr>
          <w:noProof/>
          <w:color w:val="000000"/>
        </w:rPr>
        <w:t>In CLL, the overall incidence of Grade 3 or 4 nervous system disorders was low both in the first-line study (4% R-FC vs. 4% FC) and in the relapsed/refractory study (3% R-FC vs. 3% FC).</w:t>
      </w:r>
    </w:p>
    <w:p w:rsidR="00B13079" w:rsidRPr="00E3482E" w:rsidRDefault="00B13079" w:rsidP="00B13079">
      <w:pPr>
        <w:pStyle w:val="Heading6"/>
        <w:rPr>
          <w:color w:val="000000"/>
        </w:rPr>
      </w:pPr>
      <w:r w:rsidRPr="00E3482E">
        <w:rPr>
          <w:color w:val="000000"/>
        </w:rPr>
        <w:t>Subpopulations</w:t>
      </w:r>
    </w:p>
    <w:p w:rsidR="008A3FFD" w:rsidRPr="00E3482E" w:rsidRDefault="00B13079" w:rsidP="00B13079">
      <w:pPr>
        <w:spacing w:before="120"/>
        <w:jc w:val="both"/>
        <w:rPr>
          <w:color w:val="000000"/>
        </w:rPr>
      </w:pPr>
      <w:r w:rsidRPr="00E3482E">
        <w:rPr>
          <w:color w:val="000000"/>
        </w:rPr>
        <w:t>The adverse events described below are only those considered by the investigator to be related to treatment with rituximab.</w:t>
      </w:r>
    </w:p>
    <w:p w:rsidR="00B13079" w:rsidRPr="00E3482E" w:rsidRDefault="00B13079" w:rsidP="00F5092E">
      <w:pPr>
        <w:pStyle w:val="Heading2"/>
      </w:pPr>
      <w:r w:rsidRPr="00E3482E">
        <w:t>Elderly patients (≥ 65 years)</w:t>
      </w:r>
    </w:p>
    <w:p w:rsidR="00B13079" w:rsidRPr="00E3482E" w:rsidRDefault="00B13079" w:rsidP="00B13079">
      <w:pPr>
        <w:keepNext/>
        <w:spacing w:before="120"/>
        <w:jc w:val="both"/>
        <w:rPr>
          <w:color w:val="000000"/>
        </w:rPr>
      </w:pPr>
      <w:r w:rsidRPr="00E3482E">
        <w:rPr>
          <w:i/>
          <w:color w:val="000000"/>
        </w:rPr>
        <w:t xml:space="preserve">Monotherapy – 4 weeks treatment: </w:t>
      </w:r>
      <w:r w:rsidRPr="00E3482E">
        <w:rPr>
          <w:color w:val="000000"/>
        </w:rPr>
        <w:t xml:space="preserve"> The incidence of any ADR and of Grade 3 and 4 ADRs was similar in elderly and younger patients (88.3% versus 92.0% for any ADR and 16.0% versus 18.1% for Grade 3 and 4 ADR).</w:t>
      </w:r>
    </w:p>
    <w:p w:rsidR="00B13079" w:rsidRPr="00E3482E" w:rsidRDefault="00B13079" w:rsidP="00B13079">
      <w:pPr>
        <w:keepNext/>
        <w:spacing w:before="120"/>
        <w:jc w:val="both"/>
        <w:rPr>
          <w:color w:val="000000"/>
        </w:rPr>
      </w:pPr>
      <w:r w:rsidRPr="00E3482E">
        <w:rPr>
          <w:i/>
          <w:color w:val="000000"/>
        </w:rPr>
        <w:t xml:space="preserve">Combination Therapy: </w:t>
      </w:r>
      <w:r w:rsidRPr="00E3482E">
        <w:rPr>
          <w:color w:val="000000"/>
        </w:rPr>
        <w:t xml:space="preserve"> The incidence </w:t>
      </w:r>
      <w:r w:rsidR="00C904CC" w:rsidRPr="00E3482E">
        <w:rPr>
          <w:color w:val="000000"/>
        </w:rPr>
        <w:t>of Grade 3 or 4 blood and lymphatic adverse events was higher in elderly patients (≥ 65 years of age) compared to younger patients, with previously untreated or relapsed/refractory CLL</w:t>
      </w:r>
      <w:r w:rsidRPr="00E3482E">
        <w:rPr>
          <w:color w:val="000000"/>
        </w:rPr>
        <w:t>.</w:t>
      </w:r>
    </w:p>
    <w:p w:rsidR="00C904CC" w:rsidRPr="00E3482E" w:rsidRDefault="00C904CC" w:rsidP="00C904CC">
      <w:pPr>
        <w:keepNext/>
        <w:spacing w:before="120"/>
        <w:jc w:val="both"/>
        <w:rPr>
          <w:color w:val="000000"/>
        </w:rPr>
      </w:pPr>
      <w:r w:rsidRPr="00E3482E">
        <w:rPr>
          <w:i/>
          <w:color w:val="000000"/>
        </w:rPr>
        <w:t xml:space="preserve">Bulky disease: </w:t>
      </w:r>
      <w:r w:rsidRPr="00E3482E">
        <w:rPr>
          <w:color w:val="000000"/>
        </w:rPr>
        <w:t xml:space="preserve"> Patients with bulky disease had a higher incidence of Grade 3 and 4 ADRs than patients without bulky disease (25.6% versus 15.4%). The incidence of any ADR was similar in these two groups (92.3% in bulky disease versus 89.2% in non-bulky disease).</w:t>
      </w:r>
    </w:p>
    <w:p w:rsidR="00C904CC" w:rsidRPr="00E3482E" w:rsidRDefault="00C904CC" w:rsidP="00C904CC">
      <w:pPr>
        <w:keepNext/>
        <w:spacing w:before="120"/>
        <w:jc w:val="both"/>
        <w:rPr>
          <w:color w:val="000000"/>
        </w:rPr>
      </w:pPr>
      <w:r w:rsidRPr="00E3482E">
        <w:rPr>
          <w:i/>
          <w:color w:val="000000"/>
        </w:rPr>
        <w:t xml:space="preserve">Re-treatment: </w:t>
      </w:r>
      <w:r w:rsidRPr="00E3482E">
        <w:rPr>
          <w:color w:val="000000"/>
        </w:rPr>
        <w:t xml:space="preserve"> The percentage of patients reporting any adverse event and Grade 3 and 4 ADRs upon re-treatment with further courses of rituximab was similar to the percentage of patients reporting any ADR and Grade 3 and 4 ADRs upon initial exposure (95.0% versus 89.7% for any ADR and 13.3% versus 14.8% for Grade 3 and 4 ADRs).</w:t>
      </w:r>
    </w:p>
    <w:p w:rsidR="002362A0" w:rsidRPr="00E3482E" w:rsidRDefault="002362A0" w:rsidP="00F5092E">
      <w:pPr>
        <w:pStyle w:val="HeadingUnderlined"/>
      </w:pPr>
      <w:r w:rsidRPr="00E3482E">
        <w:t>Experience from Clinical Trials in Rheumatoid Arthritis</w:t>
      </w:r>
    </w:p>
    <w:p w:rsidR="002362A0" w:rsidRPr="00E3482E" w:rsidRDefault="002362A0" w:rsidP="002362A0">
      <w:pPr>
        <w:spacing w:before="120"/>
        <w:jc w:val="both"/>
        <w:rPr>
          <w:color w:val="000000"/>
        </w:rPr>
      </w:pPr>
      <w:r w:rsidRPr="00E3482E">
        <w:rPr>
          <w:color w:val="000000"/>
        </w:rPr>
        <w:t>The clinical efficacy of rituximab, given together with methotrexate, was studied in three double blind controlled clinical trials (one Phase III and two Phase II trials) in patients with rheumatoid arthritis. 1039 patients received at least one treatment course, 570 patients received two or more courses of treatment during the follow up period, 191 patients three or more courses, 40 patients four or more courses and 3 patients received 5 or more courses during the follow up period. So far 839 patients have been followed for more than a year, 139 for more than 2 years and 89 for more than 3 years post rituximab treatment.</w:t>
      </w:r>
    </w:p>
    <w:p w:rsidR="002362A0" w:rsidRPr="00E3482E" w:rsidRDefault="002362A0" w:rsidP="002362A0">
      <w:pPr>
        <w:spacing w:before="120"/>
        <w:jc w:val="both"/>
        <w:rPr>
          <w:color w:val="000000"/>
        </w:rPr>
      </w:pPr>
      <w:r w:rsidRPr="00E3482E">
        <w:rPr>
          <w:color w:val="000000"/>
        </w:rPr>
        <w:lastRenderedPageBreak/>
        <w:t xml:space="preserve">In clinical trials patients received 2 x 1000 mg of rituximab separated by an interval of two weeks; in addition to MTX (10-25 mg/week) (see </w:t>
      </w:r>
      <w:r w:rsidRPr="00E3482E">
        <w:rPr>
          <w:b/>
          <w:color w:val="000000"/>
        </w:rPr>
        <w:t>DOSAGE AND ADMINISTRATION</w:t>
      </w:r>
      <w:r w:rsidRPr="00E3482E">
        <w:rPr>
          <w:color w:val="000000"/>
        </w:rPr>
        <w:t xml:space="preserve"> – </w:t>
      </w:r>
      <w:r w:rsidRPr="00E3482E">
        <w:rPr>
          <w:i/>
          <w:color w:val="000000"/>
        </w:rPr>
        <w:t>Rheumatoid Arthritis</w:t>
      </w:r>
      <w:r w:rsidRPr="00E3482E">
        <w:rPr>
          <w:color w:val="000000"/>
        </w:rPr>
        <w:t>). Rituximab infusions were administered after an IV infusion of 100 mg methylprednisolone; the majority of patients also received treatment with oral prednisone for 15 days. ADRs, which occurred with at least a 2% difference compared to the control arm and more frequently by patients who had received at least one infusion of rituximab than among patients that had received placebo in the Phase III trial and the combined population included in Phase II studies, are listed in the table below. Frequencies are defined as very common (≥ 10%) and common (≥ 1% to &lt; 10%).</w:t>
      </w:r>
    </w:p>
    <w:p w:rsidR="00B13079" w:rsidRPr="00E3482E" w:rsidRDefault="002362A0" w:rsidP="002362A0">
      <w:pPr>
        <w:spacing w:before="120"/>
        <w:jc w:val="both"/>
        <w:rPr>
          <w:color w:val="000000"/>
        </w:rPr>
      </w:pPr>
      <w:r w:rsidRPr="00E3482E">
        <w:rPr>
          <w:color w:val="000000"/>
        </w:rPr>
        <w:t>The most frequent ADRs considered due to receipt of 2 x 1000 mg rituximab in Phase II and III studies were acute infusion reactions. Infusion reactions occurred in 15% patients following the first infusion of rituximab and 5% in placebo patients. Infusion reactions decreased to 2% following the second infusion in both rituximab and placebo groups.</w:t>
      </w:r>
    </w:p>
    <w:p w:rsidR="00EA725D" w:rsidRPr="00E3482E" w:rsidRDefault="00EA725D" w:rsidP="00CE75ED">
      <w:pPr>
        <w:pStyle w:val="Tabletitle"/>
        <w:keepNext/>
        <w:spacing w:before="200"/>
        <w:ind w:left="1021" w:hanging="1021"/>
        <w:rPr>
          <w:color w:val="000000"/>
          <w:sz w:val="23"/>
          <w:szCs w:val="23"/>
        </w:rPr>
      </w:pPr>
      <w:r w:rsidRPr="00E3482E">
        <w:rPr>
          <w:color w:val="000000"/>
          <w:sz w:val="23"/>
          <w:szCs w:val="23"/>
        </w:rPr>
        <w:t xml:space="preserve">Table </w:t>
      </w:r>
      <w:r w:rsidR="00CE4CAE" w:rsidRPr="00E3482E">
        <w:rPr>
          <w:color w:val="000000"/>
          <w:sz w:val="23"/>
          <w:szCs w:val="23"/>
        </w:rPr>
        <w:t>20</w:t>
      </w:r>
      <w:r w:rsidRPr="00E3482E">
        <w:rPr>
          <w:color w:val="000000"/>
          <w:sz w:val="23"/>
          <w:szCs w:val="23"/>
        </w:rPr>
        <w:t xml:space="preserve">: </w:t>
      </w:r>
      <w:r w:rsidRPr="00E3482E">
        <w:rPr>
          <w:color w:val="000000"/>
          <w:sz w:val="23"/>
          <w:szCs w:val="23"/>
        </w:rPr>
        <w:tab/>
        <w:t xml:space="preserve">Summary of </w:t>
      </w:r>
      <w:r w:rsidR="00CE75ED" w:rsidRPr="00E3482E">
        <w:rPr>
          <w:color w:val="000000"/>
          <w:sz w:val="23"/>
          <w:szCs w:val="23"/>
        </w:rPr>
        <w:t>a</w:t>
      </w:r>
      <w:r w:rsidRPr="00E3482E">
        <w:rPr>
          <w:color w:val="000000"/>
          <w:sz w:val="23"/>
          <w:szCs w:val="23"/>
        </w:rPr>
        <w:t xml:space="preserve">dverse </w:t>
      </w:r>
      <w:r w:rsidR="00CE75ED" w:rsidRPr="00E3482E">
        <w:rPr>
          <w:color w:val="000000"/>
          <w:sz w:val="23"/>
          <w:szCs w:val="23"/>
        </w:rPr>
        <w:t>r</w:t>
      </w:r>
      <w:r w:rsidRPr="00E3482E">
        <w:rPr>
          <w:color w:val="000000"/>
          <w:sz w:val="23"/>
          <w:szCs w:val="23"/>
        </w:rPr>
        <w:t xml:space="preserve">eactions </w:t>
      </w:r>
      <w:r w:rsidR="00CE75ED" w:rsidRPr="00E3482E">
        <w:rPr>
          <w:color w:val="000000"/>
          <w:sz w:val="23"/>
          <w:szCs w:val="23"/>
        </w:rPr>
        <w:t>o</w:t>
      </w:r>
      <w:r w:rsidRPr="00E3482E">
        <w:rPr>
          <w:color w:val="000000"/>
          <w:sz w:val="23"/>
          <w:szCs w:val="23"/>
        </w:rPr>
        <w:t xml:space="preserve">ccurring in </w:t>
      </w:r>
      <w:r w:rsidR="00CE75ED" w:rsidRPr="00E3482E">
        <w:rPr>
          <w:color w:val="000000"/>
          <w:sz w:val="23"/>
          <w:szCs w:val="23"/>
        </w:rPr>
        <w:t>p</w:t>
      </w:r>
      <w:r w:rsidRPr="00E3482E">
        <w:rPr>
          <w:color w:val="000000"/>
          <w:sz w:val="23"/>
          <w:szCs w:val="23"/>
        </w:rPr>
        <w:t xml:space="preserve">atients with </w:t>
      </w:r>
      <w:r w:rsidR="00CE75ED" w:rsidRPr="00E3482E">
        <w:rPr>
          <w:color w:val="000000"/>
          <w:sz w:val="23"/>
          <w:szCs w:val="23"/>
        </w:rPr>
        <w:t>r</w:t>
      </w:r>
      <w:r w:rsidRPr="00E3482E">
        <w:rPr>
          <w:color w:val="000000"/>
          <w:sz w:val="23"/>
          <w:szCs w:val="23"/>
        </w:rPr>
        <w:t xml:space="preserve">heumatoid </w:t>
      </w:r>
      <w:r w:rsidR="00CE75ED" w:rsidRPr="00E3482E">
        <w:rPr>
          <w:color w:val="000000"/>
          <w:sz w:val="23"/>
          <w:szCs w:val="23"/>
        </w:rPr>
        <w:t>a</w:t>
      </w:r>
      <w:r w:rsidRPr="00E3482E">
        <w:rPr>
          <w:color w:val="000000"/>
          <w:sz w:val="23"/>
          <w:szCs w:val="23"/>
        </w:rPr>
        <w:t xml:space="preserve">rthritis receiving rituximab during </w:t>
      </w:r>
      <w:r w:rsidR="00CE75ED" w:rsidRPr="00E3482E">
        <w:rPr>
          <w:color w:val="000000"/>
          <w:sz w:val="23"/>
          <w:szCs w:val="23"/>
        </w:rPr>
        <w:t>p</w:t>
      </w:r>
      <w:r w:rsidRPr="00E3482E">
        <w:rPr>
          <w:color w:val="000000"/>
          <w:sz w:val="23"/>
          <w:szCs w:val="23"/>
        </w:rPr>
        <w:t xml:space="preserve">hase II and III </w:t>
      </w:r>
      <w:r w:rsidR="00CE75ED" w:rsidRPr="00E3482E">
        <w:rPr>
          <w:color w:val="000000"/>
          <w:sz w:val="23"/>
          <w:szCs w:val="23"/>
        </w:rPr>
        <w:t>c</w:t>
      </w:r>
      <w:r w:rsidRPr="00E3482E">
        <w:rPr>
          <w:color w:val="000000"/>
          <w:sz w:val="23"/>
          <w:szCs w:val="23"/>
        </w:rPr>
        <w:t xml:space="preserve">linical </w:t>
      </w:r>
      <w:r w:rsidR="00CE75ED" w:rsidRPr="00E3482E">
        <w:rPr>
          <w:color w:val="000000"/>
          <w:sz w:val="23"/>
          <w:szCs w:val="23"/>
        </w:rPr>
        <w:t>s</w:t>
      </w:r>
      <w:r w:rsidRPr="00E3482E">
        <w:rPr>
          <w:color w:val="000000"/>
          <w:sz w:val="23"/>
          <w:szCs w:val="23"/>
        </w:rPr>
        <w:t>tudies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644"/>
        <w:gridCol w:w="2098"/>
        <w:gridCol w:w="1758"/>
        <w:gridCol w:w="2155"/>
      </w:tblGrid>
      <w:tr w:rsidR="00B0749B" w:rsidRPr="00E3482E" w:rsidTr="00B0749B">
        <w:tc>
          <w:tcPr>
            <w:tcW w:w="1814" w:type="dxa"/>
            <w:tcBorders>
              <w:top w:val="single" w:sz="4" w:space="0" w:color="auto"/>
              <w:left w:val="single" w:sz="4" w:space="0" w:color="auto"/>
              <w:bottom w:val="nil"/>
              <w:right w:val="single" w:sz="4" w:space="0" w:color="auto"/>
            </w:tcBorders>
            <w:shd w:val="clear" w:color="auto" w:fill="FFFFFF"/>
          </w:tcPr>
          <w:p w:rsidR="00B0749B" w:rsidRPr="00E3482E" w:rsidRDefault="00B0749B" w:rsidP="00B0749B">
            <w:pPr>
              <w:pStyle w:val="Text"/>
              <w:keepNext/>
              <w:spacing w:line="269" w:lineRule="auto"/>
              <w:jc w:val="center"/>
              <w:rPr>
                <w:b/>
                <w:color w:val="000000"/>
                <w:sz w:val="22"/>
                <w:szCs w:val="22"/>
              </w:rPr>
            </w:pPr>
          </w:p>
        </w:tc>
        <w:tc>
          <w:tcPr>
            <w:tcW w:w="3742" w:type="dxa"/>
            <w:gridSpan w:val="2"/>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keepNext/>
              <w:spacing w:before="60" w:line="269" w:lineRule="auto"/>
              <w:jc w:val="center"/>
              <w:rPr>
                <w:b/>
                <w:color w:val="000000"/>
                <w:sz w:val="22"/>
                <w:szCs w:val="22"/>
              </w:rPr>
            </w:pPr>
            <w:r w:rsidRPr="00E3482E">
              <w:rPr>
                <w:b/>
                <w:color w:val="000000"/>
                <w:sz w:val="22"/>
                <w:szCs w:val="22"/>
              </w:rPr>
              <w:t>Phase II Study Population</w:t>
            </w:r>
          </w:p>
        </w:tc>
        <w:tc>
          <w:tcPr>
            <w:tcW w:w="3913" w:type="dxa"/>
            <w:gridSpan w:val="2"/>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keepNext/>
              <w:spacing w:before="60" w:line="269" w:lineRule="auto"/>
              <w:jc w:val="center"/>
              <w:rPr>
                <w:b/>
                <w:color w:val="000000"/>
                <w:sz w:val="22"/>
                <w:szCs w:val="22"/>
              </w:rPr>
            </w:pPr>
            <w:r w:rsidRPr="00E3482E">
              <w:rPr>
                <w:b/>
                <w:color w:val="000000"/>
                <w:sz w:val="22"/>
                <w:szCs w:val="22"/>
              </w:rPr>
              <w:t>Phase III Study Population</w:t>
            </w:r>
          </w:p>
        </w:tc>
      </w:tr>
      <w:tr w:rsidR="00B0749B" w:rsidRPr="00E3482E" w:rsidTr="003E0C17">
        <w:tc>
          <w:tcPr>
            <w:tcW w:w="1814" w:type="dxa"/>
            <w:tcBorders>
              <w:top w:val="nil"/>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0"/>
              <w:jc w:val="center"/>
              <w:rPr>
                <w:b/>
                <w:color w:val="000000"/>
                <w:sz w:val="22"/>
                <w:szCs w:val="22"/>
              </w:rPr>
            </w:pPr>
          </w:p>
        </w:tc>
        <w:tc>
          <w:tcPr>
            <w:tcW w:w="1644" w:type="dxa"/>
            <w:tcBorders>
              <w:top w:val="single" w:sz="4" w:space="0" w:color="auto"/>
              <w:left w:val="single" w:sz="4" w:space="0" w:color="auto"/>
              <w:bottom w:val="single" w:sz="4" w:space="0" w:color="auto"/>
              <w:right w:val="single" w:sz="4" w:space="0" w:color="auto"/>
            </w:tcBorders>
            <w:shd w:val="clear" w:color="auto" w:fill="F2F2F2"/>
          </w:tcPr>
          <w:p w:rsidR="00B0749B" w:rsidRPr="00E3482E" w:rsidRDefault="00B0749B" w:rsidP="00B0749B">
            <w:pPr>
              <w:pStyle w:val="Text"/>
              <w:spacing w:before="20" w:line="259" w:lineRule="auto"/>
              <w:jc w:val="center"/>
              <w:rPr>
                <w:b/>
                <w:bCs/>
                <w:color w:val="000000"/>
                <w:sz w:val="22"/>
                <w:szCs w:val="22"/>
              </w:rPr>
            </w:pPr>
            <w:r w:rsidRPr="00E3482E">
              <w:rPr>
                <w:b/>
                <w:bCs/>
                <w:color w:val="000000"/>
                <w:sz w:val="22"/>
                <w:szCs w:val="22"/>
              </w:rPr>
              <w:t>Very Common</w:t>
            </w:r>
          </w:p>
          <w:p w:rsidR="00B0749B" w:rsidRPr="00E3482E" w:rsidRDefault="00B0749B" w:rsidP="00B0749B">
            <w:pPr>
              <w:pStyle w:val="Text"/>
              <w:spacing w:before="0" w:line="259" w:lineRule="auto"/>
              <w:jc w:val="center"/>
              <w:rPr>
                <w:bCs/>
                <w:color w:val="000000"/>
                <w:sz w:val="22"/>
                <w:szCs w:val="22"/>
              </w:rPr>
            </w:pPr>
            <w:r w:rsidRPr="00E3482E">
              <w:rPr>
                <w:bCs/>
                <w:color w:val="000000"/>
                <w:sz w:val="22"/>
                <w:szCs w:val="22"/>
              </w:rPr>
              <w:t>(≥ 10%)</w:t>
            </w:r>
          </w:p>
        </w:tc>
        <w:tc>
          <w:tcPr>
            <w:tcW w:w="2098" w:type="dxa"/>
            <w:tcBorders>
              <w:top w:val="single" w:sz="4" w:space="0" w:color="auto"/>
              <w:left w:val="single" w:sz="4" w:space="0" w:color="auto"/>
              <w:bottom w:val="single" w:sz="4" w:space="0" w:color="auto"/>
              <w:right w:val="single" w:sz="4" w:space="0" w:color="auto"/>
            </w:tcBorders>
            <w:shd w:val="clear" w:color="auto" w:fill="F2F2F2"/>
          </w:tcPr>
          <w:p w:rsidR="00B0749B" w:rsidRPr="00E3482E" w:rsidRDefault="00B0749B" w:rsidP="00B0749B">
            <w:pPr>
              <w:pStyle w:val="Text"/>
              <w:spacing w:before="20" w:line="259" w:lineRule="auto"/>
              <w:jc w:val="center"/>
              <w:rPr>
                <w:b/>
                <w:color w:val="000000"/>
                <w:sz w:val="22"/>
                <w:szCs w:val="22"/>
              </w:rPr>
            </w:pPr>
            <w:r w:rsidRPr="00E3482E">
              <w:rPr>
                <w:b/>
                <w:color w:val="000000"/>
                <w:sz w:val="22"/>
                <w:szCs w:val="22"/>
              </w:rPr>
              <w:t>Common</w:t>
            </w:r>
          </w:p>
          <w:p w:rsidR="00B0749B" w:rsidRPr="00E3482E" w:rsidRDefault="00B0749B" w:rsidP="00B0749B">
            <w:pPr>
              <w:pStyle w:val="Text"/>
              <w:spacing w:before="0" w:line="259" w:lineRule="auto"/>
              <w:jc w:val="center"/>
              <w:rPr>
                <w:color w:val="000000"/>
                <w:sz w:val="22"/>
                <w:szCs w:val="22"/>
              </w:rPr>
            </w:pPr>
            <w:r w:rsidRPr="00E3482E">
              <w:rPr>
                <w:color w:val="000000"/>
                <w:sz w:val="22"/>
                <w:szCs w:val="22"/>
              </w:rPr>
              <w:t>(≥1% to &lt;10%)</w:t>
            </w:r>
          </w:p>
        </w:tc>
        <w:tc>
          <w:tcPr>
            <w:tcW w:w="1758" w:type="dxa"/>
            <w:tcBorders>
              <w:top w:val="single" w:sz="4" w:space="0" w:color="auto"/>
              <w:left w:val="single" w:sz="4" w:space="0" w:color="auto"/>
              <w:bottom w:val="single" w:sz="4" w:space="0" w:color="auto"/>
              <w:right w:val="single" w:sz="4" w:space="0" w:color="auto"/>
            </w:tcBorders>
            <w:shd w:val="clear" w:color="auto" w:fill="F2F2F2"/>
          </w:tcPr>
          <w:p w:rsidR="00B0749B" w:rsidRPr="00E3482E" w:rsidRDefault="00B0749B" w:rsidP="00B0749B">
            <w:pPr>
              <w:pStyle w:val="Text"/>
              <w:spacing w:before="20" w:line="259" w:lineRule="auto"/>
              <w:jc w:val="center"/>
              <w:rPr>
                <w:b/>
                <w:bCs/>
                <w:color w:val="000000"/>
                <w:sz w:val="22"/>
                <w:szCs w:val="22"/>
              </w:rPr>
            </w:pPr>
            <w:r w:rsidRPr="00E3482E">
              <w:rPr>
                <w:b/>
                <w:bCs/>
                <w:color w:val="000000"/>
                <w:sz w:val="22"/>
                <w:szCs w:val="22"/>
              </w:rPr>
              <w:t>Very Common</w:t>
            </w:r>
          </w:p>
          <w:p w:rsidR="00B0749B" w:rsidRPr="00E3482E" w:rsidRDefault="00B0749B" w:rsidP="00B0749B">
            <w:pPr>
              <w:pStyle w:val="Text"/>
              <w:spacing w:before="0" w:line="259" w:lineRule="auto"/>
              <w:jc w:val="center"/>
              <w:rPr>
                <w:bCs/>
                <w:color w:val="000000"/>
                <w:sz w:val="22"/>
                <w:szCs w:val="22"/>
              </w:rPr>
            </w:pPr>
            <w:r w:rsidRPr="00E3482E">
              <w:rPr>
                <w:bCs/>
                <w:color w:val="000000"/>
                <w:sz w:val="22"/>
                <w:szCs w:val="22"/>
              </w:rPr>
              <w:t>(≥ 10%)</w:t>
            </w:r>
          </w:p>
        </w:tc>
        <w:tc>
          <w:tcPr>
            <w:tcW w:w="2155" w:type="dxa"/>
            <w:tcBorders>
              <w:top w:val="single" w:sz="4" w:space="0" w:color="auto"/>
              <w:left w:val="single" w:sz="4" w:space="0" w:color="auto"/>
              <w:bottom w:val="single" w:sz="4" w:space="0" w:color="auto"/>
              <w:right w:val="single" w:sz="4" w:space="0" w:color="auto"/>
            </w:tcBorders>
            <w:shd w:val="clear" w:color="auto" w:fill="F2F2F2"/>
          </w:tcPr>
          <w:p w:rsidR="00B0749B" w:rsidRPr="00E3482E" w:rsidRDefault="00B0749B" w:rsidP="00B0749B">
            <w:pPr>
              <w:pStyle w:val="Text"/>
              <w:spacing w:before="20" w:line="259" w:lineRule="auto"/>
              <w:jc w:val="center"/>
              <w:rPr>
                <w:b/>
                <w:color w:val="000000"/>
                <w:sz w:val="22"/>
                <w:szCs w:val="22"/>
              </w:rPr>
            </w:pPr>
            <w:r w:rsidRPr="00E3482E">
              <w:rPr>
                <w:b/>
                <w:color w:val="000000"/>
                <w:sz w:val="22"/>
                <w:szCs w:val="22"/>
              </w:rPr>
              <w:t>Common</w:t>
            </w:r>
          </w:p>
          <w:p w:rsidR="00B0749B" w:rsidRPr="00E3482E" w:rsidRDefault="00B0749B" w:rsidP="00B0749B">
            <w:pPr>
              <w:pStyle w:val="Text"/>
              <w:spacing w:before="0" w:line="259" w:lineRule="auto"/>
              <w:jc w:val="center"/>
              <w:rPr>
                <w:color w:val="000000"/>
                <w:sz w:val="22"/>
                <w:szCs w:val="22"/>
              </w:rPr>
            </w:pPr>
            <w:r w:rsidRPr="00E3482E">
              <w:rPr>
                <w:color w:val="000000"/>
                <w:sz w:val="22"/>
                <w:szCs w:val="22"/>
              </w:rPr>
              <w:t>(≥1% to &lt;10%)</w:t>
            </w:r>
          </w:p>
        </w:tc>
      </w:tr>
      <w:tr w:rsidR="00B0749B" w:rsidRPr="00E3482E" w:rsidTr="00B0749B">
        <w:tc>
          <w:tcPr>
            <w:tcW w:w="181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b/>
                <w:color w:val="000000"/>
                <w:sz w:val="22"/>
                <w:szCs w:val="22"/>
              </w:rPr>
            </w:pPr>
            <w:r w:rsidRPr="00E3482E">
              <w:rPr>
                <w:b/>
                <w:color w:val="000000"/>
                <w:sz w:val="22"/>
                <w:szCs w:val="22"/>
              </w:rPr>
              <w:t>Acute infusion reactions</w:t>
            </w:r>
            <w:r w:rsidRPr="00E3482E">
              <w:rPr>
                <w:b/>
                <w:color w:val="000000"/>
                <w:sz w:val="22"/>
                <w:szCs w:val="22"/>
                <w:vertAlign w:val="superscript"/>
              </w:rPr>
              <w:t>*</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hypertension, rash, pruritus, chills, pyrexia, rhinitis, throat irritation</w:t>
            </w: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 xml:space="preserve">hypertension, nausea, rash, pyrexia, pruritus, </w:t>
            </w:r>
            <w:proofErr w:type="spellStart"/>
            <w:r w:rsidRPr="00E3482E">
              <w:rPr>
                <w:color w:val="000000"/>
                <w:sz w:val="22"/>
                <w:szCs w:val="22"/>
              </w:rPr>
              <w:t>urticaria</w:t>
            </w:r>
            <w:proofErr w:type="spellEnd"/>
            <w:r w:rsidRPr="00E3482E">
              <w:rPr>
                <w:color w:val="000000"/>
                <w:sz w:val="22"/>
                <w:szCs w:val="22"/>
              </w:rPr>
              <w:t>, throat irritation, hot flush, hypotension</w:t>
            </w:r>
          </w:p>
        </w:tc>
      </w:tr>
      <w:tr w:rsidR="00B0749B" w:rsidRPr="00E3482E" w:rsidTr="00B0749B">
        <w:tc>
          <w:tcPr>
            <w:tcW w:w="181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b/>
                <w:color w:val="000000"/>
                <w:sz w:val="22"/>
                <w:szCs w:val="22"/>
              </w:rPr>
            </w:pPr>
            <w:r w:rsidRPr="00E3482E">
              <w:rPr>
                <w:b/>
                <w:color w:val="000000"/>
                <w:sz w:val="22"/>
                <w:szCs w:val="22"/>
              </w:rPr>
              <w:t>Gastrointestinal disorders</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dyspepsia</w:t>
            </w: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dyspepsia</w:t>
            </w:r>
          </w:p>
        </w:tc>
      </w:tr>
      <w:tr w:rsidR="00B0749B" w:rsidRPr="00E3482E" w:rsidTr="00B0749B">
        <w:tc>
          <w:tcPr>
            <w:tcW w:w="181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b/>
                <w:color w:val="000000"/>
                <w:sz w:val="22"/>
                <w:szCs w:val="22"/>
              </w:rPr>
            </w:pPr>
            <w:r w:rsidRPr="00E3482E">
              <w:rPr>
                <w:b/>
                <w:color w:val="000000"/>
                <w:sz w:val="22"/>
                <w:szCs w:val="22"/>
              </w:rPr>
              <w:t>Infections and infestations</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any infection</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urinary tract infections</w:t>
            </w: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any infection, upper respiratory tract infection</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r>
      <w:tr w:rsidR="00B0749B" w:rsidRPr="00E3482E" w:rsidTr="00B0749B">
        <w:tc>
          <w:tcPr>
            <w:tcW w:w="181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b/>
                <w:color w:val="000000"/>
                <w:sz w:val="22"/>
                <w:szCs w:val="22"/>
              </w:rPr>
            </w:pPr>
            <w:r w:rsidRPr="00E3482E">
              <w:rPr>
                <w:b/>
                <w:color w:val="000000"/>
                <w:sz w:val="22"/>
                <w:szCs w:val="22"/>
              </w:rPr>
              <w:t>Metabolism and nutritional disorders</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hypercholesterolemia</w:t>
            </w:r>
          </w:p>
        </w:tc>
      </w:tr>
      <w:tr w:rsidR="00B0749B" w:rsidRPr="00E3482E" w:rsidTr="00B0749B">
        <w:tc>
          <w:tcPr>
            <w:tcW w:w="181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b/>
                <w:color w:val="000000"/>
                <w:sz w:val="22"/>
                <w:szCs w:val="22"/>
              </w:rPr>
            </w:pPr>
            <w:r w:rsidRPr="00E3482E">
              <w:rPr>
                <w:b/>
                <w:color w:val="000000"/>
                <w:sz w:val="22"/>
                <w:szCs w:val="22"/>
              </w:rPr>
              <w:t>Musculoskeletal disorders</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arthralgia/ musculoskeletal pain</w:t>
            </w: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arthralgia/ musculoskeletal pain, osteoarthritis</w:t>
            </w:r>
          </w:p>
        </w:tc>
      </w:tr>
      <w:tr w:rsidR="00B0749B" w:rsidRPr="00E3482E" w:rsidTr="00B0749B">
        <w:tc>
          <w:tcPr>
            <w:tcW w:w="181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b/>
                <w:color w:val="000000"/>
                <w:sz w:val="22"/>
                <w:szCs w:val="22"/>
              </w:rPr>
            </w:pPr>
            <w:r w:rsidRPr="00E3482E">
              <w:rPr>
                <w:b/>
                <w:color w:val="000000"/>
                <w:sz w:val="22"/>
                <w:szCs w:val="22"/>
              </w:rPr>
              <w:t>Nervous System disorders</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migraine</w:t>
            </w: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0749B" w:rsidRPr="00E3482E" w:rsidRDefault="00B0749B" w:rsidP="00B0749B">
            <w:pPr>
              <w:pStyle w:val="Text"/>
              <w:spacing w:before="40" w:after="20" w:line="269" w:lineRule="auto"/>
              <w:jc w:val="left"/>
              <w:rPr>
                <w:color w:val="000000"/>
                <w:sz w:val="22"/>
                <w:szCs w:val="22"/>
              </w:rPr>
            </w:pPr>
            <w:r w:rsidRPr="00E3482E">
              <w:rPr>
                <w:color w:val="000000"/>
                <w:sz w:val="22"/>
                <w:szCs w:val="22"/>
              </w:rPr>
              <w:t>paraesthesia</w:t>
            </w:r>
          </w:p>
        </w:tc>
      </w:tr>
    </w:tbl>
    <w:p w:rsidR="00B0749B" w:rsidRPr="00E3482E" w:rsidRDefault="00B0749B" w:rsidP="00B0749B">
      <w:pPr>
        <w:pStyle w:val="Text"/>
        <w:keepNext/>
        <w:spacing w:line="259" w:lineRule="auto"/>
        <w:rPr>
          <w:i/>
          <w:color w:val="000000"/>
          <w:sz w:val="20"/>
          <w:szCs w:val="20"/>
          <w:lang w:val="en-GB"/>
        </w:rPr>
      </w:pPr>
      <w:r w:rsidRPr="00E3482E">
        <w:rPr>
          <w:i/>
          <w:color w:val="000000"/>
          <w:sz w:val="20"/>
          <w:szCs w:val="20"/>
          <w:lang w:val="en-GB"/>
        </w:rPr>
        <w:t>† This table include all events with an incidence difference of ≥ 2 % for rituximab compared to placebo.</w:t>
      </w:r>
    </w:p>
    <w:p w:rsidR="00B0749B" w:rsidRPr="00E3482E" w:rsidRDefault="00B0749B" w:rsidP="00B0749B">
      <w:pPr>
        <w:pStyle w:val="Text"/>
        <w:keepNext/>
        <w:spacing w:before="40" w:line="259" w:lineRule="auto"/>
        <w:rPr>
          <w:i/>
          <w:color w:val="000000"/>
          <w:sz w:val="20"/>
          <w:szCs w:val="20"/>
          <w:lang w:val="en-GB"/>
        </w:rPr>
      </w:pPr>
      <w:r w:rsidRPr="00E3482E">
        <w:rPr>
          <w:i/>
          <w:color w:val="000000"/>
          <w:sz w:val="20"/>
          <w:szCs w:val="20"/>
          <w:vertAlign w:val="superscript"/>
          <w:lang w:val="en-GB"/>
        </w:rPr>
        <w:t>*</w:t>
      </w:r>
      <w:r w:rsidRPr="00E3482E">
        <w:rPr>
          <w:i/>
          <w:color w:val="000000"/>
          <w:sz w:val="20"/>
          <w:szCs w:val="20"/>
          <w:lang w:val="en-GB"/>
        </w:rPr>
        <w:t xml:space="preserve"> Reactions occurring during or within 24 hours of infusion.</w:t>
      </w:r>
    </w:p>
    <w:p w:rsidR="00B0749B" w:rsidRPr="00E3482E" w:rsidRDefault="00B0749B" w:rsidP="00F11870">
      <w:pPr>
        <w:pStyle w:val="PItext"/>
        <w:spacing w:before="240"/>
      </w:pPr>
      <w:r w:rsidRPr="00E3482E">
        <w:t>The following adverse events were reported at a frequency between 1% and 2% greater in the rituximab-arms compared to control arms: lower respiratory tract infections/pneumonia, abdominal pain upper, muscle spasms, asthenia.</w:t>
      </w:r>
    </w:p>
    <w:p w:rsidR="00B0749B" w:rsidRPr="00E3482E" w:rsidRDefault="00B0749B" w:rsidP="00F11870">
      <w:pPr>
        <w:pStyle w:val="PItext"/>
      </w:pPr>
      <w:r w:rsidRPr="00E3482E">
        <w:lastRenderedPageBreak/>
        <w:t>In addition to the events tabulated above, medically significant events reported rarely in the rituximab-treated population and considered potential reactions to treatment include the following:</w:t>
      </w:r>
    </w:p>
    <w:tbl>
      <w:tblPr>
        <w:tblW w:w="8505" w:type="dxa"/>
        <w:tblLayout w:type="fixed"/>
        <w:tblLook w:val="00A0" w:firstRow="1" w:lastRow="0" w:firstColumn="1" w:lastColumn="0" w:noHBand="0" w:noVBand="0"/>
      </w:tblPr>
      <w:tblGrid>
        <w:gridCol w:w="3685"/>
        <w:gridCol w:w="4820"/>
      </w:tblGrid>
      <w:tr w:rsidR="00B0749B" w:rsidRPr="00E3482E" w:rsidTr="00F11870">
        <w:tc>
          <w:tcPr>
            <w:tcW w:w="3685" w:type="dxa"/>
            <w:shd w:val="clear" w:color="auto" w:fill="FFFFFF"/>
          </w:tcPr>
          <w:p w:rsidR="00B0749B" w:rsidRPr="00E3482E" w:rsidRDefault="00B0749B" w:rsidP="00B0749B">
            <w:pPr>
              <w:pStyle w:val="Text"/>
              <w:spacing w:before="40" w:after="20" w:line="269" w:lineRule="auto"/>
              <w:jc w:val="left"/>
              <w:rPr>
                <w:color w:val="000000"/>
              </w:rPr>
            </w:pPr>
            <w:r w:rsidRPr="00E3482E">
              <w:rPr>
                <w:color w:val="000000"/>
              </w:rPr>
              <w:t>General disorders:</w:t>
            </w:r>
          </w:p>
        </w:tc>
        <w:tc>
          <w:tcPr>
            <w:tcW w:w="4820" w:type="dxa"/>
            <w:shd w:val="clear" w:color="auto" w:fill="FFFFFF"/>
          </w:tcPr>
          <w:p w:rsidR="00B0749B" w:rsidRPr="00E3482E" w:rsidRDefault="00B0749B" w:rsidP="00B0749B">
            <w:pPr>
              <w:pStyle w:val="Text"/>
              <w:spacing w:before="40" w:line="269" w:lineRule="auto"/>
              <w:jc w:val="left"/>
              <w:rPr>
                <w:color w:val="000000"/>
              </w:rPr>
            </w:pPr>
            <w:r w:rsidRPr="00E3482E">
              <w:rPr>
                <w:color w:val="000000"/>
              </w:rPr>
              <w:t>generalised oedema</w:t>
            </w:r>
          </w:p>
        </w:tc>
      </w:tr>
      <w:tr w:rsidR="00B0749B" w:rsidRPr="00E3482E" w:rsidTr="00F11870">
        <w:tc>
          <w:tcPr>
            <w:tcW w:w="3685" w:type="dxa"/>
            <w:shd w:val="clear" w:color="auto" w:fill="FFFFFF"/>
          </w:tcPr>
          <w:p w:rsidR="00B0749B" w:rsidRPr="00E3482E" w:rsidRDefault="00B0749B" w:rsidP="00B0749B">
            <w:pPr>
              <w:pStyle w:val="Text"/>
              <w:spacing w:before="40" w:after="20" w:line="269" w:lineRule="auto"/>
              <w:jc w:val="left"/>
              <w:rPr>
                <w:color w:val="000000"/>
              </w:rPr>
            </w:pPr>
            <w:r w:rsidRPr="00E3482E">
              <w:rPr>
                <w:color w:val="000000"/>
              </w:rPr>
              <w:t>Respiratory Disorders:</w:t>
            </w:r>
          </w:p>
        </w:tc>
        <w:tc>
          <w:tcPr>
            <w:tcW w:w="4820" w:type="dxa"/>
            <w:shd w:val="clear" w:color="auto" w:fill="FFFFFF"/>
          </w:tcPr>
          <w:p w:rsidR="00B0749B" w:rsidRPr="00E3482E" w:rsidRDefault="00B0749B" w:rsidP="00B0749B">
            <w:pPr>
              <w:pStyle w:val="Text"/>
              <w:spacing w:before="40" w:line="269" w:lineRule="auto"/>
              <w:jc w:val="left"/>
              <w:rPr>
                <w:color w:val="000000"/>
              </w:rPr>
            </w:pPr>
            <w:r w:rsidRPr="00E3482E">
              <w:rPr>
                <w:color w:val="000000"/>
              </w:rPr>
              <w:t>bronchospasm, wheezing, laryngeal oedema</w:t>
            </w:r>
          </w:p>
        </w:tc>
      </w:tr>
      <w:tr w:rsidR="00B0749B" w:rsidRPr="00E3482E" w:rsidTr="00F11870">
        <w:tc>
          <w:tcPr>
            <w:tcW w:w="3685" w:type="dxa"/>
            <w:shd w:val="clear" w:color="auto" w:fill="FFFFFF"/>
          </w:tcPr>
          <w:p w:rsidR="00B0749B" w:rsidRPr="00E3482E" w:rsidRDefault="00B0749B" w:rsidP="00B0749B">
            <w:pPr>
              <w:pStyle w:val="Text"/>
              <w:spacing w:before="40" w:after="20" w:line="269" w:lineRule="auto"/>
              <w:jc w:val="left"/>
              <w:rPr>
                <w:color w:val="000000"/>
              </w:rPr>
            </w:pPr>
            <w:r w:rsidRPr="00E3482E">
              <w:rPr>
                <w:color w:val="000000"/>
              </w:rPr>
              <w:t>Skin and Subcutaneous Disorders:</w:t>
            </w:r>
          </w:p>
        </w:tc>
        <w:tc>
          <w:tcPr>
            <w:tcW w:w="4820" w:type="dxa"/>
            <w:shd w:val="clear" w:color="auto" w:fill="FFFFFF"/>
          </w:tcPr>
          <w:p w:rsidR="00B0749B" w:rsidRPr="00E3482E" w:rsidRDefault="00B0749B" w:rsidP="00B0749B">
            <w:pPr>
              <w:pStyle w:val="Text"/>
              <w:spacing w:before="40" w:line="269" w:lineRule="auto"/>
              <w:jc w:val="left"/>
              <w:rPr>
                <w:color w:val="000000"/>
              </w:rPr>
            </w:pPr>
            <w:proofErr w:type="spellStart"/>
            <w:r w:rsidRPr="00E3482E">
              <w:rPr>
                <w:color w:val="000000"/>
              </w:rPr>
              <w:t>angioneurotic</w:t>
            </w:r>
            <w:proofErr w:type="spellEnd"/>
            <w:r w:rsidRPr="00E3482E">
              <w:rPr>
                <w:color w:val="000000"/>
              </w:rPr>
              <w:t xml:space="preserve"> oedema, generalised </w:t>
            </w:r>
            <w:proofErr w:type="spellStart"/>
            <w:r w:rsidRPr="00E3482E">
              <w:rPr>
                <w:color w:val="000000"/>
              </w:rPr>
              <w:t>pruritis</w:t>
            </w:r>
            <w:proofErr w:type="spellEnd"/>
          </w:p>
        </w:tc>
      </w:tr>
      <w:tr w:rsidR="00B0749B" w:rsidRPr="00E3482E" w:rsidTr="00F11870">
        <w:tc>
          <w:tcPr>
            <w:tcW w:w="3685" w:type="dxa"/>
            <w:shd w:val="clear" w:color="auto" w:fill="FFFFFF"/>
          </w:tcPr>
          <w:p w:rsidR="00B0749B" w:rsidRPr="00E3482E" w:rsidRDefault="00B0749B" w:rsidP="00B0749B">
            <w:pPr>
              <w:pStyle w:val="Text"/>
              <w:spacing w:before="40" w:after="20" w:line="269" w:lineRule="auto"/>
              <w:jc w:val="left"/>
              <w:rPr>
                <w:color w:val="000000"/>
              </w:rPr>
            </w:pPr>
            <w:r w:rsidRPr="00E3482E">
              <w:rPr>
                <w:color w:val="000000"/>
              </w:rPr>
              <w:t>Immune system Disorders:</w:t>
            </w:r>
          </w:p>
        </w:tc>
        <w:tc>
          <w:tcPr>
            <w:tcW w:w="4820" w:type="dxa"/>
            <w:shd w:val="clear" w:color="auto" w:fill="FFFFFF"/>
          </w:tcPr>
          <w:p w:rsidR="00B0749B" w:rsidRPr="00E3482E" w:rsidRDefault="00B0749B" w:rsidP="00B0749B">
            <w:pPr>
              <w:pStyle w:val="Text"/>
              <w:spacing w:before="40" w:line="269" w:lineRule="auto"/>
              <w:jc w:val="left"/>
              <w:rPr>
                <w:color w:val="000000"/>
              </w:rPr>
            </w:pPr>
            <w:r w:rsidRPr="00E3482E">
              <w:rPr>
                <w:color w:val="000000"/>
              </w:rPr>
              <w:t xml:space="preserve">anaphylaxis, </w:t>
            </w:r>
            <w:proofErr w:type="spellStart"/>
            <w:r w:rsidRPr="00E3482E">
              <w:rPr>
                <w:color w:val="000000"/>
              </w:rPr>
              <w:t>anaphylactoid</w:t>
            </w:r>
            <w:proofErr w:type="spellEnd"/>
            <w:r w:rsidRPr="00E3482E">
              <w:rPr>
                <w:color w:val="000000"/>
              </w:rPr>
              <w:t xml:space="preserve"> reaction</w:t>
            </w:r>
          </w:p>
        </w:tc>
      </w:tr>
    </w:tbl>
    <w:p w:rsidR="00B0749B" w:rsidRPr="00E3482E" w:rsidRDefault="00B0749B" w:rsidP="00F5092E">
      <w:pPr>
        <w:pStyle w:val="Heading2"/>
      </w:pPr>
      <w:r w:rsidRPr="00E3482E">
        <w:t>Multiple Courses</w:t>
      </w:r>
    </w:p>
    <w:p w:rsidR="00B0749B" w:rsidRPr="00E3482E" w:rsidRDefault="00B0749B" w:rsidP="00B0749B">
      <w:pPr>
        <w:spacing w:before="120"/>
        <w:jc w:val="both"/>
        <w:rPr>
          <w:color w:val="000000"/>
        </w:rPr>
      </w:pPr>
      <w:r w:rsidRPr="00E3482E">
        <w:rPr>
          <w:color w:val="000000"/>
        </w:rPr>
        <w:t>Multiple courses of treatment are associated with a similar ADR profile to that observed following first exposure. However, worsening of infusion or allergic reactions and failure to B cell deplete following rituximab cannot be excluded in HACA positive patients after repeated exposure to rituximab on the basis of the available data. The incidence of acute infusion reactions following subsequent treatment courses was generally lower than the incidence following the first infusion of rituximab.</w:t>
      </w:r>
    </w:p>
    <w:p w:rsidR="00500881" w:rsidRPr="00E3482E" w:rsidRDefault="00500881" w:rsidP="00F5092E">
      <w:pPr>
        <w:pStyle w:val="Heading2"/>
      </w:pPr>
      <w:r w:rsidRPr="00E3482E">
        <w:t>Laboratory Abnormalities</w:t>
      </w:r>
    </w:p>
    <w:p w:rsidR="00500881" w:rsidRPr="00E3482E" w:rsidRDefault="00500881" w:rsidP="00500881">
      <w:pPr>
        <w:spacing w:before="120"/>
        <w:jc w:val="both"/>
        <w:rPr>
          <w:color w:val="000000"/>
        </w:rPr>
      </w:pPr>
      <w:proofErr w:type="spellStart"/>
      <w:r w:rsidRPr="00E3482E">
        <w:rPr>
          <w:color w:val="000000"/>
        </w:rPr>
        <w:t>Hypogammaglobulinaemia</w:t>
      </w:r>
      <w:proofErr w:type="spellEnd"/>
      <w:r w:rsidRPr="00E3482E">
        <w:rPr>
          <w:color w:val="000000"/>
        </w:rPr>
        <w:t xml:space="preserve"> (IgG or IgM below the lower limit of normal) has been observed in RA patients treated with rituximab. During routine laboratory monitoring, decreased IgM was observed very commonly (≥10% of patients), and decreased IgG was observed commonly (approximately 3.5% of patients) in RA clinical trials. There was no increased rate in overall infections or serious infections after the development of low IgG or IgM.</w:t>
      </w:r>
    </w:p>
    <w:p w:rsidR="00500881" w:rsidRPr="00E3482E" w:rsidRDefault="00500881" w:rsidP="00500881">
      <w:pPr>
        <w:spacing w:before="120"/>
        <w:jc w:val="both"/>
        <w:rPr>
          <w:color w:val="000000"/>
        </w:rPr>
      </w:pPr>
      <w:r w:rsidRPr="00E3482E">
        <w:rPr>
          <w:color w:val="000000"/>
        </w:rPr>
        <w:t>Events of neutropenia associated with rituximab treatment, the majority of which were transient and mild or moderate in severity, were observed in clinical trials in RA patients after the first course of treatment. Neutropenia can occur several months after the administration of rituximab.</w:t>
      </w:r>
    </w:p>
    <w:p w:rsidR="002362A0" w:rsidRPr="00E3482E" w:rsidRDefault="00500881" w:rsidP="00500881">
      <w:pPr>
        <w:spacing w:before="120"/>
        <w:jc w:val="both"/>
        <w:rPr>
          <w:color w:val="000000"/>
        </w:rPr>
      </w:pPr>
      <w:r w:rsidRPr="00E3482E">
        <w:rPr>
          <w:color w:val="000000"/>
        </w:rPr>
        <w:t>In placebo-controlled periods of clinical trials, all grade neutropenia (derived from laboratory values) was observed commonly and 0.94% (13/1382) of rituximab-treated patients and 0.27% (2/731) of placebo patients developed severe (Grade 3 or 4) neutropenia. In these studies, rates of severe neutropenia were 1.06 and 0.53/100 patient years after the first treatment course, respectively, and 0.97 and 0.88/100 patient years after multiple courses, respectively. Therefore, neutropenia is more common as an ADR for the first course. Time to onset of neutropenia was variable. In clinical trials neutropenia was not associated with an observed increase in serious infection, and most patients continued to receive additional courses of rituximab after episodes of neutropenia.</w:t>
      </w:r>
    </w:p>
    <w:p w:rsidR="001F11DF" w:rsidRPr="00E3482E" w:rsidRDefault="001F11DF" w:rsidP="001F11DF">
      <w:pPr>
        <w:pStyle w:val="Heading6"/>
        <w:rPr>
          <w:color w:val="000000"/>
        </w:rPr>
      </w:pPr>
      <w:r w:rsidRPr="00E3482E">
        <w:rPr>
          <w:color w:val="000000"/>
        </w:rPr>
        <w:t>Further information on selected, serious adverse drug reactions</w:t>
      </w:r>
    </w:p>
    <w:p w:rsidR="001F11DF" w:rsidRPr="00E3482E" w:rsidRDefault="001F11DF" w:rsidP="00F5092E">
      <w:pPr>
        <w:pStyle w:val="Heading2"/>
      </w:pPr>
      <w:r w:rsidRPr="00E3482E">
        <w:t>Infusion-related reactions (IRRs)</w:t>
      </w:r>
    </w:p>
    <w:p w:rsidR="001F11DF" w:rsidRPr="00E3482E" w:rsidRDefault="001F11DF" w:rsidP="001F11DF">
      <w:pPr>
        <w:spacing w:before="120"/>
        <w:jc w:val="both"/>
        <w:rPr>
          <w:color w:val="000000"/>
        </w:rPr>
      </w:pPr>
      <w:r w:rsidRPr="00E3482E">
        <w:rPr>
          <w:color w:val="000000"/>
        </w:rPr>
        <w:t>Symptoms suggesting an acute infusion reaction (</w:t>
      </w:r>
      <w:proofErr w:type="spellStart"/>
      <w:r w:rsidRPr="00E3482E">
        <w:rPr>
          <w:color w:val="000000"/>
        </w:rPr>
        <w:t>pruritis</w:t>
      </w:r>
      <w:proofErr w:type="spellEnd"/>
      <w:r w:rsidRPr="00E3482E">
        <w:rPr>
          <w:color w:val="000000"/>
        </w:rPr>
        <w:t xml:space="preserve">, fever, </w:t>
      </w:r>
      <w:proofErr w:type="spellStart"/>
      <w:r w:rsidRPr="00E3482E">
        <w:rPr>
          <w:color w:val="000000"/>
        </w:rPr>
        <w:t>urticaria</w:t>
      </w:r>
      <w:proofErr w:type="spellEnd"/>
      <w:r w:rsidRPr="00E3482E">
        <w:rPr>
          <w:color w:val="000000"/>
        </w:rPr>
        <w:t xml:space="preserve">/rash, chills, pyrexia, rigors, sneezing, </w:t>
      </w:r>
      <w:proofErr w:type="spellStart"/>
      <w:r w:rsidRPr="00E3482E">
        <w:rPr>
          <w:color w:val="000000"/>
        </w:rPr>
        <w:t>angioneurotic</w:t>
      </w:r>
      <w:proofErr w:type="spellEnd"/>
      <w:r w:rsidRPr="00E3482E">
        <w:rPr>
          <w:color w:val="000000"/>
        </w:rPr>
        <w:t xml:space="preserve"> oedema, throat irritation, cough and bronchospasm, with or without associated hypotension or hypertension) were observed in 79/540 (15%) patients following their first exposure to rituximab. In a study comparing the effect of glucocorticoid </w:t>
      </w:r>
      <w:r w:rsidRPr="00E3482E">
        <w:rPr>
          <w:color w:val="000000"/>
        </w:rPr>
        <w:lastRenderedPageBreak/>
        <w:t xml:space="preserve">regimen, these events were observed in 5/149 (3%) of patients following their first placebo infusion and 42/192 (22%) of patients receiving their first infusion of 1000 mg rituximab. Premedication with IV glucocorticoid significantly reduced the incidence and severity of these events (see </w:t>
      </w:r>
      <w:r w:rsidRPr="00E3482E">
        <w:rPr>
          <w:b/>
          <w:color w:val="000000"/>
        </w:rPr>
        <w:t>PRECAUTIONS</w:t>
      </w:r>
      <w:r w:rsidRPr="00E3482E">
        <w:rPr>
          <w:color w:val="000000"/>
        </w:rPr>
        <w:t xml:space="preserve"> – </w:t>
      </w:r>
      <w:r w:rsidRPr="00E3482E">
        <w:rPr>
          <w:i/>
          <w:color w:val="000000"/>
        </w:rPr>
        <w:t>Rheumatoid Arthritis</w:t>
      </w:r>
      <w:r w:rsidRPr="00E3482E">
        <w:rPr>
          <w:color w:val="000000"/>
        </w:rPr>
        <w:t>). Of the patients who received 1000 mg rituximab without premedication with glucocorticoids, 18/65 (28%) experienced an acute infusion reaction, compared with 24/127 (19%) in patients given IV glucocorticoid premedication, respectively.</w:t>
      </w:r>
    </w:p>
    <w:p w:rsidR="001F11DF" w:rsidRPr="00E3482E" w:rsidRDefault="001F11DF" w:rsidP="001F11DF">
      <w:pPr>
        <w:spacing w:before="120"/>
        <w:jc w:val="both"/>
        <w:rPr>
          <w:color w:val="000000"/>
        </w:rPr>
      </w:pPr>
      <w:r w:rsidRPr="00E3482E">
        <w:rPr>
          <w:color w:val="000000"/>
        </w:rPr>
        <w:t xml:space="preserve">In Study 1 (REFLEX) 5/308 (1.6%) patients from the </w:t>
      </w:r>
      <w:proofErr w:type="spellStart"/>
      <w:r w:rsidRPr="00E3482E">
        <w:rPr>
          <w:color w:val="000000"/>
        </w:rPr>
        <w:t>rituximab+MTX</w:t>
      </w:r>
      <w:proofErr w:type="spellEnd"/>
      <w:r w:rsidRPr="00E3482E">
        <w:rPr>
          <w:color w:val="000000"/>
        </w:rPr>
        <w:t xml:space="preserve"> group and no patients from the </w:t>
      </w:r>
      <w:proofErr w:type="spellStart"/>
      <w:r w:rsidRPr="00E3482E">
        <w:rPr>
          <w:color w:val="000000"/>
        </w:rPr>
        <w:t>placebo+MTX</w:t>
      </w:r>
      <w:proofErr w:type="spellEnd"/>
      <w:r w:rsidRPr="00E3482E">
        <w:rPr>
          <w:color w:val="000000"/>
        </w:rPr>
        <w:t xml:space="preserve"> group withdrew from the study due to acute infusion reactions. A reduced number of acute infusion reactions occurred during the second infusion, and none resulted in withdrawal of a patient.</w:t>
      </w:r>
    </w:p>
    <w:p w:rsidR="002362A0" w:rsidRPr="00E3482E" w:rsidRDefault="001F11DF" w:rsidP="001F11DF">
      <w:pPr>
        <w:spacing w:before="120"/>
        <w:jc w:val="both"/>
        <w:rPr>
          <w:color w:val="000000"/>
        </w:rPr>
      </w:pPr>
      <w:r w:rsidRPr="00E3482E">
        <w:rPr>
          <w:color w:val="000000"/>
        </w:rPr>
        <w:t xml:space="preserve">In Study 2 (DANCER) 5/192 (3%) patients in the 2 x 1000 mg </w:t>
      </w:r>
      <w:proofErr w:type="spellStart"/>
      <w:r w:rsidRPr="00E3482E">
        <w:rPr>
          <w:color w:val="000000"/>
        </w:rPr>
        <w:t>rituximab+MTX</w:t>
      </w:r>
      <w:proofErr w:type="spellEnd"/>
      <w:r w:rsidRPr="00E3482E">
        <w:rPr>
          <w:color w:val="000000"/>
        </w:rPr>
        <w:t xml:space="preserve"> group were withdrawn due to acute infusion reactions. No patients in the placebo or 2 x 500 mg rituximab groups withdrew from treatment.</w:t>
      </w:r>
    </w:p>
    <w:p w:rsidR="001F11DF" w:rsidRPr="00E3482E" w:rsidRDefault="001F11DF" w:rsidP="001F11DF">
      <w:pPr>
        <w:spacing w:before="120"/>
        <w:jc w:val="both"/>
        <w:rPr>
          <w:color w:val="000000"/>
        </w:rPr>
      </w:pPr>
      <w:r w:rsidRPr="00E3482E">
        <w:rPr>
          <w:color w:val="000000"/>
        </w:rPr>
        <w:t>In Study 3 one patient in the 2 x 1000 mg rituximab group withdrew due to an acute infusion reaction.</w:t>
      </w:r>
    </w:p>
    <w:p w:rsidR="002362A0" w:rsidRPr="00E3482E" w:rsidRDefault="001F11DF" w:rsidP="001F11DF">
      <w:pPr>
        <w:spacing w:before="120"/>
        <w:jc w:val="both"/>
        <w:rPr>
          <w:color w:val="000000"/>
        </w:rPr>
      </w:pPr>
      <w:r w:rsidRPr="00E3482E">
        <w:rPr>
          <w:color w:val="000000"/>
        </w:rPr>
        <w:t xml:space="preserve">In study 4, </w:t>
      </w:r>
      <w:proofErr w:type="gramStart"/>
      <w:r w:rsidRPr="00E3482E">
        <w:rPr>
          <w:color w:val="000000"/>
        </w:rPr>
        <w:t>which evaluated the safety of a 120 minute rituximab infusion in patients with moderate to severe active RA, patients who did not experience a serious IRR during or within 24 hours of their first studied infusion were allowed to receive a 120 minute infusion of rituximab.</w:t>
      </w:r>
      <w:proofErr w:type="gramEnd"/>
      <w:r w:rsidRPr="00E3482E">
        <w:rPr>
          <w:color w:val="000000"/>
        </w:rPr>
        <w:t xml:space="preserve"> Patients with a history of a serious infusion reaction to a biologic therapy for RA were excluded from entry. The incidence, types and severity of IRRs were consistent with that observed historically. No serious IRRs were observed (see </w:t>
      </w:r>
      <w:r w:rsidRPr="00E3482E">
        <w:rPr>
          <w:b/>
          <w:color w:val="000000"/>
        </w:rPr>
        <w:t>CLINICAL TRIALS</w:t>
      </w:r>
      <w:r w:rsidRPr="00E3482E">
        <w:rPr>
          <w:color w:val="000000"/>
        </w:rPr>
        <w:t xml:space="preserve"> - </w:t>
      </w:r>
      <w:r w:rsidRPr="00E3482E">
        <w:rPr>
          <w:i/>
          <w:color w:val="000000"/>
        </w:rPr>
        <w:t>Rheumatoid Arthritis</w:t>
      </w:r>
      <w:r w:rsidRPr="00E3482E">
        <w:rPr>
          <w:color w:val="000000"/>
        </w:rPr>
        <w:t>).</w:t>
      </w:r>
    </w:p>
    <w:p w:rsidR="001F11DF" w:rsidRPr="00E3482E" w:rsidRDefault="001F11DF" w:rsidP="00F5092E">
      <w:pPr>
        <w:pStyle w:val="Heading2"/>
      </w:pPr>
      <w:r w:rsidRPr="00E3482E">
        <w:t>Infections</w:t>
      </w:r>
    </w:p>
    <w:p w:rsidR="001F11DF" w:rsidRPr="00E3482E" w:rsidRDefault="001F11DF" w:rsidP="001F11DF">
      <w:pPr>
        <w:spacing w:before="120"/>
        <w:jc w:val="both"/>
        <w:rPr>
          <w:color w:val="000000"/>
        </w:rPr>
      </w:pPr>
      <w:r w:rsidRPr="00E3482E">
        <w:rPr>
          <w:color w:val="000000"/>
        </w:rPr>
        <w:t>The rate of infection was approximately 0.9 per patient year in rituximab-treated patients. The infections consisted mostly of upper respiratory tract infections and urinary tract infections. Clinically significant infections (defined as those which were reported as serious and/or were treated with IV antibiotics) were observed in 68/1039 (7%) of patients treated with rituximab compared to 3/107 (3%) of patients treated with only placebo. The rate of clinically significant infection was 0.05 per patient year in rituximab-treated patients. Clinically significant infections predominantly included those of the lower respiratory, urinary and gastrointestinal tracts. Three clinically significant infections resulted in fatal outcomes, one was considered related to rituximab (septic shock) and two unrelated (neutropenic sepsis and bronchopneumonia).</w:t>
      </w:r>
    </w:p>
    <w:p w:rsidR="002362A0" w:rsidRPr="00E3482E" w:rsidRDefault="001F11DF" w:rsidP="001F11DF">
      <w:pPr>
        <w:spacing w:before="120"/>
        <w:jc w:val="both"/>
        <w:rPr>
          <w:color w:val="000000"/>
        </w:rPr>
      </w:pPr>
      <w:r w:rsidRPr="00E3482E">
        <w:rPr>
          <w:color w:val="000000"/>
        </w:rPr>
        <w:t xml:space="preserve">Cases of progressive multifocal leukoencephalopathy (PML) have been reported following use of rituximab for the treatment of autoimmune diseases including RA and GPA (see </w:t>
      </w:r>
      <w:r w:rsidRPr="00E3482E">
        <w:rPr>
          <w:b/>
          <w:color w:val="000000"/>
        </w:rPr>
        <w:t>PRECAUTIONS</w:t>
      </w:r>
      <w:r w:rsidRPr="00E3482E">
        <w:rPr>
          <w:color w:val="000000"/>
        </w:rPr>
        <w:t xml:space="preserve"> and </w:t>
      </w:r>
      <w:r w:rsidRPr="00E3482E">
        <w:rPr>
          <w:b/>
          <w:color w:val="000000"/>
        </w:rPr>
        <w:t>BOXED WARNING</w:t>
      </w:r>
      <w:r w:rsidRPr="00E3482E">
        <w:rPr>
          <w:color w:val="000000"/>
        </w:rPr>
        <w:t>).</w:t>
      </w:r>
    </w:p>
    <w:p w:rsidR="001F11DF" w:rsidRPr="00E3482E" w:rsidRDefault="001F11DF" w:rsidP="00F5092E">
      <w:pPr>
        <w:pStyle w:val="Heading2"/>
      </w:pPr>
      <w:r w:rsidRPr="00E3482E">
        <w:t>Malignancies</w:t>
      </w:r>
    </w:p>
    <w:p w:rsidR="001F11DF" w:rsidRPr="00E3482E" w:rsidRDefault="001F11DF" w:rsidP="001F11DF">
      <w:pPr>
        <w:spacing w:before="120"/>
        <w:jc w:val="both"/>
        <w:rPr>
          <w:color w:val="000000"/>
        </w:rPr>
      </w:pPr>
      <w:r w:rsidRPr="00E3482E">
        <w:rPr>
          <w:color w:val="000000"/>
        </w:rPr>
        <w:t xml:space="preserve">The observed incidence of malignancies following exposure to rituximab (1.6 per 100 person years) lies within the range expected for a population with similar age and gender profile. A total of 26 malignancies have been reported in 22/1039 (2%) patients treated with rituximab. The </w:t>
      </w:r>
      <w:r w:rsidRPr="00E3482E">
        <w:rPr>
          <w:color w:val="000000"/>
        </w:rPr>
        <w:lastRenderedPageBreak/>
        <w:t xml:space="preserve">most common types were skin cancer (basal cell carcinoma squamous cell cancer, or melanoma) and breast cancer. Four malignancies (thyroid gland cancer, </w:t>
      </w:r>
      <w:proofErr w:type="spellStart"/>
      <w:r w:rsidRPr="00E3482E">
        <w:rPr>
          <w:color w:val="000000"/>
        </w:rPr>
        <w:t>oligodendroglioma</w:t>
      </w:r>
      <w:proofErr w:type="spellEnd"/>
      <w:r w:rsidRPr="00E3482E">
        <w:rPr>
          <w:color w:val="000000"/>
        </w:rPr>
        <w:t>, basal cell carcinoma and malignant melanoma) were assessed by the investigator as being related to trial treatment.</w:t>
      </w:r>
    </w:p>
    <w:p w:rsidR="002362A0" w:rsidRPr="00E3482E" w:rsidRDefault="001F11DF" w:rsidP="001F11DF">
      <w:pPr>
        <w:spacing w:before="120"/>
        <w:jc w:val="both"/>
        <w:rPr>
          <w:color w:val="000000"/>
        </w:rPr>
      </w:pPr>
      <w:r w:rsidRPr="00E3482E">
        <w:rPr>
          <w:color w:val="000000"/>
        </w:rPr>
        <w:t>Latency of onset was variable, ranging from 35 to 1324 days. There was no evidence that the incidence of malignancies altered over time, with 14 malignancies occurring following the first course of rituximab, 10 following the second course, and 2 following the third course. Malignancies were reported mainly in patients aged ≥ 60 years (mean 60 years; range 37-80 years).</w:t>
      </w:r>
    </w:p>
    <w:p w:rsidR="001F11DF" w:rsidRPr="00E3482E" w:rsidRDefault="001F11DF" w:rsidP="001F11DF">
      <w:pPr>
        <w:pStyle w:val="Heading6"/>
        <w:keepNext/>
        <w:rPr>
          <w:color w:val="000000"/>
        </w:rPr>
      </w:pPr>
      <w:r w:rsidRPr="00E3482E">
        <w:rPr>
          <w:color w:val="000000"/>
        </w:rPr>
        <w:t>Additional all exposure data from combined approved and unapproved RA indications</w:t>
      </w:r>
    </w:p>
    <w:p w:rsidR="001F11DF" w:rsidRPr="00E3482E" w:rsidRDefault="001F11DF" w:rsidP="001F11DF">
      <w:pPr>
        <w:spacing w:before="120"/>
        <w:jc w:val="both"/>
        <w:rPr>
          <w:color w:val="000000"/>
        </w:rPr>
      </w:pPr>
      <w:r w:rsidRPr="00E3482E">
        <w:rPr>
          <w:color w:val="000000"/>
        </w:rPr>
        <w:t>The following all exposure data is sourced from RA studies relating to both approved and unapproved uses of rituximab in RA. The registered indication (in severe RA) is supported primarily by data from the REFLEX phase III pivotal study and additionally by data from the DANCER and WA16291 studies. The data presented below is taken from pooled all exposure analyses which included the 3 studies supporting the approved indication, as well as data from their respective open label extension studies, namely WA17531 (REFLEX extension) and WA16855 (DANCER/WA16291 extension). The all exposure analyses also included data from SERENE, SUNRISE, MIRROR, SIERRA and IMAGE studies, all of which support RA indications (early RA or moderate to severe RA) not registered in Australia.</w:t>
      </w:r>
    </w:p>
    <w:p w:rsidR="002362A0" w:rsidRPr="00E3482E" w:rsidRDefault="001F11DF" w:rsidP="001F11DF">
      <w:pPr>
        <w:spacing w:before="120"/>
        <w:jc w:val="both"/>
        <w:rPr>
          <w:color w:val="000000"/>
        </w:rPr>
      </w:pPr>
      <w:r w:rsidRPr="00E3482E">
        <w:rPr>
          <w:color w:val="000000"/>
        </w:rPr>
        <w:t xml:space="preserve">In clinical trials 3095 patients were treated with rituximab for RA providing 7198 patient years of observation, with up to &gt; 8 years follow-up and up to 13 courses of rituximab received (one patient had received the 1st infusion of the 13th course at the time of data cut-off). Over 750 patients had been followed for &gt; 3 years and 225 patients for &gt; 5 years with 2365, 1581, 1038 and 497 patients receiving ≥ 2, ≥ 3, ≥ 4 and ≥ 5 courses, respectively. (The patient figures refer to the number of patients receiving at least one infusion or part of an infusion for any given course.) Most of the patients who received additional courses did so 24 weeks or more after the previous course and none were retreated sooner than 16 weeks. The rates and types of ADRs reported for subsequent courses of </w:t>
      </w:r>
      <w:r w:rsidR="00A34B62" w:rsidRPr="00E3482E">
        <w:rPr>
          <w:color w:val="000000"/>
        </w:rPr>
        <w:t>rituximab</w:t>
      </w:r>
      <w:r w:rsidRPr="00E3482E">
        <w:rPr>
          <w:color w:val="000000"/>
        </w:rPr>
        <w:t xml:space="preserve"> were similar to rates and types seen for a single course of </w:t>
      </w:r>
      <w:r w:rsidR="00A34B62" w:rsidRPr="00E3482E">
        <w:rPr>
          <w:color w:val="000000"/>
        </w:rPr>
        <w:t>rituximab</w:t>
      </w:r>
      <w:r w:rsidRPr="00E3482E">
        <w:rPr>
          <w:color w:val="000000"/>
        </w:rPr>
        <w:t>.</w:t>
      </w:r>
    </w:p>
    <w:p w:rsidR="00A34B62" w:rsidRPr="00E3482E" w:rsidRDefault="00A34B62" w:rsidP="00F5092E">
      <w:pPr>
        <w:pStyle w:val="Heading2"/>
      </w:pPr>
      <w:r w:rsidRPr="00E3482E">
        <w:t>Hypophosphataemia and hyperuricaemia</w:t>
      </w:r>
    </w:p>
    <w:p w:rsidR="002362A0" w:rsidRPr="00E3482E" w:rsidRDefault="00A34B62" w:rsidP="00B13079">
      <w:pPr>
        <w:spacing w:before="120"/>
        <w:jc w:val="both"/>
        <w:rPr>
          <w:color w:val="000000"/>
        </w:rPr>
      </w:pPr>
      <w:r w:rsidRPr="00E3482E">
        <w:rPr>
          <w:color w:val="000000"/>
        </w:rPr>
        <w:t>In the overall RA clinical trial program hypophosphatemia (&lt; 2.0 mg/dl) was observed in 22% patients (688/3083), and hyperuricemia (&gt; 10 mg/</w:t>
      </w:r>
      <w:proofErr w:type="spellStart"/>
      <w:r w:rsidRPr="00E3482E">
        <w:rPr>
          <w:color w:val="000000"/>
        </w:rPr>
        <w:t>dL</w:t>
      </w:r>
      <w:proofErr w:type="spellEnd"/>
      <w:r w:rsidRPr="00E3482E">
        <w:rPr>
          <w:color w:val="000000"/>
        </w:rPr>
        <w:t xml:space="preserve">) in 13.0% (400/3083) patients. In the majority of cases, </w:t>
      </w:r>
      <w:proofErr w:type="spellStart"/>
      <w:r w:rsidRPr="00E3482E">
        <w:rPr>
          <w:color w:val="000000"/>
        </w:rPr>
        <w:t>hypophosphataemia</w:t>
      </w:r>
      <w:proofErr w:type="spellEnd"/>
      <w:r w:rsidRPr="00E3482E">
        <w:rPr>
          <w:color w:val="000000"/>
        </w:rPr>
        <w:t xml:space="preserve"> and </w:t>
      </w:r>
      <w:proofErr w:type="spellStart"/>
      <w:r w:rsidRPr="00E3482E">
        <w:rPr>
          <w:color w:val="000000"/>
        </w:rPr>
        <w:t>hyperuricaemia</w:t>
      </w:r>
      <w:proofErr w:type="spellEnd"/>
      <w:r w:rsidRPr="00E3482E">
        <w:rPr>
          <w:color w:val="000000"/>
        </w:rPr>
        <w:t xml:space="preserve"> were transient, occurring at the time of infusion.</w:t>
      </w:r>
    </w:p>
    <w:p w:rsidR="00A34B62" w:rsidRPr="00E3482E" w:rsidRDefault="00A34B62" w:rsidP="00F5092E">
      <w:pPr>
        <w:pStyle w:val="Heading2"/>
      </w:pPr>
      <w:r w:rsidRPr="00E3482E">
        <w:t>Infusion-related Reactions (IRRs)</w:t>
      </w:r>
    </w:p>
    <w:p w:rsidR="00A34B62" w:rsidRPr="00E3482E" w:rsidRDefault="00A34B62" w:rsidP="00A34B62">
      <w:pPr>
        <w:spacing w:before="120"/>
        <w:jc w:val="both"/>
        <w:rPr>
          <w:color w:val="000000"/>
        </w:rPr>
      </w:pPr>
      <w:r w:rsidRPr="00E3482E">
        <w:rPr>
          <w:color w:val="000000"/>
        </w:rPr>
        <w:t xml:space="preserve">The most frequent ADRs following receipt of rituximab in clinical studies were IRRs. Among the 3095 patients treated with rituximab (for up to 13 courses), 1077 (35%) experienced at least one IRR. The vast majority of IRRs were Grade 1 or 2. Less than 1% (14/3095 patients) of patients with RA who received an infusion of rituximab at any dose experienced a serious infusion-related reaction. There were no Grade 4 IRRs and no deaths due to IRRs in the clinical </w:t>
      </w:r>
      <w:r w:rsidRPr="00E3482E">
        <w:rPr>
          <w:color w:val="000000"/>
        </w:rPr>
        <w:lastRenderedPageBreak/>
        <w:t xml:space="preserve">studies (see </w:t>
      </w:r>
      <w:r w:rsidRPr="00E3482E">
        <w:rPr>
          <w:i/>
          <w:color w:val="000000"/>
        </w:rPr>
        <w:t>Post-Marketing Experience – Rheumatoid Arthritis</w:t>
      </w:r>
      <w:r w:rsidRPr="00E3482E">
        <w:rPr>
          <w:color w:val="000000"/>
        </w:rPr>
        <w:t>). The proportion of Grade 3 events and IRRs leading to withdrawal decreased by course and were rare from course 3 onwards.</w:t>
      </w:r>
    </w:p>
    <w:p w:rsidR="002362A0" w:rsidRPr="00E3482E" w:rsidRDefault="00A34B62" w:rsidP="00A34B62">
      <w:pPr>
        <w:spacing w:before="120"/>
        <w:jc w:val="both"/>
        <w:rPr>
          <w:color w:val="000000"/>
        </w:rPr>
      </w:pPr>
      <w:r w:rsidRPr="00E3482E">
        <w:rPr>
          <w:color w:val="000000"/>
        </w:rPr>
        <w:t xml:space="preserve">Signs and symptoms suggesting an IRR (nausea, pruritus, fever, </w:t>
      </w:r>
      <w:proofErr w:type="spellStart"/>
      <w:r w:rsidRPr="00E3482E">
        <w:rPr>
          <w:color w:val="000000"/>
        </w:rPr>
        <w:t>urticaria</w:t>
      </w:r>
      <w:proofErr w:type="spellEnd"/>
      <w:r w:rsidRPr="00E3482E">
        <w:rPr>
          <w:color w:val="000000"/>
        </w:rPr>
        <w:t xml:space="preserve">/rash, chills, pyrexia, rigors, sneezing, </w:t>
      </w:r>
      <w:proofErr w:type="spellStart"/>
      <w:r w:rsidRPr="00E3482E">
        <w:rPr>
          <w:color w:val="000000"/>
        </w:rPr>
        <w:t>angioneurotic</w:t>
      </w:r>
      <w:proofErr w:type="spellEnd"/>
      <w:r w:rsidRPr="00E3482E">
        <w:rPr>
          <w:color w:val="000000"/>
        </w:rPr>
        <w:t xml:space="preserve"> oedema, throat irritation, cough and bronchospasm, with or without associated hypotension or hypertension) were observed in 720/3095 (23%) patients following first infusion of the first exposure to rituximab. Premedication with IV glucocorticoid significantly reduced the incidence and severity of these events (see </w:t>
      </w:r>
      <w:r w:rsidRPr="00E3482E">
        <w:rPr>
          <w:b/>
          <w:color w:val="000000"/>
        </w:rPr>
        <w:t>PRECAUTIONS</w:t>
      </w:r>
      <w:r w:rsidRPr="00E3482E">
        <w:rPr>
          <w:color w:val="000000"/>
        </w:rPr>
        <w:t xml:space="preserve"> – </w:t>
      </w:r>
      <w:r w:rsidRPr="00E3482E">
        <w:rPr>
          <w:i/>
          <w:color w:val="000000"/>
        </w:rPr>
        <w:t>Rheumatoid Arthritis</w:t>
      </w:r>
      <w:r w:rsidRPr="00E3482E">
        <w:rPr>
          <w:color w:val="000000"/>
        </w:rPr>
        <w:t>).</w:t>
      </w:r>
    </w:p>
    <w:p w:rsidR="00A34B62" w:rsidRPr="00E3482E" w:rsidRDefault="00A34B62" w:rsidP="00F5092E">
      <w:pPr>
        <w:pStyle w:val="Heading2"/>
      </w:pPr>
      <w:r w:rsidRPr="00E3482E">
        <w:t>Infections</w:t>
      </w:r>
    </w:p>
    <w:p w:rsidR="00A34B62" w:rsidRPr="00E3482E" w:rsidRDefault="00A34B62" w:rsidP="00A34B62">
      <w:pPr>
        <w:spacing w:before="120"/>
        <w:jc w:val="both"/>
        <w:rPr>
          <w:color w:val="000000"/>
        </w:rPr>
      </w:pPr>
      <w:r w:rsidRPr="00E3482E">
        <w:rPr>
          <w:color w:val="000000"/>
        </w:rPr>
        <w:t>The overall rate of infection was approximately 97 per 100 patient years in rituximab-treated patients. The infections were predominately mild to moderate and consisted mostly of upper respiratory tract infections and urinary tract infections. The rate of serious infections was 4.25 per 100 patient years. The most common serious infections were pneumonia or lower respiratory tract infections, cellulitis, urinary tract infections, gastroenteritis and bronchitis. Fatal serious infections included pneumonia, sepsis, colitis and PML.</w:t>
      </w:r>
    </w:p>
    <w:p w:rsidR="002362A0" w:rsidRPr="00E3482E" w:rsidRDefault="00A34B62" w:rsidP="00A34B62">
      <w:pPr>
        <w:spacing w:before="120"/>
        <w:jc w:val="both"/>
        <w:rPr>
          <w:color w:val="000000"/>
        </w:rPr>
      </w:pPr>
      <w:r w:rsidRPr="00E3482E">
        <w:rPr>
          <w:color w:val="000000"/>
        </w:rPr>
        <w:t>In 240 rituximab-treated RA patients with active disease, subsequent treatment with a biologic DMARD, the majority of which were TNF antagonists, did not appear to increase the rate of serious infection. Sixteen serious infections were observed in 262.4 patient years (6.10 per 100 patient years) prior to exposure and 12 were observed in 246.5 patient years (4.87 per 100 patient years) after exposure.</w:t>
      </w:r>
    </w:p>
    <w:p w:rsidR="00A34B62" w:rsidRPr="00E3482E" w:rsidRDefault="00A34B62" w:rsidP="00F5092E">
      <w:pPr>
        <w:pStyle w:val="Heading2"/>
      </w:pPr>
      <w:r w:rsidRPr="00E3482E">
        <w:t>Malignancies</w:t>
      </w:r>
    </w:p>
    <w:p w:rsidR="00A34B62" w:rsidRPr="00E3482E" w:rsidRDefault="00A34B62" w:rsidP="00A34B62">
      <w:pPr>
        <w:spacing w:before="120"/>
        <w:jc w:val="both"/>
        <w:rPr>
          <w:color w:val="000000"/>
        </w:rPr>
      </w:pPr>
      <w:r w:rsidRPr="00E3482E">
        <w:rPr>
          <w:color w:val="000000"/>
        </w:rPr>
        <w:t>The incidence of malignancy (excluding non-melanoma skin cancer) following exposure to rituximab in clinical studies (0.8 per 100 patient years) lies within the range expected for an age and gender matched population. A total of 60 confirmed malignancies (excluding non- melanoma skin cancers) have been reported in 59/3095 (2%) patients treated with rituximab. The most common types were breast cancer and thyroid cancer.</w:t>
      </w:r>
    </w:p>
    <w:p w:rsidR="002362A0" w:rsidRPr="00E3482E" w:rsidRDefault="00A34B62" w:rsidP="00A34B62">
      <w:pPr>
        <w:spacing w:before="120"/>
        <w:jc w:val="both"/>
        <w:rPr>
          <w:color w:val="000000"/>
        </w:rPr>
      </w:pPr>
      <w:r w:rsidRPr="00E3482E">
        <w:rPr>
          <w:color w:val="000000"/>
        </w:rPr>
        <w:t>Latency of onset was variable, ranging from 32 to 1561 days. There was no evidence that the rate of malignancies altered over time or with multiple courses of rituximab.</w:t>
      </w:r>
    </w:p>
    <w:p w:rsidR="00A34B62" w:rsidRPr="00E3482E" w:rsidRDefault="00A34B62" w:rsidP="00F5092E">
      <w:pPr>
        <w:pStyle w:val="Heading2"/>
      </w:pPr>
      <w:r w:rsidRPr="00E3482E">
        <w:t>Cardiovascular Events</w:t>
      </w:r>
    </w:p>
    <w:p w:rsidR="00B13079" w:rsidRPr="00E3482E" w:rsidRDefault="00A34B62" w:rsidP="00B13079">
      <w:pPr>
        <w:spacing w:before="120"/>
        <w:jc w:val="both"/>
        <w:rPr>
          <w:color w:val="000000"/>
        </w:rPr>
      </w:pPr>
      <w:r w:rsidRPr="00E3482E">
        <w:rPr>
          <w:color w:val="000000"/>
        </w:rPr>
        <w:t xml:space="preserve">In clinical trials the rate of serious cardiac reactions was 1.71 per 100 patient years. The most common serious cardiac event was myocardial infarction (MI) with a rate of 0.56 per 100 patient years. Rates did not increase over multiple courses of rituximab, and were consistent with those observed in epidemiologic studies of RA patients. Since patients with RA are at increased risk for cardiovascular events compared with the general population, patients with RA should be monitored throughout the infusion and rituximab should be discontinued in the event of a serious or life threatening cardiac event (see </w:t>
      </w:r>
      <w:r w:rsidRPr="00E3482E">
        <w:rPr>
          <w:b/>
          <w:color w:val="000000"/>
        </w:rPr>
        <w:t>PRECAUTIONS</w:t>
      </w:r>
      <w:r w:rsidRPr="00E3482E">
        <w:rPr>
          <w:color w:val="000000"/>
        </w:rPr>
        <w:t xml:space="preserve"> – </w:t>
      </w:r>
      <w:r w:rsidRPr="00E3482E">
        <w:rPr>
          <w:i/>
          <w:color w:val="000000"/>
        </w:rPr>
        <w:t>Rheumatoid Arthritis</w:t>
      </w:r>
      <w:r w:rsidRPr="00E3482E">
        <w:rPr>
          <w:color w:val="000000"/>
        </w:rPr>
        <w:t>).</w:t>
      </w:r>
    </w:p>
    <w:p w:rsidR="00A34B62" w:rsidRPr="00E3482E" w:rsidRDefault="00A34B62" w:rsidP="00F5092E">
      <w:pPr>
        <w:pStyle w:val="Heading2"/>
      </w:pPr>
      <w:r w:rsidRPr="00E3482E">
        <w:lastRenderedPageBreak/>
        <w:t>Immunogenicity</w:t>
      </w:r>
    </w:p>
    <w:p w:rsidR="00A34B62" w:rsidRPr="00E3482E" w:rsidRDefault="00A34B62" w:rsidP="00A34B62">
      <w:pPr>
        <w:spacing w:before="120"/>
        <w:jc w:val="both"/>
        <w:rPr>
          <w:color w:val="000000"/>
        </w:rPr>
      </w:pPr>
      <w:r w:rsidRPr="00E3482E">
        <w:rPr>
          <w:color w:val="000000"/>
        </w:rPr>
        <w:t>As with all therapeutic proteins, there is a potential for immunogenicity. The observed incidence of antibody (including neutralising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rituximab with the incidence of antibodies to other products may be misleading.</w:t>
      </w:r>
    </w:p>
    <w:p w:rsidR="00A34B62" w:rsidRPr="00E3482E" w:rsidRDefault="00A34B62" w:rsidP="00A34B62">
      <w:pPr>
        <w:spacing w:before="120"/>
        <w:jc w:val="both"/>
        <w:rPr>
          <w:color w:val="000000"/>
        </w:rPr>
      </w:pPr>
      <w:r w:rsidRPr="00E3482E">
        <w:rPr>
          <w:color w:val="000000"/>
        </w:rPr>
        <w:t>A total of 392/3095 (12.7%) patients with RA tested positive for HACA at any time after receiving rituximab. HACA positivity was not associated with increased infusion reactions or other adverse reactions. Upon further treatment, the proportions of patients with infusion reactions were similar between HACA positive and negative patients, and most reactions were mild to moderate. Two HACA positive patients had serious infusion reactions after developing HACA. The clinical relevance of HACA formation in rituximab-treated patients is unclear.</w:t>
      </w:r>
    </w:p>
    <w:p w:rsidR="00A34B62" w:rsidRPr="00E3482E" w:rsidRDefault="00A34B62" w:rsidP="00F5092E">
      <w:pPr>
        <w:pStyle w:val="HeadingUnderlined"/>
      </w:pPr>
      <w:r w:rsidRPr="00E3482E">
        <w:t xml:space="preserve">Clinical Trial Experience in Granulomatosis with </w:t>
      </w:r>
      <w:r w:rsidR="00D6167E" w:rsidRPr="00E3482E">
        <w:t>p</w:t>
      </w:r>
      <w:r w:rsidRPr="00E3482E">
        <w:t xml:space="preserve">olyangiitis (Wegener’s) (GPA) and Microscopic </w:t>
      </w:r>
      <w:r w:rsidR="00D6167E" w:rsidRPr="00E3482E">
        <w:t>p</w:t>
      </w:r>
      <w:r w:rsidRPr="00E3482E">
        <w:t>olyangiitis (MPA)</w:t>
      </w:r>
    </w:p>
    <w:p w:rsidR="00A34B62" w:rsidRPr="00E3482E" w:rsidRDefault="00A34B62" w:rsidP="00A34B62">
      <w:pPr>
        <w:spacing w:before="120"/>
        <w:jc w:val="both"/>
        <w:rPr>
          <w:color w:val="000000"/>
        </w:rPr>
      </w:pPr>
      <w:r w:rsidRPr="00E3482E">
        <w:rPr>
          <w:color w:val="000000"/>
        </w:rPr>
        <w:t>In the RAVE study, 99 patients were treated with rituximab (375 mg/m</w:t>
      </w:r>
      <w:r w:rsidRPr="00E3482E">
        <w:rPr>
          <w:color w:val="000000"/>
          <w:vertAlign w:val="superscript"/>
        </w:rPr>
        <w:t>2</w:t>
      </w:r>
      <w:r w:rsidRPr="00E3482E">
        <w:rPr>
          <w:color w:val="000000"/>
        </w:rPr>
        <w:t xml:space="preserve">, once weekly for 4 weeks) and glucocorticoids (see </w:t>
      </w:r>
      <w:r w:rsidRPr="00E3482E">
        <w:rPr>
          <w:b/>
          <w:color w:val="000000"/>
        </w:rPr>
        <w:t>CLINICAL TRIALS</w:t>
      </w:r>
      <w:r w:rsidRPr="00E3482E">
        <w:rPr>
          <w:color w:val="000000"/>
        </w:rPr>
        <w:t>).</w:t>
      </w:r>
    </w:p>
    <w:p w:rsidR="00A34B62" w:rsidRPr="00E3482E" w:rsidRDefault="00A34B62" w:rsidP="00A34B62">
      <w:pPr>
        <w:spacing w:before="120"/>
        <w:jc w:val="both"/>
        <w:rPr>
          <w:color w:val="000000"/>
        </w:rPr>
      </w:pPr>
      <w:r w:rsidRPr="00E3482E">
        <w:rPr>
          <w:color w:val="000000"/>
        </w:rPr>
        <w:t xml:space="preserve">The ADRs listed in Table </w:t>
      </w:r>
      <w:r w:rsidR="00CE4CAE" w:rsidRPr="00E3482E">
        <w:rPr>
          <w:color w:val="000000"/>
        </w:rPr>
        <w:t>21</w:t>
      </w:r>
      <w:r w:rsidRPr="00E3482E">
        <w:rPr>
          <w:color w:val="000000"/>
        </w:rPr>
        <w:t xml:space="preserve"> were all adverse events which occurred at an incidence of ≥ 5% in the rituximab-treated group. The safety profile from long-term use of rituximab to treat GPA/MPA has not been established.</w:t>
      </w:r>
    </w:p>
    <w:p w:rsidR="00500FD0" w:rsidRPr="00E3482E" w:rsidRDefault="00500FD0" w:rsidP="00500FD0">
      <w:pPr>
        <w:pStyle w:val="Tabletitle"/>
        <w:keepNext/>
        <w:spacing w:before="200" w:after="60"/>
        <w:ind w:left="1021" w:hanging="1021"/>
        <w:rPr>
          <w:color w:val="000000"/>
          <w:sz w:val="23"/>
          <w:szCs w:val="23"/>
        </w:rPr>
      </w:pPr>
      <w:r w:rsidRPr="00E3482E">
        <w:rPr>
          <w:color w:val="000000"/>
          <w:sz w:val="23"/>
          <w:szCs w:val="23"/>
        </w:rPr>
        <w:t xml:space="preserve">Table </w:t>
      </w:r>
      <w:r w:rsidR="00CE4CAE" w:rsidRPr="00E3482E">
        <w:rPr>
          <w:color w:val="000000"/>
          <w:sz w:val="23"/>
          <w:szCs w:val="23"/>
        </w:rPr>
        <w:t>21</w:t>
      </w:r>
      <w:r w:rsidRPr="00E3482E">
        <w:rPr>
          <w:color w:val="000000"/>
          <w:sz w:val="23"/>
          <w:szCs w:val="23"/>
        </w:rPr>
        <w:t>:</w:t>
      </w:r>
      <w:r w:rsidRPr="00E3482E">
        <w:rPr>
          <w:color w:val="000000"/>
          <w:sz w:val="23"/>
          <w:szCs w:val="23"/>
        </w:rPr>
        <w:tab/>
      </w:r>
      <w:r w:rsidR="00CE75ED" w:rsidRPr="00E3482E">
        <w:rPr>
          <w:color w:val="000000"/>
          <w:sz w:val="23"/>
          <w:szCs w:val="23"/>
        </w:rPr>
        <w:t>Adverse d</w:t>
      </w:r>
      <w:r w:rsidRPr="00E3482E">
        <w:rPr>
          <w:color w:val="000000"/>
          <w:sz w:val="23"/>
          <w:szCs w:val="23"/>
        </w:rPr>
        <w:t xml:space="preserve">rug </w:t>
      </w:r>
      <w:r w:rsidR="00CE75ED" w:rsidRPr="00E3482E">
        <w:rPr>
          <w:color w:val="000000"/>
          <w:sz w:val="23"/>
          <w:szCs w:val="23"/>
        </w:rPr>
        <w:t>r</w:t>
      </w:r>
      <w:r w:rsidRPr="00E3482E">
        <w:rPr>
          <w:color w:val="000000"/>
          <w:sz w:val="23"/>
          <w:szCs w:val="23"/>
        </w:rPr>
        <w:t>eactions occurring in ≥ 5% of patients receiving rituximab, and at a higher frequency than cyclophosphamide, in the pivotal study at 6-months</w:t>
      </w:r>
      <w:r w:rsidRPr="00E3482E">
        <w:rPr>
          <w:color w:val="000000"/>
          <w:vertAlign w:val="superscript"/>
        </w:rPr>
        <w:t>*</w:t>
      </w:r>
    </w:p>
    <w:tbl>
      <w:tblPr>
        <w:tblW w:w="96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8"/>
        <w:gridCol w:w="2268"/>
        <w:gridCol w:w="2127"/>
      </w:tblGrid>
      <w:tr w:rsidR="00500FD0" w:rsidRPr="00E3482E" w:rsidTr="005C295B">
        <w:trPr>
          <w:tblHeader/>
        </w:trPr>
        <w:tc>
          <w:tcPr>
            <w:tcW w:w="5208" w:type="dxa"/>
            <w:tcBorders>
              <w:top w:val="single" w:sz="4" w:space="0" w:color="auto"/>
              <w:left w:val="single" w:sz="4" w:space="0" w:color="auto"/>
              <w:bottom w:val="single" w:sz="4" w:space="0" w:color="auto"/>
              <w:right w:val="single" w:sz="4" w:space="0" w:color="auto"/>
            </w:tcBorders>
            <w:shd w:val="clear" w:color="auto" w:fill="F2F2F2"/>
          </w:tcPr>
          <w:p w:rsidR="00500FD0" w:rsidRPr="00E3482E" w:rsidRDefault="00500FD0" w:rsidP="00500FD0">
            <w:pPr>
              <w:pStyle w:val="Text"/>
              <w:spacing w:before="40" w:line="259" w:lineRule="auto"/>
              <w:jc w:val="center"/>
              <w:rPr>
                <w:b/>
                <w:color w:val="000000"/>
                <w:sz w:val="22"/>
                <w:szCs w:val="22"/>
              </w:rPr>
            </w:pPr>
            <w:r w:rsidRPr="00E3482E">
              <w:rPr>
                <w:b/>
                <w:color w:val="000000"/>
                <w:sz w:val="22"/>
                <w:szCs w:val="22"/>
              </w:rPr>
              <w:t>Adverse reactions</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00FD0" w:rsidRPr="00E3482E" w:rsidRDefault="00500FD0" w:rsidP="00306F35">
            <w:pPr>
              <w:pStyle w:val="Text"/>
              <w:spacing w:before="20" w:line="259" w:lineRule="auto"/>
              <w:jc w:val="center"/>
              <w:rPr>
                <w:b/>
                <w:bCs/>
                <w:color w:val="000000"/>
                <w:sz w:val="22"/>
                <w:szCs w:val="22"/>
              </w:rPr>
            </w:pPr>
            <w:r w:rsidRPr="00E3482E">
              <w:rPr>
                <w:b/>
                <w:bCs/>
                <w:color w:val="000000"/>
                <w:sz w:val="22"/>
                <w:szCs w:val="22"/>
              </w:rPr>
              <w:t>Rituximab</w:t>
            </w:r>
          </w:p>
          <w:p w:rsidR="00500FD0" w:rsidRPr="00E3482E" w:rsidRDefault="00500FD0" w:rsidP="00500FD0">
            <w:pPr>
              <w:pStyle w:val="Text"/>
              <w:spacing w:before="0" w:line="259" w:lineRule="auto"/>
              <w:jc w:val="center"/>
              <w:rPr>
                <w:bCs/>
                <w:color w:val="000000"/>
                <w:sz w:val="22"/>
                <w:szCs w:val="22"/>
              </w:rPr>
            </w:pPr>
            <w:r w:rsidRPr="00E3482E">
              <w:rPr>
                <w:bCs/>
                <w:color w:val="000000"/>
                <w:sz w:val="22"/>
                <w:szCs w:val="22"/>
              </w:rPr>
              <w:t>(n=99)</w:t>
            </w:r>
          </w:p>
        </w:tc>
        <w:tc>
          <w:tcPr>
            <w:tcW w:w="2127" w:type="dxa"/>
            <w:tcBorders>
              <w:top w:val="single" w:sz="4" w:space="0" w:color="auto"/>
              <w:left w:val="single" w:sz="4" w:space="0" w:color="auto"/>
              <w:bottom w:val="single" w:sz="4" w:space="0" w:color="auto"/>
              <w:right w:val="single" w:sz="4" w:space="0" w:color="auto"/>
            </w:tcBorders>
            <w:shd w:val="clear" w:color="auto" w:fill="F2F2F2"/>
          </w:tcPr>
          <w:p w:rsidR="00500FD0" w:rsidRPr="00E3482E" w:rsidRDefault="00500FD0" w:rsidP="00306F35">
            <w:pPr>
              <w:pStyle w:val="Text"/>
              <w:spacing w:before="20" w:line="259" w:lineRule="auto"/>
              <w:jc w:val="center"/>
              <w:rPr>
                <w:b/>
                <w:color w:val="000000"/>
                <w:sz w:val="22"/>
                <w:szCs w:val="22"/>
              </w:rPr>
            </w:pPr>
            <w:r w:rsidRPr="00E3482E">
              <w:rPr>
                <w:b/>
                <w:color w:val="000000"/>
                <w:sz w:val="22"/>
                <w:szCs w:val="22"/>
              </w:rPr>
              <w:t>CYC</w:t>
            </w:r>
          </w:p>
          <w:p w:rsidR="00500FD0" w:rsidRPr="00E3482E" w:rsidRDefault="00500FD0" w:rsidP="00500FD0">
            <w:pPr>
              <w:pStyle w:val="Text"/>
              <w:spacing w:before="0" w:line="259" w:lineRule="auto"/>
              <w:jc w:val="center"/>
              <w:rPr>
                <w:color w:val="000000"/>
                <w:sz w:val="22"/>
                <w:szCs w:val="22"/>
              </w:rPr>
            </w:pPr>
            <w:r w:rsidRPr="00E3482E">
              <w:rPr>
                <w:color w:val="000000"/>
                <w:sz w:val="22"/>
                <w:szCs w:val="22"/>
              </w:rPr>
              <w:t>(n=98)</w:t>
            </w:r>
          </w:p>
        </w:tc>
      </w:tr>
      <w:tr w:rsidR="00500FD0" w:rsidRPr="00E3482E" w:rsidTr="005C295B">
        <w:tc>
          <w:tcPr>
            <w:tcW w:w="520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306F35">
            <w:pPr>
              <w:pStyle w:val="Text"/>
              <w:spacing w:before="40" w:after="20" w:line="269" w:lineRule="auto"/>
              <w:jc w:val="left"/>
              <w:rPr>
                <w:b/>
                <w:color w:val="000000"/>
                <w:sz w:val="22"/>
                <w:szCs w:val="22"/>
              </w:rPr>
            </w:pPr>
            <w:r w:rsidRPr="00E3482E">
              <w:rPr>
                <w:b/>
                <w:color w:val="000000"/>
                <w:sz w:val="22"/>
                <w:szCs w:val="22"/>
              </w:rPr>
              <w:t>Blood and lymphatic system disorders</w:t>
            </w:r>
          </w:p>
          <w:p w:rsidR="00500FD0" w:rsidRPr="00E3482E" w:rsidRDefault="00500FD0" w:rsidP="005C295B">
            <w:pPr>
              <w:pStyle w:val="Text"/>
              <w:spacing w:before="20" w:after="20" w:line="269" w:lineRule="auto"/>
              <w:ind w:left="283"/>
              <w:jc w:val="left"/>
              <w:rPr>
                <w:color w:val="000000"/>
                <w:sz w:val="22"/>
                <w:szCs w:val="22"/>
              </w:rPr>
            </w:pPr>
            <w:r w:rsidRPr="00E3482E">
              <w:rPr>
                <w:color w:val="000000"/>
                <w:sz w:val="22"/>
                <w:szCs w:val="22"/>
              </w:rPr>
              <w:t>Thrombocytopenia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center"/>
              <w:rPr>
                <w:color w:val="000000"/>
                <w:sz w:val="22"/>
                <w:szCs w:val="22"/>
              </w:rPr>
            </w:pP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306F35">
            <w:pPr>
              <w:pStyle w:val="Text"/>
              <w:spacing w:before="40" w:line="269" w:lineRule="auto"/>
              <w:jc w:val="left"/>
              <w:rPr>
                <w:color w:val="000000"/>
                <w:sz w:val="22"/>
                <w:szCs w:val="22"/>
              </w:rPr>
            </w:pPr>
          </w:p>
          <w:p w:rsidR="00500FD0" w:rsidRPr="00E3482E" w:rsidRDefault="00500FD0" w:rsidP="005C295B">
            <w:pPr>
              <w:pStyle w:val="Text"/>
              <w:spacing w:before="20" w:line="269" w:lineRule="auto"/>
              <w:jc w:val="center"/>
              <w:rPr>
                <w:color w:val="000000"/>
                <w:sz w:val="22"/>
                <w:szCs w:val="22"/>
              </w:rPr>
            </w:pPr>
            <w:r w:rsidRPr="00E3482E">
              <w:rPr>
                <w:color w:val="000000"/>
                <w:sz w:val="22"/>
                <w:szCs w:val="22"/>
              </w:rPr>
              <w:t>3%</w:t>
            </w:r>
          </w:p>
        </w:tc>
      </w:tr>
      <w:tr w:rsidR="00500FD0" w:rsidRPr="00E3482E" w:rsidTr="005C295B">
        <w:tc>
          <w:tcPr>
            <w:tcW w:w="520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rPr>
                <w:b/>
                <w:color w:val="000000"/>
                <w:sz w:val="22"/>
                <w:szCs w:val="22"/>
              </w:rPr>
            </w:pPr>
            <w:r w:rsidRPr="00E3482E">
              <w:rPr>
                <w:b/>
                <w:color w:val="000000"/>
                <w:sz w:val="22"/>
                <w:szCs w:val="22"/>
              </w:rPr>
              <w:t>Gastrointestinal disorders</w:t>
            </w:r>
          </w:p>
          <w:p w:rsidR="00500FD0" w:rsidRPr="00E3482E" w:rsidRDefault="00500FD0" w:rsidP="005C295B">
            <w:pPr>
              <w:pStyle w:val="Text"/>
              <w:spacing w:before="20" w:after="20" w:line="269" w:lineRule="auto"/>
              <w:ind w:left="283"/>
              <w:rPr>
                <w:color w:val="000000"/>
                <w:sz w:val="22"/>
                <w:szCs w:val="22"/>
              </w:rPr>
            </w:pPr>
            <w:r w:rsidRPr="00E3482E">
              <w:rPr>
                <w:color w:val="000000"/>
                <w:sz w:val="22"/>
                <w:szCs w:val="22"/>
              </w:rPr>
              <w:t>Diarrhoea</w:t>
            </w:r>
          </w:p>
          <w:p w:rsidR="00500FD0" w:rsidRPr="00E3482E" w:rsidRDefault="00500FD0" w:rsidP="005C295B">
            <w:pPr>
              <w:pStyle w:val="Text"/>
              <w:spacing w:before="20" w:after="20" w:line="269" w:lineRule="auto"/>
              <w:ind w:left="283"/>
              <w:rPr>
                <w:color w:val="000000"/>
                <w:sz w:val="22"/>
                <w:szCs w:val="22"/>
              </w:rPr>
            </w:pPr>
            <w:r w:rsidRPr="00E3482E">
              <w:rPr>
                <w:color w:val="000000"/>
                <w:sz w:val="22"/>
                <w:szCs w:val="22"/>
              </w:rPr>
              <w:t>Dyspepsia</w:t>
            </w:r>
          </w:p>
          <w:p w:rsidR="00500FD0" w:rsidRPr="00E3482E" w:rsidRDefault="00500FD0" w:rsidP="005C295B">
            <w:pPr>
              <w:pStyle w:val="Text"/>
              <w:spacing w:before="20" w:after="20" w:line="269" w:lineRule="auto"/>
              <w:ind w:left="283"/>
              <w:jc w:val="left"/>
              <w:rPr>
                <w:b/>
                <w:color w:val="000000"/>
                <w:sz w:val="22"/>
                <w:szCs w:val="22"/>
              </w:rPr>
            </w:pPr>
            <w:r w:rsidRPr="00E3482E">
              <w:rPr>
                <w:color w:val="000000"/>
                <w:sz w:val="22"/>
                <w:szCs w:val="22"/>
              </w:rPr>
              <w:t>Constipation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center"/>
              <w:rPr>
                <w:color w:val="000000"/>
                <w:sz w:val="22"/>
                <w:szCs w:val="22"/>
              </w:rPr>
            </w:pP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18%</w:t>
            </w: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6%</w:t>
            </w: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center"/>
              <w:rPr>
                <w:color w:val="000000"/>
                <w:sz w:val="22"/>
                <w:szCs w:val="22"/>
              </w:rPr>
            </w:pP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12%</w:t>
            </w: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5%</w:t>
            </w: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1%</w:t>
            </w:r>
          </w:p>
        </w:tc>
      </w:tr>
      <w:tr w:rsidR="00500FD0" w:rsidRPr="00E3482E" w:rsidTr="005C295B">
        <w:tc>
          <w:tcPr>
            <w:tcW w:w="520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left"/>
              <w:rPr>
                <w:b/>
                <w:color w:val="000000"/>
                <w:sz w:val="22"/>
                <w:szCs w:val="22"/>
              </w:rPr>
            </w:pPr>
            <w:r w:rsidRPr="00E3482E">
              <w:rPr>
                <w:b/>
                <w:color w:val="000000"/>
                <w:sz w:val="22"/>
                <w:szCs w:val="22"/>
              </w:rPr>
              <w:t>General disorders and administration site conditions</w:t>
            </w:r>
          </w:p>
          <w:p w:rsidR="00500FD0" w:rsidRPr="00E3482E" w:rsidRDefault="00500FD0" w:rsidP="005C295B">
            <w:pPr>
              <w:pStyle w:val="Text"/>
              <w:spacing w:before="20" w:after="20" w:line="269" w:lineRule="auto"/>
              <w:ind w:left="283"/>
              <w:jc w:val="left"/>
              <w:rPr>
                <w:color w:val="000000"/>
                <w:sz w:val="22"/>
                <w:szCs w:val="22"/>
              </w:rPr>
            </w:pPr>
            <w:r w:rsidRPr="00E3482E">
              <w:rPr>
                <w:color w:val="000000"/>
                <w:sz w:val="22"/>
                <w:szCs w:val="22"/>
              </w:rPr>
              <w:t>Peripheral oedema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center"/>
              <w:rPr>
                <w:color w:val="000000"/>
                <w:sz w:val="22"/>
                <w:szCs w:val="22"/>
              </w:rPr>
            </w:pP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16%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center"/>
              <w:rPr>
                <w:color w:val="000000"/>
                <w:sz w:val="22"/>
                <w:szCs w:val="22"/>
              </w:rPr>
            </w:pP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9%</w:t>
            </w:r>
          </w:p>
        </w:tc>
      </w:tr>
      <w:tr w:rsidR="00500FD0" w:rsidRPr="00E3482E" w:rsidTr="005C295B">
        <w:tc>
          <w:tcPr>
            <w:tcW w:w="520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left"/>
              <w:rPr>
                <w:b/>
                <w:color w:val="000000"/>
                <w:sz w:val="22"/>
                <w:szCs w:val="22"/>
              </w:rPr>
            </w:pPr>
            <w:r w:rsidRPr="00E3482E">
              <w:rPr>
                <w:b/>
                <w:color w:val="000000"/>
                <w:sz w:val="22"/>
                <w:szCs w:val="22"/>
              </w:rPr>
              <w:t>Immune system disorders</w:t>
            </w:r>
          </w:p>
          <w:p w:rsidR="00500FD0" w:rsidRPr="00E3482E" w:rsidRDefault="00500FD0" w:rsidP="005C295B">
            <w:pPr>
              <w:pStyle w:val="Text"/>
              <w:spacing w:before="20" w:after="20" w:line="269" w:lineRule="auto"/>
              <w:ind w:left="283"/>
              <w:jc w:val="left"/>
              <w:rPr>
                <w:color w:val="000000"/>
                <w:sz w:val="22"/>
                <w:szCs w:val="22"/>
              </w:rPr>
            </w:pPr>
            <w:r w:rsidRPr="00E3482E">
              <w:rPr>
                <w:color w:val="000000"/>
                <w:sz w:val="22"/>
                <w:szCs w:val="22"/>
              </w:rPr>
              <w:t>Infusion related reactions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center"/>
              <w:rPr>
                <w:color w:val="000000"/>
                <w:sz w:val="22"/>
                <w:szCs w:val="22"/>
              </w:rPr>
            </w:pP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00FD0" w:rsidRPr="00E3482E" w:rsidRDefault="00500FD0" w:rsidP="00500FD0">
            <w:pPr>
              <w:pStyle w:val="Text"/>
              <w:spacing w:before="40" w:after="20" w:line="269" w:lineRule="auto"/>
              <w:jc w:val="center"/>
              <w:rPr>
                <w:color w:val="000000"/>
                <w:sz w:val="22"/>
                <w:szCs w:val="22"/>
              </w:rPr>
            </w:pPr>
          </w:p>
          <w:p w:rsidR="00500FD0" w:rsidRPr="00E3482E" w:rsidRDefault="00500FD0" w:rsidP="005C295B">
            <w:pPr>
              <w:pStyle w:val="Text"/>
              <w:spacing w:before="20" w:after="20" w:line="269" w:lineRule="auto"/>
              <w:jc w:val="center"/>
              <w:rPr>
                <w:color w:val="000000"/>
                <w:sz w:val="22"/>
                <w:szCs w:val="22"/>
              </w:rPr>
            </w:pPr>
            <w:r w:rsidRPr="00E3482E">
              <w:rPr>
                <w:color w:val="000000"/>
                <w:sz w:val="22"/>
                <w:szCs w:val="22"/>
              </w:rPr>
              <w:t>2%</w:t>
            </w:r>
          </w:p>
        </w:tc>
      </w:tr>
      <w:tr w:rsidR="005C295B" w:rsidRPr="00E3482E" w:rsidTr="005C295B">
        <w:tc>
          <w:tcPr>
            <w:tcW w:w="520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rPr>
                <w:b/>
                <w:color w:val="000000"/>
                <w:sz w:val="22"/>
                <w:szCs w:val="22"/>
              </w:rPr>
            </w:pPr>
            <w:r w:rsidRPr="00E3482E">
              <w:rPr>
                <w:b/>
                <w:color w:val="000000"/>
                <w:sz w:val="22"/>
                <w:szCs w:val="22"/>
              </w:rPr>
              <w:t>Infections and infestations</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Urinary tract infection</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Bronchitis</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Herpes zoster</w:t>
            </w:r>
          </w:p>
          <w:p w:rsidR="005C295B" w:rsidRPr="00E3482E" w:rsidRDefault="005C295B" w:rsidP="005C295B">
            <w:pPr>
              <w:pStyle w:val="Text"/>
              <w:spacing w:before="20" w:after="20" w:line="269" w:lineRule="auto"/>
              <w:ind w:left="283"/>
              <w:jc w:val="left"/>
              <w:rPr>
                <w:b/>
                <w:color w:val="000000"/>
                <w:sz w:val="22"/>
                <w:szCs w:val="22"/>
              </w:rPr>
            </w:pPr>
            <w:proofErr w:type="spellStart"/>
            <w:r w:rsidRPr="00E3482E">
              <w:rPr>
                <w:color w:val="000000"/>
                <w:sz w:val="22"/>
                <w:szCs w:val="22"/>
              </w:rPr>
              <w:t>Nasopharyngitis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7%</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5%</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5%</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3%</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2%</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2%</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4%</w:t>
            </w:r>
          </w:p>
        </w:tc>
      </w:tr>
      <w:tr w:rsidR="005C295B" w:rsidRPr="00E3482E" w:rsidTr="005C295B">
        <w:tc>
          <w:tcPr>
            <w:tcW w:w="520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left"/>
              <w:rPr>
                <w:b/>
                <w:color w:val="000000"/>
                <w:sz w:val="22"/>
                <w:szCs w:val="22"/>
              </w:rPr>
            </w:pPr>
            <w:r w:rsidRPr="00E3482E">
              <w:rPr>
                <w:b/>
                <w:color w:val="000000"/>
                <w:sz w:val="22"/>
                <w:szCs w:val="22"/>
              </w:rPr>
              <w:t>Investigations</w:t>
            </w:r>
          </w:p>
          <w:p w:rsidR="005C295B" w:rsidRPr="00E3482E" w:rsidRDefault="005C295B" w:rsidP="005C295B">
            <w:pPr>
              <w:pStyle w:val="Text"/>
              <w:spacing w:before="20" w:after="20" w:line="269" w:lineRule="auto"/>
              <w:ind w:left="283"/>
              <w:jc w:val="left"/>
              <w:rPr>
                <w:color w:val="000000"/>
                <w:sz w:val="22"/>
                <w:szCs w:val="22"/>
              </w:rPr>
            </w:pPr>
            <w:r w:rsidRPr="00E3482E">
              <w:rPr>
                <w:color w:val="000000"/>
                <w:sz w:val="22"/>
                <w:szCs w:val="22"/>
              </w:rPr>
              <w:lastRenderedPageBreak/>
              <w:t>Decreased haemoglobin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lastRenderedPageBreak/>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lastRenderedPageBreak/>
              <w:t>4%</w:t>
            </w:r>
          </w:p>
        </w:tc>
      </w:tr>
      <w:tr w:rsidR="005C295B" w:rsidRPr="00E3482E" w:rsidTr="005C295B">
        <w:tc>
          <w:tcPr>
            <w:tcW w:w="520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left"/>
              <w:rPr>
                <w:b/>
                <w:color w:val="000000"/>
                <w:sz w:val="22"/>
                <w:szCs w:val="22"/>
              </w:rPr>
            </w:pPr>
            <w:r w:rsidRPr="00E3482E">
              <w:rPr>
                <w:b/>
                <w:color w:val="000000"/>
                <w:sz w:val="22"/>
                <w:szCs w:val="22"/>
              </w:rPr>
              <w:lastRenderedPageBreak/>
              <w:t>Metabolism and nutrition disorders</w:t>
            </w:r>
          </w:p>
          <w:p w:rsidR="005C295B" w:rsidRPr="00E3482E" w:rsidRDefault="005C295B" w:rsidP="005C295B">
            <w:pPr>
              <w:pStyle w:val="Text"/>
              <w:spacing w:before="20" w:after="20" w:line="269" w:lineRule="auto"/>
              <w:ind w:left="283"/>
              <w:jc w:val="left"/>
              <w:rPr>
                <w:color w:val="000000"/>
                <w:sz w:val="22"/>
                <w:szCs w:val="22"/>
              </w:rPr>
            </w:pPr>
            <w:r w:rsidRPr="00E3482E">
              <w:rPr>
                <w:color w:val="000000"/>
                <w:sz w:val="22"/>
                <w:szCs w:val="22"/>
              </w:rPr>
              <w:t>Hypokalaemia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2%</w:t>
            </w:r>
          </w:p>
        </w:tc>
      </w:tr>
      <w:tr w:rsidR="005C295B" w:rsidRPr="00E3482E" w:rsidTr="005C295B">
        <w:trPr>
          <w:cantSplit/>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rPr>
                <w:b/>
                <w:color w:val="000000"/>
                <w:sz w:val="22"/>
                <w:szCs w:val="22"/>
              </w:rPr>
            </w:pPr>
            <w:r w:rsidRPr="00E3482E">
              <w:rPr>
                <w:b/>
                <w:color w:val="000000"/>
                <w:sz w:val="22"/>
                <w:szCs w:val="22"/>
              </w:rPr>
              <w:t>Musculoskeletal and connective tissue disorders</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Muscle spasm</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Arthralgia</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Back pain</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Muscle weakness</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Musculoskeletal pain</w:t>
            </w:r>
          </w:p>
          <w:p w:rsidR="005C295B" w:rsidRPr="00E3482E" w:rsidRDefault="005C295B" w:rsidP="005C295B">
            <w:pPr>
              <w:pStyle w:val="Text"/>
              <w:spacing w:before="20" w:after="20" w:line="269" w:lineRule="auto"/>
              <w:ind w:left="283"/>
              <w:jc w:val="left"/>
              <w:rPr>
                <w:b/>
                <w:color w:val="000000"/>
                <w:sz w:val="22"/>
                <w:szCs w:val="22"/>
              </w:rPr>
            </w:pPr>
            <w:r w:rsidRPr="00E3482E">
              <w:rPr>
                <w:color w:val="000000"/>
                <w:sz w:val="22"/>
                <w:szCs w:val="22"/>
              </w:rPr>
              <w:t>Pain in extremities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18%</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15%</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10%</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5%</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5%</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17%</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10%</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6%</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4%</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0%</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3%</w:t>
            </w:r>
          </w:p>
        </w:tc>
      </w:tr>
      <w:tr w:rsidR="005C295B" w:rsidRPr="00E3482E" w:rsidTr="005C295B">
        <w:trPr>
          <w:cantSplit/>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rPr>
                <w:b/>
                <w:color w:val="000000"/>
                <w:sz w:val="22"/>
                <w:szCs w:val="22"/>
              </w:rPr>
            </w:pPr>
            <w:r w:rsidRPr="00E3482E">
              <w:rPr>
                <w:b/>
                <w:color w:val="000000"/>
                <w:sz w:val="22"/>
                <w:szCs w:val="22"/>
              </w:rPr>
              <w:t>Nervous system disorders</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Dizziness</w:t>
            </w:r>
          </w:p>
          <w:p w:rsidR="005C295B" w:rsidRPr="00E3482E" w:rsidRDefault="005C295B" w:rsidP="005C295B">
            <w:pPr>
              <w:pStyle w:val="Text"/>
              <w:spacing w:before="20" w:after="20" w:line="269" w:lineRule="auto"/>
              <w:ind w:left="283"/>
              <w:jc w:val="left"/>
              <w:rPr>
                <w:b/>
                <w:color w:val="000000"/>
                <w:sz w:val="22"/>
                <w:szCs w:val="22"/>
              </w:rPr>
            </w:pPr>
            <w:r w:rsidRPr="00E3482E">
              <w:rPr>
                <w:color w:val="000000"/>
                <w:sz w:val="22"/>
                <w:szCs w:val="22"/>
              </w:rPr>
              <w:t>Tremor</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10%</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9%</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6%</w:t>
            </w:r>
          </w:p>
        </w:tc>
      </w:tr>
      <w:tr w:rsidR="005C295B" w:rsidRPr="00E3482E" w:rsidTr="005C295B">
        <w:trPr>
          <w:cantSplit/>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left"/>
              <w:rPr>
                <w:b/>
                <w:color w:val="000000"/>
                <w:sz w:val="22"/>
                <w:szCs w:val="22"/>
              </w:rPr>
            </w:pPr>
            <w:r w:rsidRPr="00E3482E">
              <w:rPr>
                <w:b/>
                <w:color w:val="000000"/>
                <w:sz w:val="22"/>
                <w:szCs w:val="22"/>
              </w:rPr>
              <w:t>Psychiatric disorders</w:t>
            </w:r>
          </w:p>
          <w:p w:rsidR="005C295B" w:rsidRPr="00E3482E" w:rsidRDefault="005C295B" w:rsidP="005C295B">
            <w:pPr>
              <w:pStyle w:val="Text"/>
              <w:spacing w:before="20" w:after="20" w:line="269" w:lineRule="auto"/>
              <w:ind w:left="283"/>
              <w:jc w:val="left"/>
              <w:rPr>
                <w:color w:val="000000"/>
                <w:sz w:val="22"/>
                <w:szCs w:val="22"/>
              </w:rPr>
            </w:pPr>
            <w:r w:rsidRPr="00E3482E">
              <w:rPr>
                <w:color w:val="000000"/>
                <w:sz w:val="22"/>
                <w:szCs w:val="22"/>
              </w:rPr>
              <w:t>Insomnia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13%</w:t>
            </w:r>
          </w:p>
        </w:tc>
      </w:tr>
      <w:tr w:rsidR="005C295B" w:rsidRPr="00E3482E" w:rsidTr="005C295B">
        <w:trPr>
          <w:cantSplit/>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rPr>
                <w:b/>
                <w:color w:val="000000"/>
                <w:sz w:val="22"/>
                <w:szCs w:val="22"/>
              </w:rPr>
            </w:pPr>
            <w:r w:rsidRPr="00E3482E">
              <w:rPr>
                <w:b/>
                <w:color w:val="000000"/>
                <w:sz w:val="22"/>
                <w:szCs w:val="22"/>
              </w:rPr>
              <w:t>Respiratory, thoracic and mediastinal disorders</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Cough</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Dyspnoea</w:t>
            </w:r>
          </w:p>
          <w:p w:rsidR="005C295B" w:rsidRPr="00E3482E" w:rsidRDefault="005C295B" w:rsidP="005C295B">
            <w:pPr>
              <w:pStyle w:val="Text"/>
              <w:spacing w:before="20" w:after="20" w:line="269" w:lineRule="auto"/>
              <w:ind w:left="283"/>
              <w:rPr>
                <w:color w:val="000000"/>
                <w:sz w:val="22"/>
                <w:szCs w:val="22"/>
              </w:rPr>
            </w:pPr>
            <w:r w:rsidRPr="00E3482E">
              <w:rPr>
                <w:color w:val="000000"/>
                <w:sz w:val="22"/>
                <w:szCs w:val="22"/>
              </w:rPr>
              <w:t>Epistaxis</w:t>
            </w:r>
          </w:p>
          <w:p w:rsidR="005C295B" w:rsidRPr="00E3482E" w:rsidRDefault="005C295B" w:rsidP="005C295B">
            <w:pPr>
              <w:pStyle w:val="Text"/>
              <w:spacing w:before="20" w:after="20" w:line="269" w:lineRule="auto"/>
              <w:ind w:left="283"/>
              <w:jc w:val="left"/>
              <w:rPr>
                <w:b/>
                <w:color w:val="000000"/>
                <w:sz w:val="22"/>
                <w:szCs w:val="22"/>
              </w:rPr>
            </w:pPr>
            <w:r w:rsidRPr="00E3482E">
              <w:rPr>
                <w:color w:val="000000"/>
                <w:sz w:val="22"/>
                <w:szCs w:val="22"/>
              </w:rPr>
              <w:t>Nasal congestion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12%</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11%</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11%</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5C295B" w:rsidRPr="00E3482E" w:rsidRDefault="005C295B" w:rsidP="005C295B">
            <w:pPr>
              <w:pStyle w:val="Text"/>
              <w:spacing w:before="40" w:after="20" w:line="269" w:lineRule="auto"/>
              <w:jc w:val="center"/>
              <w:rPr>
                <w:color w:val="000000"/>
                <w:sz w:val="22"/>
                <w:szCs w:val="22"/>
              </w:rPr>
            </w:pP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11%</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9%</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6%</w:t>
            </w:r>
          </w:p>
          <w:p w:rsidR="005C295B" w:rsidRPr="00E3482E" w:rsidRDefault="005C295B" w:rsidP="005C295B">
            <w:pPr>
              <w:pStyle w:val="Text"/>
              <w:spacing w:before="20" w:after="20" w:line="269" w:lineRule="auto"/>
              <w:jc w:val="center"/>
              <w:rPr>
                <w:color w:val="000000"/>
                <w:sz w:val="22"/>
                <w:szCs w:val="22"/>
              </w:rPr>
            </w:pPr>
            <w:r w:rsidRPr="00E3482E">
              <w:rPr>
                <w:color w:val="000000"/>
                <w:sz w:val="22"/>
                <w:szCs w:val="22"/>
              </w:rPr>
              <w:t>2%</w:t>
            </w:r>
          </w:p>
        </w:tc>
      </w:tr>
      <w:tr w:rsidR="00306F35" w:rsidRPr="00E3482E" w:rsidTr="005C295B">
        <w:trPr>
          <w:cantSplit/>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306F35" w:rsidRPr="00E3482E" w:rsidRDefault="00306F35" w:rsidP="00306F35">
            <w:pPr>
              <w:pStyle w:val="Text"/>
              <w:spacing w:before="40" w:after="20" w:line="269" w:lineRule="auto"/>
              <w:jc w:val="left"/>
              <w:rPr>
                <w:b/>
                <w:color w:val="000000"/>
                <w:sz w:val="22"/>
                <w:szCs w:val="22"/>
              </w:rPr>
            </w:pPr>
            <w:r w:rsidRPr="00E3482E">
              <w:rPr>
                <w:b/>
                <w:color w:val="000000"/>
                <w:sz w:val="22"/>
                <w:szCs w:val="22"/>
              </w:rPr>
              <w:t>Skin and subcutaneous tissue disorders</w:t>
            </w:r>
          </w:p>
          <w:p w:rsidR="00306F35" w:rsidRPr="00E3482E" w:rsidRDefault="00306F35" w:rsidP="00306F35">
            <w:pPr>
              <w:pStyle w:val="Text"/>
              <w:spacing w:before="20" w:after="20" w:line="269" w:lineRule="auto"/>
              <w:ind w:left="283"/>
              <w:jc w:val="left"/>
              <w:rPr>
                <w:color w:val="000000"/>
                <w:sz w:val="22"/>
                <w:szCs w:val="22"/>
              </w:rPr>
            </w:pPr>
            <w:r w:rsidRPr="00E3482E">
              <w:rPr>
                <w:color w:val="000000"/>
                <w:sz w:val="22"/>
                <w:szCs w:val="22"/>
              </w:rPr>
              <w:t>Acne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06F35" w:rsidRPr="00E3482E" w:rsidRDefault="00306F35" w:rsidP="00306F35">
            <w:pPr>
              <w:pStyle w:val="Text"/>
              <w:spacing w:before="40" w:after="20" w:line="269" w:lineRule="auto"/>
              <w:jc w:val="center"/>
              <w:rPr>
                <w:color w:val="000000"/>
                <w:sz w:val="22"/>
                <w:szCs w:val="22"/>
              </w:rPr>
            </w:pPr>
          </w:p>
          <w:p w:rsidR="00306F35" w:rsidRPr="00E3482E" w:rsidRDefault="00306F35" w:rsidP="00306F35">
            <w:pPr>
              <w:pStyle w:val="Text"/>
              <w:spacing w:before="20" w:after="20" w:line="269" w:lineRule="auto"/>
              <w:jc w:val="center"/>
              <w:rPr>
                <w:color w:val="000000"/>
                <w:sz w:val="22"/>
                <w:szCs w:val="22"/>
              </w:rPr>
            </w:pPr>
            <w:r w:rsidRPr="00E3482E">
              <w:rPr>
                <w:color w:val="000000"/>
                <w:sz w:val="22"/>
                <w:szCs w:val="22"/>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06F35" w:rsidRPr="00E3482E" w:rsidRDefault="00306F35" w:rsidP="00306F35">
            <w:pPr>
              <w:pStyle w:val="Text"/>
              <w:spacing w:before="40" w:after="20" w:line="269" w:lineRule="auto"/>
              <w:jc w:val="center"/>
              <w:rPr>
                <w:color w:val="000000"/>
                <w:sz w:val="22"/>
                <w:szCs w:val="22"/>
              </w:rPr>
            </w:pPr>
          </w:p>
          <w:p w:rsidR="00306F35" w:rsidRPr="00E3482E" w:rsidRDefault="00306F35" w:rsidP="00306F35">
            <w:pPr>
              <w:pStyle w:val="Text"/>
              <w:spacing w:before="20" w:after="20" w:line="269" w:lineRule="auto"/>
              <w:jc w:val="center"/>
              <w:rPr>
                <w:color w:val="000000"/>
                <w:sz w:val="22"/>
                <w:szCs w:val="22"/>
              </w:rPr>
            </w:pPr>
            <w:r w:rsidRPr="00E3482E">
              <w:rPr>
                <w:color w:val="000000"/>
                <w:sz w:val="22"/>
                <w:szCs w:val="22"/>
              </w:rPr>
              <w:t>5%</w:t>
            </w:r>
          </w:p>
        </w:tc>
      </w:tr>
      <w:tr w:rsidR="00306F35" w:rsidRPr="00E3482E" w:rsidTr="005C295B">
        <w:trPr>
          <w:cantSplit/>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306F35" w:rsidRPr="00E3482E" w:rsidRDefault="00306F35" w:rsidP="00306F35">
            <w:pPr>
              <w:pStyle w:val="Text"/>
              <w:spacing w:before="40" w:after="20" w:line="269" w:lineRule="auto"/>
              <w:rPr>
                <w:b/>
                <w:color w:val="000000"/>
                <w:sz w:val="22"/>
                <w:szCs w:val="22"/>
              </w:rPr>
            </w:pPr>
            <w:r w:rsidRPr="00E3482E">
              <w:rPr>
                <w:b/>
                <w:color w:val="000000"/>
                <w:sz w:val="22"/>
                <w:szCs w:val="22"/>
              </w:rPr>
              <w:t>Vascular disorders</w:t>
            </w:r>
          </w:p>
          <w:p w:rsidR="00306F35" w:rsidRPr="00E3482E" w:rsidRDefault="00306F35" w:rsidP="00306F35">
            <w:pPr>
              <w:pStyle w:val="Text"/>
              <w:spacing w:before="20" w:after="20" w:line="269" w:lineRule="auto"/>
              <w:ind w:left="283"/>
              <w:rPr>
                <w:color w:val="000000"/>
                <w:sz w:val="22"/>
                <w:szCs w:val="22"/>
              </w:rPr>
            </w:pPr>
            <w:r w:rsidRPr="00E3482E">
              <w:rPr>
                <w:color w:val="000000"/>
                <w:sz w:val="22"/>
                <w:szCs w:val="22"/>
              </w:rPr>
              <w:t>Hypertension</w:t>
            </w:r>
          </w:p>
          <w:p w:rsidR="00306F35" w:rsidRPr="00E3482E" w:rsidRDefault="00306F35" w:rsidP="00306F35">
            <w:pPr>
              <w:pStyle w:val="Text"/>
              <w:spacing w:before="20" w:after="20" w:line="269" w:lineRule="auto"/>
              <w:ind w:left="283"/>
              <w:jc w:val="left"/>
              <w:rPr>
                <w:b/>
                <w:color w:val="000000"/>
                <w:sz w:val="22"/>
                <w:szCs w:val="22"/>
              </w:rPr>
            </w:pPr>
            <w:r w:rsidRPr="00E3482E">
              <w:rPr>
                <w:color w:val="000000"/>
                <w:sz w:val="22"/>
                <w:szCs w:val="22"/>
              </w:rPr>
              <w:t>Flushing</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06F35" w:rsidRPr="00E3482E" w:rsidRDefault="00306F35" w:rsidP="00306F35">
            <w:pPr>
              <w:pStyle w:val="Text"/>
              <w:spacing w:before="40" w:after="20" w:line="269" w:lineRule="auto"/>
              <w:jc w:val="center"/>
              <w:rPr>
                <w:color w:val="000000"/>
                <w:sz w:val="22"/>
                <w:szCs w:val="22"/>
              </w:rPr>
            </w:pPr>
          </w:p>
          <w:p w:rsidR="00306F35" w:rsidRPr="00E3482E" w:rsidRDefault="00306F35" w:rsidP="00306F35">
            <w:pPr>
              <w:pStyle w:val="Text"/>
              <w:spacing w:before="20" w:after="20" w:line="269" w:lineRule="auto"/>
              <w:jc w:val="center"/>
              <w:rPr>
                <w:color w:val="000000"/>
                <w:sz w:val="22"/>
                <w:szCs w:val="22"/>
              </w:rPr>
            </w:pPr>
            <w:r w:rsidRPr="00E3482E">
              <w:rPr>
                <w:color w:val="000000"/>
                <w:sz w:val="22"/>
                <w:szCs w:val="22"/>
              </w:rPr>
              <w:t>12%</w:t>
            </w:r>
          </w:p>
          <w:p w:rsidR="00306F35" w:rsidRPr="00E3482E" w:rsidRDefault="00306F35" w:rsidP="00306F35">
            <w:pPr>
              <w:pStyle w:val="Text"/>
              <w:spacing w:before="20" w:after="20" w:line="269" w:lineRule="auto"/>
              <w:jc w:val="center"/>
              <w:rPr>
                <w:color w:val="000000"/>
                <w:sz w:val="22"/>
                <w:szCs w:val="22"/>
              </w:rPr>
            </w:pPr>
            <w:r w:rsidRPr="00E3482E">
              <w:rPr>
                <w:color w:val="000000"/>
                <w:sz w:val="22"/>
                <w:szCs w:val="22"/>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06F35" w:rsidRPr="00E3482E" w:rsidRDefault="00306F35" w:rsidP="00306F35">
            <w:pPr>
              <w:pStyle w:val="Text"/>
              <w:spacing w:before="40" w:after="20" w:line="269" w:lineRule="auto"/>
              <w:jc w:val="center"/>
              <w:rPr>
                <w:color w:val="000000"/>
                <w:sz w:val="22"/>
                <w:szCs w:val="22"/>
              </w:rPr>
            </w:pPr>
          </w:p>
          <w:p w:rsidR="00306F35" w:rsidRPr="00E3482E" w:rsidRDefault="00306F35" w:rsidP="00306F35">
            <w:pPr>
              <w:pStyle w:val="Text"/>
              <w:spacing w:before="20" w:after="20" w:line="269" w:lineRule="auto"/>
              <w:jc w:val="center"/>
              <w:rPr>
                <w:color w:val="000000"/>
                <w:sz w:val="22"/>
                <w:szCs w:val="22"/>
              </w:rPr>
            </w:pPr>
            <w:r w:rsidRPr="00E3482E">
              <w:rPr>
                <w:color w:val="000000"/>
                <w:sz w:val="22"/>
                <w:szCs w:val="22"/>
              </w:rPr>
              <w:t>5%</w:t>
            </w:r>
          </w:p>
          <w:p w:rsidR="00306F35" w:rsidRPr="00E3482E" w:rsidRDefault="00306F35" w:rsidP="00306F35">
            <w:pPr>
              <w:pStyle w:val="Text"/>
              <w:spacing w:before="20" w:after="20" w:line="269" w:lineRule="auto"/>
              <w:jc w:val="center"/>
              <w:rPr>
                <w:color w:val="000000"/>
                <w:sz w:val="22"/>
                <w:szCs w:val="22"/>
              </w:rPr>
            </w:pPr>
            <w:r w:rsidRPr="00E3482E">
              <w:rPr>
                <w:color w:val="000000"/>
                <w:sz w:val="22"/>
                <w:szCs w:val="22"/>
              </w:rPr>
              <w:t>4%</w:t>
            </w:r>
          </w:p>
        </w:tc>
      </w:tr>
    </w:tbl>
    <w:p w:rsidR="00306F35" w:rsidRPr="00E3482E" w:rsidRDefault="00306F35" w:rsidP="00306F35">
      <w:pPr>
        <w:pStyle w:val="Text"/>
        <w:keepNext/>
        <w:spacing w:before="60" w:line="259" w:lineRule="auto"/>
        <w:ind w:left="170" w:hanging="170"/>
        <w:rPr>
          <w:i/>
          <w:color w:val="000000"/>
          <w:sz w:val="20"/>
          <w:szCs w:val="20"/>
          <w:lang w:val="en-GB"/>
        </w:rPr>
      </w:pPr>
      <w:r w:rsidRPr="00E3482E">
        <w:rPr>
          <w:i/>
          <w:color w:val="000000"/>
          <w:sz w:val="20"/>
          <w:szCs w:val="20"/>
          <w:vertAlign w:val="superscript"/>
          <w:lang w:val="en-GB"/>
        </w:rPr>
        <w:t>*</w:t>
      </w:r>
      <w:r w:rsidRPr="00E3482E">
        <w:rPr>
          <w:i/>
          <w:color w:val="000000"/>
          <w:sz w:val="20"/>
          <w:szCs w:val="20"/>
          <w:lang w:val="en-GB"/>
        </w:rPr>
        <w:t xml:space="preserve"> The study design allowed for crossover or treatment by best medical judgment, and 13 patients in each treatment group received a second therapy during the 6 month study period.</w:t>
      </w:r>
    </w:p>
    <w:p w:rsidR="00306F35" w:rsidRPr="00E3482E" w:rsidRDefault="00306F35" w:rsidP="00306F35">
      <w:pPr>
        <w:spacing w:before="120"/>
        <w:jc w:val="both"/>
        <w:rPr>
          <w:color w:val="000000"/>
        </w:rPr>
      </w:pPr>
      <w:r w:rsidRPr="00E3482E">
        <w:rPr>
          <w:color w:val="000000"/>
        </w:rPr>
        <w:t xml:space="preserve">There was a higher incidence and rates of severe (Grade ≥ 3) and serious adverse events in older patients (aged ≥ 65 years) compared to younger patients (aged &lt; 65 years), primarily attributable to anaemia and </w:t>
      </w:r>
      <w:proofErr w:type="spellStart"/>
      <w:r w:rsidRPr="00E3482E">
        <w:rPr>
          <w:color w:val="000000"/>
        </w:rPr>
        <w:t>leucopenia</w:t>
      </w:r>
      <w:proofErr w:type="spellEnd"/>
      <w:r w:rsidRPr="00E3482E">
        <w:rPr>
          <w:color w:val="000000"/>
        </w:rPr>
        <w:t xml:space="preserve">, gastrointestinal disorders, and administrational site reactions. Deaths only occurred in older patients, with a similar incidence in the two treatment groups. Hospitalisations related to disease or study drug (per investigator’s opinion) occurred more frequently in older patients in the rituximab group, with no hospitalisations occurring in older patients in the CYC group. There was no clear or consistent trend in the rates of infections and serious infections in younger patients versus older patients in either treatment group (see </w:t>
      </w:r>
      <w:r w:rsidRPr="00E3482E">
        <w:rPr>
          <w:b/>
          <w:color w:val="000000"/>
        </w:rPr>
        <w:t>PRECAUTIONS</w:t>
      </w:r>
      <w:r w:rsidRPr="00E3482E">
        <w:rPr>
          <w:color w:val="000000"/>
        </w:rPr>
        <w:t>).</w:t>
      </w:r>
    </w:p>
    <w:p w:rsidR="00A34B62" w:rsidRPr="00E3482E" w:rsidRDefault="00306F35" w:rsidP="00306F35">
      <w:pPr>
        <w:spacing w:before="120"/>
        <w:jc w:val="both"/>
        <w:rPr>
          <w:color w:val="000000"/>
        </w:rPr>
      </w:pPr>
      <w:r w:rsidRPr="00E3482E">
        <w:rPr>
          <w:color w:val="000000"/>
        </w:rPr>
        <w:t xml:space="preserve">Patients with impaired renal function (glomerular filtration rate &lt; 74.71 mL/min) at baseline had an increased risk of anaemia, infections (pneumonia, urinary tract infection), serious infections, death and hospitalisation, regardless of study treatment arm (rituximab or CYC) (see </w:t>
      </w:r>
      <w:r w:rsidRPr="00E3482E">
        <w:rPr>
          <w:b/>
          <w:color w:val="000000"/>
        </w:rPr>
        <w:t>PRECAUTIONS</w:t>
      </w:r>
      <w:r w:rsidRPr="00E3482E">
        <w:rPr>
          <w:color w:val="000000"/>
        </w:rPr>
        <w:t>).</w:t>
      </w:r>
    </w:p>
    <w:p w:rsidR="00306F35" w:rsidRPr="00E3482E" w:rsidRDefault="00306F35" w:rsidP="00F5092E">
      <w:pPr>
        <w:pStyle w:val="Heading2"/>
      </w:pPr>
      <w:r w:rsidRPr="00E3482E">
        <w:lastRenderedPageBreak/>
        <w:t>Laboratory Abnormalities</w:t>
      </w:r>
    </w:p>
    <w:p w:rsidR="00306F35" w:rsidRPr="00E3482E" w:rsidRDefault="00306F35" w:rsidP="00306F35">
      <w:pPr>
        <w:spacing w:before="120"/>
        <w:jc w:val="both"/>
        <w:rPr>
          <w:color w:val="000000"/>
        </w:rPr>
      </w:pPr>
      <w:proofErr w:type="spellStart"/>
      <w:r w:rsidRPr="00E3482E">
        <w:rPr>
          <w:color w:val="000000"/>
        </w:rPr>
        <w:t>Hypogammaglobulinaemia</w:t>
      </w:r>
      <w:proofErr w:type="spellEnd"/>
      <w:r w:rsidRPr="00E3482E">
        <w:rPr>
          <w:color w:val="000000"/>
        </w:rPr>
        <w:t xml:space="preserve"> (IgA, IgG or IgM below the lower limit of normal) has been observed in GPA and MPA patients treated with rituximab. At 6 months, in the rituximab group, 27%, 58% and 51% of patients with normal Ig levels at baseline had low IgA, IgG and IgM levels, respectively compared to 25%, 50% and 46% in the CYC group. There was no increased rate in overall infections or serious infections in patients with low IgA, IgG or IgM.</w:t>
      </w:r>
    </w:p>
    <w:p w:rsidR="00A34B62" w:rsidRPr="00E3482E" w:rsidRDefault="00306F35" w:rsidP="00306F35">
      <w:pPr>
        <w:spacing w:before="120"/>
        <w:jc w:val="both"/>
        <w:rPr>
          <w:color w:val="000000"/>
        </w:rPr>
      </w:pPr>
      <w:r w:rsidRPr="00E3482E">
        <w:rPr>
          <w:color w:val="000000"/>
        </w:rPr>
        <w:t>In the active-controlled, randomised, double-blind, multicentre, non-inferiority study of rituximab in GPA and MPA, 24% of patients in the rituximab group (single course) and 23% of patients in the CYC group developed CTC grade 3 or greater neutropenia. Neutropenia was not associated with an observed increase in serious infection in rituximab-treated patients. The effect of multiple rituximab courses on the development of neutropenia in GPA and MPA patients has not been studied in clinical trials.</w:t>
      </w:r>
    </w:p>
    <w:p w:rsidR="00306F35" w:rsidRPr="00E3482E" w:rsidRDefault="00306F35" w:rsidP="00306F35">
      <w:pPr>
        <w:pStyle w:val="Heading6"/>
        <w:rPr>
          <w:color w:val="000000"/>
        </w:rPr>
      </w:pPr>
      <w:r w:rsidRPr="00E3482E">
        <w:rPr>
          <w:color w:val="000000"/>
        </w:rPr>
        <w:t>Further information on selected, serious adverse drug reactions</w:t>
      </w:r>
    </w:p>
    <w:p w:rsidR="00306F35" w:rsidRPr="00E3482E" w:rsidRDefault="00306F35" w:rsidP="00F5092E">
      <w:pPr>
        <w:pStyle w:val="Heading2"/>
      </w:pPr>
      <w:r w:rsidRPr="00E3482E">
        <w:t>Infusion-related reactions (IRRs)</w:t>
      </w:r>
    </w:p>
    <w:p w:rsidR="00B13079" w:rsidRPr="00E3482E" w:rsidRDefault="00306F35" w:rsidP="00B13079">
      <w:pPr>
        <w:spacing w:before="120"/>
        <w:jc w:val="both"/>
        <w:rPr>
          <w:color w:val="000000"/>
        </w:rPr>
      </w:pPr>
      <w:r w:rsidRPr="00E3482E">
        <w:rPr>
          <w:color w:val="000000"/>
        </w:rPr>
        <w:t>IRRs in the GPA and MPA clinical study were defined as any adverse event occurring within 24 hours of an infusion and considered to be infusion-related by investigators in the safety population. Ninety-nine patients were treated with rituximab and 12% experienced at least one IRR. All IRRs were CTC Grade 1 or 2. The most common IRRs included cytokine release syndrome, flushing, throat irritation, and tremor. Rituximab was given in combination with IV glucocorticoids which may reduce the incidence and severity of these events.</w:t>
      </w:r>
    </w:p>
    <w:p w:rsidR="00306F35" w:rsidRPr="00E3482E" w:rsidRDefault="00306F35" w:rsidP="00F5092E">
      <w:pPr>
        <w:pStyle w:val="Heading2"/>
      </w:pPr>
      <w:r w:rsidRPr="00E3482E">
        <w:t>Infections</w:t>
      </w:r>
    </w:p>
    <w:p w:rsidR="00306F35" w:rsidRPr="00E3482E" w:rsidRDefault="00306F35" w:rsidP="00B13079">
      <w:pPr>
        <w:spacing w:before="120"/>
        <w:jc w:val="both"/>
        <w:rPr>
          <w:color w:val="000000"/>
        </w:rPr>
      </w:pPr>
      <w:r w:rsidRPr="00E3482E">
        <w:rPr>
          <w:color w:val="000000"/>
        </w:rPr>
        <w:t>In the 99 rituximab-treated patients, the overall rate of infection was approximately 210 per 100 patient years (95% CI: 173-256). Infections were predominately mild to moderate and consisted mostly of upper respiratory tract infections, herpes zoster and urinary tract infections. The rate of serious infections was approximately 25 per 100 patient years. The most frequently reported serious infection in the rituximab group was pneumonia at a frequency of 4%. The overall frequency of opportunistic infections was low across both treatment groups. There was one serious opportunistic infection (</w:t>
      </w:r>
      <w:r w:rsidRPr="00E3482E">
        <w:rPr>
          <w:i/>
          <w:color w:val="000000"/>
        </w:rPr>
        <w:t xml:space="preserve">pneumocystis </w:t>
      </w:r>
      <w:proofErr w:type="spellStart"/>
      <w:r w:rsidRPr="00E3482E">
        <w:rPr>
          <w:i/>
          <w:color w:val="000000"/>
        </w:rPr>
        <w:t>jiroveci</w:t>
      </w:r>
      <w:proofErr w:type="spellEnd"/>
      <w:r w:rsidRPr="00E3482E">
        <w:rPr>
          <w:color w:val="000000"/>
        </w:rPr>
        <w:t xml:space="preserve"> pneumonia (PJP)) in the CYC group and no serious opportunistic infections in the rituximab group. Patients in both treatment arms received trimethoprim/sulfamethoxazole prophylaxis for PJP unless contraindicated (see </w:t>
      </w:r>
      <w:r w:rsidRPr="00E3482E">
        <w:rPr>
          <w:b/>
          <w:color w:val="000000"/>
        </w:rPr>
        <w:t>DOSAGE AND ADMINISTRATION</w:t>
      </w:r>
      <w:r w:rsidRPr="00E3482E">
        <w:rPr>
          <w:color w:val="000000"/>
        </w:rPr>
        <w:t>).</w:t>
      </w:r>
    </w:p>
    <w:p w:rsidR="00306F35" w:rsidRPr="00E3482E" w:rsidRDefault="00306F35" w:rsidP="00B13079">
      <w:pPr>
        <w:spacing w:before="120"/>
        <w:jc w:val="both"/>
        <w:rPr>
          <w:color w:val="000000"/>
        </w:rPr>
      </w:pPr>
      <w:r w:rsidRPr="00E3482E">
        <w:rPr>
          <w:color w:val="000000"/>
        </w:rPr>
        <w:t xml:space="preserve">Cases of progressive multifocal leukoencephalopathy (PML) have been reported following use of rituximab for the treatment of autoimmune diseases including RA and GPA (see </w:t>
      </w:r>
      <w:r w:rsidRPr="00E3482E">
        <w:rPr>
          <w:b/>
          <w:color w:val="000000"/>
        </w:rPr>
        <w:t>PRECAUTIONS</w:t>
      </w:r>
      <w:r w:rsidRPr="00E3482E">
        <w:rPr>
          <w:color w:val="000000"/>
        </w:rPr>
        <w:t xml:space="preserve"> and </w:t>
      </w:r>
      <w:r w:rsidRPr="00E3482E">
        <w:rPr>
          <w:b/>
          <w:color w:val="000000"/>
        </w:rPr>
        <w:t>BOXED WARNING</w:t>
      </w:r>
      <w:r w:rsidRPr="00E3482E">
        <w:rPr>
          <w:color w:val="000000"/>
        </w:rPr>
        <w:t>).</w:t>
      </w:r>
    </w:p>
    <w:p w:rsidR="00306F35" w:rsidRPr="00E3482E" w:rsidRDefault="00306F35" w:rsidP="00F5092E">
      <w:pPr>
        <w:pStyle w:val="Heading2"/>
      </w:pPr>
      <w:r w:rsidRPr="00E3482E">
        <w:t>Malignancies</w:t>
      </w:r>
    </w:p>
    <w:p w:rsidR="00306F35" w:rsidRPr="00E3482E" w:rsidRDefault="00306F35" w:rsidP="00B13079">
      <w:pPr>
        <w:spacing w:before="120"/>
        <w:jc w:val="both"/>
        <w:rPr>
          <w:color w:val="000000"/>
        </w:rPr>
      </w:pPr>
      <w:r w:rsidRPr="00E3482E">
        <w:rPr>
          <w:color w:val="000000"/>
        </w:rPr>
        <w:t>The incidence of malignancy in rituximab-treated patients in the clinical study was 2.00 per 100 patient years. On the basis of standardised incidence ratios, this malignancy rate appears to be similar to rates previously reported in GPA and MPA populations.</w:t>
      </w:r>
    </w:p>
    <w:p w:rsidR="00306F35" w:rsidRPr="00E3482E" w:rsidRDefault="00306F35" w:rsidP="00F5092E">
      <w:pPr>
        <w:pStyle w:val="Heading2"/>
      </w:pPr>
      <w:r w:rsidRPr="00E3482E">
        <w:lastRenderedPageBreak/>
        <w:t>Re-treatment</w:t>
      </w:r>
    </w:p>
    <w:p w:rsidR="00B13079" w:rsidRPr="00E3482E" w:rsidRDefault="00306F35" w:rsidP="00B13079">
      <w:pPr>
        <w:spacing w:before="120"/>
        <w:jc w:val="both"/>
        <w:rPr>
          <w:color w:val="000000"/>
        </w:rPr>
      </w:pPr>
      <w:r w:rsidRPr="00E3482E">
        <w:rPr>
          <w:color w:val="000000"/>
        </w:rPr>
        <w:t>In the active-controlled, double-blind study, subsequent courses of rituximab were allowed for patients experiencing a relapse of disease. The limited data preclude any conclusions regarding the safety of subsequent courses of rituximab for GPA and MPA.</w:t>
      </w:r>
    </w:p>
    <w:p w:rsidR="00D2175E" w:rsidRPr="00E3482E" w:rsidRDefault="00D2175E" w:rsidP="00F5092E">
      <w:pPr>
        <w:pStyle w:val="HeadingUnderlined"/>
      </w:pPr>
      <w:r w:rsidRPr="00E3482E">
        <w:t>Post-Marketing Experience</w:t>
      </w:r>
    </w:p>
    <w:p w:rsidR="00D2175E" w:rsidRPr="00E3482E" w:rsidRDefault="00D2175E" w:rsidP="00D2175E">
      <w:pPr>
        <w:pStyle w:val="Heading6"/>
        <w:rPr>
          <w:color w:val="000000"/>
        </w:rPr>
      </w:pPr>
      <w:r w:rsidRPr="00E3482E">
        <w:rPr>
          <w:color w:val="000000"/>
        </w:rPr>
        <w:t>Non-Hodgkin’s Lymphoma and Chronic Lymphocytic Leukaemia</w:t>
      </w:r>
    </w:p>
    <w:p w:rsidR="00D2175E" w:rsidRPr="00E3482E" w:rsidRDefault="00D2175E" w:rsidP="00D2175E">
      <w:pPr>
        <w:spacing w:before="120"/>
        <w:jc w:val="both"/>
        <w:rPr>
          <w:color w:val="000000"/>
        </w:rPr>
      </w:pPr>
      <w:r w:rsidRPr="00E3482E">
        <w:rPr>
          <w:color w:val="000000"/>
        </w:rPr>
        <w:t>The reporting frequencies in this section (rare, very rare) are based on estimated marketed exposures and largely data derived from spontaneous reports.</w:t>
      </w:r>
    </w:p>
    <w:p w:rsidR="00D2175E" w:rsidRPr="00E3482E" w:rsidRDefault="00D2175E" w:rsidP="00D2175E">
      <w:pPr>
        <w:spacing w:before="120"/>
        <w:jc w:val="both"/>
        <w:rPr>
          <w:color w:val="000000"/>
        </w:rPr>
      </w:pPr>
      <w:r w:rsidRPr="00E3482E">
        <w:rPr>
          <w:color w:val="000000"/>
        </w:rPr>
        <w:t>Additional cases of severe infusion-related reactions have been reported during post-marketing use of rituximab.</w:t>
      </w:r>
    </w:p>
    <w:p w:rsidR="00D2175E" w:rsidRPr="00E3482E" w:rsidRDefault="00D2175E" w:rsidP="00D2175E">
      <w:pPr>
        <w:spacing w:before="120"/>
        <w:jc w:val="both"/>
        <w:rPr>
          <w:color w:val="000000"/>
        </w:rPr>
      </w:pPr>
      <w:r w:rsidRPr="00E3482E">
        <w:rPr>
          <w:color w:val="000000"/>
        </w:rPr>
        <w:t>As part of the continuing post-marketing surveillance of rituximab safety, the following serious adverse reactions have been observed:</w:t>
      </w:r>
    </w:p>
    <w:p w:rsidR="00306F35" w:rsidRPr="00E3482E" w:rsidRDefault="00D2175E" w:rsidP="00D2175E">
      <w:pPr>
        <w:numPr>
          <w:ilvl w:val="0"/>
          <w:numId w:val="18"/>
        </w:numPr>
        <w:spacing w:before="120"/>
        <w:ind w:left="360"/>
        <w:jc w:val="both"/>
        <w:rPr>
          <w:color w:val="000000"/>
        </w:rPr>
      </w:pPr>
      <w:r w:rsidRPr="00E3482E">
        <w:rPr>
          <w:i/>
          <w:color w:val="000000"/>
        </w:rPr>
        <w:t>Cardiovascular system</w:t>
      </w:r>
      <w:r w:rsidRPr="00E3482E">
        <w:rPr>
          <w:color w:val="000000"/>
        </w:rPr>
        <w:t xml:space="preserve">: Severe including fatal cardiac events, such as heart failure and myocardial infarction have been observed, mainly in patients with prior cardiac condition and/or </w:t>
      </w:r>
      <w:proofErr w:type="spellStart"/>
      <w:r w:rsidRPr="00E3482E">
        <w:rPr>
          <w:color w:val="000000"/>
        </w:rPr>
        <w:t>cardiotoxic</w:t>
      </w:r>
      <w:proofErr w:type="spellEnd"/>
      <w:r w:rsidRPr="00E3482E">
        <w:rPr>
          <w:color w:val="000000"/>
        </w:rPr>
        <w:t xml:space="preserve"> chemotherapy and mostly associated with infusion-related reactions. Vasculitis, predominantly cutaneous, such as </w:t>
      </w:r>
      <w:proofErr w:type="spellStart"/>
      <w:r w:rsidRPr="00E3482E">
        <w:rPr>
          <w:color w:val="000000"/>
        </w:rPr>
        <w:t>leucocytoclastic</w:t>
      </w:r>
      <w:proofErr w:type="spellEnd"/>
      <w:r w:rsidRPr="00E3482E">
        <w:rPr>
          <w:color w:val="000000"/>
        </w:rPr>
        <w:t xml:space="preserve"> vasculitis, has been reported very rarely.</w:t>
      </w:r>
    </w:p>
    <w:p w:rsidR="00D2175E" w:rsidRPr="00E3482E" w:rsidRDefault="00D2175E" w:rsidP="00D2175E">
      <w:pPr>
        <w:numPr>
          <w:ilvl w:val="0"/>
          <w:numId w:val="18"/>
        </w:numPr>
        <w:spacing w:before="120"/>
        <w:ind w:left="360"/>
        <w:jc w:val="both"/>
        <w:rPr>
          <w:color w:val="000000"/>
        </w:rPr>
      </w:pPr>
      <w:r w:rsidRPr="00E3482E">
        <w:rPr>
          <w:i/>
          <w:color w:val="000000"/>
        </w:rPr>
        <w:t>Blood and lymphatic system</w:t>
      </w:r>
      <w:r w:rsidRPr="00E3482E">
        <w:rPr>
          <w:color w:val="000000"/>
        </w:rPr>
        <w:t>: Rarely the onset of neutropenia has occurred more than four weeks after the last infusion of rituximab. Cases of infusion-related acute reversible thrombocytopenia have been reported.</w:t>
      </w:r>
    </w:p>
    <w:p w:rsidR="00D2175E" w:rsidRPr="00E3482E" w:rsidRDefault="00D2175E" w:rsidP="00D2175E">
      <w:pPr>
        <w:numPr>
          <w:ilvl w:val="0"/>
          <w:numId w:val="18"/>
        </w:numPr>
        <w:spacing w:before="120"/>
        <w:ind w:left="360"/>
        <w:jc w:val="both"/>
        <w:rPr>
          <w:color w:val="000000"/>
        </w:rPr>
      </w:pPr>
      <w:r w:rsidRPr="00E3482E">
        <w:rPr>
          <w:i/>
          <w:color w:val="000000"/>
        </w:rPr>
        <w:t>In post-marketing</w:t>
      </w:r>
      <w:r w:rsidRPr="00E3482E">
        <w:rPr>
          <w:color w:val="000000"/>
        </w:rPr>
        <w:t xml:space="preserve">: Studies of rituximab in patients with </w:t>
      </w:r>
      <w:proofErr w:type="spellStart"/>
      <w:r w:rsidRPr="00E3482E">
        <w:rPr>
          <w:color w:val="000000"/>
        </w:rPr>
        <w:t>Waldenstrom’s</w:t>
      </w:r>
      <w:proofErr w:type="spellEnd"/>
      <w:r w:rsidRPr="00E3482E">
        <w:rPr>
          <w:color w:val="000000"/>
        </w:rPr>
        <w:t xml:space="preserve"> </w:t>
      </w:r>
      <w:proofErr w:type="spellStart"/>
      <w:r w:rsidRPr="00E3482E">
        <w:rPr>
          <w:color w:val="000000"/>
        </w:rPr>
        <w:t>macroglobulinaemia</w:t>
      </w:r>
      <w:proofErr w:type="spellEnd"/>
      <w:r w:rsidRPr="00E3482E">
        <w:rPr>
          <w:color w:val="000000"/>
        </w:rPr>
        <w:t xml:space="preserve">, transient increases in serum IgM levels have been observed following treatment initiation, which may be associated with </w:t>
      </w:r>
      <w:proofErr w:type="spellStart"/>
      <w:r w:rsidRPr="00E3482E">
        <w:rPr>
          <w:color w:val="000000"/>
        </w:rPr>
        <w:t>hyperviscosity</w:t>
      </w:r>
      <w:proofErr w:type="spellEnd"/>
      <w:r w:rsidRPr="00E3482E">
        <w:rPr>
          <w:color w:val="000000"/>
        </w:rPr>
        <w:t xml:space="preserve"> and related symptoms. The transient IgM increase usually returned to at least baseline level within 4 months.</w:t>
      </w:r>
    </w:p>
    <w:p w:rsidR="00D2175E" w:rsidRPr="00E3482E" w:rsidRDefault="00D2175E" w:rsidP="00D2175E">
      <w:pPr>
        <w:numPr>
          <w:ilvl w:val="0"/>
          <w:numId w:val="18"/>
        </w:numPr>
        <w:spacing w:before="120"/>
        <w:ind w:left="360"/>
        <w:jc w:val="both"/>
        <w:rPr>
          <w:color w:val="000000"/>
        </w:rPr>
      </w:pPr>
      <w:r w:rsidRPr="00E3482E">
        <w:rPr>
          <w:i/>
          <w:color w:val="000000"/>
        </w:rPr>
        <w:t>Respiratory system</w:t>
      </w:r>
      <w:r w:rsidRPr="00E3482E">
        <w:rPr>
          <w:color w:val="000000"/>
        </w:rPr>
        <w:t>: Fatal bronchiolitis obliterans and pneumonitis (including interstitial pneumonitis) have been reported. Respiratory failure/insufficiency and lung infiltration in the context of IRRs. In addition to pulmonary events associated with infusions, interstitial lung disease, some with fatal outcome, has been reported.</w:t>
      </w:r>
    </w:p>
    <w:p w:rsidR="00D2175E" w:rsidRPr="00E3482E" w:rsidRDefault="00D2175E" w:rsidP="00D2175E">
      <w:pPr>
        <w:numPr>
          <w:ilvl w:val="0"/>
          <w:numId w:val="18"/>
        </w:numPr>
        <w:spacing w:before="120"/>
        <w:ind w:left="360"/>
        <w:jc w:val="both"/>
        <w:rPr>
          <w:color w:val="000000"/>
        </w:rPr>
      </w:pPr>
      <w:r w:rsidRPr="00E3482E">
        <w:rPr>
          <w:i/>
          <w:color w:val="000000"/>
        </w:rPr>
        <w:t>Skin and appendages</w:t>
      </w:r>
      <w:r w:rsidRPr="00E3482E">
        <w:rPr>
          <w:color w:val="000000"/>
        </w:rPr>
        <w:t>: Severe bullous skin reactions including some fatal cases of toxic epidermal necrolysis and Stevens-Johnson syndrome have been reported rarely.</w:t>
      </w:r>
    </w:p>
    <w:p w:rsidR="00D2175E" w:rsidRPr="00E3482E" w:rsidRDefault="00D2175E" w:rsidP="00D2175E">
      <w:pPr>
        <w:numPr>
          <w:ilvl w:val="0"/>
          <w:numId w:val="18"/>
        </w:numPr>
        <w:spacing w:before="120"/>
        <w:ind w:left="360"/>
        <w:jc w:val="both"/>
        <w:rPr>
          <w:color w:val="000000"/>
        </w:rPr>
      </w:pPr>
      <w:r w:rsidRPr="00E3482E">
        <w:rPr>
          <w:i/>
          <w:color w:val="000000"/>
        </w:rPr>
        <w:t>Nervous system</w:t>
      </w:r>
      <w:r w:rsidRPr="00E3482E">
        <w:rPr>
          <w:color w:val="000000"/>
        </w:rPr>
        <w:t xml:space="preserve">: Cases of posterior reversible encephalopathy syndrome (PRES) / reversible posterior leukoencephalopathy syndrome (RPLS) have been reported. Signs and symptoms include visual disturbance, headache, seizures and altered mental status, with or without associated hypertension. A diagnosis of PRES/RPLS requires confirmation by brain imaging. The reported cases had recognised risk factors for PRES/RPLS, including the patients underlying disease, hypertension, immunosuppressive therapy and/or chemotherapy. Cases of cranial neuropathy with or without peripheral neuropathy have been reported rarely. Signs and symptoms of cranial neuropathy, such as severe vision loss, hearing loss, loss of other </w:t>
      </w:r>
      <w:r w:rsidRPr="00E3482E">
        <w:rPr>
          <w:color w:val="000000"/>
        </w:rPr>
        <w:lastRenderedPageBreak/>
        <w:t>senses and facial nerve palsy, occurred at various times up to several months after completion of rituximab therapy.</w:t>
      </w:r>
    </w:p>
    <w:p w:rsidR="00D2175E" w:rsidRPr="00E3482E" w:rsidRDefault="00D2175E" w:rsidP="00D2175E">
      <w:pPr>
        <w:numPr>
          <w:ilvl w:val="0"/>
          <w:numId w:val="18"/>
        </w:numPr>
        <w:spacing w:before="120"/>
        <w:ind w:left="360"/>
        <w:jc w:val="both"/>
        <w:rPr>
          <w:color w:val="000000"/>
        </w:rPr>
      </w:pPr>
      <w:r w:rsidRPr="00E3482E">
        <w:rPr>
          <w:i/>
          <w:color w:val="000000"/>
        </w:rPr>
        <w:t>Body as a whole</w:t>
      </w:r>
      <w:r w:rsidRPr="00E3482E">
        <w:rPr>
          <w:color w:val="000000"/>
        </w:rPr>
        <w:t>: Serum sickness-like reactions have been reported rarely.</w:t>
      </w:r>
    </w:p>
    <w:p w:rsidR="00D2175E" w:rsidRPr="00E3482E" w:rsidRDefault="00D2175E" w:rsidP="00D2175E">
      <w:pPr>
        <w:numPr>
          <w:ilvl w:val="0"/>
          <w:numId w:val="18"/>
        </w:numPr>
        <w:spacing w:before="120"/>
        <w:ind w:left="360"/>
        <w:jc w:val="both"/>
        <w:rPr>
          <w:color w:val="000000"/>
        </w:rPr>
      </w:pPr>
      <w:r w:rsidRPr="00E3482E">
        <w:rPr>
          <w:i/>
          <w:color w:val="000000"/>
        </w:rPr>
        <w:t>Infections and infestations</w:t>
      </w:r>
      <w:r w:rsidRPr="00E3482E">
        <w:rPr>
          <w:color w:val="000000"/>
        </w:rPr>
        <w:t xml:space="preserve">: Cases of hepatitis B reactivation have been reported in subjects receiving rituximab in combination with cytotoxic chemotherapy (see </w:t>
      </w:r>
      <w:r w:rsidRPr="00E3482E">
        <w:rPr>
          <w:b/>
          <w:color w:val="000000"/>
        </w:rPr>
        <w:t>PRECAUTIONS</w:t>
      </w:r>
      <w:r w:rsidRPr="00E3482E">
        <w:rPr>
          <w:color w:val="000000"/>
        </w:rPr>
        <w:t xml:space="preserve">). Other serious viral infections, either new, reactivation or exacerbation, some of which were fatal, have been reported with rituximab treatment. The majority of patients had received rituximab in combination with chemotherapy or as part of a haematopoietic stem cell transplant. Examples of these serious viral infections are infections caused by the herpes viruses (cytomegalovirus (CMV), Varicella zoster virus and Herpes simplex virus), JC virus (progressive multifocal leukoencephalopathy (PML) see </w:t>
      </w:r>
      <w:r w:rsidRPr="00E3482E">
        <w:rPr>
          <w:b/>
          <w:color w:val="000000"/>
        </w:rPr>
        <w:t>BOXED WARNING</w:t>
      </w:r>
      <w:r w:rsidRPr="00E3482E">
        <w:rPr>
          <w:color w:val="000000"/>
        </w:rPr>
        <w:t>) and Hepatitis C virus. Progression of Kaposi’s sarcoma has been observed in rituximab-exposed patients with pre-existing Kaposi’s sarcoma. These cases occurred in non-approved indications and the majority of patients were HIV (Human Immunodeficiency Virus)-positive.</w:t>
      </w:r>
    </w:p>
    <w:p w:rsidR="00D2175E" w:rsidRPr="00E3482E" w:rsidRDefault="00D2175E" w:rsidP="00D2175E">
      <w:pPr>
        <w:numPr>
          <w:ilvl w:val="0"/>
          <w:numId w:val="18"/>
        </w:numPr>
        <w:spacing w:before="120"/>
        <w:ind w:left="360"/>
        <w:jc w:val="both"/>
        <w:rPr>
          <w:color w:val="000000"/>
        </w:rPr>
      </w:pPr>
      <w:r w:rsidRPr="00E3482E">
        <w:rPr>
          <w:i/>
          <w:color w:val="000000"/>
        </w:rPr>
        <w:t>Gastro-intestinal system</w:t>
      </w:r>
      <w:r w:rsidRPr="00E3482E">
        <w:rPr>
          <w:color w:val="000000"/>
        </w:rPr>
        <w:t>: Gastro-intestinal perforation, in some cases leading to death, has been observed in patients receiving rituximab in combination with chemotherapy for non-Hodgkin’s lymphoma.</w:t>
      </w:r>
    </w:p>
    <w:p w:rsidR="00D2175E" w:rsidRPr="00E3482E" w:rsidRDefault="00D2175E" w:rsidP="00D2175E">
      <w:pPr>
        <w:numPr>
          <w:ilvl w:val="0"/>
          <w:numId w:val="18"/>
        </w:numPr>
        <w:spacing w:before="120"/>
        <w:ind w:left="360"/>
        <w:jc w:val="both"/>
        <w:rPr>
          <w:color w:val="000000"/>
        </w:rPr>
      </w:pPr>
      <w:r w:rsidRPr="00E3482E">
        <w:rPr>
          <w:i/>
          <w:color w:val="000000"/>
        </w:rPr>
        <w:t>Renal and urinary system</w:t>
      </w:r>
      <w:r w:rsidRPr="00E3482E">
        <w:rPr>
          <w:color w:val="000000"/>
        </w:rPr>
        <w:t>: Renal failure has been reported.</w:t>
      </w:r>
    </w:p>
    <w:p w:rsidR="00D2175E" w:rsidRPr="00E3482E" w:rsidRDefault="00D2175E" w:rsidP="00D2175E">
      <w:pPr>
        <w:pStyle w:val="Heading6"/>
        <w:rPr>
          <w:color w:val="000000"/>
        </w:rPr>
      </w:pPr>
      <w:r w:rsidRPr="00E3482E">
        <w:rPr>
          <w:color w:val="000000"/>
        </w:rPr>
        <w:t xml:space="preserve">Rheumatoid Arthritis, Granulomatosis with </w:t>
      </w:r>
      <w:proofErr w:type="spellStart"/>
      <w:r w:rsidR="00D6167E" w:rsidRPr="00E3482E">
        <w:rPr>
          <w:color w:val="000000"/>
        </w:rPr>
        <w:t>p</w:t>
      </w:r>
      <w:r w:rsidRPr="00E3482E">
        <w:rPr>
          <w:color w:val="000000"/>
        </w:rPr>
        <w:t>olyangiitis</w:t>
      </w:r>
      <w:proofErr w:type="spellEnd"/>
      <w:r w:rsidRPr="00E3482E">
        <w:rPr>
          <w:color w:val="000000"/>
        </w:rPr>
        <w:t xml:space="preserve"> (Wegener’s) (GPA) and Microscopic </w:t>
      </w:r>
      <w:proofErr w:type="spellStart"/>
      <w:r w:rsidR="00D6167E" w:rsidRPr="00E3482E">
        <w:rPr>
          <w:color w:val="000000"/>
        </w:rPr>
        <w:t>p</w:t>
      </w:r>
      <w:r w:rsidRPr="00E3482E">
        <w:rPr>
          <w:color w:val="000000"/>
        </w:rPr>
        <w:t>olyangiitis</w:t>
      </w:r>
      <w:proofErr w:type="spellEnd"/>
      <w:r w:rsidRPr="00E3482E">
        <w:rPr>
          <w:color w:val="000000"/>
        </w:rPr>
        <w:t xml:space="preserve"> (MPA) patients</w:t>
      </w:r>
    </w:p>
    <w:p w:rsidR="00D2175E" w:rsidRPr="00E3482E" w:rsidRDefault="00D2175E" w:rsidP="00D2175E">
      <w:pPr>
        <w:spacing w:before="120"/>
        <w:jc w:val="both"/>
        <w:rPr>
          <w:color w:val="000000"/>
        </w:rPr>
      </w:pPr>
      <w:r w:rsidRPr="00E3482E">
        <w:rPr>
          <w:color w:val="000000"/>
        </w:rPr>
        <w:t>As part of the continuing post-marketing surveillance of rituximab safety, the following have been observed in the RA setting and are also expected, if not already observed, in GPA/MPA patients:</w:t>
      </w:r>
    </w:p>
    <w:p w:rsidR="00306F35" w:rsidRPr="00E3482E" w:rsidRDefault="00D2175E" w:rsidP="00D2175E">
      <w:pPr>
        <w:numPr>
          <w:ilvl w:val="0"/>
          <w:numId w:val="18"/>
        </w:numPr>
        <w:spacing w:before="120"/>
        <w:ind w:left="360"/>
        <w:jc w:val="both"/>
        <w:rPr>
          <w:color w:val="000000"/>
        </w:rPr>
      </w:pPr>
      <w:r w:rsidRPr="00E3482E">
        <w:rPr>
          <w:i/>
          <w:color w:val="000000"/>
        </w:rPr>
        <w:t>Infections and Infestations</w:t>
      </w:r>
      <w:r w:rsidRPr="00E3482E">
        <w:rPr>
          <w:color w:val="000000"/>
        </w:rPr>
        <w:t>: progressive multifocal leukoencephalopathy (PML) and reactivation of hepatitis B infection have been reported.</w:t>
      </w:r>
    </w:p>
    <w:p w:rsidR="00D2175E" w:rsidRPr="00E3482E" w:rsidRDefault="00D2175E" w:rsidP="00D2175E">
      <w:pPr>
        <w:numPr>
          <w:ilvl w:val="0"/>
          <w:numId w:val="18"/>
        </w:numPr>
        <w:spacing w:before="120"/>
        <w:ind w:left="360"/>
        <w:jc w:val="both"/>
        <w:rPr>
          <w:color w:val="000000"/>
        </w:rPr>
      </w:pPr>
      <w:r w:rsidRPr="00E3482E">
        <w:rPr>
          <w:i/>
          <w:color w:val="000000"/>
        </w:rPr>
        <w:t>Body as a whole</w:t>
      </w:r>
      <w:r w:rsidRPr="00E3482E">
        <w:rPr>
          <w:color w:val="000000"/>
        </w:rPr>
        <w:t>: Serum sickness-like reaction has been reported.</w:t>
      </w:r>
    </w:p>
    <w:p w:rsidR="00D2175E" w:rsidRPr="00E3482E" w:rsidRDefault="00D2175E" w:rsidP="00D2175E">
      <w:pPr>
        <w:numPr>
          <w:ilvl w:val="0"/>
          <w:numId w:val="18"/>
        </w:numPr>
        <w:spacing w:before="120"/>
        <w:ind w:left="360"/>
        <w:jc w:val="both"/>
        <w:rPr>
          <w:color w:val="000000"/>
        </w:rPr>
      </w:pPr>
      <w:r w:rsidRPr="00E3482E">
        <w:rPr>
          <w:i/>
          <w:color w:val="000000"/>
        </w:rPr>
        <w:t>Skin and subcutaneous tissue disorders</w:t>
      </w:r>
      <w:r w:rsidRPr="00E3482E">
        <w:rPr>
          <w:color w:val="000000"/>
        </w:rPr>
        <w:t>: Toxic epidermal necrolysis and Stevens-Johnson syndrome, with fatal outcome in some cases, have been reported very rarely.</w:t>
      </w:r>
    </w:p>
    <w:p w:rsidR="00D2175E" w:rsidRPr="00E3482E" w:rsidRDefault="00D2175E" w:rsidP="00D2175E">
      <w:pPr>
        <w:numPr>
          <w:ilvl w:val="0"/>
          <w:numId w:val="18"/>
        </w:numPr>
        <w:spacing w:before="120"/>
        <w:ind w:left="360"/>
        <w:jc w:val="both"/>
        <w:rPr>
          <w:color w:val="000000"/>
        </w:rPr>
      </w:pPr>
      <w:r w:rsidRPr="00E3482E">
        <w:rPr>
          <w:i/>
          <w:color w:val="000000"/>
        </w:rPr>
        <w:t>Blood and lymphatic system disorders</w:t>
      </w:r>
      <w:r w:rsidRPr="00E3482E">
        <w:rPr>
          <w:color w:val="000000"/>
        </w:rPr>
        <w:t>: Neutropenic events, including severe late onset and persistent neutropenia, have been reported rarely in the post-marketing setting, some of which were associated with fatal infections.</w:t>
      </w:r>
    </w:p>
    <w:p w:rsidR="00D2175E" w:rsidRPr="00E3482E" w:rsidRDefault="00D2175E" w:rsidP="00D2175E">
      <w:pPr>
        <w:numPr>
          <w:ilvl w:val="0"/>
          <w:numId w:val="18"/>
        </w:numPr>
        <w:spacing w:before="120"/>
        <w:ind w:left="360"/>
        <w:jc w:val="both"/>
        <w:rPr>
          <w:color w:val="000000"/>
        </w:rPr>
      </w:pPr>
      <w:r w:rsidRPr="00E3482E">
        <w:rPr>
          <w:i/>
          <w:color w:val="000000"/>
        </w:rPr>
        <w:t>Nervous system</w:t>
      </w:r>
      <w:r w:rsidRPr="00E3482E">
        <w:rPr>
          <w:color w:val="000000"/>
        </w:rPr>
        <w:t>: Cases of PRES/RPLS have been reported. Signs and symptoms include visual disturbance, headache, seizures and altered mental status, with or without associated hypertension. A diagnosis of PRES/RPLS requires confirmation by brain imaging. The reported cases had recognised risk factors for PRES/RPLS, including hypertension, immunosuppressive therapy and/or other concomitant therapies.</w:t>
      </w:r>
    </w:p>
    <w:p w:rsidR="00D2175E" w:rsidRPr="00E3482E" w:rsidRDefault="00D2175E" w:rsidP="00D2175E">
      <w:pPr>
        <w:numPr>
          <w:ilvl w:val="0"/>
          <w:numId w:val="18"/>
        </w:numPr>
        <w:spacing w:before="120"/>
        <w:ind w:left="360"/>
        <w:jc w:val="both"/>
        <w:rPr>
          <w:color w:val="000000"/>
        </w:rPr>
      </w:pPr>
      <w:r w:rsidRPr="00E3482E">
        <w:rPr>
          <w:i/>
          <w:color w:val="000000"/>
        </w:rPr>
        <w:t>General disorders and administration site conditions</w:t>
      </w:r>
      <w:r w:rsidRPr="00E3482E">
        <w:rPr>
          <w:color w:val="000000"/>
        </w:rPr>
        <w:t>: severe IRRs with fatal outcome infection have been reported during post-marketing experience.</w:t>
      </w:r>
    </w:p>
    <w:p w:rsidR="00D2175E" w:rsidRPr="00E3482E" w:rsidRDefault="00D2175E" w:rsidP="00D2175E">
      <w:pPr>
        <w:pStyle w:val="Heading6"/>
        <w:rPr>
          <w:color w:val="000000"/>
        </w:rPr>
      </w:pPr>
      <w:r w:rsidRPr="00E3482E">
        <w:rPr>
          <w:color w:val="000000"/>
        </w:rPr>
        <w:lastRenderedPageBreak/>
        <w:t>Use in Children</w:t>
      </w:r>
    </w:p>
    <w:p w:rsidR="00306F35" w:rsidRPr="00E3482E" w:rsidRDefault="00D2175E" w:rsidP="00B13079">
      <w:pPr>
        <w:spacing w:before="120"/>
        <w:jc w:val="both"/>
        <w:rPr>
          <w:color w:val="000000"/>
        </w:rPr>
      </w:pPr>
      <w:proofErr w:type="spellStart"/>
      <w:r w:rsidRPr="00E3482E">
        <w:rPr>
          <w:color w:val="000000"/>
        </w:rPr>
        <w:t>Hypogammaglobulinaemia</w:t>
      </w:r>
      <w:proofErr w:type="spellEnd"/>
      <w:r w:rsidRPr="00E3482E">
        <w:rPr>
          <w:color w:val="000000"/>
        </w:rPr>
        <w:t xml:space="preserve"> has been observed in paediatric patients treated with rituximab (see </w:t>
      </w:r>
      <w:r w:rsidRPr="00E3482E">
        <w:rPr>
          <w:b/>
          <w:color w:val="000000"/>
        </w:rPr>
        <w:t>PRECAUTIONS</w:t>
      </w:r>
      <w:r w:rsidRPr="00E3482E">
        <w:rPr>
          <w:color w:val="000000"/>
        </w:rPr>
        <w:t>).</w:t>
      </w:r>
    </w:p>
    <w:p w:rsidR="00C91E06" w:rsidRPr="00E3482E" w:rsidRDefault="00C91E06" w:rsidP="00C91E06">
      <w:pPr>
        <w:autoSpaceDE w:val="0"/>
        <w:autoSpaceDN w:val="0"/>
        <w:adjustRightInd w:val="0"/>
        <w:spacing w:before="3" w:line="120" w:lineRule="exact"/>
        <w:rPr>
          <w:color w:val="000000"/>
          <w:sz w:val="12"/>
          <w:szCs w:val="12"/>
          <w:lang w:eastAsia="en-AU"/>
        </w:rPr>
      </w:pPr>
    </w:p>
    <w:p w:rsidR="00622AE3" w:rsidRPr="00E3482E" w:rsidRDefault="00622AE3" w:rsidP="00F5092E">
      <w:pPr>
        <w:pStyle w:val="HeadingUnderlined"/>
      </w:pPr>
      <w:r w:rsidRPr="00E3482E">
        <w:t xml:space="preserve">Comparability of </w:t>
      </w:r>
      <w:r w:rsidR="00991E39">
        <w:rPr>
          <w:color w:val="000000"/>
          <w:lang w:val="en-GB"/>
        </w:rPr>
        <w:t>RIXIMYO</w:t>
      </w:r>
      <w:r w:rsidR="00991E39" w:rsidRPr="00991E39">
        <w:rPr>
          <w:color w:val="000000"/>
          <w:vertAlign w:val="superscript"/>
          <w:lang w:val="en-GB"/>
        </w:rPr>
        <w:t>®</w:t>
      </w:r>
      <w:r w:rsidR="00991E39" w:rsidRPr="00E3482E">
        <w:rPr>
          <w:color w:val="000000"/>
          <w:lang w:val="en-GB"/>
        </w:rPr>
        <w:t xml:space="preserve"> </w:t>
      </w:r>
      <w:r w:rsidRPr="00E3482E">
        <w:t xml:space="preserve">to </w:t>
      </w:r>
      <w:r w:rsidR="00846210">
        <w:t>MABTHERA</w:t>
      </w:r>
      <w:r w:rsidR="00846210" w:rsidRPr="00991E39">
        <w:rPr>
          <w:color w:val="000000"/>
          <w:vertAlign w:val="superscript"/>
          <w:lang w:val="en-GB"/>
        </w:rPr>
        <w:t>®</w:t>
      </w:r>
    </w:p>
    <w:p w:rsidR="00622AE3" w:rsidRPr="00E3482E" w:rsidRDefault="00622AE3" w:rsidP="00622AE3">
      <w:pPr>
        <w:spacing w:before="120"/>
        <w:jc w:val="both"/>
        <w:rPr>
          <w:color w:val="000000"/>
          <w:lang w:val="en-GB"/>
        </w:rPr>
      </w:pPr>
      <w:r w:rsidRPr="00E3482E">
        <w:rPr>
          <w:color w:val="000000"/>
          <w:lang w:val="en-GB"/>
        </w:rPr>
        <w:t xml:space="preserve">The overall frequencies of common adverse events and serious adverse events were comparable between both treatment groups in follicular non-Hodgkin’s lymphoma (Combination and Maintenance phases) and in rheumatoid arthritis. The safety profiles including immunogenicity of </w:t>
      </w:r>
      <w:r w:rsidR="00982770">
        <w:rPr>
          <w:color w:val="000000"/>
          <w:lang w:val="en-GB"/>
        </w:rPr>
        <w:t>RIXIMYO</w:t>
      </w:r>
      <w:r w:rsidR="00982770" w:rsidRPr="00991E39">
        <w:rPr>
          <w:color w:val="000000"/>
          <w:vertAlign w:val="superscript"/>
          <w:lang w:val="en-GB"/>
        </w:rPr>
        <w:t>®</w:t>
      </w:r>
      <w:r w:rsidRPr="00E3482E">
        <w:rPr>
          <w:color w:val="000000"/>
          <w:lang w:val="en-GB"/>
        </w:rPr>
        <w:t xml:space="preserve"> in the pivotal populations are consistent with the known safety profile of</w:t>
      </w:r>
      <w:r w:rsidR="00991E39">
        <w:rPr>
          <w:color w:val="000000"/>
          <w:lang w:val="en-GB"/>
        </w:rPr>
        <w:t xml:space="preserve"> the reference medicine</w:t>
      </w:r>
      <w:r w:rsidRPr="00E3482E">
        <w:rPr>
          <w:color w:val="000000"/>
          <w:lang w:val="en-GB"/>
        </w:rPr>
        <w:t xml:space="preserve"> reported in clinical trials and post-marketing surveillance.</w:t>
      </w:r>
    </w:p>
    <w:p w:rsidR="00622AE3" w:rsidRPr="00E3482E" w:rsidRDefault="00622AE3" w:rsidP="00622AE3">
      <w:pPr>
        <w:spacing w:before="120"/>
        <w:jc w:val="both"/>
        <w:rPr>
          <w:color w:val="000000"/>
          <w:lang w:val="en-GB"/>
        </w:rPr>
      </w:pPr>
      <w:proofErr w:type="gramStart"/>
      <w:r w:rsidRPr="00E3482E">
        <w:rPr>
          <w:color w:val="000000"/>
          <w:lang w:val="en-GB"/>
        </w:rPr>
        <w:t>Discussion of the adverse events reported in the individual studies are</w:t>
      </w:r>
      <w:proofErr w:type="gramEnd"/>
      <w:r w:rsidRPr="00E3482E">
        <w:rPr>
          <w:color w:val="000000"/>
          <w:lang w:val="en-GB"/>
        </w:rPr>
        <w:t xml:space="preserve"> provided below.</w:t>
      </w:r>
    </w:p>
    <w:p w:rsidR="00622AE3" w:rsidRPr="00E3482E" w:rsidRDefault="00622AE3" w:rsidP="00622AE3">
      <w:pPr>
        <w:pStyle w:val="Heading6"/>
        <w:rPr>
          <w:rStyle w:val="SubtleEmphasis"/>
          <w:i/>
          <w:color w:val="000000"/>
        </w:rPr>
      </w:pPr>
      <w:r w:rsidRPr="00E3482E">
        <w:rPr>
          <w:rStyle w:val="SubtleEmphasis"/>
          <w:i/>
          <w:color w:val="000000"/>
        </w:rPr>
        <w:t>Study GP13-301 (follicular Non-Hodgkin’s Lymphoma)</w:t>
      </w:r>
    </w:p>
    <w:p w:rsidR="00622AE3" w:rsidRDefault="00622AE3" w:rsidP="00E31ABE">
      <w:pPr>
        <w:pStyle w:val="PItext"/>
        <w:spacing w:before="240"/>
        <w:rPr>
          <w:lang w:val="en-GB"/>
        </w:rPr>
      </w:pPr>
      <w:r w:rsidRPr="00E3482E">
        <w:rPr>
          <w:lang w:val="en-GB"/>
        </w:rPr>
        <w:t xml:space="preserve">During the Combination Treatment phase and the ongoing Maintenance Treatment phase of study GP13-301, the overall incidence of adverse events, serious adverse events, treatment discontinuations due to adverse events, and deaths were similar in the </w:t>
      </w:r>
      <w:r w:rsidR="00982770">
        <w:rPr>
          <w:lang w:val="en-GB"/>
        </w:rPr>
        <w:t>RIXIMYO</w:t>
      </w:r>
      <w:r w:rsidR="00982770" w:rsidRPr="00BB67D0">
        <w:rPr>
          <w:vertAlign w:val="superscript"/>
          <w:lang w:val="en-GB"/>
        </w:rPr>
        <w:t>®</w:t>
      </w:r>
      <w:r w:rsidRPr="00E3482E">
        <w:rPr>
          <w:lang w:val="en-GB"/>
        </w:rPr>
        <w:t xml:space="preserve"> and </w:t>
      </w:r>
      <w:r w:rsidR="00BB67D0">
        <w:rPr>
          <w:lang w:val="en-GB"/>
        </w:rPr>
        <w:t xml:space="preserve">the reference medicine </w:t>
      </w:r>
      <w:r w:rsidRPr="00E3482E">
        <w:rPr>
          <w:lang w:val="en-GB"/>
        </w:rPr>
        <w:t xml:space="preserve">groups. Table </w:t>
      </w:r>
      <w:r w:rsidR="00CE4CAE" w:rsidRPr="00E3482E">
        <w:rPr>
          <w:lang w:val="en-GB"/>
        </w:rPr>
        <w:t>22</w:t>
      </w:r>
      <w:r w:rsidRPr="00E3482E">
        <w:rPr>
          <w:lang w:val="en-GB"/>
        </w:rPr>
        <w:t xml:space="preserve"> below summarises the most frequently reported adverse events with suspected causality to the study drug in the combination phase.</w:t>
      </w:r>
    </w:p>
    <w:p w:rsidR="00622AE3" w:rsidRPr="00E31ABE" w:rsidRDefault="00622AE3" w:rsidP="00E31ABE">
      <w:pPr>
        <w:pStyle w:val="Tabletitle"/>
        <w:rPr>
          <w:sz w:val="23"/>
          <w:szCs w:val="23"/>
          <w:lang w:eastAsia="en-AU"/>
        </w:rPr>
      </w:pPr>
      <w:r w:rsidRPr="00E31ABE">
        <w:rPr>
          <w:spacing w:val="-3"/>
          <w:sz w:val="23"/>
          <w:szCs w:val="23"/>
          <w:lang w:eastAsia="en-AU"/>
        </w:rPr>
        <w:t>T</w:t>
      </w:r>
      <w:r w:rsidRPr="00E31ABE">
        <w:rPr>
          <w:sz w:val="23"/>
          <w:szCs w:val="23"/>
          <w:lang w:eastAsia="en-AU"/>
        </w:rPr>
        <w:t>a</w:t>
      </w:r>
      <w:r w:rsidRPr="00E31ABE">
        <w:rPr>
          <w:spacing w:val="-1"/>
          <w:sz w:val="23"/>
          <w:szCs w:val="23"/>
          <w:lang w:eastAsia="en-AU"/>
        </w:rPr>
        <w:t>b</w:t>
      </w:r>
      <w:r w:rsidRPr="00E31ABE">
        <w:rPr>
          <w:spacing w:val="1"/>
          <w:sz w:val="23"/>
          <w:szCs w:val="23"/>
          <w:lang w:eastAsia="en-AU"/>
        </w:rPr>
        <w:t>l</w:t>
      </w:r>
      <w:r w:rsidRPr="00E31ABE">
        <w:rPr>
          <w:sz w:val="23"/>
          <w:szCs w:val="23"/>
          <w:lang w:eastAsia="en-AU"/>
        </w:rPr>
        <w:t>e</w:t>
      </w:r>
      <w:r w:rsidRPr="00E31ABE">
        <w:rPr>
          <w:spacing w:val="1"/>
          <w:sz w:val="23"/>
          <w:szCs w:val="23"/>
          <w:lang w:eastAsia="en-AU"/>
        </w:rPr>
        <w:t xml:space="preserve"> </w:t>
      </w:r>
      <w:r w:rsidR="00CE4CAE" w:rsidRPr="00E31ABE">
        <w:rPr>
          <w:spacing w:val="1"/>
          <w:sz w:val="23"/>
          <w:szCs w:val="23"/>
          <w:lang w:eastAsia="en-AU"/>
        </w:rPr>
        <w:t>22</w:t>
      </w:r>
      <w:r w:rsidR="00F11870" w:rsidRPr="00E31ABE">
        <w:rPr>
          <w:spacing w:val="1"/>
          <w:sz w:val="23"/>
          <w:szCs w:val="23"/>
          <w:lang w:eastAsia="en-AU"/>
        </w:rPr>
        <w:tab/>
      </w:r>
      <w:r w:rsidRPr="00E31ABE">
        <w:rPr>
          <w:spacing w:val="13"/>
          <w:sz w:val="23"/>
          <w:szCs w:val="23"/>
          <w:lang w:eastAsia="en-AU"/>
        </w:rPr>
        <w:t xml:space="preserve">Adverse Events </w:t>
      </w:r>
      <w:r w:rsidRPr="00E31ABE">
        <w:rPr>
          <w:spacing w:val="6"/>
          <w:sz w:val="23"/>
          <w:szCs w:val="23"/>
          <w:lang w:eastAsia="en-AU"/>
        </w:rPr>
        <w:t>w</w:t>
      </w:r>
      <w:r w:rsidRPr="00E31ABE">
        <w:rPr>
          <w:spacing w:val="-1"/>
          <w:sz w:val="23"/>
          <w:szCs w:val="23"/>
          <w:lang w:eastAsia="en-AU"/>
        </w:rPr>
        <w:t>i</w:t>
      </w:r>
      <w:r w:rsidRPr="00E31ABE">
        <w:rPr>
          <w:spacing w:val="1"/>
          <w:sz w:val="23"/>
          <w:szCs w:val="23"/>
          <w:lang w:eastAsia="en-AU"/>
        </w:rPr>
        <w:t>t</w:t>
      </w:r>
      <w:r w:rsidRPr="00E31ABE">
        <w:rPr>
          <w:sz w:val="23"/>
          <w:szCs w:val="23"/>
          <w:lang w:eastAsia="en-AU"/>
        </w:rPr>
        <w:t>h a</w:t>
      </w:r>
      <w:r w:rsidRPr="00E31ABE">
        <w:rPr>
          <w:spacing w:val="-1"/>
          <w:sz w:val="23"/>
          <w:szCs w:val="23"/>
          <w:lang w:eastAsia="en-AU"/>
        </w:rPr>
        <w:t xml:space="preserve"> </w:t>
      </w:r>
      <w:r w:rsidRPr="00E31ABE">
        <w:rPr>
          <w:sz w:val="23"/>
          <w:szCs w:val="23"/>
          <w:lang w:eastAsia="en-AU"/>
        </w:rPr>
        <w:t>s</w:t>
      </w:r>
      <w:r w:rsidRPr="00E31ABE">
        <w:rPr>
          <w:spacing w:val="-1"/>
          <w:sz w:val="23"/>
          <w:szCs w:val="23"/>
          <w:lang w:eastAsia="en-AU"/>
        </w:rPr>
        <w:t>u</w:t>
      </w:r>
      <w:r w:rsidRPr="00E31ABE">
        <w:rPr>
          <w:sz w:val="23"/>
          <w:szCs w:val="23"/>
          <w:lang w:eastAsia="en-AU"/>
        </w:rPr>
        <w:t>s</w:t>
      </w:r>
      <w:r w:rsidRPr="00E31ABE">
        <w:rPr>
          <w:spacing w:val="-1"/>
          <w:sz w:val="23"/>
          <w:szCs w:val="23"/>
          <w:lang w:eastAsia="en-AU"/>
        </w:rPr>
        <w:t>p</w:t>
      </w:r>
      <w:r w:rsidRPr="00E31ABE">
        <w:rPr>
          <w:sz w:val="23"/>
          <w:szCs w:val="23"/>
          <w:lang w:eastAsia="en-AU"/>
        </w:rPr>
        <w:t>e</w:t>
      </w:r>
      <w:r w:rsidRPr="00E31ABE">
        <w:rPr>
          <w:spacing w:val="-1"/>
          <w:sz w:val="23"/>
          <w:szCs w:val="23"/>
          <w:lang w:eastAsia="en-AU"/>
        </w:rPr>
        <w:t>c</w:t>
      </w:r>
      <w:r w:rsidRPr="00E31ABE">
        <w:rPr>
          <w:spacing w:val="-2"/>
          <w:sz w:val="23"/>
          <w:szCs w:val="23"/>
          <w:lang w:eastAsia="en-AU"/>
        </w:rPr>
        <w:t>t</w:t>
      </w:r>
      <w:r w:rsidRPr="00E31ABE">
        <w:rPr>
          <w:sz w:val="23"/>
          <w:szCs w:val="23"/>
          <w:lang w:eastAsia="en-AU"/>
        </w:rPr>
        <w:t xml:space="preserve">ed </w:t>
      </w:r>
      <w:r w:rsidRPr="00E31ABE">
        <w:rPr>
          <w:spacing w:val="-3"/>
          <w:sz w:val="23"/>
          <w:szCs w:val="23"/>
          <w:lang w:eastAsia="en-AU"/>
        </w:rPr>
        <w:t>c</w:t>
      </w:r>
      <w:r w:rsidRPr="00E31ABE">
        <w:rPr>
          <w:sz w:val="23"/>
          <w:szCs w:val="23"/>
          <w:lang w:eastAsia="en-AU"/>
        </w:rPr>
        <w:t>a</w:t>
      </w:r>
      <w:r w:rsidRPr="00E31ABE">
        <w:rPr>
          <w:spacing w:val="-1"/>
          <w:sz w:val="23"/>
          <w:szCs w:val="23"/>
          <w:lang w:eastAsia="en-AU"/>
        </w:rPr>
        <w:t>u</w:t>
      </w:r>
      <w:r w:rsidRPr="00E31ABE">
        <w:rPr>
          <w:sz w:val="23"/>
          <w:szCs w:val="23"/>
          <w:lang w:eastAsia="en-AU"/>
        </w:rPr>
        <w:t>s</w:t>
      </w:r>
      <w:r w:rsidRPr="00E31ABE">
        <w:rPr>
          <w:spacing w:val="-1"/>
          <w:sz w:val="23"/>
          <w:szCs w:val="23"/>
          <w:lang w:eastAsia="en-AU"/>
        </w:rPr>
        <w:t>a</w:t>
      </w:r>
      <w:r w:rsidRPr="00E31ABE">
        <w:rPr>
          <w:sz w:val="23"/>
          <w:szCs w:val="23"/>
          <w:lang w:eastAsia="en-AU"/>
        </w:rPr>
        <w:t>l</w:t>
      </w:r>
      <w:r w:rsidRPr="00E31ABE">
        <w:rPr>
          <w:spacing w:val="2"/>
          <w:sz w:val="23"/>
          <w:szCs w:val="23"/>
          <w:lang w:eastAsia="en-AU"/>
        </w:rPr>
        <w:t xml:space="preserve"> </w:t>
      </w:r>
      <w:r w:rsidRPr="00E31ABE">
        <w:rPr>
          <w:sz w:val="23"/>
          <w:szCs w:val="23"/>
          <w:lang w:eastAsia="en-AU"/>
        </w:rPr>
        <w:t>r</w:t>
      </w:r>
      <w:r w:rsidRPr="00E31ABE">
        <w:rPr>
          <w:spacing w:val="-2"/>
          <w:sz w:val="23"/>
          <w:szCs w:val="23"/>
          <w:lang w:eastAsia="en-AU"/>
        </w:rPr>
        <w:t>e</w:t>
      </w:r>
      <w:r w:rsidRPr="00E31ABE">
        <w:rPr>
          <w:spacing w:val="1"/>
          <w:sz w:val="23"/>
          <w:szCs w:val="23"/>
          <w:lang w:eastAsia="en-AU"/>
        </w:rPr>
        <w:t>l</w:t>
      </w:r>
      <w:r w:rsidRPr="00E31ABE">
        <w:rPr>
          <w:sz w:val="23"/>
          <w:szCs w:val="23"/>
          <w:lang w:eastAsia="en-AU"/>
        </w:rPr>
        <w:t>a</w:t>
      </w:r>
      <w:r w:rsidRPr="00E31ABE">
        <w:rPr>
          <w:spacing w:val="-2"/>
          <w:sz w:val="23"/>
          <w:szCs w:val="23"/>
          <w:lang w:eastAsia="en-AU"/>
        </w:rPr>
        <w:t>t</w:t>
      </w:r>
      <w:r w:rsidRPr="00E31ABE">
        <w:rPr>
          <w:spacing w:val="1"/>
          <w:sz w:val="23"/>
          <w:szCs w:val="23"/>
          <w:lang w:eastAsia="en-AU"/>
        </w:rPr>
        <w:t>i</w:t>
      </w:r>
      <w:r w:rsidRPr="00E31ABE">
        <w:rPr>
          <w:sz w:val="23"/>
          <w:szCs w:val="23"/>
          <w:lang w:eastAsia="en-AU"/>
        </w:rPr>
        <w:t>o</w:t>
      </w:r>
      <w:r w:rsidRPr="00E31ABE">
        <w:rPr>
          <w:spacing w:val="-1"/>
          <w:sz w:val="23"/>
          <w:szCs w:val="23"/>
          <w:lang w:eastAsia="en-AU"/>
        </w:rPr>
        <w:t>n</w:t>
      </w:r>
      <w:r w:rsidRPr="00E31ABE">
        <w:rPr>
          <w:sz w:val="23"/>
          <w:szCs w:val="23"/>
          <w:lang w:eastAsia="en-AU"/>
        </w:rPr>
        <w:t>s</w:t>
      </w:r>
      <w:r w:rsidRPr="00E31ABE">
        <w:rPr>
          <w:spacing w:val="-3"/>
          <w:sz w:val="23"/>
          <w:szCs w:val="23"/>
          <w:lang w:eastAsia="en-AU"/>
        </w:rPr>
        <w:t>h</w:t>
      </w:r>
      <w:r w:rsidRPr="00E31ABE">
        <w:rPr>
          <w:spacing w:val="1"/>
          <w:sz w:val="23"/>
          <w:szCs w:val="23"/>
          <w:lang w:eastAsia="en-AU"/>
        </w:rPr>
        <w:t>i</w:t>
      </w:r>
      <w:r w:rsidRPr="00E31ABE">
        <w:rPr>
          <w:sz w:val="23"/>
          <w:szCs w:val="23"/>
          <w:lang w:eastAsia="en-AU"/>
        </w:rPr>
        <w:t xml:space="preserve">p </w:t>
      </w:r>
      <w:r w:rsidRPr="00E31ABE">
        <w:rPr>
          <w:spacing w:val="1"/>
          <w:sz w:val="23"/>
          <w:szCs w:val="23"/>
          <w:lang w:eastAsia="en-AU"/>
        </w:rPr>
        <w:t>t</w:t>
      </w:r>
      <w:r w:rsidRPr="00E31ABE">
        <w:rPr>
          <w:sz w:val="23"/>
          <w:szCs w:val="23"/>
          <w:lang w:eastAsia="en-AU"/>
        </w:rPr>
        <w:t>o</w:t>
      </w:r>
      <w:r w:rsidRPr="00E31ABE">
        <w:rPr>
          <w:spacing w:val="-4"/>
          <w:sz w:val="23"/>
          <w:szCs w:val="23"/>
          <w:lang w:eastAsia="en-AU"/>
        </w:rPr>
        <w:t xml:space="preserve"> treatment</w:t>
      </w:r>
      <w:r w:rsidRPr="00E31ABE">
        <w:rPr>
          <w:sz w:val="23"/>
          <w:szCs w:val="23"/>
          <w:lang w:eastAsia="en-AU"/>
        </w:rPr>
        <w:t xml:space="preserve"> reported </w:t>
      </w:r>
      <w:r w:rsidRPr="00E31ABE">
        <w:rPr>
          <w:spacing w:val="1"/>
          <w:sz w:val="23"/>
          <w:szCs w:val="23"/>
          <w:lang w:eastAsia="en-AU"/>
        </w:rPr>
        <w:t>i</w:t>
      </w:r>
      <w:r w:rsidRPr="00E31ABE">
        <w:rPr>
          <w:sz w:val="23"/>
          <w:szCs w:val="23"/>
          <w:lang w:eastAsia="en-AU"/>
        </w:rPr>
        <w:t>n</w:t>
      </w:r>
      <w:r w:rsidRPr="00E31ABE">
        <w:rPr>
          <w:spacing w:val="4"/>
          <w:sz w:val="23"/>
          <w:szCs w:val="23"/>
          <w:lang w:eastAsia="en-AU"/>
        </w:rPr>
        <w:t xml:space="preserve"> </w:t>
      </w:r>
      <w:r w:rsidRPr="00E31ABE">
        <w:rPr>
          <w:spacing w:val="-3"/>
          <w:sz w:val="23"/>
          <w:szCs w:val="23"/>
          <w:lang w:eastAsia="en-AU"/>
        </w:rPr>
        <w:t>a</w:t>
      </w:r>
      <w:r w:rsidRPr="00E31ABE">
        <w:rPr>
          <w:sz w:val="23"/>
          <w:szCs w:val="23"/>
          <w:lang w:eastAsia="en-AU"/>
        </w:rPr>
        <w:t xml:space="preserve">t </w:t>
      </w:r>
      <w:r w:rsidRPr="00E31ABE">
        <w:rPr>
          <w:spacing w:val="1"/>
          <w:sz w:val="23"/>
          <w:szCs w:val="23"/>
          <w:lang w:eastAsia="en-AU"/>
        </w:rPr>
        <w:t>l</w:t>
      </w:r>
      <w:r w:rsidRPr="00E31ABE">
        <w:rPr>
          <w:sz w:val="23"/>
          <w:szCs w:val="23"/>
          <w:lang w:eastAsia="en-AU"/>
        </w:rPr>
        <w:t>e</w:t>
      </w:r>
      <w:r w:rsidRPr="00E31ABE">
        <w:rPr>
          <w:spacing w:val="-1"/>
          <w:sz w:val="23"/>
          <w:szCs w:val="23"/>
          <w:lang w:eastAsia="en-AU"/>
        </w:rPr>
        <w:t>a</w:t>
      </w:r>
      <w:r w:rsidRPr="00E31ABE">
        <w:rPr>
          <w:sz w:val="23"/>
          <w:szCs w:val="23"/>
          <w:lang w:eastAsia="en-AU"/>
        </w:rPr>
        <w:t>st 5%</w:t>
      </w:r>
      <w:r w:rsidRPr="00E31ABE">
        <w:rPr>
          <w:spacing w:val="-1"/>
          <w:sz w:val="23"/>
          <w:szCs w:val="23"/>
          <w:lang w:eastAsia="en-AU"/>
        </w:rPr>
        <w:t xml:space="preserve"> </w:t>
      </w:r>
      <w:r w:rsidRPr="00E31ABE">
        <w:rPr>
          <w:spacing w:val="-3"/>
          <w:sz w:val="23"/>
          <w:szCs w:val="23"/>
          <w:lang w:eastAsia="en-AU"/>
        </w:rPr>
        <w:t>o</w:t>
      </w:r>
      <w:r w:rsidRPr="00E31ABE">
        <w:rPr>
          <w:sz w:val="23"/>
          <w:szCs w:val="23"/>
          <w:lang w:eastAsia="en-AU"/>
        </w:rPr>
        <w:t>f p</w:t>
      </w:r>
      <w:r w:rsidRPr="00E31ABE">
        <w:rPr>
          <w:spacing w:val="-1"/>
          <w:sz w:val="23"/>
          <w:szCs w:val="23"/>
          <w:lang w:eastAsia="en-AU"/>
        </w:rPr>
        <w:t>a</w:t>
      </w:r>
      <w:r w:rsidRPr="00E31ABE">
        <w:rPr>
          <w:spacing w:val="1"/>
          <w:sz w:val="23"/>
          <w:szCs w:val="23"/>
          <w:lang w:eastAsia="en-AU"/>
        </w:rPr>
        <w:t>ti</w:t>
      </w:r>
      <w:r w:rsidRPr="00E31ABE">
        <w:rPr>
          <w:sz w:val="23"/>
          <w:szCs w:val="23"/>
          <w:lang w:eastAsia="en-AU"/>
        </w:rPr>
        <w:t>e</w:t>
      </w:r>
      <w:r w:rsidRPr="00E31ABE">
        <w:rPr>
          <w:spacing w:val="-1"/>
          <w:sz w:val="23"/>
          <w:szCs w:val="23"/>
          <w:lang w:eastAsia="en-AU"/>
        </w:rPr>
        <w:t>n</w:t>
      </w:r>
      <w:r w:rsidRPr="00E31ABE">
        <w:rPr>
          <w:spacing w:val="-2"/>
          <w:sz w:val="23"/>
          <w:szCs w:val="23"/>
          <w:lang w:eastAsia="en-AU"/>
        </w:rPr>
        <w:t>t</w:t>
      </w:r>
      <w:r w:rsidRPr="00E31ABE">
        <w:rPr>
          <w:sz w:val="23"/>
          <w:szCs w:val="23"/>
          <w:lang w:eastAsia="en-AU"/>
        </w:rPr>
        <w:t>s</w:t>
      </w:r>
      <w:r w:rsidRPr="00E31ABE">
        <w:rPr>
          <w:spacing w:val="-4"/>
          <w:sz w:val="23"/>
          <w:szCs w:val="23"/>
          <w:lang w:eastAsia="en-AU"/>
        </w:rPr>
        <w:t xml:space="preserve"> </w:t>
      </w:r>
      <w:r w:rsidRPr="00E31ABE">
        <w:rPr>
          <w:spacing w:val="3"/>
          <w:sz w:val="23"/>
          <w:szCs w:val="23"/>
          <w:lang w:eastAsia="en-AU"/>
        </w:rPr>
        <w:t>w</w:t>
      </w:r>
      <w:r w:rsidRPr="00E31ABE">
        <w:rPr>
          <w:spacing w:val="-1"/>
          <w:sz w:val="23"/>
          <w:szCs w:val="23"/>
          <w:lang w:eastAsia="en-AU"/>
        </w:rPr>
        <w:t>i</w:t>
      </w:r>
      <w:r w:rsidRPr="00E31ABE">
        <w:rPr>
          <w:spacing w:val="1"/>
          <w:sz w:val="23"/>
          <w:szCs w:val="23"/>
          <w:lang w:eastAsia="en-AU"/>
        </w:rPr>
        <w:t>t</w:t>
      </w:r>
      <w:r w:rsidRPr="00E31ABE">
        <w:rPr>
          <w:sz w:val="23"/>
          <w:szCs w:val="23"/>
          <w:lang w:eastAsia="en-AU"/>
        </w:rPr>
        <w:t>h F</w:t>
      </w:r>
      <w:r w:rsidRPr="00E31ABE">
        <w:rPr>
          <w:spacing w:val="-2"/>
          <w:sz w:val="23"/>
          <w:szCs w:val="23"/>
          <w:lang w:eastAsia="en-AU"/>
        </w:rPr>
        <w:t>L -</w:t>
      </w:r>
      <w:r w:rsidRPr="00E31ABE">
        <w:rPr>
          <w:sz w:val="23"/>
          <w:szCs w:val="23"/>
          <w:lang w:eastAsia="en-AU"/>
        </w:rPr>
        <w:t xml:space="preserve"> </w:t>
      </w:r>
      <w:r w:rsidRPr="00E31ABE">
        <w:rPr>
          <w:spacing w:val="-1"/>
          <w:sz w:val="23"/>
          <w:szCs w:val="23"/>
          <w:lang w:eastAsia="en-AU"/>
        </w:rPr>
        <w:t>C</w:t>
      </w:r>
      <w:r w:rsidRPr="00E31ABE">
        <w:rPr>
          <w:sz w:val="23"/>
          <w:szCs w:val="23"/>
          <w:lang w:eastAsia="en-AU"/>
        </w:rPr>
        <w:t>ombina</w:t>
      </w:r>
      <w:r w:rsidRPr="00E31ABE">
        <w:rPr>
          <w:spacing w:val="-2"/>
          <w:sz w:val="23"/>
          <w:szCs w:val="23"/>
          <w:lang w:eastAsia="en-AU"/>
        </w:rPr>
        <w:t>t</w:t>
      </w:r>
      <w:r w:rsidRPr="00E31ABE">
        <w:rPr>
          <w:spacing w:val="1"/>
          <w:sz w:val="23"/>
          <w:szCs w:val="23"/>
          <w:lang w:eastAsia="en-AU"/>
        </w:rPr>
        <w:t>i</w:t>
      </w:r>
      <w:r w:rsidRPr="00E31ABE">
        <w:rPr>
          <w:sz w:val="23"/>
          <w:szCs w:val="23"/>
          <w:lang w:eastAsia="en-AU"/>
        </w:rPr>
        <w:t xml:space="preserve">on </w:t>
      </w:r>
      <w:r w:rsidRPr="00E31ABE">
        <w:rPr>
          <w:spacing w:val="-1"/>
          <w:sz w:val="23"/>
          <w:szCs w:val="23"/>
          <w:lang w:eastAsia="en-AU"/>
        </w:rPr>
        <w:t>Phas</w:t>
      </w:r>
      <w:r w:rsidRPr="00E31ABE">
        <w:rPr>
          <w:sz w:val="23"/>
          <w:szCs w:val="23"/>
          <w:lang w:eastAsia="en-AU"/>
        </w:rPr>
        <w:t>e</w:t>
      </w:r>
      <w:r w:rsidRPr="00E31ABE">
        <w:rPr>
          <w:spacing w:val="-1"/>
          <w:sz w:val="23"/>
          <w:szCs w:val="23"/>
          <w:lang w:eastAsia="en-AU"/>
        </w:rPr>
        <w:t xml:space="preserve"> </w:t>
      </w:r>
    </w:p>
    <w:p w:rsidR="00622AE3" w:rsidRPr="00E3482E" w:rsidRDefault="00622AE3" w:rsidP="00622AE3">
      <w:pPr>
        <w:autoSpaceDE w:val="0"/>
        <w:autoSpaceDN w:val="0"/>
        <w:adjustRightInd w:val="0"/>
        <w:spacing w:line="200" w:lineRule="exact"/>
        <w:rPr>
          <w:color w:val="000000"/>
          <w:lang w:eastAsia="en-AU"/>
        </w:rPr>
      </w:pPr>
    </w:p>
    <w:tbl>
      <w:tblPr>
        <w:tblW w:w="0" w:type="auto"/>
        <w:tblInd w:w="120" w:type="dxa"/>
        <w:tblLayout w:type="fixed"/>
        <w:tblCellMar>
          <w:left w:w="0" w:type="dxa"/>
          <w:right w:w="0" w:type="dxa"/>
        </w:tblCellMar>
        <w:tblLook w:val="0000" w:firstRow="0" w:lastRow="0" w:firstColumn="0" w:lastColumn="0" w:noHBand="0" w:noVBand="0"/>
      </w:tblPr>
      <w:tblGrid>
        <w:gridCol w:w="4031"/>
        <w:gridCol w:w="1410"/>
        <w:gridCol w:w="1232"/>
        <w:gridCol w:w="1286"/>
        <w:gridCol w:w="1247"/>
      </w:tblGrid>
      <w:tr w:rsidR="00622AE3" w:rsidRPr="00E31ABE" w:rsidTr="00E31ABE">
        <w:trPr>
          <w:trHeight w:hRule="exact" w:val="730"/>
        </w:trPr>
        <w:tc>
          <w:tcPr>
            <w:tcW w:w="4031" w:type="dxa"/>
            <w:tcBorders>
              <w:top w:val="nil"/>
              <w:left w:val="nil"/>
              <w:bottom w:val="single" w:sz="6" w:space="0" w:color="000000"/>
              <w:right w:val="nil"/>
            </w:tcBorders>
          </w:tcPr>
          <w:p w:rsidR="00622AE3" w:rsidRPr="00E31ABE" w:rsidRDefault="00622AE3" w:rsidP="00C329A1">
            <w:pPr>
              <w:autoSpaceDE w:val="0"/>
              <w:autoSpaceDN w:val="0"/>
              <w:adjustRightInd w:val="0"/>
              <w:spacing w:before="15" w:line="240" w:lineRule="exact"/>
              <w:rPr>
                <w:color w:val="000000"/>
                <w:sz w:val="22"/>
                <w:szCs w:val="22"/>
                <w:lang w:eastAsia="en-AU"/>
              </w:rPr>
            </w:pPr>
          </w:p>
        </w:tc>
        <w:tc>
          <w:tcPr>
            <w:tcW w:w="2642" w:type="dxa"/>
            <w:gridSpan w:val="2"/>
            <w:tcBorders>
              <w:top w:val="nil"/>
              <w:left w:val="nil"/>
              <w:bottom w:val="single" w:sz="6" w:space="0" w:color="000000"/>
              <w:right w:val="nil"/>
            </w:tcBorders>
            <w:vAlign w:val="center"/>
          </w:tcPr>
          <w:p w:rsidR="00622AE3" w:rsidRPr="00E31ABE" w:rsidRDefault="00982770" w:rsidP="00C329A1">
            <w:pPr>
              <w:autoSpaceDE w:val="0"/>
              <w:autoSpaceDN w:val="0"/>
              <w:adjustRightInd w:val="0"/>
              <w:spacing w:before="34" w:line="242" w:lineRule="auto"/>
              <w:ind w:left="242" w:right="-54"/>
              <w:jc w:val="center"/>
              <w:rPr>
                <w:color w:val="000000"/>
                <w:sz w:val="22"/>
                <w:szCs w:val="22"/>
                <w:lang w:eastAsia="en-AU"/>
              </w:rPr>
            </w:pPr>
            <w:r w:rsidRPr="00E31ABE">
              <w:rPr>
                <w:b/>
                <w:bCs/>
                <w:color w:val="000000"/>
                <w:spacing w:val="1"/>
                <w:sz w:val="22"/>
                <w:szCs w:val="22"/>
                <w:lang w:eastAsia="en-AU"/>
              </w:rPr>
              <w:t>RIXIMYO</w:t>
            </w:r>
            <w:r w:rsidRPr="00E31ABE">
              <w:rPr>
                <w:b/>
                <w:bCs/>
                <w:color w:val="000000"/>
                <w:spacing w:val="1"/>
                <w:sz w:val="22"/>
                <w:szCs w:val="22"/>
                <w:vertAlign w:val="superscript"/>
                <w:lang w:eastAsia="en-AU"/>
              </w:rPr>
              <w:t>®</w:t>
            </w:r>
            <w:r w:rsidR="00622AE3" w:rsidRPr="00E31ABE">
              <w:rPr>
                <w:b/>
                <w:bCs/>
                <w:color w:val="000000"/>
                <w:spacing w:val="1"/>
                <w:sz w:val="22"/>
                <w:szCs w:val="22"/>
                <w:lang w:eastAsia="en-AU"/>
              </w:rPr>
              <w:t>-CVP</w:t>
            </w:r>
            <w:r w:rsidR="00622AE3" w:rsidRPr="00E31ABE">
              <w:rPr>
                <w:b/>
                <w:bCs/>
                <w:color w:val="000000"/>
                <w:spacing w:val="1"/>
                <w:sz w:val="22"/>
                <w:szCs w:val="22"/>
                <w:lang w:eastAsia="en-AU"/>
              </w:rPr>
              <w:br/>
              <w:t>(</w:t>
            </w:r>
            <w:r w:rsidR="00622AE3" w:rsidRPr="00E31ABE">
              <w:rPr>
                <w:b/>
                <w:bCs/>
                <w:color w:val="000000"/>
                <w:sz w:val="22"/>
                <w:szCs w:val="22"/>
                <w:lang w:eastAsia="en-AU"/>
              </w:rPr>
              <w:t>N</w:t>
            </w:r>
            <w:r w:rsidR="00622AE3" w:rsidRPr="00E31ABE">
              <w:rPr>
                <w:b/>
                <w:bCs/>
                <w:color w:val="000000"/>
                <w:spacing w:val="-1"/>
                <w:sz w:val="22"/>
                <w:szCs w:val="22"/>
                <w:lang w:eastAsia="en-AU"/>
              </w:rPr>
              <w:t>=</w:t>
            </w:r>
            <w:r w:rsidR="00622AE3" w:rsidRPr="00E31ABE">
              <w:rPr>
                <w:b/>
                <w:bCs/>
                <w:color w:val="000000"/>
                <w:sz w:val="22"/>
                <w:szCs w:val="22"/>
                <w:lang w:eastAsia="en-AU"/>
              </w:rPr>
              <w:t>3</w:t>
            </w:r>
            <w:r w:rsidR="00622AE3" w:rsidRPr="00E31ABE">
              <w:rPr>
                <w:b/>
                <w:bCs/>
                <w:color w:val="000000"/>
                <w:spacing w:val="1"/>
                <w:sz w:val="22"/>
                <w:szCs w:val="22"/>
                <w:lang w:eastAsia="en-AU"/>
              </w:rPr>
              <w:t>1</w:t>
            </w:r>
            <w:r w:rsidR="00622AE3" w:rsidRPr="00E31ABE">
              <w:rPr>
                <w:b/>
                <w:bCs/>
                <w:color w:val="000000"/>
                <w:sz w:val="22"/>
                <w:szCs w:val="22"/>
                <w:lang w:eastAsia="en-AU"/>
              </w:rPr>
              <w:t>2)</w:t>
            </w:r>
          </w:p>
          <w:p w:rsidR="00622AE3" w:rsidRPr="00E31ABE" w:rsidRDefault="00622AE3" w:rsidP="00C329A1">
            <w:pPr>
              <w:autoSpaceDE w:val="0"/>
              <w:autoSpaceDN w:val="0"/>
              <w:adjustRightInd w:val="0"/>
              <w:spacing w:before="22" w:line="242" w:lineRule="auto"/>
              <w:ind w:left="372" w:right="107" w:hanging="211"/>
              <w:jc w:val="center"/>
              <w:rPr>
                <w:b/>
                <w:bCs/>
                <w:color w:val="000000"/>
                <w:spacing w:val="1"/>
                <w:sz w:val="22"/>
                <w:szCs w:val="22"/>
                <w:lang w:eastAsia="en-AU"/>
              </w:rPr>
            </w:pPr>
          </w:p>
        </w:tc>
        <w:tc>
          <w:tcPr>
            <w:tcW w:w="2533" w:type="dxa"/>
            <w:gridSpan w:val="2"/>
            <w:tcBorders>
              <w:top w:val="nil"/>
              <w:left w:val="nil"/>
              <w:bottom w:val="single" w:sz="6" w:space="0" w:color="000000"/>
              <w:right w:val="nil"/>
            </w:tcBorders>
            <w:vAlign w:val="center"/>
          </w:tcPr>
          <w:p w:rsidR="00622AE3" w:rsidRPr="00E31ABE" w:rsidRDefault="00BB67D0" w:rsidP="00F11870">
            <w:pPr>
              <w:autoSpaceDE w:val="0"/>
              <w:autoSpaceDN w:val="0"/>
              <w:adjustRightInd w:val="0"/>
              <w:spacing w:before="34" w:line="242" w:lineRule="auto"/>
              <w:ind w:left="17" w:right="-54"/>
              <w:jc w:val="center"/>
              <w:rPr>
                <w:color w:val="000000"/>
                <w:sz w:val="22"/>
                <w:szCs w:val="22"/>
                <w:lang w:eastAsia="en-AU"/>
              </w:rPr>
            </w:pPr>
            <w:r w:rsidRPr="00E31ABE">
              <w:rPr>
                <w:b/>
                <w:bCs/>
                <w:color w:val="000000"/>
                <w:sz w:val="22"/>
                <w:szCs w:val="22"/>
                <w:lang w:eastAsia="en-AU"/>
              </w:rPr>
              <w:t>Reference Medicine</w:t>
            </w:r>
            <w:r w:rsidR="00622AE3" w:rsidRPr="00E31ABE">
              <w:rPr>
                <w:b/>
                <w:bCs/>
                <w:color w:val="000000"/>
                <w:sz w:val="22"/>
                <w:szCs w:val="22"/>
                <w:lang w:eastAsia="en-AU"/>
              </w:rPr>
              <w:t>-CVP</w:t>
            </w:r>
            <w:r w:rsidR="00622AE3" w:rsidRPr="00E31ABE">
              <w:rPr>
                <w:b/>
                <w:bCs/>
                <w:color w:val="000000"/>
                <w:sz w:val="22"/>
                <w:szCs w:val="22"/>
                <w:lang w:eastAsia="en-AU"/>
              </w:rPr>
              <w:br/>
            </w:r>
            <w:r w:rsidR="00622AE3" w:rsidRPr="00E31ABE">
              <w:rPr>
                <w:b/>
                <w:bCs/>
                <w:color w:val="000000"/>
                <w:spacing w:val="-15"/>
                <w:sz w:val="22"/>
                <w:szCs w:val="22"/>
                <w:lang w:eastAsia="en-AU"/>
              </w:rPr>
              <w:t xml:space="preserve"> </w:t>
            </w:r>
            <w:r w:rsidR="00622AE3" w:rsidRPr="00E31ABE">
              <w:rPr>
                <w:b/>
                <w:bCs/>
                <w:color w:val="000000"/>
                <w:spacing w:val="1"/>
                <w:sz w:val="22"/>
                <w:szCs w:val="22"/>
                <w:lang w:eastAsia="en-AU"/>
              </w:rPr>
              <w:t>(</w:t>
            </w:r>
            <w:r w:rsidR="00622AE3" w:rsidRPr="00E31ABE">
              <w:rPr>
                <w:b/>
                <w:bCs/>
                <w:color w:val="000000"/>
                <w:sz w:val="22"/>
                <w:szCs w:val="22"/>
                <w:lang w:eastAsia="en-AU"/>
              </w:rPr>
              <w:t>N</w:t>
            </w:r>
            <w:r w:rsidR="00622AE3" w:rsidRPr="00E31ABE">
              <w:rPr>
                <w:b/>
                <w:bCs/>
                <w:color w:val="000000"/>
                <w:spacing w:val="-1"/>
                <w:sz w:val="22"/>
                <w:szCs w:val="22"/>
                <w:lang w:eastAsia="en-AU"/>
              </w:rPr>
              <w:t>=</w:t>
            </w:r>
            <w:r w:rsidR="00622AE3" w:rsidRPr="00E31ABE">
              <w:rPr>
                <w:b/>
                <w:bCs/>
                <w:color w:val="000000"/>
                <w:sz w:val="22"/>
                <w:szCs w:val="22"/>
                <w:lang w:eastAsia="en-AU"/>
              </w:rPr>
              <w:t>3</w:t>
            </w:r>
            <w:r w:rsidR="00622AE3" w:rsidRPr="00E31ABE">
              <w:rPr>
                <w:b/>
                <w:bCs/>
                <w:color w:val="000000"/>
                <w:spacing w:val="1"/>
                <w:sz w:val="22"/>
                <w:szCs w:val="22"/>
                <w:lang w:eastAsia="en-AU"/>
              </w:rPr>
              <w:t>1</w:t>
            </w:r>
            <w:r w:rsidR="00622AE3" w:rsidRPr="00E31ABE">
              <w:rPr>
                <w:b/>
                <w:bCs/>
                <w:color w:val="000000"/>
                <w:sz w:val="22"/>
                <w:szCs w:val="22"/>
                <w:lang w:eastAsia="en-AU"/>
              </w:rPr>
              <w:t>5)</w:t>
            </w:r>
          </w:p>
          <w:p w:rsidR="00622AE3" w:rsidRPr="00E31ABE" w:rsidRDefault="00622AE3" w:rsidP="00C329A1">
            <w:pPr>
              <w:autoSpaceDE w:val="0"/>
              <w:autoSpaceDN w:val="0"/>
              <w:adjustRightInd w:val="0"/>
              <w:spacing w:before="22" w:line="242" w:lineRule="auto"/>
              <w:ind w:left="371" w:right="123" w:hanging="212"/>
              <w:jc w:val="center"/>
              <w:rPr>
                <w:b/>
                <w:bCs/>
                <w:color w:val="000000"/>
                <w:spacing w:val="1"/>
                <w:sz w:val="22"/>
                <w:szCs w:val="22"/>
                <w:lang w:eastAsia="en-AU"/>
              </w:rPr>
            </w:pPr>
          </w:p>
        </w:tc>
      </w:tr>
      <w:tr w:rsidR="00622AE3" w:rsidRPr="00E31ABE" w:rsidTr="00F47D23">
        <w:trPr>
          <w:trHeight w:val="340"/>
        </w:trPr>
        <w:tc>
          <w:tcPr>
            <w:tcW w:w="4031" w:type="dxa"/>
            <w:tcBorders>
              <w:top w:val="nil"/>
              <w:left w:val="nil"/>
              <w:bottom w:val="single" w:sz="6" w:space="0" w:color="000000"/>
              <w:right w:val="nil"/>
            </w:tcBorders>
          </w:tcPr>
          <w:p w:rsidR="00622AE3" w:rsidRPr="00E31ABE" w:rsidRDefault="00622AE3" w:rsidP="00C329A1">
            <w:pPr>
              <w:autoSpaceDE w:val="0"/>
              <w:autoSpaceDN w:val="0"/>
              <w:adjustRightInd w:val="0"/>
              <w:spacing w:before="15" w:line="240" w:lineRule="exact"/>
              <w:rPr>
                <w:color w:val="000000"/>
                <w:sz w:val="22"/>
                <w:szCs w:val="22"/>
                <w:lang w:eastAsia="en-AU"/>
              </w:rPr>
            </w:pPr>
          </w:p>
          <w:p w:rsidR="00622AE3" w:rsidRPr="00E31ABE" w:rsidRDefault="00622AE3" w:rsidP="00C329A1">
            <w:pPr>
              <w:autoSpaceDE w:val="0"/>
              <w:autoSpaceDN w:val="0"/>
              <w:adjustRightInd w:val="0"/>
              <w:spacing w:line="240" w:lineRule="auto"/>
              <w:ind w:left="60" w:right="-20"/>
              <w:rPr>
                <w:color w:val="000000"/>
                <w:sz w:val="22"/>
                <w:szCs w:val="22"/>
                <w:lang w:eastAsia="en-AU"/>
              </w:rPr>
            </w:pPr>
            <w:r w:rsidRPr="00E31ABE">
              <w:rPr>
                <w:b/>
                <w:bCs/>
                <w:color w:val="000000"/>
                <w:spacing w:val="-1"/>
                <w:sz w:val="22"/>
                <w:szCs w:val="22"/>
                <w:lang w:eastAsia="en-AU"/>
              </w:rPr>
              <w:t>Pr</w:t>
            </w:r>
            <w:r w:rsidRPr="00E31ABE">
              <w:rPr>
                <w:b/>
                <w:bCs/>
                <w:color w:val="000000"/>
                <w:sz w:val="22"/>
                <w:szCs w:val="22"/>
                <w:lang w:eastAsia="en-AU"/>
              </w:rPr>
              <w:t>ef</w:t>
            </w:r>
            <w:r w:rsidRPr="00E31ABE">
              <w:rPr>
                <w:b/>
                <w:bCs/>
                <w:color w:val="000000"/>
                <w:spacing w:val="2"/>
                <w:sz w:val="22"/>
                <w:szCs w:val="22"/>
                <w:lang w:eastAsia="en-AU"/>
              </w:rPr>
              <w:t>e</w:t>
            </w:r>
            <w:r w:rsidRPr="00E31ABE">
              <w:rPr>
                <w:b/>
                <w:bCs/>
                <w:color w:val="000000"/>
                <w:spacing w:val="-1"/>
                <w:sz w:val="22"/>
                <w:szCs w:val="22"/>
                <w:lang w:eastAsia="en-AU"/>
              </w:rPr>
              <w:t>r</w:t>
            </w:r>
            <w:r w:rsidRPr="00E31ABE">
              <w:rPr>
                <w:b/>
                <w:bCs/>
                <w:color w:val="000000"/>
                <w:spacing w:val="2"/>
                <w:sz w:val="22"/>
                <w:szCs w:val="22"/>
                <w:lang w:eastAsia="en-AU"/>
              </w:rPr>
              <w:t>r</w:t>
            </w:r>
            <w:r w:rsidRPr="00E31ABE">
              <w:rPr>
                <w:b/>
                <w:bCs/>
                <w:color w:val="000000"/>
                <w:sz w:val="22"/>
                <w:szCs w:val="22"/>
                <w:lang w:eastAsia="en-AU"/>
              </w:rPr>
              <w:t>ed</w:t>
            </w:r>
            <w:r w:rsidRPr="00E31ABE">
              <w:rPr>
                <w:b/>
                <w:bCs/>
                <w:color w:val="000000"/>
                <w:spacing w:val="-9"/>
                <w:sz w:val="22"/>
                <w:szCs w:val="22"/>
                <w:lang w:eastAsia="en-AU"/>
              </w:rPr>
              <w:t xml:space="preserve"> </w:t>
            </w:r>
            <w:r w:rsidRPr="00E31ABE">
              <w:rPr>
                <w:b/>
                <w:bCs/>
                <w:color w:val="000000"/>
                <w:spacing w:val="1"/>
                <w:sz w:val="22"/>
                <w:szCs w:val="22"/>
                <w:lang w:eastAsia="en-AU"/>
              </w:rPr>
              <w:t>t</w:t>
            </w:r>
            <w:r w:rsidRPr="00E31ABE">
              <w:rPr>
                <w:b/>
                <w:bCs/>
                <w:color w:val="000000"/>
                <w:sz w:val="22"/>
                <w:szCs w:val="22"/>
                <w:lang w:eastAsia="en-AU"/>
              </w:rPr>
              <w:t>e</w:t>
            </w:r>
            <w:r w:rsidRPr="00E31ABE">
              <w:rPr>
                <w:b/>
                <w:bCs/>
                <w:color w:val="000000"/>
                <w:spacing w:val="-1"/>
                <w:sz w:val="22"/>
                <w:szCs w:val="22"/>
                <w:lang w:eastAsia="en-AU"/>
              </w:rPr>
              <w:t>r</w:t>
            </w:r>
            <w:r w:rsidRPr="00E31ABE">
              <w:rPr>
                <w:b/>
                <w:bCs/>
                <w:color w:val="000000"/>
                <w:sz w:val="22"/>
                <w:szCs w:val="22"/>
                <w:lang w:eastAsia="en-AU"/>
              </w:rPr>
              <w:t>m</w:t>
            </w:r>
          </w:p>
        </w:tc>
        <w:tc>
          <w:tcPr>
            <w:tcW w:w="1410" w:type="dxa"/>
            <w:tcBorders>
              <w:top w:val="nil"/>
              <w:left w:val="nil"/>
              <w:bottom w:val="single" w:sz="6" w:space="0" w:color="000000"/>
              <w:right w:val="nil"/>
            </w:tcBorders>
          </w:tcPr>
          <w:p w:rsidR="00622AE3" w:rsidRPr="00E31ABE" w:rsidRDefault="00622AE3" w:rsidP="00C329A1">
            <w:pPr>
              <w:autoSpaceDE w:val="0"/>
              <w:autoSpaceDN w:val="0"/>
              <w:adjustRightInd w:val="0"/>
              <w:spacing w:before="22" w:line="242" w:lineRule="auto"/>
              <w:ind w:left="525" w:right="106" w:hanging="240"/>
              <w:rPr>
                <w:color w:val="000000"/>
                <w:sz w:val="22"/>
                <w:szCs w:val="22"/>
                <w:lang w:eastAsia="en-AU"/>
              </w:rPr>
            </w:pPr>
            <w:r w:rsidRPr="00E31ABE">
              <w:rPr>
                <w:b/>
                <w:bCs/>
                <w:color w:val="000000"/>
                <w:spacing w:val="-5"/>
                <w:sz w:val="22"/>
                <w:szCs w:val="22"/>
                <w:lang w:eastAsia="en-AU"/>
              </w:rPr>
              <w:t>A</w:t>
            </w:r>
            <w:r w:rsidRPr="00E31ABE">
              <w:rPr>
                <w:b/>
                <w:bCs/>
                <w:color w:val="000000"/>
                <w:spacing w:val="2"/>
                <w:sz w:val="22"/>
                <w:szCs w:val="22"/>
                <w:lang w:eastAsia="en-AU"/>
              </w:rPr>
              <w:t>l</w:t>
            </w:r>
            <w:r w:rsidRPr="00E31ABE">
              <w:rPr>
                <w:b/>
                <w:bCs/>
                <w:color w:val="000000"/>
                <w:sz w:val="22"/>
                <w:szCs w:val="22"/>
                <w:lang w:eastAsia="en-AU"/>
              </w:rPr>
              <w:t>l</w:t>
            </w:r>
            <w:r w:rsidRPr="00E31ABE">
              <w:rPr>
                <w:b/>
                <w:bCs/>
                <w:color w:val="000000"/>
                <w:spacing w:val="-1"/>
                <w:sz w:val="22"/>
                <w:szCs w:val="22"/>
                <w:lang w:eastAsia="en-AU"/>
              </w:rPr>
              <w:t xml:space="preserve"> </w:t>
            </w:r>
            <w:r w:rsidRPr="00E31ABE">
              <w:rPr>
                <w:b/>
                <w:bCs/>
                <w:color w:val="000000"/>
                <w:sz w:val="22"/>
                <w:szCs w:val="22"/>
                <w:lang w:eastAsia="en-AU"/>
              </w:rPr>
              <w:t>gra</w:t>
            </w:r>
            <w:r w:rsidRPr="00E31ABE">
              <w:rPr>
                <w:b/>
                <w:bCs/>
                <w:color w:val="000000"/>
                <w:spacing w:val="2"/>
                <w:sz w:val="22"/>
                <w:szCs w:val="22"/>
                <w:lang w:eastAsia="en-AU"/>
              </w:rPr>
              <w:t>d</w:t>
            </w:r>
            <w:r w:rsidRPr="00E31ABE">
              <w:rPr>
                <w:b/>
                <w:bCs/>
                <w:color w:val="000000"/>
                <w:sz w:val="22"/>
                <w:szCs w:val="22"/>
                <w:lang w:eastAsia="en-AU"/>
              </w:rPr>
              <w:t>es</w:t>
            </w:r>
            <w:r w:rsidRPr="00E31ABE">
              <w:rPr>
                <w:b/>
                <w:bCs/>
                <w:color w:val="000000"/>
                <w:spacing w:val="-7"/>
                <w:sz w:val="22"/>
                <w:szCs w:val="22"/>
                <w:lang w:eastAsia="en-AU"/>
              </w:rPr>
              <w:t xml:space="preserve"> </w:t>
            </w:r>
            <w:r w:rsidRPr="00E31ABE">
              <w:rPr>
                <w:b/>
                <w:bCs/>
                <w:color w:val="000000"/>
                <w:sz w:val="22"/>
                <w:szCs w:val="22"/>
                <w:lang w:eastAsia="en-AU"/>
              </w:rPr>
              <w:t>n</w:t>
            </w:r>
            <w:r w:rsidRPr="00E31ABE">
              <w:rPr>
                <w:b/>
                <w:bCs/>
                <w:color w:val="000000"/>
                <w:spacing w:val="-1"/>
                <w:sz w:val="22"/>
                <w:szCs w:val="22"/>
                <w:lang w:eastAsia="en-AU"/>
              </w:rPr>
              <w:t xml:space="preserve"> </w:t>
            </w:r>
            <w:r w:rsidRPr="00E31ABE">
              <w:rPr>
                <w:b/>
                <w:bCs/>
                <w:color w:val="000000"/>
                <w:sz w:val="22"/>
                <w:szCs w:val="22"/>
                <w:lang w:eastAsia="en-AU"/>
              </w:rPr>
              <w:t>(</w:t>
            </w:r>
            <w:r w:rsidRPr="00E31ABE">
              <w:rPr>
                <w:b/>
                <w:bCs/>
                <w:color w:val="000000"/>
                <w:spacing w:val="-2"/>
                <w:sz w:val="22"/>
                <w:szCs w:val="22"/>
                <w:lang w:eastAsia="en-AU"/>
              </w:rPr>
              <w:t>%</w:t>
            </w:r>
            <w:r w:rsidRPr="00E31ABE">
              <w:rPr>
                <w:b/>
                <w:bCs/>
                <w:color w:val="000000"/>
                <w:sz w:val="22"/>
                <w:szCs w:val="22"/>
                <w:lang w:eastAsia="en-AU"/>
              </w:rPr>
              <w:t>)</w:t>
            </w:r>
          </w:p>
        </w:tc>
        <w:tc>
          <w:tcPr>
            <w:tcW w:w="1232" w:type="dxa"/>
            <w:tcBorders>
              <w:top w:val="nil"/>
              <w:left w:val="nil"/>
              <w:bottom w:val="single" w:sz="6" w:space="0" w:color="000000"/>
              <w:right w:val="nil"/>
            </w:tcBorders>
          </w:tcPr>
          <w:p w:rsidR="00622AE3" w:rsidRPr="00E31ABE" w:rsidRDefault="00622AE3" w:rsidP="00C329A1">
            <w:pPr>
              <w:autoSpaceDE w:val="0"/>
              <w:autoSpaceDN w:val="0"/>
              <w:adjustRightInd w:val="0"/>
              <w:spacing w:before="22" w:line="242" w:lineRule="auto"/>
              <w:ind w:left="372" w:right="107" w:hanging="211"/>
              <w:rPr>
                <w:color w:val="000000"/>
                <w:sz w:val="22"/>
                <w:szCs w:val="22"/>
                <w:lang w:eastAsia="en-AU"/>
              </w:rPr>
            </w:pPr>
            <w:r w:rsidRPr="00E31ABE">
              <w:rPr>
                <w:b/>
                <w:bCs/>
                <w:color w:val="000000"/>
                <w:spacing w:val="1"/>
                <w:sz w:val="22"/>
                <w:szCs w:val="22"/>
                <w:lang w:eastAsia="en-AU"/>
              </w:rPr>
              <w:t>G</w:t>
            </w:r>
            <w:r w:rsidRPr="00E31ABE">
              <w:rPr>
                <w:b/>
                <w:bCs/>
                <w:color w:val="000000"/>
                <w:spacing w:val="-1"/>
                <w:sz w:val="22"/>
                <w:szCs w:val="22"/>
                <w:lang w:eastAsia="en-AU"/>
              </w:rPr>
              <w:t>r</w:t>
            </w:r>
            <w:r w:rsidRPr="00E31ABE">
              <w:rPr>
                <w:b/>
                <w:bCs/>
                <w:color w:val="000000"/>
                <w:sz w:val="22"/>
                <w:szCs w:val="22"/>
                <w:lang w:eastAsia="en-AU"/>
              </w:rPr>
              <w:t>ade</w:t>
            </w:r>
            <w:r w:rsidRPr="00E31ABE">
              <w:rPr>
                <w:b/>
                <w:bCs/>
                <w:color w:val="000000"/>
                <w:spacing w:val="-6"/>
                <w:sz w:val="22"/>
                <w:szCs w:val="22"/>
                <w:lang w:eastAsia="en-AU"/>
              </w:rPr>
              <w:t xml:space="preserve"> </w:t>
            </w:r>
            <w:r w:rsidRPr="00E31ABE">
              <w:rPr>
                <w:b/>
                <w:bCs/>
                <w:color w:val="000000"/>
                <w:spacing w:val="2"/>
                <w:sz w:val="22"/>
                <w:szCs w:val="22"/>
                <w:lang w:eastAsia="en-AU"/>
              </w:rPr>
              <w:t>3</w:t>
            </w:r>
            <w:r w:rsidRPr="00E31ABE">
              <w:rPr>
                <w:b/>
                <w:bCs/>
                <w:color w:val="000000"/>
                <w:sz w:val="22"/>
                <w:szCs w:val="22"/>
                <w:lang w:eastAsia="en-AU"/>
              </w:rPr>
              <w:t>/4</w:t>
            </w:r>
            <w:r w:rsidRPr="00E31ABE">
              <w:rPr>
                <w:b/>
                <w:bCs/>
                <w:color w:val="000000"/>
                <w:spacing w:val="-3"/>
                <w:sz w:val="22"/>
                <w:szCs w:val="22"/>
                <w:lang w:eastAsia="en-AU"/>
              </w:rPr>
              <w:t xml:space="preserve"> </w:t>
            </w:r>
            <w:r w:rsidRPr="00E31ABE">
              <w:rPr>
                <w:b/>
                <w:bCs/>
                <w:color w:val="000000"/>
                <w:sz w:val="22"/>
                <w:szCs w:val="22"/>
                <w:lang w:eastAsia="en-AU"/>
              </w:rPr>
              <w:t>n</w:t>
            </w:r>
            <w:r w:rsidRPr="00E31ABE">
              <w:rPr>
                <w:b/>
                <w:bCs/>
                <w:color w:val="000000"/>
                <w:spacing w:val="-1"/>
                <w:sz w:val="22"/>
                <w:szCs w:val="22"/>
                <w:lang w:eastAsia="en-AU"/>
              </w:rPr>
              <w:t xml:space="preserve"> </w:t>
            </w:r>
            <w:r w:rsidRPr="00E31ABE">
              <w:rPr>
                <w:b/>
                <w:bCs/>
                <w:color w:val="000000"/>
                <w:sz w:val="22"/>
                <w:szCs w:val="22"/>
                <w:lang w:eastAsia="en-AU"/>
              </w:rPr>
              <w:t>(</w:t>
            </w:r>
            <w:r w:rsidRPr="00E31ABE">
              <w:rPr>
                <w:b/>
                <w:bCs/>
                <w:color w:val="000000"/>
                <w:spacing w:val="-2"/>
                <w:sz w:val="22"/>
                <w:szCs w:val="22"/>
                <w:lang w:eastAsia="en-AU"/>
              </w:rPr>
              <w:t>%</w:t>
            </w:r>
            <w:r w:rsidRPr="00E31ABE">
              <w:rPr>
                <w:b/>
                <w:bCs/>
                <w:color w:val="000000"/>
                <w:sz w:val="22"/>
                <w:szCs w:val="22"/>
                <w:lang w:eastAsia="en-AU"/>
              </w:rPr>
              <w:t>)</w:t>
            </w:r>
          </w:p>
        </w:tc>
        <w:tc>
          <w:tcPr>
            <w:tcW w:w="1286" w:type="dxa"/>
            <w:tcBorders>
              <w:top w:val="nil"/>
              <w:left w:val="nil"/>
              <w:bottom w:val="single" w:sz="6" w:space="0" w:color="000000"/>
              <w:right w:val="nil"/>
            </w:tcBorders>
          </w:tcPr>
          <w:p w:rsidR="00622AE3" w:rsidRPr="00E31ABE" w:rsidRDefault="00622AE3" w:rsidP="00C329A1">
            <w:pPr>
              <w:autoSpaceDE w:val="0"/>
              <w:autoSpaceDN w:val="0"/>
              <w:adjustRightInd w:val="0"/>
              <w:spacing w:before="22" w:line="242" w:lineRule="auto"/>
              <w:ind w:left="401" w:right="105" w:hanging="240"/>
              <w:rPr>
                <w:color w:val="000000"/>
                <w:sz w:val="22"/>
                <w:szCs w:val="22"/>
                <w:lang w:eastAsia="en-AU"/>
              </w:rPr>
            </w:pPr>
            <w:r w:rsidRPr="00E31ABE">
              <w:rPr>
                <w:b/>
                <w:bCs/>
                <w:color w:val="000000"/>
                <w:spacing w:val="-5"/>
                <w:sz w:val="22"/>
                <w:szCs w:val="22"/>
                <w:lang w:eastAsia="en-AU"/>
              </w:rPr>
              <w:t>A</w:t>
            </w:r>
            <w:r w:rsidRPr="00E31ABE">
              <w:rPr>
                <w:b/>
                <w:bCs/>
                <w:color w:val="000000"/>
                <w:spacing w:val="2"/>
                <w:sz w:val="22"/>
                <w:szCs w:val="22"/>
                <w:lang w:eastAsia="en-AU"/>
              </w:rPr>
              <w:t>l</w:t>
            </w:r>
            <w:r w:rsidRPr="00E31ABE">
              <w:rPr>
                <w:b/>
                <w:bCs/>
                <w:color w:val="000000"/>
                <w:sz w:val="22"/>
                <w:szCs w:val="22"/>
                <w:lang w:eastAsia="en-AU"/>
              </w:rPr>
              <w:t>l</w:t>
            </w:r>
            <w:r w:rsidRPr="00E31ABE">
              <w:rPr>
                <w:b/>
                <w:bCs/>
                <w:color w:val="000000"/>
                <w:spacing w:val="-1"/>
                <w:sz w:val="22"/>
                <w:szCs w:val="22"/>
                <w:lang w:eastAsia="en-AU"/>
              </w:rPr>
              <w:t xml:space="preserve"> </w:t>
            </w:r>
            <w:r w:rsidRPr="00E31ABE">
              <w:rPr>
                <w:b/>
                <w:bCs/>
                <w:color w:val="000000"/>
                <w:sz w:val="22"/>
                <w:szCs w:val="22"/>
                <w:lang w:eastAsia="en-AU"/>
              </w:rPr>
              <w:t>g</w:t>
            </w:r>
            <w:r w:rsidRPr="00E31ABE">
              <w:rPr>
                <w:b/>
                <w:bCs/>
                <w:color w:val="000000"/>
                <w:spacing w:val="-1"/>
                <w:sz w:val="22"/>
                <w:szCs w:val="22"/>
                <w:lang w:eastAsia="en-AU"/>
              </w:rPr>
              <w:t>r</w:t>
            </w:r>
            <w:r w:rsidRPr="00E31ABE">
              <w:rPr>
                <w:b/>
                <w:bCs/>
                <w:color w:val="000000"/>
                <w:sz w:val="22"/>
                <w:szCs w:val="22"/>
                <w:lang w:eastAsia="en-AU"/>
              </w:rPr>
              <w:t>a</w:t>
            </w:r>
            <w:r w:rsidRPr="00E31ABE">
              <w:rPr>
                <w:b/>
                <w:bCs/>
                <w:color w:val="000000"/>
                <w:spacing w:val="3"/>
                <w:sz w:val="22"/>
                <w:szCs w:val="22"/>
                <w:lang w:eastAsia="en-AU"/>
              </w:rPr>
              <w:t>d</w:t>
            </w:r>
            <w:r w:rsidRPr="00E31ABE">
              <w:rPr>
                <w:b/>
                <w:bCs/>
                <w:color w:val="000000"/>
                <w:sz w:val="22"/>
                <w:szCs w:val="22"/>
                <w:lang w:eastAsia="en-AU"/>
              </w:rPr>
              <w:t>es</w:t>
            </w:r>
            <w:r w:rsidRPr="00E31ABE">
              <w:rPr>
                <w:b/>
                <w:bCs/>
                <w:color w:val="000000"/>
                <w:spacing w:val="-7"/>
                <w:sz w:val="22"/>
                <w:szCs w:val="22"/>
                <w:lang w:eastAsia="en-AU"/>
              </w:rPr>
              <w:t xml:space="preserve"> </w:t>
            </w:r>
            <w:r w:rsidRPr="00E31ABE">
              <w:rPr>
                <w:b/>
                <w:bCs/>
                <w:color w:val="000000"/>
                <w:sz w:val="22"/>
                <w:szCs w:val="22"/>
                <w:lang w:eastAsia="en-AU"/>
              </w:rPr>
              <w:t>n</w:t>
            </w:r>
            <w:r w:rsidRPr="00E31ABE">
              <w:rPr>
                <w:b/>
                <w:bCs/>
                <w:color w:val="000000"/>
                <w:spacing w:val="-1"/>
                <w:sz w:val="22"/>
                <w:szCs w:val="22"/>
                <w:lang w:eastAsia="en-AU"/>
              </w:rPr>
              <w:t xml:space="preserve"> </w:t>
            </w:r>
            <w:r w:rsidRPr="00E31ABE">
              <w:rPr>
                <w:b/>
                <w:bCs/>
                <w:color w:val="000000"/>
                <w:sz w:val="22"/>
                <w:szCs w:val="22"/>
                <w:lang w:eastAsia="en-AU"/>
              </w:rPr>
              <w:t>(</w:t>
            </w:r>
            <w:r w:rsidRPr="00E31ABE">
              <w:rPr>
                <w:b/>
                <w:bCs/>
                <w:color w:val="000000"/>
                <w:spacing w:val="-2"/>
                <w:sz w:val="22"/>
                <w:szCs w:val="22"/>
                <w:lang w:eastAsia="en-AU"/>
              </w:rPr>
              <w:t>%</w:t>
            </w:r>
            <w:r w:rsidRPr="00E31ABE">
              <w:rPr>
                <w:b/>
                <w:bCs/>
                <w:color w:val="000000"/>
                <w:sz w:val="22"/>
                <w:szCs w:val="22"/>
                <w:lang w:eastAsia="en-AU"/>
              </w:rPr>
              <w:t>)</w:t>
            </w:r>
          </w:p>
        </w:tc>
        <w:tc>
          <w:tcPr>
            <w:tcW w:w="1247" w:type="dxa"/>
            <w:tcBorders>
              <w:top w:val="nil"/>
              <w:left w:val="nil"/>
              <w:bottom w:val="single" w:sz="6" w:space="0" w:color="000000"/>
              <w:right w:val="nil"/>
            </w:tcBorders>
          </w:tcPr>
          <w:p w:rsidR="00622AE3" w:rsidRPr="00E31ABE" w:rsidRDefault="00622AE3" w:rsidP="00C329A1">
            <w:pPr>
              <w:autoSpaceDE w:val="0"/>
              <w:autoSpaceDN w:val="0"/>
              <w:adjustRightInd w:val="0"/>
              <w:spacing w:before="22" w:line="242" w:lineRule="auto"/>
              <w:ind w:left="371" w:right="123" w:hanging="212"/>
              <w:rPr>
                <w:color w:val="000000"/>
                <w:sz w:val="22"/>
                <w:szCs w:val="22"/>
                <w:lang w:eastAsia="en-AU"/>
              </w:rPr>
            </w:pPr>
            <w:r w:rsidRPr="00E31ABE">
              <w:rPr>
                <w:b/>
                <w:bCs/>
                <w:color w:val="000000"/>
                <w:spacing w:val="1"/>
                <w:sz w:val="22"/>
                <w:szCs w:val="22"/>
                <w:lang w:eastAsia="en-AU"/>
              </w:rPr>
              <w:t>G</w:t>
            </w:r>
            <w:r w:rsidRPr="00E31ABE">
              <w:rPr>
                <w:b/>
                <w:bCs/>
                <w:color w:val="000000"/>
                <w:spacing w:val="-1"/>
                <w:sz w:val="22"/>
                <w:szCs w:val="22"/>
                <w:lang w:eastAsia="en-AU"/>
              </w:rPr>
              <w:t>r</w:t>
            </w:r>
            <w:r w:rsidRPr="00E31ABE">
              <w:rPr>
                <w:b/>
                <w:bCs/>
                <w:color w:val="000000"/>
                <w:sz w:val="22"/>
                <w:szCs w:val="22"/>
                <w:lang w:eastAsia="en-AU"/>
              </w:rPr>
              <w:t>ade</w:t>
            </w:r>
            <w:r w:rsidRPr="00E31ABE">
              <w:rPr>
                <w:b/>
                <w:bCs/>
                <w:color w:val="000000"/>
                <w:spacing w:val="-6"/>
                <w:sz w:val="22"/>
                <w:szCs w:val="22"/>
                <w:lang w:eastAsia="en-AU"/>
              </w:rPr>
              <w:t xml:space="preserve"> </w:t>
            </w:r>
            <w:r w:rsidRPr="00E31ABE">
              <w:rPr>
                <w:b/>
                <w:bCs/>
                <w:color w:val="000000"/>
                <w:spacing w:val="2"/>
                <w:sz w:val="22"/>
                <w:szCs w:val="22"/>
                <w:lang w:eastAsia="en-AU"/>
              </w:rPr>
              <w:t>3</w:t>
            </w:r>
            <w:r w:rsidRPr="00E31ABE">
              <w:rPr>
                <w:b/>
                <w:bCs/>
                <w:color w:val="000000"/>
                <w:sz w:val="22"/>
                <w:szCs w:val="22"/>
                <w:lang w:eastAsia="en-AU"/>
              </w:rPr>
              <w:t>/4</w:t>
            </w:r>
            <w:r w:rsidRPr="00E31ABE">
              <w:rPr>
                <w:b/>
                <w:bCs/>
                <w:color w:val="000000"/>
                <w:spacing w:val="-3"/>
                <w:sz w:val="22"/>
                <w:szCs w:val="22"/>
                <w:lang w:eastAsia="en-AU"/>
              </w:rPr>
              <w:t xml:space="preserve"> </w:t>
            </w:r>
            <w:r w:rsidRPr="00E31ABE">
              <w:rPr>
                <w:b/>
                <w:bCs/>
                <w:color w:val="000000"/>
                <w:sz w:val="22"/>
                <w:szCs w:val="22"/>
                <w:lang w:eastAsia="en-AU"/>
              </w:rPr>
              <w:t>n</w:t>
            </w:r>
            <w:r w:rsidRPr="00E31ABE">
              <w:rPr>
                <w:b/>
                <w:bCs/>
                <w:color w:val="000000"/>
                <w:spacing w:val="-1"/>
                <w:sz w:val="22"/>
                <w:szCs w:val="22"/>
                <w:lang w:eastAsia="en-AU"/>
              </w:rPr>
              <w:t xml:space="preserve"> </w:t>
            </w:r>
            <w:r w:rsidRPr="00E31ABE">
              <w:rPr>
                <w:b/>
                <w:bCs/>
                <w:color w:val="000000"/>
                <w:sz w:val="22"/>
                <w:szCs w:val="22"/>
                <w:lang w:eastAsia="en-AU"/>
              </w:rPr>
              <w:t>(</w:t>
            </w:r>
            <w:r w:rsidRPr="00E31ABE">
              <w:rPr>
                <w:b/>
                <w:bCs/>
                <w:color w:val="000000"/>
                <w:spacing w:val="-2"/>
                <w:sz w:val="22"/>
                <w:szCs w:val="22"/>
                <w:lang w:eastAsia="en-AU"/>
              </w:rPr>
              <w:t>%</w:t>
            </w:r>
            <w:r w:rsidRPr="00E31ABE">
              <w:rPr>
                <w:b/>
                <w:bCs/>
                <w:color w:val="000000"/>
                <w:sz w:val="22"/>
                <w:szCs w:val="22"/>
                <w:lang w:eastAsia="en-AU"/>
              </w:rPr>
              <w:t>)</w:t>
            </w:r>
          </w:p>
        </w:tc>
      </w:tr>
      <w:tr w:rsidR="00622AE3" w:rsidRPr="00BD4D0A" w:rsidTr="00F47D23">
        <w:trPr>
          <w:trHeight w:val="340"/>
        </w:trPr>
        <w:tc>
          <w:tcPr>
            <w:tcW w:w="4031" w:type="dxa"/>
            <w:tcBorders>
              <w:top w:val="single" w:sz="6" w:space="0" w:color="000000"/>
              <w:left w:val="nil"/>
              <w:bottom w:val="nil"/>
              <w:right w:val="nil"/>
            </w:tcBorders>
          </w:tcPr>
          <w:p w:rsidR="00622AE3" w:rsidRPr="00E31ABE" w:rsidRDefault="00622AE3" w:rsidP="00C329A1">
            <w:pPr>
              <w:autoSpaceDE w:val="0"/>
              <w:autoSpaceDN w:val="0"/>
              <w:adjustRightInd w:val="0"/>
              <w:spacing w:line="224" w:lineRule="exact"/>
              <w:ind w:left="60" w:right="-20"/>
              <w:rPr>
                <w:color w:val="000000"/>
                <w:sz w:val="22"/>
                <w:szCs w:val="22"/>
                <w:lang w:eastAsia="en-AU"/>
              </w:rPr>
            </w:pPr>
            <w:r w:rsidRPr="00E31ABE">
              <w:rPr>
                <w:b/>
                <w:bCs/>
                <w:color w:val="000000"/>
                <w:spacing w:val="3"/>
                <w:sz w:val="22"/>
                <w:szCs w:val="22"/>
                <w:lang w:eastAsia="en-AU"/>
              </w:rPr>
              <w:t>T</w:t>
            </w:r>
            <w:r w:rsidRPr="00E31ABE">
              <w:rPr>
                <w:b/>
                <w:bCs/>
                <w:color w:val="000000"/>
                <w:sz w:val="22"/>
                <w:szCs w:val="22"/>
                <w:lang w:eastAsia="en-AU"/>
              </w:rPr>
              <w:t>o</w:t>
            </w:r>
            <w:r w:rsidRPr="00E31ABE">
              <w:rPr>
                <w:b/>
                <w:bCs/>
                <w:color w:val="000000"/>
                <w:spacing w:val="1"/>
                <w:sz w:val="22"/>
                <w:szCs w:val="22"/>
                <w:lang w:eastAsia="en-AU"/>
              </w:rPr>
              <w:t>t</w:t>
            </w:r>
            <w:r w:rsidRPr="00E31ABE">
              <w:rPr>
                <w:b/>
                <w:bCs/>
                <w:color w:val="000000"/>
                <w:sz w:val="22"/>
                <w:szCs w:val="22"/>
                <w:lang w:eastAsia="en-AU"/>
              </w:rPr>
              <w:t>al</w:t>
            </w:r>
            <w:r w:rsidRPr="00E31ABE">
              <w:rPr>
                <w:b/>
                <w:bCs/>
                <w:color w:val="000000"/>
                <w:spacing w:val="-6"/>
                <w:sz w:val="22"/>
                <w:szCs w:val="22"/>
                <w:lang w:eastAsia="en-AU"/>
              </w:rPr>
              <w:t xml:space="preserve"> </w:t>
            </w:r>
            <w:r w:rsidRPr="00E31ABE">
              <w:rPr>
                <w:b/>
                <w:bCs/>
                <w:color w:val="000000"/>
                <w:sz w:val="22"/>
                <w:szCs w:val="22"/>
                <w:lang w:eastAsia="en-AU"/>
              </w:rPr>
              <w:t>num</w:t>
            </w:r>
            <w:r w:rsidRPr="00E31ABE">
              <w:rPr>
                <w:b/>
                <w:bCs/>
                <w:color w:val="000000"/>
                <w:spacing w:val="1"/>
                <w:sz w:val="22"/>
                <w:szCs w:val="22"/>
                <w:lang w:eastAsia="en-AU"/>
              </w:rPr>
              <w:t>b</w:t>
            </w:r>
            <w:r w:rsidRPr="00E31ABE">
              <w:rPr>
                <w:b/>
                <w:bCs/>
                <w:color w:val="000000"/>
                <w:sz w:val="22"/>
                <w:szCs w:val="22"/>
                <w:lang w:eastAsia="en-AU"/>
              </w:rPr>
              <w:t>er</w:t>
            </w:r>
            <w:r w:rsidRPr="00E31ABE">
              <w:rPr>
                <w:b/>
                <w:bCs/>
                <w:color w:val="000000"/>
                <w:spacing w:val="-8"/>
                <w:sz w:val="22"/>
                <w:szCs w:val="22"/>
                <w:lang w:eastAsia="en-AU"/>
              </w:rPr>
              <w:t xml:space="preserve"> </w:t>
            </w:r>
            <w:r w:rsidRPr="00E31ABE">
              <w:rPr>
                <w:b/>
                <w:bCs/>
                <w:color w:val="000000"/>
                <w:sz w:val="22"/>
                <w:szCs w:val="22"/>
                <w:lang w:eastAsia="en-AU"/>
              </w:rPr>
              <w:t>of</w:t>
            </w:r>
            <w:r w:rsidRPr="00E31ABE">
              <w:rPr>
                <w:b/>
                <w:bCs/>
                <w:color w:val="000000"/>
                <w:spacing w:val="-1"/>
                <w:sz w:val="22"/>
                <w:szCs w:val="22"/>
                <w:lang w:eastAsia="en-AU"/>
              </w:rPr>
              <w:t xml:space="preserve"> </w:t>
            </w:r>
            <w:r w:rsidRPr="00E31ABE">
              <w:rPr>
                <w:b/>
                <w:bCs/>
                <w:color w:val="000000"/>
                <w:sz w:val="22"/>
                <w:szCs w:val="22"/>
                <w:lang w:eastAsia="en-AU"/>
              </w:rPr>
              <w:t>pa</w:t>
            </w:r>
            <w:r w:rsidRPr="00E31ABE">
              <w:rPr>
                <w:b/>
                <w:bCs/>
                <w:color w:val="000000"/>
                <w:spacing w:val="1"/>
                <w:sz w:val="22"/>
                <w:szCs w:val="22"/>
                <w:lang w:eastAsia="en-AU"/>
              </w:rPr>
              <w:t>t</w:t>
            </w:r>
            <w:r w:rsidRPr="00E31ABE">
              <w:rPr>
                <w:b/>
                <w:bCs/>
                <w:color w:val="000000"/>
                <w:sz w:val="22"/>
                <w:szCs w:val="22"/>
                <w:lang w:eastAsia="en-AU"/>
              </w:rPr>
              <w:t>ien</w:t>
            </w:r>
            <w:r w:rsidRPr="00E31ABE">
              <w:rPr>
                <w:b/>
                <w:bCs/>
                <w:color w:val="000000"/>
                <w:spacing w:val="1"/>
                <w:sz w:val="22"/>
                <w:szCs w:val="22"/>
                <w:lang w:eastAsia="en-AU"/>
              </w:rPr>
              <w:t>t</w:t>
            </w:r>
            <w:r w:rsidRPr="00E31ABE">
              <w:rPr>
                <w:b/>
                <w:bCs/>
                <w:color w:val="000000"/>
                <w:sz w:val="22"/>
                <w:szCs w:val="22"/>
                <w:lang w:eastAsia="en-AU"/>
              </w:rPr>
              <w:t>s</w:t>
            </w:r>
            <w:r w:rsidRPr="00E31ABE">
              <w:rPr>
                <w:b/>
                <w:bCs/>
                <w:color w:val="000000"/>
                <w:spacing w:val="-7"/>
                <w:sz w:val="22"/>
                <w:szCs w:val="22"/>
                <w:lang w:eastAsia="en-AU"/>
              </w:rPr>
              <w:t xml:space="preserve"> </w:t>
            </w:r>
            <w:r w:rsidRPr="00E31ABE">
              <w:rPr>
                <w:b/>
                <w:bCs/>
                <w:color w:val="000000"/>
                <w:spacing w:val="3"/>
                <w:sz w:val="22"/>
                <w:szCs w:val="22"/>
                <w:lang w:eastAsia="en-AU"/>
              </w:rPr>
              <w:t>w</w:t>
            </w:r>
            <w:r w:rsidRPr="00E31ABE">
              <w:rPr>
                <w:b/>
                <w:bCs/>
                <w:color w:val="000000"/>
                <w:sz w:val="22"/>
                <w:szCs w:val="22"/>
                <w:lang w:eastAsia="en-AU"/>
              </w:rPr>
              <w:t>ith</w:t>
            </w:r>
            <w:r w:rsidRPr="00E31ABE">
              <w:rPr>
                <w:b/>
                <w:bCs/>
                <w:color w:val="000000"/>
                <w:spacing w:val="-2"/>
                <w:sz w:val="22"/>
                <w:szCs w:val="22"/>
                <w:lang w:eastAsia="en-AU"/>
              </w:rPr>
              <w:t xml:space="preserve"> </w:t>
            </w:r>
            <w:r w:rsidRPr="00E31ABE">
              <w:rPr>
                <w:b/>
                <w:bCs/>
                <w:color w:val="000000"/>
                <w:spacing w:val="-5"/>
                <w:sz w:val="22"/>
                <w:szCs w:val="22"/>
                <w:lang w:eastAsia="en-AU"/>
              </w:rPr>
              <w:t>A</w:t>
            </w:r>
            <w:r w:rsidRPr="00E31ABE">
              <w:rPr>
                <w:b/>
                <w:bCs/>
                <w:color w:val="000000"/>
                <w:spacing w:val="-1"/>
                <w:sz w:val="22"/>
                <w:szCs w:val="22"/>
                <w:lang w:eastAsia="en-AU"/>
              </w:rPr>
              <w:t>E</w:t>
            </w:r>
            <w:r w:rsidRPr="00E31ABE">
              <w:rPr>
                <w:b/>
                <w:bCs/>
                <w:color w:val="000000"/>
                <w:sz w:val="22"/>
                <w:szCs w:val="22"/>
                <w:lang w:eastAsia="en-AU"/>
              </w:rPr>
              <w:t>s</w:t>
            </w:r>
            <w:r w:rsidRPr="00E31ABE">
              <w:rPr>
                <w:b/>
                <w:bCs/>
                <w:color w:val="000000"/>
                <w:spacing w:val="-4"/>
                <w:sz w:val="22"/>
                <w:szCs w:val="22"/>
                <w:lang w:eastAsia="en-AU"/>
              </w:rPr>
              <w:t xml:space="preserve"> </w:t>
            </w:r>
            <w:r w:rsidRPr="00E31ABE">
              <w:rPr>
                <w:b/>
                <w:bCs/>
                <w:color w:val="000000"/>
                <w:spacing w:val="3"/>
                <w:sz w:val="22"/>
                <w:szCs w:val="22"/>
                <w:lang w:eastAsia="en-AU"/>
              </w:rPr>
              <w:t>w</w:t>
            </w:r>
            <w:r w:rsidRPr="00E31ABE">
              <w:rPr>
                <w:b/>
                <w:bCs/>
                <w:color w:val="000000"/>
                <w:sz w:val="22"/>
                <w:szCs w:val="22"/>
                <w:lang w:eastAsia="en-AU"/>
              </w:rPr>
              <w:t>ith</w:t>
            </w:r>
          </w:p>
        </w:tc>
        <w:tc>
          <w:tcPr>
            <w:tcW w:w="1410" w:type="dxa"/>
            <w:tcBorders>
              <w:top w:val="single" w:sz="6" w:space="0" w:color="000000"/>
              <w:left w:val="nil"/>
              <w:bottom w:val="nil"/>
              <w:right w:val="nil"/>
            </w:tcBorders>
          </w:tcPr>
          <w:p w:rsidR="00622AE3" w:rsidRPr="00E31ABE" w:rsidRDefault="00622AE3" w:rsidP="00C329A1">
            <w:pPr>
              <w:autoSpaceDE w:val="0"/>
              <w:autoSpaceDN w:val="0"/>
              <w:adjustRightInd w:val="0"/>
              <w:spacing w:line="226" w:lineRule="exact"/>
              <w:ind w:left="313" w:right="-20"/>
              <w:rPr>
                <w:color w:val="000000"/>
                <w:sz w:val="22"/>
                <w:szCs w:val="22"/>
                <w:lang w:eastAsia="en-AU"/>
              </w:rPr>
            </w:pPr>
            <w:r w:rsidRPr="00E31ABE">
              <w:rPr>
                <w:b/>
                <w:bCs/>
                <w:color w:val="000000"/>
                <w:sz w:val="22"/>
                <w:szCs w:val="22"/>
                <w:lang w:eastAsia="en-AU"/>
              </w:rPr>
              <w:t>2</w:t>
            </w:r>
            <w:r w:rsidR="00917B3D" w:rsidRPr="00E31ABE">
              <w:rPr>
                <w:b/>
                <w:bCs/>
                <w:color w:val="000000"/>
                <w:sz w:val="22"/>
                <w:szCs w:val="22"/>
                <w:lang w:eastAsia="en-AU"/>
              </w:rPr>
              <w:t>29</w:t>
            </w:r>
            <w:r w:rsidRPr="00E31ABE">
              <w:rPr>
                <w:b/>
                <w:bCs/>
                <w:color w:val="000000"/>
                <w:spacing w:val="-3"/>
                <w:sz w:val="22"/>
                <w:szCs w:val="22"/>
                <w:lang w:eastAsia="en-AU"/>
              </w:rPr>
              <w:t xml:space="preserve"> </w:t>
            </w:r>
            <w:r w:rsidRPr="00E31ABE">
              <w:rPr>
                <w:b/>
                <w:bCs/>
                <w:color w:val="000000"/>
                <w:sz w:val="22"/>
                <w:szCs w:val="22"/>
                <w:lang w:eastAsia="en-AU"/>
              </w:rPr>
              <w:t>(</w:t>
            </w:r>
            <w:r w:rsidRPr="00E31ABE">
              <w:rPr>
                <w:b/>
                <w:bCs/>
                <w:color w:val="000000"/>
                <w:spacing w:val="2"/>
                <w:sz w:val="22"/>
                <w:szCs w:val="22"/>
                <w:lang w:eastAsia="en-AU"/>
              </w:rPr>
              <w:t>7</w:t>
            </w:r>
            <w:r w:rsidRPr="00E31ABE">
              <w:rPr>
                <w:b/>
                <w:bCs/>
                <w:color w:val="000000"/>
                <w:sz w:val="22"/>
                <w:szCs w:val="22"/>
                <w:lang w:eastAsia="en-AU"/>
              </w:rPr>
              <w:t>3.</w:t>
            </w:r>
            <w:r w:rsidR="00917B3D" w:rsidRPr="00E31ABE">
              <w:rPr>
                <w:b/>
                <w:bCs/>
                <w:color w:val="000000"/>
                <w:spacing w:val="-1"/>
                <w:sz w:val="22"/>
                <w:szCs w:val="22"/>
                <w:lang w:eastAsia="en-AU"/>
              </w:rPr>
              <w:t>4</w:t>
            </w:r>
            <w:r w:rsidRPr="00E31ABE">
              <w:rPr>
                <w:b/>
                <w:bCs/>
                <w:color w:val="000000"/>
                <w:sz w:val="22"/>
                <w:szCs w:val="22"/>
                <w:lang w:eastAsia="en-AU"/>
              </w:rPr>
              <w:t>)</w:t>
            </w:r>
          </w:p>
        </w:tc>
        <w:tc>
          <w:tcPr>
            <w:tcW w:w="1232" w:type="dxa"/>
            <w:tcBorders>
              <w:top w:val="single" w:sz="6" w:space="0" w:color="000000"/>
              <w:left w:val="nil"/>
              <w:bottom w:val="nil"/>
              <w:right w:val="nil"/>
            </w:tcBorders>
          </w:tcPr>
          <w:p w:rsidR="00622AE3" w:rsidRPr="00E31ABE" w:rsidRDefault="00622AE3" w:rsidP="00C329A1">
            <w:pPr>
              <w:autoSpaceDE w:val="0"/>
              <w:autoSpaceDN w:val="0"/>
              <w:adjustRightInd w:val="0"/>
              <w:spacing w:line="224" w:lineRule="exact"/>
              <w:ind w:left="471" w:right="449"/>
              <w:jc w:val="center"/>
              <w:rPr>
                <w:color w:val="000000"/>
                <w:sz w:val="22"/>
                <w:szCs w:val="22"/>
                <w:lang w:eastAsia="en-AU"/>
              </w:rPr>
            </w:pPr>
            <w:r w:rsidRPr="00E31ABE">
              <w:rPr>
                <w:b/>
                <w:bCs/>
                <w:color w:val="000000"/>
                <w:w w:val="99"/>
                <w:sz w:val="22"/>
                <w:szCs w:val="22"/>
                <w:lang w:eastAsia="en-AU"/>
              </w:rPr>
              <w:t>8</w:t>
            </w:r>
            <w:r w:rsidR="00917B3D" w:rsidRPr="00E31ABE">
              <w:rPr>
                <w:b/>
                <w:bCs/>
                <w:color w:val="000000"/>
                <w:w w:val="99"/>
                <w:sz w:val="22"/>
                <w:szCs w:val="22"/>
                <w:lang w:eastAsia="en-AU"/>
              </w:rPr>
              <w:t>8</w:t>
            </w:r>
          </w:p>
        </w:tc>
        <w:tc>
          <w:tcPr>
            <w:tcW w:w="1286" w:type="dxa"/>
            <w:tcBorders>
              <w:top w:val="single" w:sz="6" w:space="0" w:color="000000"/>
              <w:left w:val="nil"/>
              <w:bottom w:val="nil"/>
              <w:right w:val="nil"/>
            </w:tcBorders>
          </w:tcPr>
          <w:p w:rsidR="00622AE3" w:rsidRPr="00E31ABE" w:rsidRDefault="00622AE3" w:rsidP="00C329A1">
            <w:pPr>
              <w:autoSpaceDE w:val="0"/>
              <w:autoSpaceDN w:val="0"/>
              <w:adjustRightInd w:val="0"/>
              <w:spacing w:line="224" w:lineRule="exact"/>
              <w:ind w:left="443" w:right="422"/>
              <w:jc w:val="center"/>
              <w:rPr>
                <w:color w:val="000000"/>
                <w:sz w:val="22"/>
                <w:szCs w:val="22"/>
                <w:lang w:eastAsia="en-AU"/>
              </w:rPr>
            </w:pPr>
            <w:r w:rsidRPr="00E31ABE">
              <w:rPr>
                <w:b/>
                <w:bCs/>
                <w:color w:val="000000"/>
                <w:w w:val="99"/>
                <w:sz w:val="22"/>
                <w:szCs w:val="22"/>
                <w:lang w:eastAsia="en-AU"/>
              </w:rPr>
              <w:t>223</w:t>
            </w:r>
          </w:p>
        </w:tc>
        <w:tc>
          <w:tcPr>
            <w:tcW w:w="1247" w:type="dxa"/>
            <w:tcBorders>
              <w:top w:val="single" w:sz="6" w:space="0" w:color="000000"/>
              <w:left w:val="nil"/>
              <w:bottom w:val="nil"/>
              <w:right w:val="nil"/>
            </w:tcBorders>
          </w:tcPr>
          <w:p w:rsidR="00622AE3" w:rsidRPr="00E31ABE" w:rsidRDefault="00622AE3" w:rsidP="00C329A1">
            <w:pPr>
              <w:autoSpaceDE w:val="0"/>
              <w:autoSpaceDN w:val="0"/>
              <w:adjustRightInd w:val="0"/>
              <w:spacing w:line="224" w:lineRule="exact"/>
              <w:ind w:left="470" w:right="466"/>
              <w:jc w:val="center"/>
              <w:rPr>
                <w:color w:val="000000"/>
                <w:sz w:val="22"/>
                <w:szCs w:val="22"/>
                <w:lang w:eastAsia="en-AU"/>
              </w:rPr>
            </w:pPr>
            <w:r w:rsidRPr="00E31ABE">
              <w:rPr>
                <w:b/>
                <w:bCs/>
                <w:color w:val="000000"/>
                <w:w w:val="99"/>
                <w:sz w:val="22"/>
                <w:szCs w:val="22"/>
                <w:lang w:eastAsia="en-AU"/>
              </w:rPr>
              <w:t>98</w:t>
            </w:r>
          </w:p>
        </w:tc>
      </w:tr>
      <w:tr w:rsidR="00622AE3" w:rsidRPr="00E31ABE" w:rsidTr="00F47D23">
        <w:trPr>
          <w:trHeight w:val="340"/>
        </w:trPr>
        <w:tc>
          <w:tcPr>
            <w:tcW w:w="4031" w:type="dxa"/>
            <w:tcBorders>
              <w:top w:val="nil"/>
              <w:left w:val="nil"/>
              <w:bottom w:val="single" w:sz="4" w:space="0" w:color="000000"/>
              <w:right w:val="nil"/>
            </w:tcBorders>
          </w:tcPr>
          <w:p w:rsidR="00622AE3" w:rsidRPr="00BD4D0A" w:rsidRDefault="00622AE3" w:rsidP="00C329A1">
            <w:pPr>
              <w:autoSpaceDE w:val="0"/>
              <w:autoSpaceDN w:val="0"/>
              <w:adjustRightInd w:val="0"/>
              <w:spacing w:line="219" w:lineRule="exact"/>
              <w:ind w:left="60" w:right="-20"/>
              <w:rPr>
                <w:color w:val="000000"/>
                <w:sz w:val="22"/>
                <w:szCs w:val="22"/>
                <w:lang w:eastAsia="en-AU"/>
              </w:rPr>
            </w:pPr>
            <w:r w:rsidRPr="00BD4D0A">
              <w:rPr>
                <w:b/>
                <w:bCs/>
                <w:color w:val="000000"/>
                <w:sz w:val="22"/>
                <w:szCs w:val="22"/>
                <w:lang w:eastAsia="en-AU"/>
              </w:rPr>
              <w:t>suspe</w:t>
            </w:r>
            <w:r w:rsidRPr="00BD4D0A">
              <w:rPr>
                <w:b/>
                <w:bCs/>
                <w:color w:val="000000"/>
                <w:spacing w:val="-1"/>
                <w:sz w:val="22"/>
                <w:szCs w:val="22"/>
                <w:lang w:eastAsia="en-AU"/>
              </w:rPr>
              <w:t>c</w:t>
            </w:r>
            <w:r w:rsidRPr="00BD4D0A">
              <w:rPr>
                <w:b/>
                <w:bCs/>
                <w:color w:val="000000"/>
                <w:spacing w:val="1"/>
                <w:sz w:val="22"/>
                <w:szCs w:val="22"/>
                <w:lang w:eastAsia="en-AU"/>
              </w:rPr>
              <w:t>t</w:t>
            </w:r>
            <w:r w:rsidRPr="00BD4D0A">
              <w:rPr>
                <w:b/>
                <w:bCs/>
                <w:color w:val="000000"/>
                <w:sz w:val="22"/>
                <w:szCs w:val="22"/>
                <w:lang w:eastAsia="en-AU"/>
              </w:rPr>
              <w:t>ed</w:t>
            </w:r>
            <w:r w:rsidRPr="00BD4D0A">
              <w:rPr>
                <w:b/>
                <w:bCs/>
                <w:color w:val="000000"/>
                <w:spacing w:val="-8"/>
                <w:sz w:val="22"/>
                <w:szCs w:val="22"/>
                <w:lang w:eastAsia="en-AU"/>
              </w:rPr>
              <w:t xml:space="preserve"> </w:t>
            </w:r>
            <w:r w:rsidRPr="00BD4D0A">
              <w:rPr>
                <w:b/>
                <w:bCs/>
                <w:color w:val="000000"/>
                <w:spacing w:val="-1"/>
                <w:sz w:val="22"/>
                <w:szCs w:val="22"/>
                <w:lang w:eastAsia="en-AU"/>
              </w:rPr>
              <w:t>r</w:t>
            </w:r>
            <w:r w:rsidRPr="00BD4D0A">
              <w:rPr>
                <w:b/>
                <w:bCs/>
                <w:color w:val="000000"/>
                <w:sz w:val="22"/>
                <w:szCs w:val="22"/>
                <w:lang w:eastAsia="en-AU"/>
              </w:rPr>
              <w:t>e</w:t>
            </w:r>
            <w:r w:rsidRPr="00BD4D0A">
              <w:rPr>
                <w:b/>
                <w:bCs/>
                <w:color w:val="000000"/>
                <w:spacing w:val="2"/>
                <w:sz w:val="22"/>
                <w:szCs w:val="22"/>
                <w:lang w:eastAsia="en-AU"/>
              </w:rPr>
              <w:t>l</w:t>
            </w:r>
            <w:r w:rsidRPr="00BD4D0A">
              <w:rPr>
                <w:b/>
                <w:bCs/>
                <w:color w:val="000000"/>
                <w:sz w:val="22"/>
                <w:szCs w:val="22"/>
                <w:lang w:eastAsia="en-AU"/>
              </w:rPr>
              <w:t>ati</w:t>
            </w:r>
            <w:r w:rsidRPr="00BD4D0A">
              <w:rPr>
                <w:b/>
                <w:bCs/>
                <w:color w:val="000000"/>
                <w:spacing w:val="1"/>
                <w:sz w:val="22"/>
                <w:szCs w:val="22"/>
                <w:lang w:eastAsia="en-AU"/>
              </w:rPr>
              <w:t>o</w:t>
            </w:r>
            <w:r w:rsidRPr="00BD4D0A">
              <w:rPr>
                <w:b/>
                <w:bCs/>
                <w:color w:val="000000"/>
                <w:sz w:val="22"/>
                <w:szCs w:val="22"/>
                <w:lang w:eastAsia="en-AU"/>
              </w:rPr>
              <w:t>nship</w:t>
            </w:r>
            <w:r w:rsidRPr="00BD4D0A">
              <w:rPr>
                <w:b/>
                <w:bCs/>
                <w:color w:val="000000"/>
                <w:spacing w:val="-11"/>
                <w:sz w:val="22"/>
                <w:szCs w:val="22"/>
                <w:lang w:eastAsia="en-AU"/>
              </w:rPr>
              <w:t xml:space="preserve"> </w:t>
            </w:r>
            <w:r w:rsidRPr="00BD4D0A">
              <w:rPr>
                <w:b/>
                <w:bCs/>
                <w:color w:val="000000"/>
                <w:sz w:val="22"/>
                <w:szCs w:val="22"/>
                <w:lang w:eastAsia="en-AU"/>
              </w:rPr>
              <w:t>to</w:t>
            </w:r>
            <w:r w:rsidRPr="00BD4D0A">
              <w:rPr>
                <w:b/>
                <w:bCs/>
                <w:color w:val="000000"/>
                <w:spacing w:val="1"/>
                <w:sz w:val="22"/>
                <w:szCs w:val="22"/>
                <w:lang w:eastAsia="en-AU"/>
              </w:rPr>
              <w:t xml:space="preserve"> </w:t>
            </w:r>
            <w:r w:rsidRPr="00BD4D0A">
              <w:rPr>
                <w:b/>
                <w:bCs/>
                <w:color w:val="000000"/>
                <w:sz w:val="22"/>
                <w:szCs w:val="22"/>
                <w:lang w:eastAsia="en-AU"/>
              </w:rPr>
              <w:t>st</w:t>
            </w:r>
            <w:r w:rsidRPr="00BD4D0A">
              <w:rPr>
                <w:b/>
                <w:bCs/>
                <w:color w:val="000000"/>
                <w:spacing w:val="1"/>
                <w:sz w:val="22"/>
                <w:szCs w:val="22"/>
                <w:lang w:eastAsia="en-AU"/>
              </w:rPr>
              <w:t>u</w:t>
            </w:r>
            <w:r w:rsidRPr="00BD4D0A">
              <w:rPr>
                <w:b/>
                <w:bCs/>
                <w:color w:val="000000"/>
                <w:sz w:val="22"/>
                <w:szCs w:val="22"/>
                <w:lang w:eastAsia="en-AU"/>
              </w:rPr>
              <w:t>dy</w:t>
            </w:r>
            <w:r w:rsidRPr="00BD4D0A">
              <w:rPr>
                <w:b/>
                <w:bCs/>
                <w:color w:val="000000"/>
                <w:spacing w:val="-5"/>
                <w:sz w:val="22"/>
                <w:szCs w:val="22"/>
                <w:lang w:eastAsia="en-AU"/>
              </w:rPr>
              <w:t xml:space="preserve"> </w:t>
            </w:r>
            <w:r w:rsidRPr="00BD4D0A">
              <w:rPr>
                <w:b/>
                <w:bCs/>
                <w:color w:val="000000"/>
                <w:sz w:val="22"/>
                <w:szCs w:val="22"/>
                <w:lang w:eastAsia="en-AU"/>
              </w:rPr>
              <w:t>drug</w:t>
            </w:r>
          </w:p>
        </w:tc>
        <w:tc>
          <w:tcPr>
            <w:tcW w:w="1410" w:type="dxa"/>
            <w:tcBorders>
              <w:top w:val="nil"/>
              <w:left w:val="nil"/>
              <w:bottom w:val="single" w:sz="4" w:space="0" w:color="000000"/>
              <w:right w:val="nil"/>
            </w:tcBorders>
          </w:tcPr>
          <w:p w:rsidR="00622AE3" w:rsidRPr="00BD4D0A" w:rsidRDefault="00622AE3" w:rsidP="00C329A1">
            <w:pPr>
              <w:autoSpaceDE w:val="0"/>
              <w:autoSpaceDN w:val="0"/>
              <w:adjustRightInd w:val="0"/>
              <w:spacing w:line="240" w:lineRule="auto"/>
              <w:rPr>
                <w:color w:val="000000"/>
                <w:sz w:val="22"/>
                <w:szCs w:val="22"/>
                <w:lang w:eastAsia="en-AU"/>
              </w:rPr>
            </w:pPr>
          </w:p>
        </w:tc>
        <w:tc>
          <w:tcPr>
            <w:tcW w:w="1232" w:type="dxa"/>
            <w:tcBorders>
              <w:top w:val="nil"/>
              <w:left w:val="nil"/>
              <w:bottom w:val="single" w:sz="4" w:space="0" w:color="000000"/>
              <w:right w:val="nil"/>
            </w:tcBorders>
          </w:tcPr>
          <w:p w:rsidR="00622AE3" w:rsidRPr="00E31ABE" w:rsidRDefault="00622AE3" w:rsidP="00C329A1">
            <w:pPr>
              <w:autoSpaceDE w:val="0"/>
              <w:autoSpaceDN w:val="0"/>
              <w:adjustRightInd w:val="0"/>
              <w:spacing w:line="219" w:lineRule="exact"/>
              <w:ind w:left="355" w:right="-20"/>
              <w:rPr>
                <w:color w:val="000000"/>
                <w:sz w:val="22"/>
                <w:szCs w:val="22"/>
                <w:lang w:eastAsia="en-AU"/>
              </w:rPr>
            </w:pPr>
            <w:r w:rsidRPr="00BD4D0A">
              <w:rPr>
                <w:b/>
                <w:bCs/>
                <w:color w:val="000000"/>
                <w:spacing w:val="1"/>
                <w:sz w:val="22"/>
                <w:szCs w:val="22"/>
                <w:lang w:eastAsia="en-AU"/>
              </w:rPr>
              <w:t>(</w:t>
            </w:r>
            <w:r w:rsidRPr="00BD4D0A">
              <w:rPr>
                <w:b/>
                <w:bCs/>
                <w:color w:val="000000"/>
                <w:sz w:val="22"/>
                <w:szCs w:val="22"/>
                <w:lang w:eastAsia="en-AU"/>
              </w:rPr>
              <w:t>2</w:t>
            </w:r>
            <w:r w:rsidRPr="00BD4D0A">
              <w:rPr>
                <w:b/>
                <w:bCs/>
                <w:color w:val="000000"/>
                <w:spacing w:val="-1"/>
                <w:sz w:val="22"/>
                <w:szCs w:val="22"/>
                <w:lang w:eastAsia="en-AU"/>
              </w:rPr>
              <w:t>8</w:t>
            </w:r>
            <w:r w:rsidRPr="00BD4D0A">
              <w:rPr>
                <w:b/>
                <w:bCs/>
                <w:color w:val="000000"/>
                <w:sz w:val="22"/>
                <w:szCs w:val="22"/>
                <w:lang w:eastAsia="en-AU"/>
              </w:rPr>
              <w:t>.</w:t>
            </w:r>
            <w:r w:rsidR="00917B3D" w:rsidRPr="00BD4D0A">
              <w:rPr>
                <w:b/>
                <w:bCs/>
                <w:color w:val="000000"/>
                <w:sz w:val="22"/>
                <w:szCs w:val="22"/>
                <w:lang w:eastAsia="en-AU"/>
              </w:rPr>
              <w:t>2</w:t>
            </w:r>
            <w:r w:rsidRPr="00BD4D0A">
              <w:rPr>
                <w:b/>
                <w:bCs/>
                <w:color w:val="000000"/>
                <w:sz w:val="22"/>
                <w:szCs w:val="22"/>
                <w:lang w:eastAsia="en-AU"/>
              </w:rPr>
              <w:t>)</w:t>
            </w:r>
          </w:p>
        </w:tc>
        <w:tc>
          <w:tcPr>
            <w:tcW w:w="1286" w:type="dxa"/>
            <w:tcBorders>
              <w:top w:val="nil"/>
              <w:left w:val="nil"/>
              <w:bottom w:val="single" w:sz="4" w:space="0" w:color="000000"/>
              <w:right w:val="nil"/>
            </w:tcBorders>
          </w:tcPr>
          <w:p w:rsidR="00622AE3" w:rsidRPr="00E31ABE" w:rsidRDefault="00622AE3" w:rsidP="00C329A1">
            <w:pPr>
              <w:autoSpaceDE w:val="0"/>
              <w:autoSpaceDN w:val="0"/>
              <w:adjustRightInd w:val="0"/>
              <w:spacing w:line="219" w:lineRule="exact"/>
              <w:ind w:left="384" w:right="-20"/>
              <w:rPr>
                <w:color w:val="000000"/>
                <w:sz w:val="22"/>
                <w:szCs w:val="22"/>
                <w:lang w:eastAsia="en-AU"/>
              </w:rPr>
            </w:pPr>
            <w:r w:rsidRPr="00E31ABE">
              <w:rPr>
                <w:b/>
                <w:bCs/>
                <w:color w:val="000000"/>
                <w:spacing w:val="1"/>
                <w:sz w:val="22"/>
                <w:szCs w:val="22"/>
                <w:lang w:eastAsia="en-AU"/>
              </w:rPr>
              <w:t>(</w:t>
            </w:r>
            <w:r w:rsidRPr="00E31ABE">
              <w:rPr>
                <w:b/>
                <w:bCs/>
                <w:color w:val="000000"/>
                <w:sz w:val="22"/>
                <w:szCs w:val="22"/>
                <w:lang w:eastAsia="en-AU"/>
              </w:rPr>
              <w:t>7</w:t>
            </w:r>
            <w:r w:rsidRPr="00E31ABE">
              <w:rPr>
                <w:b/>
                <w:bCs/>
                <w:color w:val="000000"/>
                <w:spacing w:val="-1"/>
                <w:sz w:val="22"/>
                <w:szCs w:val="22"/>
                <w:lang w:eastAsia="en-AU"/>
              </w:rPr>
              <w:t>0</w:t>
            </w:r>
            <w:r w:rsidRPr="00E31ABE">
              <w:rPr>
                <w:b/>
                <w:bCs/>
                <w:color w:val="000000"/>
                <w:sz w:val="22"/>
                <w:szCs w:val="22"/>
                <w:lang w:eastAsia="en-AU"/>
              </w:rPr>
              <w:t>.8)</w:t>
            </w:r>
          </w:p>
        </w:tc>
        <w:tc>
          <w:tcPr>
            <w:tcW w:w="1247" w:type="dxa"/>
            <w:tcBorders>
              <w:top w:val="nil"/>
              <w:left w:val="nil"/>
              <w:bottom w:val="single" w:sz="4" w:space="0" w:color="000000"/>
              <w:right w:val="nil"/>
            </w:tcBorders>
          </w:tcPr>
          <w:p w:rsidR="00622AE3" w:rsidRPr="00E31ABE" w:rsidRDefault="00622AE3" w:rsidP="00C329A1">
            <w:pPr>
              <w:autoSpaceDE w:val="0"/>
              <w:autoSpaceDN w:val="0"/>
              <w:adjustRightInd w:val="0"/>
              <w:spacing w:line="219" w:lineRule="exact"/>
              <w:ind w:left="354" w:right="-20"/>
              <w:rPr>
                <w:color w:val="000000"/>
                <w:sz w:val="22"/>
                <w:szCs w:val="22"/>
                <w:lang w:eastAsia="en-AU"/>
              </w:rPr>
            </w:pPr>
            <w:r w:rsidRPr="00E31ABE">
              <w:rPr>
                <w:b/>
                <w:bCs/>
                <w:color w:val="000000"/>
                <w:spacing w:val="1"/>
                <w:sz w:val="22"/>
                <w:szCs w:val="22"/>
                <w:lang w:eastAsia="en-AU"/>
              </w:rPr>
              <w:t>(</w:t>
            </w:r>
            <w:r w:rsidRPr="00E31ABE">
              <w:rPr>
                <w:b/>
                <w:bCs/>
                <w:color w:val="000000"/>
                <w:sz w:val="22"/>
                <w:szCs w:val="22"/>
                <w:lang w:eastAsia="en-AU"/>
              </w:rPr>
              <w:t>3</w:t>
            </w:r>
            <w:r w:rsidRPr="00E31ABE">
              <w:rPr>
                <w:b/>
                <w:bCs/>
                <w:color w:val="000000"/>
                <w:spacing w:val="-1"/>
                <w:sz w:val="22"/>
                <w:szCs w:val="22"/>
                <w:lang w:eastAsia="en-AU"/>
              </w:rPr>
              <w:t>1</w:t>
            </w:r>
            <w:r w:rsidRPr="00E31ABE">
              <w:rPr>
                <w:b/>
                <w:bCs/>
                <w:color w:val="000000"/>
                <w:sz w:val="22"/>
                <w:szCs w:val="22"/>
                <w:lang w:eastAsia="en-AU"/>
              </w:rPr>
              <w:t>.1)</w:t>
            </w:r>
          </w:p>
        </w:tc>
      </w:tr>
      <w:tr w:rsidR="00622AE3" w:rsidRPr="00BD4D0A" w:rsidTr="00F47D23">
        <w:trPr>
          <w:trHeight w:val="340"/>
        </w:trPr>
        <w:tc>
          <w:tcPr>
            <w:tcW w:w="4031" w:type="dxa"/>
            <w:tcBorders>
              <w:top w:val="single" w:sz="4" w:space="0" w:color="000000"/>
              <w:left w:val="nil"/>
              <w:bottom w:val="nil"/>
              <w:right w:val="nil"/>
            </w:tcBorders>
          </w:tcPr>
          <w:p w:rsidR="00622AE3" w:rsidRPr="00E31ABE" w:rsidRDefault="00622AE3" w:rsidP="00C329A1">
            <w:pPr>
              <w:autoSpaceDE w:val="0"/>
              <w:autoSpaceDN w:val="0"/>
              <w:adjustRightInd w:val="0"/>
              <w:spacing w:before="1" w:line="240" w:lineRule="auto"/>
              <w:ind w:left="60" w:right="-20"/>
              <w:rPr>
                <w:color w:val="000000"/>
                <w:sz w:val="22"/>
                <w:szCs w:val="22"/>
                <w:lang w:eastAsia="en-AU"/>
              </w:rPr>
            </w:pPr>
            <w:r w:rsidRPr="00E31ABE">
              <w:rPr>
                <w:color w:val="000000"/>
                <w:sz w:val="22"/>
                <w:szCs w:val="22"/>
                <w:lang w:eastAsia="en-AU"/>
              </w:rPr>
              <w:t>Neu</w:t>
            </w:r>
            <w:r w:rsidRPr="00E31ABE">
              <w:rPr>
                <w:color w:val="000000"/>
                <w:spacing w:val="-1"/>
                <w:sz w:val="22"/>
                <w:szCs w:val="22"/>
                <w:lang w:eastAsia="en-AU"/>
              </w:rPr>
              <w:t>t</w:t>
            </w:r>
            <w:r w:rsidRPr="00E31ABE">
              <w:rPr>
                <w:color w:val="000000"/>
                <w:spacing w:val="1"/>
                <w:sz w:val="22"/>
                <w:szCs w:val="22"/>
                <w:lang w:eastAsia="en-AU"/>
              </w:rPr>
              <w:t>r</w:t>
            </w:r>
            <w:r w:rsidRPr="00E31ABE">
              <w:rPr>
                <w:color w:val="000000"/>
                <w:sz w:val="22"/>
                <w:szCs w:val="22"/>
                <w:lang w:eastAsia="en-AU"/>
              </w:rPr>
              <w:t>o</w:t>
            </w:r>
            <w:r w:rsidRPr="00E31ABE">
              <w:rPr>
                <w:color w:val="000000"/>
                <w:spacing w:val="1"/>
                <w:sz w:val="22"/>
                <w:szCs w:val="22"/>
                <w:lang w:eastAsia="en-AU"/>
              </w:rPr>
              <w:t>p</w:t>
            </w:r>
            <w:r w:rsidRPr="00E31ABE">
              <w:rPr>
                <w:color w:val="000000"/>
                <w:sz w:val="22"/>
                <w:szCs w:val="22"/>
                <w:lang w:eastAsia="en-AU"/>
              </w:rPr>
              <w:t>e</w:t>
            </w:r>
            <w:r w:rsidRPr="00E31ABE">
              <w:rPr>
                <w:color w:val="000000"/>
                <w:spacing w:val="1"/>
                <w:sz w:val="22"/>
                <w:szCs w:val="22"/>
                <w:lang w:eastAsia="en-AU"/>
              </w:rPr>
              <w:t>n</w:t>
            </w:r>
            <w:r w:rsidRPr="00E31ABE">
              <w:rPr>
                <w:color w:val="000000"/>
                <w:spacing w:val="-1"/>
                <w:sz w:val="22"/>
                <w:szCs w:val="22"/>
                <w:lang w:eastAsia="en-AU"/>
              </w:rPr>
              <w:t>i</w:t>
            </w:r>
            <w:r w:rsidRPr="00E31ABE">
              <w:rPr>
                <w:color w:val="000000"/>
                <w:sz w:val="22"/>
                <w:szCs w:val="22"/>
                <w:lang w:eastAsia="en-AU"/>
              </w:rPr>
              <w:t>a</w:t>
            </w:r>
          </w:p>
        </w:tc>
        <w:tc>
          <w:tcPr>
            <w:tcW w:w="1410" w:type="dxa"/>
            <w:tcBorders>
              <w:top w:val="single" w:sz="4" w:space="0" w:color="000000"/>
              <w:left w:val="nil"/>
              <w:bottom w:val="nil"/>
              <w:right w:val="nil"/>
            </w:tcBorders>
          </w:tcPr>
          <w:p w:rsidR="00622AE3" w:rsidRPr="00E31ABE" w:rsidRDefault="00622AE3" w:rsidP="00C329A1">
            <w:pPr>
              <w:autoSpaceDE w:val="0"/>
              <w:autoSpaceDN w:val="0"/>
              <w:adjustRightInd w:val="0"/>
              <w:spacing w:before="1" w:line="240" w:lineRule="auto"/>
              <w:ind w:left="369" w:right="-20"/>
              <w:rPr>
                <w:color w:val="000000"/>
                <w:sz w:val="22"/>
                <w:szCs w:val="22"/>
                <w:lang w:eastAsia="en-AU"/>
              </w:rPr>
            </w:pPr>
            <w:r w:rsidRPr="00E31ABE">
              <w:rPr>
                <w:color w:val="000000"/>
                <w:sz w:val="22"/>
                <w:szCs w:val="22"/>
                <w:lang w:eastAsia="en-AU"/>
              </w:rPr>
              <w:t>65</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2</w:t>
            </w:r>
            <w:r w:rsidRPr="00E31ABE">
              <w:rPr>
                <w:color w:val="000000"/>
                <w:spacing w:val="-1"/>
                <w:sz w:val="22"/>
                <w:szCs w:val="22"/>
                <w:lang w:eastAsia="en-AU"/>
              </w:rPr>
              <w:t>0</w:t>
            </w:r>
            <w:r w:rsidRPr="00E31ABE">
              <w:rPr>
                <w:color w:val="000000"/>
                <w:spacing w:val="2"/>
                <w:sz w:val="22"/>
                <w:szCs w:val="22"/>
                <w:lang w:eastAsia="en-AU"/>
              </w:rPr>
              <w:t>.</w:t>
            </w:r>
            <w:r w:rsidRPr="00E31ABE">
              <w:rPr>
                <w:color w:val="000000"/>
                <w:sz w:val="22"/>
                <w:szCs w:val="22"/>
                <w:lang w:eastAsia="en-AU"/>
              </w:rPr>
              <w:t>8)</w:t>
            </w:r>
          </w:p>
        </w:tc>
        <w:tc>
          <w:tcPr>
            <w:tcW w:w="1232" w:type="dxa"/>
            <w:tcBorders>
              <w:top w:val="single" w:sz="4" w:space="0" w:color="000000"/>
              <w:left w:val="nil"/>
              <w:bottom w:val="nil"/>
              <w:right w:val="nil"/>
            </w:tcBorders>
          </w:tcPr>
          <w:p w:rsidR="00622AE3" w:rsidRPr="00E31ABE" w:rsidRDefault="00622AE3" w:rsidP="00C329A1">
            <w:pPr>
              <w:autoSpaceDE w:val="0"/>
              <w:autoSpaceDN w:val="0"/>
              <w:adjustRightInd w:val="0"/>
              <w:spacing w:before="1" w:line="240" w:lineRule="auto"/>
              <w:ind w:left="216" w:right="-20"/>
              <w:rPr>
                <w:color w:val="000000"/>
                <w:sz w:val="22"/>
                <w:szCs w:val="22"/>
                <w:lang w:eastAsia="en-AU"/>
              </w:rPr>
            </w:pPr>
            <w:r w:rsidRPr="00E31ABE">
              <w:rPr>
                <w:color w:val="000000"/>
                <w:sz w:val="22"/>
                <w:szCs w:val="22"/>
                <w:lang w:eastAsia="en-AU"/>
              </w:rPr>
              <w:t>44</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4</w:t>
            </w:r>
            <w:r w:rsidRPr="00E31ABE">
              <w:rPr>
                <w:color w:val="000000"/>
                <w:spacing w:val="2"/>
                <w:sz w:val="22"/>
                <w:szCs w:val="22"/>
                <w:lang w:eastAsia="en-AU"/>
              </w:rPr>
              <w:t>.</w:t>
            </w:r>
            <w:r w:rsidRPr="00E31ABE">
              <w:rPr>
                <w:color w:val="000000"/>
                <w:sz w:val="22"/>
                <w:szCs w:val="22"/>
                <w:lang w:eastAsia="en-AU"/>
              </w:rPr>
              <w:t>1)</w:t>
            </w:r>
          </w:p>
        </w:tc>
        <w:tc>
          <w:tcPr>
            <w:tcW w:w="1286" w:type="dxa"/>
            <w:tcBorders>
              <w:top w:val="single" w:sz="4" w:space="0" w:color="000000"/>
              <w:left w:val="nil"/>
              <w:bottom w:val="nil"/>
              <w:right w:val="nil"/>
            </w:tcBorders>
          </w:tcPr>
          <w:p w:rsidR="00622AE3" w:rsidRPr="00E31ABE" w:rsidRDefault="00622AE3" w:rsidP="00C329A1">
            <w:pPr>
              <w:autoSpaceDE w:val="0"/>
              <w:autoSpaceDN w:val="0"/>
              <w:adjustRightInd w:val="0"/>
              <w:spacing w:before="1" w:line="240" w:lineRule="auto"/>
              <w:ind w:left="245" w:right="-20"/>
              <w:rPr>
                <w:color w:val="000000"/>
                <w:sz w:val="22"/>
                <w:szCs w:val="22"/>
                <w:lang w:eastAsia="en-AU"/>
              </w:rPr>
            </w:pPr>
            <w:r w:rsidRPr="00E31ABE">
              <w:rPr>
                <w:color w:val="000000"/>
                <w:sz w:val="22"/>
                <w:szCs w:val="22"/>
                <w:lang w:eastAsia="en-AU"/>
              </w:rPr>
              <w:t>7</w:t>
            </w:r>
            <w:r w:rsidR="00917B3D" w:rsidRPr="00E31ABE">
              <w:rPr>
                <w:color w:val="000000"/>
                <w:sz w:val="22"/>
                <w:szCs w:val="22"/>
                <w:lang w:eastAsia="en-AU"/>
              </w:rPr>
              <w:t>7</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2</w:t>
            </w:r>
            <w:r w:rsidRPr="00E31ABE">
              <w:rPr>
                <w:color w:val="000000"/>
                <w:spacing w:val="-1"/>
                <w:sz w:val="22"/>
                <w:szCs w:val="22"/>
                <w:lang w:eastAsia="en-AU"/>
              </w:rPr>
              <w:t>4</w:t>
            </w:r>
            <w:r w:rsidRPr="00E31ABE">
              <w:rPr>
                <w:color w:val="000000"/>
                <w:spacing w:val="2"/>
                <w:sz w:val="22"/>
                <w:szCs w:val="22"/>
                <w:lang w:eastAsia="en-AU"/>
              </w:rPr>
              <w:t>.</w:t>
            </w:r>
            <w:r w:rsidR="00917B3D" w:rsidRPr="00E31ABE">
              <w:rPr>
                <w:color w:val="000000"/>
                <w:sz w:val="22"/>
                <w:szCs w:val="22"/>
                <w:lang w:eastAsia="en-AU"/>
              </w:rPr>
              <w:t>4</w:t>
            </w:r>
            <w:r w:rsidRPr="00E31ABE">
              <w:rPr>
                <w:color w:val="000000"/>
                <w:sz w:val="22"/>
                <w:szCs w:val="22"/>
                <w:lang w:eastAsia="en-AU"/>
              </w:rPr>
              <w:t>)</w:t>
            </w:r>
          </w:p>
        </w:tc>
        <w:tc>
          <w:tcPr>
            <w:tcW w:w="1247" w:type="dxa"/>
            <w:tcBorders>
              <w:top w:val="single" w:sz="4" w:space="0" w:color="000000"/>
              <w:left w:val="nil"/>
              <w:bottom w:val="nil"/>
              <w:right w:val="nil"/>
            </w:tcBorders>
          </w:tcPr>
          <w:p w:rsidR="00622AE3" w:rsidRPr="00E31ABE" w:rsidRDefault="00622AE3" w:rsidP="00C329A1">
            <w:pPr>
              <w:autoSpaceDE w:val="0"/>
              <w:autoSpaceDN w:val="0"/>
              <w:adjustRightInd w:val="0"/>
              <w:spacing w:before="1" w:line="240" w:lineRule="auto"/>
              <w:ind w:left="215" w:right="-20"/>
              <w:rPr>
                <w:color w:val="000000"/>
                <w:sz w:val="22"/>
                <w:szCs w:val="22"/>
                <w:lang w:eastAsia="en-AU"/>
              </w:rPr>
            </w:pPr>
            <w:r w:rsidRPr="00E31ABE">
              <w:rPr>
                <w:color w:val="000000"/>
                <w:sz w:val="22"/>
                <w:szCs w:val="22"/>
                <w:lang w:eastAsia="en-AU"/>
              </w:rPr>
              <w:t>51</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6</w:t>
            </w:r>
            <w:r w:rsidRPr="00E31ABE">
              <w:rPr>
                <w:color w:val="000000"/>
                <w:spacing w:val="2"/>
                <w:sz w:val="22"/>
                <w:szCs w:val="22"/>
                <w:lang w:eastAsia="en-AU"/>
              </w:rPr>
              <w:t>.</w:t>
            </w:r>
            <w:r w:rsidRPr="00E31ABE">
              <w:rPr>
                <w:color w:val="000000"/>
                <w:sz w:val="22"/>
                <w:szCs w:val="22"/>
                <w:lang w:eastAsia="en-AU"/>
              </w:rPr>
              <w:t>2)</w:t>
            </w:r>
          </w:p>
        </w:tc>
      </w:tr>
      <w:tr w:rsidR="00622AE3" w:rsidRPr="00E31ABE" w:rsidTr="00F47D23">
        <w:trPr>
          <w:trHeight w:val="340"/>
        </w:trPr>
        <w:tc>
          <w:tcPr>
            <w:tcW w:w="4031" w:type="dxa"/>
            <w:tcBorders>
              <w:top w:val="nil"/>
              <w:left w:val="nil"/>
              <w:bottom w:val="nil"/>
              <w:right w:val="nil"/>
            </w:tcBorders>
          </w:tcPr>
          <w:p w:rsidR="00622AE3" w:rsidRPr="00BD4D0A" w:rsidRDefault="00622AE3" w:rsidP="00C329A1">
            <w:pPr>
              <w:autoSpaceDE w:val="0"/>
              <w:autoSpaceDN w:val="0"/>
              <w:adjustRightInd w:val="0"/>
              <w:spacing w:line="229" w:lineRule="exact"/>
              <w:ind w:left="60" w:right="-20"/>
              <w:rPr>
                <w:color w:val="000000"/>
                <w:sz w:val="22"/>
                <w:szCs w:val="22"/>
                <w:lang w:eastAsia="en-AU"/>
              </w:rPr>
            </w:pPr>
            <w:r w:rsidRPr="00BD4D0A">
              <w:rPr>
                <w:color w:val="000000"/>
                <w:sz w:val="22"/>
                <w:szCs w:val="22"/>
                <w:lang w:eastAsia="en-AU"/>
              </w:rPr>
              <w:t>Const</w:t>
            </w:r>
            <w:r w:rsidRPr="00BD4D0A">
              <w:rPr>
                <w:color w:val="000000"/>
                <w:spacing w:val="1"/>
                <w:sz w:val="22"/>
                <w:szCs w:val="22"/>
                <w:lang w:eastAsia="en-AU"/>
              </w:rPr>
              <w:t>i</w:t>
            </w:r>
            <w:r w:rsidRPr="00BD4D0A">
              <w:rPr>
                <w:color w:val="000000"/>
                <w:sz w:val="22"/>
                <w:szCs w:val="22"/>
                <w:lang w:eastAsia="en-AU"/>
              </w:rPr>
              <w:t>p</w:t>
            </w:r>
            <w:r w:rsidRPr="00BD4D0A">
              <w:rPr>
                <w:color w:val="000000"/>
                <w:spacing w:val="-1"/>
                <w:sz w:val="22"/>
                <w:szCs w:val="22"/>
                <w:lang w:eastAsia="en-AU"/>
              </w:rPr>
              <w:t>a</w:t>
            </w:r>
            <w:r w:rsidRPr="00BD4D0A">
              <w:rPr>
                <w:color w:val="000000"/>
                <w:spacing w:val="2"/>
                <w:sz w:val="22"/>
                <w:szCs w:val="22"/>
                <w:lang w:eastAsia="en-AU"/>
              </w:rPr>
              <w:t>t</w:t>
            </w:r>
            <w:r w:rsidRPr="00BD4D0A">
              <w:rPr>
                <w:color w:val="000000"/>
                <w:spacing w:val="-1"/>
                <w:sz w:val="22"/>
                <w:szCs w:val="22"/>
                <w:lang w:eastAsia="en-AU"/>
              </w:rPr>
              <w:t>i</w:t>
            </w:r>
            <w:r w:rsidRPr="00BD4D0A">
              <w:rPr>
                <w:color w:val="000000"/>
                <w:sz w:val="22"/>
                <w:szCs w:val="22"/>
                <w:lang w:eastAsia="en-AU"/>
              </w:rPr>
              <w:t>on</w:t>
            </w:r>
          </w:p>
        </w:tc>
        <w:tc>
          <w:tcPr>
            <w:tcW w:w="1410" w:type="dxa"/>
            <w:tcBorders>
              <w:top w:val="nil"/>
              <w:left w:val="nil"/>
              <w:bottom w:val="nil"/>
              <w:right w:val="nil"/>
            </w:tcBorders>
          </w:tcPr>
          <w:p w:rsidR="00622AE3" w:rsidRPr="00E31ABE" w:rsidRDefault="00622AE3" w:rsidP="00C329A1">
            <w:pPr>
              <w:autoSpaceDE w:val="0"/>
              <w:autoSpaceDN w:val="0"/>
              <w:adjustRightInd w:val="0"/>
              <w:spacing w:line="229" w:lineRule="exact"/>
              <w:ind w:left="369" w:right="-20"/>
              <w:rPr>
                <w:color w:val="000000"/>
                <w:sz w:val="22"/>
                <w:szCs w:val="22"/>
                <w:lang w:eastAsia="en-AU"/>
              </w:rPr>
            </w:pPr>
            <w:r w:rsidRPr="00BD4D0A">
              <w:rPr>
                <w:color w:val="000000"/>
                <w:sz w:val="22"/>
                <w:szCs w:val="22"/>
                <w:lang w:eastAsia="en-AU"/>
              </w:rPr>
              <w:t>4</w:t>
            </w:r>
            <w:r w:rsidR="00917B3D" w:rsidRPr="00BD4D0A">
              <w:rPr>
                <w:color w:val="000000"/>
                <w:sz w:val="22"/>
                <w:szCs w:val="22"/>
                <w:lang w:eastAsia="en-AU"/>
              </w:rPr>
              <w:t>3</w:t>
            </w:r>
            <w:r w:rsidRPr="00BD4D0A">
              <w:rPr>
                <w:color w:val="000000"/>
                <w:spacing w:val="-3"/>
                <w:sz w:val="22"/>
                <w:szCs w:val="22"/>
                <w:lang w:eastAsia="en-AU"/>
              </w:rPr>
              <w:t xml:space="preserve"> </w:t>
            </w:r>
            <w:r w:rsidRPr="00BD4D0A">
              <w:rPr>
                <w:color w:val="000000"/>
                <w:spacing w:val="1"/>
                <w:sz w:val="22"/>
                <w:szCs w:val="22"/>
                <w:lang w:eastAsia="en-AU"/>
              </w:rPr>
              <w:t>(</w:t>
            </w:r>
            <w:r w:rsidRPr="00BD4D0A">
              <w:rPr>
                <w:color w:val="000000"/>
                <w:sz w:val="22"/>
                <w:szCs w:val="22"/>
                <w:lang w:eastAsia="en-AU"/>
              </w:rPr>
              <w:t>1</w:t>
            </w:r>
            <w:r w:rsidR="00917B3D" w:rsidRPr="00BD4D0A">
              <w:rPr>
                <w:color w:val="000000"/>
                <w:spacing w:val="-1"/>
                <w:sz w:val="22"/>
                <w:szCs w:val="22"/>
                <w:lang w:eastAsia="en-AU"/>
              </w:rPr>
              <w:t>3</w:t>
            </w:r>
            <w:r w:rsidRPr="00BD4D0A">
              <w:rPr>
                <w:color w:val="000000"/>
                <w:spacing w:val="2"/>
                <w:sz w:val="22"/>
                <w:szCs w:val="22"/>
                <w:lang w:eastAsia="en-AU"/>
              </w:rPr>
              <w:t>.</w:t>
            </w:r>
            <w:r w:rsidR="00917B3D" w:rsidRPr="00BD4D0A">
              <w:rPr>
                <w:color w:val="000000"/>
                <w:sz w:val="22"/>
                <w:szCs w:val="22"/>
                <w:lang w:eastAsia="en-AU"/>
              </w:rPr>
              <w:t>8</w:t>
            </w:r>
            <w:r w:rsidRPr="00BD4D0A">
              <w:rPr>
                <w:color w:val="000000"/>
                <w:sz w:val="22"/>
                <w:szCs w:val="22"/>
                <w:lang w:eastAsia="en-AU"/>
              </w:rPr>
              <w:t>)</w:t>
            </w:r>
          </w:p>
        </w:tc>
        <w:tc>
          <w:tcPr>
            <w:tcW w:w="1232" w:type="dxa"/>
            <w:tcBorders>
              <w:top w:val="nil"/>
              <w:left w:val="nil"/>
              <w:bottom w:val="nil"/>
              <w:right w:val="nil"/>
            </w:tcBorders>
          </w:tcPr>
          <w:p w:rsidR="00622AE3" w:rsidRPr="00E31ABE" w:rsidRDefault="00622AE3" w:rsidP="00C329A1">
            <w:pPr>
              <w:autoSpaceDE w:val="0"/>
              <w:autoSpaceDN w:val="0"/>
              <w:adjustRightInd w:val="0"/>
              <w:spacing w:line="229" w:lineRule="exact"/>
              <w:ind w:left="329" w:right="-20"/>
              <w:rPr>
                <w:color w:val="000000"/>
                <w:sz w:val="22"/>
                <w:szCs w:val="22"/>
                <w:lang w:eastAsia="en-AU"/>
              </w:rPr>
            </w:pPr>
            <w:r w:rsidRPr="00E31ABE">
              <w:rPr>
                <w:color w:val="000000"/>
                <w:sz w:val="22"/>
                <w:szCs w:val="22"/>
                <w:lang w:eastAsia="en-AU"/>
              </w:rPr>
              <w:t>3</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0</w:t>
            </w:r>
            <w:r w:rsidRPr="00E31ABE">
              <w:rPr>
                <w:color w:val="000000"/>
                <w:sz w:val="22"/>
                <w:szCs w:val="22"/>
                <w:lang w:eastAsia="en-AU"/>
              </w:rPr>
              <w:t>)</w:t>
            </w:r>
          </w:p>
        </w:tc>
        <w:tc>
          <w:tcPr>
            <w:tcW w:w="1286" w:type="dxa"/>
            <w:tcBorders>
              <w:top w:val="nil"/>
              <w:left w:val="nil"/>
              <w:bottom w:val="nil"/>
              <w:right w:val="nil"/>
            </w:tcBorders>
          </w:tcPr>
          <w:p w:rsidR="00622AE3" w:rsidRPr="00E31ABE" w:rsidRDefault="00622AE3" w:rsidP="00C329A1">
            <w:pPr>
              <w:autoSpaceDE w:val="0"/>
              <w:autoSpaceDN w:val="0"/>
              <w:adjustRightInd w:val="0"/>
              <w:spacing w:line="229" w:lineRule="exact"/>
              <w:ind w:left="245" w:right="-20"/>
              <w:rPr>
                <w:color w:val="000000"/>
                <w:sz w:val="22"/>
                <w:szCs w:val="22"/>
                <w:lang w:eastAsia="en-AU"/>
              </w:rPr>
            </w:pPr>
            <w:r w:rsidRPr="00E31ABE">
              <w:rPr>
                <w:color w:val="000000"/>
                <w:sz w:val="22"/>
                <w:szCs w:val="22"/>
                <w:lang w:eastAsia="en-AU"/>
              </w:rPr>
              <w:t>3</w:t>
            </w:r>
            <w:r w:rsidR="00917B3D" w:rsidRPr="00E31ABE">
              <w:rPr>
                <w:color w:val="000000"/>
                <w:sz w:val="22"/>
                <w:szCs w:val="22"/>
                <w:lang w:eastAsia="en-AU"/>
              </w:rPr>
              <w:t>3</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0</w:t>
            </w:r>
            <w:r w:rsidRPr="00E31ABE">
              <w:rPr>
                <w:color w:val="000000"/>
                <w:spacing w:val="2"/>
                <w:sz w:val="22"/>
                <w:szCs w:val="22"/>
                <w:lang w:eastAsia="en-AU"/>
              </w:rPr>
              <w:t>.</w:t>
            </w:r>
            <w:r w:rsidR="00917B3D" w:rsidRPr="00E31ABE">
              <w:rPr>
                <w:color w:val="000000"/>
                <w:sz w:val="22"/>
                <w:szCs w:val="22"/>
                <w:lang w:eastAsia="en-AU"/>
              </w:rPr>
              <w:t>5</w:t>
            </w:r>
            <w:r w:rsidRPr="00E31ABE">
              <w:rPr>
                <w:color w:val="000000"/>
                <w:sz w:val="22"/>
                <w:szCs w:val="22"/>
                <w:lang w:eastAsia="en-AU"/>
              </w:rPr>
              <w:t>)</w:t>
            </w:r>
          </w:p>
        </w:tc>
        <w:tc>
          <w:tcPr>
            <w:tcW w:w="1247" w:type="dxa"/>
            <w:tcBorders>
              <w:top w:val="nil"/>
              <w:left w:val="nil"/>
              <w:bottom w:val="nil"/>
              <w:right w:val="nil"/>
            </w:tcBorders>
          </w:tcPr>
          <w:p w:rsidR="00622AE3" w:rsidRPr="00E31ABE" w:rsidRDefault="00622AE3" w:rsidP="00C329A1">
            <w:pPr>
              <w:autoSpaceDE w:val="0"/>
              <w:autoSpaceDN w:val="0"/>
              <w:adjustRightInd w:val="0"/>
              <w:spacing w:line="229" w:lineRule="exact"/>
              <w:ind w:left="328" w:right="-20"/>
              <w:rPr>
                <w:color w:val="000000"/>
                <w:sz w:val="22"/>
                <w:szCs w:val="22"/>
                <w:lang w:eastAsia="en-AU"/>
              </w:rPr>
            </w:pPr>
            <w:r w:rsidRPr="00E31ABE">
              <w:rPr>
                <w:color w:val="000000"/>
                <w:sz w:val="22"/>
                <w:szCs w:val="22"/>
                <w:lang w:eastAsia="en-AU"/>
              </w:rPr>
              <w:t>1</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0.</w:t>
            </w:r>
            <w:r w:rsidRPr="00E31ABE">
              <w:rPr>
                <w:color w:val="000000"/>
                <w:spacing w:val="-1"/>
                <w:sz w:val="22"/>
                <w:szCs w:val="22"/>
                <w:lang w:eastAsia="en-AU"/>
              </w:rPr>
              <w:t>3</w:t>
            </w:r>
            <w:r w:rsidRPr="00E31ABE">
              <w:rPr>
                <w:color w:val="000000"/>
                <w:sz w:val="22"/>
                <w:szCs w:val="22"/>
                <w:lang w:eastAsia="en-AU"/>
              </w:rPr>
              <w:t>)</w:t>
            </w:r>
          </w:p>
        </w:tc>
      </w:tr>
      <w:tr w:rsidR="00622AE3" w:rsidRPr="00E31ABE" w:rsidTr="00F47D23">
        <w:trPr>
          <w:trHeight w:val="340"/>
        </w:trPr>
        <w:tc>
          <w:tcPr>
            <w:tcW w:w="4031" w:type="dxa"/>
            <w:tcBorders>
              <w:top w:val="nil"/>
              <w:left w:val="nil"/>
              <w:bottom w:val="nil"/>
              <w:right w:val="nil"/>
            </w:tcBorders>
          </w:tcPr>
          <w:p w:rsidR="00622AE3" w:rsidRPr="00E31ABE" w:rsidRDefault="00622AE3" w:rsidP="00C329A1">
            <w:pPr>
              <w:autoSpaceDE w:val="0"/>
              <w:autoSpaceDN w:val="0"/>
              <w:adjustRightInd w:val="0"/>
              <w:spacing w:line="229" w:lineRule="exact"/>
              <w:ind w:left="60" w:right="-20"/>
              <w:rPr>
                <w:color w:val="000000"/>
                <w:sz w:val="22"/>
                <w:szCs w:val="22"/>
                <w:lang w:eastAsia="en-AU"/>
              </w:rPr>
            </w:pPr>
            <w:r w:rsidRPr="00E31ABE">
              <w:rPr>
                <w:color w:val="000000"/>
                <w:sz w:val="22"/>
                <w:szCs w:val="22"/>
                <w:lang w:eastAsia="en-AU"/>
              </w:rPr>
              <w:t>In</w:t>
            </w:r>
            <w:r w:rsidRPr="00E31ABE">
              <w:rPr>
                <w:color w:val="000000"/>
                <w:spacing w:val="1"/>
                <w:sz w:val="22"/>
                <w:szCs w:val="22"/>
                <w:lang w:eastAsia="en-AU"/>
              </w:rPr>
              <w:t>f</w:t>
            </w:r>
            <w:r w:rsidRPr="00E31ABE">
              <w:rPr>
                <w:color w:val="000000"/>
                <w:sz w:val="22"/>
                <w:szCs w:val="22"/>
                <w:lang w:eastAsia="en-AU"/>
              </w:rPr>
              <w:t>u</w:t>
            </w:r>
            <w:r w:rsidRPr="00E31ABE">
              <w:rPr>
                <w:color w:val="000000"/>
                <w:spacing w:val="1"/>
                <w:sz w:val="22"/>
                <w:szCs w:val="22"/>
                <w:lang w:eastAsia="en-AU"/>
              </w:rPr>
              <w:t>s</w:t>
            </w:r>
            <w:r w:rsidRPr="00E31ABE">
              <w:rPr>
                <w:color w:val="000000"/>
                <w:spacing w:val="-1"/>
                <w:sz w:val="22"/>
                <w:szCs w:val="22"/>
                <w:lang w:eastAsia="en-AU"/>
              </w:rPr>
              <w:t>i</w:t>
            </w:r>
            <w:r w:rsidRPr="00E31ABE">
              <w:rPr>
                <w:color w:val="000000"/>
                <w:sz w:val="22"/>
                <w:szCs w:val="22"/>
                <w:lang w:eastAsia="en-AU"/>
              </w:rPr>
              <w:t>on</w:t>
            </w:r>
            <w:r w:rsidRPr="00E31ABE">
              <w:rPr>
                <w:color w:val="000000"/>
                <w:spacing w:val="1"/>
                <w:sz w:val="22"/>
                <w:szCs w:val="22"/>
                <w:lang w:eastAsia="en-AU"/>
              </w:rPr>
              <w:t>-r</w:t>
            </w:r>
            <w:r w:rsidRPr="00E31ABE">
              <w:rPr>
                <w:color w:val="000000"/>
                <w:sz w:val="22"/>
                <w:szCs w:val="22"/>
                <w:lang w:eastAsia="en-AU"/>
              </w:rPr>
              <w:t>e</w:t>
            </w:r>
            <w:r w:rsidRPr="00E31ABE">
              <w:rPr>
                <w:color w:val="000000"/>
                <w:spacing w:val="1"/>
                <w:sz w:val="22"/>
                <w:szCs w:val="22"/>
                <w:lang w:eastAsia="en-AU"/>
              </w:rPr>
              <w:t>l</w:t>
            </w:r>
            <w:r w:rsidRPr="00E31ABE">
              <w:rPr>
                <w:color w:val="000000"/>
                <w:sz w:val="22"/>
                <w:szCs w:val="22"/>
                <w:lang w:eastAsia="en-AU"/>
              </w:rPr>
              <w:t>at</w:t>
            </w:r>
            <w:r w:rsidRPr="00E31ABE">
              <w:rPr>
                <w:color w:val="000000"/>
                <w:spacing w:val="-1"/>
                <w:sz w:val="22"/>
                <w:szCs w:val="22"/>
                <w:lang w:eastAsia="en-AU"/>
              </w:rPr>
              <w:t>e</w:t>
            </w:r>
            <w:r w:rsidRPr="00E31ABE">
              <w:rPr>
                <w:color w:val="000000"/>
                <w:sz w:val="22"/>
                <w:szCs w:val="22"/>
                <w:lang w:eastAsia="en-AU"/>
              </w:rPr>
              <w:t>d</w:t>
            </w:r>
            <w:r w:rsidRPr="00E31ABE">
              <w:rPr>
                <w:color w:val="000000"/>
                <w:spacing w:val="-12"/>
                <w:sz w:val="22"/>
                <w:szCs w:val="22"/>
                <w:lang w:eastAsia="en-AU"/>
              </w:rPr>
              <w:t xml:space="preserve"> </w:t>
            </w:r>
            <w:r w:rsidRPr="00E31ABE">
              <w:rPr>
                <w:color w:val="000000"/>
                <w:sz w:val="22"/>
                <w:szCs w:val="22"/>
                <w:lang w:eastAsia="en-AU"/>
              </w:rPr>
              <w:t>re</w:t>
            </w:r>
            <w:r w:rsidRPr="00E31ABE">
              <w:rPr>
                <w:color w:val="000000"/>
                <w:spacing w:val="-1"/>
                <w:sz w:val="22"/>
                <w:szCs w:val="22"/>
                <w:lang w:eastAsia="en-AU"/>
              </w:rPr>
              <w:t>a</w:t>
            </w:r>
            <w:r w:rsidRPr="00E31ABE">
              <w:rPr>
                <w:color w:val="000000"/>
                <w:spacing w:val="1"/>
                <w:sz w:val="22"/>
                <w:szCs w:val="22"/>
                <w:lang w:eastAsia="en-AU"/>
              </w:rPr>
              <w:t>c</w:t>
            </w:r>
            <w:r w:rsidRPr="00E31ABE">
              <w:rPr>
                <w:color w:val="000000"/>
                <w:sz w:val="22"/>
                <w:szCs w:val="22"/>
                <w:lang w:eastAsia="en-AU"/>
              </w:rPr>
              <w:t>t</w:t>
            </w:r>
            <w:r w:rsidRPr="00E31ABE">
              <w:rPr>
                <w:color w:val="000000"/>
                <w:spacing w:val="1"/>
                <w:sz w:val="22"/>
                <w:szCs w:val="22"/>
                <w:lang w:eastAsia="en-AU"/>
              </w:rPr>
              <w:t>i</w:t>
            </w:r>
            <w:r w:rsidRPr="00E31ABE">
              <w:rPr>
                <w:color w:val="000000"/>
                <w:sz w:val="22"/>
                <w:szCs w:val="22"/>
                <w:lang w:eastAsia="en-AU"/>
              </w:rPr>
              <w:t>on</w:t>
            </w:r>
          </w:p>
        </w:tc>
        <w:tc>
          <w:tcPr>
            <w:tcW w:w="1410" w:type="dxa"/>
            <w:tcBorders>
              <w:top w:val="nil"/>
              <w:left w:val="nil"/>
              <w:bottom w:val="nil"/>
              <w:right w:val="nil"/>
            </w:tcBorders>
          </w:tcPr>
          <w:p w:rsidR="00622AE3" w:rsidRPr="00E31ABE" w:rsidRDefault="00622AE3" w:rsidP="00C329A1">
            <w:pPr>
              <w:autoSpaceDE w:val="0"/>
              <w:autoSpaceDN w:val="0"/>
              <w:adjustRightInd w:val="0"/>
              <w:spacing w:line="229" w:lineRule="exact"/>
              <w:ind w:left="369" w:right="-20"/>
              <w:rPr>
                <w:color w:val="000000"/>
                <w:sz w:val="22"/>
                <w:szCs w:val="22"/>
                <w:lang w:eastAsia="en-AU"/>
              </w:rPr>
            </w:pPr>
            <w:r w:rsidRPr="00E31ABE">
              <w:rPr>
                <w:color w:val="000000"/>
                <w:sz w:val="22"/>
                <w:szCs w:val="22"/>
                <w:lang w:eastAsia="en-AU"/>
              </w:rPr>
              <w:t>41</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3</w:t>
            </w:r>
            <w:r w:rsidRPr="00E31ABE">
              <w:rPr>
                <w:color w:val="000000"/>
                <w:spacing w:val="2"/>
                <w:sz w:val="22"/>
                <w:szCs w:val="22"/>
                <w:lang w:eastAsia="en-AU"/>
              </w:rPr>
              <w:t>.</w:t>
            </w:r>
            <w:r w:rsidRPr="00E31ABE">
              <w:rPr>
                <w:color w:val="000000"/>
                <w:sz w:val="22"/>
                <w:szCs w:val="22"/>
                <w:lang w:eastAsia="en-AU"/>
              </w:rPr>
              <w:t>1)</w:t>
            </w:r>
          </w:p>
        </w:tc>
        <w:tc>
          <w:tcPr>
            <w:tcW w:w="1232" w:type="dxa"/>
            <w:tcBorders>
              <w:top w:val="nil"/>
              <w:left w:val="nil"/>
              <w:bottom w:val="nil"/>
              <w:right w:val="nil"/>
            </w:tcBorders>
          </w:tcPr>
          <w:p w:rsidR="00622AE3" w:rsidRPr="00E31ABE" w:rsidRDefault="00622AE3" w:rsidP="00C329A1">
            <w:pPr>
              <w:autoSpaceDE w:val="0"/>
              <w:autoSpaceDN w:val="0"/>
              <w:adjustRightInd w:val="0"/>
              <w:spacing w:line="229" w:lineRule="exact"/>
              <w:ind w:left="329" w:right="-20"/>
              <w:rPr>
                <w:color w:val="000000"/>
                <w:sz w:val="22"/>
                <w:szCs w:val="22"/>
                <w:lang w:eastAsia="en-AU"/>
              </w:rPr>
            </w:pPr>
            <w:r w:rsidRPr="00E31ABE">
              <w:rPr>
                <w:color w:val="000000"/>
                <w:sz w:val="22"/>
                <w:szCs w:val="22"/>
                <w:lang w:eastAsia="en-AU"/>
              </w:rPr>
              <w:t>3</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0</w:t>
            </w:r>
            <w:r w:rsidRPr="00E31ABE">
              <w:rPr>
                <w:color w:val="000000"/>
                <w:sz w:val="22"/>
                <w:szCs w:val="22"/>
                <w:lang w:eastAsia="en-AU"/>
              </w:rPr>
              <w:t>)</w:t>
            </w:r>
          </w:p>
        </w:tc>
        <w:tc>
          <w:tcPr>
            <w:tcW w:w="1286" w:type="dxa"/>
            <w:tcBorders>
              <w:top w:val="nil"/>
              <w:left w:val="nil"/>
              <w:bottom w:val="nil"/>
              <w:right w:val="nil"/>
            </w:tcBorders>
          </w:tcPr>
          <w:p w:rsidR="00622AE3" w:rsidRPr="00E31ABE" w:rsidRDefault="00622AE3" w:rsidP="00C329A1">
            <w:pPr>
              <w:autoSpaceDE w:val="0"/>
              <w:autoSpaceDN w:val="0"/>
              <w:adjustRightInd w:val="0"/>
              <w:spacing w:line="229" w:lineRule="exact"/>
              <w:ind w:left="245" w:right="-20"/>
              <w:rPr>
                <w:color w:val="000000"/>
                <w:sz w:val="22"/>
                <w:szCs w:val="22"/>
                <w:lang w:eastAsia="en-AU"/>
              </w:rPr>
            </w:pPr>
            <w:r w:rsidRPr="00E31ABE">
              <w:rPr>
                <w:color w:val="000000"/>
                <w:sz w:val="22"/>
                <w:szCs w:val="22"/>
                <w:lang w:eastAsia="en-AU"/>
              </w:rPr>
              <w:t>37</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1</w:t>
            </w:r>
            <w:r w:rsidRPr="00E31ABE">
              <w:rPr>
                <w:color w:val="000000"/>
                <w:spacing w:val="2"/>
                <w:sz w:val="22"/>
                <w:szCs w:val="22"/>
                <w:lang w:eastAsia="en-AU"/>
              </w:rPr>
              <w:t>.</w:t>
            </w:r>
            <w:r w:rsidRPr="00E31ABE">
              <w:rPr>
                <w:color w:val="000000"/>
                <w:sz w:val="22"/>
                <w:szCs w:val="22"/>
                <w:lang w:eastAsia="en-AU"/>
              </w:rPr>
              <w:t>7)</w:t>
            </w:r>
          </w:p>
        </w:tc>
        <w:tc>
          <w:tcPr>
            <w:tcW w:w="1247" w:type="dxa"/>
            <w:tcBorders>
              <w:top w:val="nil"/>
              <w:left w:val="nil"/>
              <w:bottom w:val="nil"/>
              <w:right w:val="nil"/>
            </w:tcBorders>
          </w:tcPr>
          <w:p w:rsidR="00622AE3" w:rsidRPr="00E31ABE" w:rsidRDefault="00622AE3" w:rsidP="00C329A1">
            <w:pPr>
              <w:autoSpaceDE w:val="0"/>
              <w:autoSpaceDN w:val="0"/>
              <w:adjustRightInd w:val="0"/>
              <w:spacing w:line="229" w:lineRule="exact"/>
              <w:ind w:left="328" w:right="-20"/>
              <w:rPr>
                <w:color w:val="000000"/>
                <w:sz w:val="22"/>
                <w:szCs w:val="22"/>
                <w:lang w:eastAsia="en-AU"/>
              </w:rPr>
            </w:pPr>
            <w:r w:rsidRPr="00E31ABE">
              <w:rPr>
                <w:color w:val="000000"/>
                <w:sz w:val="22"/>
                <w:szCs w:val="22"/>
                <w:lang w:eastAsia="en-AU"/>
              </w:rPr>
              <w:t>2</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0.</w:t>
            </w:r>
            <w:r w:rsidRPr="00E31ABE">
              <w:rPr>
                <w:color w:val="000000"/>
                <w:spacing w:val="-1"/>
                <w:sz w:val="22"/>
                <w:szCs w:val="22"/>
                <w:lang w:eastAsia="en-AU"/>
              </w:rPr>
              <w:t>6</w:t>
            </w:r>
            <w:r w:rsidRPr="00E31ABE">
              <w:rPr>
                <w:color w:val="000000"/>
                <w:sz w:val="22"/>
                <w:szCs w:val="22"/>
                <w:lang w:eastAsia="en-AU"/>
              </w:rPr>
              <w:t>)</w:t>
            </w:r>
          </w:p>
        </w:tc>
      </w:tr>
      <w:tr w:rsidR="00622AE3" w:rsidRPr="00E31ABE" w:rsidTr="00F47D23">
        <w:trPr>
          <w:trHeight w:val="340"/>
        </w:trPr>
        <w:tc>
          <w:tcPr>
            <w:tcW w:w="4031" w:type="dxa"/>
            <w:tcBorders>
              <w:top w:val="nil"/>
              <w:left w:val="nil"/>
              <w:bottom w:val="nil"/>
              <w:right w:val="nil"/>
            </w:tcBorders>
          </w:tcPr>
          <w:p w:rsidR="00622AE3" w:rsidRPr="00E31ABE" w:rsidRDefault="00622AE3" w:rsidP="00C329A1">
            <w:pPr>
              <w:autoSpaceDE w:val="0"/>
              <w:autoSpaceDN w:val="0"/>
              <w:adjustRightInd w:val="0"/>
              <w:spacing w:line="229" w:lineRule="exact"/>
              <w:ind w:left="60" w:right="-20"/>
              <w:rPr>
                <w:color w:val="000000"/>
                <w:sz w:val="22"/>
                <w:szCs w:val="22"/>
                <w:lang w:eastAsia="en-AU"/>
              </w:rPr>
            </w:pPr>
            <w:r w:rsidRPr="00E31ABE">
              <w:rPr>
                <w:color w:val="000000"/>
                <w:sz w:val="22"/>
                <w:szCs w:val="22"/>
                <w:lang w:eastAsia="en-AU"/>
              </w:rPr>
              <w:t>Nausea</w:t>
            </w:r>
          </w:p>
        </w:tc>
        <w:tc>
          <w:tcPr>
            <w:tcW w:w="1410" w:type="dxa"/>
            <w:tcBorders>
              <w:top w:val="nil"/>
              <w:left w:val="nil"/>
              <w:bottom w:val="nil"/>
              <w:right w:val="nil"/>
            </w:tcBorders>
          </w:tcPr>
          <w:p w:rsidR="00622AE3" w:rsidRPr="00E31ABE" w:rsidRDefault="00622AE3" w:rsidP="00C329A1">
            <w:pPr>
              <w:autoSpaceDE w:val="0"/>
              <w:autoSpaceDN w:val="0"/>
              <w:adjustRightInd w:val="0"/>
              <w:spacing w:line="229" w:lineRule="exact"/>
              <w:ind w:left="369" w:right="-20"/>
              <w:rPr>
                <w:color w:val="000000"/>
                <w:sz w:val="22"/>
                <w:szCs w:val="22"/>
                <w:lang w:eastAsia="en-AU"/>
              </w:rPr>
            </w:pPr>
            <w:r w:rsidRPr="00E31ABE">
              <w:rPr>
                <w:color w:val="000000"/>
                <w:sz w:val="22"/>
                <w:szCs w:val="22"/>
                <w:lang w:eastAsia="en-AU"/>
              </w:rPr>
              <w:t>34</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0</w:t>
            </w:r>
            <w:r w:rsidRPr="00E31ABE">
              <w:rPr>
                <w:color w:val="000000"/>
                <w:spacing w:val="2"/>
                <w:sz w:val="22"/>
                <w:szCs w:val="22"/>
                <w:lang w:eastAsia="en-AU"/>
              </w:rPr>
              <w:t>.</w:t>
            </w:r>
            <w:r w:rsidRPr="00E31ABE">
              <w:rPr>
                <w:color w:val="000000"/>
                <w:sz w:val="22"/>
                <w:szCs w:val="22"/>
                <w:lang w:eastAsia="en-AU"/>
              </w:rPr>
              <w:t>9)</w:t>
            </w:r>
          </w:p>
        </w:tc>
        <w:tc>
          <w:tcPr>
            <w:tcW w:w="1232" w:type="dxa"/>
            <w:tcBorders>
              <w:top w:val="nil"/>
              <w:left w:val="nil"/>
              <w:bottom w:val="nil"/>
              <w:right w:val="nil"/>
            </w:tcBorders>
          </w:tcPr>
          <w:p w:rsidR="00622AE3" w:rsidRPr="00E31ABE" w:rsidRDefault="00622AE3" w:rsidP="00C329A1">
            <w:pPr>
              <w:autoSpaceDE w:val="0"/>
              <w:autoSpaceDN w:val="0"/>
              <w:adjustRightInd w:val="0"/>
              <w:spacing w:line="229" w:lineRule="exact"/>
              <w:ind w:left="527" w:right="504"/>
              <w:jc w:val="center"/>
              <w:rPr>
                <w:color w:val="000000"/>
                <w:sz w:val="22"/>
                <w:szCs w:val="22"/>
                <w:lang w:eastAsia="en-AU"/>
              </w:rPr>
            </w:pPr>
            <w:r w:rsidRPr="00E31ABE">
              <w:rPr>
                <w:color w:val="000000"/>
                <w:w w:val="99"/>
                <w:sz w:val="22"/>
                <w:szCs w:val="22"/>
                <w:lang w:eastAsia="en-AU"/>
              </w:rPr>
              <w:t>0</w:t>
            </w:r>
          </w:p>
        </w:tc>
        <w:tc>
          <w:tcPr>
            <w:tcW w:w="1286" w:type="dxa"/>
            <w:tcBorders>
              <w:top w:val="nil"/>
              <w:left w:val="nil"/>
              <w:bottom w:val="nil"/>
              <w:right w:val="nil"/>
            </w:tcBorders>
          </w:tcPr>
          <w:p w:rsidR="00622AE3" w:rsidRPr="00E31ABE" w:rsidRDefault="00622AE3" w:rsidP="00C329A1">
            <w:pPr>
              <w:autoSpaceDE w:val="0"/>
              <w:autoSpaceDN w:val="0"/>
              <w:adjustRightInd w:val="0"/>
              <w:spacing w:line="229" w:lineRule="exact"/>
              <w:ind w:left="245" w:right="-20"/>
              <w:rPr>
                <w:color w:val="000000"/>
                <w:sz w:val="22"/>
                <w:szCs w:val="22"/>
                <w:lang w:eastAsia="en-AU"/>
              </w:rPr>
            </w:pPr>
            <w:r w:rsidRPr="00E31ABE">
              <w:rPr>
                <w:color w:val="000000"/>
                <w:sz w:val="22"/>
                <w:szCs w:val="22"/>
                <w:lang w:eastAsia="en-AU"/>
              </w:rPr>
              <w:t>35</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1</w:t>
            </w:r>
            <w:r w:rsidRPr="00E31ABE">
              <w:rPr>
                <w:color w:val="000000"/>
                <w:spacing w:val="2"/>
                <w:sz w:val="22"/>
                <w:szCs w:val="22"/>
                <w:lang w:eastAsia="en-AU"/>
              </w:rPr>
              <w:t>.</w:t>
            </w:r>
            <w:r w:rsidRPr="00E31ABE">
              <w:rPr>
                <w:color w:val="000000"/>
                <w:sz w:val="22"/>
                <w:szCs w:val="22"/>
                <w:lang w:eastAsia="en-AU"/>
              </w:rPr>
              <w:t>1)</w:t>
            </w:r>
          </w:p>
        </w:tc>
        <w:tc>
          <w:tcPr>
            <w:tcW w:w="1247" w:type="dxa"/>
            <w:tcBorders>
              <w:top w:val="nil"/>
              <w:left w:val="nil"/>
              <w:bottom w:val="nil"/>
              <w:right w:val="nil"/>
            </w:tcBorders>
          </w:tcPr>
          <w:p w:rsidR="00622AE3" w:rsidRPr="00E31ABE" w:rsidRDefault="00622AE3" w:rsidP="00C329A1">
            <w:pPr>
              <w:autoSpaceDE w:val="0"/>
              <w:autoSpaceDN w:val="0"/>
              <w:adjustRightInd w:val="0"/>
              <w:spacing w:line="229" w:lineRule="exact"/>
              <w:ind w:left="526" w:right="521"/>
              <w:jc w:val="center"/>
              <w:rPr>
                <w:color w:val="000000"/>
                <w:sz w:val="22"/>
                <w:szCs w:val="22"/>
                <w:lang w:eastAsia="en-AU"/>
              </w:rPr>
            </w:pPr>
            <w:r w:rsidRPr="00E31ABE">
              <w:rPr>
                <w:color w:val="000000"/>
                <w:w w:val="99"/>
                <w:sz w:val="22"/>
                <w:szCs w:val="22"/>
                <w:lang w:eastAsia="en-AU"/>
              </w:rPr>
              <w:t>0</w:t>
            </w:r>
          </w:p>
        </w:tc>
      </w:tr>
      <w:tr w:rsidR="00622AE3" w:rsidRPr="00E31ABE" w:rsidTr="00F47D23">
        <w:trPr>
          <w:trHeight w:val="340"/>
        </w:trPr>
        <w:tc>
          <w:tcPr>
            <w:tcW w:w="4031" w:type="dxa"/>
            <w:tcBorders>
              <w:top w:val="nil"/>
              <w:left w:val="nil"/>
              <w:bottom w:val="nil"/>
              <w:right w:val="nil"/>
            </w:tcBorders>
          </w:tcPr>
          <w:p w:rsidR="00622AE3" w:rsidRPr="00E31ABE" w:rsidRDefault="00622AE3" w:rsidP="00C329A1">
            <w:pPr>
              <w:autoSpaceDE w:val="0"/>
              <w:autoSpaceDN w:val="0"/>
              <w:adjustRightInd w:val="0"/>
              <w:spacing w:line="229" w:lineRule="exact"/>
              <w:ind w:left="60" w:right="-20"/>
              <w:rPr>
                <w:color w:val="000000"/>
                <w:sz w:val="22"/>
                <w:szCs w:val="22"/>
                <w:lang w:eastAsia="en-AU"/>
              </w:rPr>
            </w:pPr>
            <w:r w:rsidRPr="00E31ABE">
              <w:rPr>
                <w:color w:val="000000"/>
                <w:sz w:val="22"/>
                <w:szCs w:val="22"/>
                <w:lang w:eastAsia="en-AU"/>
              </w:rPr>
              <w:t>Neuro</w:t>
            </w:r>
            <w:r w:rsidRPr="00E31ABE">
              <w:rPr>
                <w:color w:val="000000"/>
                <w:spacing w:val="2"/>
                <w:sz w:val="22"/>
                <w:szCs w:val="22"/>
                <w:lang w:eastAsia="en-AU"/>
              </w:rPr>
              <w:t>p</w:t>
            </w:r>
            <w:r w:rsidRPr="00E31ABE">
              <w:rPr>
                <w:color w:val="000000"/>
                <w:sz w:val="22"/>
                <w:szCs w:val="22"/>
                <w:lang w:eastAsia="en-AU"/>
              </w:rPr>
              <w:t>at</w:t>
            </w:r>
            <w:r w:rsidRPr="00E31ABE">
              <w:rPr>
                <w:color w:val="000000"/>
                <w:spacing w:val="4"/>
                <w:sz w:val="22"/>
                <w:szCs w:val="22"/>
                <w:lang w:eastAsia="en-AU"/>
              </w:rPr>
              <w:t>h</w:t>
            </w:r>
            <w:r w:rsidRPr="00E31ABE">
              <w:rPr>
                <w:color w:val="000000"/>
                <w:sz w:val="22"/>
                <w:szCs w:val="22"/>
                <w:lang w:eastAsia="en-AU"/>
              </w:rPr>
              <w:t>y</w:t>
            </w:r>
            <w:r w:rsidRPr="00E31ABE">
              <w:rPr>
                <w:color w:val="000000"/>
                <w:spacing w:val="-14"/>
                <w:sz w:val="22"/>
                <w:szCs w:val="22"/>
                <w:lang w:eastAsia="en-AU"/>
              </w:rPr>
              <w:t xml:space="preserve"> </w:t>
            </w:r>
            <w:r w:rsidRPr="00E31ABE">
              <w:rPr>
                <w:color w:val="000000"/>
                <w:spacing w:val="2"/>
                <w:sz w:val="22"/>
                <w:szCs w:val="22"/>
                <w:lang w:eastAsia="en-AU"/>
              </w:rPr>
              <w:t>p</w:t>
            </w:r>
            <w:r w:rsidRPr="00E31ABE">
              <w:rPr>
                <w:color w:val="000000"/>
                <w:sz w:val="22"/>
                <w:szCs w:val="22"/>
                <w:lang w:eastAsia="en-AU"/>
              </w:rPr>
              <w:t>eri</w:t>
            </w:r>
            <w:r w:rsidRPr="00E31ABE">
              <w:rPr>
                <w:color w:val="000000"/>
                <w:spacing w:val="1"/>
                <w:sz w:val="22"/>
                <w:szCs w:val="22"/>
                <w:lang w:eastAsia="en-AU"/>
              </w:rPr>
              <w:t>p</w:t>
            </w:r>
            <w:r w:rsidRPr="00E31ABE">
              <w:rPr>
                <w:color w:val="000000"/>
                <w:sz w:val="22"/>
                <w:szCs w:val="22"/>
                <w:lang w:eastAsia="en-AU"/>
              </w:rPr>
              <w:t>h</w:t>
            </w:r>
            <w:r w:rsidRPr="00E31ABE">
              <w:rPr>
                <w:color w:val="000000"/>
                <w:spacing w:val="-1"/>
                <w:sz w:val="22"/>
                <w:szCs w:val="22"/>
                <w:lang w:eastAsia="en-AU"/>
              </w:rPr>
              <w:t>e</w:t>
            </w:r>
            <w:r w:rsidRPr="00E31ABE">
              <w:rPr>
                <w:color w:val="000000"/>
                <w:spacing w:val="1"/>
                <w:sz w:val="22"/>
                <w:szCs w:val="22"/>
                <w:lang w:eastAsia="en-AU"/>
              </w:rPr>
              <w:t>r</w:t>
            </w:r>
            <w:r w:rsidRPr="00E31ABE">
              <w:rPr>
                <w:color w:val="000000"/>
                <w:sz w:val="22"/>
                <w:szCs w:val="22"/>
                <w:lang w:eastAsia="en-AU"/>
              </w:rPr>
              <w:t>al</w:t>
            </w:r>
          </w:p>
        </w:tc>
        <w:tc>
          <w:tcPr>
            <w:tcW w:w="1410" w:type="dxa"/>
            <w:tcBorders>
              <w:top w:val="nil"/>
              <w:left w:val="nil"/>
              <w:bottom w:val="nil"/>
              <w:right w:val="nil"/>
            </w:tcBorders>
          </w:tcPr>
          <w:p w:rsidR="00622AE3" w:rsidRPr="00E31ABE" w:rsidRDefault="00622AE3" w:rsidP="003E156B">
            <w:pPr>
              <w:autoSpaceDE w:val="0"/>
              <w:autoSpaceDN w:val="0"/>
              <w:adjustRightInd w:val="0"/>
              <w:spacing w:line="229" w:lineRule="exact"/>
              <w:ind w:left="369" w:right="-20"/>
              <w:rPr>
                <w:color w:val="000000"/>
                <w:sz w:val="22"/>
                <w:szCs w:val="22"/>
                <w:lang w:eastAsia="en-AU"/>
              </w:rPr>
            </w:pPr>
            <w:r w:rsidRPr="000C0DD4">
              <w:rPr>
                <w:color w:val="000000"/>
                <w:sz w:val="22"/>
                <w:szCs w:val="22"/>
                <w:lang w:eastAsia="en-AU"/>
              </w:rPr>
              <w:t>3</w:t>
            </w:r>
            <w:r w:rsidR="003E156B" w:rsidRPr="000C0DD4">
              <w:rPr>
                <w:color w:val="000000"/>
                <w:sz w:val="22"/>
                <w:szCs w:val="22"/>
                <w:lang w:eastAsia="en-AU"/>
              </w:rPr>
              <w:t>4</w:t>
            </w:r>
            <w:r w:rsidRPr="000C0DD4">
              <w:rPr>
                <w:color w:val="000000"/>
                <w:spacing w:val="-3"/>
                <w:sz w:val="22"/>
                <w:szCs w:val="22"/>
                <w:lang w:eastAsia="en-AU"/>
              </w:rPr>
              <w:t xml:space="preserve"> </w:t>
            </w:r>
            <w:r w:rsidRPr="000C0DD4">
              <w:rPr>
                <w:color w:val="000000"/>
                <w:spacing w:val="1"/>
                <w:sz w:val="22"/>
                <w:szCs w:val="22"/>
                <w:lang w:eastAsia="en-AU"/>
              </w:rPr>
              <w:t>(</w:t>
            </w:r>
            <w:r w:rsidRPr="000C0DD4">
              <w:rPr>
                <w:color w:val="000000"/>
                <w:sz w:val="22"/>
                <w:szCs w:val="22"/>
                <w:lang w:eastAsia="en-AU"/>
              </w:rPr>
              <w:t>1</w:t>
            </w:r>
            <w:r w:rsidRPr="000C0DD4">
              <w:rPr>
                <w:color w:val="000000"/>
                <w:spacing w:val="-1"/>
                <w:sz w:val="22"/>
                <w:szCs w:val="22"/>
                <w:lang w:eastAsia="en-AU"/>
              </w:rPr>
              <w:t>0</w:t>
            </w:r>
            <w:r w:rsidRPr="000C0DD4">
              <w:rPr>
                <w:color w:val="000000"/>
                <w:spacing w:val="2"/>
                <w:sz w:val="22"/>
                <w:szCs w:val="22"/>
                <w:lang w:eastAsia="en-AU"/>
              </w:rPr>
              <w:t>.</w:t>
            </w:r>
            <w:r w:rsidR="003E156B" w:rsidRPr="000C0DD4">
              <w:rPr>
                <w:color w:val="000000"/>
                <w:sz w:val="22"/>
                <w:szCs w:val="22"/>
                <w:lang w:eastAsia="en-AU"/>
              </w:rPr>
              <w:t>9</w:t>
            </w:r>
            <w:r w:rsidRPr="000C0DD4">
              <w:rPr>
                <w:color w:val="000000"/>
                <w:sz w:val="22"/>
                <w:szCs w:val="22"/>
                <w:lang w:eastAsia="en-AU"/>
              </w:rPr>
              <w:t>)</w:t>
            </w:r>
          </w:p>
        </w:tc>
        <w:tc>
          <w:tcPr>
            <w:tcW w:w="1232" w:type="dxa"/>
            <w:tcBorders>
              <w:top w:val="nil"/>
              <w:left w:val="nil"/>
              <w:bottom w:val="nil"/>
              <w:right w:val="nil"/>
            </w:tcBorders>
          </w:tcPr>
          <w:p w:rsidR="00622AE3" w:rsidRPr="00E31ABE" w:rsidRDefault="00622AE3" w:rsidP="00C329A1">
            <w:pPr>
              <w:autoSpaceDE w:val="0"/>
              <w:autoSpaceDN w:val="0"/>
              <w:adjustRightInd w:val="0"/>
              <w:spacing w:line="229" w:lineRule="exact"/>
              <w:ind w:left="329" w:right="-20"/>
              <w:rPr>
                <w:color w:val="000000"/>
                <w:sz w:val="22"/>
                <w:szCs w:val="22"/>
                <w:lang w:eastAsia="en-AU"/>
              </w:rPr>
            </w:pPr>
            <w:r w:rsidRPr="00E31ABE">
              <w:rPr>
                <w:color w:val="000000"/>
                <w:sz w:val="22"/>
                <w:szCs w:val="22"/>
                <w:lang w:eastAsia="en-AU"/>
              </w:rPr>
              <w:t>4</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1.</w:t>
            </w:r>
            <w:r w:rsidRPr="00E31ABE">
              <w:rPr>
                <w:color w:val="000000"/>
                <w:spacing w:val="-1"/>
                <w:sz w:val="22"/>
                <w:szCs w:val="22"/>
                <w:lang w:eastAsia="en-AU"/>
              </w:rPr>
              <w:t>3</w:t>
            </w:r>
            <w:r w:rsidRPr="00E31ABE">
              <w:rPr>
                <w:color w:val="000000"/>
                <w:sz w:val="22"/>
                <w:szCs w:val="22"/>
                <w:lang w:eastAsia="en-AU"/>
              </w:rPr>
              <w:t>)</w:t>
            </w:r>
          </w:p>
        </w:tc>
        <w:tc>
          <w:tcPr>
            <w:tcW w:w="1286" w:type="dxa"/>
            <w:tcBorders>
              <w:top w:val="nil"/>
              <w:left w:val="nil"/>
              <w:bottom w:val="nil"/>
              <w:right w:val="nil"/>
            </w:tcBorders>
          </w:tcPr>
          <w:p w:rsidR="00622AE3" w:rsidRPr="00E31ABE" w:rsidRDefault="00622AE3" w:rsidP="00C329A1">
            <w:pPr>
              <w:autoSpaceDE w:val="0"/>
              <w:autoSpaceDN w:val="0"/>
              <w:adjustRightInd w:val="0"/>
              <w:spacing w:line="229" w:lineRule="exact"/>
              <w:ind w:left="300" w:right="-20"/>
              <w:rPr>
                <w:color w:val="000000"/>
                <w:sz w:val="22"/>
                <w:szCs w:val="22"/>
                <w:lang w:eastAsia="en-AU"/>
              </w:rPr>
            </w:pPr>
            <w:r w:rsidRPr="00E31ABE">
              <w:rPr>
                <w:color w:val="000000"/>
                <w:sz w:val="22"/>
                <w:szCs w:val="22"/>
                <w:lang w:eastAsia="en-AU"/>
              </w:rPr>
              <w:t>25</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7.</w:t>
            </w:r>
            <w:r w:rsidRPr="00E31ABE">
              <w:rPr>
                <w:color w:val="000000"/>
                <w:spacing w:val="-1"/>
                <w:sz w:val="22"/>
                <w:szCs w:val="22"/>
                <w:lang w:eastAsia="en-AU"/>
              </w:rPr>
              <w:t>9</w:t>
            </w:r>
            <w:r w:rsidRPr="00E31ABE">
              <w:rPr>
                <w:color w:val="000000"/>
                <w:sz w:val="22"/>
                <w:szCs w:val="22"/>
                <w:lang w:eastAsia="en-AU"/>
              </w:rPr>
              <w:t>)</w:t>
            </w:r>
          </w:p>
        </w:tc>
        <w:tc>
          <w:tcPr>
            <w:tcW w:w="1247" w:type="dxa"/>
            <w:tcBorders>
              <w:top w:val="nil"/>
              <w:left w:val="nil"/>
              <w:bottom w:val="nil"/>
              <w:right w:val="nil"/>
            </w:tcBorders>
          </w:tcPr>
          <w:p w:rsidR="00622AE3" w:rsidRPr="00E31ABE" w:rsidRDefault="00622AE3" w:rsidP="00C329A1">
            <w:pPr>
              <w:autoSpaceDE w:val="0"/>
              <w:autoSpaceDN w:val="0"/>
              <w:adjustRightInd w:val="0"/>
              <w:spacing w:line="229" w:lineRule="exact"/>
              <w:ind w:left="328" w:right="-20"/>
              <w:rPr>
                <w:color w:val="000000"/>
                <w:sz w:val="22"/>
                <w:szCs w:val="22"/>
                <w:lang w:eastAsia="en-AU"/>
              </w:rPr>
            </w:pPr>
            <w:r w:rsidRPr="00E31ABE">
              <w:rPr>
                <w:color w:val="000000"/>
                <w:sz w:val="22"/>
                <w:szCs w:val="22"/>
                <w:lang w:eastAsia="en-AU"/>
              </w:rPr>
              <w:t>2</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0.</w:t>
            </w:r>
            <w:r w:rsidRPr="00E31ABE">
              <w:rPr>
                <w:color w:val="000000"/>
                <w:spacing w:val="-1"/>
                <w:sz w:val="22"/>
                <w:szCs w:val="22"/>
                <w:lang w:eastAsia="en-AU"/>
              </w:rPr>
              <w:t>6</w:t>
            </w:r>
            <w:r w:rsidRPr="00E31ABE">
              <w:rPr>
                <w:color w:val="000000"/>
                <w:sz w:val="22"/>
                <w:szCs w:val="22"/>
                <w:lang w:eastAsia="en-AU"/>
              </w:rPr>
              <w:t>)</w:t>
            </w:r>
          </w:p>
        </w:tc>
      </w:tr>
      <w:tr w:rsidR="00622AE3" w:rsidRPr="00E31ABE" w:rsidTr="00F47D23">
        <w:trPr>
          <w:trHeight w:val="340"/>
        </w:trPr>
        <w:tc>
          <w:tcPr>
            <w:tcW w:w="4031" w:type="dxa"/>
            <w:tcBorders>
              <w:top w:val="nil"/>
              <w:left w:val="nil"/>
              <w:bottom w:val="nil"/>
              <w:right w:val="nil"/>
            </w:tcBorders>
          </w:tcPr>
          <w:p w:rsidR="00622AE3" w:rsidRPr="00E31ABE" w:rsidRDefault="00622AE3" w:rsidP="00C329A1">
            <w:pPr>
              <w:autoSpaceDE w:val="0"/>
              <w:autoSpaceDN w:val="0"/>
              <w:adjustRightInd w:val="0"/>
              <w:spacing w:line="229" w:lineRule="exact"/>
              <w:ind w:left="60" w:right="-20"/>
              <w:rPr>
                <w:color w:val="000000"/>
                <w:sz w:val="22"/>
                <w:szCs w:val="22"/>
                <w:lang w:eastAsia="en-AU"/>
              </w:rPr>
            </w:pPr>
            <w:r w:rsidRPr="00E31ABE">
              <w:rPr>
                <w:color w:val="000000"/>
                <w:sz w:val="22"/>
                <w:szCs w:val="22"/>
                <w:lang w:eastAsia="en-AU"/>
              </w:rPr>
              <w:t>Fat</w:t>
            </w:r>
            <w:r w:rsidRPr="00E31ABE">
              <w:rPr>
                <w:color w:val="000000"/>
                <w:spacing w:val="-2"/>
                <w:sz w:val="22"/>
                <w:szCs w:val="22"/>
                <w:lang w:eastAsia="en-AU"/>
              </w:rPr>
              <w:t>i</w:t>
            </w:r>
            <w:r w:rsidRPr="00E31ABE">
              <w:rPr>
                <w:color w:val="000000"/>
                <w:spacing w:val="2"/>
                <w:sz w:val="22"/>
                <w:szCs w:val="22"/>
                <w:lang w:eastAsia="en-AU"/>
              </w:rPr>
              <w:t>g</w:t>
            </w:r>
            <w:r w:rsidRPr="00E31ABE">
              <w:rPr>
                <w:color w:val="000000"/>
                <w:sz w:val="22"/>
                <w:szCs w:val="22"/>
                <w:lang w:eastAsia="en-AU"/>
              </w:rPr>
              <w:t>ue</w:t>
            </w:r>
          </w:p>
        </w:tc>
        <w:tc>
          <w:tcPr>
            <w:tcW w:w="1410" w:type="dxa"/>
            <w:tcBorders>
              <w:top w:val="nil"/>
              <w:left w:val="nil"/>
              <w:bottom w:val="nil"/>
              <w:right w:val="nil"/>
            </w:tcBorders>
          </w:tcPr>
          <w:p w:rsidR="00622AE3" w:rsidRPr="00E31ABE" w:rsidRDefault="00622AE3" w:rsidP="00C329A1">
            <w:pPr>
              <w:autoSpaceDE w:val="0"/>
              <w:autoSpaceDN w:val="0"/>
              <w:adjustRightInd w:val="0"/>
              <w:spacing w:line="229" w:lineRule="exact"/>
              <w:ind w:left="424" w:right="-20"/>
              <w:rPr>
                <w:color w:val="000000"/>
                <w:sz w:val="22"/>
                <w:szCs w:val="22"/>
                <w:lang w:eastAsia="en-AU"/>
              </w:rPr>
            </w:pPr>
            <w:r w:rsidRPr="00E31ABE">
              <w:rPr>
                <w:color w:val="000000"/>
                <w:sz w:val="22"/>
                <w:szCs w:val="22"/>
                <w:lang w:eastAsia="en-AU"/>
              </w:rPr>
              <w:t>26</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8.</w:t>
            </w:r>
            <w:r w:rsidRPr="00E31ABE">
              <w:rPr>
                <w:color w:val="000000"/>
                <w:spacing w:val="-1"/>
                <w:sz w:val="22"/>
                <w:szCs w:val="22"/>
                <w:lang w:eastAsia="en-AU"/>
              </w:rPr>
              <w:t>3</w:t>
            </w:r>
            <w:r w:rsidRPr="00E31ABE">
              <w:rPr>
                <w:color w:val="000000"/>
                <w:sz w:val="22"/>
                <w:szCs w:val="22"/>
                <w:lang w:eastAsia="en-AU"/>
              </w:rPr>
              <w:t>)</w:t>
            </w:r>
          </w:p>
        </w:tc>
        <w:tc>
          <w:tcPr>
            <w:tcW w:w="1232" w:type="dxa"/>
            <w:tcBorders>
              <w:top w:val="nil"/>
              <w:left w:val="nil"/>
              <w:bottom w:val="nil"/>
              <w:right w:val="nil"/>
            </w:tcBorders>
          </w:tcPr>
          <w:p w:rsidR="00622AE3" w:rsidRPr="00E31ABE" w:rsidRDefault="00622AE3" w:rsidP="00C329A1">
            <w:pPr>
              <w:autoSpaceDE w:val="0"/>
              <w:autoSpaceDN w:val="0"/>
              <w:adjustRightInd w:val="0"/>
              <w:spacing w:line="229" w:lineRule="exact"/>
              <w:ind w:left="527" w:right="504"/>
              <w:jc w:val="center"/>
              <w:rPr>
                <w:color w:val="000000"/>
                <w:sz w:val="22"/>
                <w:szCs w:val="22"/>
                <w:lang w:eastAsia="en-AU"/>
              </w:rPr>
            </w:pPr>
            <w:r w:rsidRPr="00E31ABE">
              <w:rPr>
                <w:color w:val="000000"/>
                <w:w w:val="99"/>
                <w:sz w:val="22"/>
                <w:szCs w:val="22"/>
                <w:lang w:eastAsia="en-AU"/>
              </w:rPr>
              <w:t>0</w:t>
            </w:r>
          </w:p>
        </w:tc>
        <w:tc>
          <w:tcPr>
            <w:tcW w:w="1286" w:type="dxa"/>
            <w:tcBorders>
              <w:top w:val="nil"/>
              <w:left w:val="nil"/>
              <w:bottom w:val="nil"/>
              <w:right w:val="nil"/>
            </w:tcBorders>
          </w:tcPr>
          <w:p w:rsidR="00622AE3" w:rsidRPr="00E31ABE" w:rsidRDefault="00622AE3" w:rsidP="00C329A1">
            <w:pPr>
              <w:autoSpaceDE w:val="0"/>
              <w:autoSpaceDN w:val="0"/>
              <w:adjustRightInd w:val="0"/>
              <w:spacing w:line="229" w:lineRule="exact"/>
              <w:ind w:left="300" w:right="-20"/>
              <w:rPr>
                <w:color w:val="000000"/>
                <w:sz w:val="22"/>
                <w:szCs w:val="22"/>
                <w:lang w:eastAsia="en-AU"/>
              </w:rPr>
            </w:pPr>
            <w:r w:rsidRPr="00E31ABE">
              <w:rPr>
                <w:color w:val="000000"/>
                <w:sz w:val="22"/>
                <w:szCs w:val="22"/>
                <w:lang w:eastAsia="en-AU"/>
              </w:rPr>
              <w:t>18</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5.</w:t>
            </w:r>
            <w:r w:rsidRPr="00E31ABE">
              <w:rPr>
                <w:color w:val="000000"/>
                <w:spacing w:val="-1"/>
                <w:sz w:val="22"/>
                <w:szCs w:val="22"/>
                <w:lang w:eastAsia="en-AU"/>
              </w:rPr>
              <w:t>7</w:t>
            </w:r>
            <w:r w:rsidRPr="00E31ABE">
              <w:rPr>
                <w:color w:val="000000"/>
                <w:sz w:val="22"/>
                <w:szCs w:val="22"/>
                <w:lang w:eastAsia="en-AU"/>
              </w:rPr>
              <w:t>)</w:t>
            </w:r>
          </w:p>
        </w:tc>
        <w:tc>
          <w:tcPr>
            <w:tcW w:w="1247" w:type="dxa"/>
            <w:tcBorders>
              <w:top w:val="nil"/>
              <w:left w:val="nil"/>
              <w:bottom w:val="nil"/>
              <w:right w:val="nil"/>
            </w:tcBorders>
          </w:tcPr>
          <w:p w:rsidR="00622AE3" w:rsidRPr="00E31ABE" w:rsidRDefault="00622AE3" w:rsidP="00C329A1">
            <w:pPr>
              <w:autoSpaceDE w:val="0"/>
              <w:autoSpaceDN w:val="0"/>
              <w:adjustRightInd w:val="0"/>
              <w:spacing w:line="229" w:lineRule="exact"/>
              <w:ind w:left="328" w:right="-20"/>
              <w:rPr>
                <w:color w:val="000000"/>
                <w:sz w:val="22"/>
                <w:szCs w:val="22"/>
                <w:lang w:eastAsia="en-AU"/>
              </w:rPr>
            </w:pPr>
            <w:r w:rsidRPr="00E31ABE">
              <w:rPr>
                <w:color w:val="000000"/>
                <w:sz w:val="22"/>
                <w:szCs w:val="22"/>
                <w:lang w:eastAsia="en-AU"/>
              </w:rPr>
              <w:t>1</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0.</w:t>
            </w:r>
            <w:r w:rsidRPr="00E31ABE">
              <w:rPr>
                <w:color w:val="000000"/>
                <w:spacing w:val="-1"/>
                <w:sz w:val="22"/>
                <w:szCs w:val="22"/>
                <w:lang w:eastAsia="en-AU"/>
              </w:rPr>
              <w:t>3</w:t>
            </w:r>
            <w:r w:rsidRPr="00E31ABE">
              <w:rPr>
                <w:color w:val="000000"/>
                <w:sz w:val="22"/>
                <w:szCs w:val="22"/>
                <w:lang w:eastAsia="en-AU"/>
              </w:rPr>
              <w:t>)</w:t>
            </w:r>
          </w:p>
        </w:tc>
      </w:tr>
      <w:tr w:rsidR="00622AE3" w:rsidRPr="00C821DA" w:rsidTr="00F47D23">
        <w:trPr>
          <w:trHeight w:val="340"/>
        </w:trPr>
        <w:tc>
          <w:tcPr>
            <w:tcW w:w="4031" w:type="dxa"/>
            <w:tcBorders>
              <w:top w:val="nil"/>
              <w:left w:val="nil"/>
              <w:bottom w:val="nil"/>
              <w:right w:val="nil"/>
            </w:tcBorders>
          </w:tcPr>
          <w:p w:rsidR="00622AE3" w:rsidRPr="00E31ABE" w:rsidRDefault="00622AE3" w:rsidP="00C329A1">
            <w:pPr>
              <w:autoSpaceDE w:val="0"/>
              <w:autoSpaceDN w:val="0"/>
              <w:adjustRightInd w:val="0"/>
              <w:spacing w:line="240" w:lineRule="auto"/>
              <w:ind w:left="60" w:right="-20"/>
              <w:rPr>
                <w:color w:val="000000"/>
                <w:sz w:val="22"/>
                <w:szCs w:val="22"/>
                <w:lang w:eastAsia="en-AU"/>
              </w:rPr>
            </w:pPr>
            <w:r w:rsidRPr="00E31ABE">
              <w:rPr>
                <w:color w:val="000000"/>
                <w:spacing w:val="-1"/>
                <w:sz w:val="22"/>
                <w:szCs w:val="22"/>
                <w:lang w:eastAsia="en-AU"/>
              </w:rPr>
              <w:t>P</w:t>
            </w:r>
            <w:r w:rsidRPr="00E31ABE">
              <w:rPr>
                <w:color w:val="000000"/>
                <w:sz w:val="22"/>
                <w:szCs w:val="22"/>
                <w:lang w:eastAsia="en-AU"/>
              </w:rPr>
              <w:t>arae</w:t>
            </w:r>
            <w:r w:rsidRPr="00E31ABE">
              <w:rPr>
                <w:color w:val="000000"/>
                <w:spacing w:val="1"/>
                <w:sz w:val="22"/>
                <w:szCs w:val="22"/>
                <w:lang w:eastAsia="en-AU"/>
              </w:rPr>
              <w:t>s</w:t>
            </w:r>
            <w:r w:rsidRPr="00E31ABE">
              <w:rPr>
                <w:color w:val="000000"/>
                <w:spacing w:val="2"/>
                <w:sz w:val="22"/>
                <w:szCs w:val="22"/>
                <w:lang w:eastAsia="en-AU"/>
              </w:rPr>
              <w:t>t</w:t>
            </w:r>
            <w:r w:rsidRPr="00E31ABE">
              <w:rPr>
                <w:color w:val="000000"/>
                <w:sz w:val="22"/>
                <w:szCs w:val="22"/>
                <w:lang w:eastAsia="en-AU"/>
              </w:rPr>
              <w:t>h</w:t>
            </w:r>
            <w:r w:rsidRPr="00E31ABE">
              <w:rPr>
                <w:color w:val="000000"/>
                <w:spacing w:val="-1"/>
                <w:sz w:val="22"/>
                <w:szCs w:val="22"/>
                <w:lang w:eastAsia="en-AU"/>
              </w:rPr>
              <w:t>e</w:t>
            </w:r>
            <w:r w:rsidRPr="00E31ABE">
              <w:rPr>
                <w:color w:val="000000"/>
                <w:spacing w:val="1"/>
                <w:sz w:val="22"/>
                <w:szCs w:val="22"/>
                <w:lang w:eastAsia="en-AU"/>
              </w:rPr>
              <w:t>s</w:t>
            </w:r>
            <w:r w:rsidRPr="00E31ABE">
              <w:rPr>
                <w:color w:val="000000"/>
                <w:spacing w:val="-1"/>
                <w:sz w:val="22"/>
                <w:szCs w:val="22"/>
                <w:lang w:eastAsia="en-AU"/>
              </w:rPr>
              <w:t>i</w:t>
            </w:r>
            <w:r w:rsidRPr="00E31ABE">
              <w:rPr>
                <w:color w:val="000000"/>
                <w:sz w:val="22"/>
                <w:szCs w:val="22"/>
                <w:lang w:eastAsia="en-AU"/>
              </w:rPr>
              <w:t>a</w:t>
            </w:r>
          </w:p>
        </w:tc>
        <w:tc>
          <w:tcPr>
            <w:tcW w:w="1410" w:type="dxa"/>
            <w:tcBorders>
              <w:top w:val="nil"/>
              <w:left w:val="nil"/>
              <w:bottom w:val="nil"/>
              <w:right w:val="nil"/>
            </w:tcBorders>
          </w:tcPr>
          <w:p w:rsidR="00622AE3" w:rsidRPr="00E31ABE" w:rsidRDefault="00622AE3" w:rsidP="00C329A1">
            <w:pPr>
              <w:autoSpaceDE w:val="0"/>
              <w:autoSpaceDN w:val="0"/>
              <w:adjustRightInd w:val="0"/>
              <w:spacing w:line="240" w:lineRule="auto"/>
              <w:ind w:left="424" w:right="-20"/>
              <w:rPr>
                <w:color w:val="000000"/>
                <w:sz w:val="22"/>
                <w:szCs w:val="22"/>
                <w:lang w:eastAsia="en-AU"/>
              </w:rPr>
            </w:pPr>
            <w:r w:rsidRPr="00E31ABE">
              <w:rPr>
                <w:color w:val="000000"/>
                <w:sz w:val="22"/>
                <w:szCs w:val="22"/>
                <w:lang w:eastAsia="en-AU"/>
              </w:rPr>
              <w:t>2</w:t>
            </w:r>
            <w:r w:rsidR="00917B3D" w:rsidRPr="00E31ABE">
              <w:rPr>
                <w:color w:val="000000"/>
                <w:sz w:val="22"/>
                <w:szCs w:val="22"/>
                <w:lang w:eastAsia="en-AU"/>
              </w:rPr>
              <w:t>1</w:t>
            </w:r>
            <w:r w:rsidRPr="00E31ABE">
              <w:rPr>
                <w:color w:val="000000"/>
                <w:spacing w:val="-3"/>
                <w:sz w:val="22"/>
                <w:szCs w:val="22"/>
                <w:lang w:eastAsia="en-AU"/>
              </w:rPr>
              <w:t xml:space="preserve"> </w:t>
            </w:r>
            <w:r w:rsidRPr="00E31ABE">
              <w:rPr>
                <w:color w:val="000000"/>
                <w:spacing w:val="1"/>
                <w:sz w:val="22"/>
                <w:szCs w:val="22"/>
                <w:lang w:eastAsia="en-AU"/>
              </w:rPr>
              <w:t>(</w:t>
            </w:r>
            <w:r w:rsidR="00917B3D" w:rsidRPr="00E31ABE">
              <w:rPr>
                <w:color w:val="000000"/>
                <w:spacing w:val="-1"/>
                <w:sz w:val="22"/>
                <w:szCs w:val="22"/>
                <w:lang w:eastAsia="en-AU"/>
              </w:rPr>
              <w:t>6.7</w:t>
            </w:r>
            <w:r w:rsidRPr="00E31ABE">
              <w:rPr>
                <w:color w:val="000000"/>
                <w:sz w:val="22"/>
                <w:szCs w:val="22"/>
                <w:lang w:eastAsia="en-AU"/>
              </w:rPr>
              <w:t>)</w:t>
            </w:r>
          </w:p>
        </w:tc>
        <w:tc>
          <w:tcPr>
            <w:tcW w:w="1232" w:type="dxa"/>
            <w:tcBorders>
              <w:top w:val="nil"/>
              <w:left w:val="nil"/>
              <w:bottom w:val="nil"/>
              <w:right w:val="nil"/>
            </w:tcBorders>
          </w:tcPr>
          <w:p w:rsidR="00622AE3" w:rsidRPr="00E31ABE" w:rsidRDefault="00622AE3" w:rsidP="00C329A1">
            <w:pPr>
              <w:autoSpaceDE w:val="0"/>
              <w:autoSpaceDN w:val="0"/>
              <w:adjustRightInd w:val="0"/>
              <w:spacing w:line="240" w:lineRule="auto"/>
              <w:ind w:left="329" w:right="-20"/>
              <w:rPr>
                <w:color w:val="000000"/>
                <w:sz w:val="22"/>
                <w:szCs w:val="22"/>
                <w:lang w:eastAsia="en-AU"/>
              </w:rPr>
            </w:pPr>
            <w:r w:rsidRPr="00E31ABE">
              <w:rPr>
                <w:color w:val="000000"/>
                <w:sz w:val="22"/>
                <w:szCs w:val="22"/>
                <w:lang w:eastAsia="en-AU"/>
              </w:rPr>
              <w:t>1</w:t>
            </w:r>
            <w:r w:rsidRPr="00E31ABE">
              <w:rPr>
                <w:color w:val="000000"/>
                <w:spacing w:val="-2"/>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0.</w:t>
            </w:r>
            <w:r w:rsidRPr="00E31ABE">
              <w:rPr>
                <w:color w:val="000000"/>
                <w:spacing w:val="-1"/>
                <w:sz w:val="22"/>
                <w:szCs w:val="22"/>
                <w:lang w:eastAsia="en-AU"/>
              </w:rPr>
              <w:t>3</w:t>
            </w:r>
            <w:r w:rsidRPr="00E31ABE">
              <w:rPr>
                <w:color w:val="000000"/>
                <w:sz w:val="22"/>
                <w:szCs w:val="22"/>
                <w:lang w:eastAsia="en-AU"/>
              </w:rPr>
              <w:t>)</w:t>
            </w:r>
          </w:p>
        </w:tc>
        <w:tc>
          <w:tcPr>
            <w:tcW w:w="1286" w:type="dxa"/>
            <w:tcBorders>
              <w:top w:val="nil"/>
              <w:left w:val="nil"/>
              <w:bottom w:val="nil"/>
              <w:right w:val="nil"/>
            </w:tcBorders>
          </w:tcPr>
          <w:p w:rsidR="00622AE3" w:rsidRPr="00E31ABE" w:rsidRDefault="00622AE3" w:rsidP="00C329A1">
            <w:pPr>
              <w:autoSpaceDE w:val="0"/>
              <w:autoSpaceDN w:val="0"/>
              <w:adjustRightInd w:val="0"/>
              <w:spacing w:line="240" w:lineRule="auto"/>
              <w:ind w:left="300" w:right="-20"/>
              <w:rPr>
                <w:color w:val="000000"/>
                <w:sz w:val="22"/>
                <w:szCs w:val="22"/>
                <w:lang w:eastAsia="en-AU"/>
              </w:rPr>
            </w:pPr>
            <w:r w:rsidRPr="00E31ABE">
              <w:rPr>
                <w:color w:val="000000"/>
                <w:sz w:val="22"/>
                <w:szCs w:val="22"/>
                <w:lang w:eastAsia="en-AU"/>
              </w:rPr>
              <w:t>30</w:t>
            </w:r>
            <w:r w:rsidRPr="00E31ABE">
              <w:rPr>
                <w:color w:val="000000"/>
                <w:spacing w:val="-3"/>
                <w:sz w:val="22"/>
                <w:szCs w:val="22"/>
                <w:lang w:eastAsia="en-AU"/>
              </w:rPr>
              <w:t xml:space="preserve"> </w:t>
            </w:r>
            <w:r w:rsidRPr="00E31ABE">
              <w:rPr>
                <w:color w:val="000000"/>
                <w:spacing w:val="1"/>
                <w:sz w:val="22"/>
                <w:szCs w:val="22"/>
                <w:lang w:eastAsia="en-AU"/>
              </w:rPr>
              <w:t>(</w:t>
            </w:r>
            <w:r w:rsidRPr="00E31ABE">
              <w:rPr>
                <w:color w:val="000000"/>
                <w:sz w:val="22"/>
                <w:szCs w:val="22"/>
                <w:lang w:eastAsia="en-AU"/>
              </w:rPr>
              <w:t>9.</w:t>
            </w:r>
            <w:r w:rsidRPr="00E31ABE">
              <w:rPr>
                <w:color w:val="000000"/>
                <w:spacing w:val="-1"/>
                <w:sz w:val="22"/>
                <w:szCs w:val="22"/>
                <w:lang w:eastAsia="en-AU"/>
              </w:rPr>
              <w:t>5</w:t>
            </w:r>
            <w:r w:rsidRPr="00E31ABE">
              <w:rPr>
                <w:color w:val="000000"/>
                <w:sz w:val="22"/>
                <w:szCs w:val="22"/>
                <w:lang w:eastAsia="en-AU"/>
              </w:rPr>
              <w:t>)</w:t>
            </w:r>
          </w:p>
        </w:tc>
        <w:tc>
          <w:tcPr>
            <w:tcW w:w="1247" w:type="dxa"/>
            <w:tcBorders>
              <w:top w:val="nil"/>
              <w:left w:val="nil"/>
              <w:bottom w:val="nil"/>
              <w:right w:val="nil"/>
            </w:tcBorders>
          </w:tcPr>
          <w:p w:rsidR="00622AE3" w:rsidRPr="00C821DA" w:rsidRDefault="00622AE3" w:rsidP="00C329A1">
            <w:pPr>
              <w:autoSpaceDE w:val="0"/>
              <w:autoSpaceDN w:val="0"/>
              <w:adjustRightInd w:val="0"/>
              <w:spacing w:line="240" w:lineRule="auto"/>
              <w:ind w:left="328" w:right="-20"/>
              <w:rPr>
                <w:color w:val="000000"/>
                <w:sz w:val="22"/>
                <w:szCs w:val="22"/>
                <w:lang w:eastAsia="en-AU"/>
              </w:rPr>
            </w:pPr>
            <w:r w:rsidRPr="00C821DA">
              <w:rPr>
                <w:color w:val="000000"/>
                <w:sz w:val="22"/>
                <w:szCs w:val="22"/>
                <w:lang w:eastAsia="en-AU"/>
              </w:rPr>
              <w:t>1</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0.</w:t>
            </w:r>
            <w:r w:rsidRPr="00C821DA">
              <w:rPr>
                <w:color w:val="000000"/>
                <w:spacing w:val="-1"/>
                <w:sz w:val="22"/>
                <w:szCs w:val="22"/>
                <w:lang w:eastAsia="en-AU"/>
              </w:rPr>
              <w:t>3</w:t>
            </w:r>
            <w:r w:rsidRPr="00C821DA">
              <w:rPr>
                <w:color w:val="000000"/>
                <w:sz w:val="22"/>
                <w:szCs w:val="22"/>
                <w:lang w:eastAsia="en-AU"/>
              </w:rPr>
              <w:t>)</w:t>
            </w:r>
          </w:p>
        </w:tc>
      </w:tr>
      <w:tr w:rsidR="00622AE3" w:rsidRPr="00C821DA" w:rsidTr="00F47D23">
        <w:trPr>
          <w:trHeight w:val="340"/>
        </w:trPr>
        <w:tc>
          <w:tcPr>
            <w:tcW w:w="4031" w:type="dxa"/>
            <w:tcBorders>
              <w:top w:val="nil"/>
              <w:left w:val="nil"/>
              <w:bottom w:val="nil"/>
              <w:right w:val="nil"/>
            </w:tcBorders>
          </w:tcPr>
          <w:p w:rsidR="00622AE3" w:rsidRPr="00C821DA" w:rsidRDefault="00622AE3" w:rsidP="00C329A1">
            <w:pPr>
              <w:autoSpaceDE w:val="0"/>
              <w:autoSpaceDN w:val="0"/>
              <w:adjustRightInd w:val="0"/>
              <w:spacing w:line="229" w:lineRule="exact"/>
              <w:ind w:left="60" w:right="-20"/>
              <w:rPr>
                <w:color w:val="000000"/>
                <w:sz w:val="22"/>
                <w:szCs w:val="22"/>
                <w:lang w:eastAsia="en-AU"/>
              </w:rPr>
            </w:pPr>
            <w:r w:rsidRPr="00C821DA">
              <w:rPr>
                <w:color w:val="000000"/>
                <w:spacing w:val="-1"/>
                <w:sz w:val="22"/>
                <w:szCs w:val="22"/>
                <w:lang w:eastAsia="en-AU"/>
              </w:rPr>
              <w:t>A</w:t>
            </w:r>
            <w:r w:rsidRPr="00C821DA">
              <w:rPr>
                <w:color w:val="000000"/>
                <w:spacing w:val="1"/>
                <w:sz w:val="22"/>
                <w:szCs w:val="22"/>
                <w:lang w:eastAsia="en-AU"/>
              </w:rPr>
              <w:t>s</w:t>
            </w:r>
            <w:r w:rsidRPr="00C821DA">
              <w:rPr>
                <w:color w:val="000000"/>
                <w:sz w:val="22"/>
                <w:szCs w:val="22"/>
                <w:lang w:eastAsia="en-AU"/>
              </w:rPr>
              <w:t>th</w:t>
            </w:r>
            <w:r w:rsidRPr="00C821DA">
              <w:rPr>
                <w:color w:val="000000"/>
                <w:spacing w:val="-1"/>
                <w:sz w:val="22"/>
                <w:szCs w:val="22"/>
                <w:lang w:eastAsia="en-AU"/>
              </w:rPr>
              <w:t>e</w:t>
            </w:r>
            <w:r w:rsidRPr="00C821DA">
              <w:rPr>
                <w:color w:val="000000"/>
                <w:spacing w:val="2"/>
                <w:sz w:val="22"/>
                <w:szCs w:val="22"/>
                <w:lang w:eastAsia="en-AU"/>
              </w:rPr>
              <w:t>n</w:t>
            </w:r>
            <w:r w:rsidRPr="00C821DA">
              <w:rPr>
                <w:color w:val="000000"/>
                <w:spacing w:val="-1"/>
                <w:sz w:val="22"/>
                <w:szCs w:val="22"/>
                <w:lang w:eastAsia="en-AU"/>
              </w:rPr>
              <w:t>i</w:t>
            </w:r>
            <w:r w:rsidRPr="00C821DA">
              <w:rPr>
                <w:color w:val="000000"/>
                <w:sz w:val="22"/>
                <w:szCs w:val="22"/>
                <w:lang w:eastAsia="en-AU"/>
              </w:rPr>
              <w:t>a</w:t>
            </w:r>
          </w:p>
        </w:tc>
        <w:tc>
          <w:tcPr>
            <w:tcW w:w="1410" w:type="dxa"/>
            <w:tcBorders>
              <w:top w:val="nil"/>
              <w:left w:val="nil"/>
              <w:bottom w:val="nil"/>
              <w:right w:val="nil"/>
            </w:tcBorders>
          </w:tcPr>
          <w:p w:rsidR="00622AE3" w:rsidRPr="00C821DA" w:rsidRDefault="00622AE3" w:rsidP="00C329A1">
            <w:pPr>
              <w:autoSpaceDE w:val="0"/>
              <w:autoSpaceDN w:val="0"/>
              <w:adjustRightInd w:val="0"/>
              <w:spacing w:line="229" w:lineRule="exact"/>
              <w:ind w:left="424" w:right="-20"/>
              <w:rPr>
                <w:color w:val="000000"/>
                <w:sz w:val="22"/>
                <w:szCs w:val="22"/>
                <w:lang w:eastAsia="en-AU"/>
              </w:rPr>
            </w:pPr>
            <w:r w:rsidRPr="00C821DA">
              <w:rPr>
                <w:color w:val="000000"/>
                <w:sz w:val="22"/>
                <w:szCs w:val="22"/>
                <w:lang w:eastAsia="en-AU"/>
              </w:rPr>
              <w:t>21</w:t>
            </w:r>
            <w:r w:rsidRPr="00C821DA">
              <w:rPr>
                <w:color w:val="000000"/>
                <w:spacing w:val="-3"/>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6.</w:t>
            </w:r>
            <w:r w:rsidRPr="00C821DA">
              <w:rPr>
                <w:color w:val="000000"/>
                <w:spacing w:val="-1"/>
                <w:sz w:val="22"/>
                <w:szCs w:val="22"/>
                <w:lang w:eastAsia="en-AU"/>
              </w:rPr>
              <w:t>7</w:t>
            </w:r>
            <w:r w:rsidRPr="00C821DA">
              <w:rPr>
                <w:color w:val="000000"/>
                <w:sz w:val="22"/>
                <w:szCs w:val="22"/>
                <w:lang w:eastAsia="en-AU"/>
              </w:rPr>
              <w:t>)</w:t>
            </w:r>
          </w:p>
        </w:tc>
        <w:tc>
          <w:tcPr>
            <w:tcW w:w="1232" w:type="dxa"/>
            <w:tcBorders>
              <w:top w:val="nil"/>
              <w:left w:val="nil"/>
              <w:bottom w:val="nil"/>
              <w:right w:val="nil"/>
            </w:tcBorders>
          </w:tcPr>
          <w:p w:rsidR="00622AE3" w:rsidRPr="00C821DA" w:rsidRDefault="00622AE3" w:rsidP="00C329A1">
            <w:pPr>
              <w:autoSpaceDE w:val="0"/>
              <w:autoSpaceDN w:val="0"/>
              <w:adjustRightInd w:val="0"/>
              <w:spacing w:line="229" w:lineRule="exact"/>
              <w:ind w:left="527" w:right="504"/>
              <w:jc w:val="center"/>
              <w:rPr>
                <w:color w:val="000000"/>
                <w:sz w:val="22"/>
                <w:szCs w:val="22"/>
                <w:lang w:eastAsia="en-AU"/>
              </w:rPr>
            </w:pPr>
            <w:r w:rsidRPr="00C821DA">
              <w:rPr>
                <w:color w:val="000000"/>
                <w:w w:val="99"/>
                <w:sz w:val="22"/>
                <w:szCs w:val="22"/>
                <w:lang w:eastAsia="en-AU"/>
              </w:rPr>
              <w:t>0</w:t>
            </w:r>
          </w:p>
        </w:tc>
        <w:tc>
          <w:tcPr>
            <w:tcW w:w="1286" w:type="dxa"/>
            <w:tcBorders>
              <w:top w:val="nil"/>
              <w:left w:val="nil"/>
              <w:bottom w:val="nil"/>
              <w:right w:val="nil"/>
            </w:tcBorders>
          </w:tcPr>
          <w:p w:rsidR="00622AE3" w:rsidRPr="00C821DA" w:rsidRDefault="00622AE3" w:rsidP="00C329A1">
            <w:pPr>
              <w:autoSpaceDE w:val="0"/>
              <w:autoSpaceDN w:val="0"/>
              <w:adjustRightInd w:val="0"/>
              <w:spacing w:line="229" w:lineRule="exact"/>
              <w:ind w:left="300" w:right="-20"/>
              <w:rPr>
                <w:color w:val="000000"/>
                <w:sz w:val="22"/>
                <w:szCs w:val="22"/>
                <w:lang w:eastAsia="en-AU"/>
              </w:rPr>
            </w:pPr>
            <w:r w:rsidRPr="00C821DA">
              <w:rPr>
                <w:color w:val="000000"/>
                <w:sz w:val="22"/>
                <w:szCs w:val="22"/>
                <w:lang w:eastAsia="en-AU"/>
              </w:rPr>
              <w:t>22</w:t>
            </w:r>
            <w:r w:rsidRPr="00C821DA">
              <w:rPr>
                <w:color w:val="000000"/>
                <w:spacing w:val="-3"/>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7.0)</w:t>
            </w:r>
          </w:p>
        </w:tc>
        <w:tc>
          <w:tcPr>
            <w:tcW w:w="1247" w:type="dxa"/>
            <w:tcBorders>
              <w:top w:val="nil"/>
              <w:left w:val="nil"/>
              <w:bottom w:val="nil"/>
              <w:right w:val="nil"/>
            </w:tcBorders>
          </w:tcPr>
          <w:p w:rsidR="00622AE3" w:rsidRPr="00C821DA" w:rsidRDefault="00622AE3" w:rsidP="00C329A1">
            <w:pPr>
              <w:autoSpaceDE w:val="0"/>
              <w:autoSpaceDN w:val="0"/>
              <w:adjustRightInd w:val="0"/>
              <w:spacing w:line="229" w:lineRule="exact"/>
              <w:ind w:left="328" w:right="-20"/>
              <w:rPr>
                <w:color w:val="000000"/>
                <w:sz w:val="22"/>
                <w:szCs w:val="22"/>
                <w:lang w:eastAsia="en-AU"/>
              </w:rPr>
            </w:pPr>
            <w:r w:rsidRPr="00C821DA">
              <w:rPr>
                <w:color w:val="000000"/>
                <w:sz w:val="22"/>
                <w:szCs w:val="22"/>
                <w:lang w:eastAsia="en-AU"/>
              </w:rPr>
              <w:t>1</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0.3)</w:t>
            </w:r>
          </w:p>
        </w:tc>
      </w:tr>
      <w:tr w:rsidR="00622AE3" w:rsidRPr="00C821DA" w:rsidTr="00F47D23">
        <w:trPr>
          <w:trHeight w:val="340"/>
        </w:trPr>
        <w:tc>
          <w:tcPr>
            <w:tcW w:w="4031" w:type="dxa"/>
            <w:tcBorders>
              <w:top w:val="nil"/>
              <w:left w:val="nil"/>
              <w:bottom w:val="nil"/>
              <w:right w:val="nil"/>
            </w:tcBorders>
          </w:tcPr>
          <w:p w:rsidR="00622AE3" w:rsidRPr="00C821DA" w:rsidRDefault="00622AE3" w:rsidP="00C329A1">
            <w:pPr>
              <w:autoSpaceDE w:val="0"/>
              <w:autoSpaceDN w:val="0"/>
              <w:adjustRightInd w:val="0"/>
              <w:spacing w:line="229" w:lineRule="exact"/>
              <w:ind w:left="60" w:right="-20"/>
              <w:rPr>
                <w:color w:val="000000"/>
                <w:sz w:val="22"/>
                <w:szCs w:val="22"/>
                <w:lang w:eastAsia="en-AU"/>
              </w:rPr>
            </w:pPr>
            <w:r w:rsidRPr="00C821DA">
              <w:rPr>
                <w:color w:val="000000"/>
                <w:sz w:val="22"/>
                <w:szCs w:val="22"/>
                <w:lang w:eastAsia="en-AU"/>
              </w:rPr>
              <w:t>L</w:t>
            </w:r>
            <w:r w:rsidRPr="00C821DA">
              <w:rPr>
                <w:color w:val="000000"/>
                <w:spacing w:val="-1"/>
                <w:sz w:val="22"/>
                <w:szCs w:val="22"/>
                <w:lang w:eastAsia="en-AU"/>
              </w:rPr>
              <w:t>e</w:t>
            </w:r>
            <w:r w:rsidRPr="00C821DA">
              <w:rPr>
                <w:color w:val="000000"/>
                <w:sz w:val="22"/>
                <w:szCs w:val="22"/>
                <w:lang w:eastAsia="en-AU"/>
              </w:rPr>
              <w:t>u</w:t>
            </w:r>
            <w:r w:rsidRPr="00C821DA">
              <w:rPr>
                <w:color w:val="000000"/>
                <w:spacing w:val="3"/>
                <w:sz w:val="22"/>
                <w:szCs w:val="22"/>
                <w:lang w:eastAsia="en-AU"/>
              </w:rPr>
              <w:t>k</w:t>
            </w:r>
            <w:r w:rsidRPr="00C821DA">
              <w:rPr>
                <w:color w:val="000000"/>
                <w:sz w:val="22"/>
                <w:szCs w:val="22"/>
                <w:lang w:eastAsia="en-AU"/>
              </w:rPr>
              <w:t>o</w:t>
            </w:r>
            <w:r w:rsidRPr="00C821DA">
              <w:rPr>
                <w:color w:val="000000"/>
                <w:spacing w:val="-1"/>
                <w:sz w:val="22"/>
                <w:szCs w:val="22"/>
                <w:lang w:eastAsia="en-AU"/>
              </w:rPr>
              <w:t>p</w:t>
            </w:r>
            <w:r w:rsidRPr="00C821DA">
              <w:rPr>
                <w:color w:val="000000"/>
                <w:sz w:val="22"/>
                <w:szCs w:val="22"/>
                <w:lang w:eastAsia="en-AU"/>
              </w:rPr>
              <w:t>e</w:t>
            </w:r>
            <w:r w:rsidRPr="00C821DA">
              <w:rPr>
                <w:color w:val="000000"/>
                <w:spacing w:val="1"/>
                <w:sz w:val="22"/>
                <w:szCs w:val="22"/>
                <w:lang w:eastAsia="en-AU"/>
              </w:rPr>
              <w:t>n</w:t>
            </w:r>
            <w:r w:rsidRPr="00C821DA">
              <w:rPr>
                <w:color w:val="000000"/>
                <w:spacing w:val="-1"/>
                <w:sz w:val="22"/>
                <w:szCs w:val="22"/>
                <w:lang w:eastAsia="en-AU"/>
              </w:rPr>
              <w:t>i</w:t>
            </w:r>
            <w:r w:rsidRPr="00C821DA">
              <w:rPr>
                <w:color w:val="000000"/>
                <w:sz w:val="22"/>
                <w:szCs w:val="22"/>
                <w:lang w:eastAsia="en-AU"/>
              </w:rPr>
              <w:t>a</w:t>
            </w:r>
          </w:p>
        </w:tc>
        <w:tc>
          <w:tcPr>
            <w:tcW w:w="1410" w:type="dxa"/>
            <w:tcBorders>
              <w:top w:val="nil"/>
              <w:left w:val="nil"/>
              <w:bottom w:val="nil"/>
              <w:right w:val="nil"/>
            </w:tcBorders>
          </w:tcPr>
          <w:p w:rsidR="00622AE3" w:rsidRPr="00C821DA" w:rsidRDefault="00622AE3" w:rsidP="00C329A1">
            <w:pPr>
              <w:autoSpaceDE w:val="0"/>
              <w:autoSpaceDN w:val="0"/>
              <w:adjustRightInd w:val="0"/>
              <w:spacing w:line="229" w:lineRule="exact"/>
              <w:ind w:left="424" w:right="-20"/>
              <w:rPr>
                <w:color w:val="000000"/>
                <w:sz w:val="22"/>
                <w:szCs w:val="22"/>
                <w:lang w:eastAsia="en-AU"/>
              </w:rPr>
            </w:pPr>
            <w:r w:rsidRPr="00C821DA">
              <w:rPr>
                <w:color w:val="000000"/>
                <w:sz w:val="22"/>
                <w:szCs w:val="22"/>
                <w:lang w:eastAsia="en-AU"/>
              </w:rPr>
              <w:t>21</w:t>
            </w:r>
            <w:r w:rsidRPr="00C821DA">
              <w:rPr>
                <w:color w:val="000000"/>
                <w:spacing w:val="-3"/>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6.</w:t>
            </w:r>
            <w:r w:rsidRPr="00C821DA">
              <w:rPr>
                <w:color w:val="000000"/>
                <w:spacing w:val="-1"/>
                <w:sz w:val="22"/>
                <w:szCs w:val="22"/>
                <w:lang w:eastAsia="en-AU"/>
              </w:rPr>
              <w:t>7</w:t>
            </w:r>
            <w:r w:rsidRPr="00C821DA">
              <w:rPr>
                <w:color w:val="000000"/>
                <w:sz w:val="22"/>
                <w:szCs w:val="22"/>
                <w:lang w:eastAsia="en-AU"/>
              </w:rPr>
              <w:t>)</w:t>
            </w:r>
          </w:p>
        </w:tc>
        <w:tc>
          <w:tcPr>
            <w:tcW w:w="1232" w:type="dxa"/>
            <w:tcBorders>
              <w:top w:val="nil"/>
              <w:left w:val="nil"/>
              <w:bottom w:val="nil"/>
              <w:right w:val="nil"/>
            </w:tcBorders>
          </w:tcPr>
          <w:p w:rsidR="00622AE3" w:rsidRPr="00C821DA" w:rsidRDefault="00622AE3" w:rsidP="00C329A1">
            <w:pPr>
              <w:autoSpaceDE w:val="0"/>
              <w:autoSpaceDN w:val="0"/>
              <w:adjustRightInd w:val="0"/>
              <w:spacing w:line="229" w:lineRule="exact"/>
              <w:ind w:left="329" w:right="-20"/>
              <w:rPr>
                <w:color w:val="000000"/>
                <w:sz w:val="22"/>
                <w:szCs w:val="22"/>
                <w:lang w:eastAsia="en-AU"/>
              </w:rPr>
            </w:pPr>
            <w:r w:rsidRPr="00C821DA">
              <w:rPr>
                <w:color w:val="000000"/>
                <w:sz w:val="22"/>
                <w:szCs w:val="22"/>
                <w:lang w:eastAsia="en-AU"/>
              </w:rPr>
              <w:t>7</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2.</w:t>
            </w:r>
            <w:r w:rsidRPr="00C821DA">
              <w:rPr>
                <w:color w:val="000000"/>
                <w:spacing w:val="-1"/>
                <w:sz w:val="22"/>
                <w:szCs w:val="22"/>
                <w:lang w:eastAsia="en-AU"/>
              </w:rPr>
              <w:t>2</w:t>
            </w:r>
            <w:r w:rsidRPr="00C821DA">
              <w:rPr>
                <w:color w:val="000000"/>
                <w:sz w:val="22"/>
                <w:szCs w:val="22"/>
                <w:lang w:eastAsia="en-AU"/>
              </w:rPr>
              <w:t>)</w:t>
            </w:r>
          </w:p>
        </w:tc>
        <w:tc>
          <w:tcPr>
            <w:tcW w:w="1286" w:type="dxa"/>
            <w:tcBorders>
              <w:top w:val="nil"/>
              <w:left w:val="nil"/>
              <w:bottom w:val="nil"/>
              <w:right w:val="nil"/>
            </w:tcBorders>
          </w:tcPr>
          <w:p w:rsidR="00622AE3" w:rsidRPr="00C821DA" w:rsidRDefault="00622AE3" w:rsidP="00C329A1">
            <w:pPr>
              <w:autoSpaceDE w:val="0"/>
              <w:autoSpaceDN w:val="0"/>
              <w:adjustRightInd w:val="0"/>
              <w:spacing w:line="229" w:lineRule="exact"/>
              <w:ind w:left="300" w:right="-20"/>
              <w:rPr>
                <w:color w:val="000000"/>
                <w:sz w:val="22"/>
                <w:szCs w:val="22"/>
                <w:lang w:eastAsia="en-AU"/>
              </w:rPr>
            </w:pPr>
            <w:r w:rsidRPr="00C821DA">
              <w:rPr>
                <w:color w:val="000000"/>
                <w:sz w:val="22"/>
                <w:szCs w:val="22"/>
                <w:lang w:eastAsia="en-AU"/>
              </w:rPr>
              <w:t>24</w:t>
            </w:r>
            <w:r w:rsidRPr="00C821DA">
              <w:rPr>
                <w:color w:val="000000"/>
                <w:spacing w:val="-3"/>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7.</w:t>
            </w:r>
            <w:r w:rsidRPr="00C821DA">
              <w:rPr>
                <w:color w:val="000000"/>
                <w:spacing w:val="-1"/>
                <w:sz w:val="22"/>
                <w:szCs w:val="22"/>
                <w:lang w:eastAsia="en-AU"/>
              </w:rPr>
              <w:t>6</w:t>
            </w:r>
            <w:r w:rsidRPr="00C821DA">
              <w:rPr>
                <w:color w:val="000000"/>
                <w:sz w:val="22"/>
                <w:szCs w:val="22"/>
                <w:lang w:eastAsia="en-AU"/>
              </w:rPr>
              <w:t>)</w:t>
            </w:r>
          </w:p>
        </w:tc>
        <w:tc>
          <w:tcPr>
            <w:tcW w:w="1247" w:type="dxa"/>
            <w:tcBorders>
              <w:top w:val="nil"/>
              <w:left w:val="nil"/>
              <w:bottom w:val="nil"/>
              <w:right w:val="nil"/>
            </w:tcBorders>
          </w:tcPr>
          <w:p w:rsidR="00622AE3" w:rsidRPr="00C821DA" w:rsidRDefault="00622AE3" w:rsidP="00C329A1">
            <w:pPr>
              <w:autoSpaceDE w:val="0"/>
              <w:autoSpaceDN w:val="0"/>
              <w:adjustRightInd w:val="0"/>
              <w:spacing w:line="229" w:lineRule="exact"/>
              <w:ind w:left="272" w:right="-20"/>
              <w:rPr>
                <w:color w:val="000000"/>
                <w:sz w:val="22"/>
                <w:szCs w:val="22"/>
                <w:lang w:eastAsia="en-AU"/>
              </w:rPr>
            </w:pPr>
            <w:r w:rsidRPr="00C821DA">
              <w:rPr>
                <w:color w:val="000000"/>
                <w:sz w:val="22"/>
                <w:szCs w:val="22"/>
                <w:lang w:eastAsia="en-AU"/>
              </w:rPr>
              <w:t>13</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4.</w:t>
            </w:r>
            <w:r w:rsidRPr="00C821DA">
              <w:rPr>
                <w:color w:val="000000"/>
                <w:spacing w:val="-1"/>
                <w:sz w:val="22"/>
                <w:szCs w:val="22"/>
                <w:lang w:eastAsia="en-AU"/>
              </w:rPr>
              <w:t>1</w:t>
            </w:r>
            <w:r w:rsidRPr="00C821DA">
              <w:rPr>
                <w:color w:val="000000"/>
                <w:sz w:val="22"/>
                <w:szCs w:val="22"/>
                <w:lang w:eastAsia="en-AU"/>
              </w:rPr>
              <w:t>)</w:t>
            </w:r>
          </w:p>
        </w:tc>
      </w:tr>
      <w:tr w:rsidR="00622AE3" w:rsidRPr="00C821DA" w:rsidTr="00F47D23">
        <w:trPr>
          <w:trHeight w:val="340"/>
        </w:trPr>
        <w:tc>
          <w:tcPr>
            <w:tcW w:w="4031" w:type="dxa"/>
            <w:tcBorders>
              <w:top w:val="nil"/>
              <w:left w:val="nil"/>
              <w:bottom w:val="nil"/>
              <w:right w:val="nil"/>
            </w:tcBorders>
          </w:tcPr>
          <w:p w:rsidR="00622AE3" w:rsidRPr="00C821DA" w:rsidRDefault="00622AE3" w:rsidP="00C329A1">
            <w:pPr>
              <w:autoSpaceDE w:val="0"/>
              <w:autoSpaceDN w:val="0"/>
              <w:adjustRightInd w:val="0"/>
              <w:spacing w:line="229" w:lineRule="exact"/>
              <w:ind w:left="60" w:right="-20"/>
              <w:rPr>
                <w:color w:val="000000"/>
                <w:sz w:val="22"/>
                <w:szCs w:val="22"/>
                <w:lang w:eastAsia="en-AU"/>
              </w:rPr>
            </w:pPr>
            <w:r w:rsidRPr="00C821DA">
              <w:rPr>
                <w:color w:val="000000"/>
                <w:spacing w:val="-1"/>
                <w:sz w:val="22"/>
                <w:szCs w:val="22"/>
                <w:lang w:eastAsia="en-AU"/>
              </w:rPr>
              <w:t>Al</w:t>
            </w:r>
            <w:r w:rsidRPr="00C821DA">
              <w:rPr>
                <w:color w:val="000000"/>
                <w:spacing w:val="2"/>
                <w:sz w:val="22"/>
                <w:szCs w:val="22"/>
                <w:lang w:eastAsia="en-AU"/>
              </w:rPr>
              <w:t>o</w:t>
            </w:r>
            <w:r w:rsidRPr="00C821DA">
              <w:rPr>
                <w:color w:val="000000"/>
                <w:sz w:val="22"/>
                <w:szCs w:val="22"/>
                <w:lang w:eastAsia="en-AU"/>
              </w:rPr>
              <w:t>p</w:t>
            </w:r>
            <w:r w:rsidRPr="00C821DA">
              <w:rPr>
                <w:color w:val="000000"/>
                <w:spacing w:val="-1"/>
                <w:sz w:val="22"/>
                <w:szCs w:val="22"/>
                <w:lang w:eastAsia="en-AU"/>
              </w:rPr>
              <w:t>e</w:t>
            </w:r>
            <w:r w:rsidRPr="00C821DA">
              <w:rPr>
                <w:color w:val="000000"/>
                <w:spacing w:val="1"/>
                <w:sz w:val="22"/>
                <w:szCs w:val="22"/>
                <w:lang w:eastAsia="en-AU"/>
              </w:rPr>
              <w:t>ci</w:t>
            </w:r>
            <w:r w:rsidRPr="00C821DA">
              <w:rPr>
                <w:color w:val="000000"/>
                <w:sz w:val="22"/>
                <w:szCs w:val="22"/>
                <w:lang w:eastAsia="en-AU"/>
              </w:rPr>
              <w:t>a</w:t>
            </w:r>
          </w:p>
        </w:tc>
        <w:tc>
          <w:tcPr>
            <w:tcW w:w="1410" w:type="dxa"/>
            <w:tcBorders>
              <w:top w:val="nil"/>
              <w:left w:val="nil"/>
              <w:bottom w:val="nil"/>
              <w:right w:val="nil"/>
            </w:tcBorders>
          </w:tcPr>
          <w:p w:rsidR="00622AE3" w:rsidRPr="00C821DA" w:rsidRDefault="00622AE3" w:rsidP="00C329A1">
            <w:pPr>
              <w:autoSpaceDE w:val="0"/>
              <w:autoSpaceDN w:val="0"/>
              <w:adjustRightInd w:val="0"/>
              <w:spacing w:line="229" w:lineRule="exact"/>
              <w:ind w:left="424" w:right="-20"/>
              <w:rPr>
                <w:color w:val="000000"/>
                <w:sz w:val="22"/>
                <w:szCs w:val="22"/>
                <w:lang w:eastAsia="en-AU"/>
              </w:rPr>
            </w:pPr>
            <w:r w:rsidRPr="00C821DA">
              <w:rPr>
                <w:color w:val="000000"/>
                <w:sz w:val="22"/>
                <w:szCs w:val="22"/>
                <w:lang w:eastAsia="en-AU"/>
              </w:rPr>
              <w:t>20</w:t>
            </w:r>
            <w:r w:rsidRPr="00C821DA">
              <w:rPr>
                <w:color w:val="000000"/>
                <w:spacing w:val="-3"/>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6.</w:t>
            </w:r>
            <w:r w:rsidRPr="00C821DA">
              <w:rPr>
                <w:color w:val="000000"/>
                <w:spacing w:val="-1"/>
                <w:sz w:val="22"/>
                <w:szCs w:val="22"/>
                <w:lang w:eastAsia="en-AU"/>
              </w:rPr>
              <w:t>4</w:t>
            </w:r>
            <w:r w:rsidRPr="00C821DA">
              <w:rPr>
                <w:color w:val="000000"/>
                <w:sz w:val="22"/>
                <w:szCs w:val="22"/>
                <w:lang w:eastAsia="en-AU"/>
              </w:rPr>
              <w:t>)</w:t>
            </w:r>
          </w:p>
        </w:tc>
        <w:tc>
          <w:tcPr>
            <w:tcW w:w="1232" w:type="dxa"/>
            <w:tcBorders>
              <w:top w:val="nil"/>
              <w:left w:val="nil"/>
              <w:bottom w:val="nil"/>
              <w:right w:val="nil"/>
            </w:tcBorders>
          </w:tcPr>
          <w:p w:rsidR="00622AE3" w:rsidRPr="00C821DA" w:rsidRDefault="00622AE3" w:rsidP="00C329A1">
            <w:pPr>
              <w:autoSpaceDE w:val="0"/>
              <w:autoSpaceDN w:val="0"/>
              <w:adjustRightInd w:val="0"/>
              <w:spacing w:line="229" w:lineRule="exact"/>
              <w:ind w:left="329" w:right="-20"/>
              <w:rPr>
                <w:color w:val="000000"/>
                <w:sz w:val="22"/>
                <w:szCs w:val="22"/>
                <w:lang w:eastAsia="en-AU"/>
              </w:rPr>
            </w:pPr>
            <w:r w:rsidRPr="00C821DA">
              <w:rPr>
                <w:color w:val="000000"/>
                <w:sz w:val="22"/>
                <w:szCs w:val="22"/>
                <w:lang w:eastAsia="en-AU"/>
              </w:rPr>
              <w:t>1</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0.</w:t>
            </w:r>
            <w:r w:rsidRPr="00C821DA">
              <w:rPr>
                <w:color w:val="000000"/>
                <w:spacing w:val="-1"/>
                <w:sz w:val="22"/>
                <w:szCs w:val="22"/>
                <w:lang w:eastAsia="en-AU"/>
              </w:rPr>
              <w:t>3</w:t>
            </w:r>
            <w:r w:rsidRPr="00C821DA">
              <w:rPr>
                <w:color w:val="000000"/>
                <w:sz w:val="22"/>
                <w:szCs w:val="22"/>
                <w:lang w:eastAsia="en-AU"/>
              </w:rPr>
              <w:t>)</w:t>
            </w:r>
          </w:p>
        </w:tc>
        <w:tc>
          <w:tcPr>
            <w:tcW w:w="1286" w:type="dxa"/>
            <w:tcBorders>
              <w:top w:val="nil"/>
              <w:left w:val="nil"/>
              <w:bottom w:val="nil"/>
              <w:right w:val="nil"/>
            </w:tcBorders>
          </w:tcPr>
          <w:p w:rsidR="00622AE3" w:rsidRPr="00C821DA" w:rsidRDefault="00622AE3" w:rsidP="00C329A1">
            <w:pPr>
              <w:autoSpaceDE w:val="0"/>
              <w:autoSpaceDN w:val="0"/>
              <w:adjustRightInd w:val="0"/>
              <w:spacing w:line="229" w:lineRule="exact"/>
              <w:ind w:left="300" w:right="-20"/>
              <w:rPr>
                <w:color w:val="000000"/>
                <w:sz w:val="22"/>
                <w:szCs w:val="22"/>
                <w:lang w:eastAsia="en-AU"/>
              </w:rPr>
            </w:pPr>
            <w:r w:rsidRPr="00C821DA">
              <w:rPr>
                <w:color w:val="000000"/>
                <w:sz w:val="22"/>
                <w:szCs w:val="22"/>
                <w:lang w:eastAsia="en-AU"/>
              </w:rPr>
              <w:t>17</w:t>
            </w:r>
            <w:r w:rsidRPr="00C821DA">
              <w:rPr>
                <w:color w:val="000000"/>
                <w:spacing w:val="-3"/>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5.</w:t>
            </w:r>
            <w:r w:rsidRPr="00C821DA">
              <w:rPr>
                <w:color w:val="000000"/>
                <w:spacing w:val="-1"/>
                <w:sz w:val="22"/>
                <w:szCs w:val="22"/>
                <w:lang w:eastAsia="en-AU"/>
              </w:rPr>
              <w:t>4</w:t>
            </w:r>
            <w:r w:rsidRPr="00C821DA">
              <w:rPr>
                <w:color w:val="000000"/>
                <w:sz w:val="22"/>
                <w:szCs w:val="22"/>
                <w:lang w:eastAsia="en-AU"/>
              </w:rPr>
              <w:t>)</w:t>
            </w:r>
          </w:p>
        </w:tc>
        <w:tc>
          <w:tcPr>
            <w:tcW w:w="1247" w:type="dxa"/>
            <w:tcBorders>
              <w:top w:val="nil"/>
              <w:left w:val="nil"/>
              <w:bottom w:val="nil"/>
              <w:right w:val="nil"/>
            </w:tcBorders>
          </w:tcPr>
          <w:p w:rsidR="00622AE3" w:rsidRPr="00C821DA" w:rsidRDefault="00622AE3" w:rsidP="00C329A1">
            <w:pPr>
              <w:autoSpaceDE w:val="0"/>
              <w:autoSpaceDN w:val="0"/>
              <w:adjustRightInd w:val="0"/>
              <w:spacing w:line="229" w:lineRule="exact"/>
              <w:ind w:left="328" w:right="-20"/>
              <w:rPr>
                <w:color w:val="000000"/>
                <w:sz w:val="22"/>
                <w:szCs w:val="22"/>
                <w:lang w:eastAsia="en-AU"/>
              </w:rPr>
            </w:pPr>
            <w:r w:rsidRPr="00C821DA">
              <w:rPr>
                <w:color w:val="000000"/>
                <w:sz w:val="22"/>
                <w:szCs w:val="22"/>
                <w:lang w:eastAsia="en-AU"/>
              </w:rPr>
              <w:t>1</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0.</w:t>
            </w:r>
            <w:r w:rsidRPr="00C821DA">
              <w:rPr>
                <w:color w:val="000000"/>
                <w:spacing w:val="-1"/>
                <w:sz w:val="22"/>
                <w:szCs w:val="22"/>
                <w:lang w:eastAsia="en-AU"/>
              </w:rPr>
              <w:t>3</w:t>
            </w:r>
            <w:r w:rsidRPr="00C821DA">
              <w:rPr>
                <w:color w:val="000000"/>
                <w:sz w:val="22"/>
                <w:szCs w:val="22"/>
                <w:lang w:eastAsia="en-AU"/>
              </w:rPr>
              <w:t>)</w:t>
            </w:r>
          </w:p>
        </w:tc>
      </w:tr>
      <w:tr w:rsidR="00622AE3" w:rsidRPr="00BD4D0A" w:rsidTr="00F47D23">
        <w:trPr>
          <w:trHeight w:val="340"/>
        </w:trPr>
        <w:tc>
          <w:tcPr>
            <w:tcW w:w="4031" w:type="dxa"/>
            <w:tcBorders>
              <w:top w:val="nil"/>
              <w:left w:val="nil"/>
              <w:bottom w:val="nil"/>
              <w:right w:val="nil"/>
            </w:tcBorders>
          </w:tcPr>
          <w:p w:rsidR="00622AE3" w:rsidRPr="00C821DA" w:rsidRDefault="00622AE3" w:rsidP="00C329A1">
            <w:pPr>
              <w:autoSpaceDE w:val="0"/>
              <w:autoSpaceDN w:val="0"/>
              <w:adjustRightInd w:val="0"/>
              <w:spacing w:line="229" w:lineRule="exact"/>
              <w:ind w:left="60" w:right="-20"/>
              <w:rPr>
                <w:color w:val="000000"/>
                <w:sz w:val="22"/>
                <w:szCs w:val="22"/>
                <w:lang w:eastAsia="en-AU"/>
              </w:rPr>
            </w:pPr>
            <w:r w:rsidRPr="00C821DA">
              <w:rPr>
                <w:color w:val="000000"/>
                <w:spacing w:val="-1"/>
                <w:sz w:val="22"/>
                <w:szCs w:val="22"/>
                <w:lang w:eastAsia="en-AU"/>
              </w:rPr>
              <w:t>P</w:t>
            </w:r>
            <w:r w:rsidRPr="00C821DA">
              <w:rPr>
                <w:color w:val="000000"/>
                <w:sz w:val="22"/>
                <w:szCs w:val="22"/>
                <w:lang w:eastAsia="en-AU"/>
              </w:rPr>
              <w:t>er</w:t>
            </w:r>
            <w:r w:rsidRPr="00C821DA">
              <w:rPr>
                <w:color w:val="000000"/>
                <w:spacing w:val="2"/>
                <w:sz w:val="22"/>
                <w:szCs w:val="22"/>
                <w:lang w:eastAsia="en-AU"/>
              </w:rPr>
              <w:t>i</w:t>
            </w:r>
            <w:r w:rsidRPr="00C821DA">
              <w:rPr>
                <w:color w:val="000000"/>
                <w:sz w:val="22"/>
                <w:szCs w:val="22"/>
                <w:lang w:eastAsia="en-AU"/>
              </w:rPr>
              <w:t>p</w:t>
            </w:r>
            <w:r w:rsidRPr="00C821DA">
              <w:rPr>
                <w:color w:val="000000"/>
                <w:spacing w:val="-1"/>
                <w:sz w:val="22"/>
                <w:szCs w:val="22"/>
                <w:lang w:eastAsia="en-AU"/>
              </w:rPr>
              <w:t>h</w:t>
            </w:r>
            <w:r w:rsidRPr="00C821DA">
              <w:rPr>
                <w:color w:val="000000"/>
                <w:sz w:val="22"/>
                <w:szCs w:val="22"/>
                <w:lang w:eastAsia="en-AU"/>
              </w:rPr>
              <w:t>er</w:t>
            </w:r>
            <w:r w:rsidRPr="00C821DA">
              <w:rPr>
                <w:color w:val="000000"/>
                <w:spacing w:val="2"/>
                <w:sz w:val="22"/>
                <w:szCs w:val="22"/>
                <w:lang w:eastAsia="en-AU"/>
              </w:rPr>
              <w:t>a</w:t>
            </w:r>
            <w:r w:rsidRPr="00C821DA">
              <w:rPr>
                <w:color w:val="000000"/>
                <w:sz w:val="22"/>
                <w:szCs w:val="22"/>
                <w:lang w:eastAsia="en-AU"/>
              </w:rPr>
              <w:t>l</w:t>
            </w:r>
            <w:r w:rsidRPr="00C821DA">
              <w:rPr>
                <w:color w:val="000000"/>
                <w:spacing w:val="-10"/>
                <w:sz w:val="22"/>
                <w:szCs w:val="22"/>
                <w:lang w:eastAsia="en-AU"/>
              </w:rPr>
              <w:t xml:space="preserve"> </w:t>
            </w:r>
            <w:r w:rsidRPr="00C821DA">
              <w:rPr>
                <w:color w:val="000000"/>
                <w:spacing w:val="1"/>
                <w:sz w:val="22"/>
                <w:szCs w:val="22"/>
                <w:lang w:eastAsia="en-AU"/>
              </w:rPr>
              <w:t>s</w:t>
            </w:r>
            <w:r w:rsidRPr="00C821DA">
              <w:rPr>
                <w:color w:val="000000"/>
                <w:sz w:val="22"/>
                <w:szCs w:val="22"/>
                <w:lang w:eastAsia="en-AU"/>
              </w:rPr>
              <w:t>e</w:t>
            </w:r>
            <w:r w:rsidRPr="00C821DA">
              <w:rPr>
                <w:color w:val="000000"/>
                <w:spacing w:val="-1"/>
                <w:sz w:val="22"/>
                <w:szCs w:val="22"/>
                <w:lang w:eastAsia="en-AU"/>
              </w:rPr>
              <w:t>n</w:t>
            </w:r>
            <w:r w:rsidRPr="00C821DA">
              <w:rPr>
                <w:color w:val="000000"/>
                <w:spacing w:val="1"/>
                <w:sz w:val="22"/>
                <w:szCs w:val="22"/>
                <w:lang w:eastAsia="en-AU"/>
              </w:rPr>
              <w:t>s</w:t>
            </w:r>
            <w:r w:rsidRPr="00C821DA">
              <w:rPr>
                <w:color w:val="000000"/>
                <w:sz w:val="22"/>
                <w:szCs w:val="22"/>
                <w:lang w:eastAsia="en-AU"/>
              </w:rPr>
              <w:t>o</w:t>
            </w:r>
            <w:r w:rsidRPr="00C821DA">
              <w:rPr>
                <w:color w:val="000000"/>
                <w:spacing w:val="5"/>
                <w:sz w:val="22"/>
                <w:szCs w:val="22"/>
                <w:lang w:eastAsia="en-AU"/>
              </w:rPr>
              <w:t>r</w:t>
            </w:r>
            <w:r w:rsidRPr="00C821DA">
              <w:rPr>
                <w:color w:val="000000"/>
                <w:sz w:val="22"/>
                <w:szCs w:val="22"/>
                <w:lang w:eastAsia="en-AU"/>
              </w:rPr>
              <w:t>y</w:t>
            </w:r>
            <w:r w:rsidRPr="00C821DA">
              <w:rPr>
                <w:color w:val="000000"/>
                <w:spacing w:val="-11"/>
                <w:sz w:val="22"/>
                <w:szCs w:val="22"/>
                <w:lang w:eastAsia="en-AU"/>
              </w:rPr>
              <w:t xml:space="preserve"> </w:t>
            </w:r>
            <w:r w:rsidRPr="00C821DA">
              <w:rPr>
                <w:color w:val="000000"/>
                <w:spacing w:val="2"/>
                <w:sz w:val="22"/>
                <w:szCs w:val="22"/>
                <w:lang w:eastAsia="en-AU"/>
              </w:rPr>
              <w:t>n</w:t>
            </w:r>
            <w:r w:rsidRPr="00C821DA">
              <w:rPr>
                <w:color w:val="000000"/>
                <w:sz w:val="22"/>
                <w:szCs w:val="22"/>
                <w:lang w:eastAsia="en-AU"/>
              </w:rPr>
              <w:t>e</w:t>
            </w:r>
            <w:r w:rsidRPr="00C821DA">
              <w:rPr>
                <w:color w:val="000000"/>
                <w:spacing w:val="-1"/>
                <w:sz w:val="22"/>
                <w:szCs w:val="22"/>
                <w:lang w:eastAsia="en-AU"/>
              </w:rPr>
              <w:t>u</w:t>
            </w:r>
            <w:r w:rsidRPr="00C821DA">
              <w:rPr>
                <w:color w:val="000000"/>
                <w:spacing w:val="1"/>
                <w:sz w:val="22"/>
                <w:szCs w:val="22"/>
                <w:lang w:eastAsia="en-AU"/>
              </w:rPr>
              <w:t>r</w:t>
            </w:r>
            <w:r w:rsidRPr="00C821DA">
              <w:rPr>
                <w:color w:val="000000"/>
                <w:sz w:val="22"/>
                <w:szCs w:val="22"/>
                <w:lang w:eastAsia="en-AU"/>
              </w:rPr>
              <w:t>o</w:t>
            </w:r>
            <w:r w:rsidRPr="00C821DA">
              <w:rPr>
                <w:color w:val="000000"/>
                <w:spacing w:val="1"/>
                <w:sz w:val="22"/>
                <w:szCs w:val="22"/>
                <w:lang w:eastAsia="en-AU"/>
              </w:rPr>
              <w:t>p</w:t>
            </w:r>
            <w:r w:rsidRPr="00C821DA">
              <w:rPr>
                <w:color w:val="000000"/>
                <w:sz w:val="22"/>
                <w:szCs w:val="22"/>
                <w:lang w:eastAsia="en-AU"/>
              </w:rPr>
              <w:t>at</w:t>
            </w:r>
            <w:r w:rsidRPr="00C821DA">
              <w:rPr>
                <w:color w:val="000000"/>
                <w:spacing w:val="4"/>
                <w:sz w:val="22"/>
                <w:szCs w:val="22"/>
                <w:lang w:eastAsia="en-AU"/>
              </w:rPr>
              <w:t>h</w:t>
            </w:r>
            <w:r w:rsidRPr="00C821DA">
              <w:rPr>
                <w:color w:val="000000"/>
                <w:sz w:val="22"/>
                <w:szCs w:val="22"/>
                <w:lang w:eastAsia="en-AU"/>
              </w:rPr>
              <w:t>y</w:t>
            </w:r>
          </w:p>
        </w:tc>
        <w:tc>
          <w:tcPr>
            <w:tcW w:w="1410" w:type="dxa"/>
            <w:tcBorders>
              <w:top w:val="nil"/>
              <w:left w:val="nil"/>
              <w:bottom w:val="nil"/>
              <w:right w:val="nil"/>
            </w:tcBorders>
          </w:tcPr>
          <w:p w:rsidR="00622AE3" w:rsidRPr="00C821DA" w:rsidRDefault="00917B3D" w:rsidP="00C329A1">
            <w:pPr>
              <w:autoSpaceDE w:val="0"/>
              <w:autoSpaceDN w:val="0"/>
              <w:adjustRightInd w:val="0"/>
              <w:spacing w:line="229" w:lineRule="exact"/>
              <w:ind w:left="424" w:right="-20"/>
              <w:rPr>
                <w:color w:val="000000"/>
                <w:sz w:val="22"/>
                <w:szCs w:val="22"/>
                <w:lang w:eastAsia="en-AU"/>
              </w:rPr>
            </w:pPr>
            <w:r w:rsidRPr="00C821DA">
              <w:rPr>
                <w:color w:val="000000"/>
                <w:sz w:val="22"/>
                <w:szCs w:val="22"/>
                <w:lang w:eastAsia="en-AU"/>
              </w:rPr>
              <w:t>21</w:t>
            </w:r>
            <w:r w:rsidR="00622AE3" w:rsidRPr="00C821DA">
              <w:rPr>
                <w:color w:val="000000"/>
                <w:spacing w:val="-3"/>
                <w:sz w:val="22"/>
                <w:szCs w:val="22"/>
                <w:lang w:eastAsia="en-AU"/>
              </w:rPr>
              <w:t xml:space="preserve"> </w:t>
            </w:r>
            <w:r w:rsidR="00622AE3" w:rsidRPr="00C821DA">
              <w:rPr>
                <w:color w:val="000000"/>
                <w:spacing w:val="1"/>
                <w:sz w:val="22"/>
                <w:szCs w:val="22"/>
                <w:lang w:eastAsia="en-AU"/>
              </w:rPr>
              <w:t>(</w:t>
            </w:r>
            <w:r w:rsidRPr="00C821DA">
              <w:rPr>
                <w:color w:val="000000"/>
                <w:spacing w:val="-1"/>
                <w:sz w:val="22"/>
                <w:szCs w:val="22"/>
                <w:lang w:eastAsia="en-AU"/>
              </w:rPr>
              <w:t>6.7</w:t>
            </w:r>
            <w:r w:rsidR="00622AE3" w:rsidRPr="00C821DA">
              <w:rPr>
                <w:color w:val="000000"/>
                <w:sz w:val="22"/>
                <w:szCs w:val="22"/>
                <w:lang w:eastAsia="en-AU"/>
              </w:rPr>
              <w:t>)</w:t>
            </w:r>
          </w:p>
        </w:tc>
        <w:tc>
          <w:tcPr>
            <w:tcW w:w="1232" w:type="dxa"/>
            <w:tcBorders>
              <w:top w:val="nil"/>
              <w:left w:val="nil"/>
              <w:bottom w:val="nil"/>
              <w:right w:val="nil"/>
            </w:tcBorders>
          </w:tcPr>
          <w:p w:rsidR="00622AE3" w:rsidRPr="00C821DA" w:rsidRDefault="00622AE3" w:rsidP="00C329A1">
            <w:pPr>
              <w:autoSpaceDE w:val="0"/>
              <w:autoSpaceDN w:val="0"/>
              <w:adjustRightInd w:val="0"/>
              <w:spacing w:line="229" w:lineRule="exact"/>
              <w:ind w:left="527" w:right="504"/>
              <w:jc w:val="center"/>
              <w:rPr>
                <w:color w:val="000000"/>
                <w:sz w:val="22"/>
                <w:szCs w:val="22"/>
                <w:lang w:eastAsia="en-AU"/>
              </w:rPr>
            </w:pPr>
            <w:r w:rsidRPr="00C821DA">
              <w:rPr>
                <w:color w:val="000000"/>
                <w:w w:val="99"/>
                <w:sz w:val="22"/>
                <w:szCs w:val="22"/>
                <w:lang w:eastAsia="en-AU"/>
              </w:rPr>
              <w:t>0</w:t>
            </w:r>
          </w:p>
        </w:tc>
        <w:tc>
          <w:tcPr>
            <w:tcW w:w="1286" w:type="dxa"/>
            <w:tcBorders>
              <w:top w:val="nil"/>
              <w:left w:val="nil"/>
              <w:bottom w:val="nil"/>
              <w:right w:val="nil"/>
            </w:tcBorders>
          </w:tcPr>
          <w:p w:rsidR="00622AE3" w:rsidRPr="00C821DA" w:rsidRDefault="00622AE3" w:rsidP="00C329A1">
            <w:pPr>
              <w:autoSpaceDE w:val="0"/>
              <w:autoSpaceDN w:val="0"/>
              <w:adjustRightInd w:val="0"/>
              <w:spacing w:line="229" w:lineRule="exact"/>
              <w:ind w:left="300" w:right="-20"/>
              <w:rPr>
                <w:color w:val="000000"/>
                <w:sz w:val="22"/>
                <w:szCs w:val="22"/>
                <w:lang w:eastAsia="en-AU"/>
              </w:rPr>
            </w:pPr>
            <w:r w:rsidRPr="00C821DA">
              <w:rPr>
                <w:color w:val="000000"/>
                <w:sz w:val="22"/>
                <w:szCs w:val="22"/>
                <w:lang w:eastAsia="en-AU"/>
              </w:rPr>
              <w:t>1</w:t>
            </w:r>
            <w:r w:rsidR="00917B3D" w:rsidRPr="00C821DA">
              <w:rPr>
                <w:color w:val="000000"/>
                <w:sz w:val="22"/>
                <w:szCs w:val="22"/>
                <w:lang w:eastAsia="en-AU"/>
              </w:rPr>
              <w:t>7</w:t>
            </w:r>
            <w:r w:rsidRPr="00C821DA">
              <w:rPr>
                <w:color w:val="000000"/>
                <w:spacing w:val="-3"/>
                <w:sz w:val="22"/>
                <w:szCs w:val="22"/>
                <w:lang w:eastAsia="en-AU"/>
              </w:rPr>
              <w:t xml:space="preserve"> </w:t>
            </w:r>
            <w:r w:rsidRPr="00C821DA">
              <w:rPr>
                <w:color w:val="000000"/>
                <w:spacing w:val="1"/>
                <w:sz w:val="22"/>
                <w:szCs w:val="22"/>
                <w:lang w:eastAsia="en-AU"/>
              </w:rPr>
              <w:t>(</w:t>
            </w:r>
            <w:r w:rsidR="00917B3D" w:rsidRPr="00C821DA">
              <w:rPr>
                <w:color w:val="000000"/>
                <w:spacing w:val="-1"/>
                <w:sz w:val="22"/>
                <w:szCs w:val="22"/>
                <w:lang w:eastAsia="en-AU"/>
              </w:rPr>
              <w:t>5.4</w:t>
            </w:r>
            <w:r w:rsidRPr="00C821DA">
              <w:rPr>
                <w:color w:val="000000"/>
                <w:sz w:val="22"/>
                <w:szCs w:val="22"/>
                <w:lang w:eastAsia="en-AU"/>
              </w:rPr>
              <w:t>)</w:t>
            </w:r>
          </w:p>
        </w:tc>
        <w:tc>
          <w:tcPr>
            <w:tcW w:w="1247" w:type="dxa"/>
            <w:tcBorders>
              <w:top w:val="nil"/>
              <w:left w:val="nil"/>
              <w:bottom w:val="nil"/>
              <w:right w:val="nil"/>
            </w:tcBorders>
          </w:tcPr>
          <w:p w:rsidR="00622AE3" w:rsidRPr="00C821DA" w:rsidRDefault="00622AE3" w:rsidP="00C329A1">
            <w:pPr>
              <w:autoSpaceDE w:val="0"/>
              <w:autoSpaceDN w:val="0"/>
              <w:adjustRightInd w:val="0"/>
              <w:spacing w:line="229" w:lineRule="exact"/>
              <w:ind w:left="526" w:right="521"/>
              <w:jc w:val="center"/>
              <w:rPr>
                <w:color w:val="000000"/>
                <w:sz w:val="22"/>
                <w:szCs w:val="22"/>
                <w:lang w:eastAsia="en-AU"/>
              </w:rPr>
            </w:pPr>
            <w:r w:rsidRPr="00C821DA">
              <w:rPr>
                <w:color w:val="000000"/>
                <w:w w:val="99"/>
                <w:sz w:val="22"/>
                <w:szCs w:val="22"/>
                <w:lang w:eastAsia="en-AU"/>
              </w:rPr>
              <w:t>0</w:t>
            </w:r>
          </w:p>
        </w:tc>
      </w:tr>
      <w:tr w:rsidR="00622AE3" w:rsidRPr="00BD4D0A" w:rsidTr="00F47D23">
        <w:trPr>
          <w:trHeight w:val="340"/>
        </w:trPr>
        <w:tc>
          <w:tcPr>
            <w:tcW w:w="4031" w:type="dxa"/>
            <w:tcBorders>
              <w:top w:val="nil"/>
              <w:left w:val="nil"/>
              <w:bottom w:val="nil"/>
              <w:right w:val="nil"/>
            </w:tcBorders>
          </w:tcPr>
          <w:p w:rsidR="00622AE3" w:rsidRPr="00BD4D0A" w:rsidRDefault="00622AE3" w:rsidP="00C329A1">
            <w:pPr>
              <w:autoSpaceDE w:val="0"/>
              <w:autoSpaceDN w:val="0"/>
              <w:adjustRightInd w:val="0"/>
              <w:spacing w:line="229" w:lineRule="exact"/>
              <w:ind w:left="60" w:right="-20"/>
              <w:rPr>
                <w:color w:val="000000"/>
                <w:sz w:val="22"/>
                <w:szCs w:val="22"/>
                <w:lang w:eastAsia="en-AU"/>
              </w:rPr>
            </w:pPr>
            <w:r w:rsidRPr="00BD4D0A">
              <w:rPr>
                <w:color w:val="000000"/>
                <w:spacing w:val="-1"/>
                <w:sz w:val="22"/>
                <w:szCs w:val="22"/>
                <w:lang w:eastAsia="en-AU"/>
              </w:rPr>
              <w:t>V</w:t>
            </w:r>
            <w:r w:rsidRPr="00BD4D0A">
              <w:rPr>
                <w:color w:val="000000"/>
                <w:sz w:val="22"/>
                <w:szCs w:val="22"/>
                <w:lang w:eastAsia="en-AU"/>
              </w:rPr>
              <w:t>o</w:t>
            </w:r>
            <w:r w:rsidRPr="00BD4D0A">
              <w:rPr>
                <w:color w:val="000000"/>
                <w:spacing w:val="4"/>
                <w:sz w:val="22"/>
                <w:szCs w:val="22"/>
                <w:lang w:eastAsia="en-AU"/>
              </w:rPr>
              <w:t>m</w:t>
            </w:r>
            <w:r w:rsidRPr="00BD4D0A">
              <w:rPr>
                <w:color w:val="000000"/>
                <w:spacing w:val="-1"/>
                <w:sz w:val="22"/>
                <w:szCs w:val="22"/>
                <w:lang w:eastAsia="en-AU"/>
              </w:rPr>
              <w:t>i</w:t>
            </w:r>
            <w:r w:rsidRPr="00BD4D0A">
              <w:rPr>
                <w:color w:val="000000"/>
                <w:sz w:val="22"/>
                <w:szCs w:val="22"/>
                <w:lang w:eastAsia="en-AU"/>
              </w:rPr>
              <w:t>t</w:t>
            </w:r>
            <w:r w:rsidRPr="00BD4D0A">
              <w:rPr>
                <w:color w:val="000000"/>
                <w:spacing w:val="-1"/>
                <w:sz w:val="22"/>
                <w:szCs w:val="22"/>
                <w:lang w:eastAsia="en-AU"/>
              </w:rPr>
              <w:t>i</w:t>
            </w:r>
            <w:r w:rsidRPr="00BD4D0A">
              <w:rPr>
                <w:color w:val="000000"/>
                <w:sz w:val="22"/>
                <w:szCs w:val="22"/>
                <w:lang w:eastAsia="en-AU"/>
              </w:rPr>
              <w:t>ng</w:t>
            </w:r>
          </w:p>
        </w:tc>
        <w:tc>
          <w:tcPr>
            <w:tcW w:w="1410" w:type="dxa"/>
            <w:tcBorders>
              <w:top w:val="nil"/>
              <w:left w:val="nil"/>
              <w:bottom w:val="nil"/>
              <w:right w:val="nil"/>
            </w:tcBorders>
          </w:tcPr>
          <w:p w:rsidR="00622AE3" w:rsidRPr="00BD4D0A" w:rsidRDefault="00622AE3" w:rsidP="00C329A1">
            <w:pPr>
              <w:autoSpaceDE w:val="0"/>
              <w:autoSpaceDN w:val="0"/>
              <w:adjustRightInd w:val="0"/>
              <w:spacing w:line="229" w:lineRule="exact"/>
              <w:ind w:left="424" w:right="-20"/>
              <w:rPr>
                <w:color w:val="000000"/>
                <w:sz w:val="22"/>
                <w:szCs w:val="22"/>
                <w:lang w:eastAsia="en-AU"/>
              </w:rPr>
            </w:pPr>
            <w:r w:rsidRPr="00BD4D0A">
              <w:rPr>
                <w:color w:val="000000"/>
                <w:sz w:val="22"/>
                <w:szCs w:val="22"/>
                <w:lang w:eastAsia="en-AU"/>
              </w:rPr>
              <w:t>16</w:t>
            </w:r>
            <w:r w:rsidRPr="00BD4D0A">
              <w:rPr>
                <w:color w:val="000000"/>
                <w:spacing w:val="-3"/>
                <w:sz w:val="22"/>
                <w:szCs w:val="22"/>
                <w:lang w:eastAsia="en-AU"/>
              </w:rPr>
              <w:t xml:space="preserve"> </w:t>
            </w:r>
            <w:r w:rsidRPr="00BD4D0A">
              <w:rPr>
                <w:color w:val="000000"/>
                <w:spacing w:val="1"/>
                <w:sz w:val="22"/>
                <w:szCs w:val="22"/>
                <w:lang w:eastAsia="en-AU"/>
              </w:rPr>
              <w:t>(</w:t>
            </w:r>
            <w:r w:rsidRPr="00BD4D0A">
              <w:rPr>
                <w:color w:val="000000"/>
                <w:sz w:val="22"/>
                <w:szCs w:val="22"/>
                <w:lang w:eastAsia="en-AU"/>
              </w:rPr>
              <w:t>5.</w:t>
            </w:r>
            <w:r w:rsidRPr="00BD4D0A">
              <w:rPr>
                <w:color w:val="000000"/>
                <w:spacing w:val="-1"/>
                <w:sz w:val="22"/>
                <w:szCs w:val="22"/>
                <w:lang w:eastAsia="en-AU"/>
              </w:rPr>
              <w:t>1</w:t>
            </w:r>
            <w:r w:rsidRPr="00BD4D0A">
              <w:rPr>
                <w:color w:val="000000"/>
                <w:sz w:val="22"/>
                <w:szCs w:val="22"/>
                <w:lang w:eastAsia="en-AU"/>
              </w:rPr>
              <w:t>)</w:t>
            </w:r>
          </w:p>
        </w:tc>
        <w:tc>
          <w:tcPr>
            <w:tcW w:w="1232" w:type="dxa"/>
            <w:tcBorders>
              <w:top w:val="nil"/>
              <w:left w:val="nil"/>
              <w:bottom w:val="nil"/>
              <w:right w:val="nil"/>
            </w:tcBorders>
          </w:tcPr>
          <w:p w:rsidR="00622AE3" w:rsidRPr="00BD4D0A" w:rsidRDefault="00622AE3" w:rsidP="00C329A1">
            <w:pPr>
              <w:autoSpaceDE w:val="0"/>
              <w:autoSpaceDN w:val="0"/>
              <w:adjustRightInd w:val="0"/>
              <w:spacing w:line="229" w:lineRule="exact"/>
              <w:ind w:left="527" w:right="504"/>
              <w:jc w:val="center"/>
              <w:rPr>
                <w:color w:val="000000"/>
                <w:sz w:val="22"/>
                <w:szCs w:val="22"/>
                <w:lang w:eastAsia="en-AU"/>
              </w:rPr>
            </w:pPr>
            <w:r w:rsidRPr="00BD4D0A">
              <w:rPr>
                <w:color w:val="000000"/>
                <w:w w:val="99"/>
                <w:sz w:val="22"/>
                <w:szCs w:val="22"/>
                <w:lang w:eastAsia="en-AU"/>
              </w:rPr>
              <w:t>0</w:t>
            </w:r>
          </w:p>
        </w:tc>
        <w:tc>
          <w:tcPr>
            <w:tcW w:w="1286" w:type="dxa"/>
            <w:tcBorders>
              <w:top w:val="nil"/>
              <w:left w:val="nil"/>
              <w:bottom w:val="nil"/>
              <w:right w:val="nil"/>
            </w:tcBorders>
          </w:tcPr>
          <w:p w:rsidR="00622AE3" w:rsidRPr="00BD4D0A" w:rsidRDefault="00622AE3" w:rsidP="00C329A1">
            <w:pPr>
              <w:autoSpaceDE w:val="0"/>
              <w:autoSpaceDN w:val="0"/>
              <w:adjustRightInd w:val="0"/>
              <w:spacing w:line="229" w:lineRule="exact"/>
              <w:ind w:left="300" w:right="-20"/>
              <w:rPr>
                <w:color w:val="000000"/>
                <w:sz w:val="22"/>
                <w:szCs w:val="22"/>
                <w:lang w:eastAsia="en-AU"/>
              </w:rPr>
            </w:pPr>
            <w:r w:rsidRPr="00BD4D0A">
              <w:rPr>
                <w:color w:val="000000"/>
                <w:sz w:val="22"/>
                <w:szCs w:val="22"/>
                <w:lang w:eastAsia="en-AU"/>
              </w:rPr>
              <w:t>14</w:t>
            </w:r>
            <w:r w:rsidRPr="00BD4D0A">
              <w:rPr>
                <w:color w:val="000000"/>
                <w:spacing w:val="-3"/>
                <w:sz w:val="22"/>
                <w:szCs w:val="22"/>
                <w:lang w:eastAsia="en-AU"/>
              </w:rPr>
              <w:t xml:space="preserve"> </w:t>
            </w:r>
            <w:r w:rsidRPr="00BD4D0A">
              <w:rPr>
                <w:color w:val="000000"/>
                <w:spacing w:val="1"/>
                <w:sz w:val="22"/>
                <w:szCs w:val="22"/>
                <w:lang w:eastAsia="en-AU"/>
              </w:rPr>
              <w:t>(</w:t>
            </w:r>
            <w:r w:rsidRPr="00BD4D0A">
              <w:rPr>
                <w:color w:val="000000"/>
                <w:sz w:val="22"/>
                <w:szCs w:val="22"/>
                <w:lang w:eastAsia="en-AU"/>
              </w:rPr>
              <w:t>4.</w:t>
            </w:r>
            <w:r w:rsidRPr="00BD4D0A">
              <w:rPr>
                <w:color w:val="000000"/>
                <w:spacing w:val="-1"/>
                <w:sz w:val="22"/>
                <w:szCs w:val="22"/>
                <w:lang w:eastAsia="en-AU"/>
              </w:rPr>
              <w:t>4</w:t>
            </w:r>
            <w:r w:rsidRPr="00BD4D0A">
              <w:rPr>
                <w:color w:val="000000"/>
                <w:sz w:val="22"/>
                <w:szCs w:val="22"/>
                <w:lang w:eastAsia="en-AU"/>
              </w:rPr>
              <w:t>)</w:t>
            </w:r>
          </w:p>
        </w:tc>
        <w:tc>
          <w:tcPr>
            <w:tcW w:w="1247" w:type="dxa"/>
            <w:tcBorders>
              <w:top w:val="nil"/>
              <w:left w:val="nil"/>
              <w:bottom w:val="nil"/>
              <w:right w:val="nil"/>
            </w:tcBorders>
          </w:tcPr>
          <w:p w:rsidR="00622AE3" w:rsidRPr="00BD4D0A" w:rsidRDefault="00622AE3" w:rsidP="00C329A1">
            <w:pPr>
              <w:autoSpaceDE w:val="0"/>
              <w:autoSpaceDN w:val="0"/>
              <w:adjustRightInd w:val="0"/>
              <w:spacing w:line="229" w:lineRule="exact"/>
              <w:ind w:left="526" w:right="521"/>
              <w:jc w:val="center"/>
              <w:rPr>
                <w:color w:val="000000"/>
                <w:sz w:val="22"/>
                <w:szCs w:val="22"/>
                <w:lang w:eastAsia="en-AU"/>
              </w:rPr>
            </w:pPr>
            <w:r w:rsidRPr="00BD4D0A">
              <w:rPr>
                <w:color w:val="000000"/>
                <w:w w:val="99"/>
                <w:sz w:val="22"/>
                <w:szCs w:val="22"/>
                <w:lang w:eastAsia="en-AU"/>
              </w:rPr>
              <w:t>0</w:t>
            </w:r>
          </w:p>
        </w:tc>
      </w:tr>
      <w:tr w:rsidR="00622AE3" w:rsidRPr="00BD4D0A" w:rsidTr="00F47D23">
        <w:trPr>
          <w:trHeight w:val="340"/>
        </w:trPr>
        <w:tc>
          <w:tcPr>
            <w:tcW w:w="4031" w:type="dxa"/>
            <w:tcBorders>
              <w:top w:val="nil"/>
              <w:left w:val="nil"/>
              <w:bottom w:val="single" w:sz="4" w:space="0" w:color="000000"/>
              <w:right w:val="nil"/>
            </w:tcBorders>
          </w:tcPr>
          <w:p w:rsidR="00622AE3" w:rsidRPr="00BD4D0A" w:rsidRDefault="00622AE3" w:rsidP="00C329A1">
            <w:pPr>
              <w:autoSpaceDE w:val="0"/>
              <w:autoSpaceDN w:val="0"/>
              <w:adjustRightInd w:val="0"/>
              <w:spacing w:line="240" w:lineRule="auto"/>
              <w:ind w:left="60" w:right="-20"/>
              <w:rPr>
                <w:color w:val="000000"/>
                <w:sz w:val="22"/>
                <w:szCs w:val="22"/>
                <w:lang w:eastAsia="en-AU"/>
              </w:rPr>
            </w:pPr>
            <w:r w:rsidRPr="00BD4D0A">
              <w:rPr>
                <w:color w:val="000000"/>
                <w:spacing w:val="1"/>
                <w:sz w:val="22"/>
                <w:szCs w:val="22"/>
                <w:lang w:eastAsia="en-AU"/>
              </w:rPr>
              <w:t>P</w:t>
            </w:r>
            <w:r w:rsidRPr="00BD4D0A">
              <w:rPr>
                <w:color w:val="000000"/>
                <w:spacing w:val="-4"/>
                <w:sz w:val="22"/>
                <w:szCs w:val="22"/>
                <w:lang w:eastAsia="en-AU"/>
              </w:rPr>
              <w:t>y</w:t>
            </w:r>
            <w:r w:rsidRPr="00BD4D0A">
              <w:rPr>
                <w:color w:val="000000"/>
                <w:spacing w:val="1"/>
                <w:sz w:val="22"/>
                <w:szCs w:val="22"/>
                <w:lang w:eastAsia="en-AU"/>
              </w:rPr>
              <w:t>r</w:t>
            </w:r>
            <w:r w:rsidRPr="00BD4D0A">
              <w:rPr>
                <w:color w:val="000000"/>
                <w:sz w:val="22"/>
                <w:szCs w:val="22"/>
                <w:lang w:eastAsia="en-AU"/>
              </w:rPr>
              <w:t>e</w:t>
            </w:r>
            <w:r w:rsidRPr="00BD4D0A">
              <w:rPr>
                <w:color w:val="000000"/>
                <w:spacing w:val="3"/>
                <w:sz w:val="22"/>
                <w:szCs w:val="22"/>
                <w:lang w:eastAsia="en-AU"/>
              </w:rPr>
              <w:t>x</w:t>
            </w:r>
            <w:r w:rsidRPr="00BD4D0A">
              <w:rPr>
                <w:color w:val="000000"/>
                <w:spacing w:val="-1"/>
                <w:sz w:val="22"/>
                <w:szCs w:val="22"/>
                <w:lang w:eastAsia="en-AU"/>
              </w:rPr>
              <w:t>i</w:t>
            </w:r>
            <w:r w:rsidRPr="00BD4D0A">
              <w:rPr>
                <w:color w:val="000000"/>
                <w:sz w:val="22"/>
                <w:szCs w:val="22"/>
                <w:lang w:eastAsia="en-AU"/>
              </w:rPr>
              <w:t>a</w:t>
            </w:r>
          </w:p>
        </w:tc>
        <w:tc>
          <w:tcPr>
            <w:tcW w:w="1410" w:type="dxa"/>
            <w:tcBorders>
              <w:top w:val="nil"/>
              <w:left w:val="nil"/>
              <w:bottom w:val="single" w:sz="4" w:space="0" w:color="000000"/>
              <w:right w:val="nil"/>
            </w:tcBorders>
          </w:tcPr>
          <w:p w:rsidR="00622AE3" w:rsidRPr="00BD4D0A" w:rsidRDefault="00622AE3" w:rsidP="00C329A1">
            <w:pPr>
              <w:autoSpaceDE w:val="0"/>
              <w:autoSpaceDN w:val="0"/>
              <w:adjustRightInd w:val="0"/>
              <w:spacing w:line="240" w:lineRule="auto"/>
              <w:ind w:left="424" w:right="-20"/>
              <w:rPr>
                <w:color w:val="000000"/>
                <w:sz w:val="22"/>
                <w:szCs w:val="22"/>
                <w:lang w:eastAsia="en-AU"/>
              </w:rPr>
            </w:pPr>
            <w:r w:rsidRPr="00BD4D0A">
              <w:rPr>
                <w:color w:val="000000"/>
                <w:sz w:val="22"/>
                <w:szCs w:val="22"/>
                <w:lang w:eastAsia="en-AU"/>
              </w:rPr>
              <w:t>11</w:t>
            </w:r>
            <w:r w:rsidRPr="00BD4D0A">
              <w:rPr>
                <w:color w:val="000000"/>
                <w:spacing w:val="-3"/>
                <w:sz w:val="22"/>
                <w:szCs w:val="22"/>
                <w:lang w:eastAsia="en-AU"/>
              </w:rPr>
              <w:t xml:space="preserve"> </w:t>
            </w:r>
            <w:r w:rsidRPr="00BD4D0A">
              <w:rPr>
                <w:color w:val="000000"/>
                <w:spacing w:val="1"/>
                <w:sz w:val="22"/>
                <w:szCs w:val="22"/>
                <w:lang w:eastAsia="en-AU"/>
              </w:rPr>
              <w:t>(</w:t>
            </w:r>
            <w:r w:rsidRPr="00BD4D0A">
              <w:rPr>
                <w:color w:val="000000"/>
                <w:sz w:val="22"/>
                <w:szCs w:val="22"/>
                <w:lang w:eastAsia="en-AU"/>
              </w:rPr>
              <w:t>3.</w:t>
            </w:r>
            <w:r w:rsidRPr="00BD4D0A">
              <w:rPr>
                <w:color w:val="000000"/>
                <w:spacing w:val="-1"/>
                <w:sz w:val="22"/>
                <w:szCs w:val="22"/>
                <w:lang w:eastAsia="en-AU"/>
              </w:rPr>
              <w:t>5</w:t>
            </w:r>
            <w:r w:rsidRPr="00BD4D0A">
              <w:rPr>
                <w:color w:val="000000"/>
                <w:sz w:val="22"/>
                <w:szCs w:val="22"/>
                <w:lang w:eastAsia="en-AU"/>
              </w:rPr>
              <w:t>)</w:t>
            </w:r>
          </w:p>
        </w:tc>
        <w:tc>
          <w:tcPr>
            <w:tcW w:w="1232" w:type="dxa"/>
            <w:tcBorders>
              <w:top w:val="nil"/>
              <w:left w:val="nil"/>
              <w:bottom w:val="single" w:sz="4" w:space="0" w:color="000000"/>
              <w:right w:val="nil"/>
            </w:tcBorders>
          </w:tcPr>
          <w:p w:rsidR="00622AE3" w:rsidRPr="00BD4D0A" w:rsidRDefault="00622AE3" w:rsidP="00C329A1">
            <w:pPr>
              <w:autoSpaceDE w:val="0"/>
              <w:autoSpaceDN w:val="0"/>
              <w:adjustRightInd w:val="0"/>
              <w:spacing w:line="240" w:lineRule="auto"/>
              <w:ind w:left="329" w:right="-20"/>
              <w:rPr>
                <w:color w:val="000000"/>
                <w:sz w:val="22"/>
                <w:szCs w:val="22"/>
                <w:lang w:eastAsia="en-AU"/>
              </w:rPr>
            </w:pPr>
            <w:r w:rsidRPr="00BD4D0A">
              <w:rPr>
                <w:color w:val="000000"/>
                <w:sz w:val="22"/>
                <w:szCs w:val="22"/>
                <w:lang w:eastAsia="en-AU"/>
              </w:rPr>
              <w:t>1</w:t>
            </w:r>
            <w:r w:rsidRPr="00BD4D0A">
              <w:rPr>
                <w:color w:val="000000"/>
                <w:spacing w:val="-2"/>
                <w:sz w:val="22"/>
                <w:szCs w:val="22"/>
                <w:lang w:eastAsia="en-AU"/>
              </w:rPr>
              <w:t xml:space="preserve"> </w:t>
            </w:r>
            <w:r w:rsidRPr="00BD4D0A">
              <w:rPr>
                <w:color w:val="000000"/>
                <w:spacing w:val="1"/>
                <w:sz w:val="22"/>
                <w:szCs w:val="22"/>
                <w:lang w:eastAsia="en-AU"/>
              </w:rPr>
              <w:t>(</w:t>
            </w:r>
            <w:r w:rsidRPr="00BD4D0A">
              <w:rPr>
                <w:color w:val="000000"/>
                <w:sz w:val="22"/>
                <w:szCs w:val="22"/>
                <w:lang w:eastAsia="en-AU"/>
              </w:rPr>
              <w:t>0.</w:t>
            </w:r>
            <w:r w:rsidRPr="00BD4D0A">
              <w:rPr>
                <w:color w:val="000000"/>
                <w:spacing w:val="-1"/>
                <w:sz w:val="22"/>
                <w:szCs w:val="22"/>
                <w:lang w:eastAsia="en-AU"/>
              </w:rPr>
              <w:t>3</w:t>
            </w:r>
            <w:r w:rsidRPr="00BD4D0A">
              <w:rPr>
                <w:color w:val="000000"/>
                <w:sz w:val="22"/>
                <w:szCs w:val="22"/>
                <w:lang w:eastAsia="en-AU"/>
              </w:rPr>
              <w:t>)</w:t>
            </w:r>
          </w:p>
        </w:tc>
        <w:tc>
          <w:tcPr>
            <w:tcW w:w="1286" w:type="dxa"/>
            <w:tcBorders>
              <w:top w:val="nil"/>
              <w:left w:val="nil"/>
              <w:bottom w:val="single" w:sz="4" w:space="0" w:color="000000"/>
              <w:right w:val="nil"/>
            </w:tcBorders>
          </w:tcPr>
          <w:p w:rsidR="00622AE3" w:rsidRPr="00BD4D0A" w:rsidRDefault="00622AE3" w:rsidP="00C329A1">
            <w:pPr>
              <w:autoSpaceDE w:val="0"/>
              <w:autoSpaceDN w:val="0"/>
              <w:adjustRightInd w:val="0"/>
              <w:spacing w:line="240" w:lineRule="auto"/>
              <w:ind w:left="300" w:right="-20"/>
              <w:rPr>
                <w:color w:val="000000"/>
                <w:sz w:val="22"/>
                <w:szCs w:val="22"/>
                <w:lang w:eastAsia="en-AU"/>
              </w:rPr>
            </w:pPr>
            <w:r w:rsidRPr="00BD4D0A">
              <w:rPr>
                <w:color w:val="000000"/>
                <w:sz w:val="22"/>
                <w:szCs w:val="22"/>
                <w:lang w:eastAsia="en-AU"/>
              </w:rPr>
              <w:t>16</w:t>
            </w:r>
            <w:r w:rsidRPr="00BD4D0A">
              <w:rPr>
                <w:color w:val="000000"/>
                <w:spacing w:val="-3"/>
                <w:sz w:val="22"/>
                <w:szCs w:val="22"/>
                <w:lang w:eastAsia="en-AU"/>
              </w:rPr>
              <w:t xml:space="preserve"> </w:t>
            </w:r>
            <w:r w:rsidRPr="00BD4D0A">
              <w:rPr>
                <w:color w:val="000000"/>
                <w:spacing w:val="1"/>
                <w:sz w:val="22"/>
                <w:szCs w:val="22"/>
                <w:lang w:eastAsia="en-AU"/>
              </w:rPr>
              <w:t>(</w:t>
            </w:r>
            <w:r w:rsidRPr="00BD4D0A">
              <w:rPr>
                <w:color w:val="000000"/>
                <w:sz w:val="22"/>
                <w:szCs w:val="22"/>
                <w:lang w:eastAsia="en-AU"/>
              </w:rPr>
              <w:t>5.</w:t>
            </w:r>
            <w:r w:rsidRPr="00BD4D0A">
              <w:rPr>
                <w:color w:val="000000"/>
                <w:spacing w:val="-1"/>
                <w:sz w:val="22"/>
                <w:szCs w:val="22"/>
                <w:lang w:eastAsia="en-AU"/>
              </w:rPr>
              <w:t>1</w:t>
            </w:r>
            <w:r w:rsidRPr="00BD4D0A">
              <w:rPr>
                <w:color w:val="000000"/>
                <w:sz w:val="22"/>
                <w:szCs w:val="22"/>
                <w:lang w:eastAsia="en-AU"/>
              </w:rPr>
              <w:t>)</w:t>
            </w:r>
          </w:p>
        </w:tc>
        <w:tc>
          <w:tcPr>
            <w:tcW w:w="1247" w:type="dxa"/>
            <w:tcBorders>
              <w:top w:val="nil"/>
              <w:left w:val="nil"/>
              <w:bottom w:val="single" w:sz="4" w:space="0" w:color="000000"/>
              <w:right w:val="nil"/>
            </w:tcBorders>
          </w:tcPr>
          <w:p w:rsidR="00622AE3" w:rsidRPr="00BD4D0A" w:rsidRDefault="00622AE3" w:rsidP="00C329A1">
            <w:pPr>
              <w:autoSpaceDE w:val="0"/>
              <w:autoSpaceDN w:val="0"/>
              <w:adjustRightInd w:val="0"/>
              <w:spacing w:line="240" w:lineRule="auto"/>
              <w:ind w:left="526" w:right="521"/>
              <w:jc w:val="center"/>
              <w:rPr>
                <w:color w:val="000000"/>
                <w:sz w:val="22"/>
                <w:szCs w:val="22"/>
                <w:lang w:eastAsia="en-AU"/>
              </w:rPr>
            </w:pPr>
            <w:r w:rsidRPr="00BD4D0A">
              <w:rPr>
                <w:color w:val="000000"/>
                <w:w w:val="99"/>
                <w:sz w:val="22"/>
                <w:szCs w:val="22"/>
                <w:lang w:eastAsia="en-AU"/>
              </w:rPr>
              <w:t>0</w:t>
            </w:r>
          </w:p>
        </w:tc>
      </w:tr>
    </w:tbl>
    <w:p w:rsidR="00622AE3" w:rsidRPr="00C821DA" w:rsidRDefault="00622AE3" w:rsidP="00622AE3">
      <w:pPr>
        <w:autoSpaceDE w:val="0"/>
        <w:autoSpaceDN w:val="0"/>
        <w:adjustRightInd w:val="0"/>
        <w:spacing w:before="26" w:line="239" w:lineRule="auto"/>
        <w:ind w:left="180" w:right="560"/>
        <w:rPr>
          <w:i/>
          <w:color w:val="000000"/>
          <w:sz w:val="20"/>
          <w:szCs w:val="20"/>
          <w:lang w:eastAsia="en-AU"/>
        </w:rPr>
      </w:pPr>
      <w:r w:rsidRPr="00C821DA">
        <w:rPr>
          <w:i/>
          <w:color w:val="000000"/>
          <w:spacing w:val="-1"/>
          <w:sz w:val="20"/>
          <w:szCs w:val="20"/>
          <w:lang w:eastAsia="en-AU"/>
        </w:rPr>
        <w:lastRenderedPageBreak/>
        <w:t>A</w:t>
      </w:r>
      <w:r w:rsidRPr="00C821DA">
        <w:rPr>
          <w:i/>
          <w:color w:val="000000"/>
          <w:spacing w:val="1"/>
          <w:sz w:val="20"/>
          <w:szCs w:val="20"/>
          <w:lang w:eastAsia="en-AU"/>
        </w:rPr>
        <w:t>E</w:t>
      </w:r>
      <w:r w:rsidRPr="00C821DA">
        <w:rPr>
          <w:i/>
          <w:color w:val="000000"/>
          <w:spacing w:val="-1"/>
          <w:sz w:val="20"/>
          <w:szCs w:val="20"/>
          <w:lang w:eastAsia="en-AU"/>
        </w:rPr>
        <w:t>=</w:t>
      </w:r>
      <w:r w:rsidRPr="00C821DA">
        <w:rPr>
          <w:i/>
          <w:color w:val="000000"/>
          <w:spacing w:val="2"/>
          <w:sz w:val="20"/>
          <w:szCs w:val="20"/>
          <w:lang w:eastAsia="en-AU"/>
        </w:rPr>
        <w:t>a</w:t>
      </w:r>
      <w:r w:rsidRPr="00C821DA">
        <w:rPr>
          <w:i/>
          <w:color w:val="000000"/>
          <w:sz w:val="20"/>
          <w:szCs w:val="20"/>
          <w:lang w:eastAsia="en-AU"/>
        </w:rPr>
        <w:t>d</w:t>
      </w:r>
      <w:r w:rsidRPr="00C821DA">
        <w:rPr>
          <w:i/>
          <w:color w:val="000000"/>
          <w:spacing w:val="1"/>
          <w:sz w:val="20"/>
          <w:szCs w:val="20"/>
          <w:lang w:eastAsia="en-AU"/>
        </w:rPr>
        <w:t>v</w:t>
      </w:r>
      <w:r w:rsidRPr="00C821DA">
        <w:rPr>
          <w:i/>
          <w:color w:val="000000"/>
          <w:sz w:val="20"/>
          <w:szCs w:val="20"/>
          <w:lang w:eastAsia="en-AU"/>
        </w:rPr>
        <w:t>er</w:t>
      </w:r>
      <w:r w:rsidRPr="00C821DA">
        <w:rPr>
          <w:i/>
          <w:color w:val="000000"/>
          <w:spacing w:val="2"/>
          <w:sz w:val="20"/>
          <w:szCs w:val="20"/>
          <w:lang w:eastAsia="en-AU"/>
        </w:rPr>
        <w:t>s</w:t>
      </w:r>
      <w:r w:rsidRPr="00C821DA">
        <w:rPr>
          <w:i/>
          <w:color w:val="000000"/>
          <w:sz w:val="20"/>
          <w:szCs w:val="20"/>
          <w:lang w:eastAsia="en-AU"/>
        </w:rPr>
        <w:t>e</w:t>
      </w:r>
      <w:r w:rsidRPr="00C821DA">
        <w:rPr>
          <w:i/>
          <w:color w:val="000000"/>
          <w:spacing w:val="-11"/>
          <w:sz w:val="20"/>
          <w:szCs w:val="20"/>
          <w:lang w:eastAsia="en-AU"/>
        </w:rPr>
        <w:t xml:space="preserve"> </w:t>
      </w:r>
      <w:r w:rsidRPr="00C821DA">
        <w:rPr>
          <w:i/>
          <w:color w:val="000000"/>
          <w:spacing w:val="-1"/>
          <w:sz w:val="20"/>
          <w:szCs w:val="20"/>
          <w:lang w:eastAsia="en-AU"/>
        </w:rPr>
        <w:t>e</w:t>
      </w:r>
      <w:r w:rsidRPr="00C821DA">
        <w:rPr>
          <w:i/>
          <w:color w:val="000000"/>
          <w:spacing w:val="1"/>
          <w:sz w:val="20"/>
          <w:szCs w:val="20"/>
          <w:lang w:eastAsia="en-AU"/>
        </w:rPr>
        <w:t>v</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w:t>
      </w:r>
      <w:r w:rsidRPr="00C821DA">
        <w:rPr>
          <w:i/>
          <w:color w:val="000000"/>
          <w:spacing w:val="-3"/>
          <w:sz w:val="20"/>
          <w:szCs w:val="20"/>
          <w:lang w:eastAsia="en-AU"/>
        </w:rPr>
        <w:t xml:space="preserve"> </w:t>
      </w:r>
      <w:r w:rsidRPr="00C821DA">
        <w:rPr>
          <w:i/>
          <w:color w:val="000000"/>
          <w:sz w:val="20"/>
          <w:szCs w:val="20"/>
          <w:lang w:eastAsia="en-AU"/>
        </w:rPr>
        <w:t>C</w:t>
      </w:r>
      <w:r w:rsidRPr="00C821DA">
        <w:rPr>
          <w:i/>
          <w:color w:val="000000"/>
          <w:spacing w:val="1"/>
          <w:sz w:val="20"/>
          <w:szCs w:val="20"/>
          <w:lang w:eastAsia="en-AU"/>
        </w:rPr>
        <w:t>VP</w:t>
      </w:r>
      <w:r w:rsidRPr="00C821DA">
        <w:rPr>
          <w:i/>
          <w:color w:val="000000"/>
          <w:spacing w:val="-1"/>
          <w:sz w:val="20"/>
          <w:szCs w:val="20"/>
          <w:lang w:eastAsia="en-AU"/>
        </w:rPr>
        <w:t>=</w:t>
      </w:r>
      <w:r w:rsidRPr="00C821DA">
        <w:rPr>
          <w:i/>
          <w:color w:val="000000"/>
          <w:spacing w:val="3"/>
          <w:sz w:val="20"/>
          <w:szCs w:val="20"/>
          <w:lang w:eastAsia="en-AU"/>
        </w:rPr>
        <w:t>c</w:t>
      </w:r>
      <w:r w:rsidRPr="00C821DA">
        <w:rPr>
          <w:i/>
          <w:color w:val="000000"/>
          <w:spacing w:val="-4"/>
          <w:sz w:val="20"/>
          <w:szCs w:val="20"/>
          <w:lang w:eastAsia="en-AU"/>
        </w:rPr>
        <w:t>y</w:t>
      </w:r>
      <w:r w:rsidRPr="00C821DA">
        <w:rPr>
          <w:i/>
          <w:color w:val="000000"/>
          <w:spacing w:val="3"/>
          <w:sz w:val="20"/>
          <w:szCs w:val="20"/>
          <w:lang w:eastAsia="en-AU"/>
        </w:rPr>
        <w:t>c</w:t>
      </w:r>
      <w:r w:rsidRPr="00C821DA">
        <w:rPr>
          <w:i/>
          <w:color w:val="000000"/>
          <w:spacing w:val="-1"/>
          <w:sz w:val="20"/>
          <w:szCs w:val="20"/>
          <w:lang w:eastAsia="en-AU"/>
        </w:rPr>
        <w:t>l</w:t>
      </w:r>
      <w:r w:rsidRPr="00C821DA">
        <w:rPr>
          <w:i/>
          <w:color w:val="000000"/>
          <w:spacing w:val="2"/>
          <w:sz w:val="20"/>
          <w:szCs w:val="20"/>
          <w:lang w:eastAsia="en-AU"/>
        </w:rPr>
        <w:t>o</w:t>
      </w:r>
      <w:r w:rsidRPr="00C821DA">
        <w:rPr>
          <w:i/>
          <w:color w:val="000000"/>
          <w:sz w:val="20"/>
          <w:szCs w:val="20"/>
          <w:lang w:eastAsia="en-AU"/>
        </w:rPr>
        <w:t>p</w:t>
      </w:r>
      <w:r w:rsidRPr="00C821DA">
        <w:rPr>
          <w:i/>
          <w:color w:val="000000"/>
          <w:spacing w:val="-1"/>
          <w:sz w:val="20"/>
          <w:szCs w:val="20"/>
          <w:lang w:eastAsia="en-AU"/>
        </w:rPr>
        <w:t>h</w:t>
      </w:r>
      <w:r w:rsidRPr="00C821DA">
        <w:rPr>
          <w:i/>
          <w:color w:val="000000"/>
          <w:sz w:val="20"/>
          <w:szCs w:val="20"/>
          <w:lang w:eastAsia="en-AU"/>
        </w:rPr>
        <w:t>o</w:t>
      </w:r>
      <w:r w:rsidRPr="00C821DA">
        <w:rPr>
          <w:i/>
          <w:color w:val="000000"/>
          <w:spacing w:val="1"/>
          <w:sz w:val="20"/>
          <w:szCs w:val="20"/>
          <w:lang w:eastAsia="en-AU"/>
        </w:rPr>
        <w:t>s</w:t>
      </w:r>
      <w:r w:rsidRPr="00C821DA">
        <w:rPr>
          <w:i/>
          <w:color w:val="000000"/>
          <w:spacing w:val="2"/>
          <w:sz w:val="20"/>
          <w:szCs w:val="20"/>
          <w:lang w:eastAsia="en-AU"/>
        </w:rPr>
        <w:t>p</w:t>
      </w:r>
      <w:r w:rsidRPr="00C821DA">
        <w:rPr>
          <w:i/>
          <w:color w:val="000000"/>
          <w:sz w:val="20"/>
          <w:szCs w:val="20"/>
          <w:lang w:eastAsia="en-AU"/>
        </w:rPr>
        <w:t>h</w:t>
      </w:r>
      <w:r w:rsidRPr="00C821DA">
        <w:rPr>
          <w:i/>
          <w:color w:val="000000"/>
          <w:spacing w:val="-1"/>
          <w:sz w:val="20"/>
          <w:szCs w:val="20"/>
          <w:lang w:eastAsia="en-AU"/>
        </w:rPr>
        <w:t>a</w:t>
      </w:r>
      <w:r w:rsidRPr="00C821DA">
        <w:rPr>
          <w:i/>
          <w:color w:val="000000"/>
          <w:spacing w:val="4"/>
          <w:sz w:val="20"/>
          <w:szCs w:val="20"/>
          <w:lang w:eastAsia="en-AU"/>
        </w:rPr>
        <w:t>m</w:t>
      </w:r>
      <w:r w:rsidRPr="00C821DA">
        <w:rPr>
          <w:i/>
          <w:color w:val="000000"/>
          <w:spacing w:val="-1"/>
          <w:sz w:val="20"/>
          <w:szCs w:val="20"/>
          <w:lang w:eastAsia="en-AU"/>
        </w:rPr>
        <w:t>i</w:t>
      </w:r>
      <w:r w:rsidRPr="00C821DA">
        <w:rPr>
          <w:i/>
          <w:color w:val="000000"/>
          <w:sz w:val="20"/>
          <w:szCs w:val="20"/>
          <w:lang w:eastAsia="en-AU"/>
        </w:rPr>
        <w:t>d</w:t>
      </w:r>
      <w:r w:rsidRPr="00C821DA">
        <w:rPr>
          <w:i/>
          <w:color w:val="000000"/>
          <w:spacing w:val="-1"/>
          <w:sz w:val="20"/>
          <w:szCs w:val="20"/>
          <w:lang w:eastAsia="en-AU"/>
        </w:rPr>
        <w:t>e</w:t>
      </w:r>
      <w:r w:rsidRPr="00C821DA">
        <w:rPr>
          <w:i/>
          <w:color w:val="000000"/>
          <w:sz w:val="20"/>
          <w:szCs w:val="20"/>
          <w:lang w:eastAsia="en-AU"/>
        </w:rPr>
        <w:t>,</w:t>
      </w:r>
      <w:r w:rsidRPr="00C821DA">
        <w:rPr>
          <w:i/>
          <w:color w:val="000000"/>
          <w:spacing w:val="-22"/>
          <w:sz w:val="20"/>
          <w:szCs w:val="20"/>
          <w:lang w:eastAsia="en-AU"/>
        </w:rPr>
        <w:t xml:space="preserve"> </w:t>
      </w:r>
      <w:r w:rsidRPr="00C821DA">
        <w:rPr>
          <w:i/>
          <w:color w:val="000000"/>
          <w:spacing w:val="1"/>
          <w:sz w:val="20"/>
          <w:szCs w:val="20"/>
          <w:lang w:eastAsia="en-AU"/>
        </w:rPr>
        <w:t>v</w:t>
      </w:r>
      <w:r w:rsidRPr="00C821DA">
        <w:rPr>
          <w:i/>
          <w:color w:val="000000"/>
          <w:spacing w:val="-1"/>
          <w:sz w:val="20"/>
          <w:szCs w:val="20"/>
          <w:lang w:eastAsia="en-AU"/>
        </w:rPr>
        <w:t>i</w:t>
      </w:r>
      <w:r w:rsidRPr="00C821DA">
        <w:rPr>
          <w:i/>
          <w:color w:val="000000"/>
          <w:sz w:val="20"/>
          <w:szCs w:val="20"/>
          <w:lang w:eastAsia="en-AU"/>
        </w:rPr>
        <w:t>n</w:t>
      </w:r>
      <w:r w:rsidRPr="00C821DA">
        <w:rPr>
          <w:i/>
          <w:color w:val="000000"/>
          <w:spacing w:val="1"/>
          <w:sz w:val="20"/>
          <w:szCs w:val="20"/>
          <w:lang w:eastAsia="en-AU"/>
        </w:rPr>
        <w:t>cr</w:t>
      </w:r>
      <w:r w:rsidRPr="00C821DA">
        <w:rPr>
          <w:i/>
          <w:color w:val="000000"/>
          <w:spacing w:val="-1"/>
          <w:sz w:val="20"/>
          <w:szCs w:val="20"/>
          <w:lang w:eastAsia="en-AU"/>
        </w:rPr>
        <w:t>i</w:t>
      </w:r>
      <w:r w:rsidRPr="00C821DA">
        <w:rPr>
          <w:i/>
          <w:color w:val="000000"/>
          <w:spacing w:val="1"/>
          <w:sz w:val="20"/>
          <w:szCs w:val="20"/>
          <w:lang w:eastAsia="en-AU"/>
        </w:rPr>
        <w:t>s</w:t>
      </w:r>
      <w:r w:rsidRPr="00C821DA">
        <w:rPr>
          <w:i/>
          <w:color w:val="000000"/>
          <w:spacing w:val="2"/>
          <w:sz w:val="20"/>
          <w:szCs w:val="20"/>
          <w:lang w:eastAsia="en-AU"/>
        </w:rPr>
        <w:t>t</w:t>
      </w:r>
      <w:r w:rsidRPr="00C821DA">
        <w:rPr>
          <w:i/>
          <w:color w:val="000000"/>
          <w:spacing w:val="-1"/>
          <w:sz w:val="20"/>
          <w:szCs w:val="20"/>
          <w:lang w:eastAsia="en-AU"/>
        </w:rPr>
        <w:t>i</w:t>
      </w:r>
      <w:r w:rsidRPr="00C821DA">
        <w:rPr>
          <w:i/>
          <w:color w:val="000000"/>
          <w:spacing w:val="2"/>
          <w:sz w:val="20"/>
          <w:szCs w:val="20"/>
          <w:lang w:eastAsia="en-AU"/>
        </w:rPr>
        <w:t>n</w:t>
      </w:r>
      <w:r w:rsidRPr="00C821DA">
        <w:rPr>
          <w:i/>
          <w:color w:val="000000"/>
          <w:sz w:val="20"/>
          <w:szCs w:val="20"/>
          <w:lang w:eastAsia="en-AU"/>
        </w:rPr>
        <w:t>e,</w:t>
      </w:r>
      <w:r w:rsidRPr="00C821DA">
        <w:rPr>
          <w:i/>
          <w:color w:val="000000"/>
          <w:spacing w:val="-10"/>
          <w:sz w:val="20"/>
          <w:szCs w:val="20"/>
          <w:lang w:eastAsia="en-AU"/>
        </w:rPr>
        <w:t xml:space="preserve"> </w:t>
      </w:r>
      <w:r w:rsidRPr="00C821DA">
        <w:rPr>
          <w:i/>
          <w:color w:val="000000"/>
          <w:sz w:val="20"/>
          <w:szCs w:val="20"/>
          <w:lang w:eastAsia="en-AU"/>
        </w:rPr>
        <w:t>pre</w:t>
      </w:r>
      <w:r w:rsidRPr="00C821DA">
        <w:rPr>
          <w:i/>
          <w:color w:val="000000"/>
          <w:spacing w:val="2"/>
          <w:sz w:val="20"/>
          <w:szCs w:val="20"/>
          <w:lang w:eastAsia="en-AU"/>
        </w:rPr>
        <w:t>d</w:t>
      </w:r>
      <w:r w:rsidRPr="00C821DA">
        <w:rPr>
          <w:i/>
          <w:color w:val="000000"/>
          <w:sz w:val="20"/>
          <w:szCs w:val="20"/>
          <w:lang w:eastAsia="en-AU"/>
        </w:rPr>
        <w:t>n</w:t>
      </w:r>
      <w:r w:rsidRPr="00C821DA">
        <w:rPr>
          <w:i/>
          <w:color w:val="000000"/>
          <w:spacing w:val="-1"/>
          <w:sz w:val="20"/>
          <w:szCs w:val="20"/>
          <w:lang w:eastAsia="en-AU"/>
        </w:rPr>
        <w:t>i</w:t>
      </w:r>
      <w:r w:rsidRPr="00C821DA">
        <w:rPr>
          <w:i/>
          <w:color w:val="000000"/>
          <w:spacing w:val="1"/>
          <w:sz w:val="20"/>
          <w:szCs w:val="20"/>
          <w:lang w:eastAsia="en-AU"/>
        </w:rPr>
        <w:t>s</w:t>
      </w:r>
      <w:r w:rsidRPr="00C821DA">
        <w:rPr>
          <w:i/>
          <w:color w:val="000000"/>
          <w:spacing w:val="2"/>
          <w:sz w:val="20"/>
          <w:szCs w:val="20"/>
          <w:lang w:eastAsia="en-AU"/>
        </w:rPr>
        <w:t>o</w:t>
      </w:r>
      <w:r w:rsidRPr="00C821DA">
        <w:rPr>
          <w:i/>
          <w:color w:val="000000"/>
          <w:sz w:val="20"/>
          <w:szCs w:val="20"/>
          <w:lang w:eastAsia="en-AU"/>
        </w:rPr>
        <w:t>n</w:t>
      </w:r>
      <w:r w:rsidRPr="00C821DA">
        <w:rPr>
          <w:i/>
          <w:color w:val="000000"/>
          <w:spacing w:val="4"/>
          <w:sz w:val="20"/>
          <w:szCs w:val="20"/>
          <w:lang w:eastAsia="en-AU"/>
        </w:rPr>
        <w:t>e</w:t>
      </w:r>
      <w:r w:rsidRPr="00C821DA">
        <w:rPr>
          <w:i/>
          <w:color w:val="000000"/>
          <w:sz w:val="20"/>
          <w:szCs w:val="20"/>
          <w:lang w:eastAsia="en-AU"/>
        </w:rPr>
        <w:t>;</w:t>
      </w:r>
      <w:r w:rsidRPr="00C821DA">
        <w:rPr>
          <w:i/>
          <w:color w:val="000000"/>
          <w:spacing w:val="-11"/>
          <w:sz w:val="20"/>
          <w:szCs w:val="20"/>
          <w:lang w:eastAsia="en-AU"/>
        </w:rPr>
        <w:t xml:space="preserve"> </w:t>
      </w:r>
      <w:r w:rsidRPr="00C821DA">
        <w:rPr>
          <w:i/>
          <w:color w:val="000000"/>
          <w:spacing w:val="3"/>
          <w:sz w:val="20"/>
          <w:szCs w:val="20"/>
          <w:lang w:eastAsia="en-AU"/>
        </w:rPr>
        <w:t>F</w:t>
      </w:r>
      <w:r w:rsidRPr="00C821DA">
        <w:rPr>
          <w:i/>
          <w:color w:val="000000"/>
          <w:sz w:val="20"/>
          <w:szCs w:val="20"/>
          <w:lang w:eastAsia="en-AU"/>
        </w:rPr>
        <w:t>L</w:t>
      </w:r>
      <w:r w:rsidRPr="00C821DA">
        <w:rPr>
          <w:i/>
          <w:color w:val="000000"/>
          <w:spacing w:val="-1"/>
          <w:sz w:val="20"/>
          <w:szCs w:val="20"/>
          <w:lang w:eastAsia="en-AU"/>
        </w:rPr>
        <w:t>=</w:t>
      </w:r>
      <w:r w:rsidRPr="00C821DA">
        <w:rPr>
          <w:i/>
          <w:color w:val="000000"/>
          <w:spacing w:val="2"/>
          <w:sz w:val="20"/>
          <w:szCs w:val="20"/>
          <w:lang w:eastAsia="en-AU"/>
        </w:rPr>
        <w:t>f</w:t>
      </w:r>
      <w:r w:rsidRPr="00C821DA">
        <w:rPr>
          <w:i/>
          <w:color w:val="000000"/>
          <w:sz w:val="20"/>
          <w:szCs w:val="20"/>
          <w:lang w:eastAsia="en-AU"/>
        </w:rPr>
        <w:t>o</w:t>
      </w:r>
      <w:r w:rsidRPr="00C821DA">
        <w:rPr>
          <w:i/>
          <w:color w:val="000000"/>
          <w:spacing w:val="1"/>
          <w:sz w:val="20"/>
          <w:szCs w:val="20"/>
          <w:lang w:eastAsia="en-AU"/>
        </w:rPr>
        <w:t>l</w:t>
      </w:r>
      <w:r w:rsidRPr="00C821DA">
        <w:rPr>
          <w:i/>
          <w:color w:val="000000"/>
          <w:spacing w:val="-1"/>
          <w:sz w:val="20"/>
          <w:szCs w:val="20"/>
          <w:lang w:eastAsia="en-AU"/>
        </w:rPr>
        <w:t>li</w:t>
      </w:r>
      <w:r w:rsidRPr="00C821DA">
        <w:rPr>
          <w:i/>
          <w:color w:val="000000"/>
          <w:spacing w:val="1"/>
          <w:sz w:val="20"/>
          <w:szCs w:val="20"/>
          <w:lang w:eastAsia="en-AU"/>
        </w:rPr>
        <w:t>c</w:t>
      </w:r>
      <w:r w:rsidRPr="00C821DA">
        <w:rPr>
          <w:i/>
          <w:color w:val="000000"/>
          <w:spacing w:val="2"/>
          <w:sz w:val="20"/>
          <w:szCs w:val="20"/>
          <w:lang w:eastAsia="en-AU"/>
        </w:rPr>
        <w:t>u</w:t>
      </w:r>
      <w:r w:rsidRPr="00C821DA">
        <w:rPr>
          <w:i/>
          <w:color w:val="000000"/>
          <w:spacing w:val="-1"/>
          <w:sz w:val="20"/>
          <w:szCs w:val="20"/>
          <w:lang w:eastAsia="en-AU"/>
        </w:rPr>
        <w:t>l</w:t>
      </w:r>
      <w:r w:rsidRPr="00C821DA">
        <w:rPr>
          <w:i/>
          <w:color w:val="000000"/>
          <w:sz w:val="20"/>
          <w:szCs w:val="20"/>
          <w:lang w:eastAsia="en-AU"/>
        </w:rPr>
        <w:t>ar</w:t>
      </w:r>
      <w:r w:rsidRPr="00C821DA">
        <w:rPr>
          <w:i/>
          <w:color w:val="000000"/>
          <w:spacing w:val="-8"/>
          <w:sz w:val="20"/>
          <w:szCs w:val="20"/>
          <w:lang w:eastAsia="en-AU"/>
        </w:rPr>
        <w:t xml:space="preserve"> </w:t>
      </w:r>
      <w:r w:rsidRPr="00C821DA">
        <w:rPr>
          <w:i/>
          <w:color w:val="000000"/>
          <w:spacing w:val="1"/>
          <w:sz w:val="20"/>
          <w:szCs w:val="20"/>
          <w:lang w:eastAsia="en-AU"/>
        </w:rPr>
        <w:t>l</w:t>
      </w:r>
      <w:r w:rsidRPr="00C821DA">
        <w:rPr>
          <w:i/>
          <w:color w:val="000000"/>
          <w:spacing w:val="-6"/>
          <w:sz w:val="20"/>
          <w:szCs w:val="20"/>
          <w:lang w:eastAsia="en-AU"/>
        </w:rPr>
        <w:t>y</w:t>
      </w:r>
      <w:r w:rsidRPr="00C821DA">
        <w:rPr>
          <w:i/>
          <w:color w:val="000000"/>
          <w:spacing w:val="4"/>
          <w:sz w:val="20"/>
          <w:szCs w:val="20"/>
          <w:lang w:eastAsia="en-AU"/>
        </w:rPr>
        <w:t>m</w:t>
      </w:r>
      <w:r w:rsidRPr="00C821DA">
        <w:rPr>
          <w:i/>
          <w:color w:val="000000"/>
          <w:sz w:val="20"/>
          <w:szCs w:val="20"/>
          <w:lang w:eastAsia="en-AU"/>
        </w:rPr>
        <w:t>p</w:t>
      </w:r>
      <w:r w:rsidRPr="00C821DA">
        <w:rPr>
          <w:i/>
          <w:color w:val="000000"/>
          <w:spacing w:val="1"/>
          <w:sz w:val="20"/>
          <w:szCs w:val="20"/>
          <w:lang w:eastAsia="en-AU"/>
        </w:rPr>
        <w:t>h</w:t>
      </w:r>
      <w:r w:rsidRPr="00C821DA">
        <w:rPr>
          <w:i/>
          <w:color w:val="000000"/>
          <w:sz w:val="20"/>
          <w:szCs w:val="20"/>
          <w:lang w:eastAsia="en-AU"/>
        </w:rPr>
        <w:t>o</w:t>
      </w:r>
      <w:r w:rsidRPr="00C821DA">
        <w:rPr>
          <w:i/>
          <w:color w:val="000000"/>
          <w:spacing w:val="4"/>
          <w:sz w:val="20"/>
          <w:szCs w:val="20"/>
          <w:lang w:eastAsia="en-AU"/>
        </w:rPr>
        <w:t>m</w:t>
      </w:r>
      <w:r w:rsidRPr="00C821DA">
        <w:rPr>
          <w:i/>
          <w:color w:val="000000"/>
          <w:sz w:val="20"/>
          <w:szCs w:val="20"/>
          <w:lang w:eastAsia="en-AU"/>
        </w:rPr>
        <w:t xml:space="preserve">a; </w:t>
      </w:r>
      <w:r w:rsidRPr="00C821DA">
        <w:rPr>
          <w:i/>
          <w:color w:val="000000"/>
          <w:spacing w:val="2"/>
          <w:sz w:val="20"/>
          <w:szCs w:val="20"/>
          <w:lang w:eastAsia="en-AU"/>
        </w:rPr>
        <w:t>n</w:t>
      </w:r>
      <w:r w:rsidRPr="00C821DA">
        <w:rPr>
          <w:i/>
          <w:color w:val="000000"/>
          <w:spacing w:val="-1"/>
          <w:sz w:val="20"/>
          <w:szCs w:val="20"/>
          <w:lang w:eastAsia="en-AU"/>
        </w:rPr>
        <w:t>=</w:t>
      </w:r>
      <w:r w:rsidRPr="00C821DA">
        <w:rPr>
          <w:i/>
          <w:color w:val="000000"/>
          <w:sz w:val="20"/>
          <w:szCs w:val="20"/>
          <w:lang w:eastAsia="en-AU"/>
        </w:rPr>
        <w:t>n</w:t>
      </w:r>
      <w:r w:rsidRPr="00C821DA">
        <w:rPr>
          <w:i/>
          <w:color w:val="000000"/>
          <w:spacing w:val="-1"/>
          <w:sz w:val="20"/>
          <w:szCs w:val="20"/>
          <w:lang w:eastAsia="en-AU"/>
        </w:rPr>
        <w:t>u</w:t>
      </w:r>
      <w:r w:rsidRPr="00C821DA">
        <w:rPr>
          <w:i/>
          <w:color w:val="000000"/>
          <w:spacing w:val="4"/>
          <w:sz w:val="20"/>
          <w:szCs w:val="20"/>
          <w:lang w:eastAsia="en-AU"/>
        </w:rPr>
        <w:t>m</w:t>
      </w:r>
      <w:r w:rsidRPr="00C821DA">
        <w:rPr>
          <w:i/>
          <w:color w:val="000000"/>
          <w:sz w:val="20"/>
          <w:szCs w:val="20"/>
          <w:lang w:eastAsia="en-AU"/>
        </w:rPr>
        <w:t>b</w:t>
      </w:r>
      <w:r w:rsidRPr="00C821DA">
        <w:rPr>
          <w:i/>
          <w:color w:val="000000"/>
          <w:spacing w:val="-1"/>
          <w:sz w:val="20"/>
          <w:szCs w:val="20"/>
          <w:lang w:eastAsia="en-AU"/>
        </w:rPr>
        <w:t>e</w:t>
      </w:r>
      <w:r w:rsidRPr="00C821DA">
        <w:rPr>
          <w:i/>
          <w:color w:val="000000"/>
          <w:sz w:val="20"/>
          <w:szCs w:val="20"/>
          <w:lang w:eastAsia="en-AU"/>
        </w:rPr>
        <w:t>r</w:t>
      </w:r>
      <w:r w:rsidRPr="00C821DA">
        <w:rPr>
          <w:i/>
          <w:color w:val="000000"/>
          <w:spacing w:val="-9"/>
          <w:sz w:val="20"/>
          <w:szCs w:val="20"/>
          <w:lang w:eastAsia="en-AU"/>
        </w:rPr>
        <w:t xml:space="preserve"> </w:t>
      </w:r>
      <w:r w:rsidRPr="00C821DA">
        <w:rPr>
          <w:i/>
          <w:color w:val="000000"/>
          <w:sz w:val="20"/>
          <w:szCs w:val="20"/>
          <w:lang w:eastAsia="en-AU"/>
        </w:rPr>
        <w:t>of</w:t>
      </w:r>
      <w:r w:rsidRPr="00C821DA">
        <w:rPr>
          <w:i/>
          <w:color w:val="000000"/>
          <w:spacing w:val="-1"/>
          <w:sz w:val="20"/>
          <w:szCs w:val="20"/>
          <w:lang w:eastAsia="en-AU"/>
        </w:rPr>
        <w:t xml:space="preserve"> </w:t>
      </w:r>
      <w:r w:rsidRPr="00C821DA">
        <w:rPr>
          <w:i/>
          <w:color w:val="000000"/>
          <w:sz w:val="20"/>
          <w:szCs w:val="20"/>
          <w:lang w:eastAsia="en-AU"/>
        </w:rPr>
        <w:t>p</w:t>
      </w:r>
      <w:r w:rsidRPr="00C821DA">
        <w:rPr>
          <w:i/>
          <w:color w:val="000000"/>
          <w:spacing w:val="-1"/>
          <w:sz w:val="20"/>
          <w:szCs w:val="20"/>
          <w:lang w:eastAsia="en-AU"/>
        </w:rPr>
        <w:t>a</w:t>
      </w:r>
      <w:r w:rsidRPr="00C821DA">
        <w:rPr>
          <w:i/>
          <w:color w:val="000000"/>
          <w:sz w:val="20"/>
          <w:szCs w:val="20"/>
          <w:lang w:eastAsia="en-AU"/>
        </w:rPr>
        <w:t>t</w:t>
      </w:r>
      <w:r w:rsidRPr="00C821DA">
        <w:rPr>
          <w:i/>
          <w:color w:val="000000"/>
          <w:spacing w:val="-1"/>
          <w:sz w:val="20"/>
          <w:szCs w:val="20"/>
          <w:lang w:eastAsia="en-AU"/>
        </w:rPr>
        <w:t>i</w:t>
      </w:r>
      <w:r w:rsidRPr="00C821DA">
        <w:rPr>
          <w:i/>
          <w:color w:val="000000"/>
          <w:spacing w:val="2"/>
          <w:sz w:val="20"/>
          <w:szCs w:val="20"/>
          <w:lang w:eastAsia="en-AU"/>
        </w:rPr>
        <w:t>e</w:t>
      </w:r>
      <w:r w:rsidRPr="00C821DA">
        <w:rPr>
          <w:i/>
          <w:color w:val="000000"/>
          <w:sz w:val="20"/>
          <w:szCs w:val="20"/>
          <w:lang w:eastAsia="en-AU"/>
        </w:rPr>
        <w:t>nts</w:t>
      </w:r>
      <w:r w:rsidRPr="00C821DA">
        <w:rPr>
          <w:i/>
          <w:color w:val="000000"/>
          <w:spacing w:val="-7"/>
          <w:sz w:val="20"/>
          <w:szCs w:val="20"/>
          <w:lang w:eastAsia="en-AU"/>
        </w:rPr>
        <w:t xml:space="preserve"> </w:t>
      </w:r>
      <w:r w:rsidRPr="00C821DA">
        <w:rPr>
          <w:i/>
          <w:color w:val="000000"/>
          <w:spacing w:val="1"/>
          <w:sz w:val="20"/>
          <w:szCs w:val="20"/>
          <w:lang w:eastAsia="en-AU"/>
        </w:rPr>
        <w:t>i</w:t>
      </w:r>
      <w:r w:rsidRPr="00C821DA">
        <w:rPr>
          <w:i/>
          <w:color w:val="000000"/>
          <w:sz w:val="20"/>
          <w:szCs w:val="20"/>
          <w:lang w:eastAsia="en-AU"/>
        </w:rPr>
        <w:t>n</w:t>
      </w:r>
      <w:r w:rsidRPr="00C821DA">
        <w:rPr>
          <w:i/>
          <w:color w:val="000000"/>
          <w:spacing w:val="-2"/>
          <w:sz w:val="20"/>
          <w:szCs w:val="20"/>
          <w:lang w:eastAsia="en-AU"/>
        </w:rPr>
        <w:t xml:space="preserve"> </w:t>
      </w:r>
      <w:r w:rsidRPr="00C821DA">
        <w:rPr>
          <w:i/>
          <w:color w:val="000000"/>
          <w:sz w:val="20"/>
          <w:szCs w:val="20"/>
          <w:lang w:eastAsia="en-AU"/>
        </w:rPr>
        <w:t>re</w:t>
      </w:r>
      <w:r w:rsidRPr="00C821DA">
        <w:rPr>
          <w:i/>
          <w:color w:val="000000"/>
          <w:spacing w:val="1"/>
          <w:sz w:val="20"/>
          <w:szCs w:val="20"/>
          <w:lang w:eastAsia="en-AU"/>
        </w:rPr>
        <w:t>s</w:t>
      </w:r>
      <w:r w:rsidRPr="00C821DA">
        <w:rPr>
          <w:i/>
          <w:color w:val="000000"/>
          <w:sz w:val="20"/>
          <w:szCs w:val="20"/>
          <w:lang w:eastAsia="en-AU"/>
        </w:rPr>
        <w:t>p</w:t>
      </w:r>
      <w:r w:rsidRPr="00C821DA">
        <w:rPr>
          <w:i/>
          <w:color w:val="000000"/>
          <w:spacing w:val="-1"/>
          <w:sz w:val="20"/>
          <w:szCs w:val="20"/>
          <w:lang w:eastAsia="en-AU"/>
        </w:rPr>
        <w:t>e</w:t>
      </w:r>
      <w:r w:rsidRPr="00C821DA">
        <w:rPr>
          <w:i/>
          <w:color w:val="000000"/>
          <w:spacing w:val="1"/>
          <w:sz w:val="20"/>
          <w:szCs w:val="20"/>
          <w:lang w:eastAsia="en-AU"/>
        </w:rPr>
        <w:t>c</w:t>
      </w:r>
      <w:r w:rsidRPr="00C821DA">
        <w:rPr>
          <w:i/>
          <w:color w:val="000000"/>
          <w:sz w:val="20"/>
          <w:szCs w:val="20"/>
          <w:lang w:eastAsia="en-AU"/>
        </w:rPr>
        <w:t>t</w:t>
      </w:r>
      <w:r w:rsidRPr="00C821DA">
        <w:rPr>
          <w:i/>
          <w:color w:val="000000"/>
          <w:spacing w:val="1"/>
          <w:sz w:val="20"/>
          <w:szCs w:val="20"/>
          <w:lang w:eastAsia="en-AU"/>
        </w:rPr>
        <w:t>i</w:t>
      </w:r>
      <w:r w:rsidRPr="00C821DA">
        <w:rPr>
          <w:i/>
          <w:color w:val="000000"/>
          <w:spacing w:val="-1"/>
          <w:sz w:val="20"/>
          <w:szCs w:val="20"/>
          <w:lang w:eastAsia="en-AU"/>
        </w:rPr>
        <w:t>v</w:t>
      </w:r>
      <w:r w:rsidRPr="00C821DA">
        <w:rPr>
          <w:i/>
          <w:color w:val="000000"/>
          <w:sz w:val="20"/>
          <w:szCs w:val="20"/>
          <w:lang w:eastAsia="en-AU"/>
        </w:rPr>
        <w:t>e</w:t>
      </w:r>
      <w:r w:rsidRPr="00C821DA">
        <w:rPr>
          <w:i/>
          <w:color w:val="000000"/>
          <w:spacing w:val="-7"/>
          <w:sz w:val="20"/>
          <w:szCs w:val="20"/>
          <w:lang w:eastAsia="en-AU"/>
        </w:rPr>
        <w:t xml:space="preserve"> </w:t>
      </w:r>
      <w:r w:rsidRPr="00C821DA">
        <w:rPr>
          <w:i/>
          <w:color w:val="000000"/>
          <w:spacing w:val="1"/>
          <w:sz w:val="20"/>
          <w:szCs w:val="20"/>
          <w:lang w:eastAsia="en-AU"/>
        </w:rPr>
        <w:t>c</w:t>
      </w:r>
      <w:r w:rsidRPr="00C821DA">
        <w:rPr>
          <w:i/>
          <w:color w:val="000000"/>
          <w:sz w:val="20"/>
          <w:szCs w:val="20"/>
          <w:lang w:eastAsia="en-AU"/>
        </w:rPr>
        <w:t>at</w:t>
      </w:r>
      <w:r w:rsidRPr="00C821DA">
        <w:rPr>
          <w:i/>
          <w:color w:val="000000"/>
          <w:spacing w:val="-1"/>
          <w:sz w:val="20"/>
          <w:szCs w:val="20"/>
          <w:lang w:eastAsia="en-AU"/>
        </w:rPr>
        <w:t>e</w:t>
      </w:r>
      <w:r w:rsidRPr="00C821DA">
        <w:rPr>
          <w:i/>
          <w:color w:val="000000"/>
          <w:spacing w:val="2"/>
          <w:sz w:val="20"/>
          <w:szCs w:val="20"/>
          <w:lang w:eastAsia="en-AU"/>
        </w:rPr>
        <w:t>go</w:t>
      </w:r>
      <w:r w:rsidRPr="00C821DA">
        <w:rPr>
          <w:i/>
          <w:color w:val="000000"/>
          <w:spacing w:val="3"/>
          <w:sz w:val="20"/>
          <w:szCs w:val="20"/>
          <w:lang w:eastAsia="en-AU"/>
        </w:rPr>
        <w:t>r</w:t>
      </w:r>
      <w:r w:rsidRPr="00C821DA">
        <w:rPr>
          <w:i/>
          <w:color w:val="000000"/>
          <w:spacing w:val="-4"/>
          <w:sz w:val="20"/>
          <w:szCs w:val="20"/>
          <w:lang w:eastAsia="en-AU"/>
        </w:rPr>
        <w:t>y</w:t>
      </w:r>
      <w:r w:rsidRPr="00C821DA">
        <w:rPr>
          <w:i/>
          <w:color w:val="000000"/>
          <w:sz w:val="20"/>
          <w:szCs w:val="20"/>
          <w:lang w:eastAsia="en-AU"/>
        </w:rPr>
        <w:t>;</w:t>
      </w:r>
      <w:r w:rsidRPr="00C821DA">
        <w:rPr>
          <w:i/>
          <w:color w:val="000000"/>
          <w:spacing w:val="-8"/>
          <w:sz w:val="20"/>
          <w:szCs w:val="20"/>
          <w:lang w:eastAsia="en-AU"/>
        </w:rPr>
        <w:t xml:space="preserve"> </w:t>
      </w:r>
      <w:r w:rsidRPr="00C821DA">
        <w:rPr>
          <w:i/>
          <w:color w:val="000000"/>
          <w:spacing w:val="2"/>
          <w:sz w:val="20"/>
          <w:szCs w:val="20"/>
          <w:lang w:eastAsia="en-AU"/>
        </w:rPr>
        <w:t>N</w:t>
      </w:r>
      <w:r w:rsidRPr="00C821DA">
        <w:rPr>
          <w:i/>
          <w:color w:val="000000"/>
          <w:spacing w:val="7"/>
          <w:sz w:val="20"/>
          <w:szCs w:val="20"/>
          <w:lang w:eastAsia="en-AU"/>
        </w:rPr>
        <w:t>=</w:t>
      </w:r>
      <w:r w:rsidRPr="00C821DA">
        <w:rPr>
          <w:i/>
          <w:color w:val="000000"/>
          <w:sz w:val="20"/>
          <w:szCs w:val="20"/>
          <w:lang w:eastAsia="en-AU"/>
        </w:rPr>
        <w:t>n</w:t>
      </w:r>
      <w:r w:rsidRPr="00C821DA">
        <w:rPr>
          <w:i/>
          <w:color w:val="000000"/>
          <w:spacing w:val="-1"/>
          <w:sz w:val="20"/>
          <w:szCs w:val="20"/>
          <w:lang w:eastAsia="en-AU"/>
        </w:rPr>
        <w:t>u</w:t>
      </w:r>
      <w:r w:rsidRPr="00C821DA">
        <w:rPr>
          <w:i/>
          <w:color w:val="000000"/>
          <w:spacing w:val="4"/>
          <w:sz w:val="20"/>
          <w:szCs w:val="20"/>
          <w:lang w:eastAsia="en-AU"/>
        </w:rPr>
        <w:t>m</w:t>
      </w:r>
      <w:r w:rsidRPr="00C821DA">
        <w:rPr>
          <w:i/>
          <w:color w:val="000000"/>
          <w:sz w:val="20"/>
          <w:szCs w:val="20"/>
          <w:lang w:eastAsia="en-AU"/>
        </w:rPr>
        <w:t>b</w:t>
      </w:r>
      <w:r w:rsidRPr="00C821DA">
        <w:rPr>
          <w:i/>
          <w:color w:val="000000"/>
          <w:spacing w:val="-1"/>
          <w:sz w:val="20"/>
          <w:szCs w:val="20"/>
          <w:lang w:eastAsia="en-AU"/>
        </w:rPr>
        <w:t>e</w:t>
      </w:r>
      <w:r w:rsidRPr="00C821DA">
        <w:rPr>
          <w:i/>
          <w:color w:val="000000"/>
          <w:sz w:val="20"/>
          <w:szCs w:val="20"/>
          <w:lang w:eastAsia="en-AU"/>
        </w:rPr>
        <w:t>r</w:t>
      </w:r>
      <w:r w:rsidRPr="00C821DA">
        <w:rPr>
          <w:i/>
          <w:color w:val="000000"/>
          <w:spacing w:val="-9"/>
          <w:sz w:val="20"/>
          <w:szCs w:val="20"/>
          <w:lang w:eastAsia="en-AU"/>
        </w:rPr>
        <w:t xml:space="preserve"> </w:t>
      </w:r>
      <w:r w:rsidRPr="00C821DA">
        <w:rPr>
          <w:i/>
          <w:color w:val="000000"/>
          <w:sz w:val="20"/>
          <w:szCs w:val="20"/>
          <w:lang w:eastAsia="en-AU"/>
        </w:rPr>
        <w:t>of p</w:t>
      </w:r>
      <w:r w:rsidRPr="00C821DA">
        <w:rPr>
          <w:i/>
          <w:color w:val="000000"/>
          <w:spacing w:val="-1"/>
          <w:sz w:val="20"/>
          <w:szCs w:val="20"/>
          <w:lang w:eastAsia="en-AU"/>
        </w:rPr>
        <w:t>a</w:t>
      </w:r>
      <w:r w:rsidRPr="00C821DA">
        <w:rPr>
          <w:i/>
          <w:color w:val="000000"/>
          <w:sz w:val="20"/>
          <w:szCs w:val="20"/>
          <w:lang w:eastAsia="en-AU"/>
        </w:rPr>
        <w:t>t</w:t>
      </w:r>
      <w:r w:rsidRPr="00C821DA">
        <w:rPr>
          <w:i/>
          <w:color w:val="000000"/>
          <w:spacing w:val="1"/>
          <w:sz w:val="20"/>
          <w:szCs w:val="20"/>
          <w:lang w:eastAsia="en-AU"/>
        </w:rPr>
        <w:t>i</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ts</w:t>
      </w:r>
      <w:r w:rsidRPr="00C821DA">
        <w:rPr>
          <w:i/>
          <w:color w:val="000000"/>
          <w:spacing w:val="-4"/>
          <w:sz w:val="20"/>
          <w:szCs w:val="20"/>
          <w:lang w:eastAsia="en-AU"/>
        </w:rPr>
        <w:t xml:space="preserve"> </w:t>
      </w:r>
      <w:r w:rsidRPr="00C821DA">
        <w:rPr>
          <w:i/>
          <w:color w:val="000000"/>
          <w:spacing w:val="-1"/>
          <w:sz w:val="20"/>
          <w:szCs w:val="20"/>
          <w:lang w:eastAsia="en-AU"/>
        </w:rPr>
        <w:t>i</w:t>
      </w:r>
      <w:r w:rsidRPr="00C821DA">
        <w:rPr>
          <w:i/>
          <w:color w:val="000000"/>
          <w:sz w:val="20"/>
          <w:szCs w:val="20"/>
          <w:lang w:eastAsia="en-AU"/>
        </w:rPr>
        <w:t>n</w:t>
      </w:r>
      <w:r w:rsidRPr="00C821DA">
        <w:rPr>
          <w:i/>
          <w:color w:val="000000"/>
          <w:spacing w:val="-2"/>
          <w:sz w:val="20"/>
          <w:szCs w:val="20"/>
          <w:lang w:eastAsia="en-AU"/>
        </w:rPr>
        <w:t xml:space="preserve"> </w:t>
      </w:r>
      <w:r w:rsidRPr="00C821DA">
        <w:rPr>
          <w:i/>
          <w:color w:val="000000"/>
          <w:sz w:val="20"/>
          <w:szCs w:val="20"/>
          <w:lang w:eastAsia="en-AU"/>
        </w:rPr>
        <w:t>a treat</w:t>
      </w:r>
      <w:r w:rsidRPr="00C821DA">
        <w:rPr>
          <w:i/>
          <w:color w:val="000000"/>
          <w:spacing w:val="4"/>
          <w:sz w:val="20"/>
          <w:szCs w:val="20"/>
          <w:lang w:eastAsia="en-AU"/>
        </w:rPr>
        <w:t>m</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w:t>
      </w:r>
      <w:r w:rsidRPr="00C821DA">
        <w:rPr>
          <w:i/>
          <w:color w:val="000000"/>
          <w:spacing w:val="-8"/>
          <w:sz w:val="20"/>
          <w:szCs w:val="20"/>
          <w:lang w:eastAsia="en-AU"/>
        </w:rPr>
        <w:t xml:space="preserve"> </w:t>
      </w:r>
      <w:r w:rsidRPr="00C821DA">
        <w:rPr>
          <w:i/>
          <w:color w:val="000000"/>
          <w:spacing w:val="-1"/>
          <w:sz w:val="20"/>
          <w:szCs w:val="20"/>
          <w:lang w:eastAsia="en-AU"/>
        </w:rPr>
        <w:t>g</w:t>
      </w:r>
      <w:r w:rsidRPr="00C821DA">
        <w:rPr>
          <w:i/>
          <w:color w:val="000000"/>
          <w:spacing w:val="1"/>
          <w:sz w:val="20"/>
          <w:szCs w:val="20"/>
          <w:lang w:eastAsia="en-AU"/>
        </w:rPr>
        <w:t>r</w:t>
      </w:r>
      <w:r w:rsidRPr="00C821DA">
        <w:rPr>
          <w:i/>
          <w:color w:val="000000"/>
          <w:sz w:val="20"/>
          <w:szCs w:val="20"/>
          <w:lang w:eastAsia="en-AU"/>
        </w:rPr>
        <w:t>o</w:t>
      </w:r>
      <w:r w:rsidRPr="00C821DA">
        <w:rPr>
          <w:i/>
          <w:color w:val="000000"/>
          <w:spacing w:val="1"/>
          <w:sz w:val="20"/>
          <w:szCs w:val="20"/>
          <w:lang w:eastAsia="en-AU"/>
        </w:rPr>
        <w:t>u</w:t>
      </w:r>
      <w:r w:rsidRPr="00C821DA">
        <w:rPr>
          <w:i/>
          <w:color w:val="000000"/>
          <w:sz w:val="20"/>
          <w:szCs w:val="20"/>
          <w:lang w:eastAsia="en-AU"/>
        </w:rPr>
        <w:t>p</w:t>
      </w:r>
    </w:p>
    <w:p w:rsidR="00622AE3" w:rsidRPr="00E3482E" w:rsidRDefault="00622AE3" w:rsidP="00622AE3">
      <w:pPr>
        <w:autoSpaceDE w:val="0"/>
        <w:autoSpaceDN w:val="0"/>
        <w:adjustRightInd w:val="0"/>
        <w:spacing w:before="1" w:line="240" w:lineRule="auto"/>
        <w:ind w:left="180" w:right="691"/>
        <w:rPr>
          <w:color w:val="000000"/>
          <w:lang w:eastAsia="en-AU"/>
        </w:rPr>
      </w:pPr>
    </w:p>
    <w:p w:rsidR="00622AE3" w:rsidRPr="00E3482E" w:rsidRDefault="00622AE3" w:rsidP="00622AE3">
      <w:pPr>
        <w:spacing w:before="120"/>
        <w:jc w:val="both"/>
        <w:rPr>
          <w:color w:val="000000"/>
          <w:lang w:val="en-GB"/>
        </w:rPr>
      </w:pPr>
      <w:r w:rsidRPr="00E3482E">
        <w:rPr>
          <w:color w:val="000000"/>
          <w:lang w:val="en-GB"/>
        </w:rPr>
        <w:t xml:space="preserve">In the maintenance phase, the only adverse event reported at a frequency greater than 5% was neutropenia (all grades: </w:t>
      </w:r>
      <w:r w:rsidR="00982770">
        <w:rPr>
          <w:color w:val="000000"/>
          <w:lang w:val="en-GB"/>
        </w:rPr>
        <w:t>RIXIMYO</w:t>
      </w:r>
      <w:r w:rsidR="00982770" w:rsidRPr="00917B3D">
        <w:rPr>
          <w:color w:val="000000"/>
          <w:vertAlign w:val="superscript"/>
          <w:lang w:val="en-GB"/>
        </w:rPr>
        <w:t>®</w:t>
      </w:r>
      <w:r w:rsidRPr="00E3482E">
        <w:rPr>
          <w:color w:val="000000"/>
          <w:lang w:val="en-GB"/>
        </w:rPr>
        <w:t xml:space="preserve"> </w:t>
      </w:r>
      <w:r w:rsidR="00906F46">
        <w:rPr>
          <w:color w:val="000000"/>
          <w:lang w:val="en-GB"/>
        </w:rPr>
        <w:t>7</w:t>
      </w:r>
      <w:r w:rsidRPr="00E3482E">
        <w:rPr>
          <w:color w:val="000000"/>
          <w:lang w:val="en-GB"/>
        </w:rPr>
        <w:t xml:space="preserve">.9%, </w:t>
      </w:r>
      <w:r w:rsidR="00907287">
        <w:rPr>
          <w:color w:val="000000"/>
          <w:lang w:val="en-GB"/>
        </w:rPr>
        <w:t>r</w:t>
      </w:r>
      <w:r w:rsidR="00917B3D">
        <w:rPr>
          <w:color w:val="000000"/>
          <w:lang w:val="en-GB"/>
        </w:rPr>
        <w:t xml:space="preserve">eference </w:t>
      </w:r>
      <w:r w:rsidR="00907287">
        <w:rPr>
          <w:color w:val="000000"/>
          <w:lang w:val="en-GB"/>
        </w:rPr>
        <w:t>m</w:t>
      </w:r>
      <w:r w:rsidR="00917B3D">
        <w:rPr>
          <w:color w:val="000000"/>
          <w:lang w:val="en-GB"/>
        </w:rPr>
        <w:t xml:space="preserve">edicine </w:t>
      </w:r>
      <w:r w:rsidRPr="00E3482E">
        <w:rPr>
          <w:color w:val="000000"/>
          <w:lang w:val="en-GB"/>
        </w:rPr>
        <w:t xml:space="preserve">5.2%; grade 3 or 4: </w:t>
      </w:r>
      <w:r w:rsidR="00982770">
        <w:rPr>
          <w:color w:val="000000"/>
          <w:lang w:val="en-GB"/>
        </w:rPr>
        <w:t>RIXIMYO</w:t>
      </w:r>
      <w:r w:rsidR="00982770" w:rsidRPr="00A77CC4">
        <w:rPr>
          <w:color w:val="000000"/>
          <w:vertAlign w:val="superscript"/>
          <w:lang w:val="en-GB"/>
        </w:rPr>
        <w:t>®</w:t>
      </w:r>
      <w:r w:rsidRPr="00E3482E">
        <w:rPr>
          <w:color w:val="000000"/>
          <w:lang w:val="en-GB"/>
        </w:rPr>
        <w:t xml:space="preserve"> </w:t>
      </w:r>
      <w:r w:rsidR="00906F46">
        <w:rPr>
          <w:color w:val="000000"/>
          <w:lang w:val="en-GB"/>
        </w:rPr>
        <w:t>5</w:t>
      </w:r>
      <w:r w:rsidRPr="00E3482E">
        <w:rPr>
          <w:color w:val="000000"/>
          <w:lang w:val="en-GB"/>
        </w:rPr>
        <w:t>.</w:t>
      </w:r>
      <w:r w:rsidR="00906F46">
        <w:rPr>
          <w:color w:val="000000"/>
          <w:lang w:val="en-GB"/>
        </w:rPr>
        <w:t>1</w:t>
      </w:r>
      <w:r w:rsidRPr="00E3482E">
        <w:rPr>
          <w:color w:val="000000"/>
          <w:lang w:val="en-GB"/>
        </w:rPr>
        <w:t xml:space="preserve">%, </w:t>
      </w:r>
      <w:r w:rsidR="00907287">
        <w:rPr>
          <w:color w:val="000000"/>
          <w:lang w:val="en-GB"/>
        </w:rPr>
        <w:t>r</w:t>
      </w:r>
      <w:r w:rsidR="00A77CC4">
        <w:rPr>
          <w:color w:val="000000"/>
          <w:lang w:val="en-GB"/>
        </w:rPr>
        <w:t xml:space="preserve">eference </w:t>
      </w:r>
      <w:r w:rsidR="00907287">
        <w:rPr>
          <w:color w:val="000000"/>
          <w:lang w:val="en-GB"/>
        </w:rPr>
        <w:t>m</w:t>
      </w:r>
      <w:r w:rsidR="00A77CC4">
        <w:rPr>
          <w:color w:val="000000"/>
          <w:lang w:val="en-GB"/>
        </w:rPr>
        <w:t xml:space="preserve">edicine </w:t>
      </w:r>
      <w:r w:rsidRPr="00E3482E">
        <w:rPr>
          <w:color w:val="000000"/>
          <w:lang w:val="en-GB"/>
        </w:rPr>
        <w:t>3.</w:t>
      </w:r>
      <w:r w:rsidR="00906F46">
        <w:rPr>
          <w:color w:val="000000"/>
          <w:lang w:val="en-GB"/>
        </w:rPr>
        <w:t>6</w:t>
      </w:r>
      <w:r w:rsidRPr="00E3482E">
        <w:rPr>
          <w:color w:val="000000"/>
          <w:lang w:val="en-GB"/>
        </w:rPr>
        <w:t>%).</w:t>
      </w:r>
      <w:r w:rsidR="00B35A2F">
        <w:rPr>
          <w:color w:val="000000"/>
          <w:lang w:val="en-GB"/>
        </w:rPr>
        <w:t xml:space="preserve"> Febrile neutropenia was reported in none of the RIXIMYO</w:t>
      </w:r>
      <w:r w:rsidR="00B35A2F" w:rsidRPr="00A77CC4">
        <w:rPr>
          <w:color w:val="000000"/>
          <w:vertAlign w:val="superscript"/>
          <w:lang w:val="en-GB"/>
        </w:rPr>
        <w:t>®</w:t>
      </w:r>
      <w:r w:rsidR="00B35A2F" w:rsidRPr="00E3482E">
        <w:rPr>
          <w:color w:val="000000"/>
          <w:lang w:val="en-GB"/>
        </w:rPr>
        <w:t xml:space="preserve"> </w:t>
      </w:r>
      <w:r w:rsidR="00B35A2F">
        <w:rPr>
          <w:color w:val="000000"/>
          <w:lang w:val="en-GB"/>
        </w:rPr>
        <w:t xml:space="preserve">patients and in 1.2% in the </w:t>
      </w:r>
      <w:r w:rsidR="00907287">
        <w:rPr>
          <w:color w:val="000000"/>
          <w:lang w:val="en-GB"/>
        </w:rPr>
        <w:t>r</w:t>
      </w:r>
      <w:r w:rsidR="00B35A2F">
        <w:rPr>
          <w:color w:val="000000"/>
          <w:lang w:val="en-GB"/>
        </w:rPr>
        <w:t xml:space="preserve">eference medicine (all </w:t>
      </w:r>
      <w:proofErr w:type="gramStart"/>
      <w:r w:rsidR="00B35A2F">
        <w:rPr>
          <w:color w:val="000000"/>
          <w:lang w:val="en-GB"/>
        </w:rPr>
        <w:t>Grade</w:t>
      </w:r>
      <w:proofErr w:type="gramEnd"/>
      <w:r w:rsidR="00B35A2F">
        <w:rPr>
          <w:color w:val="000000"/>
          <w:lang w:val="en-GB"/>
        </w:rPr>
        <w:t xml:space="preserve"> 3/4). </w:t>
      </w:r>
      <w:r w:rsidR="00BA39AE">
        <w:rPr>
          <w:color w:val="000000"/>
          <w:lang w:val="en-GB"/>
        </w:rPr>
        <w:t>Infections</w:t>
      </w:r>
      <w:r w:rsidR="00460510">
        <w:rPr>
          <w:color w:val="000000"/>
          <w:lang w:val="en-GB"/>
        </w:rPr>
        <w:t xml:space="preserve"> </w:t>
      </w:r>
      <w:r w:rsidR="00B35A2F">
        <w:rPr>
          <w:color w:val="000000"/>
          <w:lang w:val="en-GB"/>
        </w:rPr>
        <w:t>Grade 3/4 were reported in 1.6% in RIXIMYO</w:t>
      </w:r>
      <w:r w:rsidR="00B35A2F" w:rsidRPr="00A77CC4">
        <w:rPr>
          <w:color w:val="000000"/>
          <w:vertAlign w:val="superscript"/>
          <w:lang w:val="en-GB"/>
        </w:rPr>
        <w:t>®</w:t>
      </w:r>
      <w:r w:rsidR="00296722">
        <w:rPr>
          <w:color w:val="000000"/>
          <w:vertAlign w:val="superscript"/>
          <w:lang w:val="en-GB"/>
        </w:rPr>
        <w:t xml:space="preserve"> </w:t>
      </w:r>
      <w:r w:rsidR="00296722" w:rsidRPr="00EE45E9">
        <w:rPr>
          <w:color w:val="000000"/>
          <w:lang w:val="en-GB"/>
        </w:rPr>
        <w:t xml:space="preserve">and in 0.4% in </w:t>
      </w:r>
      <w:r w:rsidR="00907287">
        <w:rPr>
          <w:color w:val="000000"/>
          <w:lang w:val="en-GB"/>
        </w:rPr>
        <w:t>r</w:t>
      </w:r>
      <w:r w:rsidR="00296722" w:rsidRPr="00EE45E9">
        <w:rPr>
          <w:color w:val="000000"/>
          <w:lang w:val="en-GB"/>
        </w:rPr>
        <w:t>eference medicine</w:t>
      </w:r>
      <w:r w:rsidR="00460510" w:rsidRPr="0043273A">
        <w:rPr>
          <w:color w:val="000000"/>
          <w:lang w:val="en-GB"/>
        </w:rPr>
        <w:t xml:space="preserve">, and serious </w:t>
      </w:r>
      <w:r w:rsidR="00BA39AE">
        <w:rPr>
          <w:color w:val="000000"/>
          <w:lang w:val="en-GB"/>
        </w:rPr>
        <w:t>infections in 6-7% in RIXIMYO</w:t>
      </w:r>
      <w:r w:rsidR="00BA39AE" w:rsidRPr="00A77CC4">
        <w:rPr>
          <w:color w:val="000000"/>
          <w:vertAlign w:val="superscript"/>
          <w:lang w:val="en-GB"/>
        </w:rPr>
        <w:t>®</w:t>
      </w:r>
      <w:r w:rsidR="00BA39AE">
        <w:rPr>
          <w:color w:val="000000"/>
          <w:vertAlign w:val="superscript"/>
          <w:lang w:val="en-GB"/>
        </w:rPr>
        <w:t xml:space="preserve"> </w:t>
      </w:r>
      <w:r w:rsidR="00BA39AE" w:rsidRPr="00DB728B">
        <w:rPr>
          <w:color w:val="000000"/>
          <w:lang w:val="en-GB"/>
        </w:rPr>
        <w:t xml:space="preserve">and in </w:t>
      </w:r>
      <w:r w:rsidR="00BA39AE">
        <w:rPr>
          <w:color w:val="000000"/>
          <w:lang w:val="en-GB"/>
        </w:rPr>
        <w:t>6.7</w:t>
      </w:r>
      <w:r w:rsidR="00BA39AE" w:rsidRPr="00DB728B">
        <w:rPr>
          <w:color w:val="000000"/>
          <w:lang w:val="en-GB"/>
        </w:rPr>
        <w:t xml:space="preserve">% in </w:t>
      </w:r>
      <w:r w:rsidR="00907287">
        <w:rPr>
          <w:color w:val="000000"/>
          <w:lang w:val="en-GB"/>
        </w:rPr>
        <w:t>r</w:t>
      </w:r>
      <w:r w:rsidR="00BA39AE" w:rsidRPr="00DB728B">
        <w:rPr>
          <w:color w:val="000000"/>
          <w:lang w:val="en-GB"/>
        </w:rPr>
        <w:t>eference medicine</w:t>
      </w:r>
      <w:r w:rsidR="00BA39AE">
        <w:rPr>
          <w:color w:val="000000"/>
          <w:lang w:val="en-GB"/>
        </w:rPr>
        <w:t>.</w:t>
      </w:r>
    </w:p>
    <w:p w:rsidR="00622AE3" w:rsidRPr="00E3482E" w:rsidRDefault="00622AE3" w:rsidP="00622AE3">
      <w:pPr>
        <w:pStyle w:val="Heading6"/>
        <w:rPr>
          <w:color w:val="000000"/>
        </w:rPr>
      </w:pPr>
      <w:r w:rsidRPr="00E3482E">
        <w:rPr>
          <w:color w:val="000000"/>
        </w:rPr>
        <w:t>Study GP13-201 (Rheumatoid Arthritis)</w:t>
      </w:r>
    </w:p>
    <w:p w:rsidR="00622AE3" w:rsidRPr="00E3482E" w:rsidRDefault="00622AE3" w:rsidP="00622AE3">
      <w:pPr>
        <w:spacing w:before="120"/>
        <w:jc w:val="both"/>
        <w:rPr>
          <w:color w:val="000000"/>
          <w:lang w:val="en-GB"/>
        </w:rPr>
      </w:pPr>
      <w:r w:rsidRPr="00E3482E">
        <w:rPr>
          <w:color w:val="000000"/>
          <w:lang w:val="en-GB"/>
        </w:rPr>
        <w:t xml:space="preserve">The overall incidence of adverse events was comparable between both treatment groups. The incidence of non-fatal serious adverse events, adverse events leading to premature discontinuations, adverse events leading to dose adjustment or interruptions of study drug were slightly higher in the </w:t>
      </w:r>
      <w:r w:rsidR="00A77CC4">
        <w:rPr>
          <w:color w:val="000000"/>
          <w:lang w:val="en-GB"/>
        </w:rPr>
        <w:t xml:space="preserve">reference medicine </w:t>
      </w:r>
      <w:r w:rsidRPr="00E3482E">
        <w:rPr>
          <w:color w:val="000000"/>
          <w:lang w:val="en-GB"/>
        </w:rPr>
        <w:t xml:space="preserve">treatment group than in the </w:t>
      </w:r>
      <w:r w:rsidR="00982770">
        <w:rPr>
          <w:color w:val="000000"/>
          <w:lang w:val="en-GB"/>
        </w:rPr>
        <w:t>RIXIMYO</w:t>
      </w:r>
      <w:r w:rsidR="00982770" w:rsidRPr="00A77CC4">
        <w:rPr>
          <w:color w:val="000000"/>
          <w:vertAlign w:val="superscript"/>
          <w:lang w:val="en-GB"/>
        </w:rPr>
        <w:t>®</w:t>
      </w:r>
      <w:r w:rsidRPr="00E3482E">
        <w:rPr>
          <w:color w:val="000000"/>
          <w:lang w:val="en-GB"/>
        </w:rPr>
        <w:t xml:space="preserve"> treatment group but these differences were not considered clinically relevant. Table </w:t>
      </w:r>
      <w:r w:rsidR="00CE4CAE" w:rsidRPr="00E3482E">
        <w:rPr>
          <w:color w:val="000000"/>
          <w:lang w:val="en-GB"/>
        </w:rPr>
        <w:t>23</w:t>
      </w:r>
      <w:r w:rsidRPr="00E3482E">
        <w:rPr>
          <w:color w:val="000000"/>
          <w:lang w:val="en-GB"/>
        </w:rPr>
        <w:t xml:space="preserve"> below summarises the most frequently reported adverse events with suspected causality to the study drug.</w:t>
      </w:r>
    </w:p>
    <w:p w:rsidR="00622AE3" w:rsidRPr="00E3482E" w:rsidRDefault="00622AE3" w:rsidP="00622AE3">
      <w:pPr>
        <w:rPr>
          <w:color w:val="000000"/>
          <w:lang w:val="en-GB"/>
        </w:rPr>
      </w:pPr>
    </w:p>
    <w:p w:rsidR="00622AE3" w:rsidRPr="00C821DA" w:rsidRDefault="00622AE3" w:rsidP="00C821DA">
      <w:pPr>
        <w:pStyle w:val="Tabletitle"/>
        <w:rPr>
          <w:sz w:val="23"/>
          <w:szCs w:val="23"/>
          <w:lang w:eastAsia="en-AU"/>
        </w:rPr>
      </w:pPr>
      <w:r w:rsidRPr="00C821DA">
        <w:rPr>
          <w:spacing w:val="-3"/>
          <w:sz w:val="23"/>
          <w:szCs w:val="23"/>
          <w:lang w:eastAsia="en-AU"/>
        </w:rPr>
        <w:t>T</w:t>
      </w:r>
      <w:r w:rsidRPr="00C821DA">
        <w:rPr>
          <w:sz w:val="23"/>
          <w:szCs w:val="23"/>
          <w:lang w:eastAsia="en-AU"/>
        </w:rPr>
        <w:t>a</w:t>
      </w:r>
      <w:r w:rsidRPr="00C821DA">
        <w:rPr>
          <w:spacing w:val="-1"/>
          <w:sz w:val="23"/>
          <w:szCs w:val="23"/>
          <w:lang w:eastAsia="en-AU"/>
        </w:rPr>
        <w:t>b</w:t>
      </w:r>
      <w:r w:rsidRPr="00C821DA">
        <w:rPr>
          <w:spacing w:val="1"/>
          <w:sz w:val="23"/>
          <w:szCs w:val="23"/>
          <w:lang w:eastAsia="en-AU"/>
        </w:rPr>
        <w:t>l</w:t>
      </w:r>
      <w:r w:rsidRPr="00C821DA">
        <w:rPr>
          <w:sz w:val="23"/>
          <w:szCs w:val="23"/>
          <w:lang w:eastAsia="en-AU"/>
        </w:rPr>
        <w:t>e</w:t>
      </w:r>
      <w:r w:rsidRPr="00C821DA">
        <w:rPr>
          <w:spacing w:val="1"/>
          <w:sz w:val="23"/>
          <w:szCs w:val="23"/>
          <w:lang w:eastAsia="en-AU"/>
        </w:rPr>
        <w:t xml:space="preserve"> </w:t>
      </w:r>
      <w:r w:rsidR="00CE4CAE" w:rsidRPr="00C821DA">
        <w:rPr>
          <w:spacing w:val="1"/>
          <w:sz w:val="23"/>
          <w:szCs w:val="23"/>
          <w:lang w:eastAsia="en-AU"/>
        </w:rPr>
        <w:t>23</w:t>
      </w:r>
      <w:r w:rsidRPr="00C821DA">
        <w:rPr>
          <w:sz w:val="23"/>
          <w:szCs w:val="23"/>
          <w:lang w:eastAsia="en-AU"/>
        </w:rPr>
        <w:t xml:space="preserve"> </w:t>
      </w:r>
      <w:r w:rsidR="006113DD" w:rsidRPr="00C821DA">
        <w:rPr>
          <w:spacing w:val="13"/>
          <w:sz w:val="23"/>
          <w:szCs w:val="23"/>
          <w:lang w:eastAsia="en-AU"/>
        </w:rPr>
        <w:tab/>
      </w:r>
      <w:r w:rsidRPr="00C821DA">
        <w:rPr>
          <w:spacing w:val="-6"/>
          <w:sz w:val="23"/>
          <w:szCs w:val="23"/>
          <w:lang w:eastAsia="en-AU"/>
        </w:rPr>
        <w:t>A</w:t>
      </w:r>
      <w:r w:rsidRPr="00C821DA">
        <w:rPr>
          <w:spacing w:val="1"/>
          <w:sz w:val="23"/>
          <w:szCs w:val="23"/>
          <w:lang w:eastAsia="en-AU"/>
        </w:rPr>
        <w:t>dverse events</w:t>
      </w:r>
      <w:r w:rsidRPr="00C821DA">
        <w:rPr>
          <w:spacing w:val="-2"/>
          <w:sz w:val="23"/>
          <w:szCs w:val="23"/>
          <w:lang w:eastAsia="en-AU"/>
        </w:rPr>
        <w:t xml:space="preserve"> </w:t>
      </w:r>
      <w:r w:rsidRPr="00C821DA">
        <w:rPr>
          <w:spacing w:val="6"/>
          <w:sz w:val="23"/>
          <w:szCs w:val="23"/>
          <w:lang w:eastAsia="en-AU"/>
        </w:rPr>
        <w:t>w</w:t>
      </w:r>
      <w:r w:rsidRPr="00C821DA">
        <w:rPr>
          <w:spacing w:val="-1"/>
          <w:sz w:val="23"/>
          <w:szCs w:val="23"/>
          <w:lang w:eastAsia="en-AU"/>
        </w:rPr>
        <w:t>i</w:t>
      </w:r>
      <w:r w:rsidRPr="00C821DA">
        <w:rPr>
          <w:spacing w:val="1"/>
          <w:sz w:val="23"/>
          <w:szCs w:val="23"/>
          <w:lang w:eastAsia="en-AU"/>
        </w:rPr>
        <w:t>t</w:t>
      </w:r>
      <w:r w:rsidRPr="00C821DA">
        <w:rPr>
          <w:sz w:val="23"/>
          <w:szCs w:val="23"/>
          <w:lang w:eastAsia="en-AU"/>
        </w:rPr>
        <w:t>h a</w:t>
      </w:r>
      <w:r w:rsidRPr="00C821DA">
        <w:rPr>
          <w:spacing w:val="-1"/>
          <w:sz w:val="23"/>
          <w:szCs w:val="23"/>
          <w:lang w:eastAsia="en-AU"/>
        </w:rPr>
        <w:t xml:space="preserve"> </w:t>
      </w:r>
      <w:r w:rsidRPr="00C821DA">
        <w:rPr>
          <w:sz w:val="23"/>
          <w:szCs w:val="23"/>
          <w:lang w:eastAsia="en-AU"/>
        </w:rPr>
        <w:t>s</w:t>
      </w:r>
      <w:r w:rsidRPr="00C821DA">
        <w:rPr>
          <w:spacing w:val="-1"/>
          <w:sz w:val="23"/>
          <w:szCs w:val="23"/>
          <w:lang w:eastAsia="en-AU"/>
        </w:rPr>
        <w:t>u</w:t>
      </w:r>
      <w:r w:rsidRPr="00C821DA">
        <w:rPr>
          <w:sz w:val="23"/>
          <w:szCs w:val="23"/>
          <w:lang w:eastAsia="en-AU"/>
        </w:rPr>
        <w:t>s</w:t>
      </w:r>
      <w:r w:rsidRPr="00C821DA">
        <w:rPr>
          <w:spacing w:val="-1"/>
          <w:sz w:val="23"/>
          <w:szCs w:val="23"/>
          <w:lang w:eastAsia="en-AU"/>
        </w:rPr>
        <w:t>p</w:t>
      </w:r>
      <w:r w:rsidRPr="00C821DA">
        <w:rPr>
          <w:sz w:val="23"/>
          <w:szCs w:val="23"/>
          <w:lang w:eastAsia="en-AU"/>
        </w:rPr>
        <w:t>e</w:t>
      </w:r>
      <w:r w:rsidRPr="00C821DA">
        <w:rPr>
          <w:spacing w:val="-1"/>
          <w:sz w:val="23"/>
          <w:szCs w:val="23"/>
          <w:lang w:eastAsia="en-AU"/>
        </w:rPr>
        <w:t>c</w:t>
      </w:r>
      <w:r w:rsidRPr="00C821DA">
        <w:rPr>
          <w:spacing w:val="-2"/>
          <w:sz w:val="23"/>
          <w:szCs w:val="23"/>
          <w:lang w:eastAsia="en-AU"/>
        </w:rPr>
        <w:t>t</w:t>
      </w:r>
      <w:r w:rsidRPr="00C821DA">
        <w:rPr>
          <w:sz w:val="23"/>
          <w:szCs w:val="23"/>
          <w:lang w:eastAsia="en-AU"/>
        </w:rPr>
        <w:t xml:space="preserve">ed </w:t>
      </w:r>
      <w:r w:rsidRPr="00C821DA">
        <w:rPr>
          <w:spacing w:val="-3"/>
          <w:sz w:val="23"/>
          <w:szCs w:val="23"/>
          <w:lang w:eastAsia="en-AU"/>
        </w:rPr>
        <w:t>c</w:t>
      </w:r>
      <w:r w:rsidRPr="00C821DA">
        <w:rPr>
          <w:sz w:val="23"/>
          <w:szCs w:val="23"/>
          <w:lang w:eastAsia="en-AU"/>
        </w:rPr>
        <w:t>a</w:t>
      </w:r>
      <w:r w:rsidRPr="00C821DA">
        <w:rPr>
          <w:spacing w:val="-1"/>
          <w:sz w:val="23"/>
          <w:szCs w:val="23"/>
          <w:lang w:eastAsia="en-AU"/>
        </w:rPr>
        <w:t>u</w:t>
      </w:r>
      <w:r w:rsidRPr="00C821DA">
        <w:rPr>
          <w:sz w:val="23"/>
          <w:szCs w:val="23"/>
          <w:lang w:eastAsia="en-AU"/>
        </w:rPr>
        <w:t>s</w:t>
      </w:r>
      <w:r w:rsidRPr="00C821DA">
        <w:rPr>
          <w:spacing w:val="-1"/>
          <w:sz w:val="23"/>
          <w:szCs w:val="23"/>
          <w:lang w:eastAsia="en-AU"/>
        </w:rPr>
        <w:t>a</w:t>
      </w:r>
      <w:r w:rsidRPr="00C821DA">
        <w:rPr>
          <w:sz w:val="23"/>
          <w:szCs w:val="23"/>
          <w:lang w:eastAsia="en-AU"/>
        </w:rPr>
        <w:t>l</w:t>
      </w:r>
      <w:r w:rsidRPr="00C821DA">
        <w:rPr>
          <w:spacing w:val="2"/>
          <w:sz w:val="23"/>
          <w:szCs w:val="23"/>
          <w:lang w:eastAsia="en-AU"/>
        </w:rPr>
        <w:t xml:space="preserve"> </w:t>
      </w:r>
      <w:r w:rsidRPr="00C821DA">
        <w:rPr>
          <w:sz w:val="23"/>
          <w:szCs w:val="23"/>
          <w:lang w:eastAsia="en-AU"/>
        </w:rPr>
        <w:t>r</w:t>
      </w:r>
      <w:r w:rsidRPr="00C821DA">
        <w:rPr>
          <w:spacing w:val="-2"/>
          <w:sz w:val="23"/>
          <w:szCs w:val="23"/>
          <w:lang w:eastAsia="en-AU"/>
        </w:rPr>
        <w:t>e</w:t>
      </w:r>
      <w:r w:rsidRPr="00C821DA">
        <w:rPr>
          <w:spacing w:val="1"/>
          <w:sz w:val="23"/>
          <w:szCs w:val="23"/>
          <w:lang w:eastAsia="en-AU"/>
        </w:rPr>
        <w:t>l</w:t>
      </w:r>
      <w:r w:rsidRPr="00C821DA">
        <w:rPr>
          <w:sz w:val="23"/>
          <w:szCs w:val="23"/>
          <w:lang w:eastAsia="en-AU"/>
        </w:rPr>
        <w:t>a</w:t>
      </w:r>
      <w:r w:rsidRPr="00C821DA">
        <w:rPr>
          <w:spacing w:val="-2"/>
          <w:sz w:val="23"/>
          <w:szCs w:val="23"/>
          <w:lang w:eastAsia="en-AU"/>
        </w:rPr>
        <w:t>t</w:t>
      </w:r>
      <w:r w:rsidRPr="00C821DA">
        <w:rPr>
          <w:spacing w:val="1"/>
          <w:sz w:val="23"/>
          <w:szCs w:val="23"/>
          <w:lang w:eastAsia="en-AU"/>
        </w:rPr>
        <w:t>i</w:t>
      </w:r>
      <w:r w:rsidRPr="00C821DA">
        <w:rPr>
          <w:sz w:val="23"/>
          <w:szCs w:val="23"/>
          <w:lang w:eastAsia="en-AU"/>
        </w:rPr>
        <w:t>o</w:t>
      </w:r>
      <w:r w:rsidRPr="00C821DA">
        <w:rPr>
          <w:spacing w:val="-1"/>
          <w:sz w:val="23"/>
          <w:szCs w:val="23"/>
          <w:lang w:eastAsia="en-AU"/>
        </w:rPr>
        <w:t>n</w:t>
      </w:r>
      <w:r w:rsidRPr="00C821DA">
        <w:rPr>
          <w:sz w:val="23"/>
          <w:szCs w:val="23"/>
          <w:lang w:eastAsia="en-AU"/>
        </w:rPr>
        <w:t>s</w:t>
      </w:r>
      <w:r w:rsidRPr="00C821DA">
        <w:rPr>
          <w:spacing w:val="-3"/>
          <w:sz w:val="23"/>
          <w:szCs w:val="23"/>
          <w:lang w:eastAsia="en-AU"/>
        </w:rPr>
        <w:t>h</w:t>
      </w:r>
      <w:r w:rsidRPr="00C821DA">
        <w:rPr>
          <w:spacing w:val="1"/>
          <w:sz w:val="23"/>
          <w:szCs w:val="23"/>
          <w:lang w:eastAsia="en-AU"/>
        </w:rPr>
        <w:t>i</w:t>
      </w:r>
      <w:r w:rsidRPr="00C821DA">
        <w:rPr>
          <w:sz w:val="23"/>
          <w:szCs w:val="23"/>
          <w:lang w:eastAsia="en-AU"/>
        </w:rPr>
        <w:t xml:space="preserve">p </w:t>
      </w:r>
      <w:r w:rsidRPr="00C821DA">
        <w:rPr>
          <w:spacing w:val="1"/>
          <w:sz w:val="23"/>
          <w:szCs w:val="23"/>
          <w:lang w:eastAsia="en-AU"/>
        </w:rPr>
        <w:t>t</w:t>
      </w:r>
      <w:r w:rsidRPr="00C821DA">
        <w:rPr>
          <w:sz w:val="23"/>
          <w:szCs w:val="23"/>
          <w:lang w:eastAsia="en-AU"/>
        </w:rPr>
        <w:t>o</w:t>
      </w:r>
      <w:r w:rsidRPr="00C821DA">
        <w:rPr>
          <w:spacing w:val="-1"/>
          <w:sz w:val="23"/>
          <w:szCs w:val="23"/>
          <w:lang w:eastAsia="en-AU"/>
        </w:rPr>
        <w:t xml:space="preserve"> treatment</w:t>
      </w:r>
      <w:r w:rsidRPr="00C821DA">
        <w:rPr>
          <w:sz w:val="23"/>
          <w:szCs w:val="23"/>
          <w:lang w:eastAsia="en-AU"/>
        </w:rPr>
        <w:t xml:space="preserve"> reported </w:t>
      </w:r>
      <w:r w:rsidRPr="00C821DA">
        <w:rPr>
          <w:spacing w:val="1"/>
          <w:sz w:val="23"/>
          <w:szCs w:val="23"/>
          <w:lang w:eastAsia="en-AU"/>
        </w:rPr>
        <w:t>i</w:t>
      </w:r>
      <w:r w:rsidRPr="00C821DA">
        <w:rPr>
          <w:sz w:val="23"/>
          <w:szCs w:val="23"/>
          <w:lang w:eastAsia="en-AU"/>
        </w:rPr>
        <w:t>n</w:t>
      </w:r>
      <w:r w:rsidRPr="00C821DA">
        <w:rPr>
          <w:spacing w:val="1"/>
          <w:sz w:val="23"/>
          <w:szCs w:val="23"/>
          <w:lang w:eastAsia="en-AU"/>
        </w:rPr>
        <w:t xml:space="preserve"> </w:t>
      </w:r>
      <w:r w:rsidRPr="00C821DA">
        <w:rPr>
          <w:spacing w:val="-3"/>
          <w:sz w:val="23"/>
          <w:szCs w:val="23"/>
          <w:lang w:eastAsia="en-AU"/>
        </w:rPr>
        <w:t>a</w:t>
      </w:r>
      <w:r w:rsidRPr="00C821DA">
        <w:rPr>
          <w:sz w:val="23"/>
          <w:szCs w:val="23"/>
          <w:lang w:eastAsia="en-AU"/>
        </w:rPr>
        <w:t xml:space="preserve">t </w:t>
      </w:r>
      <w:r w:rsidRPr="00C821DA">
        <w:rPr>
          <w:spacing w:val="1"/>
          <w:sz w:val="23"/>
          <w:szCs w:val="23"/>
          <w:lang w:eastAsia="en-AU"/>
        </w:rPr>
        <w:t>l</w:t>
      </w:r>
      <w:r w:rsidRPr="00C821DA">
        <w:rPr>
          <w:sz w:val="23"/>
          <w:szCs w:val="23"/>
          <w:lang w:eastAsia="en-AU"/>
        </w:rPr>
        <w:t>east</w:t>
      </w:r>
      <w:r w:rsidRPr="00C821DA">
        <w:rPr>
          <w:spacing w:val="-1"/>
          <w:sz w:val="23"/>
          <w:szCs w:val="23"/>
          <w:lang w:eastAsia="en-AU"/>
        </w:rPr>
        <w:t xml:space="preserve"> </w:t>
      </w:r>
      <w:r w:rsidRPr="00C821DA">
        <w:rPr>
          <w:sz w:val="23"/>
          <w:szCs w:val="23"/>
          <w:lang w:eastAsia="en-AU"/>
        </w:rPr>
        <w:t>2%</w:t>
      </w:r>
      <w:r w:rsidRPr="00C821DA">
        <w:rPr>
          <w:spacing w:val="-1"/>
          <w:sz w:val="23"/>
          <w:szCs w:val="23"/>
          <w:lang w:eastAsia="en-AU"/>
        </w:rPr>
        <w:t xml:space="preserve"> </w:t>
      </w:r>
      <w:r w:rsidRPr="00C821DA">
        <w:rPr>
          <w:spacing w:val="-3"/>
          <w:sz w:val="23"/>
          <w:szCs w:val="23"/>
          <w:lang w:eastAsia="en-AU"/>
        </w:rPr>
        <w:t>o</w:t>
      </w:r>
      <w:r w:rsidRPr="00C821DA">
        <w:rPr>
          <w:sz w:val="23"/>
          <w:szCs w:val="23"/>
          <w:lang w:eastAsia="en-AU"/>
        </w:rPr>
        <w:t>f p</w:t>
      </w:r>
      <w:r w:rsidRPr="00C821DA">
        <w:rPr>
          <w:spacing w:val="-1"/>
          <w:sz w:val="23"/>
          <w:szCs w:val="23"/>
          <w:lang w:eastAsia="en-AU"/>
        </w:rPr>
        <w:t>a</w:t>
      </w:r>
      <w:r w:rsidRPr="00C821DA">
        <w:rPr>
          <w:spacing w:val="1"/>
          <w:sz w:val="23"/>
          <w:szCs w:val="23"/>
          <w:lang w:eastAsia="en-AU"/>
        </w:rPr>
        <w:t>ti</w:t>
      </w:r>
      <w:r w:rsidRPr="00C821DA">
        <w:rPr>
          <w:sz w:val="23"/>
          <w:szCs w:val="23"/>
          <w:lang w:eastAsia="en-AU"/>
        </w:rPr>
        <w:t>e</w:t>
      </w:r>
      <w:r w:rsidRPr="00C821DA">
        <w:rPr>
          <w:spacing w:val="-1"/>
          <w:sz w:val="23"/>
          <w:szCs w:val="23"/>
          <w:lang w:eastAsia="en-AU"/>
        </w:rPr>
        <w:t>n</w:t>
      </w:r>
      <w:r w:rsidRPr="00C821DA">
        <w:rPr>
          <w:spacing w:val="-2"/>
          <w:sz w:val="23"/>
          <w:szCs w:val="23"/>
          <w:lang w:eastAsia="en-AU"/>
        </w:rPr>
        <w:t>t</w:t>
      </w:r>
      <w:r w:rsidRPr="00C821DA">
        <w:rPr>
          <w:sz w:val="23"/>
          <w:szCs w:val="23"/>
          <w:lang w:eastAsia="en-AU"/>
        </w:rPr>
        <w:t>s</w:t>
      </w:r>
      <w:r w:rsidRPr="00C821DA">
        <w:rPr>
          <w:spacing w:val="-4"/>
          <w:sz w:val="23"/>
          <w:szCs w:val="23"/>
          <w:lang w:eastAsia="en-AU"/>
        </w:rPr>
        <w:t xml:space="preserve"> </w:t>
      </w:r>
      <w:r w:rsidRPr="00C821DA">
        <w:rPr>
          <w:spacing w:val="3"/>
          <w:sz w:val="23"/>
          <w:szCs w:val="23"/>
          <w:lang w:eastAsia="en-AU"/>
        </w:rPr>
        <w:t>w</w:t>
      </w:r>
      <w:r w:rsidRPr="00C821DA">
        <w:rPr>
          <w:spacing w:val="-1"/>
          <w:sz w:val="23"/>
          <w:szCs w:val="23"/>
          <w:lang w:eastAsia="en-AU"/>
        </w:rPr>
        <w:t>i</w:t>
      </w:r>
      <w:r w:rsidRPr="00C821DA">
        <w:rPr>
          <w:spacing w:val="1"/>
          <w:sz w:val="23"/>
          <w:szCs w:val="23"/>
          <w:lang w:eastAsia="en-AU"/>
        </w:rPr>
        <w:t>t</w:t>
      </w:r>
      <w:r w:rsidRPr="00C821DA">
        <w:rPr>
          <w:sz w:val="23"/>
          <w:szCs w:val="23"/>
          <w:lang w:eastAsia="en-AU"/>
        </w:rPr>
        <w:t xml:space="preserve">h </w:t>
      </w:r>
      <w:r w:rsidRPr="00C821DA">
        <w:rPr>
          <w:spacing w:val="2"/>
          <w:sz w:val="23"/>
          <w:szCs w:val="23"/>
          <w:lang w:eastAsia="en-AU"/>
        </w:rPr>
        <w:t>R</w:t>
      </w:r>
      <w:r w:rsidRPr="00C821DA">
        <w:rPr>
          <w:spacing w:val="-8"/>
          <w:sz w:val="23"/>
          <w:szCs w:val="23"/>
          <w:lang w:eastAsia="en-AU"/>
        </w:rPr>
        <w:t>A</w:t>
      </w:r>
      <w:r w:rsidR="00F87845">
        <w:rPr>
          <w:spacing w:val="-8"/>
          <w:sz w:val="23"/>
          <w:szCs w:val="23"/>
          <w:lang w:eastAsia="en-AU"/>
        </w:rPr>
        <w:t xml:space="preserve"> in GP13-201 study</w:t>
      </w:r>
    </w:p>
    <w:p w:rsidR="00622AE3" w:rsidRPr="00E3482E" w:rsidRDefault="00622AE3" w:rsidP="00622AE3">
      <w:pPr>
        <w:autoSpaceDE w:val="0"/>
        <w:autoSpaceDN w:val="0"/>
        <w:adjustRightInd w:val="0"/>
        <w:spacing w:before="5" w:line="100" w:lineRule="exact"/>
        <w:rPr>
          <w:color w:val="000000"/>
          <w:lang w:eastAsia="en-AU"/>
        </w:rPr>
      </w:pPr>
    </w:p>
    <w:tbl>
      <w:tblPr>
        <w:tblW w:w="0" w:type="auto"/>
        <w:jc w:val="right"/>
        <w:tblLayout w:type="fixed"/>
        <w:tblCellMar>
          <w:left w:w="0" w:type="dxa"/>
          <w:right w:w="0" w:type="dxa"/>
        </w:tblCellMar>
        <w:tblLook w:val="0000" w:firstRow="0" w:lastRow="0" w:firstColumn="0" w:lastColumn="0" w:noHBand="0" w:noVBand="0"/>
      </w:tblPr>
      <w:tblGrid>
        <w:gridCol w:w="4460"/>
        <w:gridCol w:w="2327"/>
        <w:gridCol w:w="2328"/>
      </w:tblGrid>
      <w:tr w:rsidR="00622AE3" w:rsidRPr="00C821DA" w:rsidTr="00C821DA">
        <w:trPr>
          <w:trHeight w:hRule="exact" w:val="937"/>
          <w:jc w:val="right"/>
        </w:trPr>
        <w:tc>
          <w:tcPr>
            <w:tcW w:w="4460" w:type="dxa"/>
            <w:tcBorders>
              <w:top w:val="single" w:sz="6" w:space="0" w:color="000000"/>
              <w:left w:val="nil"/>
              <w:bottom w:val="single" w:sz="4" w:space="0" w:color="000000"/>
              <w:right w:val="nil"/>
            </w:tcBorders>
          </w:tcPr>
          <w:p w:rsidR="00622AE3" w:rsidRPr="00C821DA" w:rsidRDefault="00622AE3" w:rsidP="00C329A1">
            <w:pPr>
              <w:autoSpaceDE w:val="0"/>
              <w:autoSpaceDN w:val="0"/>
              <w:adjustRightInd w:val="0"/>
              <w:spacing w:line="200" w:lineRule="exact"/>
              <w:rPr>
                <w:color w:val="000000"/>
                <w:sz w:val="22"/>
                <w:szCs w:val="22"/>
                <w:lang w:eastAsia="en-AU"/>
              </w:rPr>
            </w:pPr>
          </w:p>
          <w:p w:rsidR="00622AE3" w:rsidRPr="00C821DA" w:rsidRDefault="00622AE3" w:rsidP="00C329A1">
            <w:pPr>
              <w:autoSpaceDE w:val="0"/>
              <w:autoSpaceDN w:val="0"/>
              <w:adjustRightInd w:val="0"/>
              <w:spacing w:line="240" w:lineRule="auto"/>
              <w:ind w:left="60" w:right="-20"/>
              <w:rPr>
                <w:color w:val="000000"/>
                <w:sz w:val="22"/>
                <w:szCs w:val="22"/>
                <w:lang w:eastAsia="en-AU"/>
              </w:rPr>
            </w:pPr>
            <w:r w:rsidRPr="00C821DA">
              <w:rPr>
                <w:b/>
                <w:bCs/>
                <w:color w:val="000000"/>
                <w:spacing w:val="-1"/>
                <w:sz w:val="22"/>
                <w:szCs w:val="22"/>
                <w:lang w:eastAsia="en-AU"/>
              </w:rPr>
              <w:t>Pr</w:t>
            </w:r>
            <w:r w:rsidRPr="00C821DA">
              <w:rPr>
                <w:b/>
                <w:bCs/>
                <w:color w:val="000000"/>
                <w:sz w:val="22"/>
                <w:szCs w:val="22"/>
                <w:lang w:eastAsia="en-AU"/>
              </w:rPr>
              <w:t>ef</w:t>
            </w:r>
            <w:r w:rsidRPr="00C821DA">
              <w:rPr>
                <w:b/>
                <w:bCs/>
                <w:color w:val="000000"/>
                <w:spacing w:val="2"/>
                <w:sz w:val="22"/>
                <w:szCs w:val="22"/>
                <w:lang w:eastAsia="en-AU"/>
              </w:rPr>
              <w:t>e</w:t>
            </w:r>
            <w:r w:rsidRPr="00C821DA">
              <w:rPr>
                <w:b/>
                <w:bCs/>
                <w:color w:val="000000"/>
                <w:spacing w:val="-1"/>
                <w:sz w:val="22"/>
                <w:szCs w:val="22"/>
                <w:lang w:eastAsia="en-AU"/>
              </w:rPr>
              <w:t>r</w:t>
            </w:r>
            <w:r w:rsidRPr="00C821DA">
              <w:rPr>
                <w:b/>
                <w:bCs/>
                <w:color w:val="000000"/>
                <w:spacing w:val="2"/>
                <w:sz w:val="22"/>
                <w:szCs w:val="22"/>
                <w:lang w:eastAsia="en-AU"/>
              </w:rPr>
              <w:t>r</w:t>
            </w:r>
            <w:r w:rsidRPr="00C821DA">
              <w:rPr>
                <w:b/>
                <w:bCs/>
                <w:color w:val="000000"/>
                <w:sz w:val="22"/>
                <w:szCs w:val="22"/>
                <w:lang w:eastAsia="en-AU"/>
              </w:rPr>
              <w:t>ed</w:t>
            </w:r>
            <w:r w:rsidRPr="00C821DA">
              <w:rPr>
                <w:b/>
                <w:bCs/>
                <w:color w:val="000000"/>
                <w:spacing w:val="-9"/>
                <w:sz w:val="22"/>
                <w:szCs w:val="22"/>
                <w:lang w:eastAsia="en-AU"/>
              </w:rPr>
              <w:t xml:space="preserve"> </w:t>
            </w:r>
            <w:r w:rsidRPr="00C821DA">
              <w:rPr>
                <w:b/>
                <w:bCs/>
                <w:color w:val="000000"/>
                <w:spacing w:val="1"/>
                <w:sz w:val="22"/>
                <w:szCs w:val="22"/>
                <w:lang w:eastAsia="en-AU"/>
              </w:rPr>
              <w:t>t</w:t>
            </w:r>
            <w:r w:rsidRPr="00C821DA">
              <w:rPr>
                <w:b/>
                <w:bCs/>
                <w:color w:val="000000"/>
                <w:sz w:val="22"/>
                <w:szCs w:val="22"/>
                <w:lang w:eastAsia="en-AU"/>
              </w:rPr>
              <w:t>e</w:t>
            </w:r>
            <w:r w:rsidRPr="00C821DA">
              <w:rPr>
                <w:b/>
                <w:bCs/>
                <w:color w:val="000000"/>
                <w:spacing w:val="-1"/>
                <w:sz w:val="22"/>
                <w:szCs w:val="22"/>
                <w:lang w:eastAsia="en-AU"/>
              </w:rPr>
              <w:t>r</w:t>
            </w:r>
            <w:r w:rsidRPr="00C821DA">
              <w:rPr>
                <w:b/>
                <w:bCs/>
                <w:color w:val="000000"/>
                <w:sz w:val="22"/>
                <w:szCs w:val="22"/>
                <w:lang w:eastAsia="en-AU"/>
              </w:rPr>
              <w:t>m</w:t>
            </w:r>
          </w:p>
        </w:tc>
        <w:tc>
          <w:tcPr>
            <w:tcW w:w="2327" w:type="dxa"/>
            <w:tcBorders>
              <w:top w:val="single" w:sz="6" w:space="0" w:color="000000"/>
              <w:left w:val="nil"/>
              <w:bottom w:val="single" w:sz="4" w:space="0" w:color="000000"/>
              <w:right w:val="nil"/>
            </w:tcBorders>
          </w:tcPr>
          <w:p w:rsidR="00622AE3" w:rsidRPr="00C821DA" w:rsidRDefault="00982770" w:rsidP="00C329A1">
            <w:pPr>
              <w:autoSpaceDE w:val="0"/>
              <w:autoSpaceDN w:val="0"/>
              <w:adjustRightInd w:val="0"/>
              <w:spacing w:before="34" w:line="240" w:lineRule="auto"/>
              <w:ind w:left="626" w:right="463"/>
              <w:jc w:val="center"/>
              <w:rPr>
                <w:color w:val="000000"/>
                <w:sz w:val="22"/>
                <w:szCs w:val="22"/>
                <w:lang w:eastAsia="en-AU"/>
              </w:rPr>
            </w:pPr>
            <w:r w:rsidRPr="00C821DA">
              <w:rPr>
                <w:b/>
                <w:bCs/>
                <w:color w:val="000000"/>
                <w:spacing w:val="1"/>
                <w:w w:val="99"/>
                <w:sz w:val="22"/>
                <w:szCs w:val="22"/>
                <w:lang w:eastAsia="en-AU"/>
              </w:rPr>
              <w:t>RIXIMYO</w:t>
            </w:r>
            <w:r w:rsidRPr="00C821DA">
              <w:rPr>
                <w:b/>
                <w:bCs/>
                <w:color w:val="000000"/>
                <w:spacing w:val="1"/>
                <w:w w:val="99"/>
                <w:sz w:val="22"/>
                <w:szCs w:val="22"/>
                <w:vertAlign w:val="superscript"/>
                <w:lang w:eastAsia="en-AU"/>
              </w:rPr>
              <w:t>®</w:t>
            </w:r>
            <w:r w:rsidR="00622AE3" w:rsidRPr="00C821DA">
              <w:rPr>
                <w:b/>
                <w:bCs/>
                <w:color w:val="000000"/>
                <w:spacing w:val="1"/>
                <w:w w:val="99"/>
                <w:sz w:val="22"/>
                <w:szCs w:val="22"/>
                <w:lang w:eastAsia="en-AU"/>
              </w:rPr>
              <w:br/>
            </w:r>
            <w:r w:rsidR="00622AE3" w:rsidRPr="00C821DA">
              <w:rPr>
                <w:b/>
                <w:bCs/>
                <w:color w:val="000000"/>
                <w:w w:val="99"/>
                <w:sz w:val="22"/>
                <w:szCs w:val="22"/>
                <w:lang w:eastAsia="en-AU"/>
              </w:rPr>
              <w:t>N</w:t>
            </w:r>
            <w:r w:rsidR="00622AE3" w:rsidRPr="00C821DA">
              <w:rPr>
                <w:b/>
                <w:bCs/>
                <w:color w:val="000000"/>
                <w:spacing w:val="-1"/>
                <w:w w:val="99"/>
                <w:sz w:val="22"/>
                <w:szCs w:val="22"/>
                <w:lang w:eastAsia="en-AU"/>
              </w:rPr>
              <w:t>=</w:t>
            </w:r>
            <w:r w:rsidR="00622AE3" w:rsidRPr="00C821DA">
              <w:rPr>
                <w:b/>
                <w:bCs/>
                <w:color w:val="000000"/>
                <w:spacing w:val="2"/>
                <w:w w:val="99"/>
                <w:sz w:val="22"/>
                <w:szCs w:val="22"/>
                <w:lang w:eastAsia="en-AU"/>
              </w:rPr>
              <w:t>8</w:t>
            </w:r>
            <w:r w:rsidR="00622AE3" w:rsidRPr="00C821DA">
              <w:rPr>
                <w:b/>
                <w:bCs/>
                <w:color w:val="000000"/>
                <w:w w:val="99"/>
                <w:sz w:val="22"/>
                <w:szCs w:val="22"/>
                <w:lang w:eastAsia="en-AU"/>
              </w:rPr>
              <w:t>6</w:t>
            </w:r>
          </w:p>
          <w:p w:rsidR="00622AE3" w:rsidRPr="00C821DA" w:rsidRDefault="00622AE3" w:rsidP="00C329A1">
            <w:pPr>
              <w:autoSpaceDE w:val="0"/>
              <w:autoSpaceDN w:val="0"/>
              <w:adjustRightInd w:val="0"/>
              <w:spacing w:before="3" w:line="240" w:lineRule="auto"/>
              <w:ind w:left="748" w:right="586"/>
              <w:jc w:val="center"/>
              <w:rPr>
                <w:color w:val="000000"/>
                <w:sz w:val="22"/>
                <w:szCs w:val="22"/>
                <w:lang w:eastAsia="en-AU"/>
              </w:rPr>
            </w:pPr>
            <w:proofErr w:type="gramStart"/>
            <w:r w:rsidRPr="00C821DA">
              <w:rPr>
                <w:b/>
                <w:bCs/>
                <w:color w:val="000000"/>
                <w:sz w:val="22"/>
                <w:szCs w:val="22"/>
                <w:lang w:eastAsia="en-AU"/>
              </w:rPr>
              <w:t>n</w:t>
            </w:r>
            <w:proofErr w:type="gramEnd"/>
            <w:r w:rsidRPr="00C821DA">
              <w:rPr>
                <w:b/>
                <w:bCs/>
                <w:color w:val="000000"/>
                <w:spacing w:val="-1"/>
                <w:sz w:val="22"/>
                <w:szCs w:val="22"/>
                <w:lang w:eastAsia="en-AU"/>
              </w:rPr>
              <w:t xml:space="preserve"> </w:t>
            </w:r>
            <w:r w:rsidRPr="00C821DA">
              <w:rPr>
                <w:b/>
                <w:bCs/>
                <w:color w:val="000000"/>
                <w:w w:val="99"/>
                <w:sz w:val="22"/>
                <w:szCs w:val="22"/>
                <w:lang w:eastAsia="en-AU"/>
              </w:rPr>
              <w:t>(</w:t>
            </w:r>
            <w:r w:rsidRPr="00C821DA">
              <w:rPr>
                <w:b/>
                <w:bCs/>
                <w:color w:val="000000"/>
                <w:spacing w:val="-2"/>
                <w:w w:val="99"/>
                <w:sz w:val="22"/>
                <w:szCs w:val="22"/>
                <w:lang w:eastAsia="en-AU"/>
              </w:rPr>
              <w:t>%</w:t>
            </w:r>
            <w:r w:rsidRPr="00C821DA">
              <w:rPr>
                <w:b/>
                <w:bCs/>
                <w:color w:val="000000"/>
                <w:w w:val="99"/>
                <w:sz w:val="22"/>
                <w:szCs w:val="22"/>
                <w:lang w:eastAsia="en-AU"/>
              </w:rPr>
              <w:t>)</w:t>
            </w:r>
          </w:p>
        </w:tc>
        <w:tc>
          <w:tcPr>
            <w:tcW w:w="2328" w:type="dxa"/>
            <w:tcBorders>
              <w:top w:val="single" w:sz="6" w:space="0" w:color="000000"/>
              <w:left w:val="nil"/>
              <w:bottom w:val="single" w:sz="4" w:space="0" w:color="000000"/>
              <w:right w:val="nil"/>
            </w:tcBorders>
          </w:tcPr>
          <w:p w:rsidR="00A77CC4" w:rsidRPr="00C821DA" w:rsidRDefault="00A77CC4" w:rsidP="006113DD">
            <w:pPr>
              <w:autoSpaceDE w:val="0"/>
              <w:autoSpaceDN w:val="0"/>
              <w:adjustRightInd w:val="0"/>
              <w:spacing w:before="34" w:line="240" w:lineRule="auto"/>
              <w:ind w:left="88" w:right="302"/>
              <w:jc w:val="center"/>
              <w:rPr>
                <w:b/>
                <w:color w:val="000000"/>
                <w:sz w:val="22"/>
                <w:szCs w:val="22"/>
                <w:lang w:val="en-GB"/>
              </w:rPr>
            </w:pPr>
            <w:r w:rsidRPr="00C821DA">
              <w:rPr>
                <w:b/>
                <w:color w:val="000000"/>
                <w:sz w:val="22"/>
                <w:szCs w:val="22"/>
                <w:lang w:val="en-GB"/>
              </w:rPr>
              <w:t>Reference Medicine</w:t>
            </w:r>
          </w:p>
          <w:p w:rsidR="00622AE3" w:rsidRPr="00C821DA" w:rsidRDefault="00622AE3" w:rsidP="00C329A1">
            <w:pPr>
              <w:autoSpaceDE w:val="0"/>
              <w:autoSpaceDN w:val="0"/>
              <w:adjustRightInd w:val="0"/>
              <w:spacing w:line="228" w:lineRule="exact"/>
              <w:ind w:left="681" w:right="536"/>
              <w:jc w:val="center"/>
              <w:rPr>
                <w:color w:val="000000"/>
                <w:sz w:val="22"/>
                <w:szCs w:val="22"/>
                <w:lang w:eastAsia="en-AU"/>
              </w:rPr>
            </w:pPr>
            <w:r w:rsidRPr="00C821DA">
              <w:rPr>
                <w:b/>
                <w:bCs/>
                <w:color w:val="000000"/>
                <w:w w:val="99"/>
                <w:sz w:val="22"/>
                <w:szCs w:val="22"/>
                <w:lang w:eastAsia="en-AU"/>
              </w:rPr>
              <w:t>N</w:t>
            </w:r>
            <w:r w:rsidRPr="00C821DA">
              <w:rPr>
                <w:b/>
                <w:bCs/>
                <w:color w:val="000000"/>
                <w:spacing w:val="-1"/>
                <w:w w:val="99"/>
                <w:sz w:val="22"/>
                <w:szCs w:val="22"/>
                <w:lang w:eastAsia="en-AU"/>
              </w:rPr>
              <w:t>=</w:t>
            </w:r>
            <w:r w:rsidRPr="00C821DA">
              <w:rPr>
                <w:b/>
                <w:bCs/>
                <w:color w:val="000000"/>
                <w:spacing w:val="2"/>
                <w:w w:val="99"/>
                <w:sz w:val="22"/>
                <w:szCs w:val="22"/>
                <w:lang w:eastAsia="en-AU"/>
              </w:rPr>
              <w:t>8</w:t>
            </w:r>
            <w:r w:rsidRPr="00C821DA">
              <w:rPr>
                <w:b/>
                <w:bCs/>
                <w:color w:val="000000"/>
                <w:w w:val="99"/>
                <w:sz w:val="22"/>
                <w:szCs w:val="22"/>
                <w:lang w:eastAsia="en-AU"/>
              </w:rPr>
              <w:t>7</w:t>
            </w:r>
          </w:p>
          <w:p w:rsidR="00622AE3" w:rsidRPr="00C821DA" w:rsidRDefault="00622AE3" w:rsidP="00C329A1">
            <w:pPr>
              <w:autoSpaceDE w:val="0"/>
              <w:autoSpaceDN w:val="0"/>
              <w:adjustRightInd w:val="0"/>
              <w:spacing w:before="3" w:line="240" w:lineRule="auto"/>
              <w:ind w:left="679" w:right="535"/>
              <w:jc w:val="center"/>
              <w:rPr>
                <w:color w:val="000000"/>
                <w:sz w:val="22"/>
                <w:szCs w:val="22"/>
                <w:lang w:eastAsia="en-AU"/>
              </w:rPr>
            </w:pPr>
            <w:proofErr w:type="gramStart"/>
            <w:r w:rsidRPr="00C821DA">
              <w:rPr>
                <w:b/>
                <w:bCs/>
                <w:color w:val="000000"/>
                <w:sz w:val="22"/>
                <w:szCs w:val="22"/>
                <w:lang w:eastAsia="en-AU"/>
              </w:rPr>
              <w:t>n</w:t>
            </w:r>
            <w:proofErr w:type="gramEnd"/>
            <w:r w:rsidRPr="00C821DA">
              <w:rPr>
                <w:b/>
                <w:bCs/>
                <w:color w:val="000000"/>
                <w:spacing w:val="-1"/>
                <w:sz w:val="22"/>
                <w:szCs w:val="22"/>
                <w:lang w:eastAsia="en-AU"/>
              </w:rPr>
              <w:t xml:space="preserve"> </w:t>
            </w:r>
            <w:r w:rsidRPr="00C821DA">
              <w:rPr>
                <w:b/>
                <w:bCs/>
                <w:color w:val="000000"/>
                <w:w w:val="99"/>
                <w:sz w:val="22"/>
                <w:szCs w:val="22"/>
                <w:lang w:eastAsia="en-AU"/>
              </w:rPr>
              <w:t>(</w:t>
            </w:r>
            <w:r w:rsidRPr="00C821DA">
              <w:rPr>
                <w:b/>
                <w:bCs/>
                <w:color w:val="000000"/>
                <w:spacing w:val="-2"/>
                <w:w w:val="99"/>
                <w:sz w:val="22"/>
                <w:szCs w:val="22"/>
                <w:lang w:eastAsia="en-AU"/>
              </w:rPr>
              <w:t>%</w:t>
            </w:r>
            <w:r w:rsidRPr="00C821DA">
              <w:rPr>
                <w:b/>
                <w:bCs/>
                <w:color w:val="000000"/>
                <w:w w:val="99"/>
                <w:sz w:val="22"/>
                <w:szCs w:val="22"/>
                <w:lang w:eastAsia="en-AU"/>
              </w:rPr>
              <w:t>)</w:t>
            </w:r>
          </w:p>
        </w:tc>
      </w:tr>
      <w:tr w:rsidR="00622AE3" w:rsidRPr="00C821DA" w:rsidTr="00C821DA">
        <w:trPr>
          <w:trHeight w:hRule="exact" w:val="724"/>
          <w:jc w:val="right"/>
        </w:trPr>
        <w:tc>
          <w:tcPr>
            <w:tcW w:w="4460" w:type="dxa"/>
            <w:tcBorders>
              <w:top w:val="single" w:sz="4" w:space="0" w:color="000000"/>
              <w:left w:val="nil"/>
              <w:bottom w:val="single" w:sz="4" w:space="0" w:color="000000"/>
              <w:right w:val="nil"/>
            </w:tcBorders>
          </w:tcPr>
          <w:p w:rsidR="00622AE3" w:rsidRPr="00C821DA" w:rsidRDefault="00622AE3" w:rsidP="00C329A1">
            <w:pPr>
              <w:autoSpaceDE w:val="0"/>
              <w:autoSpaceDN w:val="0"/>
              <w:adjustRightInd w:val="0"/>
              <w:spacing w:before="37" w:line="240" w:lineRule="auto"/>
              <w:ind w:left="60" w:right="572"/>
              <w:rPr>
                <w:color w:val="000000"/>
                <w:sz w:val="22"/>
                <w:szCs w:val="22"/>
                <w:lang w:eastAsia="en-AU"/>
              </w:rPr>
            </w:pPr>
            <w:r w:rsidRPr="00C821DA">
              <w:rPr>
                <w:b/>
                <w:bCs/>
                <w:color w:val="000000"/>
                <w:spacing w:val="3"/>
                <w:sz w:val="22"/>
                <w:szCs w:val="22"/>
                <w:lang w:eastAsia="en-AU"/>
              </w:rPr>
              <w:t>T</w:t>
            </w:r>
            <w:r w:rsidRPr="00C821DA">
              <w:rPr>
                <w:b/>
                <w:bCs/>
                <w:color w:val="000000"/>
                <w:sz w:val="22"/>
                <w:szCs w:val="22"/>
                <w:lang w:eastAsia="en-AU"/>
              </w:rPr>
              <w:t>o</w:t>
            </w:r>
            <w:r w:rsidRPr="00C821DA">
              <w:rPr>
                <w:b/>
                <w:bCs/>
                <w:color w:val="000000"/>
                <w:spacing w:val="1"/>
                <w:sz w:val="22"/>
                <w:szCs w:val="22"/>
                <w:lang w:eastAsia="en-AU"/>
              </w:rPr>
              <w:t>t</w:t>
            </w:r>
            <w:r w:rsidRPr="00C821DA">
              <w:rPr>
                <w:b/>
                <w:bCs/>
                <w:color w:val="000000"/>
                <w:sz w:val="22"/>
                <w:szCs w:val="22"/>
                <w:lang w:eastAsia="en-AU"/>
              </w:rPr>
              <w:t>al</w:t>
            </w:r>
            <w:r w:rsidRPr="00C821DA">
              <w:rPr>
                <w:b/>
                <w:bCs/>
                <w:color w:val="000000"/>
                <w:spacing w:val="-6"/>
                <w:sz w:val="22"/>
                <w:szCs w:val="22"/>
                <w:lang w:eastAsia="en-AU"/>
              </w:rPr>
              <w:t xml:space="preserve"> </w:t>
            </w:r>
            <w:r w:rsidRPr="00C821DA">
              <w:rPr>
                <w:b/>
                <w:bCs/>
                <w:color w:val="000000"/>
                <w:sz w:val="22"/>
                <w:szCs w:val="22"/>
                <w:lang w:eastAsia="en-AU"/>
              </w:rPr>
              <w:t>num</w:t>
            </w:r>
            <w:r w:rsidRPr="00C821DA">
              <w:rPr>
                <w:b/>
                <w:bCs/>
                <w:color w:val="000000"/>
                <w:spacing w:val="1"/>
                <w:sz w:val="22"/>
                <w:szCs w:val="22"/>
                <w:lang w:eastAsia="en-AU"/>
              </w:rPr>
              <w:t>b</w:t>
            </w:r>
            <w:r w:rsidRPr="00C821DA">
              <w:rPr>
                <w:b/>
                <w:bCs/>
                <w:color w:val="000000"/>
                <w:sz w:val="22"/>
                <w:szCs w:val="22"/>
                <w:lang w:eastAsia="en-AU"/>
              </w:rPr>
              <w:t>er</w:t>
            </w:r>
            <w:r w:rsidRPr="00C821DA">
              <w:rPr>
                <w:b/>
                <w:bCs/>
                <w:color w:val="000000"/>
                <w:spacing w:val="-8"/>
                <w:sz w:val="22"/>
                <w:szCs w:val="22"/>
                <w:lang w:eastAsia="en-AU"/>
              </w:rPr>
              <w:t xml:space="preserve"> </w:t>
            </w:r>
            <w:r w:rsidRPr="00C821DA">
              <w:rPr>
                <w:b/>
                <w:bCs/>
                <w:color w:val="000000"/>
                <w:sz w:val="22"/>
                <w:szCs w:val="22"/>
                <w:lang w:eastAsia="en-AU"/>
              </w:rPr>
              <w:t>of</w:t>
            </w:r>
            <w:r w:rsidRPr="00C821DA">
              <w:rPr>
                <w:b/>
                <w:bCs/>
                <w:color w:val="000000"/>
                <w:spacing w:val="-1"/>
                <w:sz w:val="22"/>
                <w:szCs w:val="22"/>
                <w:lang w:eastAsia="en-AU"/>
              </w:rPr>
              <w:t xml:space="preserve"> </w:t>
            </w:r>
            <w:r w:rsidRPr="00C821DA">
              <w:rPr>
                <w:b/>
                <w:bCs/>
                <w:color w:val="000000"/>
                <w:sz w:val="22"/>
                <w:szCs w:val="22"/>
                <w:lang w:eastAsia="en-AU"/>
              </w:rPr>
              <w:t>pa</w:t>
            </w:r>
            <w:r w:rsidRPr="00C821DA">
              <w:rPr>
                <w:b/>
                <w:bCs/>
                <w:color w:val="000000"/>
                <w:spacing w:val="1"/>
                <w:sz w:val="22"/>
                <w:szCs w:val="22"/>
                <w:lang w:eastAsia="en-AU"/>
              </w:rPr>
              <w:t>t</w:t>
            </w:r>
            <w:r w:rsidRPr="00C821DA">
              <w:rPr>
                <w:b/>
                <w:bCs/>
                <w:color w:val="000000"/>
                <w:sz w:val="22"/>
                <w:szCs w:val="22"/>
                <w:lang w:eastAsia="en-AU"/>
              </w:rPr>
              <w:t>ien</w:t>
            </w:r>
            <w:r w:rsidRPr="00C821DA">
              <w:rPr>
                <w:b/>
                <w:bCs/>
                <w:color w:val="000000"/>
                <w:spacing w:val="1"/>
                <w:sz w:val="22"/>
                <w:szCs w:val="22"/>
                <w:lang w:eastAsia="en-AU"/>
              </w:rPr>
              <w:t>t</w:t>
            </w:r>
            <w:r w:rsidRPr="00C821DA">
              <w:rPr>
                <w:b/>
                <w:bCs/>
                <w:color w:val="000000"/>
                <w:sz w:val="22"/>
                <w:szCs w:val="22"/>
                <w:lang w:eastAsia="en-AU"/>
              </w:rPr>
              <w:t>s</w:t>
            </w:r>
            <w:r w:rsidRPr="00C821DA">
              <w:rPr>
                <w:b/>
                <w:bCs/>
                <w:color w:val="000000"/>
                <w:spacing w:val="-7"/>
                <w:sz w:val="22"/>
                <w:szCs w:val="22"/>
                <w:lang w:eastAsia="en-AU"/>
              </w:rPr>
              <w:t xml:space="preserve"> </w:t>
            </w:r>
            <w:r w:rsidRPr="00C821DA">
              <w:rPr>
                <w:b/>
                <w:bCs/>
                <w:color w:val="000000"/>
                <w:spacing w:val="3"/>
                <w:sz w:val="22"/>
                <w:szCs w:val="22"/>
                <w:lang w:eastAsia="en-AU"/>
              </w:rPr>
              <w:t>w</w:t>
            </w:r>
            <w:r w:rsidRPr="00C821DA">
              <w:rPr>
                <w:b/>
                <w:bCs/>
                <w:color w:val="000000"/>
                <w:sz w:val="22"/>
                <w:szCs w:val="22"/>
                <w:lang w:eastAsia="en-AU"/>
              </w:rPr>
              <w:t>ith</w:t>
            </w:r>
            <w:r w:rsidRPr="00C821DA">
              <w:rPr>
                <w:b/>
                <w:bCs/>
                <w:color w:val="000000"/>
                <w:spacing w:val="-2"/>
                <w:sz w:val="22"/>
                <w:szCs w:val="22"/>
                <w:lang w:eastAsia="en-AU"/>
              </w:rPr>
              <w:t xml:space="preserve"> </w:t>
            </w:r>
            <w:r w:rsidRPr="00C821DA">
              <w:rPr>
                <w:b/>
                <w:bCs/>
                <w:color w:val="000000"/>
                <w:spacing w:val="-5"/>
                <w:sz w:val="22"/>
                <w:szCs w:val="22"/>
                <w:lang w:eastAsia="en-AU"/>
              </w:rPr>
              <w:t>A</w:t>
            </w:r>
            <w:r w:rsidRPr="00C821DA">
              <w:rPr>
                <w:b/>
                <w:bCs/>
                <w:color w:val="000000"/>
                <w:spacing w:val="-1"/>
                <w:sz w:val="22"/>
                <w:szCs w:val="22"/>
                <w:lang w:eastAsia="en-AU"/>
              </w:rPr>
              <w:t>E</w:t>
            </w:r>
            <w:r w:rsidRPr="00C821DA">
              <w:rPr>
                <w:b/>
                <w:bCs/>
                <w:color w:val="000000"/>
                <w:sz w:val="22"/>
                <w:szCs w:val="22"/>
                <w:lang w:eastAsia="en-AU"/>
              </w:rPr>
              <w:t>s</w:t>
            </w:r>
            <w:r w:rsidRPr="00C821DA">
              <w:rPr>
                <w:b/>
                <w:bCs/>
                <w:color w:val="000000"/>
                <w:spacing w:val="-4"/>
                <w:sz w:val="22"/>
                <w:szCs w:val="22"/>
                <w:lang w:eastAsia="en-AU"/>
              </w:rPr>
              <w:t xml:space="preserve"> </w:t>
            </w:r>
            <w:r w:rsidRPr="00C821DA">
              <w:rPr>
                <w:b/>
                <w:bCs/>
                <w:color w:val="000000"/>
                <w:spacing w:val="3"/>
                <w:sz w:val="22"/>
                <w:szCs w:val="22"/>
                <w:lang w:eastAsia="en-AU"/>
              </w:rPr>
              <w:t>w</w:t>
            </w:r>
            <w:r w:rsidRPr="00C821DA">
              <w:rPr>
                <w:b/>
                <w:bCs/>
                <w:color w:val="000000"/>
                <w:sz w:val="22"/>
                <w:szCs w:val="22"/>
                <w:lang w:eastAsia="en-AU"/>
              </w:rPr>
              <w:t>ith</w:t>
            </w:r>
            <w:r w:rsidRPr="00C821DA">
              <w:rPr>
                <w:b/>
                <w:bCs/>
                <w:color w:val="000000"/>
                <w:spacing w:val="-4"/>
                <w:sz w:val="22"/>
                <w:szCs w:val="22"/>
                <w:lang w:eastAsia="en-AU"/>
              </w:rPr>
              <w:t xml:space="preserve"> </w:t>
            </w:r>
            <w:r w:rsidRPr="00C821DA">
              <w:rPr>
                <w:b/>
                <w:bCs/>
                <w:color w:val="000000"/>
                <w:sz w:val="22"/>
                <w:szCs w:val="22"/>
                <w:lang w:eastAsia="en-AU"/>
              </w:rPr>
              <w:t>suspected</w:t>
            </w:r>
            <w:r w:rsidRPr="00C821DA">
              <w:rPr>
                <w:b/>
                <w:bCs/>
                <w:color w:val="000000"/>
                <w:spacing w:val="-10"/>
                <w:sz w:val="22"/>
                <w:szCs w:val="22"/>
                <w:lang w:eastAsia="en-AU"/>
              </w:rPr>
              <w:t xml:space="preserve"> </w:t>
            </w:r>
            <w:r w:rsidRPr="00C821DA">
              <w:rPr>
                <w:b/>
                <w:bCs/>
                <w:color w:val="000000"/>
                <w:spacing w:val="-1"/>
                <w:sz w:val="22"/>
                <w:szCs w:val="22"/>
                <w:lang w:eastAsia="en-AU"/>
              </w:rPr>
              <w:t>r</w:t>
            </w:r>
            <w:r w:rsidRPr="00C821DA">
              <w:rPr>
                <w:b/>
                <w:bCs/>
                <w:color w:val="000000"/>
                <w:sz w:val="22"/>
                <w:szCs w:val="22"/>
                <w:lang w:eastAsia="en-AU"/>
              </w:rPr>
              <w:t>el</w:t>
            </w:r>
            <w:r w:rsidRPr="00C821DA">
              <w:rPr>
                <w:b/>
                <w:bCs/>
                <w:color w:val="000000"/>
                <w:spacing w:val="-1"/>
                <w:sz w:val="22"/>
                <w:szCs w:val="22"/>
                <w:lang w:eastAsia="en-AU"/>
              </w:rPr>
              <w:t>a</w:t>
            </w:r>
            <w:r w:rsidRPr="00C821DA">
              <w:rPr>
                <w:b/>
                <w:bCs/>
                <w:color w:val="000000"/>
                <w:spacing w:val="1"/>
                <w:sz w:val="22"/>
                <w:szCs w:val="22"/>
                <w:lang w:eastAsia="en-AU"/>
              </w:rPr>
              <w:t>t</w:t>
            </w:r>
            <w:r w:rsidRPr="00C821DA">
              <w:rPr>
                <w:b/>
                <w:bCs/>
                <w:color w:val="000000"/>
                <w:sz w:val="22"/>
                <w:szCs w:val="22"/>
                <w:lang w:eastAsia="en-AU"/>
              </w:rPr>
              <w:t>io</w:t>
            </w:r>
            <w:r w:rsidRPr="00C821DA">
              <w:rPr>
                <w:b/>
                <w:bCs/>
                <w:color w:val="000000"/>
                <w:spacing w:val="1"/>
                <w:sz w:val="22"/>
                <w:szCs w:val="22"/>
                <w:lang w:eastAsia="en-AU"/>
              </w:rPr>
              <w:t>n</w:t>
            </w:r>
            <w:r w:rsidRPr="00C821DA">
              <w:rPr>
                <w:b/>
                <w:bCs/>
                <w:color w:val="000000"/>
                <w:sz w:val="22"/>
                <w:szCs w:val="22"/>
                <w:lang w:eastAsia="en-AU"/>
              </w:rPr>
              <w:t>ship</w:t>
            </w:r>
            <w:r w:rsidRPr="00C821DA">
              <w:rPr>
                <w:b/>
                <w:bCs/>
                <w:color w:val="000000"/>
                <w:spacing w:val="-8"/>
                <w:sz w:val="22"/>
                <w:szCs w:val="22"/>
                <w:lang w:eastAsia="en-AU"/>
              </w:rPr>
              <w:t xml:space="preserve"> </w:t>
            </w:r>
            <w:r w:rsidRPr="00C821DA">
              <w:rPr>
                <w:b/>
                <w:bCs/>
                <w:color w:val="000000"/>
                <w:sz w:val="22"/>
                <w:szCs w:val="22"/>
                <w:lang w:eastAsia="en-AU"/>
              </w:rPr>
              <w:t>to</w:t>
            </w:r>
            <w:r w:rsidRPr="00C821DA">
              <w:rPr>
                <w:b/>
                <w:bCs/>
                <w:color w:val="000000"/>
                <w:spacing w:val="-2"/>
                <w:sz w:val="22"/>
                <w:szCs w:val="22"/>
                <w:lang w:eastAsia="en-AU"/>
              </w:rPr>
              <w:t xml:space="preserve"> </w:t>
            </w:r>
            <w:r w:rsidRPr="00C821DA">
              <w:rPr>
                <w:b/>
                <w:bCs/>
                <w:color w:val="000000"/>
                <w:sz w:val="22"/>
                <w:szCs w:val="22"/>
                <w:lang w:eastAsia="en-AU"/>
              </w:rPr>
              <w:t>st</w:t>
            </w:r>
            <w:r w:rsidRPr="00C821DA">
              <w:rPr>
                <w:b/>
                <w:bCs/>
                <w:color w:val="000000"/>
                <w:spacing w:val="1"/>
                <w:sz w:val="22"/>
                <w:szCs w:val="22"/>
                <w:lang w:eastAsia="en-AU"/>
              </w:rPr>
              <w:t>u</w:t>
            </w:r>
            <w:r w:rsidRPr="00C821DA">
              <w:rPr>
                <w:b/>
                <w:bCs/>
                <w:color w:val="000000"/>
                <w:spacing w:val="3"/>
                <w:sz w:val="22"/>
                <w:szCs w:val="22"/>
                <w:lang w:eastAsia="en-AU"/>
              </w:rPr>
              <w:t>d</w:t>
            </w:r>
            <w:r w:rsidRPr="00C821DA">
              <w:rPr>
                <w:b/>
                <w:bCs/>
                <w:color w:val="000000"/>
                <w:sz w:val="22"/>
                <w:szCs w:val="22"/>
                <w:lang w:eastAsia="en-AU"/>
              </w:rPr>
              <w:t>y</w:t>
            </w:r>
            <w:r w:rsidRPr="00C821DA">
              <w:rPr>
                <w:b/>
                <w:bCs/>
                <w:color w:val="000000"/>
                <w:spacing w:val="-8"/>
                <w:sz w:val="22"/>
                <w:szCs w:val="22"/>
                <w:lang w:eastAsia="en-AU"/>
              </w:rPr>
              <w:t xml:space="preserve"> </w:t>
            </w:r>
            <w:r w:rsidRPr="00C821DA">
              <w:rPr>
                <w:b/>
                <w:bCs/>
                <w:color w:val="000000"/>
                <w:sz w:val="22"/>
                <w:szCs w:val="22"/>
                <w:lang w:eastAsia="en-AU"/>
              </w:rPr>
              <w:t>dr</w:t>
            </w:r>
            <w:r w:rsidRPr="00C821DA">
              <w:rPr>
                <w:b/>
                <w:bCs/>
                <w:color w:val="000000"/>
                <w:spacing w:val="3"/>
                <w:sz w:val="22"/>
                <w:szCs w:val="22"/>
                <w:lang w:eastAsia="en-AU"/>
              </w:rPr>
              <w:t>u</w:t>
            </w:r>
            <w:r w:rsidRPr="00C821DA">
              <w:rPr>
                <w:b/>
                <w:bCs/>
                <w:color w:val="000000"/>
                <w:sz w:val="22"/>
                <w:szCs w:val="22"/>
                <w:lang w:eastAsia="en-AU"/>
              </w:rPr>
              <w:t>g</w:t>
            </w:r>
          </w:p>
        </w:tc>
        <w:tc>
          <w:tcPr>
            <w:tcW w:w="2327" w:type="dxa"/>
            <w:tcBorders>
              <w:top w:val="single" w:sz="4" w:space="0" w:color="000000"/>
              <w:left w:val="nil"/>
              <w:bottom w:val="single" w:sz="4" w:space="0" w:color="000000"/>
              <w:right w:val="nil"/>
            </w:tcBorders>
          </w:tcPr>
          <w:p w:rsidR="00622AE3" w:rsidRPr="00C821DA" w:rsidRDefault="00622AE3" w:rsidP="00C329A1">
            <w:pPr>
              <w:autoSpaceDE w:val="0"/>
              <w:autoSpaceDN w:val="0"/>
              <w:adjustRightInd w:val="0"/>
              <w:spacing w:before="37" w:line="240" w:lineRule="auto"/>
              <w:ind w:left="627" w:right="-20"/>
              <w:rPr>
                <w:color w:val="000000"/>
                <w:sz w:val="22"/>
                <w:szCs w:val="22"/>
                <w:lang w:eastAsia="en-AU"/>
              </w:rPr>
            </w:pPr>
            <w:r w:rsidRPr="00C821DA">
              <w:rPr>
                <w:b/>
                <w:bCs/>
                <w:color w:val="000000"/>
                <w:sz w:val="22"/>
                <w:szCs w:val="22"/>
                <w:lang w:eastAsia="en-AU"/>
              </w:rPr>
              <w:t>28</w:t>
            </w:r>
            <w:r w:rsidRPr="00C821DA">
              <w:rPr>
                <w:b/>
                <w:bCs/>
                <w:color w:val="000000"/>
                <w:spacing w:val="-3"/>
                <w:sz w:val="22"/>
                <w:szCs w:val="22"/>
                <w:lang w:eastAsia="en-AU"/>
              </w:rPr>
              <w:t xml:space="preserve"> </w:t>
            </w:r>
            <w:r w:rsidRPr="00C821DA">
              <w:rPr>
                <w:b/>
                <w:bCs/>
                <w:color w:val="000000"/>
                <w:sz w:val="22"/>
                <w:szCs w:val="22"/>
                <w:lang w:eastAsia="en-AU"/>
              </w:rPr>
              <w:t>(3</w:t>
            </w:r>
            <w:r w:rsidRPr="00C821DA">
              <w:rPr>
                <w:b/>
                <w:bCs/>
                <w:color w:val="000000"/>
                <w:spacing w:val="-1"/>
                <w:sz w:val="22"/>
                <w:szCs w:val="22"/>
                <w:lang w:eastAsia="en-AU"/>
              </w:rPr>
              <w:t>2</w:t>
            </w:r>
            <w:r w:rsidRPr="00C821DA">
              <w:rPr>
                <w:b/>
                <w:bCs/>
                <w:color w:val="000000"/>
                <w:spacing w:val="2"/>
                <w:sz w:val="22"/>
                <w:szCs w:val="22"/>
                <w:lang w:eastAsia="en-AU"/>
              </w:rPr>
              <w:t>.</w:t>
            </w:r>
            <w:r w:rsidRPr="00C821DA">
              <w:rPr>
                <w:b/>
                <w:bCs/>
                <w:color w:val="000000"/>
                <w:sz w:val="22"/>
                <w:szCs w:val="22"/>
                <w:lang w:eastAsia="en-AU"/>
              </w:rPr>
              <w:t>6)</w:t>
            </w:r>
          </w:p>
        </w:tc>
        <w:tc>
          <w:tcPr>
            <w:tcW w:w="2328" w:type="dxa"/>
            <w:tcBorders>
              <w:top w:val="single" w:sz="4" w:space="0" w:color="000000"/>
              <w:left w:val="nil"/>
              <w:bottom w:val="single" w:sz="4" w:space="0" w:color="000000"/>
              <w:right w:val="nil"/>
            </w:tcBorders>
          </w:tcPr>
          <w:p w:rsidR="00622AE3" w:rsidRPr="00C821DA" w:rsidRDefault="00622AE3" w:rsidP="00C329A1">
            <w:pPr>
              <w:autoSpaceDE w:val="0"/>
              <w:autoSpaceDN w:val="0"/>
              <w:adjustRightInd w:val="0"/>
              <w:spacing w:before="37" w:line="240" w:lineRule="auto"/>
              <w:ind w:left="558" w:right="-20"/>
              <w:rPr>
                <w:color w:val="000000"/>
                <w:sz w:val="22"/>
                <w:szCs w:val="22"/>
                <w:lang w:eastAsia="en-AU"/>
              </w:rPr>
            </w:pPr>
            <w:r w:rsidRPr="00C821DA">
              <w:rPr>
                <w:b/>
                <w:bCs/>
                <w:color w:val="000000"/>
                <w:sz w:val="22"/>
                <w:szCs w:val="22"/>
                <w:lang w:eastAsia="en-AU"/>
              </w:rPr>
              <w:t>29</w:t>
            </w:r>
            <w:r w:rsidRPr="00C821DA">
              <w:rPr>
                <w:b/>
                <w:bCs/>
                <w:color w:val="000000"/>
                <w:spacing w:val="-3"/>
                <w:sz w:val="22"/>
                <w:szCs w:val="22"/>
                <w:lang w:eastAsia="en-AU"/>
              </w:rPr>
              <w:t xml:space="preserve"> </w:t>
            </w:r>
            <w:r w:rsidRPr="00C821DA">
              <w:rPr>
                <w:b/>
                <w:bCs/>
                <w:color w:val="000000"/>
                <w:sz w:val="22"/>
                <w:szCs w:val="22"/>
                <w:lang w:eastAsia="en-AU"/>
              </w:rPr>
              <w:t>(3</w:t>
            </w:r>
            <w:r w:rsidRPr="00C821DA">
              <w:rPr>
                <w:b/>
                <w:bCs/>
                <w:color w:val="000000"/>
                <w:spacing w:val="-1"/>
                <w:sz w:val="22"/>
                <w:szCs w:val="22"/>
                <w:lang w:eastAsia="en-AU"/>
              </w:rPr>
              <w:t>3</w:t>
            </w:r>
            <w:r w:rsidRPr="00C821DA">
              <w:rPr>
                <w:b/>
                <w:bCs/>
                <w:color w:val="000000"/>
                <w:spacing w:val="2"/>
                <w:sz w:val="22"/>
                <w:szCs w:val="22"/>
                <w:lang w:eastAsia="en-AU"/>
              </w:rPr>
              <w:t>.</w:t>
            </w:r>
            <w:r w:rsidRPr="00C821DA">
              <w:rPr>
                <w:b/>
                <w:bCs/>
                <w:color w:val="000000"/>
                <w:sz w:val="22"/>
                <w:szCs w:val="22"/>
                <w:lang w:eastAsia="en-AU"/>
              </w:rPr>
              <w:t>3)</w:t>
            </w:r>
          </w:p>
        </w:tc>
      </w:tr>
      <w:tr w:rsidR="00622AE3" w:rsidRPr="00C821DA" w:rsidTr="00C821DA">
        <w:trPr>
          <w:trHeight w:hRule="exact" w:val="308"/>
          <w:jc w:val="right"/>
        </w:trPr>
        <w:tc>
          <w:tcPr>
            <w:tcW w:w="4460" w:type="dxa"/>
            <w:tcBorders>
              <w:top w:val="single" w:sz="4" w:space="0" w:color="000000"/>
              <w:left w:val="nil"/>
              <w:bottom w:val="nil"/>
              <w:right w:val="nil"/>
            </w:tcBorders>
          </w:tcPr>
          <w:p w:rsidR="00622AE3" w:rsidRPr="00C821DA" w:rsidRDefault="00622AE3" w:rsidP="00C329A1">
            <w:pPr>
              <w:autoSpaceDE w:val="0"/>
              <w:autoSpaceDN w:val="0"/>
              <w:adjustRightInd w:val="0"/>
              <w:spacing w:before="37" w:line="240" w:lineRule="auto"/>
              <w:ind w:left="60" w:right="-20"/>
              <w:rPr>
                <w:color w:val="000000"/>
                <w:sz w:val="22"/>
                <w:szCs w:val="22"/>
                <w:lang w:eastAsia="en-AU"/>
              </w:rPr>
            </w:pPr>
            <w:r w:rsidRPr="00C821DA">
              <w:rPr>
                <w:color w:val="000000"/>
                <w:sz w:val="22"/>
                <w:szCs w:val="22"/>
                <w:lang w:eastAsia="en-AU"/>
              </w:rPr>
              <w:t>U</w:t>
            </w:r>
            <w:r w:rsidRPr="00C821DA">
              <w:rPr>
                <w:color w:val="000000"/>
                <w:spacing w:val="1"/>
                <w:sz w:val="22"/>
                <w:szCs w:val="22"/>
                <w:lang w:eastAsia="en-AU"/>
              </w:rPr>
              <w:t>r</w:t>
            </w:r>
            <w:r w:rsidRPr="00C821DA">
              <w:rPr>
                <w:color w:val="000000"/>
                <w:spacing w:val="-1"/>
                <w:sz w:val="22"/>
                <w:szCs w:val="22"/>
                <w:lang w:eastAsia="en-AU"/>
              </w:rPr>
              <w:t>i</w:t>
            </w:r>
            <w:r w:rsidRPr="00C821DA">
              <w:rPr>
                <w:color w:val="000000"/>
                <w:sz w:val="22"/>
                <w:szCs w:val="22"/>
                <w:lang w:eastAsia="en-AU"/>
              </w:rPr>
              <w:t>n</w:t>
            </w:r>
            <w:r w:rsidRPr="00C821DA">
              <w:rPr>
                <w:color w:val="000000"/>
                <w:spacing w:val="-1"/>
                <w:sz w:val="22"/>
                <w:szCs w:val="22"/>
                <w:lang w:eastAsia="en-AU"/>
              </w:rPr>
              <w:t>a</w:t>
            </w:r>
            <w:r w:rsidRPr="00C821DA">
              <w:rPr>
                <w:color w:val="000000"/>
                <w:spacing w:val="5"/>
                <w:sz w:val="22"/>
                <w:szCs w:val="22"/>
                <w:lang w:eastAsia="en-AU"/>
              </w:rPr>
              <w:t>r</w:t>
            </w:r>
            <w:r w:rsidRPr="00C821DA">
              <w:rPr>
                <w:color w:val="000000"/>
                <w:sz w:val="22"/>
                <w:szCs w:val="22"/>
                <w:lang w:eastAsia="en-AU"/>
              </w:rPr>
              <w:t>y</w:t>
            </w:r>
            <w:r w:rsidRPr="00C821DA">
              <w:rPr>
                <w:color w:val="000000"/>
                <w:spacing w:val="-10"/>
                <w:sz w:val="22"/>
                <w:szCs w:val="22"/>
                <w:lang w:eastAsia="en-AU"/>
              </w:rPr>
              <w:t xml:space="preserve"> </w:t>
            </w:r>
            <w:r w:rsidRPr="00C821DA">
              <w:rPr>
                <w:color w:val="000000"/>
                <w:sz w:val="22"/>
                <w:szCs w:val="22"/>
                <w:lang w:eastAsia="en-AU"/>
              </w:rPr>
              <w:t>tra</w:t>
            </w:r>
            <w:r w:rsidRPr="00C821DA">
              <w:rPr>
                <w:color w:val="000000"/>
                <w:spacing w:val="1"/>
                <w:sz w:val="22"/>
                <w:szCs w:val="22"/>
                <w:lang w:eastAsia="en-AU"/>
              </w:rPr>
              <w:t>c</w:t>
            </w:r>
            <w:r w:rsidRPr="00C821DA">
              <w:rPr>
                <w:color w:val="000000"/>
                <w:sz w:val="22"/>
                <w:szCs w:val="22"/>
                <w:lang w:eastAsia="en-AU"/>
              </w:rPr>
              <w:t>t</w:t>
            </w:r>
            <w:r w:rsidRPr="00C821DA">
              <w:rPr>
                <w:color w:val="000000"/>
                <w:spacing w:val="-4"/>
                <w:sz w:val="22"/>
                <w:szCs w:val="22"/>
                <w:lang w:eastAsia="en-AU"/>
              </w:rPr>
              <w:t xml:space="preserve"> </w:t>
            </w:r>
            <w:r w:rsidRPr="00C821DA">
              <w:rPr>
                <w:color w:val="000000"/>
                <w:spacing w:val="1"/>
                <w:sz w:val="22"/>
                <w:szCs w:val="22"/>
                <w:lang w:eastAsia="en-AU"/>
              </w:rPr>
              <w:t>i</w:t>
            </w:r>
            <w:r w:rsidRPr="00C821DA">
              <w:rPr>
                <w:color w:val="000000"/>
                <w:sz w:val="22"/>
                <w:szCs w:val="22"/>
                <w:lang w:eastAsia="en-AU"/>
              </w:rPr>
              <w:t>n</w:t>
            </w:r>
            <w:r w:rsidRPr="00C821DA">
              <w:rPr>
                <w:color w:val="000000"/>
                <w:spacing w:val="2"/>
                <w:sz w:val="22"/>
                <w:szCs w:val="22"/>
                <w:lang w:eastAsia="en-AU"/>
              </w:rPr>
              <w:t>f</w:t>
            </w:r>
            <w:r w:rsidRPr="00C821DA">
              <w:rPr>
                <w:color w:val="000000"/>
                <w:sz w:val="22"/>
                <w:szCs w:val="22"/>
                <w:lang w:eastAsia="en-AU"/>
              </w:rPr>
              <w:t>e</w:t>
            </w:r>
            <w:r w:rsidRPr="00C821DA">
              <w:rPr>
                <w:color w:val="000000"/>
                <w:spacing w:val="1"/>
                <w:sz w:val="22"/>
                <w:szCs w:val="22"/>
                <w:lang w:eastAsia="en-AU"/>
              </w:rPr>
              <w:t>c</w:t>
            </w:r>
            <w:r w:rsidRPr="00C821DA">
              <w:rPr>
                <w:color w:val="000000"/>
                <w:sz w:val="22"/>
                <w:szCs w:val="22"/>
                <w:lang w:eastAsia="en-AU"/>
              </w:rPr>
              <w:t>t</w:t>
            </w:r>
            <w:r w:rsidRPr="00C821DA">
              <w:rPr>
                <w:color w:val="000000"/>
                <w:spacing w:val="-1"/>
                <w:sz w:val="22"/>
                <w:szCs w:val="22"/>
                <w:lang w:eastAsia="en-AU"/>
              </w:rPr>
              <w:t>i</w:t>
            </w:r>
            <w:r w:rsidRPr="00C821DA">
              <w:rPr>
                <w:color w:val="000000"/>
                <w:sz w:val="22"/>
                <w:szCs w:val="22"/>
                <w:lang w:eastAsia="en-AU"/>
              </w:rPr>
              <w:t>on</w:t>
            </w:r>
          </w:p>
        </w:tc>
        <w:tc>
          <w:tcPr>
            <w:tcW w:w="2327" w:type="dxa"/>
            <w:tcBorders>
              <w:top w:val="single" w:sz="4" w:space="0" w:color="000000"/>
              <w:left w:val="nil"/>
              <w:bottom w:val="nil"/>
              <w:right w:val="nil"/>
            </w:tcBorders>
          </w:tcPr>
          <w:p w:rsidR="00622AE3" w:rsidRPr="00C821DA" w:rsidRDefault="00622AE3" w:rsidP="00C329A1">
            <w:pPr>
              <w:autoSpaceDE w:val="0"/>
              <w:autoSpaceDN w:val="0"/>
              <w:adjustRightInd w:val="0"/>
              <w:spacing w:before="37" w:line="240" w:lineRule="auto"/>
              <w:ind w:left="738" w:right="-20"/>
              <w:rPr>
                <w:color w:val="000000"/>
                <w:sz w:val="22"/>
                <w:szCs w:val="22"/>
                <w:lang w:eastAsia="en-AU"/>
              </w:rPr>
            </w:pPr>
            <w:r w:rsidRPr="00C821DA">
              <w:rPr>
                <w:color w:val="000000"/>
                <w:sz w:val="22"/>
                <w:szCs w:val="22"/>
                <w:lang w:eastAsia="en-AU"/>
              </w:rPr>
              <w:t>5</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5.</w:t>
            </w:r>
            <w:r w:rsidRPr="00C821DA">
              <w:rPr>
                <w:color w:val="000000"/>
                <w:spacing w:val="-1"/>
                <w:sz w:val="22"/>
                <w:szCs w:val="22"/>
                <w:lang w:eastAsia="en-AU"/>
              </w:rPr>
              <w:t>8</w:t>
            </w:r>
            <w:r w:rsidRPr="00C821DA">
              <w:rPr>
                <w:color w:val="000000"/>
                <w:sz w:val="22"/>
                <w:szCs w:val="22"/>
                <w:lang w:eastAsia="en-AU"/>
              </w:rPr>
              <w:t>)</w:t>
            </w:r>
          </w:p>
        </w:tc>
        <w:tc>
          <w:tcPr>
            <w:tcW w:w="2328" w:type="dxa"/>
            <w:tcBorders>
              <w:top w:val="single" w:sz="4" w:space="0" w:color="000000"/>
              <w:left w:val="nil"/>
              <w:bottom w:val="nil"/>
              <w:right w:val="nil"/>
            </w:tcBorders>
          </w:tcPr>
          <w:p w:rsidR="00622AE3" w:rsidRPr="00C821DA" w:rsidRDefault="00622AE3" w:rsidP="00C329A1">
            <w:pPr>
              <w:autoSpaceDE w:val="0"/>
              <w:autoSpaceDN w:val="0"/>
              <w:adjustRightInd w:val="0"/>
              <w:spacing w:before="37" w:line="240" w:lineRule="auto"/>
              <w:ind w:left="66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pacing w:val="2"/>
                <w:sz w:val="22"/>
                <w:szCs w:val="22"/>
                <w:lang w:eastAsia="en-AU"/>
              </w:rPr>
              <w:t>H</w:t>
            </w:r>
            <w:r w:rsidRPr="00C821DA">
              <w:rPr>
                <w:color w:val="000000"/>
                <w:spacing w:val="-4"/>
                <w:sz w:val="22"/>
                <w:szCs w:val="22"/>
                <w:lang w:eastAsia="en-AU"/>
              </w:rPr>
              <w:t>y</w:t>
            </w:r>
            <w:r w:rsidRPr="00C821DA">
              <w:rPr>
                <w:color w:val="000000"/>
                <w:spacing w:val="2"/>
                <w:sz w:val="22"/>
                <w:szCs w:val="22"/>
                <w:lang w:eastAsia="en-AU"/>
              </w:rPr>
              <w:t>p</w:t>
            </w:r>
            <w:r w:rsidRPr="00C821DA">
              <w:rPr>
                <w:color w:val="000000"/>
                <w:sz w:val="22"/>
                <w:szCs w:val="22"/>
                <w:lang w:eastAsia="en-AU"/>
              </w:rPr>
              <w:t>erten</w:t>
            </w:r>
            <w:r w:rsidRPr="00C821DA">
              <w:rPr>
                <w:color w:val="000000"/>
                <w:spacing w:val="1"/>
                <w:sz w:val="22"/>
                <w:szCs w:val="22"/>
                <w:lang w:eastAsia="en-AU"/>
              </w:rPr>
              <w:t>si</w:t>
            </w:r>
            <w:r w:rsidRPr="00C821DA">
              <w:rPr>
                <w:color w:val="000000"/>
                <w:sz w:val="22"/>
                <w:szCs w:val="22"/>
                <w:lang w:eastAsia="en-AU"/>
              </w:rPr>
              <w:t>on</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3</w:t>
            </w:r>
            <w:r w:rsidRPr="00C821DA">
              <w:rPr>
                <w:color w:val="000000"/>
                <w:spacing w:val="-1"/>
                <w:sz w:val="22"/>
                <w:szCs w:val="22"/>
                <w:lang w:eastAsia="en-AU"/>
              </w:rPr>
              <w:t xml:space="preserve"> </w:t>
            </w:r>
            <w:r w:rsidRPr="00C821DA">
              <w:rPr>
                <w:color w:val="000000"/>
                <w:sz w:val="22"/>
                <w:szCs w:val="22"/>
                <w:lang w:eastAsia="en-AU"/>
              </w:rPr>
              <w:t>(3.5)</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z w:val="22"/>
                <w:szCs w:val="22"/>
                <w:lang w:eastAsia="en-AU"/>
              </w:rPr>
              <w:t>Ch</w:t>
            </w:r>
            <w:r w:rsidRPr="00C821DA">
              <w:rPr>
                <w:color w:val="000000"/>
                <w:spacing w:val="1"/>
                <w:sz w:val="22"/>
                <w:szCs w:val="22"/>
                <w:lang w:eastAsia="en-AU"/>
              </w:rPr>
              <w:t>i</w:t>
            </w:r>
            <w:r w:rsidRPr="00C821DA">
              <w:rPr>
                <w:color w:val="000000"/>
                <w:spacing w:val="-1"/>
                <w:sz w:val="22"/>
                <w:szCs w:val="22"/>
                <w:lang w:eastAsia="en-AU"/>
              </w:rPr>
              <w:t>ll</w:t>
            </w:r>
            <w:r w:rsidRPr="00C821DA">
              <w:rPr>
                <w:color w:val="000000"/>
                <w:sz w:val="22"/>
                <w:szCs w:val="22"/>
                <w:lang w:eastAsia="en-AU"/>
              </w:rPr>
              <w:t>s</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868" w:right="721"/>
              <w:jc w:val="center"/>
              <w:rPr>
                <w:color w:val="000000"/>
                <w:sz w:val="22"/>
                <w:szCs w:val="22"/>
                <w:lang w:eastAsia="en-AU"/>
              </w:rPr>
            </w:pPr>
            <w:r w:rsidRPr="00C821DA">
              <w:rPr>
                <w:color w:val="000000"/>
                <w:w w:val="99"/>
                <w:sz w:val="22"/>
                <w:szCs w:val="22"/>
                <w:lang w:eastAsia="en-AU"/>
              </w:rPr>
              <w:t>0</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z w:val="22"/>
                <w:szCs w:val="22"/>
                <w:lang w:eastAsia="en-AU"/>
              </w:rPr>
              <w:t>F</w:t>
            </w:r>
            <w:r w:rsidRPr="00C821DA">
              <w:rPr>
                <w:color w:val="000000"/>
                <w:spacing w:val="-1"/>
                <w:sz w:val="22"/>
                <w:szCs w:val="22"/>
                <w:lang w:eastAsia="en-AU"/>
              </w:rPr>
              <w:t>i</w:t>
            </w:r>
            <w:r w:rsidRPr="00C821DA">
              <w:rPr>
                <w:color w:val="000000"/>
                <w:spacing w:val="1"/>
                <w:sz w:val="22"/>
                <w:szCs w:val="22"/>
                <w:lang w:eastAsia="en-AU"/>
              </w:rPr>
              <w:t>s</w:t>
            </w:r>
            <w:r w:rsidRPr="00C821DA">
              <w:rPr>
                <w:color w:val="000000"/>
                <w:sz w:val="22"/>
                <w:szCs w:val="22"/>
                <w:lang w:eastAsia="en-AU"/>
              </w:rPr>
              <w:t>tu</w:t>
            </w:r>
            <w:r w:rsidRPr="00C821DA">
              <w:rPr>
                <w:color w:val="000000"/>
                <w:spacing w:val="-2"/>
                <w:sz w:val="22"/>
                <w:szCs w:val="22"/>
                <w:lang w:eastAsia="en-AU"/>
              </w:rPr>
              <w:t>l</w:t>
            </w:r>
            <w:r w:rsidRPr="00C821DA">
              <w:rPr>
                <w:color w:val="000000"/>
                <w:sz w:val="22"/>
                <w:szCs w:val="22"/>
                <w:lang w:eastAsia="en-AU"/>
              </w:rPr>
              <w:t>a</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868" w:right="721"/>
              <w:jc w:val="center"/>
              <w:rPr>
                <w:color w:val="000000"/>
                <w:sz w:val="22"/>
                <w:szCs w:val="22"/>
                <w:lang w:eastAsia="en-AU"/>
              </w:rPr>
            </w:pPr>
            <w:r w:rsidRPr="00C821DA">
              <w:rPr>
                <w:color w:val="000000"/>
                <w:w w:val="99"/>
                <w:sz w:val="22"/>
                <w:szCs w:val="22"/>
                <w:lang w:eastAsia="en-AU"/>
              </w:rPr>
              <w:t>0</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z w:val="22"/>
                <w:szCs w:val="22"/>
                <w:lang w:eastAsia="en-AU"/>
              </w:rPr>
              <w:t>Hea</w:t>
            </w:r>
            <w:r w:rsidRPr="00C821DA">
              <w:rPr>
                <w:color w:val="000000"/>
                <w:spacing w:val="1"/>
                <w:sz w:val="22"/>
                <w:szCs w:val="22"/>
                <w:lang w:eastAsia="en-AU"/>
              </w:rPr>
              <w:t>d</w:t>
            </w:r>
            <w:r w:rsidRPr="00C821DA">
              <w:rPr>
                <w:color w:val="000000"/>
                <w:sz w:val="22"/>
                <w:szCs w:val="22"/>
                <w:lang w:eastAsia="en-AU"/>
              </w:rPr>
              <w:t>a</w:t>
            </w:r>
            <w:r w:rsidRPr="00C821DA">
              <w:rPr>
                <w:color w:val="000000"/>
                <w:spacing w:val="1"/>
                <w:sz w:val="22"/>
                <w:szCs w:val="22"/>
                <w:lang w:eastAsia="en-AU"/>
              </w:rPr>
              <w:t>c</w:t>
            </w:r>
            <w:r w:rsidRPr="00C821DA">
              <w:rPr>
                <w:color w:val="000000"/>
                <w:sz w:val="22"/>
                <w:szCs w:val="22"/>
                <w:lang w:eastAsia="en-AU"/>
              </w:rPr>
              <w:t>he</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1</w:t>
            </w:r>
            <w:r w:rsidRPr="00C821DA">
              <w:rPr>
                <w:color w:val="000000"/>
                <w:spacing w:val="-1"/>
                <w:sz w:val="22"/>
                <w:szCs w:val="22"/>
                <w:lang w:eastAsia="en-AU"/>
              </w:rPr>
              <w:t xml:space="preserve"> </w:t>
            </w:r>
            <w:r w:rsidRPr="00C821DA">
              <w:rPr>
                <w:color w:val="000000"/>
                <w:sz w:val="22"/>
                <w:szCs w:val="22"/>
                <w:lang w:eastAsia="en-AU"/>
              </w:rPr>
              <w:t>(1.1)</w:t>
            </w:r>
          </w:p>
        </w:tc>
      </w:tr>
      <w:tr w:rsidR="00622AE3" w:rsidRPr="00C821DA" w:rsidTr="00C821DA">
        <w:trPr>
          <w:trHeight w:hRule="exact" w:val="289"/>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proofErr w:type="spellStart"/>
            <w:r w:rsidRPr="00C821DA">
              <w:rPr>
                <w:color w:val="000000"/>
                <w:sz w:val="22"/>
                <w:szCs w:val="22"/>
                <w:lang w:eastAsia="en-AU"/>
              </w:rPr>
              <w:t>L</w:t>
            </w:r>
            <w:r w:rsidRPr="00C821DA">
              <w:rPr>
                <w:color w:val="000000"/>
                <w:spacing w:val="-1"/>
                <w:sz w:val="22"/>
                <w:szCs w:val="22"/>
                <w:lang w:eastAsia="en-AU"/>
              </w:rPr>
              <w:t>e</w:t>
            </w:r>
            <w:r w:rsidRPr="00C821DA">
              <w:rPr>
                <w:color w:val="000000"/>
                <w:sz w:val="22"/>
                <w:szCs w:val="22"/>
                <w:lang w:eastAsia="en-AU"/>
              </w:rPr>
              <w:t>u</w:t>
            </w:r>
            <w:r w:rsidRPr="00C821DA">
              <w:rPr>
                <w:color w:val="000000"/>
                <w:spacing w:val="3"/>
                <w:sz w:val="22"/>
                <w:szCs w:val="22"/>
                <w:lang w:eastAsia="en-AU"/>
              </w:rPr>
              <w:t>k</w:t>
            </w:r>
            <w:r w:rsidRPr="00C821DA">
              <w:rPr>
                <w:color w:val="000000"/>
                <w:sz w:val="22"/>
                <w:szCs w:val="22"/>
                <w:lang w:eastAsia="en-AU"/>
              </w:rPr>
              <w:t>o</w:t>
            </w:r>
            <w:r w:rsidRPr="00C821DA">
              <w:rPr>
                <w:color w:val="000000"/>
                <w:spacing w:val="3"/>
                <w:sz w:val="22"/>
                <w:szCs w:val="22"/>
                <w:lang w:eastAsia="en-AU"/>
              </w:rPr>
              <w:t>c</w:t>
            </w:r>
            <w:r w:rsidRPr="00C821DA">
              <w:rPr>
                <w:color w:val="000000"/>
                <w:spacing w:val="-4"/>
                <w:sz w:val="22"/>
                <w:szCs w:val="22"/>
                <w:lang w:eastAsia="en-AU"/>
              </w:rPr>
              <w:t>y</w:t>
            </w:r>
            <w:r w:rsidRPr="00C821DA">
              <w:rPr>
                <w:color w:val="000000"/>
                <w:sz w:val="22"/>
                <w:szCs w:val="22"/>
                <w:lang w:eastAsia="en-AU"/>
              </w:rPr>
              <w:t>tur</w:t>
            </w:r>
            <w:r w:rsidRPr="00C821DA">
              <w:rPr>
                <w:color w:val="000000"/>
                <w:spacing w:val="-1"/>
                <w:sz w:val="22"/>
                <w:szCs w:val="22"/>
                <w:lang w:eastAsia="en-AU"/>
              </w:rPr>
              <w:t>i</w:t>
            </w:r>
            <w:r w:rsidRPr="00C821DA">
              <w:rPr>
                <w:color w:val="000000"/>
                <w:sz w:val="22"/>
                <w:szCs w:val="22"/>
                <w:lang w:eastAsia="en-AU"/>
              </w:rPr>
              <w:t>a</w:t>
            </w:r>
            <w:proofErr w:type="spellEnd"/>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868" w:right="721"/>
              <w:jc w:val="center"/>
              <w:rPr>
                <w:color w:val="000000"/>
                <w:sz w:val="22"/>
                <w:szCs w:val="22"/>
                <w:lang w:eastAsia="en-AU"/>
              </w:rPr>
            </w:pPr>
            <w:r w:rsidRPr="00C821DA">
              <w:rPr>
                <w:color w:val="000000"/>
                <w:w w:val="99"/>
                <w:sz w:val="22"/>
                <w:szCs w:val="22"/>
                <w:lang w:eastAsia="en-AU"/>
              </w:rPr>
              <w:t>0</w:t>
            </w:r>
          </w:p>
        </w:tc>
      </w:tr>
      <w:tr w:rsidR="00622AE3" w:rsidRPr="00C821DA" w:rsidTr="00C821DA">
        <w:trPr>
          <w:trHeight w:hRule="exact" w:val="289"/>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8" w:line="240" w:lineRule="auto"/>
              <w:ind w:left="60" w:right="-20"/>
              <w:rPr>
                <w:color w:val="000000"/>
                <w:sz w:val="22"/>
                <w:szCs w:val="22"/>
                <w:lang w:eastAsia="en-AU"/>
              </w:rPr>
            </w:pPr>
            <w:proofErr w:type="spellStart"/>
            <w:r w:rsidRPr="00C821DA">
              <w:rPr>
                <w:color w:val="000000"/>
                <w:sz w:val="22"/>
                <w:szCs w:val="22"/>
                <w:lang w:eastAsia="en-AU"/>
              </w:rPr>
              <w:t>Na</w:t>
            </w:r>
            <w:r w:rsidRPr="00C821DA">
              <w:rPr>
                <w:color w:val="000000"/>
                <w:spacing w:val="1"/>
                <w:sz w:val="22"/>
                <w:szCs w:val="22"/>
                <w:lang w:eastAsia="en-AU"/>
              </w:rPr>
              <w:t>s</w:t>
            </w:r>
            <w:r w:rsidRPr="00C821DA">
              <w:rPr>
                <w:color w:val="000000"/>
                <w:sz w:val="22"/>
                <w:szCs w:val="22"/>
                <w:lang w:eastAsia="en-AU"/>
              </w:rPr>
              <w:t>o</w:t>
            </w:r>
            <w:r w:rsidRPr="00C821DA">
              <w:rPr>
                <w:color w:val="000000"/>
                <w:spacing w:val="-1"/>
                <w:sz w:val="22"/>
                <w:szCs w:val="22"/>
                <w:lang w:eastAsia="en-AU"/>
              </w:rPr>
              <w:t>p</w:t>
            </w:r>
            <w:r w:rsidRPr="00C821DA">
              <w:rPr>
                <w:color w:val="000000"/>
                <w:spacing w:val="2"/>
                <w:sz w:val="22"/>
                <w:szCs w:val="22"/>
                <w:lang w:eastAsia="en-AU"/>
              </w:rPr>
              <w:t>h</w:t>
            </w:r>
            <w:r w:rsidRPr="00C821DA">
              <w:rPr>
                <w:color w:val="000000"/>
                <w:sz w:val="22"/>
                <w:szCs w:val="22"/>
                <w:lang w:eastAsia="en-AU"/>
              </w:rPr>
              <w:t>a</w:t>
            </w:r>
            <w:r w:rsidRPr="00C821DA">
              <w:rPr>
                <w:color w:val="000000"/>
                <w:spacing w:val="3"/>
                <w:sz w:val="22"/>
                <w:szCs w:val="22"/>
                <w:lang w:eastAsia="en-AU"/>
              </w:rPr>
              <w:t>r</w:t>
            </w:r>
            <w:r w:rsidRPr="00C821DA">
              <w:rPr>
                <w:color w:val="000000"/>
                <w:spacing w:val="-4"/>
                <w:sz w:val="22"/>
                <w:szCs w:val="22"/>
                <w:lang w:eastAsia="en-AU"/>
              </w:rPr>
              <w:t>y</w:t>
            </w:r>
            <w:r w:rsidRPr="00C821DA">
              <w:rPr>
                <w:color w:val="000000"/>
                <w:spacing w:val="2"/>
                <w:sz w:val="22"/>
                <w:szCs w:val="22"/>
                <w:lang w:eastAsia="en-AU"/>
              </w:rPr>
              <w:t>n</w:t>
            </w:r>
            <w:r w:rsidRPr="00C821DA">
              <w:rPr>
                <w:color w:val="000000"/>
                <w:sz w:val="22"/>
                <w:szCs w:val="22"/>
                <w:lang w:eastAsia="en-AU"/>
              </w:rPr>
              <w:t>g</w:t>
            </w:r>
            <w:r w:rsidRPr="00C821DA">
              <w:rPr>
                <w:color w:val="000000"/>
                <w:spacing w:val="-1"/>
                <w:sz w:val="22"/>
                <w:szCs w:val="22"/>
                <w:lang w:eastAsia="en-AU"/>
              </w:rPr>
              <w:t>i</w:t>
            </w:r>
            <w:r w:rsidRPr="00C821DA">
              <w:rPr>
                <w:color w:val="000000"/>
                <w:spacing w:val="2"/>
                <w:sz w:val="22"/>
                <w:szCs w:val="22"/>
                <w:lang w:eastAsia="en-AU"/>
              </w:rPr>
              <w:t>t</w:t>
            </w:r>
            <w:r w:rsidRPr="00C821DA">
              <w:rPr>
                <w:color w:val="000000"/>
                <w:spacing w:val="-1"/>
                <w:sz w:val="22"/>
                <w:szCs w:val="22"/>
                <w:lang w:eastAsia="en-AU"/>
              </w:rPr>
              <w:t>i</w:t>
            </w:r>
            <w:r w:rsidRPr="00C821DA">
              <w:rPr>
                <w:color w:val="000000"/>
                <w:sz w:val="22"/>
                <w:szCs w:val="22"/>
                <w:lang w:eastAsia="en-AU"/>
              </w:rPr>
              <w:t>s</w:t>
            </w:r>
            <w:proofErr w:type="spellEnd"/>
          </w:p>
        </w:tc>
        <w:tc>
          <w:tcPr>
            <w:tcW w:w="2327" w:type="dxa"/>
            <w:tcBorders>
              <w:top w:val="nil"/>
              <w:left w:val="nil"/>
              <w:bottom w:val="nil"/>
              <w:right w:val="nil"/>
            </w:tcBorders>
          </w:tcPr>
          <w:p w:rsidR="00622AE3" w:rsidRPr="00C821DA" w:rsidRDefault="00622AE3" w:rsidP="00C329A1">
            <w:pPr>
              <w:autoSpaceDE w:val="0"/>
              <w:autoSpaceDN w:val="0"/>
              <w:adjustRightInd w:val="0"/>
              <w:spacing w:before="18" w:line="240" w:lineRule="auto"/>
              <w:ind w:left="73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8" w:line="240" w:lineRule="auto"/>
              <w:ind w:left="668" w:right="-20"/>
              <w:rPr>
                <w:color w:val="000000"/>
                <w:sz w:val="22"/>
                <w:szCs w:val="22"/>
                <w:lang w:eastAsia="en-AU"/>
              </w:rPr>
            </w:pPr>
            <w:r w:rsidRPr="00C821DA">
              <w:rPr>
                <w:color w:val="000000"/>
                <w:sz w:val="22"/>
                <w:szCs w:val="22"/>
                <w:lang w:eastAsia="en-AU"/>
              </w:rPr>
              <w:t>4</w:t>
            </w:r>
            <w:r w:rsidRPr="00C821DA">
              <w:rPr>
                <w:color w:val="000000"/>
                <w:spacing w:val="-1"/>
                <w:sz w:val="22"/>
                <w:szCs w:val="22"/>
                <w:lang w:eastAsia="en-AU"/>
              </w:rPr>
              <w:t xml:space="preserve"> </w:t>
            </w:r>
            <w:r w:rsidRPr="00C821DA">
              <w:rPr>
                <w:color w:val="000000"/>
                <w:sz w:val="22"/>
                <w:szCs w:val="22"/>
                <w:lang w:eastAsia="en-AU"/>
              </w:rPr>
              <w:t>(4.6)</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z w:val="22"/>
                <w:szCs w:val="22"/>
                <w:lang w:eastAsia="en-AU"/>
              </w:rPr>
              <w:t>Cou</w:t>
            </w:r>
            <w:r w:rsidRPr="00C821DA">
              <w:rPr>
                <w:color w:val="000000"/>
                <w:spacing w:val="1"/>
                <w:sz w:val="22"/>
                <w:szCs w:val="22"/>
                <w:lang w:eastAsia="en-AU"/>
              </w:rPr>
              <w:t>g</w:t>
            </w:r>
            <w:r w:rsidRPr="00C821DA">
              <w:rPr>
                <w:color w:val="000000"/>
                <w:sz w:val="22"/>
                <w:szCs w:val="22"/>
                <w:lang w:eastAsia="en-AU"/>
              </w:rPr>
              <w:t>h</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1</w:t>
            </w:r>
            <w:r w:rsidRPr="00C821DA">
              <w:rPr>
                <w:color w:val="000000"/>
                <w:spacing w:val="-1"/>
                <w:sz w:val="22"/>
                <w:szCs w:val="22"/>
                <w:lang w:eastAsia="en-AU"/>
              </w:rPr>
              <w:t xml:space="preserve"> </w:t>
            </w:r>
            <w:r w:rsidRPr="00C821DA">
              <w:rPr>
                <w:color w:val="000000"/>
                <w:sz w:val="22"/>
                <w:szCs w:val="22"/>
                <w:lang w:eastAsia="en-AU"/>
              </w:rPr>
              <w:t>(1.2)</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3</w:t>
            </w:r>
            <w:r w:rsidRPr="00C821DA">
              <w:rPr>
                <w:color w:val="000000"/>
                <w:spacing w:val="-1"/>
                <w:sz w:val="22"/>
                <w:szCs w:val="22"/>
                <w:lang w:eastAsia="en-AU"/>
              </w:rPr>
              <w:t xml:space="preserve"> </w:t>
            </w:r>
            <w:r w:rsidRPr="00C821DA">
              <w:rPr>
                <w:color w:val="000000"/>
                <w:sz w:val="22"/>
                <w:szCs w:val="22"/>
                <w:lang w:eastAsia="en-AU"/>
              </w:rPr>
              <w:t>(3.4)</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z w:val="22"/>
                <w:szCs w:val="22"/>
                <w:lang w:eastAsia="en-AU"/>
              </w:rPr>
              <w:t>In</w:t>
            </w:r>
            <w:r w:rsidRPr="00C821DA">
              <w:rPr>
                <w:color w:val="000000"/>
                <w:spacing w:val="1"/>
                <w:sz w:val="22"/>
                <w:szCs w:val="22"/>
                <w:lang w:eastAsia="en-AU"/>
              </w:rPr>
              <w:t>f</w:t>
            </w:r>
            <w:r w:rsidRPr="00C821DA">
              <w:rPr>
                <w:color w:val="000000"/>
                <w:sz w:val="22"/>
                <w:szCs w:val="22"/>
                <w:lang w:eastAsia="en-AU"/>
              </w:rPr>
              <w:t>u</w:t>
            </w:r>
            <w:r w:rsidRPr="00C821DA">
              <w:rPr>
                <w:color w:val="000000"/>
                <w:spacing w:val="1"/>
                <w:sz w:val="22"/>
                <w:szCs w:val="22"/>
                <w:lang w:eastAsia="en-AU"/>
              </w:rPr>
              <w:t>s</w:t>
            </w:r>
            <w:r w:rsidRPr="00C821DA">
              <w:rPr>
                <w:color w:val="000000"/>
                <w:spacing w:val="-1"/>
                <w:sz w:val="22"/>
                <w:szCs w:val="22"/>
                <w:lang w:eastAsia="en-AU"/>
              </w:rPr>
              <w:t>i</w:t>
            </w:r>
            <w:r w:rsidRPr="00C821DA">
              <w:rPr>
                <w:color w:val="000000"/>
                <w:sz w:val="22"/>
                <w:szCs w:val="22"/>
                <w:lang w:eastAsia="en-AU"/>
              </w:rPr>
              <w:t>on</w:t>
            </w:r>
            <w:r w:rsidRPr="00C821DA">
              <w:rPr>
                <w:color w:val="000000"/>
                <w:spacing w:val="-8"/>
                <w:sz w:val="22"/>
                <w:szCs w:val="22"/>
                <w:lang w:eastAsia="en-AU"/>
              </w:rPr>
              <w:t xml:space="preserve"> </w:t>
            </w:r>
            <w:r w:rsidRPr="00C821DA">
              <w:rPr>
                <w:color w:val="000000"/>
                <w:sz w:val="22"/>
                <w:szCs w:val="22"/>
                <w:lang w:eastAsia="en-AU"/>
              </w:rPr>
              <w:t>r</w:t>
            </w:r>
            <w:r w:rsidRPr="00C821DA">
              <w:rPr>
                <w:color w:val="000000"/>
                <w:spacing w:val="2"/>
                <w:sz w:val="22"/>
                <w:szCs w:val="22"/>
                <w:lang w:eastAsia="en-AU"/>
              </w:rPr>
              <w:t>e</w:t>
            </w:r>
            <w:r w:rsidRPr="00C821DA">
              <w:rPr>
                <w:color w:val="000000"/>
                <w:spacing w:val="-1"/>
                <w:sz w:val="22"/>
                <w:szCs w:val="22"/>
                <w:lang w:eastAsia="en-AU"/>
              </w:rPr>
              <w:t>l</w:t>
            </w:r>
            <w:r w:rsidRPr="00C821DA">
              <w:rPr>
                <w:color w:val="000000"/>
                <w:sz w:val="22"/>
                <w:szCs w:val="22"/>
                <w:lang w:eastAsia="en-AU"/>
              </w:rPr>
              <w:t>at</w:t>
            </w:r>
            <w:r w:rsidRPr="00C821DA">
              <w:rPr>
                <w:color w:val="000000"/>
                <w:spacing w:val="1"/>
                <w:sz w:val="22"/>
                <w:szCs w:val="22"/>
                <w:lang w:eastAsia="en-AU"/>
              </w:rPr>
              <w:t>e</w:t>
            </w:r>
            <w:r w:rsidRPr="00C821DA">
              <w:rPr>
                <w:color w:val="000000"/>
                <w:sz w:val="22"/>
                <w:szCs w:val="22"/>
                <w:lang w:eastAsia="en-AU"/>
              </w:rPr>
              <w:t>d</w:t>
            </w:r>
            <w:r w:rsidRPr="00C821DA">
              <w:rPr>
                <w:color w:val="000000"/>
                <w:spacing w:val="-6"/>
                <w:sz w:val="22"/>
                <w:szCs w:val="22"/>
                <w:lang w:eastAsia="en-AU"/>
              </w:rPr>
              <w:t xml:space="preserve"> </w:t>
            </w:r>
            <w:r w:rsidRPr="00C821DA">
              <w:rPr>
                <w:color w:val="000000"/>
                <w:sz w:val="22"/>
                <w:szCs w:val="22"/>
                <w:lang w:eastAsia="en-AU"/>
              </w:rPr>
              <w:t>rea</w:t>
            </w:r>
            <w:r w:rsidRPr="00C821DA">
              <w:rPr>
                <w:color w:val="000000"/>
                <w:spacing w:val="1"/>
                <w:sz w:val="22"/>
                <w:szCs w:val="22"/>
                <w:lang w:eastAsia="en-AU"/>
              </w:rPr>
              <w:t>c</w:t>
            </w:r>
            <w:r w:rsidRPr="00C821DA">
              <w:rPr>
                <w:color w:val="000000"/>
                <w:spacing w:val="2"/>
                <w:sz w:val="22"/>
                <w:szCs w:val="22"/>
                <w:lang w:eastAsia="en-AU"/>
              </w:rPr>
              <w:t>t</w:t>
            </w:r>
            <w:r w:rsidRPr="00C821DA">
              <w:rPr>
                <w:color w:val="000000"/>
                <w:spacing w:val="-1"/>
                <w:sz w:val="22"/>
                <w:szCs w:val="22"/>
                <w:lang w:eastAsia="en-AU"/>
              </w:rPr>
              <w:t>i</w:t>
            </w:r>
            <w:r w:rsidRPr="00C821DA">
              <w:rPr>
                <w:color w:val="000000"/>
                <w:sz w:val="22"/>
                <w:szCs w:val="22"/>
                <w:lang w:eastAsia="en-AU"/>
              </w:rPr>
              <w:t>on</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1</w:t>
            </w:r>
            <w:r w:rsidRPr="00C821DA">
              <w:rPr>
                <w:color w:val="000000"/>
                <w:spacing w:val="-1"/>
                <w:sz w:val="22"/>
                <w:szCs w:val="22"/>
                <w:lang w:eastAsia="en-AU"/>
              </w:rPr>
              <w:t xml:space="preserve"> </w:t>
            </w:r>
            <w:r w:rsidRPr="00C821DA">
              <w:rPr>
                <w:color w:val="000000"/>
                <w:sz w:val="22"/>
                <w:szCs w:val="22"/>
                <w:lang w:eastAsia="en-AU"/>
              </w:rPr>
              <w:t>(1.2)</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4</w:t>
            </w:r>
            <w:r w:rsidRPr="00C821DA">
              <w:rPr>
                <w:color w:val="000000"/>
                <w:spacing w:val="-1"/>
                <w:sz w:val="22"/>
                <w:szCs w:val="22"/>
                <w:lang w:eastAsia="en-AU"/>
              </w:rPr>
              <w:t xml:space="preserve"> </w:t>
            </w:r>
            <w:r w:rsidRPr="00C821DA">
              <w:rPr>
                <w:color w:val="000000"/>
                <w:sz w:val="22"/>
                <w:szCs w:val="22"/>
                <w:lang w:eastAsia="en-AU"/>
              </w:rPr>
              <w:t>(4.6)</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pacing w:val="-1"/>
                <w:sz w:val="22"/>
                <w:szCs w:val="22"/>
                <w:lang w:eastAsia="en-AU"/>
              </w:rPr>
              <w:t>P</w:t>
            </w:r>
            <w:r w:rsidRPr="00C821DA">
              <w:rPr>
                <w:color w:val="000000"/>
                <w:spacing w:val="1"/>
                <w:sz w:val="22"/>
                <w:szCs w:val="22"/>
                <w:lang w:eastAsia="en-AU"/>
              </w:rPr>
              <w:t>r</w:t>
            </w:r>
            <w:r w:rsidRPr="00C821DA">
              <w:rPr>
                <w:color w:val="000000"/>
                <w:sz w:val="22"/>
                <w:szCs w:val="22"/>
                <w:lang w:eastAsia="en-AU"/>
              </w:rPr>
              <w:t>uri</w:t>
            </w:r>
            <w:r w:rsidRPr="00C821DA">
              <w:rPr>
                <w:color w:val="000000"/>
                <w:spacing w:val="-1"/>
                <w:sz w:val="22"/>
                <w:szCs w:val="22"/>
                <w:lang w:eastAsia="en-AU"/>
              </w:rPr>
              <w:t>t</w:t>
            </w:r>
            <w:r w:rsidRPr="00C821DA">
              <w:rPr>
                <w:color w:val="000000"/>
                <w:sz w:val="22"/>
                <w:szCs w:val="22"/>
                <w:lang w:eastAsia="en-AU"/>
              </w:rPr>
              <w:t>us</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1</w:t>
            </w:r>
            <w:r w:rsidRPr="00C821DA">
              <w:rPr>
                <w:color w:val="000000"/>
                <w:spacing w:val="-1"/>
                <w:sz w:val="22"/>
                <w:szCs w:val="22"/>
                <w:lang w:eastAsia="en-AU"/>
              </w:rPr>
              <w:t xml:space="preserve"> </w:t>
            </w:r>
            <w:r w:rsidRPr="00C821DA">
              <w:rPr>
                <w:color w:val="000000"/>
                <w:sz w:val="22"/>
                <w:szCs w:val="22"/>
                <w:lang w:eastAsia="en-AU"/>
              </w:rPr>
              <w:t>(1.2)</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4</w:t>
            </w:r>
            <w:r w:rsidRPr="00C821DA">
              <w:rPr>
                <w:color w:val="000000"/>
                <w:spacing w:val="-2"/>
                <w:sz w:val="22"/>
                <w:szCs w:val="22"/>
                <w:lang w:eastAsia="en-AU"/>
              </w:rPr>
              <w:t xml:space="preserve"> </w:t>
            </w:r>
            <w:r w:rsidRPr="00C821DA">
              <w:rPr>
                <w:color w:val="000000"/>
                <w:spacing w:val="1"/>
                <w:sz w:val="22"/>
                <w:szCs w:val="22"/>
                <w:lang w:eastAsia="en-AU"/>
              </w:rPr>
              <w:t>(</w:t>
            </w:r>
            <w:r w:rsidRPr="00C821DA">
              <w:rPr>
                <w:color w:val="000000"/>
                <w:sz w:val="22"/>
                <w:szCs w:val="22"/>
                <w:lang w:eastAsia="en-AU"/>
              </w:rPr>
              <w:t>4.</w:t>
            </w:r>
            <w:r w:rsidRPr="00C821DA">
              <w:rPr>
                <w:color w:val="000000"/>
                <w:spacing w:val="-1"/>
                <w:sz w:val="22"/>
                <w:szCs w:val="22"/>
                <w:lang w:eastAsia="en-AU"/>
              </w:rPr>
              <w:t>6</w:t>
            </w:r>
            <w:r w:rsidRPr="00C821DA">
              <w:rPr>
                <w:color w:val="000000"/>
                <w:sz w:val="22"/>
                <w:szCs w:val="22"/>
                <w:lang w:eastAsia="en-AU"/>
              </w:rPr>
              <w:t>)</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pacing w:val="-1"/>
                <w:sz w:val="22"/>
                <w:szCs w:val="22"/>
                <w:lang w:eastAsia="en-AU"/>
              </w:rPr>
              <w:t>B</w:t>
            </w:r>
            <w:r w:rsidRPr="00C821DA">
              <w:rPr>
                <w:color w:val="000000"/>
                <w:spacing w:val="1"/>
                <w:sz w:val="22"/>
                <w:szCs w:val="22"/>
                <w:lang w:eastAsia="en-AU"/>
              </w:rPr>
              <w:t>r</w:t>
            </w:r>
            <w:r w:rsidRPr="00C821DA">
              <w:rPr>
                <w:color w:val="000000"/>
                <w:sz w:val="22"/>
                <w:szCs w:val="22"/>
                <w:lang w:eastAsia="en-AU"/>
              </w:rPr>
              <w:t>o</w:t>
            </w:r>
            <w:r w:rsidRPr="00C821DA">
              <w:rPr>
                <w:color w:val="000000"/>
                <w:spacing w:val="-1"/>
                <w:sz w:val="22"/>
                <w:szCs w:val="22"/>
                <w:lang w:eastAsia="en-AU"/>
              </w:rPr>
              <w:t>n</w:t>
            </w:r>
            <w:r w:rsidRPr="00C821DA">
              <w:rPr>
                <w:color w:val="000000"/>
                <w:spacing w:val="1"/>
                <w:sz w:val="22"/>
                <w:szCs w:val="22"/>
                <w:lang w:eastAsia="en-AU"/>
              </w:rPr>
              <w:t>c</w:t>
            </w:r>
            <w:r w:rsidRPr="00C821DA">
              <w:rPr>
                <w:color w:val="000000"/>
                <w:spacing w:val="2"/>
                <w:sz w:val="22"/>
                <w:szCs w:val="22"/>
                <w:lang w:eastAsia="en-AU"/>
              </w:rPr>
              <w:t>h</w:t>
            </w:r>
            <w:r w:rsidRPr="00C821DA">
              <w:rPr>
                <w:color w:val="000000"/>
                <w:spacing w:val="-1"/>
                <w:sz w:val="22"/>
                <w:szCs w:val="22"/>
                <w:lang w:eastAsia="en-AU"/>
              </w:rPr>
              <w:t>i</w:t>
            </w:r>
            <w:r w:rsidRPr="00C821DA">
              <w:rPr>
                <w:color w:val="000000"/>
                <w:sz w:val="22"/>
                <w:szCs w:val="22"/>
                <w:lang w:eastAsia="en-AU"/>
              </w:rPr>
              <w:t>t</w:t>
            </w:r>
            <w:r w:rsidRPr="00C821DA">
              <w:rPr>
                <w:color w:val="000000"/>
                <w:spacing w:val="-1"/>
                <w:sz w:val="22"/>
                <w:szCs w:val="22"/>
                <w:lang w:eastAsia="en-AU"/>
              </w:rPr>
              <w:t>i</w:t>
            </w:r>
            <w:r w:rsidRPr="00C821DA">
              <w:rPr>
                <w:color w:val="000000"/>
                <w:sz w:val="22"/>
                <w:szCs w:val="22"/>
                <w:lang w:eastAsia="en-AU"/>
              </w:rPr>
              <w:t>s</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738" w:right="-20"/>
              <w:rPr>
                <w:color w:val="000000"/>
                <w:sz w:val="22"/>
                <w:szCs w:val="22"/>
                <w:lang w:eastAsia="en-AU"/>
              </w:rPr>
            </w:pPr>
            <w:r w:rsidRPr="00C821DA">
              <w:rPr>
                <w:color w:val="000000"/>
                <w:sz w:val="22"/>
                <w:szCs w:val="22"/>
                <w:lang w:eastAsia="en-AU"/>
              </w:rPr>
              <w:t>1</w:t>
            </w:r>
            <w:r w:rsidRPr="00C821DA">
              <w:rPr>
                <w:color w:val="000000"/>
                <w:spacing w:val="-1"/>
                <w:sz w:val="22"/>
                <w:szCs w:val="22"/>
                <w:lang w:eastAsia="en-AU"/>
              </w:rPr>
              <w:t xml:space="preserve"> </w:t>
            </w:r>
            <w:r w:rsidRPr="00C821DA">
              <w:rPr>
                <w:color w:val="000000"/>
                <w:sz w:val="22"/>
                <w:szCs w:val="22"/>
                <w:lang w:eastAsia="en-AU"/>
              </w:rPr>
              <w:t>(1.2)</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r>
      <w:tr w:rsidR="00622AE3" w:rsidRPr="00C821DA" w:rsidTr="00C821DA">
        <w:trPr>
          <w:trHeight w:hRule="exact" w:val="289"/>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pacing w:val="-1"/>
                <w:sz w:val="22"/>
                <w:szCs w:val="22"/>
                <w:lang w:eastAsia="en-AU"/>
              </w:rPr>
              <w:t>P</w:t>
            </w:r>
            <w:r w:rsidRPr="00C821DA">
              <w:rPr>
                <w:color w:val="000000"/>
                <w:sz w:val="22"/>
                <w:szCs w:val="22"/>
                <w:lang w:eastAsia="en-AU"/>
              </w:rPr>
              <w:t>aro</w:t>
            </w:r>
            <w:r w:rsidRPr="00C821DA">
              <w:rPr>
                <w:color w:val="000000"/>
                <w:spacing w:val="4"/>
                <w:sz w:val="22"/>
                <w:szCs w:val="22"/>
                <w:lang w:eastAsia="en-AU"/>
              </w:rPr>
              <w:t>n</w:t>
            </w:r>
            <w:r w:rsidRPr="00C821DA">
              <w:rPr>
                <w:color w:val="000000"/>
                <w:spacing w:val="-4"/>
                <w:sz w:val="22"/>
                <w:szCs w:val="22"/>
                <w:lang w:eastAsia="en-AU"/>
              </w:rPr>
              <w:t>y</w:t>
            </w:r>
            <w:r w:rsidRPr="00C821DA">
              <w:rPr>
                <w:color w:val="000000"/>
                <w:spacing w:val="1"/>
                <w:sz w:val="22"/>
                <w:szCs w:val="22"/>
                <w:lang w:eastAsia="en-AU"/>
              </w:rPr>
              <w:t>c</w:t>
            </w:r>
            <w:r w:rsidRPr="00C821DA">
              <w:rPr>
                <w:color w:val="000000"/>
                <w:spacing w:val="2"/>
                <w:sz w:val="22"/>
                <w:szCs w:val="22"/>
                <w:lang w:eastAsia="en-AU"/>
              </w:rPr>
              <w:t>h</w:t>
            </w:r>
            <w:r w:rsidRPr="00C821DA">
              <w:rPr>
                <w:color w:val="000000"/>
                <w:spacing w:val="-1"/>
                <w:sz w:val="22"/>
                <w:szCs w:val="22"/>
                <w:lang w:eastAsia="en-AU"/>
              </w:rPr>
              <w:t>i</w:t>
            </w:r>
            <w:r w:rsidRPr="00C821DA">
              <w:rPr>
                <w:color w:val="000000"/>
                <w:sz w:val="22"/>
                <w:szCs w:val="22"/>
                <w:lang w:eastAsia="en-AU"/>
              </w:rPr>
              <w:t>a</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938" w:right="772"/>
              <w:jc w:val="center"/>
              <w:rPr>
                <w:color w:val="000000"/>
                <w:sz w:val="22"/>
                <w:szCs w:val="22"/>
                <w:lang w:eastAsia="en-AU"/>
              </w:rPr>
            </w:pPr>
            <w:r w:rsidRPr="00C821DA">
              <w:rPr>
                <w:color w:val="000000"/>
                <w:w w:val="99"/>
                <w:sz w:val="22"/>
                <w:szCs w:val="22"/>
                <w:lang w:eastAsia="en-AU"/>
              </w:rPr>
              <w:t>0</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r>
      <w:tr w:rsidR="00622AE3" w:rsidRPr="00C821DA" w:rsidTr="00C821DA">
        <w:trPr>
          <w:trHeight w:hRule="exact" w:val="289"/>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8" w:line="240" w:lineRule="auto"/>
              <w:ind w:left="60" w:right="-20"/>
              <w:rPr>
                <w:color w:val="000000"/>
                <w:sz w:val="22"/>
                <w:szCs w:val="22"/>
                <w:lang w:eastAsia="en-AU"/>
              </w:rPr>
            </w:pPr>
            <w:r w:rsidRPr="00C821DA">
              <w:rPr>
                <w:color w:val="000000"/>
                <w:sz w:val="22"/>
                <w:szCs w:val="22"/>
                <w:lang w:eastAsia="en-AU"/>
              </w:rPr>
              <w:t>Ra</w:t>
            </w:r>
            <w:r w:rsidRPr="00C821DA">
              <w:rPr>
                <w:color w:val="000000"/>
                <w:spacing w:val="1"/>
                <w:sz w:val="22"/>
                <w:szCs w:val="22"/>
                <w:lang w:eastAsia="en-AU"/>
              </w:rPr>
              <w:t>s</w:t>
            </w:r>
            <w:r w:rsidRPr="00C821DA">
              <w:rPr>
                <w:color w:val="000000"/>
                <w:sz w:val="22"/>
                <w:szCs w:val="22"/>
                <w:lang w:eastAsia="en-AU"/>
              </w:rPr>
              <w:t>h</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8" w:line="240" w:lineRule="auto"/>
              <w:ind w:left="938" w:right="772"/>
              <w:jc w:val="center"/>
              <w:rPr>
                <w:color w:val="000000"/>
                <w:sz w:val="22"/>
                <w:szCs w:val="22"/>
                <w:lang w:eastAsia="en-AU"/>
              </w:rPr>
            </w:pPr>
            <w:r w:rsidRPr="00C821DA">
              <w:rPr>
                <w:color w:val="000000"/>
                <w:w w:val="99"/>
                <w:sz w:val="22"/>
                <w:szCs w:val="22"/>
                <w:lang w:eastAsia="en-AU"/>
              </w:rPr>
              <w:t>0</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8" w:line="240" w:lineRule="auto"/>
              <w:ind w:left="668" w:right="-20"/>
              <w:rPr>
                <w:color w:val="000000"/>
                <w:sz w:val="22"/>
                <w:szCs w:val="22"/>
                <w:lang w:eastAsia="en-AU"/>
              </w:rPr>
            </w:pPr>
            <w:r w:rsidRPr="00C821DA">
              <w:rPr>
                <w:color w:val="000000"/>
                <w:sz w:val="22"/>
                <w:szCs w:val="22"/>
                <w:lang w:eastAsia="en-AU"/>
              </w:rPr>
              <w:t>4</w:t>
            </w:r>
            <w:r w:rsidRPr="00C821DA">
              <w:rPr>
                <w:color w:val="000000"/>
                <w:spacing w:val="-1"/>
                <w:sz w:val="22"/>
                <w:szCs w:val="22"/>
                <w:lang w:eastAsia="en-AU"/>
              </w:rPr>
              <w:t xml:space="preserve"> </w:t>
            </w:r>
            <w:r w:rsidRPr="00C821DA">
              <w:rPr>
                <w:color w:val="000000"/>
                <w:sz w:val="22"/>
                <w:szCs w:val="22"/>
                <w:lang w:eastAsia="en-AU"/>
              </w:rPr>
              <w:t>(4.6)</w:t>
            </w:r>
          </w:p>
        </w:tc>
      </w:tr>
      <w:tr w:rsidR="00622AE3" w:rsidRPr="00C821DA" w:rsidTr="00C821DA">
        <w:trPr>
          <w:trHeight w:hRule="exact" w:val="290"/>
          <w:jc w:val="right"/>
        </w:trPr>
        <w:tc>
          <w:tcPr>
            <w:tcW w:w="4460"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z w:val="22"/>
                <w:szCs w:val="22"/>
                <w:lang w:eastAsia="en-AU"/>
              </w:rPr>
              <w:t>Re</w:t>
            </w:r>
            <w:r w:rsidRPr="00C821DA">
              <w:rPr>
                <w:color w:val="000000"/>
                <w:spacing w:val="1"/>
                <w:sz w:val="22"/>
                <w:szCs w:val="22"/>
                <w:lang w:eastAsia="en-AU"/>
              </w:rPr>
              <w:t>s</w:t>
            </w:r>
            <w:r w:rsidRPr="00C821DA">
              <w:rPr>
                <w:color w:val="000000"/>
                <w:sz w:val="22"/>
                <w:szCs w:val="22"/>
                <w:lang w:eastAsia="en-AU"/>
              </w:rPr>
              <w:t>p</w:t>
            </w:r>
            <w:r w:rsidRPr="00C821DA">
              <w:rPr>
                <w:color w:val="000000"/>
                <w:spacing w:val="-1"/>
                <w:sz w:val="22"/>
                <w:szCs w:val="22"/>
                <w:lang w:eastAsia="en-AU"/>
              </w:rPr>
              <w:t>i</w:t>
            </w:r>
            <w:r w:rsidRPr="00C821DA">
              <w:rPr>
                <w:color w:val="000000"/>
                <w:spacing w:val="1"/>
                <w:sz w:val="22"/>
                <w:szCs w:val="22"/>
                <w:lang w:eastAsia="en-AU"/>
              </w:rPr>
              <w:t>r</w:t>
            </w:r>
            <w:r w:rsidRPr="00C821DA">
              <w:rPr>
                <w:color w:val="000000"/>
                <w:sz w:val="22"/>
                <w:szCs w:val="22"/>
                <w:lang w:eastAsia="en-AU"/>
              </w:rPr>
              <w:t>a</w:t>
            </w:r>
            <w:r w:rsidRPr="00C821DA">
              <w:rPr>
                <w:color w:val="000000"/>
                <w:spacing w:val="2"/>
                <w:sz w:val="22"/>
                <w:szCs w:val="22"/>
                <w:lang w:eastAsia="en-AU"/>
              </w:rPr>
              <w:t>t</w:t>
            </w:r>
            <w:r w:rsidRPr="00C821DA">
              <w:rPr>
                <w:color w:val="000000"/>
                <w:sz w:val="22"/>
                <w:szCs w:val="22"/>
                <w:lang w:eastAsia="en-AU"/>
              </w:rPr>
              <w:t>o</w:t>
            </w:r>
            <w:r w:rsidRPr="00C821DA">
              <w:rPr>
                <w:color w:val="000000"/>
                <w:spacing w:val="3"/>
                <w:sz w:val="22"/>
                <w:szCs w:val="22"/>
                <w:lang w:eastAsia="en-AU"/>
              </w:rPr>
              <w:t>r</w:t>
            </w:r>
            <w:r w:rsidRPr="00C821DA">
              <w:rPr>
                <w:color w:val="000000"/>
                <w:sz w:val="22"/>
                <w:szCs w:val="22"/>
                <w:lang w:eastAsia="en-AU"/>
              </w:rPr>
              <w:t>y</w:t>
            </w:r>
            <w:r w:rsidRPr="00C821DA">
              <w:rPr>
                <w:color w:val="000000"/>
                <w:spacing w:val="-14"/>
                <w:sz w:val="22"/>
                <w:szCs w:val="22"/>
                <w:lang w:eastAsia="en-AU"/>
              </w:rPr>
              <w:t xml:space="preserve"> </w:t>
            </w:r>
            <w:r w:rsidRPr="00C821DA">
              <w:rPr>
                <w:color w:val="000000"/>
                <w:sz w:val="22"/>
                <w:szCs w:val="22"/>
                <w:lang w:eastAsia="en-AU"/>
              </w:rPr>
              <w:t>tra</w:t>
            </w:r>
            <w:r w:rsidRPr="00C821DA">
              <w:rPr>
                <w:color w:val="000000"/>
                <w:spacing w:val="1"/>
                <w:sz w:val="22"/>
                <w:szCs w:val="22"/>
                <w:lang w:eastAsia="en-AU"/>
              </w:rPr>
              <w:t>c</w:t>
            </w:r>
            <w:r w:rsidRPr="00C821DA">
              <w:rPr>
                <w:color w:val="000000"/>
                <w:sz w:val="22"/>
                <w:szCs w:val="22"/>
                <w:lang w:eastAsia="en-AU"/>
              </w:rPr>
              <w:t>t</w:t>
            </w:r>
            <w:r w:rsidRPr="00C821DA">
              <w:rPr>
                <w:color w:val="000000"/>
                <w:spacing w:val="-2"/>
                <w:sz w:val="22"/>
                <w:szCs w:val="22"/>
                <w:lang w:eastAsia="en-AU"/>
              </w:rPr>
              <w:t xml:space="preserve"> </w:t>
            </w:r>
            <w:r w:rsidRPr="00C821DA">
              <w:rPr>
                <w:color w:val="000000"/>
                <w:spacing w:val="-1"/>
                <w:sz w:val="22"/>
                <w:szCs w:val="22"/>
                <w:lang w:eastAsia="en-AU"/>
              </w:rPr>
              <w:t>i</w:t>
            </w:r>
            <w:r w:rsidRPr="00C821DA">
              <w:rPr>
                <w:color w:val="000000"/>
                <w:sz w:val="22"/>
                <w:szCs w:val="22"/>
                <w:lang w:eastAsia="en-AU"/>
              </w:rPr>
              <w:t>n</w:t>
            </w:r>
            <w:r w:rsidRPr="00C821DA">
              <w:rPr>
                <w:color w:val="000000"/>
                <w:spacing w:val="2"/>
                <w:sz w:val="22"/>
                <w:szCs w:val="22"/>
                <w:lang w:eastAsia="en-AU"/>
              </w:rPr>
              <w:t>f</w:t>
            </w:r>
            <w:r w:rsidRPr="00C821DA">
              <w:rPr>
                <w:color w:val="000000"/>
                <w:sz w:val="22"/>
                <w:szCs w:val="22"/>
                <w:lang w:eastAsia="en-AU"/>
              </w:rPr>
              <w:t>e</w:t>
            </w:r>
            <w:r w:rsidRPr="00C821DA">
              <w:rPr>
                <w:color w:val="000000"/>
                <w:spacing w:val="1"/>
                <w:sz w:val="22"/>
                <w:szCs w:val="22"/>
                <w:lang w:eastAsia="en-AU"/>
              </w:rPr>
              <w:t>c</w:t>
            </w:r>
            <w:r w:rsidRPr="00C821DA">
              <w:rPr>
                <w:color w:val="000000"/>
                <w:sz w:val="22"/>
                <w:szCs w:val="22"/>
                <w:lang w:eastAsia="en-AU"/>
              </w:rPr>
              <w:t>t</w:t>
            </w:r>
            <w:r w:rsidRPr="00C821DA">
              <w:rPr>
                <w:color w:val="000000"/>
                <w:spacing w:val="-1"/>
                <w:sz w:val="22"/>
                <w:szCs w:val="22"/>
                <w:lang w:eastAsia="en-AU"/>
              </w:rPr>
              <w:t>i</w:t>
            </w:r>
            <w:r w:rsidRPr="00C821DA">
              <w:rPr>
                <w:color w:val="000000"/>
                <w:spacing w:val="2"/>
                <w:sz w:val="22"/>
                <w:szCs w:val="22"/>
                <w:lang w:eastAsia="en-AU"/>
              </w:rPr>
              <w:t>o</w:t>
            </w:r>
            <w:r w:rsidRPr="00C821DA">
              <w:rPr>
                <w:color w:val="000000"/>
                <w:sz w:val="22"/>
                <w:szCs w:val="22"/>
                <w:lang w:eastAsia="en-AU"/>
              </w:rPr>
              <w:t>n</w:t>
            </w:r>
          </w:p>
        </w:tc>
        <w:tc>
          <w:tcPr>
            <w:tcW w:w="2327"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938" w:right="772"/>
              <w:jc w:val="center"/>
              <w:rPr>
                <w:color w:val="000000"/>
                <w:sz w:val="22"/>
                <w:szCs w:val="22"/>
                <w:lang w:eastAsia="en-AU"/>
              </w:rPr>
            </w:pPr>
            <w:r w:rsidRPr="00C821DA">
              <w:rPr>
                <w:color w:val="000000"/>
                <w:w w:val="99"/>
                <w:sz w:val="22"/>
                <w:szCs w:val="22"/>
                <w:lang w:eastAsia="en-AU"/>
              </w:rPr>
              <w:t>0</w:t>
            </w:r>
          </w:p>
        </w:tc>
        <w:tc>
          <w:tcPr>
            <w:tcW w:w="2328" w:type="dxa"/>
            <w:tcBorders>
              <w:top w:val="nil"/>
              <w:left w:val="nil"/>
              <w:bottom w:val="nil"/>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r>
      <w:tr w:rsidR="00622AE3" w:rsidRPr="00C821DA" w:rsidTr="00C821DA">
        <w:trPr>
          <w:trHeight w:hRule="exact" w:val="282"/>
          <w:jc w:val="right"/>
        </w:trPr>
        <w:tc>
          <w:tcPr>
            <w:tcW w:w="4460" w:type="dxa"/>
            <w:tcBorders>
              <w:top w:val="nil"/>
              <w:left w:val="nil"/>
              <w:bottom w:val="single" w:sz="4" w:space="0" w:color="000000"/>
              <w:right w:val="nil"/>
            </w:tcBorders>
          </w:tcPr>
          <w:p w:rsidR="00622AE3" w:rsidRPr="00C821DA" w:rsidRDefault="00622AE3" w:rsidP="00C329A1">
            <w:pPr>
              <w:autoSpaceDE w:val="0"/>
              <w:autoSpaceDN w:val="0"/>
              <w:adjustRightInd w:val="0"/>
              <w:spacing w:before="19" w:line="240" w:lineRule="auto"/>
              <w:ind w:left="60" w:right="-20"/>
              <w:rPr>
                <w:color w:val="000000"/>
                <w:sz w:val="22"/>
                <w:szCs w:val="22"/>
                <w:lang w:eastAsia="en-AU"/>
              </w:rPr>
            </w:pPr>
            <w:r w:rsidRPr="00C821DA">
              <w:rPr>
                <w:color w:val="000000"/>
                <w:spacing w:val="3"/>
                <w:sz w:val="22"/>
                <w:szCs w:val="22"/>
                <w:lang w:eastAsia="en-AU"/>
              </w:rPr>
              <w:t>T</w:t>
            </w:r>
            <w:r w:rsidRPr="00C821DA">
              <w:rPr>
                <w:color w:val="000000"/>
                <w:sz w:val="22"/>
                <w:szCs w:val="22"/>
                <w:lang w:eastAsia="en-AU"/>
              </w:rPr>
              <w:t>hroat</w:t>
            </w:r>
            <w:r w:rsidRPr="00C821DA">
              <w:rPr>
                <w:color w:val="000000"/>
                <w:spacing w:val="-6"/>
                <w:sz w:val="22"/>
                <w:szCs w:val="22"/>
                <w:lang w:eastAsia="en-AU"/>
              </w:rPr>
              <w:t xml:space="preserve"> </w:t>
            </w:r>
            <w:r w:rsidRPr="00C821DA">
              <w:rPr>
                <w:color w:val="000000"/>
                <w:spacing w:val="-2"/>
                <w:sz w:val="22"/>
                <w:szCs w:val="22"/>
                <w:lang w:eastAsia="en-AU"/>
              </w:rPr>
              <w:t>i</w:t>
            </w:r>
            <w:r w:rsidRPr="00C821DA">
              <w:rPr>
                <w:color w:val="000000"/>
                <w:spacing w:val="1"/>
                <w:sz w:val="22"/>
                <w:szCs w:val="22"/>
                <w:lang w:eastAsia="en-AU"/>
              </w:rPr>
              <w:t>rr</w:t>
            </w:r>
            <w:r w:rsidRPr="00C821DA">
              <w:rPr>
                <w:color w:val="000000"/>
                <w:spacing w:val="-1"/>
                <w:sz w:val="22"/>
                <w:szCs w:val="22"/>
                <w:lang w:eastAsia="en-AU"/>
              </w:rPr>
              <w:t>i</w:t>
            </w:r>
            <w:r w:rsidRPr="00C821DA">
              <w:rPr>
                <w:color w:val="000000"/>
                <w:sz w:val="22"/>
                <w:szCs w:val="22"/>
                <w:lang w:eastAsia="en-AU"/>
              </w:rPr>
              <w:t>ta</w:t>
            </w:r>
            <w:r w:rsidRPr="00C821DA">
              <w:rPr>
                <w:color w:val="000000"/>
                <w:spacing w:val="1"/>
                <w:sz w:val="22"/>
                <w:szCs w:val="22"/>
                <w:lang w:eastAsia="en-AU"/>
              </w:rPr>
              <w:t>t</w:t>
            </w:r>
            <w:r w:rsidRPr="00C821DA">
              <w:rPr>
                <w:color w:val="000000"/>
                <w:spacing w:val="-1"/>
                <w:sz w:val="22"/>
                <w:szCs w:val="22"/>
                <w:lang w:eastAsia="en-AU"/>
              </w:rPr>
              <w:t>i</w:t>
            </w:r>
            <w:r w:rsidRPr="00C821DA">
              <w:rPr>
                <w:color w:val="000000"/>
                <w:sz w:val="22"/>
                <w:szCs w:val="22"/>
                <w:lang w:eastAsia="en-AU"/>
              </w:rPr>
              <w:t>on</w:t>
            </w:r>
          </w:p>
        </w:tc>
        <w:tc>
          <w:tcPr>
            <w:tcW w:w="2327" w:type="dxa"/>
            <w:tcBorders>
              <w:top w:val="nil"/>
              <w:left w:val="nil"/>
              <w:bottom w:val="single" w:sz="4" w:space="0" w:color="000000"/>
              <w:right w:val="nil"/>
            </w:tcBorders>
          </w:tcPr>
          <w:p w:rsidR="00622AE3" w:rsidRPr="00C821DA" w:rsidRDefault="00622AE3" w:rsidP="00C329A1">
            <w:pPr>
              <w:autoSpaceDE w:val="0"/>
              <w:autoSpaceDN w:val="0"/>
              <w:adjustRightInd w:val="0"/>
              <w:spacing w:before="19" w:line="240" w:lineRule="auto"/>
              <w:ind w:left="938" w:right="772"/>
              <w:jc w:val="center"/>
              <w:rPr>
                <w:color w:val="000000"/>
                <w:sz w:val="22"/>
                <w:szCs w:val="22"/>
                <w:lang w:eastAsia="en-AU"/>
              </w:rPr>
            </w:pPr>
            <w:r w:rsidRPr="00C821DA">
              <w:rPr>
                <w:color w:val="000000"/>
                <w:w w:val="99"/>
                <w:sz w:val="22"/>
                <w:szCs w:val="22"/>
                <w:lang w:eastAsia="en-AU"/>
              </w:rPr>
              <w:t>0</w:t>
            </w:r>
          </w:p>
        </w:tc>
        <w:tc>
          <w:tcPr>
            <w:tcW w:w="2328" w:type="dxa"/>
            <w:tcBorders>
              <w:top w:val="nil"/>
              <w:left w:val="nil"/>
              <w:bottom w:val="single" w:sz="4" w:space="0" w:color="000000"/>
              <w:right w:val="nil"/>
            </w:tcBorders>
          </w:tcPr>
          <w:p w:rsidR="00622AE3" w:rsidRPr="00C821DA" w:rsidRDefault="00622AE3" w:rsidP="00C329A1">
            <w:pPr>
              <w:autoSpaceDE w:val="0"/>
              <w:autoSpaceDN w:val="0"/>
              <w:adjustRightInd w:val="0"/>
              <w:spacing w:before="19" w:line="240" w:lineRule="auto"/>
              <w:ind w:left="668" w:right="-20"/>
              <w:rPr>
                <w:color w:val="000000"/>
                <w:sz w:val="22"/>
                <w:szCs w:val="22"/>
                <w:lang w:eastAsia="en-AU"/>
              </w:rPr>
            </w:pPr>
            <w:r w:rsidRPr="00C821DA">
              <w:rPr>
                <w:color w:val="000000"/>
                <w:sz w:val="22"/>
                <w:szCs w:val="22"/>
                <w:lang w:eastAsia="en-AU"/>
              </w:rPr>
              <w:t>2</w:t>
            </w:r>
            <w:r w:rsidRPr="00C821DA">
              <w:rPr>
                <w:color w:val="000000"/>
                <w:spacing w:val="-1"/>
                <w:sz w:val="22"/>
                <w:szCs w:val="22"/>
                <w:lang w:eastAsia="en-AU"/>
              </w:rPr>
              <w:t xml:space="preserve"> </w:t>
            </w:r>
            <w:r w:rsidRPr="00C821DA">
              <w:rPr>
                <w:color w:val="000000"/>
                <w:sz w:val="22"/>
                <w:szCs w:val="22"/>
                <w:lang w:eastAsia="en-AU"/>
              </w:rPr>
              <w:t>(2.3)</w:t>
            </w:r>
          </w:p>
        </w:tc>
      </w:tr>
    </w:tbl>
    <w:p w:rsidR="00622AE3" w:rsidRPr="00C821DA" w:rsidRDefault="00622AE3" w:rsidP="00622AE3">
      <w:pPr>
        <w:autoSpaceDE w:val="0"/>
        <w:autoSpaceDN w:val="0"/>
        <w:adjustRightInd w:val="0"/>
        <w:spacing w:before="25" w:line="240" w:lineRule="auto"/>
        <w:ind w:left="180" w:right="834"/>
        <w:rPr>
          <w:i/>
          <w:color w:val="000000"/>
          <w:sz w:val="20"/>
          <w:szCs w:val="20"/>
          <w:lang w:eastAsia="en-AU"/>
        </w:rPr>
      </w:pPr>
      <w:r w:rsidRPr="00C821DA">
        <w:rPr>
          <w:i/>
          <w:color w:val="000000"/>
          <w:spacing w:val="-1"/>
          <w:sz w:val="20"/>
          <w:szCs w:val="20"/>
          <w:lang w:eastAsia="en-AU"/>
        </w:rPr>
        <w:t>A</w:t>
      </w:r>
      <w:r w:rsidRPr="00C821DA">
        <w:rPr>
          <w:i/>
          <w:color w:val="000000"/>
          <w:spacing w:val="1"/>
          <w:sz w:val="20"/>
          <w:szCs w:val="20"/>
          <w:lang w:eastAsia="en-AU"/>
        </w:rPr>
        <w:t>E</w:t>
      </w:r>
      <w:r w:rsidRPr="00C821DA">
        <w:rPr>
          <w:i/>
          <w:color w:val="000000"/>
          <w:spacing w:val="-1"/>
          <w:sz w:val="20"/>
          <w:szCs w:val="20"/>
          <w:lang w:eastAsia="en-AU"/>
        </w:rPr>
        <w:t>=</w:t>
      </w:r>
      <w:r w:rsidRPr="00C821DA">
        <w:rPr>
          <w:i/>
          <w:color w:val="000000"/>
          <w:spacing w:val="2"/>
          <w:sz w:val="20"/>
          <w:szCs w:val="20"/>
          <w:lang w:eastAsia="en-AU"/>
        </w:rPr>
        <w:t>a</w:t>
      </w:r>
      <w:r w:rsidRPr="00C821DA">
        <w:rPr>
          <w:i/>
          <w:color w:val="000000"/>
          <w:sz w:val="20"/>
          <w:szCs w:val="20"/>
          <w:lang w:eastAsia="en-AU"/>
        </w:rPr>
        <w:t>d</w:t>
      </w:r>
      <w:r w:rsidRPr="00C821DA">
        <w:rPr>
          <w:i/>
          <w:color w:val="000000"/>
          <w:spacing w:val="1"/>
          <w:sz w:val="20"/>
          <w:szCs w:val="20"/>
          <w:lang w:eastAsia="en-AU"/>
        </w:rPr>
        <w:t>v</w:t>
      </w:r>
      <w:r w:rsidRPr="00C821DA">
        <w:rPr>
          <w:i/>
          <w:color w:val="000000"/>
          <w:sz w:val="20"/>
          <w:szCs w:val="20"/>
          <w:lang w:eastAsia="en-AU"/>
        </w:rPr>
        <w:t>er</w:t>
      </w:r>
      <w:r w:rsidRPr="00C821DA">
        <w:rPr>
          <w:i/>
          <w:color w:val="000000"/>
          <w:spacing w:val="2"/>
          <w:sz w:val="20"/>
          <w:szCs w:val="20"/>
          <w:lang w:eastAsia="en-AU"/>
        </w:rPr>
        <w:t>s</w:t>
      </w:r>
      <w:r w:rsidRPr="00C821DA">
        <w:rPr>
          <w:i/>
          <w:color w:val="000000"/>
          <w:sz w:val="20"/>
          <w:szCs w:val="20"/>
          <w:lang w:eastAsia="en-AU"/>
        </w:rPr>
        <w:t>e</w:t>
      </w:r>
      <w:r w:rsidRPr="00C821DA">
        <w:rPr>
          <w:i/>
          <w:color w:val="000000"/>
          <w:spacing w:val="-11"/>
          <w:sz w:val="20"/>
          <w:szCs w:val="20"/>
          <w:lang w:eastAsia="en-AU"/>
        </w:rPr>
        <w:t xml:space="preserve"> </w:t>
      </w:r>
      <w:r w:rsidRPr="00C821DA">
        <w:rPr>
          <w:i/>
          <w:color w:val="000000"/>
          <w:spacing w:val="-1"/>
          <w:sz w:val="20"/>
          <w:szCs w:val="20"/>
          <w:lang w:eastAsia="en-AU"/>
        </w:rPr>
        <w:t>e</w:t>
      </w:r>
      <w:r w:rsidRPr="00C821DA">
        <w:rPr>
          <w:i/>
          <w:color w:val="000000"/>
          <w:spacing w:val="1"/>
          <w:sz w:val="20"/>
          <w:szCs w:val="20"/>
          <w:lang w:eastAsia="en-AU"/>
        </w:rPr>
        <w:t>v</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w:t>
      </w:r>
      <w:r w:rsidRPr="00C821DA">
        <w:rPr>
          <w:i/>
          <w:color w:val="000000"/>
          <w:spacing w:val="-3"/>
          <w:sz w:val="20"/>
          <w:szCs w:val="20"/>
          <w:lang w:eastAsia="en-AU"/>
        </w:rPr>
        <w:t xml:space="preserve"> </w:t>
      </w:r>
      <w:r w:rsidRPr="00C821DA">
        <w:rPr>
          <w:i/>
          <w:color w:val="000000"/>
          <w:spacing w:val="1"/>
          <w:sz w:val="20"/>
          <w:szCs w:val="20"/>
          <w:lang w:eastAsia="en-AU"/>
        </w:rPr>
        <w:t>n</w:t>
      </w:r>
      <w:r w:rsidRPr="00C821DA">
        <w:rPr>
          <w:i/>
          <w:color w:val="000000"/>
          <w:spacing w:val="-1"/>
          <w:sz w:val="20"/>
          <w:szCs w:val="20"/>
          <w:lang w:eastAsia="en-AU"/>
        </w:rPr>
        <w:t>=</w:t>
      </w:r>
      <w:r w:rsidRPr="00C821DA">
        <w:rPr>
          <w:i/>
          <w:color w:val="000000"/>
          <w:spacing w:val="2"/>
          <w:sz w:val="20"/>
          <w:szCs w:val="20"/>
          <w:lang w:eastAsia="en-AU"/>
        </w:rPr>
        <w:t>n</w:t>
      </w:r>
      <w:r w:rsidRPr="00C821DA">
        <w:rPr>
          <w:i/>
          <w:color w:val="000000"/>
          <w:sz w:val="20"/>
          <w:szCs w:val="20"/>
          <w:lang w:eastAsia="en-AU"/>
        </w:rPr>
        <w:t>u</w:t>
      </w:r>
      <w:r w:rsidRPr="00C821DA">
        <w:rPr>
          <w:i/>
          <w:color w:val="000000"/>
          <w:spacing w:val="4"/>
          <w:sz w:val="20"/>
          <w:szCs w:val="20"/>
          <w:lang w:eastAsia="en-AU"/>
        </w:rPr>
        <w:t>m</w:t>
      </w:r>
      <w:r w:rsidRPr="00C821DA">
        <w:rPr>
          <w:i/>
          <w:color w:val="000000"/>
          <w:sz w:val="20"/>
          <w:szCs w:val="20"/>
          <w:lang w:eastAsia="en-AU"/>
        </w:rPr>
        <w:t>b</w:t>
      </w:r>
      <w:r w:rsidRPr="00C821DA">
        <w:rPr>
          <w:i/>
          <w:color w:val="000000"/>
          <w:spacing w:val="-1"/>
          <w:sz w:val="20"/>
          <w:szCs w:val="20"/>
          <w:lang w:eastAsia="en-AU"/>
        </w:rPr>
        <w:t>e</w:t>
      </w:r>
      <w:r w:rsidRPr="00C821DA">
        <w:rPr>
          <w:i/>
          <w:color w:val="000000"/>
          <w:sz w:val="20"/>
          <w:szCs w:val="20"/>
          <w:lang w:eastAsia="en-AU"/>
        </w:rPr>
        <w:t>r</w:t>
      </w:r>
      <w:r w:rsidRPr="00C821DA">
        <w:rPr>
          <w:i/>
          <w:color w:val="000000"/>
          <w:spacing w:val="-9"/>
          <w:sz w:val="20"/>
          <w:szCs w:val="20"/>
          <w:lang w:eastAsia="en-AU"/>
        </w:rPr>
        <w:t xml:space="preserve"> </w:t>
      </w:r>
      <w:r w:rsidRPr="00C821DA">
        <w:rPr>
          <w:i/>
          <w:color w:val="000000"/>
          <w:sz w:val="20"/>
          <w:szCs w:val="20"/>
          <w:lang w:eastAsia="en-AU"/>
        </w:rPr>
        <w:t>of</w:t>
      </w:r>
      <w:r w:rsidRPr="00C821DA">
        <w:rPr>
          <w:i/>
          <w:color w:val="000000"/>
          <w:spacing w:val="-1"/>
          <w:sz w:val="20"/>
          <w:szCs w:val="20"/>
          <w:lang w:eastAsia="en-AU"/>
        </w:rPr>
        <w:t xml:space="preserve"> </w:t>
      </w:r>
      <w:r w:rsidRPr="00C821DA">
        <w:rPr>
          <w:i/>
          <w:color w:val="000000"/>
          <w:sz w:val="20"/>
          <w:szCs w:val="20"/>
          <w:lang w:eastAsia="en-AU"/>
        </w:rPr>
        <w:t>p</w:t>
      </w:r>
      <w:r w:rsidRPr="00C821DA">
        <w:rPr>
          <w:i/>
          <w:color w:val="000000"/>
          <w:spacing w:val="-1"/>
          <w:sz w:val="20"/>
          <w:szCs w:val="20"/>
          <w:lang w:eastAsia="en-AU"/>
        </w:rPr>
        <w:t>a</w:t>
      </w:r>
      <w:r w:rsidRPr="00C821DA">
        <w:rPr>
          <w:i/>
          <w:color w:val="000000"/>
          <w:sz w:val="20"/>
          <w:szCs w:val="20"/>
          <w:lang w:eastAsia="en-AU"/>
        </w:rPr>
        <w:t>t</w:t>
      </w:r>
      <w:r w:rsidRPr="00C821DA">
        <w:rPr>
          <w:i/>
          <w:color w:val="000000"/>
          <w:spacing w:val="-1"/>
          <w:sz w:val="20"/>
          <w:szCs w:val="20"/>
          <w:lang w:eastAsia="en-AU"/>
        </w:rPr>
        <w:t>i</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ts</w:t>
      </w:r>
      <w:r w:rsidRPr="00C821DA">
        <w:rPr>
          <w:i/>
          <w:color w:val="000000"/>
          <w:spacing w:val="-4"/>
          <w:sz w:val="20"/>
          <w:szCs w:val="20"/>
          <w:lang w:eastAsia="en-AU"/>
        </w:rPr>
        <w:t xml:space="preserve"> </w:t>
      </w:r>
      <w:r w:rsidRPr="00C821DA">
        <w:rPr>
          <w:i/>
          <w:color w:val="000000"/>
          <w:spacing w:val="-1"/>
          <w:sz w:val="20"/>
          <w:szCs w:val="20"/>
          <w:lang w:eastAsia="en-AU"/>
        </w:rPr>
        <w:t>i</w:t>
      </w:r>
      <w:r w:rsidRPr="00C821DA">
        <w:rPr>
          <w:i/>
          <w:color w:val="000000"/>
          <w:sz w:val="20"/>
          <w:szCs w:val="20"/>
          <w:lang w:eastAsia="en-AU"/>
        </w:rPr>
        <w:t>n</w:t>
      </w:r>
      <w:r w:rsidRPr="00C821DA">
        <w:rPr>
          <w:i/>
          <w:color w:val="000000"/>
          <w:spacing w:val="-2"/>
          <w:sz w:val="20"/>
          <w:szCs w:val="20"/>
          <w:lang w:eastAsia="en-AU"/>
        </w:rPr>
        <w:t xml:space="preserve"> </w:t>
      </w:r>
      <w:r w:rsidRPr="00C821DA">
        <w:rPr>
          <w:i/>
          <w:color w:val="000000"/>
          <w:sz w:val="20"/>
          <w:szCs w:val="20"/>
          <w:lang w:eastAsia="en-AU"/>
        </w:rPr>
        <w:t>re</w:t>
      </w:r>
      <w:r w:rsidRPr="00C821DA">
        <w:rPr>
          <w:i/>
          <w:color w:val="000000"/>
          <w:spacing w:val="1"/>
          <w:sz w:val="20"/>
          <w:szCs w:val="20"/>
          <w:lang w:eastAsia="en-AU"/>
        </w:rPr>
        <w:t>s</w:t>
      </w:r>
      <w:r w:rsidRPr="00C821DA">
        <w:rPr>
          <w:i/>
          <w:color w:val="000000"/>
          <w:sz w:val="20"/>
          <w:szCs w:val="20"/>
          <w:lang w:eastAsia="en-AU"/>
        </w:rPr>
        <w:t>p</w:t>
      </w:r>
      <w:r w:rsidRPr="00C821DA">
        <w:rPr>
          <w:i/>
          <w:color w:val="000000"/>
          <w:spacing w:val="-1"/>
          <w:sz w:val="20"/>
          <w:szCs w:val="20"/>
          <w:lang w:eastAsia="en-AU"/>
        </w:rPr>
        <w:t>e</w:t>
      </w:r>
      <w:r w:rsidRPr="00C821DA">
        <w:rPr>
          <w:i/>
          <w:color w:val="000000"/>
          <w:spacing w:val="1"/>
          <w:sz w:val="20"/>
          <w:szCs w:val="20"/>
          <w:lang w:eastAsia="en-AU"/>
        </w:rPr>
        <w:t>c</w:t>
      </w:r>
      <w:r w:rsidRPr="00C821DA">
        <w:rPr>
          <w:i/>
          <w:color w:val="000000"/>
          <w:spacing w:val="2"/>
          <w:sz w:val="20"/>
          <w:szCs w:val="20"/>
          <w:lang w:eastAsia="en-AU"/>
        </w:rPr>
        <w:t>t</w:t>
      </w:r>
      <w:r w:rsidRPr="00C821DA">
        <w:rPr>
          <w:i/>
          <w:color w:val="000000"/>
          <w:spacing w:val="-1"/>
          <w:sz w:val="20"/>
          <w:szCs w:val="20"/>
          <w:lang w:eastAsia="en-AU"/>
        </w:rPr>
        <w:t>i</w:t>
      </w:r>
      <w:r w:rsidRPr="00C821DA">
        <w:rPr>
          <w:i/>
          <w:color w:val="000000"/>
          <w:spacing w:val="1"/>
          <w:sz w:val="20"/>
          <w:szCs w:val="20"/>
          <w:lang w:eastAsia="en-AU"/>
        </w:rPr>
        <w:t>v</w:t>
      </w:r>
      <w:r w:rsidRPr="00C821DA">
        <w:rPr>
          <w:i/>
          <w:color w:val="000000"/>
          <w:sz w:val="20"/>
          <w:szCs w:val="20"/>
          <w:lang w:eastAsia="en-AU"/>
        </w:rPr>
        <w:t xml:space="preserve">e </w:t>
      </w:r>
      <w:r w:rsidRPr="00C821DA">
        <w:rPr>
          <w:i/>
          <w:color w:val="000000"/>
          <w:spacing w:val="1"/>
          <w:sz w:val="20"/>
          <w:szCs w:val="20"/>
          <w:lang w:eastAsia="en-AU"/>
        </w:rPr>
        <w:t>c</w:t>
      </w:r>
      <w:r w:rsidRPr="00C821DA">
        <w:rPr>
          <w:i/>
          <w:color w:val="000000"/>
          <w:sz w:val="20"/>
          <w:szCs w:val="20"/>
          <w:lang w:eastAsia="en-AU"/>
        </w:rPr>
        <w:t>at</w:t>
      </w:r>
      <w:r w:rsidRPr="00C821DA">
        <w:rPr>
          <w:i/>
          <w:color w:val="000000"/>
          <w:spacing w:val="-1"/>
          <w:sz w:val="20"/>
          <w:szCs w:val="20"/>
          <w:lang w:eastAsia="en-AU"/>
        </w:rPr>
        <w:t>e</w:t>
      </w:r>
      <w:r w:rsidRPr="00C821DA">
        <w:rPr>
          <w:i/>
          <w:color w:val="000000"/>
          <w:sz w:val="20"/>
          <w:szCs w:val="20"/>
          <w:lang w:eastAsia="en-AU"/>
        </w:rPr>
        <w:t>g</w:t>
      </w:r>
      <w:r w:rsidRPr="00C821DA">
        <w:rPr>
          <w:i/>
          <w:color w:val="000000"/>
          <w:spacing w:val="-1"/>
          <w:sz w:val="20"/>
          <w:szCs w:val="20"/>
          <w:lang w:eastAsia="en-AU"/>
        </w:rPr>
        <w:t>o</w:t>
      </w:r>
      <w:r w:rsidRPr="00C821DA">
        <w:rPr>
          <w:i/>
          <w:color w:val="000000"/>
          <w:spacing w:val="5"/>
          <w:sz w:val="20"/>
          <w:szCs w:val="20"/>
          <w:lang w:eastAsia="en-AU"/>
        </w:rPr>
        <w:t>r</w:t>
      </w:r>
      <w:r w:rsidRPr="00C821DA">
        <w:rPr>
          <w:i/>
          <w:color w:val="000000"/>
          <w:spacing w:val="-4"/>
          <w:sz w:val="20"/>
          <w:szCs w:val="20"/>
          <w:lang w:eastAsia="en-AU"/>
        </w:rPr>
        <w:t>y</w:t>
      </w:r>
      <w:r w:rsidRPr="00C821DA">
        <w:rPr>
          <w:i/>
          <w:color w:val="000000"/>
          <w:sz w:val="20"/>
          <w:szCs w:val="20"/>
          <w:lang w:eastAsia="en-AU"/>
        </w:rPr>
        <w:t>;</w:t>
      </w:r>
      <w:r w:rsidRPr="00C821DA">
        <w:rPr>
          <w:i/>
          <w:color w:val="000000"/>
          <w:spacing w:val="-8"/>
          <w:sz w:val="20"/>
          <w:szCs w:val="20"/>
          <w:lang w:eastAsia="en-AU"/>
        </w:rPr>
        <w:t xml:space="preserve"> </w:t>
      </w:r>
      <w:r w:rsidRPr="00C821DA">
        <w:rPr>
          <w:i/>
          <w:color w:val="000000"/>
          <w:spacing w:val="2"/>
          <w:sz w:val="20"/>
          <w:szCs w:val="20"/>
          <w:lang w:eastAsia="en-AU"/>
        </w:rPr>
        <w:t>N</w:t>
      </w:r>
      <w:r w:rsidRPr="00C821DA">
        <w:rPr>
          <w:i/>
          <w:color w:val="000000"/>
          <w:spacing w:val="-1"/>
          <w:sz w:val="20"/>
          <w:szCs w:val="20"/>
          <w:lang w:eastAsia="en-AU"/>
        </w:rPr>
        <w:t>=</w:t>
      </w:r>
      <w:r w:rsidRPr="00C821DA">
        <w:rPr>
          <w:i/>
          <w:color w:val="000000"/>
          <w:sz w:val="20"/>
          <w:szCs w:val="20"/>
          <w:lang w:eastAsia="en-AU"/>
        </w:rPr>
        <w:t>n</w:t>
      </w:r>
      <w:r w:rsidRPr="00C821DA">
        <w:rPr>
          <w:i/>
          <w:color w:val="000000"/>
          <w:spacing w:val="-1"/>
          <w:sz w:val="20"/>
          <w:szCs w:val="20"/>
          <w:lang w:eastAsia="en-AU"/>
        </w:rPr>
        <w:t>u</w:t>
      </w:r>
      <w:r w:rsidRPr="00C821DA">
        <w:rPr>
          <w:i/>
          <w:color w:val="000000"/>
          <w:spacing w:val="4"/>
          <w:sz w:val="20"/>
          <w:szCs w:val="20"/>
          <w:lang w:eastAsia="en-AU"/>
        </w:rPr>
        <w:t>m</w:t>
      </w:r>
      <w:r w:rsidRPr="00C821DA">
        <w:rPr>
          <w:i/>
          <w:color w:val="000000"/>
          <w:sz w:val="20"/>
          <w:szCs w:val="20"/>
          <w:lang w:eastAsia="en-AU"/>
        </w:rPr>
        <w:t>b</w:t>
      </w:r>
      <w:r w:rsidRPr="00C821DA">
        <w:rPr>
          <w:i/>
          <w:color w:val="000000"/>
          <w:spacing w:val="-1"/>
          <w:sz w:val="20"/>
          <w:szCs w:val="20"/>
          <w:lang w:eastAsia="en-AU"/>
        </w:rPr>
        <w:t>e</w:t>
      </w:r>
      <w:r w:rsidRPr="00C821DA">
        <w:rPr>
          <w:i/>
          <w:color w:val="000000"/>
          <w:sz w:val="20"/>
          <w:szCs w:val="20"/>
          <w:lang w:eastAsia="en-AU"/>
        </w:rPr>
        <w:t>r</w:t>
      </w:r>
      <w:r w:rsidRPr="00C821DA">
        <w:rPr>
          <w:i/>
          <w:color w:val="000000"/>
          <w:spacing w:val="-7"/>
          <w:sz w:val="20"/>
          <w:szCs w:val="20"/>
          <w:lang w:eastAsia="en-AU"/>
        </w:rPr>
        <w:t xml:space="preserve"> </w:t>
      </w:r>
      <w:r w:rsidRPr="00C821DA">
        <w:rPr>
          <w:i/>
          <w:color w:val="000000"/>
          <w:sz w:val="20"/>
          <w:szCs w:val="20"/>
          <w:lang w:eastAsia="en-AU"/>
        </w:rPr>
        <w:t>of</w:t>
      </w:r>
      <w:r w:rsidRPr="00C821DA">
        <w:rPr>
          <w:i/>
          <w:color w:val="000000"/>
          <w:spacing w:val="-1"/>
          <w:sz w:val="20"/>
          <w:szCs w:val="20"/>
          <w:lang w:eastAsia="en-AU"/>
        </w:rPr>
        <w:t xml:space="preserve"> </w:t>
      </w:r>
      <w:r w:rsidRPr="00C821DA">
        <w:rPr>
          <w:i/>
          <w:color w:val="000000"/>
          <w:sz w:val="20"/>
          <w:szCs w:val="20"/>
          <w:lang w:eastAsia="en-AU"/>
        </w:rPr>
        <w:t>p</w:t>
      </w:r>
      <w:r w:rsidRPr="00C821DA">
        <w:rPr>
          <w:i/>
          <w:color w:val="000000"/>
          <w:spacing w:val="-1"/>
          <w:sz w:val="20"/>
          <w:szCs w:val="20"/>
          <w:lang w:eastAsia="en-AU"/>
        </w:rPr>
        <w:t>a</w:t>
      </w:r>
      <w:r w:rsidRPr="00C821DA">
        <w:rPr>
          <w:i/>
          <w:color w:val="000000"/>
          <w:sz w:val="20"/>
          <w:szCs w:val="20"/>
          <w:lang w:eastAsia="en-AU"/>
        </w:rPr>
        <w:t>t</w:t>
      </w:r>
      <w:r w:rsidRPr="00C821DA">
        <w:rPr>
          <w:i/>
          <w:color w:val="000000"/>
          <w:spacing w:val="1"/>
          <w:sz w:val="20"/>
          <w:szCs w:val="20"/>
          <w:lang w:eastAsia="en-AU"/>
        </w:rPr>
        <w:t>i</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ts</w:t>
      </w:r>
      <w:r w:rsidRPr="00C821DA">
        <w:rPr>
          <w:i/>
          <w:color w:val="000000"/>
          <w:spacing w:val="-6"/>
          <w:sz w:val="20"/>
          <w:szCs w:val="20"/>
          <w:lang w:eastAsia="en-AU"/>
        </w:rPr>
        <w:t xml:space="preserve"> </w:t>
      </w:r>
      <w:r w:rsidRPr="00C821DA">
        <w:rPr>
          <w:i/>
          <w:color w:val="000000"/>
          <w:spacing w:val="1"/>
          <w:sz w:val="20"/>
          <w:szCs w:val="20"/>
          <w:lang w:eastAsia="en-AU"/>
        </w:rPr>
        <w:t>i</w:t>
      </w:r>
      <w:r w:rsidRPr="00C821DA">
        <w:rPr>
          <w:i/>
          <w:color w:val="000000"/>
          <w:sz w:val="20"/>
          <w:szCs w:val="20"/>
          <w:lang w:eastAsia="en-AU"/>
        </w:rPr>
        <w:t>n</w:t>
      </w:r>
      <w:r w:rsidRPr="00C821DA">
        <w:rPr>
          <w:i/>
          <w:color w:val="000000"/>
          <w:spacing w:val="-2"/>
          <w:sz w:val="20"/>
          <w:szCs w:val="20"/>
          <w:lang w:eastAsia="en-AU"/>
        </w:rPr>
        <w:t xml:space="preserve"> </w:t>
      </w:r>
      <w:r w:rsidRPr="00C821DA">
        <w:rPr>
          <w:i/>
          <w:color w:val="000000"/>
          <w:sz w:val="20"/>
          <w:szCs w:val="20"/>
          <w:lang w:eastAsia="en-AU"/>
        </w:rPr>
        <w:t>a</w:t>
      </w:r>
      <w:r w:rsidRPr="00C821DA">
        <w:rPr>
          <w:i/>
          <w:color w:val="000000"/>
          <w:spacing w:val="-2"/>
          <w:sz w:val="20"/>
          <w:szCs w:val="20"/>
          <w:lang w:eastAsia="en-AU"/>
        </w:rPr>
        <w:t xml:space="preserve"> </w:t>
      </w:r>
      <w:r w:rsidRPr="00C821DA">
        <w:rPr>
          <w:i/>
          <w:color w:val="000000"/>
          <w:sz w:val="20"/>
          <w:szCs w:val="20"/>
          <w:lang w:eastAsia="en-AU"/>
        </w:rPr>
        <w:t>tr</w:t>
      </w:r>
      <w:r w:rsidRPr="00C821DA">
        <w:rPr>
          <w:i/>
          <w:color w:val="000000"/>
          <w:spacing w:val="2"/>
          <w:sz w:val="20"/>
          <w:szCs w:val="20"/>
          <w:lang w:eastAsia="en-AU"/>
        </w:rPr>
        <w:t>e</w:t>
      </w:r>
      <w:r w:rsidRPr="00C821DA">
        <w:rPr>
          <w:i/>
          <w:color w:val="000000"/>
          <w:sz w:val="20"/>
          <w:szCs w:val="20"/>
          <w:lang w:eastAsia="en-AU"/>
        </w:rPr>
        <w:t>at</w:t>
      </w:r>
      <w:r w:rsidRPr="00C821DA">
        <w:rPr>
          <w:i/>
          <w:color w:val="000000"/>
          <w:spacing w:val="4"/>
          <w:sz w:val="20"/>
          <w:szCs w:val="20"/>
          <w:lang w:eastAsia="en-AU"/>
        </w:rPr>
        <w:t>m</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w:t>
      </w:r>
      <w:r w:rsidRPr="00C821DA">
        <w:rPr>
          <w:i/>
          <w:color w:val="000000"/>
          <w:spacing w:val="-8"/>
          <w:sz w:val="20"/>
          <w:szCs w:val="20"/>
          <w:lang w:eastAsia="en-AU"/>
        </w:rPr>
        <w:t xml:space="preserve"> </w:t>
      </w:r>
      <w:r w:rsidRPr="00C821DA">
        <w:rPr>
          <w:i/>
          <w:color w:val="000000"/>
          <w:spacing w:val="-1"/>
          <w:sz w:val="20"/>
          <w:szCs w:val="20"/>
          <w:lang w:eastAsia="en-AU"/>
        </w:rPr>
        <w:t>g</w:t>
      </w:r>
      <w:r w:rsidRPr="00C821DA">
        <w:rPr>
          <w:i/>
          <w:color w:val="000000"/>
          <w:spacing w:val="1"/>
          <w:sz w:val="20"/>
          <w:szCs w:val="20"/>
          <w:lang w:eastAsia="en-AU"/>
        </w:rPr>
        <w:t>r</w:t>
      </w:r>
      <w:r w:rsidRPr="00C821DA">
        <w:rPr>
          <w:i/>
          <w:color w:val="000000"/>
          <w:sz w:val="20"/>
          <w:szCs w:val="20"/>
          <w:lang w:eastAsia="en-AU"/>
        </w:rPr>
        <w:t>o</w:t>
      </w:r>
      <w:r w:rsidRPr="00C821DA">
        <w:rPr>
          <w:i/>
          <w:color w:val="000000"/>
          <w:spacing w:val="-1"/>
          <w:sz w:val="20"/>
          <w:szCs w:val="20"/>
          <w:lang w:eastAsia="en-AU"/>
        </w:rPr>
        <w:t>u</w:t>
      </w:r>
      <w:r w:rsidRPr="00C821DA">
        <w:rPr>
          <w:i/>
          <w:color w:val="000000"/>
          <w:spacing w:val="4"/>
          <w:sz w:val="20"/>
          <w:szCs w:val="20"/>
          <w:lang w:eastAsia="en-AU"/>
        </w:rPr>
        <w:t>p</w:t>
      </w:r>
      <w:r w:rsidRPr="00C821DA">
        <w:rPr>
          <w:i/>
          <w:color w:val="000000"/>
          <w:sz w:val="20"/>
          <w:szCs w:val="20"/>
          <w:lang w:eastAsia="en-AU"/>
        </w:rPr>
        <w:t>;</w:t>
      </w:r>
      <w:r w:rsidRPr="00C821DA">
        <w:rPr>
          <w:i/>
          <w:color w:val="000000"/>
          <w:spacing w:val="-4"/>
          <w:sz w:val="20"/>
          <w:szCs w:val="20"/>
          <w:lang w:eastAsia="en-AU"/>
        </w:rPr>
        <w:t xml:space="preserve"> </w:t>
      </w:r>
      <w:r w:rsidRPr="00C821DA">
        <w:rPr>
          <w:i/>
          <w:color w:val="000000"/>
          <w:sz w:val="20"/>
          <w:szCs w:val="20"/>
          <w:lang w:eastAsia="en-AU"/>
        </w:rPr>
        <w:t>R</w:t>
      </w:r>
      <w:r w:rsidRPr="00C821DA">
        <w:rPr>
          <w:i/>
          <w:color w:val="000000"/>
          <w:spacing w:val="-1"/>
          <w:sz w:val="20"/>
          <w:szCs w:val="20"/>
          <w:lang w:eastAsia="en-AU"/>
        </w:rPr>
        <w:t>A=</w:t>
      </w:r>
      <w:r w:rsidRPr="00C821DA">
        <w:rPr>
          <w:i/>
          <w:color w:val="000000"/>
          <w:spacing w:val="3"/>
          <w:sz w:val="20"/>
          <w:szCs w:val="20"/>
          <w:lang w:eastAsia="en-AU"/>
        </w:rPr>
        <w:t>r</w:t>
      </w:r>
      <w:r w:rsidRPr="00C821DA">
        <w:rPr>
          <w:i/>
          <w:color w:val="000000"/>
          <w:sz w:val="20"/>
          <w:szCs w:val="20"/>
          <w:lang w:eastAsia="en-AU"/>
        </w:rPr>
        <w:t>h</w:t>
      </w:r>
      <w:r w:rsidRPr="00C821DA">
        <w:rPr>
          <w:i/>
          <w:color w:val="000000"/>
          <w:spacing w:val="-1"/>
          <w:sz w:val="20"/>
          <w:szCs w:val="20"/>
          <w:lang w:eastAsia="en-AU"/>
        </w:rPr>
        <w:t>e</w:t>
      </w:r>
      <w:r w:rsidRPr="00C821DA">
        <w:rPr>
          <w:i/>
          <w:color w:val="000000"/>
          <w:sz w:val="20"/>
          <w:szCs w:val="20"/>
          <w:lang w:eastAsia="en-AU"/>
        </w:rPr>
        <w:t>u</w:t>
      </w:r>
      <w:r w:rsidRPr="00C821DA">
        <w:rPr>
          <w:i/>
          <w:color w:val="000000"/>
          <w:spacing w:val="4"/>
          <w:sz w:val="20"/>
          <w:szCs w:val="20"/>
          <w:lang w:eastAsia="en-AU"/>
        </w:rPr>
        <w:t>m</w:t>
      </w:r>
      <w:r w:rsidRPr="00C821DA">
        <w:rPr>
          <w:i/>
          <w:color w:val="000000"/>
          <w:sz w:val="20"/>
          <w:szCs w:val="20"/>
          <w:lang w:eastAsia="en-AU"/>
        </w:rPr>
        <w:t>at</w:t>
      </w:r>
      <w:r w:rsidRPr="00C821DA">
        <w:rPr>
          <w:i/>
          <w:color w:val="000000"/>
          <w:spacing w:val="-1"/>
          <w:sz w:val="20"/>
          <w:szCs w:val="20"/>
          <w:lang w:eastAsia="en-AU"/>
        </w:rPr>
        <w:t>oi</w:t>
      </w:r>
      <w:r w:rsidRPr="00C821DA">
        <w:rPr>
          <w:i/>
          <w:color w:val="000000"/>
          <w:sz w:val="20"/>
          <w:szCs w:val="20"/>
          <w:lang w:eastAsia="en-AU"/>
        </w:rPr>
        <w:t>d</w:t>
      </w:r>
      <w:r w:rsidRPr="00C821DA">
        <w:rPr>
          <w:i/>
          <w:color w:val="000000"/>
          <w:spacing w:val="-13"/>
          <w:sz w:val="20"/>
          <w:szCs w:val="20"/>
          <w:lang w:eastAsia="en-AU"/>
        </w:rPr>
        <w:t xml:space="preserve"> </w:t>
      </w:r>
      <w:r w:rsidRPr="00C821DA">
        <w:rPr>
          <w:i/>
          <w:color w:val="000000"/>
          <w:sz w:val="20"/>
          <w:szCs w:val="20"/>
          <w:lang w:eastAsia="en-AU"/>
        </w:rPr>
        <w:t>arth</w:t>
      </w:r>
      <w:r w:rsidRPr="00C821DA">
        <w:rPr>
          <w:i/>
          <w:color w:val="000000"/>
          <w:spacing w:val="1"/>
          <w:sz w:val="20"/>
          <w:szCs w:val="20"/>
          <w:lang w:eastAsia="en-AU"/>
        </w:rPr>
        <w:t>r</w:t>
      </w:r>
      <w:r w:rsidRPr="00C821DA">
        <w:rPr>
          <w:i/>
          <w:color w:val="000000"/>
          <w:spacing w:val="-1"/>
          <w:sz w:val="20"/>
          <w:szCs w:val="20"/>
          <w:lang w:eastAsia="en-AU"/>
        </w:rPr>
        <w:t>i</w:t>
      </w:r>
      <w:r w:rsidRPr="00C821DA">
        <w:rPr>
          <w:i/>
          <w:color w:val="000000"/>
          <w:spacing w:val="2"/>
          <w:sz w:val="20"/>
          <w:szCs w:val="20"/>
          <w:lang w:eastAsia="en-AU"/>
        </w:rPr>
        <w:t>t</w:t>
      </w:r>
      <w:r w:rsidRPr="00C821DA">
        <w:rPr>
          <w:i/>
          <w:color w:val="000000"/>
          <w:spacing w:val="-1"/>
          <w:sz w:val="20"/>
          <w:szCs w:val="20"/>
          <w:lang w:eastAsia="en-AU"/>
        </w:rPr>
        <w:t>i</w:t>
      </w:r>
      <w:r w:rsidRPr="00C821DA">
        <w:rPr>
          <w:i/>
          <w:color w:val="000000"/>
          <w:sz w:val="20"/>
          <w:szCs w:val="20"/>
          <w:lang w:eastAsia="en-AU"/>
        </w:rPr>
        <w:t>s</w:t>
      </w:r>
    </w:p>
    <w:p w:rsidR="00EB5996" w:rsidRPr="00E3482E" w:rsidRDefault="00EB5996" w:rsidP="00622AE3">
      <w:pPr>
        <w:rPr>
          <w:b/>
          <w:i/>
          <w:color w:val="000000"/>
          <w:lang w:val="en-GB"/>
        </w:rPr>
      </w:pPr>
    </w:p>
    <w:p w:rsidR="00622AE3" w:rsidRPr="00E3482E" w:rsidRDefault="00622AE3" w:rsidP="00622AE3">
      <w:pPr>
        <w:rPr>
          <w:b/>
          <w:i/>
          <w:color w:val="000000"/>
          <w:lang w:val="en-GB"/>
        </w:rPr>
      </w:pPr>
      <w:r w:rsidRPr="00E3482E">
        <w:rPr>
          <w:b/>
          <w:i/>
          <w:color w:val="000000"/>
          <w:lang w:val="en-GB"/>
        </w:rPr>
        <w:t>Immunogenicity</w:t>
      </w:r>
    </w:p>
    <w:p w:rsidR="00FB3486" w:rsidRPr="00E3482E" w:rsidRDefault="00017A37" w:rsidP="00053C20">
      <w:pPr>
        <w:spacing w:before="120"/>
        <w:jc w:val="both"/>
        <w:rPr>
          <w:color w:val="000000"/>
        </w:rPr>
      </w:pPr>
      <w:r w:rsidRPr="00E3482E">
        <w:rPr>
          <w:color w:val="000000"/>
        </w:rPr>
        <w:lastRenderedPageBreak/>
        <w:t>Immunogenicity was assessed for 55</w:t>
      </w:r>
      <w:r w:rsidR="009E0201">
        <w:rPr>
          <w:color w:val="000000"/>
        </w:rPr>
        <w:t>9</w:t>
      </w:r>
      <w:r w:rsidRPr="00E3482E">
        <w:rPr>
          <w:color w:val="000000"/>
        </w:rPr>
        <w:t xml:space="preserve"> patients </w:t>
      </w:r>
      <w:r w:rsidR="00FB3486" w:rsidRPr="00E3482E">
        <w:rPr>
          <w:color w:val="000000"/>
        </w:rPr>
        <w:t>with follicular lymphoma</w:t>
      </w:r>
      <w:r w:rsidRPr="00E3482E">
        <w:rPr>
          <w:color w:val="000000"/>
        </w:rPr>
        <w:t xml:space="preserve"> in study GP13-301. Overall,</w:t>
      </w:r>
      <w:r w:rsidR="00FB3486" w:rsidRPr="00E3482E">
        <w:rPr>
          <w:color w:val="000000"/>
        </w:rPr>
        <w:t xml:space="preserve"> the number of patients with detectable post-dose</w:t>
      </w:r>
      <w:r w:rsidR="00EB5996" w:rsidRPr="00E3482E">
        <w:rPr>
          <w:color w:val="000000"/>
        </w:rPr>
        <w:t xml:space="preserve"> </w:t>
      </w:r>
      <w:r w:rsidR="00FB3486" w:rsidRPr="00E3482E">
        <w:rPr>
          <w:color w:val="000000"/>
        </w:rPr>
        <w:t>Anti-drug antibodies (ADAs) was low (8 patients (1.</w:t>
      </w:r>
      <w:r w:rsidR="009E0201">
        <w:rPr>
          <w:color w:val="000000"/>
        </w:rPr>
        <w:t>4</w:t>
      </w:r>
      <w:r w:rsidR="00FB3486" w:rsidRPr="00E3482E">
        <w:rPr>
          <w:color w:val="000000"/>
        </w:rPr>
        <w:t>%)), with no</w:t>
      </w:r>
      <w:r w:rsidR="00EB5996" w:rsidRPr="00E3482E">
        <w:rPr>
          <w:color w:val="000000"/>
        </w:rPr>
        <w:t xml:space="preserve"> </w:t>
      </w:r>
      <w:r w:rsidR="00FB3486" w:rsidRPr="00E3482E">
        <w:rPr>
          <w:color w:val="000000"/>
        </w:rPr>
        <w:t xml:space="preserve">clinically meaningful differences between </w:t>
      </w:r>
      <w:r w:rsidR="00982770">
        <w:rPr>
          <w:color w:val="000000"/>
        </w:rPr>
        <w:t>RIXIMYO</w:t>
      </w:r>
      <w:r w:rsidR="00982770" w:rsidRPr="009E0201">
        <w:rPr>
          <w:color w:val="000000"/>
          <w:vertAlign w:val="superscript"/>
        </w:rPr>
        <w:t>®</w:t>
      </w:r>
      <w:r w:rsidR="00FB3486" w:rsidRPr="00E3482E">
        <w:rPr>
          <w:color w:val="000000"/>
        </w:rPr>
        <w:t xml:space="preserve"> (5 out of 2</w:t>
      </w:r>
      <w:r w:rsidR="009E0201">
        <w:rPr>
          <w:color w:val="000000"/>
        </w:rPr>
        <w:t>74</w:t>
      </w:r>
      <w:r w:rsidR="00FB3486" w:rsidRPr="00E3482E">
        <w:rPr>
          <w:color w:val="000000"/>
        </w:rPr>
        <w:t xml:space="preserve"> patients, 1.</w:t>
      </w:r>
      <w:r w:rsidR="009E0201">
        <w:rPr>
          <w:color w:val="000000"/>
        </w:rPr>
        <w:t>8</w:t>
      </w:r>
      <w:r w:rsidR="00FB3486" w:rsidRPr="00E3482E">
        <w:rPr>
          <w:color w:val="000000"/>
        </w:rPr>
        <w:t xml:space="preserve">%) and </w:t>
      </w:r>
      <w:r w:rsidR="00EB5996" w:rsidRPr="00E3482E">
        <w:rPr>
          <w:color w:val="000000"/>
        </w:rPr>
        <w:t xml:space="preserve">the </w:t>
      </w:r>
      <w:r w:rsidR="00A77CC4">
        <w:rPr>
          <w:color w:val="000000"/>
        </w:rPr>
        <w:t xml:space="preserve">reference medicine </w:t>
      </w:r>
      <w:r w:rsidR="00FB3486" w:rsidRPr="00E3482E">
        <w:rPr>
          <w:color w:val="000000"/>
        </w:rPr>
        <w:t>group</w:t>
      </w:r>
      <w:r w:rsidR="004173DE" w:rsidRPr="00E3482E">
        <w:rPr>
          <w:color w:val="000000"/>
        </w:rPr>
        <w:t>s</w:t>
      </w:r>
      <w:r w:rsidR="00FB3486" w:rsidRPr="00E3482E">
        <w:rPr>
          <w:color w:val="000000"/>
        </w:rPr>
        <w:t xml:space="preserve"> (3 out of 28</w:t>
      </w:r>
      <w:r w:rsidR="009E0201">
        <w:rPr>
          <w:color w:val="000000"/>
        </w:rPr>
        <w:t>5</w:t>
      </w:r>
      <w:r w:rsidR="00FB3486" w:rsidRPr="00E3482E">
        <w:rPr>
          <w:color w:val="000000"/>
        </w:rPr>
        <w:t xml:space="preserve"> patients, 1.1%). Neutralising antibodies (</w:t>
      </w:r>
      <w:proofErr w:type="spellStart"/>
      <w:r w:rsidR="00FB3486" w:rsidRPr="00E3482E">
        <w:rPr>
          <w:color w:val="000000"/>
        </w:rPr>
        <w:t>NAbs</w:t>
      </w:r>
      <w:proofErr w:type="spellEnd"/>
      <w:r w:rsidR="00FB3486" w:rsidRPr="00E3482E">
        <w:rPr>
          <w:color w:val="000000"/>
        </w:rPr>
        <w:t xml:space="preserve">) were detected in 0.7% patients in </w:t>
      </w:r>
      <w:r w:rsidRPr="00E3482E">
        <w:rPr>
          <w:color w:val="000000"/>
        </w:rPr>
        <w:t xml:space="preserve">both treatment </w:t>
      </w:r>
      <w:r w:rsidR="00FB3486" w:rsidRPr="00E3482E">
        <w:rPr>
          <w:color w:val="000000"/>
        </w:rPr>
        <w:t>group</w:t>
      </w:r>
      <w:r w:rsidRPr="00E3482E">
        <w:rPr>
          <w:color w:val="000000"/>
        </w:rPr>
        <w:t>s.</w:t>
      </w:r>
      <w:r w:rsidR="00FB3486" w:rsidRPr="00E3482E">
        <w:rPr>
          <w:color w:val="000000"/>
        </w:rPr>
        <w:t xml:space="preserve"> </w:t>
      </w:r>
    </w:p>
    <w:p w:rsidR="00C91E06" w:rsidRPr="00E3482E" w:rsidRDefault="00622AE3" w:rsidP="00053C20">
      <w:pPr>
        <w:spacing w:before="120"/>
        <w:jc w:val="both"/>
        <w:rPr>
          <w:color w:val="000000"/>
        </w:rPr>
      </w:pPr>
      <w:r w:rsidRPr="00E3482E">
        <w:rPr>
          <w:color w:val="000000"/>
        </w:rPr>
        <w:t xml:space="preserve">In Study GP13-201, post-treatment ADAs were detected in 9 out of 82 (11%) </w:t>
      </w:r>
      <w:r w:rsidR="00017A37" w:rsidRPr="00E3482E">
        <w:rPr>
          <w:color w:val="000000"/>
        </w:rPr>
        <w:t xml:space="preserve">rheumatoid arthritis </w:t>
      </w:r>
      <w:r w:rsidRPr="00E3482E">
        <w:rPr>
          <w:color w:val="000000"/>
        </w:rPr>
        <w:t xml:space="preserve">patients in the </w:t>
      </w:r>
      <w:r w:rsidR="00982770">
        <w:rPr>
          <w:color w:val="000000"/>
        </w:rPr>
        <w:t>RIXIMYO</w:t>
      </w:r>
      <w:r w:rsidR="00982770" w:rsidRPr="00A77CC4">
        <w:rPr>
          <w:color w:val="000000"/>
          <w:vertAlign w:val="superscript"/>
        </w:rPr>
        <w:t>®</w:t>
      </w:r>
      <w:r w:rsidRPr="00E3482E">
        <w:rPr>
          <w:color w:val="000000"/>
        </w:rPr>
        <w:t xml:space="preserve"> and</w:t>
      </w:r>
      <w:r w:rsidR="00FB3486" w:rsidRPr="00E3482E">
        <w:rPr>
          <w:color w:val="000000"/>
        </w:rPr>
        <w:t xml:space="preserve"> </w:t>
      </w:r>
      <w:r w:rsidRPr="00E3482E">
        <w:rPr>
          <w:color w:val="000000"/>
        </w:rPr>
        <w:t>18 out of</w:t>
      </w:r>
      <w:r w:rsidR="00EB5996" w:rsidRPr="00E3482E">
        <w:rPr>
          <w:color w:val="000000"/>
        </w:rPr>
        <w:t xml:space="preserve"> 84 (21.4%) patients in the</w:t>
      </w:r>
      <w:r w:rsidR="00A77CC4">
        <w:rPr>
          <w:color w:val="000000"/>
        </w:rPr>
        <w:t xml:space="preserve"> reference medicine</w:t>
      </w:r>
      <w:r w:rsidR="00EB5996" w:rsidRPr="00E3482E">
        <w:rPr>
          <w:color w:val="000000"/>
        </w:rPr>
        <w:t xml:space="preserve"> </w:t>
      </w:r>
      <w:r w:rsidRPr="00E3482E">
        <w:rPr>
          <w:color w:val="000000"/>
        </w:rPr>
        <w:t>grou</w:t>
      </w:r>
      <w:r w:rsidR="00FB3486" w:rsidRPr="00E3482E">
        <w:rPr>
          <w:color w:val="000000"/>
        </w:rPr>
        <w:t>p</w:t>
      </w:r>
      <w:r w:rsidRPr="00E3482E">
        <w:rPr>
          <w:color w:val="000000"/>
        </w:rPr>
        <w:t>. There were no relevant differences observed in terms of general</w:t>
      </w:r>
      <w:r w:rsidR="00FB3486" w:rsidRPr="00E3482E">
        <w:rPr>
          <w:color w:val="000000"/>
        </w:rPr>
        <w:t xml:space="preserve"> </w:t>
      </w:r>
      <w:r w:rsidRPr="00E3482E">
        <w:rPr>
          <w:color w:val="000000"/>
        </w:rPr>
        <w:t>safety between patients with and without ADAs.</w:t>
      </w:r>
      <w:r w:rsidR="00FB3486" w:rsidRPr="00E3482E">
        <w:rPr>
          <w:color w:val="000000"/>
        </w:rPr>
        <w:t xml:space="preserve"> </w:t>
      </w:r>
      <w:r w:rsidRPr="00E3482E">
        <w:rPr>
          <w:color w:val="000000"/>
        </w:rPr>
        <w:t xml:space="preserve">A total of four patients exhibited </w:t>
      </w:r>
      <w:proofErr w:type="spellStart"/>
      <w:r w:rsidRPr="00E3482E">
        <w:rPr>
          <w:color w:val="000000"/>
        </w:rPr>
        <w:t>N</w:t>
      </w:r>
      <w:r w:rsidR="00FB3486" w:rsidRPr="00E3482E">
        <w:rPr>
          <w:color w:val="000000"/>
        </w:rPr>
        <w:t>A</w:t>
      </w:r>
      <w:r w:rsidRPr="00E3482E">
        <w:rPr>
          <w:color w:val="000000"/>
        </w:rPr>
        <w:t>bs</w:t>
      </w:r>
      <w:proofErr w:type="spellEnd"/>
      <w:r w:rsidRPr="00E3482E">
        <w:rPr>
          <w:color w:val="000000"/>
        </w:rPr>
        <w:t xml:space="preserve">, 3 (3.7%) patients in the </w:t>
      </w:r>
      <w:r w:rsidR="00982770">
        <w:rPr>
          <w:color w:val="000000"/>
        </w:rPr>
        <w:t>RIXIMYO</w:t>
      </w:r>
      <w:r w:rsidR="00982770" w:rsidRPr="00A77CC4">
        <w:rPr>
          <w:color w:val="000000"/>
          <w:vertAlign w:val="superscript"/>
        </w:rPr>
        <w:t>®</w:t>
      </w:r>
      <w:r w:rsidRPr="00E3482E">
        <w:rPr>
          <w:color w:val="000000"/>
        </w:rPr>
        <w:t xml:space="preserve"> group and</w:t>
      </w:r>
      <w:r w:rsidR="00FB3486" w:rsidRPr="00E3482E">
        <w:rPr>
          <w:color w:val="000000"/>
        </w:rPr>
        <w:t xml:space="preserve"> </w:t>
      </w:r>
      <w:r w:rsidRPr="00E3482E">
        <w:rPr>
          <w:color w:val="000000"/>
        </w:rPr>
        <w:t xml:space="preserve">1 (1.2%) patient in the </w:t>
      </w:r>
      <w:r w:rsidR="00A77CC4">
        <w:rPr>
          <w:color w:val="000000"/>
        </w:rPr>
        <w:t xml:space="preserve">reference medicine </w:t>
      </w:r>
      <w:r w:rsidRPr="00E3482E">
        <w:rPr>
          <w:color w:val="000000"/>
        </w:rPr>
        <w:t>group.</w:t>
      </w:r>
      <w:r w:rsidR="00FB3486" w:rsidRPr="00E3482E">
        <w:rPr>
          <w:color w:val="000000"/>
        </w:rPr>
        <w:t xml:space="preserve"> </w:t>
      </w:r>
      <w:r w:rsidRPr="00E3482E">
        <w:rPr>
          <w:color w:val="000000"/>
        </w:rPr>
        <w:t xml:space="preserve">No </w:t>
      </w:r>
      <w:r w:rsidR="00FB3486" w:rsidRPr="00E3482E">
        <w:rPr>
          <w:color w:val="000000"/>
        </w:rPr>
        <w:t>serious adverse events</w:t>
      </w:r>
      <w:r w:rsidR="00F3248D" w:rsidRPr="00E3482E">
        <w:rPr>
          <w:color w:val="000000"/>
        </w:rPr>
        <w:t xml:space="preserve"> (SAEs)</w:t>
      </w:r>
      <w:r w:rsidR="00FB3486" w:rsidRPr="00E3482E">
        <w:rPr>
          <w:color w:val="000000"/>
        </w:rPr>
        <w:t xml:space="preserve"> </w:t>
      </w:r>
      <w:r w:rsidRPr="00E3482E">
        <w:rPr>
          <w:color w:val="000000"/>
        </w:rPr>
        <w:t xml:space="preserve">were reported for the </w:t>
      </w:r>
      <w:proofErr w:type="spellStart"/>
      <w:r w:rsidRPr="00E3482E">
        <w:rPr>
          <w:color w:val="000000"/>
        </w:rPr>
        <w:t>NAb</w:t>
      </w:r>
      <w:proofErr w:type="spellEnd"/>
      <w:r w:rsidRPr="00E3482E">
        <w:rPr>
          <w:color w:val="000000"/>
        </w:rPr>
        <w:t xml:space="preserve"> positive patients in the </w:t>
      </w:r>
      <w:r w:rsidR="00982770">
        <w:rPr>
          <w:color w:val="000000"/>
        </w:rPr>
        <w:t>RIXIMYO</w:t>
      </w:r>
      <w:r w:rsidR="00982770" w:rsidRPr="00A77CC4">
        <w:rPr>
          <w:color w:val="000000"/>
          <w:vertAlign w:val="superscript"/>
        </w:rPr>
        <w:t>®</w:t>
      </w:r>
      <w:r w:rsidRPr="00E3482E">
        <w:rPr>
          <w:color w:val="000000"/>
        </w:rPr>
        <w:t xml:space="preserve"> group, whereas two</w:t>
      </w:r>
      <w:r w:rsidR="00FB3486" w:rsidRPr="00E3482E">
        <w:rPr>
          <w:color w:val="000000"/>
        </w:rPr>
        <w:t xml:space="preserve"> </w:t>
      </w:r>
      <w:r w:rsidRPr="00E3482E">
        <w:rPr>
          <w:color w:val="000000"/>
        </w:rPr>
        <w:t xml:space="preserve">suspected drug-related </w:t>
      </w:r>
      <w:r w:rsidR="00F3248D" w:rsidRPr="00E3482E">
        <w:rPr>
          <w:color w:val="000000"/>
        </w:rPr>
        <w:t xml:space="preserve">SAEs </w:t>
      </w:r>
      <w:r w:rsidRPr="00E3482E">
        <w:rPr>
          <w:color w:val="000000"/>
        </w:rPr>
        <w:t>of moderate intensities (gastroenteritis and infusion related</w:t>
      </w:r>
      <w:r w:rsidR="00FB3486" w:rsidRPr="00E3482E">
        <w:rPr>
          <w:color w:val="000000"/>
        </w:rPr>
        <w:t xml:space="preserve"> </w:t>
      </w:r>
      <w:r w:rsidRPr="00E3482E">
        <w:rPr>
          <w:color w:val="000000"/>
        </w:rPr>
        <w:t xml:space="preserve">reaction) were reported for the patient in the </w:t>
      </w:r>
      <w:r w:rsidR="00A77CC4">
        <w:rPr>
          <w:color w:val="000000"/>
        </w:rPr>
        <w:t xml:space="preserve">reference medicine </w:t>
      </w:r>
      <w:r w:rsidRPr="00E3482E">
        <w:rPr>
          <w:color w:val="000000"/>
        </w:rPr>
        <w:t xml:space="preserve">arm. </w:t>
      </w:r>
    </w:p>
    <w:p w:rsidR="00FB3486" w:rsidRDefault="00FB3486" w:rsidP="009E0201">
      <w:pPr>
        <w:spacing w:before="120"/>
        <w:jc w:val="both"/>
        <w:rPr>
          <w:rStyle w:val="CommentReference"/>
        </w:rPr>
      </w:pPr>
      <w:r w:rsidRPr="00E3482E">
        <w:rPr>
          <w:color w:val="000000"/>
        </w:rPr>
        <w:t xml:space="preserve">In summary, the immunogenicity results evaluated by ADA and </w:t>
      </w:r>
      <w:proofErr w:type="spellStart"/>
      <w:r w:rsidR="00EB5996" w:rsidRPr="00E3482E">
        <w:rPr>
          <w:color w:val="000000"/>
        </w:rPr>
        <w:t>NAb</w:t>
      </w:r>
      <w:proofErr w:type="spellEnd"/>
      <w:r w:rsidRPr="00E3482E">
        <w:rPr>
          <w:color w:val="000000"/>
        </w:rPr>
        <w:t xml:space="preserve"> formation and by evaluating potential clinical signs of immunogenicity did not reveal clinically relevant differences between </w:t>
      </w:r>
      <w:r w:rsidR="00982770">
        <w:rPr>
          <w:color w:val="000000"/>
        </w:rPr>
        <w:t>RIXIMYO</w:t>
      </w:r>
      <w:r w:rsidR="00982770" w:rsidRPr="009E0201">
        <w:rPr>
          <w:color w:val="000000"/>
          <w:vertAlign w:val="superscript"/>
        </w:rPr>
        <w:t>®</w:t>
      </w:r>
      <w:r w:rsidR="00EB5996" w:rsidRPr="00E3482E">
        <w:rPr>
          <w:color w:val="000000"/>
        </w:rPr>
        <w:t xml:space="preserve"> and </w:t>
      </w:r>
      <w:r w:rsidR="009E0201">
        <w:rPr>
          <w:color w:val="000000"/>
        </w:rPr>
        <w:t xml:space="preserve">the reference medicine </w:t>
      </w:r>
      <w:r w:rsidR="00EB5996" w:rsidRPr="00E3482E">
        <w:rPr>
          <w:color w:val="000000"/>
        </w:rPr>
        <w:t xml:space="preserve">and the </w:t>
      </w:r>
      <w:r w:rsidRPr="00E3482E">
        <w:rPr>
          <w:color w:val="000000"/>
        </w:rPr>
        <w:t xml:space="preserve">observed incidence was </w:t>
      </w:r>
      <w:r w:rsidR="00EB5996" w:rsidRPr="00E3482E">
        <w:rPr>
          <w:color w:val="000000"/>
        </w:rPr>
        <w:t xml:space="preserve">comparable with </w:t>
      </w:r>
      <w:r w:rsidRPr="00E3482E">
        <w:rPr>
          <w:color w:val="000000"/>
        </w:rPr>
        <w:t>the</w:t>
      </w:r>
      <w:r w:rsidR="00EB5996" w:rsidRPr="00E3482E">
        <w:rPr>
          <w:color w:val="000000"/>
        </w:rPr>
        <w:t xml:space="preserve"> previously reported ADA incidence for </w:t>
      </w:r>
      <w:r w:rsidR="009E0201">
        <w:rPr>
          <w:color w:val="000000"/>
        </w:rPr>
        <w:t xml:space="preserve">the reference medicine. </w:t>
      </w:r>
      <w:r w:rsidR="009E0201" w:rsidDel="009E0201">
        <w:rPr>
          <w:rStyle w:val="CommentReference"/>
        </w:rPr>
        <w:t xml:space="preserve"> </w:t>
      </w:r>
    </w:p>
    <w:p w:rsidR="002A5BD3" w:rsidRPr="00E3482E" w:rsidRDefault="002A5BD3" w:rsidP="002A5BD3">
      <w:pPr>
        <w:pStyle w:val="Heading6"/>
        <w:rPr>
          <w:color w:val="000000"/>
        </w:rPr>
      </w:pPr>
      <w:r w:rsidRPr="00E3482E">
        <w:rPr>
          <w:color w:val="000000"/>
        </w:rPr>
        <w:t>Study GP13-</w:t>
      </w:r>
      <w:r>
        <w:rPr>
          <w:color w:val="000000"/>
        </w:rPr>
        <w:t>302</w:t>
      </w:r>
      <w:r w:rsidRPr="00E3482E">
        <w:rPr>
          <w:color w:val="000000"/>
        </w:rPr>
        <w:t xml:space="preserve"> (</w:t>
      </w:r>
      <w:r>
        <w:rPr>
          <w:color w:val="000000"/>
        </w:rPr>
        <w:t xml:space="preserve">Switch Study in </w:t>
      </w:r>
      <w:r w:rsidRPr="00E3482E">
        <w:rPr>
          <w:color w:val="000000"/>
        </w:rPr>
        <w:t>Rheumatoid Arthritis)</w:t>
      </w:r>
    </w:p>
    <w:p w:rsidR="002A5BD3" w:rsidRDefault="001D640B" w:rsidP="009E0201">
      <w:pPr>
        <w:spacing w:before="120"/>
        <w:jc w:val="both"/>
        <w:rPr>
          <w:color w:val="000000"/>
        </w:rPr>
      </w:pPr>
      <w:r>
        <w:rPr>
          <w:color w:val="000000"/>
        </w:rPr>
        <w:t>All patients in this study received reference medicine for treatment of rheumatoid arthritis prior to the study and were randomized at study start to either a switch from reference medicine to RIXIMYO</w:t>
      </w:r>
      <w:r w:rsidRPr="009E0201">
        <w:rPr>
          <w:color w:val="000000"/>
          <w:vertAlign w:val="superscript"/>
        </w:rPr>
        <w:t>®</w:t>
      </w:r>
      <w:r w:rsidRPr="001D640B">
        <w:rPr>
          <w:color w:val="000000"/>
        </w:rPr>
        <w:t xml:space="preserve"> </w:t>
      </w:r>
      <w:r>
        <w:rPr>
          <w:color w:val="000000"/>
        </w:rPr>
        <w:t xml:space="preserve">or to a continuation with the reference medicine. </w:t>
      </w:r>
    </w:p>
    <w:p w:rsidR="001D640B" w:rsidRDefault="001D640B" w:rsidP="009E0201">
      <w:pPr>
        <w:spacing w:before="120"/>
        <w:jc w:val="both"/>
        <w:rPr>
          <w:color w:val="000000"/>
        </w:rPr>
      </w:pPr>
      <w:r>
        <w:rPr>
          <w:color w:val="000000"/>
        </w:rPr>
        <w:t xml:space="preserve">Incidence of adverse events </w:t>
      </w:r>
      <w:r w:rsidR="00B24EDB">
        <w:rPr>
          <w:color w:val="000000"/>
        </w:rPr>
        <w:t>considered to</w:t>
      </w:r>
      <w:r>
        <w:rPr>
          <w:color w:val="000000"/>
        </w:rPr>
        <w:t xml:space="preserve"> </w:t>
      </w:r>
      <w:r w:rsidR="00B24EDB">
        <w:rPr>
          <w:color w:val="000000"/>
        </w:rPr>
        <w:t xml:space="preserve">reflect the immunologic response to the treatment switch was similar between both treatment groups. Hypersensitivity reactions occurred in </w:t>
      </w:r>
      <w:r w:rsidR="00B24EDB">
        <w:rPr>
          <w:color w:val="000000"/>
          <w:lang w:val="en-GB"/>
        </w:rPr>
        <w:t>RIXIMYO</w:t>
      </w:r>
      <w:r w:rsidR="00B24EDB" w:rsidRPr="00917B3D">
        <w:rPr>
          <w:color w:val="000000"/>
          <w:vertAlign w:val="superscript"/>
          <w:lang w:val="en-GB"/>
        </w:rPr>
        <w:t>®</w:t>
      </w:r>
      <w:r w:rsidR="00B24EDB" w:rsidRPr="00E3482E">
        <w:rPr>
          <w:color w:val="000000"/>
          <w:lang w:val="en-GB"/>
        </w:rPr>
        <w:t xml:space="preserve"> </w:t>
      </w:r>
      <w:r w:rsidR="00B24EDB">
        <w:rPr>
          <w:color w:val="000000"/>
          <w:lang w:val="en-GB"/>
        </w:rPr>
        <w:t>9.4</w:t>
      </w:r>
      <w:r w:rsidR="00B24EDB" w:rsidRPr="00E3482E">
        <w:rPr>
          <w:color w:val="000000"/>
          <w:lang w:val="en-GB"/>
        </w:rPr>
        <w:t xml:space="preserve">%, </w:t>
      </w:r>
      <w:r w:rsidR="00907287">
        <w:rPr>
          <w:color w:val="000000"/>
          <w:lang w:val="en-GB"/>
        </w:rPr>
        <w:t>r</w:t>
      </w:r>
      <w:r w:rsidR="00B24EDB">
        <w:rPr>
          <w:color w:val="000000"/>
          <w:lang w:val="en-GB"/>
        </w:rPr>
        <w:t xml:space="preserve">eference </w:t>
      </w:r>
      <w:r w:rsidR="00907287">
        <w:rPr>
          <w:color w:val="000000"/>
          <w:lang w:val="en-GB"/>
        </w:rPr>
        <w:t>m</w:t>
      </w:r>
      <w:r w:rsidR="00B24EDB">
        <w:rPr>
          <w:color w:val="000000"/>
          <w:lang w:val="en-GB"/>
        </w:rPr>
        <w:t>edicine 11.1</w:t>
      </w:r>
      <w:r w:rsidR="00B24EDB" w:rsidRPr="00E3482E">
        <w:rPr>
          <w:color w:val="000000"/>
          <w:lang w:val="en-GB"/>
        </w:rPr>
        <w:t>%;</w:t>
      </w:r>
      <w:r w:rsidR="00B24EDB">
        <w:rPr>
          <w:color w:val="000000"/>
          <w:lang w:val="en-GB"/>
        </w:rPr>
        <w:t xml:space="preserve"> anaphylactic reaction occurred only in one patient treated with the </w:t>
      </w:r>
      <w:r w:rsidR="00803B54">
        <w:rPr>
          <w:color w:val="000000"/>
          <w:lang w:val="en-GB"/>
        </w:rPr>
        <w:t>r</w:t>
      </w:r>
      <w:r w:rsidR="00030731">
        <w:rPr>
          <w:color w:val="000000"/>
          <w:lang w:val="en-GB"/>
        </w:rPr>
        <w:t xml:space="preserve">eference </w:t>
      </w:r>
      <w:r w:rsidR="00803B54">
        <w:rPr>
          <w:color w:val="000000"/>
          <w:lang w:val="en-GB"/>
        </w:rPr>
        <w:t>m</w:t>
      </w:r>
      <w:r w:rsidR="00B24EDB">
        <w:rPr>
          <w:color w:val="000000"/>
          <w:lang w:val="en-GB"/>
        </w:rPr>
        <w:t xml:space="preserve">edicine </w:t>
      </w:r>
      <w:r w:rsidR="00030731">
        <w:rPr>
          <w:color w:val="000000"/>
          <w:lang w:val="en-GB"/>
        </w:rPr>
        <w:t>(</w:t>
      </w:r>
      <w:r w:rsidR="00B24EDB">
        <w:rPr>
          <w:color w:val="000000"/>
          <w:lang w:val="en-GB"/>
        </w:rPr>
        <w:t>1.9%</w:t>
      </w:r>
      <w:r w:rsidR="00030731">
        <w:rPr>
          <w:color w:val="000000"/>
          <w:lang w:val="en-GB"/>
        </w:rPr>
        <w:t>)</w:t>
      </w:r>
      <w:r w:rsidR="00B24EDB">
        <w:rPr>
          <w:color w:val="000000"/>
          <w:lang w:val="en-GB"/>
        </w:rPr>
        <w:t>; infusion-related reactions occurred in RIXIMYO</w:t>
      </w:r>
      <w:r w:rsidR="00B24EDB" w:rsidRPr="00917B3D">
        <w:rPr>
          <w:color w:val="000000"/>
          <w:vertAlign w:val="superscript"/>
          <w:lang w:val="en-GB"/>
        </w:rPr>
        <w:t>®</w:t>
      </w:r>
      <w:r w:rsidR="00B24EDB" w:rsidRPr="00E3482E">
        <w:rPr>
          <w:color w:val="000000"/>
          <w:lang w:val="en-GB"/>
        </w:rPr>
        <w:t xml:space="preserve"> </w:t>
      </w:r>
      <w:r w:rsidR="00B24EDB">
        <w:rPr>
          <w:color w:val="000000"/>
          <w:lang w:val="en-GB"/>
        </w:rPr>
        <w:t>11.3</w:t>
      </w:r>
      <w:r w:rsidR="00B24EDB" w:rsidRPr="00E3482E">
        <w:rPr>
          <w:color w:val="000000"/>
          <w:lang w:val="en-GB"/>
        </w:rPr>
        <w:t xml:space="preserve">%, </w:t>
      </w:r>
      <w:r w:rsidR="00907287">
        <w:rPr>
          <w:color w:val="000000"/>
          <w:lang w:val="en-GB"/>
        </w:rPr>
        <w:t>r</w:t>
      </w:r>
      <w:r w:rsidR="00B24EDB">
        <w:rPr>
          <w:color w:val="000000"/>
          <w:lang w:val="en-GB"/>
        </w:rPr>
        <w:t xml:space="preserve">eference </w:t>
      </w:r>
      <w:r w:rsidR="00907287">
        <w:rPr>
          <w:color w:val="000000"/>
          <w:lang w:val="en-GB"/>
        </w:rPr>
        <w:t>m</w:t>
      </w:r>
      <w:r w:rsidR="00B24EDB">
        <w:rPr>
          <w:color w:val="000000"/>
          <w:lang w:val="en-GB"/>
        </w:rPr>
        <w:t>edicine 1</w:t>
      </w:r>
      <w:r w:rsidR="00030731">
        <w:rPr>
          <w:color w:val="000000"/>
          <w:lang w:val="en-GB"/>
        </w:rPr>
        <w:t xml:space="preserve">8.5%; newly occurred </w:t>
      </w:r>
      <w:r w:rsidR="00030731" w:rsidRPr="00E3482E">
        <w:rPr>
          <w:color w:val="000000"/>
        </w:rPr>
        <w:t xml:space="preserve">post-treatment ADAs were detected </w:t>
      </w:r>
      <w:r w:rsidR="00030731">
        <w:rPr>
          <w:color w:val="000000"/>
          <w:lang w:val="en-GB"/>
        </w:rPr>
        <w:t xml:space="preserve">only in one patient treated with the </w:t>
      </w:r>
      <w:r w:rsidR="00803B54">
        <w:rPr>
          <w:color w:val="000000"/>
          <w:lang w:val="en-GB"/>
        </w:rPr>
        <w:t>reference m</w:t>
      </w:r>
      <w:r w:rsidR="00030731">
        <w:rPr>
          <w:color w:val="000000"/>
          <w:lang w:val="en-GB"/>
        </w:rPr>
        <w:t>edicine (1.9%)</w:t>
      </w:r>
      <w:r w:rsidR="00803B54">
        <w:rPr>
          <w:color w:val="000000"/>
          <w:lang w:val="en-GB"/>
        </w:rPr>
        <w:t>, ADAs in this patient were not neutralizing. This patient did not report any AEs.</w:t>
      </w:r>
    </w:p>
    <w:p w:rsidR="001D640B" w:rsidRDefault="00030731" w:rsidP="009E0201">
      <w:pPr>
        <w:spacing w:before="120"/>
        <w:jc w:val="both"/>
        <w:rPr>
          <w:color w:val="000000"/>
          <w:lang w:val="en-GB"/>
        </w:rPr>
      </w:pPr>
      <w:r w:rsidRPr="00E3482E">
        <w:rPr>
          <w:color w:val="000000"/>
          <w:lang w:val="en-GB"/>
        </w:rPr>
        <w:t xml:space="preserve">The overall incidence of adverse events was </w:t>
      </w:r>
      <w:r>
        <w:rPr>
          <w:color w:val="000000"/>
          <w:lang w:val="en-GB"/>
        </w:rPr>
        <w:t>slightly higher in the RIXIMYO</w:t>
      </w:r>
      <w:r w:rsidRPr="00A77CC4">
        <w:rPr>
          <w:color w:val="000000"/>
          <w:vertAlign w:val="superscript"/>
          <w:lang w:val="en-GB"/>
        </w:rPr>
        <w:t>®</w:t>
      </w:r>
      <w:r w:rsidRPr="00E3482E">
        <w:rPr>
          <w:color w:val="000000"/>
          <w:lang w:val="en-GB"/>
        </w:rPr>
        <w:t xml:space="preserve"> treatment group </w:t>
      </w:r>
      <w:r>
        <w:rPr>
          <w:color w:val="000000"/>
          <w:lang w:val="en-GB"/>
        </w:rPr>
        <w:t xml:space="preserve">than in the </w:t>
      </w:r>
      <w:r w:rsidR="007B03D0">
        <w:rPr>
          <w:color w:val="000000"/>
          <w:lang w:val="en-GB"/>
        </w:rPr>
        <w:t>reference m</w:t>
      </w:r>
      <w:r>
        <w:rPr>
          <w:color w:val="000000"/>
          <w:lang w:val="en-GB"/>
        </w:rPr>
        <w:t xml:space="preserve">edicine treatment group, while </w:t>
      </w:r>
      <w:r w:rsidRPr="00030731">
        <w:rPr>
          <w:color w:val="000000"/>
          <w:lang w:val="en-GB"/>
        </w:rPr>
        <w:t>no cluster of sp</w:t>
      </w:r>
      <w:r w:rsidR="00803B54">
        <w:rPr>
          <w:color w:val="000000"/>
          <w:lang w:val="en-GB"/>
        </w:rPr>
        <w:t>ecific events could be observed and</w:t>
      </w:r>
      <w:r w:rsidRPr="00030731">
        <w:rPr>
          <w:color w:val="000000"/>
          <w:lang w:val="en-GB"/>
        </w:rPr>
        <w:t xml:space="preserve"> most AEs occurred in 1 or 2 patients</w:t>
      </w:r>
      <w:r w:rsidRPr="00E3482E">
        <w:rPr>
          <w:color w:val="000000"/>
          <w:lang w:val="en-GB"/>
        </w:rPr>
        <w:t xml:space="preserve">. </w:t>
      </w:r>
      <w:r>
        <w:rPr>
          <w:color w:val="000000"/>
          <w:lang w:val="en-GB"/>
        </w:rPr>
        <w:t>S</w:t>
      </w:r>
      <w:r w:rsidRPr="00E3482E">
        <w:rPr>
          <w:color w:val="000000"/>
          <w:lang w:val="en-GB"/>
        </w:rPr>
        <w:t xml:space="preserve">erious adverse events </w:t>
      </w:r>
      <w:r>
        <w:rPr>
          <w:color w:val="000000"/>
          <w:lang w:val="en-GB"/>
        </w:rPr>
        <w:t xml:space="preserve">including one fatal event </w:t>
      </w:r>
      <w:proofErr w:type="gramStart"/>
      <w:r>
        <w:rPr>
          <w:color w:val="000000"/>
          <w:lang w:val="en-GB"/>
        </w:rPr>
        <w:t>occurred</w:t>
      </w:r>
      <w:proofErr w:type="gramEnd"/>
      <w:r>
        <w:rPr>
          <w:color w:val="000000"/>
          <w:lang w:val="en-GB"/>
        </w:rPr>
        <w:t xml:space="preserve"> only the </w:t>
      </w:r>
      <w:r w:rsidR="00907287">
        <w:rPr>
          <w:color w:val="000000"/>
          <w:lang w:val="en-GB"/>
        </w:rPr>
        <w:t>r</w:t>
      </w:r>
      <w:r>
        <w:rPr>
          <w:color w:val="000000"/>
          <w:lang w:val="en-GB"/>
        </w:rPr>
        <w:t xml:space="preserve">eference </w:t>
      </w:r>
      <w:r w:rsidR="00907287">
        <w:rPr>
          <w:color w:val="000000"/>
          <w:lang w:val="en-GB"/>
        </w:rPr>
        <w:t>m</w:t>
      </w:r>
      <w:r>
        <w:rPr>
          <w:color w:val="000000"/>
          <w:lang w:val="en-GB"/>
        </w:rPr>
        <w:t xml:space="preserve">edicine treatment group. </w:t>
      </w:r>
      <w:r w:rsidRPr="00E3482E">
        <w:rPr>
          <w:color w:val="000000"/>
          <w:lang w:val="en-GB"/>
        </w:rPr>
        <w:t xml:space="preserve"> The </w:t>
      </w:r>
      <w:proofErr w:type="gramStart"/>
      <w:r w:rsidRPr="00E3482E">
        <w:rPr>
          <w:color w:val="000000"/>
          <w:lang w:val="en-GB"/>
        </w:rPr>
        <w:t xml:space="preserve">incidence of </w:t>
      </w:r>
      <w:r w:rsidR="00803B54">
        <w:rPr>
          <w:color w:val="000000"/>
          <w:lang w:val="en-GB"/>
        </w:rPr>
        <w:t>adverse events leading</w:t>
      </w:r>
      <w:r w:rsidRPr="00E3482E">
        <w:rPr>
          <w:color w:val="000000"/>
          <w:lang w:val="en-GB"/>
        </w:rPr>
        <w:t xml:space="preserve"> to interruptions of study drug </w:t>
      </w:r>
      <w:r w:rsidR="00F87845" w:rsidRPr="00E3482E">
        <w:rPr>
          <w:color w:val="000000"/>
          <w:lang w:val="en-GB"/>
        </w:rPr>
        <w:t>were</w:t>
      </w:r>
      <w:proofErr w:type="gramEnd"/>
      <w:r w:rsidR="00F87845" w:rsidRPr="00E3482E">
        <w:rPr>
          <w:color w:val="000000"/>
          <w:lang w:val="en-GB"/>
        </w:rPr>
        <w:t xml:space="preserve"> slightly higher in the </w:t>
      </w:r>
      <w:r w:rsidR="00F87845">
        <w:rPr>
          <w:color w:val="000000"/>
          <w:lang w:val="en-GB"/>
        </w:rPr>
        <w:t xml:space="preserve">reference medicine </w:t>
      </w:r>
      <w:r w:rsidR="00F87845" w:rsidRPr="00E3482E">
        <w:rPr>
          <w:color w:val="000000"/>
          <w:lang w:val="en-GB"/>
        </w:rPr>
        <w:t xml:space="preserve">than in the </w:t>
      </w:r>
      <w:r w:rsidR="00F87845">
        <w:rPr>
          <w:color w:val="000000"/>
          <w:lang w:val="en-GB"/>
        </w:rPr>
        <w:t>RIXIMYO</w:t>
      </w:r>
      <w:r w:rsidR="00F87845" w:rsidRPr="00A77CC4">
        <w:rPr>
          <w:color w:val="000000"/>
          <w:vertAlign w:val="superscript"/>
          <w:lang w:val="en-GB"/>
        </w:rPr>
        <w:t>®</w:t>
      </w:r>
      <w:r w:rsidR="00F87845" w:rsidRPr="00E3482E">
        <w:rPr>
          <w:color w:val="000000"/>
          <w:lang w:val="en-GB"/>
        </w:rPr>
        <w:t xml:space="preserve"> treatment group</w:t>
      </w:r>
      <w:r w:rsidR="00F87845">
        <w:rPr>
          <w:color w:val="000000"/>
          <w:lang w:val="en-GB"/>
        </w:rPr>
        <w:t>. Only one patient had AE leading</w:t>
      </w:r>
      <w:r w:rsidR="00F87845" w:rsidRPr="00E3482E">
        <w:rPr>
          <w:color w:val="000000"/>
          <w:lang w:val="en-GB"/>
        </w:rPr>
        <w:t xml:space="preserve"> to premature</w:t>
      </w:r>
      <w:r w:rsidR="00F87845">
        <w:rPr>
          <w:color w:val="000000"/>
          <w:lang w:val="en-GB"/>
        </w:rPr>
        <w:t xml:space="preserve"> discontinuation in the RIXIMYO</w:t>
      </w:r>
      <w:r w:rsidR="00F87845" w:rsidRPr="00A77CC4">
        <w:rPr>
          <w:color w:val="000000"/>
          <w:vertAlign w:val="superscript"/>
          <w:lang w:val="en-GB"/>
        </w:rPr>
        <w:t>®</w:t>
      </w:r>
      <w:r w:rsidR="00F87845" w:rsidRPr="00E3482E">
        <w:rPr>
          <w:color w:val="000000"/>
          <w:lang w:val="en-GB"/>
        </w:rPr>
        <w:t xml:space="preserve"> treatment group</w:t>
      </w:r>
      <w:r w:rsidR="00F87845">
        <w:rPr>
          <w:color w:val="000000"/>
          <w:lang w:val="en-GB"/>
        </w:rPr>
        <w:t>. T</w:t>
      </w:r>
      <w:r w:rsidR="00F87845" w:rsidRPr="00E3482E">
        <w:rPr>
          <w:color w:val="000000"/>
          <w:lang w:val="en-GB"/>
        </w:rPr>
        <w:t xml:space="preserve">hese </w:t>
      </w:r>
      <w:r w:rsidR="00803B54">
        <w:rPr>
          <w:color w:val="000000"/>
          <w:lang w:val="en-GB"/>
        </w:rPr>
        <w:t xml:space="preserve">differences were not considered </w:t>
      </w:r>
      <w:r w:rsidR="00F87845" w:rsidRPr="00E3482E">
        <w:rPr>
          <w:color w:val="000000"/>
          <w:lang w:val="en-GB"/>
        </w:rPr>
        <w:t>clinically relevant.</w:t>
      </w:r>
      <w:r w:rsidR="00F87845">
        <w:rPr>
          <w:color w:val="000000"/>
          <w:lang w:val="en-GB"/>
        </w:rPr>
        <w:t xml:space="preserve"> </w:t>
      </w:r>
      <w:r w:rsidR="00F87845" w:rsidRPr="00E3482E">
        <w:rPr>
          <w:color w:val="000000"/>
          <w:lang w:val="en-GB"/>
        </w:rPr>
        <w:t>Table 2</w:t>
      </w:r>
      <w:r w:rsidR="00F87845">
        <w:rPr>
          <w:color w:val="000000"/>
          <w:lang w:val="en-GB"/>
        </w:rPr>
        <w:t>4</w:t>
      </w:r>
      <w:r w:rsidR="00F87845" w:rsidRPr="00E3482E">
        <w:rPr>
          <w:color w:val="000000"/>
          <w:lang w:val="en-GB"/>
        </w:rPr>
        <w:t xml:space="preserve"> below summarises adverse events with suspected causality to the study drug.</w:t>
      </w:r>
    </w:p>
    <w:p w:rsidR="00F87845" w:rsidRDefault="00F87845" w:rsidP="009E0201">
      <w:pPr>
        <w:spacing w:before="120"/>
        <w:jc w:val="both"/>
        <w:rPr>
          <w:color w:val="000000"/>
          <w:lang w:val="en-GB"/>
        </w:rPr>
      </w:pPr>
    </w:p>
    <w:p w:rsidR="00F87845" w:rsidRPr="00C821DA" w:rsidRDefault="00F87845" w:rsidP="00F87845">
      <w:pPr>
        <w:pStyle w:val="Tabletitle"/>
        <w:rPr>
          <w:sz w:val="23"/>
          <w:szCs w:val="23"/>
          <w:lang w:eastAsia="en-AU"/>
        </w:rPr>
      </w:pPr>
      <w:r w:rsidRPr="00C821DA">
        <w:rPr>
          <w:spacing w:val="-3"/>
          <w:sz w:val="23"/>
          <w:szCs w:val="23"/>
          <w:lang w:eastAsia="en-AU"/>
        </w:rPr>
        <w:t>T</w:t>
      </w:r>
      <w:r w:rsidRPr="00C821DA">
        <w:rPr>
          <w:sz w:val="23"/>
          <w:szCs w:val="23"/>
          <w:lang w:eastAsia="en-AU"/>
        </w:rPr>
        <w:t>a</w:t>
      </w:r>
      <w:r w:rsidRPr="00C821DA">
        <w:rPr>
          <w:spacing w:val="-1"/>
          <w:sz w:val="23"/>
          <w:szCs w:val="23"/>
          <w:lang w:eastAsia="en-AU"/>
        </w:rPr>
        <w:t>b</w:t>
      </w:r>
      <w:r w:rsidRPr="00C821DA">
        <w:rPr>
          <w:spacing w:val="1"/>
          <w:sz w:val="23"/>
          <w:szCs w:val="23"/>
          <w:lang w:eastAsia="en-AU"/>
        </w:rPr>
        <w:t>l</w:t>
      </w:r>
      <w:r w:rsidRPr="00C821DA">
        <w:rPr>
          <w:sz w:val="23"/>
          <w:szCs w:val="23"/>
          <w:lang w:eastAsia="en-AU"/>
        </w:rPr>
        <w:t>e</w:t>
      </w:r>
      <w:r w:rsidRPr="00C821DA">
        <w:rPr>
          <w:spacing w:val="1"/>
          <w:sz w:val="23"/>
          <w:szCs w:val="23"/>
          <w:lang w:eastAsia="en-AU"/>
        </w:rPr>
        <w:t xml:space="preserve"> 2</w:t>
      </w:r>
      <w:r>
        <w:rPr>
          <w:spacing w:val="1"/>
          <w:sz w:val="23"/>
          <w:szCs w:val="23"/>
          <w:lang w:eastAsia="en-AU"/>
        </w:rPr>
        <w:t>4</w:t>
      </w:r>
      <w:r w:rsidRPr="00C821DA">
        <w:rPr>
          <w:sz w:val="23"/>
          <w:szCs w:val="23"/>
          <w:lang w:eastAsia="en-AU"/>
        </w:rPr>
        <w:t xml:space="preserve"> </w:t>
      </w:r>
      <w:r w:rsidRPr="00C821DA">
        <w:rPr>
          <w:spacing w:val="13"/>
          <w:sz w:val="23"/>
          <w:szCs w:val="23"/>
          <w:lang w:eastAsia="en-AU"/>
        </w:rPr>
        <w:tab/>
      </w:r>
      <w:r w:rsidRPr="00C821DA">
        <w:rPr>
          <w:spacing w:val="-6"/>
          <w:sz w:val="23"/>
          <w:szCs w:val="23"/>
          <w:lang w:eastAsia="en-AU"/>
        </w:rPr>
        <w:t>A</w:t>
      </w:r>
      <w:r w:rsidRPr="00C821DA">
        <w:rPr>
          <w:spacing w:val="1"/>
          <w:sz w:val="23"/>
          <w:szCs w:val="23"/>
          <w:lang w:eastAsia="en-AU"/>
        </w:rPr>
        <w:t>dverse events</w:t>
      </w:r>
      <w:r w:rsidRPr="00C821DA">
        <w:rPr>
          <w:spacing w:val="-2"/>
          <w:sz w:val="23"/>
          <w:szCs w:val="23"/>
          <w:lang w:eastAsia="en-AU"/>
        </w:rPr>
        <w:t xml:space="preserve"> </w:t>
      </w:r>
      <w:r w:rsidRPr="00C821DA">
        <w:rPr>
          <w:spacing w:val="6"/>
          <w:sz w:val="23"/>
          <w:szCs w:val="23"/>
          <w:lang w:eastAsia="en-AU"/>
        </w:rPr>
        <w:t>w</w:t>
      </w:r>
      <w:r w:rsidRPr="00C821DA">
        <w:rPr>
          <w:spacing w:val="-1"/>
          <w:sz w:val="23"/>
          <w:szCs w:val="23"/>
          <w:lang w:eastAsia="en-AU"/>
        </w:rPr>
        <w:t>i</w:t>
      </w:r>
      <w:r w:rsidRPr="00C821DA">
        <w:rPr>
          <w:spacing w:val="1"/>
          <w:sz w:val="23"/>
          <w:szCs w:val="23"/>
          <w:lang w:eastAsia="en-AU"/>
        </w:rPr>
        <w:t>t</w:t>
      </w:r>
      <w:r w:rsidRPr="00C821DA">
        <w:rPr>
          <w:sz w:val="23"/>
          <w:szCs w:val="23"/>
          <w:lang w:eastAsia="en-AU"/>
        </w:rPr>
        <w:t>h a</w:t>
      </w:r>
      <w:r w:rsidRPr="00C821DA">
        <w:rPr>
          <w:spacing w:val="-1"/>
          <w:sz w:val="23"/>
          <w:szCs w:val="23"/>
          <w:lang w:eastAsia="en-AU"/>
        </w:rPr>
        <w:t xml:space="preserve"> </w:t>
      </w:r>
      <w:r w:rsidRPr="00C821DA">
        <w:rPr>
          <w:sz w:val="23"/>
          <w:szCs w:val="23"/>
          <w:lang w:eastAsia="en-AU"/>
        </w:rPr>
        <w:t>s</w:t>
      </w:r>
      <w:r w:rsidRPr="00C821DA">
        <w:rPr>
          <w:spacing w:val="-1"/>
          <w:sz w:val="23"/>
          <w:szCs w:val="23"/>
          <w:lang w:eastAsia="en-AU"/>
        </w:rPr>
        <w:t>u</w:t>
      </w:r>
      <w:r w:rsidRPr="00C821DA">
        <w:rPr>
          <w:sz w:val="23"/>
          <w:szCs w:val="23"/>
          <w:lang w:eastAsia="en-AU"/>
        </w:rPr>
        <w:t>s</w:t>
      </w:r>
      <w:r w:rsidRPr="00C821DA">
        <w:rPr>
          <w:spacing w:val="-1"/>
          <w:sz w:val="23"/>
          <w:szCs w:val="23"/>
          <w:lang w:eastAsia="en-AU"/>
        </w:rPr>
        <w:t>p</w:t>
      </w:r>
      <w:r w:rsidRPr="00C821DA">
        <w:rPr>
          <w:sz w:val="23"/>
          <w:szCs w:val="23"/>
          <w:lang w:eastAsia="en-AU"/>
        </w:rPr>
        <w:t>e</w:t>
      </w:r>
      <w:r w:rsidRPr="00C821DA">
        <w:rPr>
          <w:spacing w:val="-1"/>
          <w:sz w:val="23"/>
          <w:szCs w:val="23"/>
          <w:lang w:eastAsia="en-AU"/>
        </w:rPr>
        <w:t>c</w:t>
      </w:r>
      <w:r w:rsidRPr="00C821DA">
        <w:rPr>
          <w:spacing w:val="-2"/>
          <w:sz w:val="23"/>
          <w:szCs w:val="23"/>
          <w:lang w:eastAsia="en-AU"/>
        </w:rPr>
        <w:t>t</w:t>
      </w:r>
      <w:r w:rsidRPr="00C821DA">
        <w:rPr>
          <w:sz w:val="23"/>
          <w:szCs w:val="23"/>
          <w:lang w:eastAsia="en-AU"/>
        </w:rPr>
        <w:t xml:space="preserve">ed </w:t>
      </w:r>
      <w:r w:rsidRPr="00C821DA">
        <w:rPr>
          <w:spacing w:val="-3"/>
          <w:sz w:val="23"/>
          <w:szCs w:val="23"/>
          <w:lang w:eastAsia="en-AU"/>
        </w:rPr>
        <w:t>c</w:t>
      </w:r>
      <w:r w:rsidRPr="00C821DA">
        <w:rPr>
          <w:sz w:val="23"/>
          <w:szCs w:val="23"/>
          <w:lang w:eastAsia="en-AU"/>
        </w:rPr>
        <w:t>a</w:t>
      </w:r>
      <w:r w:rsidRPr="00C821DA">
        <w:rPr>
          <w:spacing w:val="-1"/>
          <w:sz w:val="23"/>
          <w:szCs w:val="23"/>
          <w:lang w:eastAsia="en-AU"/>
        </w:rPr>
        <w:t>u</w:t>
      </w:r>
      <w:r w:rsidRPr="00C821DA">
        <w:rPr>
          <w:sz w:val="23"/>
          <w:szCs w:val="23"/>
          <w:lang w:eastAsia="en-AU"/>
        </w:rPr>
        <w:t>s</w:t>
      </w:r>
      <w:r w:rsidRPr="00C821DA">
        <w:rPr>
          <w:spacing w:val="-1"/>
          <w:sz w:val="23"/>
          <w:szCs w:val="23"/>
          <w:lang w:eastAsia="en-AU"/>
        </w:rPr>
        <w:t>a</w:t>
      </w:r>
      <w:r w:rsidRPr="00C821DA">
        <w:rPr>
          <w:sz w:val="23"/>
          <w:szCs w:val="23"/>
          <w:lang w:eastAsia="en-AU"/>
        </w:rPr>
        <w:t>l</w:t>
      </w:r>
      <w:r w:rsidRPr="00C821DA">
        <w:rPr>
          <w:spacing w:val="2"/>
          <w:sz w:val="23"/>
          <w:szCs w:val="23"/>
          <w:lang w:eastAsia="en-AU"/>
        </w:rPr>
        <w:t xml:space="preserve"> </w:t>
      </w:r>
      <w:r w:rsidRPr="00C821DA">
        <w:rPr>
          <w:sz w:val="23"/>
          <w:szCs w:val="23"/>
          <w:lang w:eastAsia="en-AU"/>
        </w:rPr>
        <w:t>r</w:t>
      </w:r>
      <w:r w:rsidRPr="00C821DA">
        <w:rPr>
          <w:spacing w:val="-2"/>
          <w:sz w:val="23"/>
          <w:szCs w:val="23"/>
          <w:lang w:eastAsia="en-AU"/>
        </w:rPr>
        <w:t>e</w:t>
      </w:r>
      <w:r w:rsidRPr="00C821DA">
        <w:rPr>
          <w:spacing w:val="1"/>
          <w:sz w:val="23"/>
          <w:szCs w:val="23"/>
          <w:lang w:eastAsia="en-AU"/>
        </w:rPr>
        <w:t>l</w:t>
      </w:r>
      <w:r w:rsidRPr="00C821DA">
        <w:rPr>
          <w:sz w:val="23"/>
          <w:szCs w:val="23"/>
          <w:lang w:eastAsia="en-AU"/>
        </w:rPr>
        <w:t>a</w:t>
      </w:r>
      <w:r w:rsidRPr="00C821DA">
        <w:rPr>
          <w:spacing w:val="-2"/>
          <w:sz w:val="23"/>
          <w:szCs w:val="23"/>
          <w:lang w:eastAsia="en-AU"/>
        </w:rPr>
        <w:t>t</w:t>
      </w:r>
      <w:r w:rsidRPr="00C821DA">
        <w:rPr>
          <w:spacing w:val="1"/>
          <w:sz w:val="23"/>
          <w:szCs w:val="23"/>
          <w:lang w:eastAsia="en-AU"/>
        </w:rPr>
        <w:t>i</w:t>
      </w:r>
      <w:r w:rsidRPr="00C821DA">
        <w:rPr>
          <w:sz w:val="23"/>
          <w:szCs w:val="23"/>
          <w:lang w:eastAsia="en-AU"/>
        </w:rPr>
        <w:t>o</w:t>
      </w:r>
      <w:r w:rsidRPr="00C821DA">
        <w:rPr>
          <w:spacing w:val="-1"/>
          <w:sz w:val="23"/>
          <w:szCs w:val="23"/>
          <w:lang w:eastAsia="en-AU"/>
        </w:rPr>
        <w:t>n</w:t>
      </w:r>
      <w:r w:rsidRPr="00C821DA">
        <w:rPr>
          <w:sz w:val="23"/>
          <w:szCs w:val="23"/>
          <w:lang w:eastAsia="en-AU"/>
        </w:rPr>
        <w:t>s</w:t>
      </w:r>
      <w:r w:rsidRPr="00C821DA">
        <w:rPr>
          <w:spacing w:val="-3"/>
          <w:sz w:val="23"/>
          <w:szCs w:val="23"/>
          <w:lang w:eastAsia="en-AU"/>
        </w:rPr>
        <w:t>h</w:t>
      </w:r>
      <w:r w:rsidRPr="00C821DA">
        <w:rPr>
          <w:spacing w:val="1"/>
          <w:sz w:val="23"/>
          <w:szCs w:val="23"/>
          <w:lang w:eastAsia="en-AU"/>
        </w:rPr>
        <w:t>i</w:t>
      </w:r>
      <w:r w:rsidRPr="00C821DA">
        <w:rPr>
          <w:sz w:val="23"/>
          <w:szCs w:val="23"/>
          <w:lang w:eastAsia="en-AU"/>
        </w:rPr>
        <w:t xml:space="preserve">p </w:t>
      </w:r>
      <w:r w:rsidRPr="00C821DA">
        <w:rPr>
          <w:spacing w:val="1"/>
          <w:sz w:val="23"/>
          <w:szCs w:val="23"/>
          <w:lang w:eastAsia="en-AU"/>
        </w:rPr>
        <w:t>t</w:t>
      </w:r>
      <w:r w:rsidRPr="00C821DA">
        <w:rPr>
          <w:sz w:val="23"/>
          <w:szCs w:val="23"/>
          <w:lang w:eastAsia="en-AU"/>
        </w:rPr>
        <w:t>o</w:t>
      </w:r>
      <w:r w:rsidRPr="00C821DA">
        <w:rPr>
          <w:spacing w:val="-1"/>
          <w:sz w:val="23"/>
          <w:szCs w:val="23"/>
          <w:lang w:eastAsia="en-AU"/>
        </w:rPr>
        <w:t xml:space="preserve"> treatment</w:t>
      </w:r>
      <w:r w:rsidRPr="00C821DA">
        <w:rPr>
          <w:sz w:val="23"/>
          <w:szCs w:val="23"/>
          <w:lang w:eastAsia="en-AU"/>
        </w:rPr>
        <w:t xml:space="preserve"> reported </w:t>
      </w:r>
      <w:r w:rsidRPr="00C821DA">
        <w:rPr>
          <w:spacing w:val="1"/>
          <w:sz w:val="23"/>
          <w:szCs w:val="23"/>
          <w:lang w:eastAsia="en-AU"/>
        </w:rPr>
        <w:t>i</w:t>
      </w:r>
      <w:r w:rsidRPr="00C821DA">
        <w:rPr>
          <w:sz w:val="23"/>
          <w:szCs w:val="23"/>
          <w:lang w:eastAsia="en-AU"/>
        </w:rPr>
        <w:t>n</w:t>
      </w:r>
      <w:r w:rsidRPr="00C821DA">
        <w:rPr>
          <w:spacing w:val="1"/>
          <w:sz w:val="23"/>
          <w:szCs w:val="23"/>
          <w:lang w:eastAsia="en-AU"/>
        </w:rPr>
        <w:t xml:space="preserve"> </w:t>
      </w:r>
      <w:r w:rsidRPr="00C821DA">
        <w:rPr>
          <w:sz w:val="23"/>
          <w:szCs w:val="23"/>
          <w:lang w:eastAsia="en-AU"/>
        </w:rPr>
        <w:t>p</w:t>
      </w:r>
      <w:r w:rsidRPr="00C821DA">
        <w:rPr>
          <w:spacing w:val="-1"/>
          <w:sz w:val="23"/>
          <w:szCs w:val="23"/>
          <w:lang w:eastAsia="en-AU"/>
        </w:rPr>
        <w:t>a</w:t>
      </w:r>
      <w:r w:rsidRPr="00C821DA">
        <w:rPr>
          <w:spacing w:val="1"/>
          <w:sz w:val="23"/>
          <w:szCs w:val="23"/>
          <w:lang w:eastAsia="en-AU"/>
        </w:rPr>
        <w:t>ti</w:t>
      </w:r>
      <w:r w:rsidRPr="00C821DA">
        <w:rPr>
          <w:sz w:val="23"/>
          <w:szCs w:val="23"/>
          <w:lang w:eastAsia="en-AU"/>
        </w:rPr>
        <w:t>e</w:t>
      </w:r>
      <w:r w:rsidRPr="00C821DA">
        <w:rPr>
          <w:spacing w:val="-1"/>
          <w:sz w:val="23"/>
          <w:szCs w:val="23"/>
          <w:lang w:eastAsia="en-AU"/>
        </w:rPr>
        <w:t>n</w:t>
      </w:r>
      <w:r w:rsidRPr="00C821DA">
        <w:rPr>
          <w:spacing w:val="-2"/>
          <w:sz w:val="23"/>
          <w:szCs w:val="23"/>
          <w:lang w:eastAsia="en-AU"/>
        </w:rPr>
        <w:t>t</w:t>
      </w:r>
      <w:r w:rsidRPr="00C821DA">
        <w:rPr>
          <w:sz w:val="23"/>
          <w:szCs w:val="23"/>
          <w:lang w:eastAsia="en-AU"/>
        </w:rPr>
        <w:t>s</w:t>
      </w:r>
      <w:r w:rsidRPr="00C821DA">
        <w:rPr>
          <w:spacing w:val="-4"/>
          <w:sz w:val="23"/>
          <w:szCs w:val="23"/>
          <w:lang w:eastAsia="en-AU"/>
        </w:rPr>
        <w:t xml:space="preserve"> </w:t>
      </w:r>
      <w:r w:rsidRPr="00C821DA">
        <w:rPr>
          <w:spacing w:val="3"/>
          <w:sz w:val="23"/>
          <w:szCs w:val="23"/>
          <w:lang w:eastAsia="en-AU"/>
        </w:rPr>
        <w:t>w</w:t>
      </w:r>
      <w:r w:rsidRPr="00C821DA">
        <w:rPr>
          <w:spacing w:val="-1"/>
          <w:sz w:val="23"/>
          <w:szCs w:val="23"/>
          <w:lang w:eastAsia="en-AU"/>
        </w:rPr>
        <w:t>i</w:t>
      </w:r>
      <w:r w:rsidRPr="00C821DA">
        <w:rPr>
          <w:spacing w:val="1"/>
          <w:sz w:val="23"/>
          <w:szCs w:val="23"/>
          <w:lang w:eastAsia="en-AU"/>
        </w:rPr>
        <w:t>t</w:t>
      </w:r>
      <w:r w:rsidRPr="00C821DA">
        <w:rPr>
          <w:sz w:val="23"/>
          <w:szCs w:val="23"/>
          <w:lang w:eastAsia="en-AU"/>
        </w:rPr>
        <w:t xml:space="preserve">h </w:t>
      </w:r>
      <w:r w:rsidRPr="00C821DA">
        <w:rPr>
          <w:spacing w:val="2"/>
          <w:sz w:val="23"/>
          <w:szCs w:val="23"/>
          <w:lang w:eastAsia="en-AU"/>
        </w:rPr>
        <w:t>R</w:t>
      </w:r>
      <w:r w:rsidRPr="00C821DA">
        <w:rPr>
          <w:spacing w:val="-8"/>
          <w:sz w:val="23"/>
          <w:szCs w:val="23"/>
          <w:lang w:eastAsia="en-AU"/>
        </w:rPr>
        <w:t>A</w:t>
      </w:r>
      <w:r>
        <w:rPr>
          <w:spacing w:val="-8"/>
          <w:sz w:val="23"/>
          <w:szCs w:val="23"/>
          <w:lang w:eastAsia="en-AU"/>
        </w:rPr>
        <w:t xml:space="preserve"> in the GP13-302 switch study</w:t>
      </w:r>
    </w:p>
    <w:tbl>
      <w:tblPr>
        <w:tblW w:w="4913" w:type="pct"/>
        <w:jc w:val="center"/>
        <w:tblInd w:w="-514" w:type="dxa"/>
        <w:tblCellMar>
          <w:left w:w="0" w:type="dxa"/>
          <w:right w:w="0" w:type="dxa"/>
        </w:tblCellMar>
        <w:tblLook w:val="0000" w:firstRow="0" w:lastRow="0" w:firstColumn="0" w:lastColumn="0" w:noHBand="0" w:noVBand="0"/>
      </w:tblPr>
      <w:tblGrid>
        <w:gridCol w:w="4737"/>
        <w:gridCol w:w="1741"/>
        <w:gridCol w:w="2811"/>
      </w:tblGrid>
      <w:tr w:rsidR="00803B54" w:rsidRPr="00E74F11" w:rsidTr="00FE649F">
        <w:trPr>
          <w:cantSplit/>
          <w:tblHeader/>
          <w:jc w:val="center"/>
        </w:trPr>
        <w:tc>
          <w:tcPr>
            <w:tcW w:w="2550" w:type="pct"/>
            <w:tcBorders>
              <w:top w:val="single" w:sz="6" w:space="0" w:color="000000"/>
              <w:left w:val="nil"/>
              <w:bottom w:val="single" w:sz="6" w:space="0" w:color="000000"/>
              <w:right w:val="nil"/>
            </w:tcBorders>
            <w:shd w:val="clear" w:color="auto" w:fill="FFFFFF"/>
            <w:tcMar>
              <w:left w:w="60" w:type="dxa"/>
              <w:right w:w="60" w:type="dxa"/>
            </w:tcMar>
            <w:vAlign w:val="center"/>
          </w:tcPr>
          <w:p w:rsidR="00F87845" w:rsidRPr="00E74F11" w:rsidRDefault="00F87845" w:rsidP="00803B54">
            <w:pPr>
              <w:pStyle w:val="Table"/>
              <w:tabs>
                <w:tab w:val="clear" w:pos="284"/>
              </w:tabs>
              <w:ind w:left="142"/>
              <w:rPr>
                <w:b/>
              </w:rPr>
            </w:pPr>
            <w:r w:rsidRPr="00E74F11">
              <w:rPr>
                <w:b/>
              </w:rPr>
              <w:lastRenderedPageBreak/>
              <w:t>Preferred term</w:t>
            </w:r>
          </w:p>
        </w:tc>
        <w:tc>
          <w:tcPr>
            <w:tcW w:w="937" w:type="pct"/>
            <w:tcBorders>
              <w:top w:val="single" w:sz="6" w:space="0" w:color="000000"/>
              <w:left w:val="nil"/>
              <w:bottom w:val="single" w:sz="6" w:space="0" w:color="000000"/>
              <w:right w:val="nil"/>
            </w:tcBorders>
            <w:shd w:val="clear" w:color="auto" w:fill="FFFFFF"/>
            <w:tcMar>
              <w:left w:w="60" w:type="dxa"/>
              <w:right w:w="60" w:type="dxa"/>
            </w:tcMar>
            <w:vAlign w:val="bottom"/>
          </w:tcPr>
          <w:p w:rsidR="00F87845" w:rsidRPr="00E74F11" w:rsidRDefault="00F87845" w:rsidP="00AB4725">
            <w:pPr>
              <w:pStyle w:val="Table"/>
              <w:jc w:val="center"/>
              <w:rPr>
                <w:b/>
              </w:rPr>
            </w:pPr>
            <w:r w:rsidRPr="00C821DA">
              <w:rPr>
                <w:b/>
                <w:bCs/>
                <w:color w:val="000000"/>
                <w:spacing w:val="1"/>
                <w:w w:val="99"/>
                <w:sz w:val="22"/>
                <w:szCs w:val="22"/>
                <w:lang w:eastAsia="en-AU"/>
              </w:rPr>
              <w:t>RIXIMYO</w:t>
            </w:r>
            <w:r w:rsidRPr="00C821DA">
              <w:rPr>
                <w:b/>
                <w:bCs/>
                <w:color w:val="000000"/>
                <w:spacing w:val="1"/>
                <w:w w:val="99"/>
                <w:sz w:val="22"/>
                <w:szCs w:val="22"/>
                <w:vertAlign w:val="superscript"/>
                <w:lang w:eastAsia="en-AU"/>
              </w:rPr>
              <w:t>®</w:t>
            </w:r>
            <w:r w:rsidRPr="00E74F11">
              <w:rPr>
                <w:b/>
              </w:rPr>
              <w:br/>
              <w:t>N=53</w:t>
            </w:r>
            <w:r w:rsidRPr="00E74F11">
              <w:rPr>
                <w:b/>
              </w:rPr>
              <w:br/>
              <w:t>n (%)</w:t>
            </w:r>
          </w:p>
        </w:tc>
        <w:tc>
          <w:tcPr>
            <w:tcW w:w="1513" w:type="pct"/>
            <w:tcBorders>
              <w:top w:val="single" w:sz="6" w:space="0" w:color="000000"/>
              <w:left w:val="nil"/>
              <w:bottom w:val="single" w:sz="6" w:space="0" w:color="000000"/>
              <w:right w:val="nil"/>
            </w:tcBorders>
            <w:shd w:val="clear" w:color="auto" w:fill="FFFFFF"/>
            <w:tcMar>
              <w:left w:w="60" w:type="dxa"/>
              <w:right w:w="60" w:type="dxa"/>
            </w:tcMar>
            <w:vAlign w:val="bottom"/>
          </w:tcPr>
          <w:p w:rsidR="00803B54" w:rsidRPr="00C821DA" w:rsidRDefault="00803B54" w:rsidP="00803B54">
            <w:pPr>
              <w:autoSpaceDE w:val="0"/>
              <w:autoSpaceDN w:val="0"/>
              <w:adjustRightInd w:val="0"/>
              <w:spacing w:before="34" w:line="240" w:lineRule="auto"/>
              <w:ind w:left="88" w:right="302"/>
              <w:jc w:val="center"/>
              <w:rPr>
                <w:b/>
                <w:color w:val="000000"/>
                <w:sz w:val="22"/>
                <w:szCs w:val="22"/>
                <w:lang w:val="en-GB"/>
              </w:rPr>
            </w:pPr>
            <w:r w:rsidRPr="00C821DA">
              <w:rPr>
                <w:b/>
                <w:color w:val="000000"/>
                <w:sz w:val="22"/>
                <w:szCs w:val="22"/>
                <w:lang w:val="en-GB"/>
              </w:rPr>
              <w:t>Reference Medicine</w:t>
            </w:r>
          </w:p>
          <w:p w:rsidR="00F87845" w:rsidRPr="00E74F11" w:rsidRDefault="00F87845" w:rsidP="00AB4725">
            <w:pPr>
              <w:pStyle w:val="Table"/>
              <w:jc w:val="center"/>
              <w:rPr>
                <w:b/>
              </w:rPr>
            </w:pPr>
            <w:r w:rsidRPr="00E74F11">
              <w:rPr>
                <w:b/>
              </w:rPr>
              <w:t>N=54</w:t>
            </w:r>
            <w:r w:rsidRPr="00E74F11">
              <w:rPr>
                <w:b/>
              </w:rPr>
              <w:br/>
              <w:t>n (%)</w:t>
            </w:r>
          </w:p>
        </w:tc>
      </w:tr>
      <w:tr w:rsidR="00803B54" w:rsidRPr="00E74F11" w:rsidTr="00803B54">
        <w:trPr>
          <w:cantSplit/>
          <w:jc w:val="center"/>
        </w:trPr>
        <w:tc>
          <w:tcPr>
            <w:tcW w:w="2550" w:type="pct"/>
            <w:tcBorders>
              <w:top w:val="single" w:sz="6" w:space="0" w:color="000000"/>
              <w:left w:val="nil"/>
              <w:bottom w:val="single" w:sz="4" w:space="0" w:color="auto"/>
              <w:right w:val="nil"/>
            </w:tcBorders>
            <w:shd w:val="clear" w:color="auto" w:fill="FFFFFF"/>
            <w:tcMar>
              <w:left w:w="60" w:type="dxa"/>
              <w:right w:w="60" w:type="dxa"/>
            </w:tcMar>
          </w:tcPr>
          <w:p w:rsidR="00F87845" w:rsidRPr="00E74F11" w:rsidRDefault="00803B54" w:rsidP="00FE649F">
            <w:pPr>
              <w:autoSpaceDE w:val="0"/>
              <w:autoSpaceDN w:val="0"/>
              <w:adjustRightInd w:val="0"/>
              <w:spacing w:before="37" w:line="240" w:lineRule="auto"/>
              <w:ind w:left="60" w:right="572"/>
              <w:rPr>
                <w:b/>
              </w:rPr>
            </w:pPr>
            <w:r w:rsidRPr="00FE649F">
              <w:rPr>
                <w:b/>
                <w:bCs/>
                <w:color w:val="000000"/>
                <w:sz w:val="22"/>
                <w:szCs w:val="22"/>
                <w:lang w:eastAsia="en-AU"/>
              </w:rPr>
              <w:t>T</w:t>
            </w:r>
            <w:r w:rsidRPr="00C821DA">
              <w:rPr>
                <w:b/>
                <w:bCs/>
                <w:color w:val="000000"/>
                <w:sz w:val="22"/>
                <w:szCs w:val="22"/>
                <w:lang w:eastAsia="en-AU"/>
              </w:rPr>
              <w:t>o</w:t>
            </w:r>
            <w:r w:rsidRPr="00FE649F">
              <w:rPr>
                <w:b/>
                <w:bCs/>
                <w:color w:val="000000"/>
                <w:sz w:val="22"/>
                <w:szCs w:val="22"/>
                <w:lang w:eastAsia="en-AU"/>
              </w:rPr>
              <w:t>t</w:t>
            </w:r>
            <w:r w:rsidRPr="00C821DA">
              <w:rPr>
                <w:b/>
                <w:bCs/>
                <w:color w:val="000000"/>
                <w:sz w:val="22"/>
                <w:szCs w:val="22"/>
                <w:lang w:eastAsia="en-AU"/>
              </w:rPr>
              <w:t>al</w:t>
            </w:r>
            <w:r w:rsidRPr="00FE649F">
              <w:rPr>
                <w:b/>
                <w:bCs/>
                <w:color w:val="000000"/>
                <w:sz w:val="22"/>
                <w:szCs w:val="22"/>
                <w:lang w:eastAsia="en-AU"/>
              </w:rPr>
              <w:t xml:space="preserve"> </w:t>
            </w:r>
            <w:r w:rsidRPr="00C821DA">
              <w:rPr>
                <w:b/>
                <w:bCs/>
                <w:color w:val="000000"/>
                <w:sz w:val="22"/>
                <w:szCs w:val="22"/>
                <w:lang w:eastAsia="en-AU"/>
              </w:rPr>
              <w:t>num</w:t>
            </w:r>
            <w:r w:rsidRPr="00FE649F">
              <w:rPr>
                <w:b/>
                <w:bCs/>
                <w:color w:val="000000"/>
                <w:sz w:val="22"/>
                <w:szCs w:val="22"/>
                <w:lang w:eastAsia="en-AU"/>
              </w:rPr>
              <w:t>b</w:t>
            </w:r>
            <w:r w:rsidRPr="00C821DA">
              <w:rPr>
                <w:b/>
                <w:bCs/>
                <w:color w:val="000000"/>
                <w:sz w:val="22"/>
                <w:szCs w:val="22"/>
                <w:lang w:eastAsia="en-AU"/>
              </w:rPr>
              <w:t>er</w:t>
            </w:r>
            <w:r w:rsidRPr="00FE649F">
              <w:rPr>
                <w:b/>
                <w:bCs/>
                <w:color w:val="000000"/>
                <w:sz w:val="22"/>
                <w:szCs w:val="22"/>
                <w:lang w:eastAsia="en-AU"/>
              </w:rPr>
              <w:t xml:space="preserve"> </w:t>
            </w:r>
            <w:r w:rsidRPr="00C821DA">
              <w:rPr>
                <w:b/>
                <w:bCs/>
                <w:color w:val="000000"/>
                <w:sz w:val="22"/>
                <w:szCs w:val="22"/>
                <w:lang w:eastAsia="en-AU"/>
              </w:rPr>
              <w:t>of</w:t>
            </w:r>
            <w:r w:rsidRPr="00FE649F">
              <w:rPr>
                <w:b/>
                <w:bCs/>
                <w:color w:val="000000"/>
                <w:sz w:val="22"/>
                <w:szCs w:val="22"/>
                <w:lang w:eastAsia="en-AU"/>
              </w:rPr>
              <w:t xml:space="preserve"> </w:t>
            </w:r>
            <w:r w:rsidRPr="00C821DA">
              <w:rPr>
                <w:b/>
                <w:bCs/>
                <w:color w:val="000000"/>
                <w:sz w:val="22"/>
                <w:szCs w:val="22"/>
                <w:lang w:eastAsia="en-AU"/>
              </w:rPr>
              <w:t>pa</w:t>
            </w:r>
            <w:r w:rsidRPr="00FE649F">
              <w:rPr>
                <w:b/>
                <w:bCs/>
                <w:color w:val="000000"/>
                <w:sz w:val="22"/>
                <w:szCs w:val="22"/>
                <w:lang w:eastAsia="en-AU"/>
              </w:rPr>
              <w:t>t</w:t>
            </w:r>
            <w:r w:rsidRPr="00C821DA">
              <w:rPr>
                <w:b/>
                <w:bCs/>
                <w:color w:val="000000"/>
                <w:sz w:val="22"/>
                <w:szCs w:val="22"/>
                <w:lang w:eastAsia="en-AU"/>
              </w:rPr>
              <w:t>ien</w:t>
            </w:r>
            <w:r w:rsidRPr="00FE649F">
              <w:rPr>
                <w:b/>
                <w:bCs/>
                <w:color w:val="000000"/>
                <w:sz w:val="22"/>
                <w:szCs w:val="22"/>
                <w:lang w:eastAsia="en-AU"/>
              </w:rPr>
              <w:t>t</w:t>
            </w:r>
            <w:r w:rsidRPr="00C821DA">
              <w:rPr>
                <w:b/>
                <w:bCs/>
                <w:color w:val="000000"/>
                <w:sz w:val="22"/>
                <w:szCs w:val="22"/>
                <w:lang w:eastAsia="en-AU"/>
              </w:rPr>
              <w:t>s</w:t>
            </w:r>
            <w:r w:rsidRPr="00FE649F">
              <w:rPr>
                <w:b/>
                <w:bCs/>
                <w:color w:val="000000"/>
                <w:sz w:val="22"/>
                <w:szCs w:val="22"/>
                <w:lang w:eastAsia="en-AU"/>
              </w:rPr>
              <w:t xml:space="preserve"> w</w:t>
            </w:r>
            <w:r w:rsidRPr="00C821DA">
              <w:rPr>
                <w:b/>
                <w:bCs/>
                <w:color w:val="000000"/>
                <w:sz w:val="22"/>
                <w:szCs w:val="22"/>
                <w:lang w:eastAsia="en-AU"/>
              </w:rPr>
              <w:t>ith</w:t>
            </w:r>
            <w:r w:rsidRPr="00FE649F">
              <w:rPr>
                <w:b/>
                <w:bCs/>
                <w:color w:val="000000"/>
                <w:sz w:val="22"/>
                <w:szCs w:val="22"/>
                <w:lang w:eastAsia="en-AU"/>
              </w:rPr>
              <w:t xml:space="preserve"> AE</w:t>
            </w:r>
            <w:r w:rsidRPr="00C821DA">
              <w:rPr>
                <w:b/>
                <w:bCs/>
                <w:color w:val="000000"/>
                <w:sz w:val="22"/>
                <w:szCs w:val="22"/>
                <w:lang w:eastAsia="en-AU"/>
              </w:rPr>
              <w:t>s</w:t>
            </w:r>
            <w:r w:rsidRPr="00FE649F">
              <w:rPr>
                <w:b/>
                <w:bCs/>
                <w:color w:val="000000"/>
                <w:sz w:val="22"/>
                <w:szCs w:val="22"/>
                <w:lang w:eastAsia="en-AU"/>
              </w:rPr>
              <w:t xml:space="preserve"> w</w:t>
            </w:r>
            <w:r w:rsidRPr="00C821DA">
              <w:rPr>
                <w:b/>
                <w:bCs/>
                <w:color w:val="000000"/>
                <w:sz w:val="22"/>
                <w:szCs w:val="22"/>
                <w:lang w:eastAsia="en-AU"/>
              </w:rPr>
              <w:t>ith</w:t>
            </w:r>
            <w:r w:rsidRPr="00FE649F">
              <w:rPr>
                <w:b/>
                <w:bCs/>
                <w:color w:val="000000"/>
                <w:sz w:val="22"/>
                <w:szCs w:val="22"/>
                <w:lang w:eastAsia="en-AU"/>
              </w:rPr>
              <w:t xml:space="preserve"> </w:t>
            </w:r>
            <w:r w:rsidRPr="00C821DA">
              <w:rPr>
                <w:b/>
                <w:bCs/>
                <w:color w:val="000000"/>
                <w:sz w:val="22"/>
                <w:szCs w:val="22"/>
                <w:lang w:eastAsia="en-AU"/>
              </w:rPr>
              <w:t>suspected</w:t>
            </w:r>
            <w:r w:rsidRPr="00FE649F">
              <w:rPr>
                <w:b/>
                <w:bCs/>
                <w:color w:val="000000"/>
                <w:sz w:val="22"/>
                <w:szCs w:val="22"/>
                <w:lang w:eastAsia="en-AU"/>
              </w:rPr>
              <w:t xml:space="preserve"> r</w:t>
            </w:r>
            <w:r w:rsidRPr="00C821DA">
              <w:rPr>
                <w:b/>
                <w:bCs/>
                <w:color w:val="000000"/>
                <w:sz w:val="22"/>
                <w:szCs w:val="22"/>
                <w:lang w:eastAsia="en-AU"/>
              </w:rPr>
              <w:t>el</w:t>
            </w:r>
            <w:r w:rsidRPr="00FE649F">
              <w:rPr>
                <w:b/>
                <w:bCs/>
                <w:color w:val="000000"/>
                <w:sz w:val="22"/>
                <w:szCs w:val="22"/>
                <w:lang w:eastAsia="en-AU"/>
              </w:rPr>
              <w:t>at</w:t>
            </w:r>
            <w:r w:rsidRPr="00C821DA">
              <w:rPr>
                <w:b/>
                <w:bCs/>
                <w:color w:val="000000"/>
                <w:sz w:val="22"/>
                <w:szCs w:val="22"/>
                <w:lang w:eastAsia="en-AU"/>
              </w:rPr>
              <w:t>io</w:t>
            </w:r>
            <w:r w:rsidRPr="00FE649F">
              <w:rPr>
                <w:b/>
                <w:bCs/>
                <w:color w:val="000000"/>
                <w:sz w:val="22"/>
                <w:szCs w:val="22"/>
                <w:lang w:eastAsia="en-AU"/>
              </w:rPr>
              <w:t>n</w:t>
            </w:r>
            <w:r w:rsidRPr="00C821DA">
              <w:rPr>
                <w:b/>
                <w:bCs/>
                <w:color w:val="000000"/>
                <w:sz w:val="22"/>
                <w:szCs w:val="22"/>
                <w:lang w:eastAsia="en-AU"/>
              </w:rPr>
              <w:t>ship</w:t>
            </w:r>
            <w:r w:rsidRPr="00FE649F">
              <w:rPr>
                <w:b/>
                <w:bCs/>
                <w:color w:val="000000"/>
                <w:sz w:val="22"/>
                <w:szCs w:val="22"/>
                <w:lang w:eastAsia="en-AU"/>
              </w:rPr>
              <w:t xml:space="preserve"> </w:t>
            </w:r>
            <w:r w:rsidRPr="00C821DA">
              <w:rPr>
                <w:b/>
                <w:bCs/>
                <w:color w:val="000000"/>
                <w:sz w:val="22"/>
                <w:szCs w:val="22"/>
                <w:lang w:eastAsia="en-AU"/>
              </w:rPr>
              <w:t>to</w:t>
            </w:r>
            <w:r w:rsidRPr="00FE649F">
              <w:rPr>
                <w:b/>
                <w:bCs/>
                <w:color w:val="000000"/>
                <w:sz w:val="22"/>
                <w:szCs w:val="22"/>
                <w:lang w:eastAsia="en-AU"/>
              </w:rPr>
              <w:t xml:space="preserve"> </w:t>
            </w:r>
            <w:r w:rsidRPr="00C821DA">
              <w:rPr>
                <w:b/>
                <w:bCs/>
                <w:color w:val="000000"/>
                <w:sz w:val="22"/>
                <w:szCs w:val="22"/>
                <w:lang w:eastAsia="en-AU"/>
              </w:rPr>
              <w:t>st</w:t>
            </w:r>
            <w:r w:rsidRPr="00FE649F">
              <w:rPr>
                <w:b/>
                <w:bCs/>
                <w:color w:val="000000"/>
                <w:sz w:val="22"/>
                <w:szCs w:val="22"/>
                <w:lang w:eastAsia="en-AU"/>
              </w:rPr>
              <w:t>ud</w:t>
            </w:r>
            <w:r w:rsidRPr="00C821DA">
              <w:rPr>
                <w:b/>
                <w:bCs/>
                <w:color w:val="000000"/>
                <w:sz w:val="22"/>
                <w:szCs w:val="22"/>
                <w:lang w:eastAsia="en-AU"/>
              </w:rPr>
              <w:t>y</w:t>
            </w:r>
            <w:r w:rsidRPr="00FE649F">
              <w:rPr>
                <w:b/>
                <w:bCs/>
                <w:color w:val="000000"/>
                <w:sz w:val="22"/>
                <w:szCs w:val="22"/>
                <w:lang w:eastAsia="en-AU"/>
              </w:rPr>
              <w:t xml:space="preserve"> </w:t>
            </w:r>
            <w:r w:rsidRPr="00C821DA">
              <w:rPr>
                <w:b/>
                <w:bCs/>
                <w:color w:val="000000"/>
                <w:sz w:val="22"/>
                <w:szCs w:val="22"/>
                <w:lang w:eastAsia="en-AU"/>
              </w:rPr>
              <w:t>dr</w:t>
            </w:r>
            <w:r w:rsidRPr="00FE649F">
              <w:rPr>
                <w:b/>
                <w:bCs/>
                <w:color w:val="000000"/>
                <w:sz w:val="22"/>
                <w:szCs w:val="22"/>
                <w:lang w:eastAsia="en-AU"/>
              </w:rPr>
              <w:t>u</w:t>
            </w:r>
            <w:r w:rsidRPr="00C821DA">
              <w:rPr>
                <w:b/>
                <w:bCs/>
                <w:color w:val="000000"/>
                <w:sz w:val="22"/>
                <w:szCs w:val="22"/>
                <w:lang w:eastAsia="en-AU"/>
              </w:rPr>
              <w:t>g</w:t>
            </w:r>
          </w:p>
        </w:tc>
        <w:tc>
          <w:tcPr>
            <w:tcW w:w="937" w:type="pct"/>
            <w:tcBorders>
              <w:top w:val="single" w:sz="6" w:space="0" w:color="000000"/>
              <w:left w:val="nil"/>
              <w:bottom w:val="single" w:sz="4" w:space="0" w:color="auto"/>
              <w:right w:val="nil"/>
            </w:tcBorders>
            <w:shd w:val="clear" w:color="auto" w:fill="FFFFFF"/>
            <w:tcMar>
              <w:left w:w="60" w:type="dxa"/>
              <w:right w:w="60" w:type="dxa"/>
            </w:tcMar>
          </w:tcPr>
          <w:p w:rsidR="00F87845" w:rsidRPr="00E74F11" w:rsidRDefault="00F87845" w:rsidP="00AB4725">
            <w:pPr>
              <w:pStyle w:val="Table"/>
              <w:jc w:val="center"/>
              <w:rPr>
                <w:b/>
              </w:rPr>
            </w:pPr>
            <w:r w:rsidRPr="00E74F11">
              <w:rPr>
                <w:b/>
              </w:rPr>
              <w:t>6 (11.3)</w:t>
            </w:r>
          </w:p>
        </w:tc>
        <w:tc>
          <w:tcPr>
            <w:tcW w:w="1513" w:type="pct"/>
            <w:tcBorders>
              <w:top w:val="single" w:sz="6" w:space="0" w:color="000000"/>
              <w:left w:val="nil"/>
              <w:bottom w:val="single" w:sz="4" w:space="0" w:color="auto"/>
              <w:right w:val="nil"/>
            </w:tcBorders>
            <w:shd w:val="clear" w:color="auto" w:fill="FFFFFF"/>
            <w:tcMar>
              <w:left w:w="60" w:type="dxa"/>
              <w:right w:w="60" w:type="dxa"/>
            </w:tcMar>
          </w:tcPr>
          <w:p w:rsidR="00F87845" w:rsidRPr="00E74F11" w:rsidRDefault="00F87845" w:rsidP="00AB4725">
            <w:pPr>
              <w:pStyle w:val="Table"/>
              <w:jc w:val="center"/>
              <w:rPr>
                <w:b/>
              </w:rPr>
            </w:pPr>
            <w:r w:rsidRPr="00E74F11">
              <w:rPr>
                <w:b/>
              </w:rPr>
              <w:t>11 (20.4)</w:t>
            </w:r>
          </w:p>
        </w:tc>
      </w:tr>
      <w:tr w:rsidR="00803B54" w:rsidRPr="00E74F11" w:rsidTr="00803B54">
        <w:trPr>
          <w:cantSplit/>
          <w:jc w:val="center"/>
        </w:trPr>
        <w:tc>
          <w:tcPr>
            <w:tcW w:w="2550" w:type="pct"/>
            <w:tcBorders>
              <w:top w:val="single" w:sz="4" w:space="0" w:color="auto"/>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Headache</w:t>
            </w:r>
          </w:p>
        </w:tc>
        <w:tc>
          <w:tcPr>
            <w:tcW w:w="937" w:type="pct"/>
            <w:tcBorders>
              <w:top w:val="single" w:sz="4" w:space="0" w:color="auto"/>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c>
          <w:tcPr>
            <w:tcW w:w="1513" w:type="pct"/>
            <w:tcBorders>
              <w:top w:val="single" w:sz="4" w:space="0" w:color="auto"/>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Malaise</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proofErr w:type="spellStart"/>
            <w:r w:rsidRPr="00E74F11">
              <w:t>Nasopharyngitis</w:t>
            </w:r>
            <w:proofErr w:type="spellEnd"/>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Paraesthesia</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Pharyngitis</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Pruritus allergic</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Serum sickness</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Dizziness</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Nausea</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Oral pruritus</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Pneumonia</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Pruritus</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2 (3.7)</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Pyrexia</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Throat irritation</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r w:rsidR="00803B54" w:rsidRPr="00E74F11" w:rsidTr="00803B54">
        <w:trPr>
          <w:cantSplit/>
          <w:jc w:val="center"/>
        </w:trPr>
        <w:tc>
          <w:tcPr>
            <w:tcW w:w="2550" w:type="pct"/>
            <w:tcBorders>
              <w:top w:val="nil"/>
              <w:left w:val="nil"/>
              <w:bottom w:val="nil"/>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Upper respiratory tract infection</w:t>
            </w:r>
          </w:p>
        </w:tc>
        <w:tc>
          <w:tcPr>
            <w:tcW w:w="937"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nil"/>
              <w:right w:val="nil"/>
            </w:tcBorders>
            <w:shd w:val="clear" w:color="auto" w:fill="FFFFFF"/>
            <w:tcMar>
              <w:left w:w="60" w:type="dxa"/>
              <w:right w:w="60" w:type="dxa"/>
            </w:tcMar>
          </w:tcPr>
          <w:p w:rsidR="00F87845" w:rsidRPr="00E74F11" w:rsidRDefault="00F87845" w:rsidP="00AB4725">
            <w:pPr>
              <w:pStyle w:val="Table"/>
              <w:jc w:val="center"/>
            </w:pPr>
            <w:r w:rsidRPr="00E74F11">
              <w:t>2 (3.7)</w:t>
            </w:r>
          </w:p>
        </w:tc>
      </w:tr>
      <w:tr w:rsidR="00803B54" w:rsidRPr="00E74F11" w:rsidTr="00803B54">
        <w:trPr>
          <w:cantSplit/>
          <w:jc w:val="center"/>
        </w:trPr>
        <w:tc>
          <w:tcPr>
            <w:tcW w:w="2550" w:type="pct"/>
            <w:tcBorders>
              <w:top w:val="nil"/>
              <w:left w:val="nil"/>
              <w:bottom w:val="single" w:sz="6" w:space="0" w:color="000000"/>
              <w:right w:val="nil"/>
            </w:tcBorders>
            <w:shd w:val="clear" w:color="auto" w:fill="FFFFFF"/>
            <w:tcMar>
              <w:left w:w="60" w:type="dxa"/>
              <w:right w:w="60" w:type="dxa"/>
            </w:tcMar>
          </w:tcPr>
          <w:p w:rsidR="00F87845" w:rsidRPr="00E74F11" w:rsidRDefault="00F87845" w:rsidP="00F87845">
            <w:pPr>
              <w:pStyle w:val="Table"/>
              <w:tabs>
                <w:tab w:val="clear" w:pos="284"/>
              </w:tabs>
              <w:ind w:left="142"/>
            </w:pPr>
            <w:r w:rsidRPr="00E74F11">
              <w:t>Vomiting</w:t>
            </w:r>
          </w:p>
        </w:tc>
        <w:tc>
          <w:tcPr>
            <w:tcW w:w="937" w:type="pct"/>
            <w:tcBorders>
              <w:top w:val="nil"/>
              <w:left w:val="nil"/>
              <w:bottom w:val="single" w:sz="6" w:space="0" w:color="000000"/>
              <w:right w:val="nil"/>
            </w:tcBorders>
            <w:shd w:val="clear" w:color="auto" w:fill="FFFFFF"/>
            <w:tcMar>
              <w:left w:w="60" w:type="dxa"/>
              <w:right w:w="60" w:type="dxa"/>
            </w:tcMar>
          </w:tcPr>
          <w:p w:rsidR="00F87845" w:rsidRPr="00E74F11" w:rsidRDefault="00F87845" w:rsidP="00AB4725">
            <w:pPr>
              <w:pStyle w:val="Table"/>
              <w:jc w:val="center"/>
            </w:pPr>
            <w:r w:rsidRPr="00E74F11">
              <w:t>0</w:t>
            </w:r>
          </w:p>
        </w:tc>
        <w:tc>
          <w:tcPr>
            <w:tcW w:w="1513" w:type="pct"/>
            <w:tcBorders>
              <w:top w:val="nil"/>
              <w:left w:val="nil"/>
              <w:bottom w:val="single" w:sz="6" w:space="0" w:color="000000"/>
              <w:right w:val="nil"/>
            </w:tcBorders>
            <w:shd w:val="clear" w:color="auto" w:fill="FFFFFF"/>
            <w:tcMar>
              <w:left w:w="60" w:type="dxa"/>
              <w:right w:w="60" w:type="dxa"/>
            </w:tcMar>
          </w:tcPr>
          <w:p w:rsidR="00F87845" w:rsidRPr="00E74F11" w:rsidRDefault="00F87845" w:rsidP="00AB4725">
            <w:pPr>
              <w:pStyle w:val="Table"/>
              <w:jc w:val="center"/>
            </w:pPr>
            <w:r w:rsidRPr="00E74F11">
              <w:t>1 (1.9)</w:t>
            </w:r>
          </w:p>
        </w:tc>
      </w:tr>
    </w:tbl>
    <w:p w:rsidR="00803B54" w:rsidRPr="00C821DA" w:rsidRDefault="00803B54" w:rsidP="00803B54">
      <w:pPr>
        <w:autoSpaceDE w:val="0"/>
        <w:autoSpaceDN w:val="0"/>
        <w:adjustRightInd w:val="0"/>
        <w:spacing w:before="25" w:line="240" w:lineRule="auto"/>
        <w:ind w:left="180" w:right="834"/>
        <w:rPr>
          <w:i/>
          <w:color w:val="000000"/>
          <w:sz w:val="20"/>
          <w:szCs w:val="20"/>
          <w:lang w:eastAsia="en-AU"/>
        </w:rPr>
      </w:pPr>
      <w:r w:rsidRPr="00C821DA">
        <w:rPr>
          <w:i/>
          <w:color w:val="000000"/>
          <w:spacing w:val="-1"/>
          <w:sz w:val="20"/>
          <w:szCs w:val="20"/>
          <w:lang w:eastAsia="en-AU"/>
        </w:rPr>
        <w:t>A</w:t>
      </w:r>
      <w:r w:rsidRPr="00C821DA">
        <w:rPr>
          <w:i/>
          <w:color w:val="000000"/>
          <w:spacing w:val="1"/>
          <w:sz w:val="20"/>
          <w:szCs w:val="20"/>
          <w:lang w:eastAsia="en-AU"/>
        </w:rPr>
        <w:t>E</w:t>
      </w:r>
      <w:r w:rsidRPr="00C821DA">
        <w:rPr>
          <w:i/>
          <w:color w:val="000000"/>
          <w:spacing w:val="-1"/>
          <w:sz w:val="20"/>
          <w:szCs w:val="20"/>
          <w:lang w:eastAsia="en-AU"/>
        </w:rPr>
        <w:t>=</w:t>
      </w:r>
      <w:r w:rsidRPr="00C821DA">
        <w:rPr>
          <w:i/>
          <w:color w:val="000000"/>
          <w:spacing w:val="2"/>
          <w:sz w:val="20"/>
          <w:szCs w:val="20"/>
          <w:lang w:eastAsia="en-AU"/>
        </w:rPr>
        <w:t>a</w:t>
      </w:r>
      <w:r w:rsidRPr="00C821DA">
        <w:rPr>
          <w:i/>
          <w:color w:val="000000"/>
          <w:sz w:val="20"/>
          <w:szCs w:val="20"/>
          <w:lang w:eastAsia="en-AU"/>
        </w:rPr>
        <w:t>d</w:t>
      </w:r>
      <w:r w:rsidRPr="00C821DA">
        <w:rPr>
          <w:i/>
          <w:color w:val="000000"/>
          <w:spacing w:val="1"/>
          <w:sz w:val="20"/>
          <w:szCs w:val="20"/>
          <w:lang w:eastAsia="en-AU"/>
        </w:rPr>
        <w:t>v</w:t>
      </w:r>
      <w:r w:rsidRPr="00C821DA">
        <w:rPr>
          <w:i/>
          <w:color w:val="000000"/>
          <w:sz w:val="20"/>
          <w:szCs w:val="20"/>
          <w:lang w:eastAsia="en-AU"/>
        </w:rPr>
        <w:t>er</w:t>
      </w:r>
      <w:r w:rsidRPr="00C821DA">
        <w:rPr>
          <w:i/>
          <w:color w:val="000000"/>
          <w:spacing w:val="2"/>
          <w:sz w:val="20"/>
          <w:szCs w:val="20"/>
          <w:lang w:eastAsia="en-AU"/>
        </w:rPr>
        <w:t>s</w:t>
      </w:r>
      <w:r w:rsidRPr="00C821DA">
        <w:rPr>
          <w:i/>
          <w:color w:val="000000"/>
          <w:sz w:val="20"/>
          <w:szCs w:val="20"/>
          <w:lang w:eastAsia="en-AU"/>
        </w:rPr>
        <w:t>e</w:t>
      </w:r>
      <w:r w:rsidRPr="00C821DA">
        <w:rPr>
          <w:i/>
          <w:color w:val="000000"/>
          <w:spacing w:val="-11"/>
          <w:sz w:val="20"/>
          <w:szCs w:val="20"/>
          <w:lang w:eastAsia="en-AU"/>
        </w:rPr>
        <w:t xml:space="preserve"> </w:t>
      </w:r>
      <w:r w:rsidRPr="00C821DA">
        <w:rPr>
          <w:i/>
          <w:color w:val="000000"/>
          <w:spacing w:val="-1"/>
          <w:sz w:val="20"/>
          <w:szCs w:val="20"/>
          <w:lang w:eastAsia="en-AU"/>
        </w:rPr>
        <w:t>e</w:t>
      </w:r>
      <w:r w:rsidRPr="00C821DA">
        <w:rPr>
          <w:i/>
          <w:color w:val="000000"/>
          <w:spacing w:val="1"/>
          <w:sz w:val="20"/>
          <w:szCs w:val="20"/>
          <w:lang w:eastAsia="en-AU"/>
        </w:rPr>
        <w:t>v</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w:t>
      </w:r>
      <w:r w:rsidRPr="00C821DA">
        <w:rPr>
          <w:i/>
          <w:color w:val="000000"/>
          <w:spacing w:val="-3"/>
          <w:sz w:val="20"/>
          <w:szCs w:val="20"/>
          <w:lang w:eastAsia="en-AU"/>
        </w:rPr>
        <w:t xml:space="preserve"> </w:t>
      </w:r>
      <w:r w:rsidRPr="00C821DA">
        <w:rPr>
          <w:i/>
          <w:color w:val="000000"/>
          <w:spacing w:val="1"/>
          <w:sz w:val="20"/>
          <w:szCs w:val="20"/>
          <w:lang w:eastAsia="en-AU"/>
        </w:rPr>
        <w:t>n</w:t>
      </w:r>
      <w:r w:rsidRPr="00C821DA">
        <w:rPr>
          <w:i/>
          <w:color w:val="000000"/>
          <w:spacing w:val="-1"/>
          <w:sz w:val="20"/>
          <w:szCs w:val="20"/>
          <w:lang w:eastAsia="en-AU"/>
        </w:rPr>
        <w:t>=</w:t>
      </w:r>
      <w:r w:rsidRPr="00C821DA">
        <w:rPr>
          <w:i/>
          <w:color w:val="000000"/>
          <w:spacing w:val="2"/>
          <w:sz w:val="20"/>
          <w:szCs w:val="20"/>
          <w:lang w:eastAsia="en-AU"/>
        </w:rPr>
        <w:t>n</w:t>
      </w:r>
      <w:r w:rsidRPr="00C821DA">
        <w:rPr>
          <w:i/>
          <w:color w:val="000000"/>
          <w:sz w:val="20"/>
          <w:szCs w:val="20"/>
          <w:lang w:eastAsia="en-AU"/>
        </w:rPr>
        <w:t>u</w:t>
      </w:r>
      <w:r w:rsidRPr="00C821DA">
        <w:rPr>
          <w:i/>
          <w:color w:val="000000"/>
          <w:spacing w:val="4"/>
          <w:sz w:val="20"/>
          <w:szCs w:val="20"/>
          <w:lang w:eastAsia="en-AU"/>
        </w:rPr>
        <w:t>m</w:t>
      </w:r>
      <w:r w:rsidRPr="00C821DA">
        <w:rPr>
          <w:i/>
          <w:color w:val="000000"/>
          <w:sz w:val="20"/>
          <w:szCs w:val="20"/>
          <w:lang w:eastAsia="en-AU"/>
        </w:rPr>
        <w:t>b</w:t>
      </w:r>
      <w:r w:rsidRPr="00C821DA">
        <w:rPr>
          <w:i/>
          <w:color w:val="000000"/>
          <w:spacing w:val="-1"/>
          <w:sz w:val="20"/>
          <w:szCs w:val="20"/>
          <w:lang w:eastAsia="en-AU"/>
        </w:rPr>
        <w:t>e</w:t>
      </w:r>
      <w:r w:rsidRPr="00C821DA">
        <w:rPr>
          <w:i/>
          <w:color w:val="000000"/>
          <w:sz w:val="20"/>
          <w:szCs w:val="20"/>
          <w:lang w:eastAsia="en-AU"/>
        </w:rPr>
        <w:t>r</w:t>
      </w:r>
      <w:r w:rsidRPr="00C821DA">
        <w:rPr>
          <w:i/>
          <w:color w:val="000000"/>
          <w:spacing w:val="-9"/>
          <w:sz w:val="20"/>
          <w:szCs w:val="20"/>
          <w:lang w:eastAsia="en-AU"/>
        </w:rPr>
        <w:t xml:space="preserve"> </w:t>
      </w:r>
      <w:r w:rsidRPr="00C821DA">
        <w:rPr>
          <w:i/>
          <w:color w:val="000000"/>
          <w:sz w:val="20"/>
          <w:szCs w:val="20"/>
          <w:lang w:eastAsia="en-AU"/>
        </w:rPr>
        <w:t>of</w:t>
      </w:r>
      <w:r w:rsidRPr="00C821DA">
        <w:rPr>
          <w:i/>
          <w:color w:val="000000"/>
          <w:spacing w:val="-1"/>
          <w:sz w:val="20"/>
          <w:szCs w:val="20"/>
          <w:lang w:eastAsia="en-AU"/>
        </w:rPr>
        <w:t xml:space="preserve"> </w:t>
      </w:r>
      <w:r w:rsidRPr="00C821DA">
        <w:rPr>
          <w:i/>
          <w:color w:val="000000"/>
          <w:sz w:val="20"/>
          <w:szCs w:val="20"/>
          <w:lang w:eastAsia="en-AU"/>
        </w:rPr>
        <w:t>p</w:t>
      </w:r>
      <w:r w:rsidRPr="00C821DA">
        <w:rPr>
          <w:i/>
          <w:color w:val="000000"/>
          <w:spacing w:val="-1"/>
          <w:sz w:val="20"/>
          <w:szCs w:val="20"/>
          <w:lang w:eastAsia="en-AU"/>
        </w:rPr>
        <w:t>a</w:t>
      </w:r>
      <w:r w:rsidRPr="00C821DA">
        <w:rPr>
          <w:i/>
          <w:color w:val="000000"/>
          <w:sz w:val="20"/>
          <w:szCs w:val="20"/>
          <w:lang w:eastAsia="en-AU"/>
        </w:rPr>
        <w:t>t</w:t>
      </w:r>
      <w:r w:rsidRPr="00C821DA">
        <w:rPr>
          <w:i/>
          <w:color w:val="000000"/>
          <w:spacing w:val="-1"/>
          <w:sz w:val="20"/>
          <w:szCs w:val="20"/>
          <w:lang w:eastAsia="en-AU"/>
        </w:rPr>
        <w:t>i</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ts</w:t>
      </w:r>
      <w:r w:rsidRPr="00C821DA">
        <w:rPr>
          <w:i/>
          <w:color w:val="000000"/>
          <w:spacing w:val="-4"/>
          <w:sz w:val="20"/>
          <w:szCs w:val="20"/>
          <w:lang w:eastAsia="en-AU"/>
        </w:rPr>
        <w:t xml:space="preserve"> </w:t>
      </w:r>
      <w:r w:rsidRPr="00C821DA">
        <w:rPr>
          <w:i/>
          <w:color w:val="000000"/>
          <w:spacing w:val="-1"/>
          <w:sz w:val="20"/>
          <w:szCs w:val="20"/>
          <w:lang w:eastAsia="en-AU"/>
        </w:rPr>
        <w:t>i</w:t>
      </w:r>
      <w:r w:rsidRPr="00C821DA">
        <w:rPr>
          <w:i/>
          <w:color w:val="000000"/>
          <w:sz w:val="20"/>
          <w:szCs w:val="20"/>
          <w:lang w:eastAsia="en-AU"/>
        </w:rPr>
        <w:t>n</w:t>
      </w:r>
      <w:r w:rsidRPr="00C821DA">
        <w:rPr>
          <w:i/>
          <w:color w:val="000000"/>
          <w:spacing w:val="-2"/>
          <w:sz w:val="20"/>
          <w:szCs w:val="20"/>
          <w:lang w:eastAsia="en-AU"/>
        </w:rPr>
        <w:t xml:space="preserve"> </w:t>
      </w:r>
      <w:r w:rsidRPr="00C821DA">
        <w:rPr>
          <w:i/>
          <w:color w:val="000000"/>
          <w:sz w:val="20"/>
          <w:szCs w:val="20"/>
          <w:lang w:eastAsia="en-AU"/>
        </w:rPr>
        <w:t>re</w:t>
      </w:r>
      <w:r w:rsidRPr="00C821DA">
        <w:rPr>
          <w:i/>
          <w:color w:val="000000"/>
          <w:spacing w:val="1"/>
          <w:sz w:val="20"/>
          <w:szCs w:val="20"/>
          <w:lang w:eastAsia="en-AU"/>
        </w:rPr>
        <w:t>s</w:t>
      </w:r>
      <w:r w:rsidRPr="00C821DA">
        <w:rPr>
          <w:i/>
          <w:color w:val="000000"/>
          <w:sz w:val="20"/>
          <w:szCs w:val="20"/>
          <w:lang w:eastAsia="en-AU"/>
        </w:rPr>
        <w:t>p</w:t>
      </w:r>
      <w:r w:rsidRPr="00C821DA">
        <w:rPr>
          <w:i/>
          <w:color w:val="000000"/>
          <w:spacing w:val="-1"/>
          <w:sz w:val="20"/>
          <w:szCs w:val="20"/>
          <w:lang w:eastAsia="en-AU"/>
        </w:rPr>
        <w:t>e</w:t>
      </w:r>
      <w:r w:rsidRPr="00C821DA">
        <w:rPr>
          <w:i/>
          <w:color w:val="000000"/>
          <w:spacing w:val="1"/>
          <w:sz w:val="20"/>
          <w:szCs w:val="20"/>
          <w:lang w:eastAsia="en-AU"/>
        </w:rPr>
        <w:t>c</w:t>
      </w:r>
      <w:r w:rsidRPr="00C821DA">
        <w:rPr>
          <w:i/>
          <w:color w:val="000000"/>
          <w:spacing w:val="2"/>
          <w:sz w:val="20"/>
          <w:szCs w:val="20"/>
          <w:lang w:eastAsia="en-AU"/>
        </w:rPr>
        <w:t>t</w:t>
      </w:r>
      <w:r w:rsidRPr="00C821DA">
        <w:rPr>
          <w:i/>
          <w:color w:val="000000"/>
          <w:spacing w:val="-1"/>
          <w:sz w:val="20"/>
          <w:szCs w:val="20"/>
          <w:lang w:eastAsia="en-AU"/>
        </w:rPr>
        <w:t>i</w:t>
      </w:r>
      <w:r w:rsidRPr="00C821DA">
        <w:rPr>
          <w:i/>
          <w:color w:val="000000"/>
          <w:spacing w:val="1"/>
          <w:sz w:val="20"/>
          <w:szCs w:val="20"/>
          <w:lang w:eastAsia="en-AU"/>
        </w:rPr>
        <w:t>v</w:t>
      </w:r>
      <w:r w:rsidRPr="00C821DA">
        <w:rPr>
          <w:i/>
          <w:color w:val="000000"/>
          <w:sz w:val="20"/>
          <w:szCs w:val="20"/>
          <w:lang w:eastAsia="en-AU"/>
        </w:rPr>
        <w:t xml:space="preserve">e </w:t>
      </w:r>
      <w:r w:rsidRPr="00C821DA">
        <w:rPr>
          <w:i/>
          <w:color w:val="000000"/>
          <w:spacing w:val="1"/>
          <w:sz w:val="20"/>
          <w:szCs w:val="20"/>
          <w:lang w:eastAsia="en-AU"/>
        </w:rPr>
        <w:t>c</w:t>
      </w:r>
      <w:r w:rsidRPr="00C821DA">
        <w:rPr>
          <w:i/>
          <w:color w:val="000000"/>
          <w:sz w:val="20"/>
          <w:szCs w:val="20"/>
          <w:lang w:eastAsia="en-AU"/>
        </w:rPr>
        <w:t>at</w:t>
      </w:r>
      <w:r w:rsidRPr="00C821DA">
        <w:rPr>
          <w:i/>
          <w:color w:val="000000"/>
          <w:spacing w:val="-1"/>
          <w:sz w:val="20"/>
          <w:szCs w:val="20"/>
          <w:lang w:eastAsia="en-AU"/>
        </w:rPr>
        <w:t>e</w:t>
      </w:r>
      <w:r w:rsidRPr="00C821DA">
        <w:rPr>
          <w:i/>
          <w:color w:val="000000"/>
          <w:sz w:val="20"/>
          <w:szCs w:val="20"/>
          <w:lang w:eastAsia="en-AU"/>
        </w:rPr>
        <w:t>g</w:t>
      </w:r>
      <w:r w:rsidRPr="00C821DA">
        <w:rPr>
          <w:i/>
          <w:color w:val="000000"/>
          <w:spacing w:val="-1"/>
          <w:sz w:val="20"/>
          <w:szCs w:val="20"/>
          <w:lang w:eastAsia="en-AU"/>
        </w:rPr>
        <w:t>o</w:t>
      </w:r>
      <w:r w:rsidRPr="00C821DA">
        <w:rPr>
          <w:i/>
          <w:color w:val="000000"/>
          <w:spacing w:val="5"/>
          <w:sz w:val="20"/>
          <w:szCs w:val="20"/>
          <w:lang w:eastAsia="en-AU"/>
        </w:rPr>
        <w:t>r</w:t>
      </w:r>
      <w:r w:rsidRPr="00C821DA">
        <w:rPr>
          <w:i/>
          <w:color w:val="000000"/>
          <w:spacing w:val="-4"/>
          <w:sz w:val="20"/>
          <w:szCs w:val="20"/>
          <w:lang w:eastAsia="en-AU"/>
        </w:rPr>
        <w:t>y</w:t>
      </w:r>
      <w:r w:rsidRPr="00C821DA">
        <w:rPr>
          <w:i/>
          <w:color w:val="000000"/>
          <w:sz w:val="20"/>
          <w:szCs w:val="20"/>
          <w:lang w:eastAsia="en-AU"/>
        </w:rPr>
        <w:t>;</w:t>
      </w:r>
      <w:r w:rsidRPr="00C821DA">
        <w:rPr>
          <w:i/>
          <w:color w:val="000000"/>
          <w:spacing w:val="-8"/>
          <w:sz w:val="20"/>
          <w:szCs w:val="20"/>
          <w:lang w:eastAsia="en-AU"/>
        </w:rPr>
        <w:t xml:space="preserve"> </w:t>
      </w:r>
      <w:r w:rsidRPr="00C821DA">
        <w:rPr>
          <w:i/>
          <w:color w:val="000000"/>
          <w:spacing w:val="2"/>
          <w:sz w:val="20"/>
          <w:szCs w:val="20"/>
          <w:lang w:eastAsia="en-AU"/>
        </w:rPr>
        <w:t>N</w:t>
      </w:r>
      <w:r w:rsidRPr="00C821DA">
        <w:rPr>
          <w:i/>
          <w:color w:val="000000"/>
          <w:spacing w:val="-1"/>
          <w:sz w:val="20"/>
          <w:szCs w:val="20"/>
          <w:lang w:eastAsia="en-AU"/>
        </w:rPr>
        <w:t>=</w:t>
      </w:r>
      <w:r w:rsidRPr="00C821DA">
        <w:rPr>
          <w:i/>
          <w:color w:val="000000"/>
          <w:sz w:val="20"/>
          <w:szCs w:val="20"/>
          <w:lang w:eastAsia="en-AU"/>
        </w:rPr>
        <w:t>n</w:t>
      </w:r>
      <w:r w:rsidRPr="00C821DA">
        <w:rPr>
          <w:i/>
          <w:color w:val="000000"/>
          <w:spacing w:val="-1"/>
          <w:sz w:val="20"/>
          <w:szCs w:val="20"/>
          <w:lang w:eastAsia="en-AU"/>
        </w:rPr>
        <w:t>u</w:t>
      </w:r>
      <w:r w:rsidRPr="00C821DA">
        <w:rPr>
          <w:i/>
          <w:color w:val="000000"/>
          <w:spacing w:val="4"/>
          <w:sz w:val="20"/>
          <w:szCs w:val="20"/>
          <w:lang w:eastAsia="en-AU"/>
        </w:rPr>
        <w:t>m</w:t>
      </w:r>
      <w:r w:rsidRPr="00C821DA">
        <w:rPr>
          <w:i/>
          <w:color w:val="000000"/>
          <w:sz w:val="20"/>
          <w:szCs w:val="20"/>
          <w:lang w:eastAsia="en-AU"/>
        </w:rPr>
        <w:t>b</w:t>
      </w:r>
      <w:r w:rsidRPr="00C821DA">
        <w:rPr>
          <w:i/>
          <w:color w:val="000000"/>
          <w:spacing w:val="-1"/>
          <w:sz w:val="20"/>
          <w:szCs w:val="20"/>
          <w:lang w:eastAsia="en-AU"/>
        </w:rPr>
        <w:t>e</w:t>
      </w:r>
      <w:r w:rsidRPr="00C821DA">
        <w:rPr>
          <w:i/>
          <w:color w:val="000000"/>
          <w:sz w:val="20"/>
          <w:szCs w:val="20"/>
          <w:lang w:eastAsia="en-AU"/>
        </w:rPr>
        <w:t>r</w:t>
      </w:r>
      <w:r w:rsidRPr="00C821DA">
        <w:rPr>
          <w:i/>
          <w:color w:val="000000"/>
          <w:spacing w:val="-7"/>
          <w:sz w:val="20"/>
          <w:szCs w:val="20"/>
          <w:lang w:eastAsia="en-AU"/>
        </w:rPr>
        <w:t xml:space="preserve"> </w:t>
      </w:r>
      <w:r w:rsidRPr="00C821DA">
        <w:rPr>
          <w:i/>
          <w:color w:val="000000"/>
          <w:sz w:val="20"/>
          <w:szCs w:val="20"/>
          <w:lang w:eastAsia="en-AU"/>
        </w:rPr>
        <w:t>of</w:t>
      </w:r>
      <w:r w:rsidRPr="00C821DA">
        <w:rPr>
          <w:i/>
          <w:color w:val="000000"/>
          <w:spacing w:val="-1"/>
          <w:sz w:val="20"/>
          <w:szCs w:val="20"/>
          <w:lang w:eastAsia="en-AU"/>
        </w:rPr>
        <w:t xml:space="preserve"> </w:t>
      </w:r>
      <w:r w:rsidRPr="00C821DA">
        <w:rPr>
          <w:i/>
          <w:color w:val="000000"/>
          <w:sz w:val="20"/>
          <w:szCs w:val="20"/>
          <w:lang w:eastAsia="en-AU"/>
        </w:rPr>
        <w:t>p</w:t>
      </w:r>
      <w:r w:rsidRPr="00C821DA">
        <w:rPr>
          <w:i/>
          <w:color w:val="000000"/>
          <w:spacing w:val="-1"/>
          <w:sz w:val="20"/>
          <w:szCs w:val="20"/>
          <w:lang w:eastAsia="en-AU"/>
        </w:rPr>
        <w:t>a</w:t>
      </w:r>
      <w:r w:rsidRPr="00C821DA">
        <w:rPr>
          <w:i/>
          <w:color w:val="000000"/>
          <w:sz w:val="20"/>
          <w:szCs w:val="20"/>
          <w:lang w:eastAsia="en-AU"/>
        </w:rPr>
        <w:t>t</w:t>
      </w:r>
      <w:r w:rsidRPr="00C821DA">
        <w:rPr>
          <w:i/>
          <w:color w:val="000000"/>
          <w:spacing w:val="1"/>
          <w:sz w:val="20"/>
          <w:szCs w:val="20"/>
          <w:lang w:eastAsia="en-AU"/>
        </w:rPr>
        <w:t>i</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ts</w:t>
      </w:r>
      <w:r w:rsidRPr="00C821DA">
        <w:rPr>
          <w:i/>
          <w:color w:val="000000"/>
          <w:spacing w:val="-6"/>
          <w:sz w:val="20"/>
          <w:szCs w:val="20"/>
          <w:lang w:eastAsia="en-AU"/>
        </w:rPr>
        <w:t xml:space="preserve"> </w:t>
      </w:r>
      <w:r w:rsidRPr="00C821DA">
        <w:rPr>
          <w:i/>
          <w:color w:val="000000"/>
          <w:spacing w:val="1"/>
          <w:sz w:val="20"/>
          <w:szCs w:val="20"/>
          <w:lang w:eastAsia="en-AU"/>
        </w:rPr>
        <w:t>i</w:t>
      </w:r>
      <w:r w:rsidRPr="00C821DA">
        <w:rPr>
          <w:i/>
          <w:color w:val="000000"/>
          <w:sz w:val="20"/>
          <w:szCs w:val="20"/>
          <w:lang w:eastAsia="en-AU"/>
        </w:rPr>
        <w:t>n</w:t>
      </w:r>
      <w:r w:rsidRPr="00C821DA">
        <w:rPr>
          <w:i/>
          <w:color w:val="000000"/>
          <w:spacing w:val="-2"/>
          <w:sz w:val="20"/>
          <w:szCs w:val="20"/>
          <w:lang w:eastAsia="en-AU"/>
        </w:rPr>
        <w:t xml:space="preserve"> </w:t>
      </w:r>
      <w:r w:rsidRPr="00C821DA">
        <w:rPr>
          <w:i/>
          <w:color w:val="000000"/>
          <w:sz w:val="20"/>
          <w:szCs w:val="20"/>
          <w:lang w:eastAsia="en-AU"/>
        </w:rPr>
        <w:t>a</w:t>
      </w:r>
      <w:r w:rsidRPr="00C821DA">
        <w:rPr>
          <w:i/>
          <w:color w:val="000000"/>
          <w:spacing w:val="-2"/>
          <w:sz w:val="20"/>
          <w:szCs w:val="20"/>
          <w:lang w:eastAsia="en-AU"/>
        </w:rPr>
        <w:t xml:space="preserve"> </w:t>
      </w:r>
      <w:r w:rsidRPr="00C821DA">
        <w:rPr>
          <w:i/>
          <w:color w:val="000000"/>
          <w:sz w:val="20"/>
          <w:szCs w:val="20"/>
          <w:lang w:eastAsia="en-AU"/>
        </w:rPr>
        <w:t>tr</w:t>
      </w:r>
      <w:r w:rsidRPr="00C821DA">
        <w:rPr>
          <w:i/>
          <w:color w:val="000000"/>
          <w:spacing w:val="2"/>
          <w:sz w:val="20"/>
          <w:szCs w:val="20"/>
          <w:lang w:eastAsia="en-AU"/>
        </w:rPr>
        <w:t>e</w:t>
      </w:r>
      <w:r w:rsidRPr="00C821DA">
        <w:rPr>
          <w:i/>
          <w:color w:val="000000"/>
          <w:sz w:val="20"/>
          <w:szCs w:val="20"/>
          <w:lang w:eastAsia="en-AU"/>
        </w:rPr>
        <w:t>at</w:t>
      </w:r>
      <w:r w:rsidRPr="00C821DA">
        <w:rPr>
          <w:i/>
          <w:color w:val="000000"/>
          <w:spacing w:val="4"/>
          <w:sz w:val="20"/>
          <w:szCs w:val="20"/>
          <w:lang w:eastAsia="en-AU"/>
        </w:rPr>
        <w:t>m</w:t>
      </w:r>
      <w:r w:rsidRPr="00C821DA">
        <w:rPr>
          <w:i/>
          <w:color w:val="000000"/>
          <w:sz w:val="20"/>
          <w:szCs w:val="20"/>
          <w:lang w:eastAsia="en-AU"/>
        </w:rPr>
        <w:t>e</w:t>
      </w:r>
      <w:r w:rsidRPr="00C821DA">
        <w:rPr>
          <w:i/>
          <w:color w:val="000000"/>
          <w:spacing w:val="-1"/>
          <w:sz w:val="20"/>
          <w:szCs w:val="20"/>
          <w:lang w:eastAsia="en-AU"/>
        </w:rPr>
        <w:t>n</w:t>
      </w:r>
      <w:r w:rsidRPr="00C821DA">
        <w:rPr>
          <w:i/>
          <w:color w:val="000000"/>
          <w:sz w:val="20"/>
          <w:szCs w:val="20"/>
          <w:lang w:eastAsia="en-AU"/>
        </w:rPr>
        <w:t>t</w:t>
      </w:r>
      <w:r w:rsidRPr="00C821DA">
        <w:rPr>
          <w:i/>
          <w:color w:val="000000"/>
          <w:spacing w:val="-8"/>
          <w:sz w:val="20"/>
          <w:szCs w:val="20"/>
          <w:lang w:eastAsia="en-AU"/>
        </w:rPr>
        <w:t xml:space="preserve"> </w:t>
      </w:r>
      <w:r w:rsidRPr="00C821DA">
        <w:rPr>
          <w:i/>
          <w:color w:val="000000"/>
          <w:spacing w:val="-1"/>
          <w:sz w:val="20"/>
          <w:szCs w:val="20"/>
          <w:lang w:eastAsia="en-AU"/>
        </w:rPr>
        <w:t>g</w:t>
      </w:r>
      <w:r w:rsidRPr="00C821DA">
        <w:rPr>
          <w:i/>
          <w:color w:val="000000"/>
          <w:spacing w:val="1"/>
          <w:sz w:val="20"/>
          <w:szCs w:val="20"/>
          <w:lang w:eastAsia="en-AU"/>
        </w:rPr>
        <w:t>r</w:t>
      </w:r>
      <w:r w:rsidRPr="00C821DA">
        <w:rPr>
          <w:i/>
          <w:color w:val="000000"/>
          <w:sz w:val="20"/>
          <w:szCs w:val="20"/>
          <w:lang w:eastAsia="en-AU"/>
        </w:rPr>
        <w:t>o</w:t>
      </w:r>
      <w:r w:rsidRPr="00C821DA">
        <w:rPr>
          <w:i/>
          <w:color w:val="000000"/>
          <w:spacing w:val="-1"/>
          <w:sz w:val="20"/>
          <w:szCs w:val="20"/>
          <w:lang w:eastAsia="en-AU"/>
        </w:rPr>
        <w:t>u</w:t>
      </w:r>
      <w:r w:rsidRPr="00C821DA">
        <w:rPr>
          <w:i/>
          <w:color w:val="000000"/>
          <w:spacing w:val="4"/>
          <w:sz w:val="20"/>
          <w:szCs w:val="20"/>
          <w:lang w:eastAsia="en-AU"/>
        </w:rPr>
        <w:t>p</w:t>
      </w:r>
      <w:r w:rsidRPr="00C821DA">
        <w:rPr>
          <w:i/>
          <w:color w:val="000000"/>
          <w:sz w:val="20"/>
          <w:szCs w:val="20"/>
          <w:lang w:eastAsia="en-AU"/>
        </w:rPr>
        <w:t>;</w:t>
      </w:r>
      <w:r w:rsidRPr="00C821DA">
        <w:rPr>
          <w:i/>
          <w:color w:val="000000"/>
          <w:spacing w:val="-4"/>
          <w:sz w:val="20"/>
          <w:szCs w:val="20"/>
          <w:lang w:eastAsia="en-AU"/>
        </w:rPr>
        <w:t xml:space="preserve"> </w:t>
      </w:r>
      <w:r w:rsidRPr="00C821DA">
        <w:rPr>
          <w:i/>
          <w:color w:val="000000"/>
          <w:sz w:val="20"/>
          <w:szCs w:val="20"/>
          <w:lang w:eastAsia="en-AU"/>
        </w:rPr>
        <w:t>R</w:t>
      </w:r>
      <w:r w:rsidRPr="00C821DA">
        <w:rPr>
          <w:i/>
          <w:color w:val="000000"/>
          <w:spacing w:val="-1"/>
          <w:sz w:val="20"/>
          <w:szCs w:val="20"/>
          <w:lang w:eastAsia="en-AU"/>
        </w:rPr>
        <w:t>A=</w:t>
      </w:r>
      <w:r w:rsidRPr="00C821DA">
        <w:rPr>
          <w:i/>
          <w:color w:val="000000"/>
          <w:spacing w:val="3"/>
          <w:sz w:val="20"/>
          <w:szCs w:val="20"/>
          <w:lang w:eastAsia="en-AU"/>
        </w:rPr>
        <w:t>r</w:t>
      </w:r>
      <w:r w:rsidRPr="00C821DA">
        <w:rPr>
          <w:i/>
          <w:color w:val="000000"/>
          <w:sz w:val="20"/>
          <w:szCs w:val="20"/>
          <w:lang w:eastAsia="en-AU"/>
        </w:rPr>
        <w:t>h</w:t>
      </w:r>
      <w:r w:rsidRPr="00C821DA">
        <w:rPr>
          <w:i/>
          <w:color w:val="000000"/>
          <w:spacing w:val="-1"/>
          <w:sz w:val="20"/>
          <w:szCs w:val="20"/>
          <w:lang w:eastAsia="en-AU"/>
        </w:rPr>
        <w:t>e</w:t>
      </w:r>
      <w:r w:rsidRPr="00C821DA">
        <w:rPr>
          <w:i/>
          <w:color w:val="000000"/>
          <w:sz w:val="20"/>
          <w:szCs w:val="20"/>
          <w:lang w:eastAsia="en-AU"/>
        </w:rPr>
        <w:t>u</w:t>
      </w:r>
      <w:r w:rsidRPr="00C821DA">
        <w:rPr>
          <w:i/>
          <w:color w:val="000000"/>
          <w:spacing w:val="4"/>
          <w:sz w:val="20"/>
          <w:szCs w:val="20"/>
          <w:lang w:eastAsia="en-AU"/>
        </w:rPr>
        <w:t>m</w:t>
      </w:r>
      <w:r w:rsidRPr="00C821DA">
        <w:rPr>
          <w:i/>
          <w:color w:val="000000"/>
          <w:sz w:val="20"/>
          <w:szCs w:val="20"/>
          <w:lang w:eastAsia="en-AU"/>
        </w:rPr>
        <w:t>at</w:t>
      </w:r>
      <w:r w:rsidRPr="00C821DA">
        <w:rPr>
          <w:i/>
          <w:color w:val="000000"/>
          <w:spacing w:val="-1"/>
          <w:sz w:val="20"/>
          <w:szCs w:val="20"/>
          <w:lang w:eastAsia="en-AU"/>
        </w:rPr>
        <w:t>oi</w:t>
      </w:r>
      <w:r w:rsidRPr="00C821DA">
        <w:rPr>
          <w:i/>
          <w:color w:val="000000"/>
          <w:sz w:val="20"/>
          <w:szCs w:val="20"/>
          <w:lang w:eastAsia="en-AU"/>
        </w:rPr>
        <w:t>d</w:t>
      </w:r>
      <w:r w:rsidRPr="00C821DA">
        <w:rPr>
          <w:i/>
          <w:color w:val="000000"/>
          <w:spacing w:val="-13"/>
          <w:sz w:val="20"/>
          <w:szCs w:val="20"/>
          <w:lang w:eastAsia="en-AU"/>
        </w:rPr>
        <w:t xml:space="preserve"> </w:t>
      </w:r>
      <w:r w:rsidRPr="00C821DA">
        <w:rPr>
          <w:i/>
          <w:color w:val="000000"/>
          <w:sz w:val="20"/>
          <w:szCs w:val="20"/>
          <w:lang w:eastAsia="en-AU"/>
        </w:rPr>
        <w:t>arth</w:t>
      </w:r>
      <w:r w:rsidRPr="00C821DA">
        <w:rPr>
          <w:i/>
          <w:color w:val="000000"/>
          <w:spacing w:val="1"/>
          <w:sz w:val="20"/>
          <w:szCs w:val="20"/>
          <w:lang w:eastAsia="en-AU"/>
        </w:rPr>
        <w:t>r</w:t>
      </w:r>
      <w:r w:rsidRPr="00C821DA">
        <w:rPr>
          <w:i/>
          <w:color w:val="000000"/>
          <w:spacing w:val="-1"/>
          <w:sz w:val="20"/>
          <w:szCs w:val="20"/>
          <w:lang w:eastAsia="en-AU"/>
        </w:rPr>
        <w:t>i</w:t>
      </w:r>
      <w:r w:rsidRPr="00C821DA">
        <w:rPr>
          <w:i/>
          <w:color w:val="000000"/>
          <w:spacing w:val="2"/>
          <w:sz w:val="20"/>
          <w:szCs w:val="20"/>
          <w:lang w:eastAsia="en-AU"/>
        </w:rPr>
        <w:t>t</w:t>
      </w:r>
      <w:r w:rsidRPr="00C821DA">
        <w:rPr>
          <w:i/>
          <w:color w:val="000000"/>
          <w:spacing w:val="-1"/>
          <w:sz w:val="20"/>
          <w:szCs w:val="20"/>
          <w:lang w:eastAsia="en-AU"/>
        </w:rPr>
        <w:t>i</w:t>
      </w:r>
      <w:r w:rsidRPr="00C821DA">
        <w:rPr>
          <w:i/>
          <w:color w:val="000000"/>
          <w:sz w:val="20"/>
          <w:szCs w:val="20"/>
          <w:lang w:eastAsia="en-AU"/>
        </w:rPr>
        <w:t>s</w:t>
      </w:r>
    </w:p>
    <w:p w:rsidR="00F87845" w:rsidRPr="00803B54" w:rsidRDefault="00803B54" w:rsidP="009E0201">
      <w:pPr>
        <w:spacing w:before="120"/>
        <w:jc w:val="both"/>
        <w:rPr>
          <w:color w:val="000000"/>
        </w:rPr>
      </w:pPr>
      <w:r w:rsidRPr="00E3482E">
        <w:rPr>
          <w:color w:val="000000"/>
        </w:rPr>
        <w:t xml:space="preserve">In summary, </w:t>
      </w:r>
      <w:r>
        <w:rPr>
          <w:color w:val="000000"/>
        </w:rPr>
        <w:t>no</w:t>
      </w:r>
      <w:r w:rsidRPr="00803B54">
        <w:rPr>
          <w:color w:val="000000"/>
        </w:rPr>
        <w:t xml:space="preserve"> safety risks were detected in patients who switched from </w:t>
      </w:r>
      <w:r>
        <w:rPr>
          <w:color w:val="000000"/>
        </w:rPr>
        <w:t>the reference medicine to RIXIMYO</w:t>
      </w:r>
      <w:r w:rsidRPr="009E0201">
        <w:rPr>
          <w:color w:val="000000"/>
          <w:vertAlign w:val="superscript"/>
        </w:rPr>
        <w:t>®</w:t>
      </w:r>
      <w:r w:rsidRPr="00FE649F">
        <w:rPr>
          <w:color w:val="000000"/>
        </w:rPr>
        <w:t>.</w:t>
      </w:r>
    </w:p>
    <w:p w:rsidR="00FB3486" w:rsidRPr="00E3482E" w:rsidRDefault="00FB3486" w:rsidP="009E0201">
      <w:pPr>
        <w:rPr>
          <w:color w:val="000000"/>
          <w:lang w:val="en-GB"/>
        </w:rPr>
      </w:pPr>
    </w:p>
    <w:bookmarkEnd w:id="1"/>
    <w:p w:rsidR="0066180B" w:rsidRPr="00E3482E" w:rsidRDefault="0066180B" w:rsidP="00F11870">
      <w:pPr>
        <w:pStyle w:val="Heading1"/>
      </w:pPr>
      <w:r w:rsidRPr="00E3482E">
        <w:t xml:space="preserve">DOSAGE </w:t>
      </w:r>
      <w:smartTag w:uri="urn:schemas-microsoft-com:office:smarttags" w:element="stockticker">
        <w:r w:rsidRPr="00E3482E">
          <w:t>AND</w:t>
        </w:r>
      </w:smartTag>
      <w:r w:rsidRPr="00E3482E">
        <w:t xml:space="preserve"> ADMINISTRATION</w:t>
      </w:r>
    </w:p>
    <w:p w:rsidR="00DE016B" w:rsidRPr="00E3482E" w:rsidRDefault="009E0201" w:rsidP="00DE016B">
      <w:pPr>
        <w:spacing w:before="120"/>
        <w:jc w:val="both"/>
        <w:rPr>
          <w:color w:val="000000"/>
        </w:rPr>
      </w:pPr>
      <w:r>
        <w:rPr>
          <w:color w:val="000000"/>
        </w:rPr>
        <w:t>RIXIMYO</w:t>
      </w:r>
      <w:r w:rsidRPr="009E0201">
        <w:rPr>
          <w:color w:val="000000"/>
          <w:vertAlign w:val="superscript"/>
        </w:rPr>
        <w:t>®</w:t>
      </w:r>
      <w:r w:rsidRPr="00E3482E">
        <w:rPr>
          <w:color w:val="000000"/>
        </w:rPr>
        <w:t xml:space="preserve"> </w:t>
      </w:r>
      <w:r w:rsidR="00DE016B" w:rsidRPr="00E3482E">
        <w:rPr>
          <w:color w:val="000000"/>
        </w:rPr>
        <w:t xml:space="preserve">concentrated solution for injection is not intended for subcutaneous (SC) administration. </w:t>
      </w:r>
    </w:p>
    <w:p w:rsidR="00DE016B" w:rsidRPr="00E3482E" w:rsidRDefault="009E0201" w:rsidP="00DE016B">
      <w:pPr>
        <w:spacing w:before="120"/>
        <w:jc w:val="both"/>
        <w:rPr>
          <w:color w:val="000000"/>
        </w:rPr>
      </w:pPr>
      <w:r>
        <w:rPr>
          <w:color w:val="000000"/>
        </w:rPr>
        <w:t>RIXIMYO</w:t>
      </w:r>
      <w:r w:rsidRPr="009E0201">
        <w:rPr>
          <w:color w:val="000000"/>
          <w:vertAlign w:val="superscript"/>
        </w:rPr>
        <w:t>®</w:t>
      </w:r>
      <w:r w:rsidRPr="00E3482E">
        <w:rPr>
          <w:color w:val="000000"/>
        </w:rPr>
        <w:t xml:space="preserve"> </w:t>
      </w:r>
      <w:r w:rsidR="00DE016B" w:rsidRPr="00E3482E">
        <w:rPr>
          <w:color w:val="000000"/>
        </w:rPr>
        <w:t xml:space="preserve">may be administered in an outpatient setting. </w:t>
      </w:r>
      <w:r>
        <w:rPr>
          <w:color w:val="000000"/>
        </w:rPr>
        <w:t>RIXIMYO</w:t>
      </w:r>
      <w:r w:rsidRPr="009E0201">
        <w:rPr>
          <w:color w:val="000000"/>
          <w:vertAlign w:val="superscript"/>
        </w:rPr>
        <w:t>®</w:t>
      </w:r>
      <w:r w:rsidRPr="00E3482E">
        <w:rPr>
          <w:color w:val="000000"/>
        </w:rPr>
        <w:t xml:space="preserve"> </w:t>
      </w:r>
      <w:r w:rsidR="00DE016B" w:rsidRPr="00E3482E">
        <w:rPr>
          <w:color w:val="000000"/>
        </w:rPr>
        <w:t>should be administered as an intravenous infusion in an environment where full resuscitation facilities are immediately available, and under the close supervision of an experienced healthcare professional.</w:t>
      </w:r>
    </w:p>
    <w:p w:rsidR="009D643C" w:rsidRPr="00E3482E" w:rsidRDefault="00DE016B" w:rsidP="00DE016B">
      <w:pPr>
        <w:spacing w:before="120"/>
        <w:jc w:val="both"/>
        <w:rPr>
          <w:color w:val="000000"/>
        </w:rPr>
      </w:pPr>
      <w:r w:rsidRPr="00E3482E">
        <w:rPr>
          <w:color w:val="000000"/>
        </w:rPr>
        <w:t>Substitution by any other biological medicinal product requires the consent of the prescribing physician.</w:t>
      </w:r>
      <w:r w:rsidR="005778BE" w:rsidRPr="00E3482E">
        <w:rPr>
          <w:color w:val="000000"/>
        </w:rPr>
        <w:t xml:space="preserve"> </w:t>
      </w:r>
    </w:p>
    <w:p w:rsidR="00DE016B" w:rsidRPr="00E3482E" w:rsidRDefault="00DE016B" w:rsidP="00F5092E">
      <w:pPr>
        <w:pStyle w:val="HeadingUnderlined"/>
      </w:pPr>
      <w:r w:rsidRPr="00E3482E">
        <w:lastRenderedPageBreak/>
        <w:t>Dosage</w:t>
      </w:r>
    </w:p>
    <w:p w:rsidR="00DE016B" w:rsidRPr="00E3482E" w:rsidRDefault="00DE016B" w:rsidP="004173DE">
      <w:pPr>
        <w:pStyle w:val="Heading6"/>
        <w:keepNext/>
        <w:keepLines/>
        <w:rPr>
          <w:color w:val="000000"/>
        </w:rPr>
      </w:pPr>
      <w:r w:rsidRPr="00E3482E">
        <w:rPr>
          <w:color w:val="000000"/>
        </w:rPr>
        <w:t>Non-Hodgkin’s Lymphoma</w:t>
      </w:r>
    </w:p>
    <w:p w:rsidR="00DE016B" w:rsidRPr="00E3482E" w:rsidRDefault="00DE016B" w:rsidP="004173DE">
      <w:pPr>
        <w:keepNext/>
        <w:keepLines/>
        <w:spacing w:before="120"/>
        <w:jc w:val="both"/>
        <w:rPr>
          <w:color w:val="000000"/>
        </w:rPr>
      </w:pPr>
      <w:r w:rsidRPr="00E3482E">
        <w:rPr>
          <w:color w:val="000000"/>
        </w:rPr>
        <w:t xml:space="preserve">Premedication, consisting of an analgesic/antipyretic (such as paracetamol) and an antihistamine should always be administered 30 to 60 minutes before each infusion of </w:t>
      </w:r>
      <w:r w:rsidR="009E0201">
        <w:rPr>
          <w:color w:val="000000"/>
        </w:rPr>
        <w:t>RIXIMYO</w:t>
      </w:r>
      <w:r w:rsidR="009E0201" w:rsidRPr="009E0201">
        <w:rPr>
          <w:color w:val="000000"/>
          <w:vertAlign w:val="superscript"/>
        </w:rPr>
        <w:t>®</w:t>
      </w:r>
      <w:r w:rsidRPr="00E3482E">
        <w:rPr>
          <w:color w:val="000000"/>
        </w:rPr>
        <w:t xml:space="preserve">. Premedication with glucocorticoids should also be considered, particularly if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is not given in combination with steroid-containing chemotherapy.</w:t>
      </w:r>
    </w:p>
    <w:p w:rsidR="00DE016B" w:rsidRPr="00E3482E" w:rsidRDefault="00DE016B" w:rsidP="00F5092E">
      <w:pPr>
        <w:pStyle w:val="Heading2"/>
      </w:pPr>
      <w:r w:rsidRPr="00E3482E">
        <w:t>Relapsed or refractory Low Grade or Follicular non-Hodgkin's lymphoma</w:t>
      </w:r>
    </w:p>
    <w:p w:rsidR="00DE016B" w:rsidRPr="00E3482E" w:rsidRDefault="00DE016B" w:rsidP="00DE016B">
      <w:pPr>
        <w:spacing w:before="120"/>
        <w:jc w:val="both"/>
        <w:rPr>
          <w:color w:val="000000"/>
        </w:rPr>
      </w:pPr>
      <w:r w:rsidRPr="00E3482E">
        <w:rPr>
          <w:color w:val="000000"/>
        </w:rPr>
        <w:t xml:space="preserve">The recommended dosage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when used in monotherapy is 375 mg/m</w:t>
      </w:r>
      <w:r w:rsidRPr="00E3482E">
        <w:rPr>
          <w:color w:val="000000"/>
          <w:vertAlign w:val="superscript"/>
        </w:rPr>
        <w:t>2</w:t>
      </w:r>
      <w:r w:rsidRPr="00E3482E">
        <w:rPr>
          <w:color w:val="000000"/>
        </w:rPr>
        <w:t xml:space="preserve"> administered as an intravenous infusion once weekly for four weeks.</w:t>
      </w:r>
    </w:p>
    <w:p w:rsidR="00DE016B" w:rsidRPr="00E3482E" w:rsidRDefault="00DE016B" w:rsidP="00DE016B">
      <w:pPr>
        <w:spacing w:before="120"/>
        <w:jc w:val="both"/>
        <w:rPr>
          <w:color w:val="000000"/>
        </w:rPr>
      </w:pPr>
      <w:r w:rsidRPr="00E3482E">
        <w:rPr>
          <w:color w:val="000000"/>
        </w:rPr>
        <w:t xml:space="preserve">The recommended dosage of </w:t>
      </w:r>
      <w:r w:rsidR="009E0201">
        <w:rPr>
          <w:color w:val="000000"/>
        </w:rPr>
        <w:t>RIXIMYO</w:t>
      </w:r>
      <w:r w:rsidR="009E0201" w:rsidRPr="009E0201">
        <w:rPr>
          <w:color w:val="000000"/>
          <w:vertAlign w:val="superscript"/>
        </w:rPr>
        <w:t>®</w:t>
      </w:r>
      <w:r w:rsidRPr="00E3482E">
        <w:rPr>
          <w:color w:val="000000"/>
        </w:rPr>
        <w:t xml:space="preserve"> when used in combination with CHOP chemotherapy is 375 mg/m</w:t>
      </w:r>
      <w:r w:rsidRPr="00E3482E">
        <w:rPr>
          <w:color w:val="000000"/>
          <w:vertAlign w:val="superscript"/>
        </w:rPr>
        <w:t>2</w:t>
      </w:r>
      <w:r w:rsidRPr="00E3482E">
        <w:rPr>
          <w:color w:val="000000"/>
        </w:rPr>
        <w:t xml:space="preserve"> administered on day 1 of each chemotherapy cycle (6 cycles).</w:t>
      </w:r>
    </w:p>
    <w:p w:rsidR="0083073A" w:rsidRPr="00E3482E" w:rsidRDefault="0083073A" w:rsidP="00DE016B">
      <w:pPr>
        <w:spacing w:before="120"/>
        <w:jc w:val="both"/>
        <w:rPr>
          <w:color w:val="000000"/>
        </w:rPr>
      </w:pPr>
      <w:r w:rsidRPr="00E3482E">
        <w:rPr>
          <w:i/>
          <w:color w:val="000000"/>
          <w:u w:val="single"/>
        </w:rPr>
        <w:t>Maintenance treatment</w:t>
      </w:r>
      <w:r w:rsidRPr="00E3482E">
        <w:rPr>
          <w:color w:val="000000"/>
        </w:rPr>
        <w:t xml:space="preserve">: Relapsed/refractory patients who have responded to induction treatment may receive maintenance therapy with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given at 375 mg/m</w:t>
      </w:r>
      <w:r w:rsidRPr="00E3482E">
        <w:rPr>
          <w:color w:val="000000"/>
          <w:vertAlign w:val="superscript"/>
        </w:rPr>
        <w:t>2</w:t>
      </w:r>
      <w:r w:rsidRPr="00E3482E">
        <w:rPr>
          <w:color w:val="000000"/>
        </w:rPr>
        <w:t xml:space="preserve"> body surface area once every 3 months until disease progression or for a maximum period of two years.</w:t>
      </w:r>
    </w:p>
    <w:p w:rsidR="0083073A" w:rsidRPr="00E3482E" w:rsidRDefault="0083073A" w:rsidP="00F5092E">
      <w:pPr>
        <w:pStyle w:val="Heading2"/>
      </w:pPr>
      <w:r w:rsidRPr="00E3482E">
        <w:t>Previously untreated stage III/IV Follicular non-Hodgkin’s lymphoma</w:t>
      </w:r>
    </w:p>
    <w:p w:rsidR="0083073A" w:rsidRPr="00E3482E" w:rsidRDefault="0083073A" w:rsidP="0083073A">
      <w:pPr>
        <w:spacing w:before="120"/>
        <w:jc w:val="both"/>
        <w:rPr>
          <w:color w:val="000000"/>
        </w:rPr>
      </w:pPr>
      <w:r w:rsidRPr="00E3482E">
        <w:rPr>
          <w:color w:val="000000"/>
        </w:rPr>
        <w:t xml:space="preserve">The recommended dosage of </w:t>
      </w:r>
      <w:r w:rsidR="009E0201">
        <w:rPr>
          <w:color w:val="000000"/>
        </w:rPr>
        <w:t>RIXIMYO</w:t>
      </w:r>
      <w:r w:rsidR="009E0201" w:rsidRPr="009E0201">
        <w:rPr>
          <w:color w:val="000000"/>
          <w:vertAlign w:val="superscript"/>
        </w:rPr>
        <w:t>®</w:t>
      </w:r>
      <w:r w:rsidRPr="00E3482E">
        <w:rPr>
          <w:color w:val="000000"/>
        </w:rPr>
        <w:t xml:space="preserve"> in combination with chemotherapy is 375 mg/m</w:t>
      </w:r>
      <w:r w:rsidRPr="00E3482E">
        <w:rPr>
          <w:color w:val="000000"/>
          <w:vertAlign w:val="superscript"/>
        </w:rPr>
        <w:t>2</w:t>
      </w:r>
      <w:r w:rsidRPr="00E3482E">
        <w:rPr>
          <w:color w:val="000000"/>
        </w:rPr>
        <w:t xml:space="preserve"> administered on day 1 of each chemotherapy cycle for up to 8 cycles as induction therapy.</w:t>
      </w:r>
    </w:p>
    <w:p w:rsidR="0083073A" w:rsidRPr="00E3482E" w:rsidRDefault="009E0201" w:rsidP="0083073A">
      <w:pPr>
        <w:spacing w:before="120"/>
        <w:jc w:val="both"/>
        <w:rPr>
          <w:color w:val="000000"/>
        </w:rPr>
      </w:pPr>
      <w:r>
        <w:rPr>
          <w:color w:val="000000"/>
        </w:rPr>
        <w:t>RIXIMYO</w:t>
      </w:r>
      <w:r w:rsidRPr="009E0201">
        <w:rPr>
          <w:color w:val="000000"/>
          <w:vertAlign w:val="superscript"/>
        </w:rPr>
        <w:t>®</w:t>
      </w:r>
      <w:r w:rsidRPr="00E3482E">
        <w:rPr>
          <w:color w:val="000000"/>
        </w:rPr>
        <w:t xml:space="preserve"> </w:t>
      </w:r>
      <w:r w:rsidR="0083073A" w:rsidRPr="00E3482E">
        <w:rPr>
          <w:color w:val="000000"/>
        </w:rPr>
        <w:t>should be administered prior to the administration of chemotherapy. Any infusion related reactions should have settled before chemotherapy is instituted.</w:t>
      </w:r>
    </w:p>
    <w:p w:rsidR="0083073A" w:rsidRPr="00E3482E" w:rsidRDefault="0083073A" w:rsidP="0083073A">
      <w:pPr>
        <w:keepNext/>
        <w:spacing w:before="120"/>
        <w:jc w:val="both"/>
        <w:rPr>
          <w:color w:val="000000"/>
        </w:rPr>
      </w:pPr>
      <w:r w:rsidRPr="00E3482E">
        <w:rPr>
          <w:i/>
          <w:color w:val="000000"/>
          <w:u w:val="single"/>
        </w:rPr>
        <w:t>Maintenance treatment</w:t>
      </w:r>
      <w:r w:rsidRPr="00E3482E">
        <w:rPr>
          <w:color w:val="000000"/>
        </w:rPr>
        <w:t xml:space="preserve">: Previously untreated patients who have responded to induction treatment may receive maintenance therapy with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given at 375 mg/m</w:t>
      </w:r>
      <w:r w:rsidRPr="00E3482E">
        <w:rPr>
          <w:color w:val="000000"/>
          <w:vertAlign w:val="superscript"/>
        </w:rPr>
        <w:t>2</w:t>
      </w:r>
      <w:r w:rsidRPr="00E3482E">
        <w:rPr>
          <w:color w:val="000000"/>
        </w:rPr>
        <w:t xml:space="preserve"> body surface area once every 2 months until disease progression or for a maximum period of two years. </w:t>
      </w:r>
    </w:p>
    <w:p w:rsidR="0083073A" w:rsidRPr="00E3482E" w:rsidRDefault="0083073A" w:rsidP="00F5092E">
      <w:pPr>
        <w:pStyle w:val="Heading2"/>
      </w:pPr>
      <w:r w:rsidRPr="00E3482E">
        <w:t>Diffuse large B-cell non-Hodgkin's lymphoma</w:t>
      </w:r>
    </w:p>
    <w:p w:rsidR="0083073A" w:rsidRPr="00E3482E" w:rsidRDefault="0083073A" w:rsidP="00DE016B">
      <w:pPr>
        <w:spacing w:before="120"/>
        <w:jc w:val="both"/>
        <w:rPr>
          <w:color w:val="000000"/>
        </w:rPr>
      </w:pPr>
      <w:r w:rsidRPr="00E3482E">
        <w:rPr>
          <w:color w:val="000000"/>
        </w:rPr>
        <w:t xml:space="preserve">The recommended dosage for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in combination with CHOP chemotherapy is 375 mg/m</w:t>
      </w:r>
      <w:r w:rsidRPr="00E3482E">
        <w:rPr>
          <w:color w:val="000000"/>
          <w:vertAlign w:val="superscript"/>
        </w:rPr>
        <w:t>2</w:t>
      </w:r>
      <w:r w:rsidRPr="00E3482E">
        <w:rPr>
          <w:color w:val="000000"/>
        </w:rPr>
        <w:t>, administered as an intravenous infusion on day 1 of each chemotherapy cycle, for up to 8 cycles.</w:t>
      </w:r>
    </w:p>
    <w:p w:rsidR="0083073A" w:rsidRPr="00E3482E" w:rsidRDefault="0083073A" w:rsidP="0083073A">
      <w:pPr>
        <w:pStyle w:val="Heading6"/>
        <w:rPr>
          <w:color w:val="000000"/>
        </w:rPr>
      </w:pPr>
      <w:r w:rsidRPr="00E3482E">
        <w:rPr>
          <w:color w:val="000000"/>
        </w:rPr>
        <w:t xml:space="preserve">Chronic Lymphocytic </w:t>
      </w:r>
      <w:r w:rsidR="004C1B66" w:rsidRPr="00E3482E">
        <w:rPr>
          <w:color w:val="000000"/>
        </w:rPr>
        <w:t>Leukaemia</w:t>
      </w:r>
    </w:p>
    <w:p w:rsidR="0083073A" w:rsidRPr="00E3482E" w:rsidRDefault="0083073A" w:rsidP="0083073A">
      <w:pPr>
        <w:spacing w:before="120"/>
        <w:jc w:val="both"/>
        <w:rPr>
          <w:color w:val="000000"/>
        </w:rPr>
      </w:pPr>
      <w:r w:rsidRPr="00E3482E">
        <w:rPr>
          <w:color w:val="000000"/>
        </w:rPr>
        <w:t xml:space="preserve">Premedication, consisting of an analgesic/antipyretic such as paracetamol and an antihistamine should always be administered 30 to 60 minutes before each infusion of </w:t>
      </w:r>
      <w:r w:rsidR="009E0201">
        <w:rPr>
          <w:color w:val="000000"/>
        </w:rPr>
        <w:t>RIXIMYO</w:t>
      </w:r>
      <w:r w:rsidR="009E0201" w:rsidRPr="009E0201">
        <w:rPr>
          <w:color w:val="000000"/>
          <w:vertAlign w:val="superscript"/>
        </w:rPr>
        <w:t>®</w:t>
      </w:r>
      <w:r w:rsidRPr="00E3482E">
        <w:rPr>
          <w:color w:val="000000"/>
        </w:rPr>
        <w:t xml:space="preserve">. Premedication with glucocorticoids should also be considered, particularly if </w:t>
      </w:r>
      <w:r w:rsidR="009E0201">
        <w:rPr>
          <w:color w:val="000000"/>
        </w:rPr>
        <w:t>RIXIMYO</w:t>
      </w:r>
      <w:r w:rsidR="009E0201" w:rsidRPr="009E0201">
        <w:rPr>
          <w:color w:val="000000"/>
          <w:vertAlign w:val="superscript"/>
        </w:rPr>
        <w:t>®</w:t>
      </w:r>
      <w:r w:rsidRPr="00E3482E">
        <w:rPr>
          <w:color w:val="000000"/>
        </w:rPr>
        <w:t xml:space="preserve"> is not given in combination with steroid-containing chemotherapy.</w:t>
      </w:r>
    </w:p>
    <w:p w:rsidR="0083073A" w:rsidRPr="00E3482E" w:rsidRDefault="0083073A" w:rsidP="0083073A">
      <w:pPr>
        <w:spacing w:before="120"/>
        <w:jc w:val="both"/>
        <w:rPr>
          <w:color w:val="000000"/>
        </w:rPr>
      </w:pPr>
      <w:r w:rsidRPr="00E3482E">
        <w:rPr>
          <w:color w:val="000000"/>
        </w:rPr>
        <w:t xml:space="preserve">The recommended dosage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in combination with chemotherapy is 375 mg/m</w:t>
      </w:r>
      <w:r w:rsidRPr="00E3482E">
        <w:rPr>
          <w:color w:val="000000"/>
          <w:vertAlign w:val="superscript"/>
        </w:rPr>
        <w:t>2</w:t>
      </w:r>
      <w:r w:rsidRPr="00E3482E">
        <w:rPr>
          <w:color w:val="000000"/>
        </w:rPr>
        <w:t xml:space="preserve"> administered on day 1 of the first treatment cycle followed by 500 mg/m</w:t>
      </w:r>
      <w:r w:rsidRPr="00E3482E">
        <w:rPr>
          <w:color w:val="000000"/>
          <w:vertAlign w:val="superscript"/>
        </w:rPr>
        <w:t>2</w:t>
      </w:r>
      <w:r w:rsidRPr="00E3482E">
        <w:rPr>
          <w:color w:val="000000"/>
        </w:rPr>
        <w:t xml:space="preserve"> administered on day 1 of each subsequent cycle, for a total of 6 cycles (see </w:t>
      </w:r>
      <w:r w:rsidRPr="00E3482E">
        <w:rPr>
          <w:b/>
          <w:color w:val="000000"/>
        </w:rPr>
        <w:t>CLINICAL TRIALS</w:t>
      </w:r>
      <w:r w:rsidRPr="00E3482E">
        <w:rPr>
          <w:color w:val="000000"/>
        </w:rPr>
        <w:t>). The chemotherapy should be given after the infusion of</w:t>
      </w:r>
      <w:r w:rsidR="009E0201" w:rsidRPr="009E0201">
        <w:rPr>
          <w:color w:val="000000"/>
        </w:rPr>
        <w:t xml:space="preserve"> </w:t>
      </w:r>
      <w:r w:rsidR="009E0201">
        <w:rPr>
          <w:color w:val="000000"/>
        </w:rPr>
        <w:t>RIXIMYO</w:t>
      </w:r>
      <w:r w:rsidR="009E0201" w:rsidRPr="009E0201">
        <w:rPr>
          <w:color w:val="000000"/>
          <w:vertAlign w:val="superscript"/>
        </w:rPr>
        <w:t>®</w:t>
      </w:r>
      <w:r w:rsidRPr="00E3482E">
        <w:rPr>
          <w:color w:val="000000"/>
        </w:rPr>
        <w:t>.</w:t>
      </w:r>
    </w:p>
    <w:p w:rsidR="0083073A" w:rsidRPr="00E3482E" w:rsidRDefault="0083073A" w:rsidP="0083073A">
      <w:pPr>
        <w:spacing w:before="120"/>
        <w:jc w:val="both"/>
        <w:rPr>
          <w:color w:val="000000"/>
        </w:rPr>
      </w:pPr>
      <w:r w:rsidRPr="00E3482E">
        <w:rPr>
          <w:color w:val="000000"/>
        </w:rPr>
        <w:lastRenderedPageBreak/>
        <w:t xml:space="preserve">Prophylaxis with adequate hydration and administration of </w:t>
      </w:r>
      <w:proofErr w:type="spellStart"/>
      <w:r w:rsidRPr="00E3482E">
        <w:rPr>
          <w:color w:val="000000"/>
        </w:rPr>
        <w:t>uricostatics</w:t>
      </w:r>
      <w:proofErr w:type="spellEnd"/>
      <w:r w:rsidRPr="00E3482E">
        <w:rPr>
          <w:color w:val="000000"/>
        </w:rPr>
        <w:t xml:space="preserve"> starting 48 hours prior to the start of therapy is recommended for CLL patients to reduce the risk of tumour lysis syndrome. For CLL patients whose lymphocyte counts are &gt;25 x10</w:t>
      </w:r>
      <w:r w:rsidRPr="00E3482E">
        <w:rPr>
          <w:color w:val="000000"/>
          <w:vertAlign w:val="superscript"/>
        </w:rPr>
        <w:t>9</w:t>
      </w:r>
      <w:r w:rsidRPr="00E3482E">
        <w:rPr>
          <w:color w:val="000000"/>
        </w:rPr>
        <w:t xml:space="preserve">/L it is recommended to administer methylprednisolone 100 mg IV shortly before infusion with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to decrease the rate and severity of acute infusion reactions and/or cytokine release syndrome.</w:t>
      </w:r>
    </w:p>
    <w:p w:rsidR="0083073A" w:rsidRPr="00E3482E" w:rsidRDefault="0083073A" w:rsidP="0083073A">
      <w:pPr>
        <w:keepNext/>
        <w:spacing w:before="120"/>
        <w:jc w:val="both"/>
        <w:rPr>
          <w:color w:val="000000"/>
        </w:rPr>
      </w:pPr>
      <w:r w:rsidRPr="00E3482E">
        <w:rPr>
          <w:i/>
          <w:color w:val="000000"/>
        </w:rPr>
        <w:t>Dosage adjustments during treatment</w:t>
      </w:r>
      <w:r w:rsidRPr="00E3482E">
        <w:rPr>
          <w:color w:val="000000"/>
        </w:rPr>
        <w:t xml:space="preserve"> </w:t>
      </w:r>
    </w:p>
    <w:p w:rsidR="00D47FD6" w:rsidRPr="00E3482E" w:rsidRDefault="00D47FD6" w:rsidP="00D47FD6">
      <w:pPr>
        <w:spacing w:before="120"/>
        <w:jc w:val="both"/>
        <w:rPr>
          <w:color w:val="000000"/>
        </w:rPr>
      </w:pPr>
      <w:r w:rsidRPr="00E3482E">
        <w:rPr>
          <w:color w:val="000000"/>
        </w:rPr>
        <w:t xml:space="preserve">No dose reductions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 xml:space="preserve">are recommended. When </w:t>
      </w:r>
      <w:r w:rsidR="009E0201">
        <w:rPr>
          <w:color w:val="000000"/>
        </w:rPr>
        <w:t>RIXIMYO</w:t>
      </w:r>
      <w:r w:rsidR="009E0201" w:rsidRPr="009E0201">
        <w:rPr>
          <w:color w:val="000000"/>
          <w:vertAlign w:val="superscript"/>
        </w:rPr>
        <w:t>®</w:t>
      </w:r>
      <w:r w:rsidRPr="00E3482E">
        <w:rPr>
          <w:color w:val="000000"/>
        </w:rPr>
        <w:t xml:space="preserve"> is given in combination with </w:t>
      </w:r>
      <w:proofErr w:type="gramStart"/>
      <w:r w:rsidRPr="00E3482E">
        <w:rPr>
          <w:color w:val="000000"/>
        </w:rPr>
        <w:t>chemotherapy,</w:t>
      </w:r>
      <w:proofErr w:type="gramEnd"/>
      <w:r w:rsidRPr="00E3482E">
        <w:rPr>
          <w:color w:val="000000"/>
        </w:rPr>
        <w:t xml:space="preserve"> standard dose reductions for the chemotherapeutic drugs should be applied.</w:t>
      </w:r>
    </w:p>
    <w:p w:rsidR="00D47FD6" w:rsidRPr="00E3482E" w:rsidRDefault="00D47FD6" w:rsidP="00D47FD6">
      <w:pPr>
        <w:spacing w:before="120"/>
        <w:jc w:val="both"/>
        <w:rPr>
          <w:color w:val="000000"/>
        </w:rPr>
      </w:pPr>
      <w:r w:rsidRPr="00E3482E">
        <w:rPr>
          <w:i/>
          <w:color w:val="000000"/>
          <w:u w:val="single"/>
        </w:rPr>
        <w:t>First Infusion</w:t>
      </w:r>
      <w:r w:rsidRPr="00E3482E">
        <w:rPr>
          <w:color w:val="000000"/>
        </w:rPr>
        <w:t xml:space="preserve">: The recommended initial rate of infusion is 50 mg/h. If hypersensitivity or infusion-related events do not occur, escalate the infusion rate in 50 mg/h increments every 30 minutes, to a maximum of 400 mg/h. If hypersensitivity or an infusion-related event develops, the infusion should be temporarily slowed or interrupted (see </w:t>
      </w:r>
      <w:r w:rsidRPr="00E3482E">
        <w:rPr>
          <w:b/>
          <w:color w:val="000000"/>
        </w:rPr>
        <w:t>PRECAUTIONS</w:t>
      </w:r>
      <w:r w:rsidRPr="00E3482E">
        <w:rPr>
          <w:color w:val="000000"/>
        </w:rPr>
        <w:t>). The infusion can continue at one-half the previous rate upon improvement of patient symptoms.</w:t>
      </w:r>
    </w:p>
    <w:p w:rsidR="0083073A" w:rsidRPr="00E3482E" w:rsidRDefault="00D47FD6" w:rsidP="00D47FD6">
      <w:pPr>
        <w:spacing w:before="120"/>
        <w:jc w:val="both"/>
        <w:rPr>
          <w:color w:val="000000"/>
        </w:rPr>
      </w:pPr>
      <w:r w:rsidRPr="00E3482E">
        <w:rPr>
          <w:i/>
          <w:color w:val="000000"/>
          <w:u w:val="single"/>
        </w:rPr>
        <w:t>Subsequent Infusions</w:t>
      </w:r>
      <w:r w:rsidRPr="00E3482E">
        <w:rPr>
          <w:color w:val="000000"/>
        </w:rPr>
        <w:t xml:space="preserve">: Subsequent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infusions can be administered at an initial rate of 100 mg/h and increased by 100 mg/h increments at 30-minute intervals, to a maximum of 400</w:t>
      </w:r>
      <w:r w:rsidR="006113DD">
        <w:rPr>
          <w:color w:val="000000"/>
        </w:rPr>
        <w:t> </w:t>
      </w:r>
      <w:r w:rsidRPr="00E3482E">
        <w:rPr>
          <w:color w:val="000000"/>
        </w:rPr>
        <w:t>mg/h.</w:t>
      </w:r>
    </w:p>
    <w:p w:rsidR="00B4370D" w:rsidRPr="00E3482E" w:rsidRDefault="00B4370D" w:rsidP="00B4370D">
      <w:pPr>
        <w:pStyle w:val="Heading6"/>
        <w:rPr>
          <w:color w:val="000000"/>
        </w:rPr>
      </w:pPr>
      <w:r w:rsidRPr="00E3482E">
        <w:rPr>
          <w:color w:val="000000"/>
        </w:rPr>
        <w:t>Rheumatoid Arthritis</w:t>
      </w:r>
    </w:p>
    <w:p w:rsidR="00B4370D" w:rsidRPr="00E3482E" w:rsidRDefault="00B4370D" w:rsidP="00B4370D">
      <w:pPr>
        <w:spacing w:before="120"/>
        <w:jc w:val="both"/>
        <w:rPr>
          <w:color w:val="000000"/>
        </w:rPr>
      </w:pPr>
      <w:r w:rsidRPr="00E3482E">
        <w:rPr>
          <w:color w:val="000000"/>
        </w:rPr>
        <w:t xml:space="preserve">Premedication consisting of an analgesic/antipyretic such as paracetamol and an antihistamine should always be administered 30 to 60 minutes before each infusion of </w:t>
      </w:r>
      <w:r w:rsidR="009E0201">
        <w:rPr>
          <w:color w:val="000000"/>
        </w:rPr>
        <w:t>RIXIMYO</w:t>
      </w:r>
      <w:r w:rsidR="009E0201" w:rsidRPr="009E0201">
        <w:rPr>
          <w:color w:val="000000"/>
          <w:vertAlign w:val="superscript"/>
        </w:rPr>
        <w:t>®</w:t>
      </w:r>
      <w:r w:rsidRPr="00E3482E">
        <w:rPr>
          <w:color w:val="000000"/>
        </w:rPr>
        <w:t xml:space="preserve">. Premedication with glucocorticoids should also be administered in order to reduce the frequency and severity of IRRs. Patients should receive 100 mg IV methylprednisolone to be completed 30 minutes prior to each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 xml:space="preserve">infusion (see </w:t>
      </w:r>
      <w:r w:rsidRPr="00E3482E">
        <w:rPr>
          <w:b/>
          <w:color w:val="000000"/>
        </w:rPr>
        <w:t>PRECAUTIONS</w:t>
      </w:r>
      <w:r w:rsidRPr="00E3482E">
        <w:rPr>
          <w:color w:val="000000"/>
        </w:rPr>
        <w:t xml:space="preserve"> – </w:t>
      </w:r>
      <w:r w:rsidRPr="00E3482E">
        <w:rPr>
          <w:i/>
          <w:color w:val="000000"/>
        </w:rPr>
        <w:t>Rheumatoid Arthritis</w:t>
      </w:r>
      <w:r w:rsidRPr="00E3482E">
        <w:rPr>
          <w:color w:val="000000"/>
        </w:rPr>
        <w:t>).</w:t>
      </w:r>
    </w:p>
    <w:p w:rsidR="00B4370D" w:rsidRPr="00E3482E" w:rsidRDefault="00B4370D" w:rsidP="00B4370D">
      <w:pPr>
        <w:spacing w:before="120"/>
        <w:jc w:val="both"/>
        <w:rPr>
          <w:color w:val="000000"/>
        </w:rPr>
      </w:pPr>
      <w:r w:rsidRPr="00E3482E">
        <w:rPr>
          <w:color w:val="000000"/>
        </w:rPr>
        <w:t xml:space="preserve">A course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 xml:space="preserve">consists of two 1000 mg IV infusions. The recommended dosage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 xml:space="preserve">is 1000 mg by IV infusion followed by a second 1000 mg IV infusion two weeks later. The course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is given concomitantly with the dose of MTX tolerated by the patient. The minimal effective dose is not yet known.</w:t>
      </w:r>
    </w:p>
    <w:p w:rsidR="00B4370D" w:rsidRPr="00E3482E" w:rsidRDefault="00B4370D" w:rsidP="00B4370D">
      <w:pPr>
        <w:spacing w:before="120"/>
        <w:jc w:val="both"/>
        <w:rPr>
          <w:color w:val="000000"/>
        </w:rPr>
      </w:pPr>
      <w:r w:rsidRPr="00E3482E">
        <w:rPr>
          <w:color w:val="000000"/>
        </w:rPr>
        <w:t xml:space="preserve">Background therapy with glucocorticoids, salicylates, nonsteroidal anti-inflammatory drugs, or analgesics can be continued during treatment with </w:t>
      </w:r>
      <w:r w:rsidR="009E0201">
        <w:rPr>
          <w:color w:val="000000"/>
        </w:rPr>
        <w:t>RIXIMYO</w:t>
      </w:r>
      <w:r w:rsidR="009E0201" w:rsidRPr="009E0201">
        <w:rPr>
          <w:color w:val="000000"/>
          <w:vertAlign w:val="superscript"/>
        </w:rPr>
        <w:t>®</w:t>
      </w:r>
      <w:r w:rsidRPr="00E3482E">
        <w:rPr>
          <w:color w:val="000000"/>
        </w:rPr>
        <w:t>.</w:t>
      </w:r>
    </w:p>
    <w:p w:rsidR="00B4370D" w:rsidRPr="00E3482E" w:rsidRDefault="00B4370D" w:rsidP="00B4370D">
      <w:pPr>
        <w:spacing w:before="120"/>
        <w:jc w:val="both"/>
        <w:rPr>
          <w:color w:val="000000"/>
        </w:rPr>
      </w:pPr>
      <w:r w:rsidRPr="00E3482E">
        <w:rPr>
          <w:color w:val="000000"/>
        </w:rPr>
        <w:t>Disease activity should be regularly monitored. Patients may receive further courses of treatment, based on signs and symptoms of disease. In clinical studies, no patient received a second course of rituximab treatment within 16 weeks of the first infusion of the first course. The time interval between courses was variable, with the majority of patients who received additional courses doing so 6 -12 months after the previous course. Some patients required even less frequent retreatment. The efficacy and safety of further courses is comparable to the first course.</w:t>
      </w:r>
    </w:p>
    <w:p w:rsidR="0083073A" w:rsidRPr="00E3482E" w:rsidRDefault="00B4370D" w:rsidP="00B4370D">
      <w:pPr>
        <w:spacing w:before="120"/>
        <w:jc w:val="both"/>
        <w:rPr>
          <w:color w:val="000000"/>
        </w:rPr>
      </w:pPr>
      <w:r w:rsidRPr="00E3482E">
        <w:rPr>
          <w:color w:val="000000"/>
        </w:rPr>
        <w:t xml:space="preserve">Human anti-chimeric antibodies (HACA) develop in some patients after the first course of </w:t>
      </w:r>
      <w:r w:rsidR="009E0201">
        <w:rPr>
          <w:color w:val="000000"/>
        </w:rPr>
        <w:t>RIXIMYO</w:t>
      </w:r>
      <w:r w:rsidR="009E0201" w:rsidRPr="009E0201">
        <w:rPr>
          <w:color w:val="000000"/>
          <w:vertAlign w:val="superscript"/>
        </w:rPr>
        <w:t>®</w:t>
      </w:r>
      <w:r w:rsidRPr="00E3482E">
        <w:rPr>
          <w:color w:val="000000"/>
        </w:rPr>
        <w:t xml:space="preserve">. The presence of HACA may be associated with the worsening of infusion or allergic reactions after the second infusion of subsequent course. Furthermore, in one case with </w:t>
      </w:r>
      <w:r w:rsidRPr="00E3482E">
        <w:rPr>
          <w:color w:val="000000"/>
        </w:rPr>
        <w:lastRenderedPageBreak/>
        <w:t xml:space="preserve">HACA, failure to deplete B-cells after receipt of further treatment courses has been observed. Thus, the benefit/risk balance of therapy with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 xml:space="preserve">should be carefully considered before administering subsequent courses of </w:t>
      </w:r>
      <w:r w:rsidR="009E0201">
        <w:rPr>
          <w:color w:val="000000"/>
        </w:rPr>
        <w:t>RIXIMYO</w:t>
      </w:r>
      <w:r w:rsidR="009E0201" w:rsidRPr="009E0201">
        <w:rPr>
          <w:color w:val="000000"/>
          <w:vertAlign w:val="superscript"/>
        </w:rPr>
        <w:t>®</w:t>
      </w:r>
      <w:r w:rsidRPr="00E3482E">
        <w:rPr>
          <w:color w:val="000000"/>
        </w:rPr>
        <w:t>. If a repeat course of treatment is considered it should not be given at an interval less than 16 weeks.</w:t>
      </w:r>
    </w:p>
    <w:p w:rsidR="00B4370D" w:rsidRPr="00E3482E" w:rsidRDefault="00B4370D" w:rsidP="00B4370D">
      <w:pPr>
        <w:keepNext/>
        <w:spacing w:before="120"/>
        <w:jc w:val="both"/>
        <w:rPr>
          <w:color w:val="000000"/>
        </w:rPr>
      </w:pPr>
      <w:r w:rsidRPr="00E3482E">
        <w:rPr>
          <w:i/>
          <w:color w:val="000000"/>
        </w:rPr>
        <w:t>Dosage adjustments during treatment</w:t>
      </w:r>
      <w:r w:rsidRPr="00E3482E">
        <w:rPr>
          <w:color w:val="000000"/>
        </w:rPr>
        <w:t xml:space="preserve"> </w:t>
      </w:r>
    </w:p>
    <w:p w:rsidR="00B4370D" w:rsidRPr="00E3482E" w:rsidRDefault="00B4370D" w:rsidP="00B4370D">
      <w:pPr>
        <w:spacing w:before="120"/>
        <w:jc w:val="both"/>
        <w:rPr>
          <w:color w:val="000000"/>
        </w:rPr>
      </w:pPr>
      <w:r w:rsidRPr="00E3482E">
        <w:rPr>
          <w:i/>
          <w:color w:val="000000"/>
          <w:u w:val="single"/>
        </w:rPr>
        <w:t>First infusion of each course</w:t>
      </w:r>
      <w:r w:rsidRPr="00E3482E">
        <w:rPr>
          <w:color w:val="000000"/>
        </w:rPr>
        <w:t>: The recommended initial rate for infusion is 50 mg/h; after the first 30 minutes, it can be escalated in 50 mg/h increments every 30 minutes, to a maximum of 400 mg/h.</w:t>
      </w:r>
    </w:p>
    <w:p w:rsidR="00B4370D" w:rsidRPr="00E3482E" w:rsidRDefault="00B4370D" w:rsidP="00B4370D">
      <w:pPr>
        <w:spacing w:before="120"/>
        <w:jc w:val="both"/>
        <w:rPr>
          <w:color w:val="000000"/>
        </w:rPr>
      </w:pPr>
      <w:r w:rsidRPr="00E3482E">
        <w:rPr>
          <w:i/>
          <w:color w:val="000000"/>
          <w:u w:val="single"/>
        </w:rPr>
        <w:t>Second infusion of each course</w:t>
      </w:r>
      <w:r w:rsidRPr="00E3482E">
        <w:rPr>
          <w:color w:val="000000"/>
        </w:rPr>
        <w:t xml:space="preserve">: Subsequent doses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can be infused at an initial rate of 100 mg/h, and increased by 100 mg/h increments at 30 minutes intervals, to a maximum of 400 mg/h.</w:t>
      </w:r>
    </w:p>
    <w:p w:rsidR="00B4370D" w:rsidRPr="00E3482E" w:rsidRDefault="00B4370D" w:rsidP="00B4370D">
      <w:pPr>
        <w:spacing w:before="120"/>
        <w:jc w:val="both"/>
        <w:rPr>
          <w:color w:val="000000"/>
        </w:rPr>
      </w:pPr>
      <w:r w:rsidRPr="00E3482E">
        <w:rPr>
          <w:i/>
          <w:color w:val="000000"/>
          <w:u w:val="single"/>
        </w:rPr>
        <w:t>Rheumatoid Arthritis Only - Alternative Subsequent, Faster, Infusion Schedule</w:t>
      </w:r>
      <w:r w:rsidRPr="00E3482E">
        <w:rPr>
          <w:color w:val="000000"/>
        </w:rPr>
        <w:t xml:space="preserve">: In RA, with a dose of 1000 mg </w:t>
      </w:r>
      <w:r w:rsidR="009E0201">
        <w:rPr>
          <w:color w:val="000000"/>
        </w:rPr>
        <w:t>RIXIMYO</w:t>
      </w:r>
      <w:r w:rsidR="009E0201" w:rsidRPr="009E0201">
        <w:rPr>
          <w:color w:val="000000"/>
          <w:vertAlign w:val="superscript"/>
        </w:rPr>
        <w:t>®</w:t>
      </w:r>
      <w:r w:rsidRPr="00E3482E">
        <w:rPr>
          <w:color w:val="000000"/>
        </w:rPr>
        <w:t>, if there are no infusion related reactions or other reasons to slow or cease the infusion, the standard infusion schedules shown above result in an estimated duration of infusion of 4 hours 15 minutes for the first infusion and 3 hours 15 minutes for the second infusion in each course.</w:t>
      </w:r>
    </w:p>
    <w:p w:rsidR="00B4370D" w:rsidRPr="00E3482E" w:rsidRDefault="00B4370D" w:rsidP="00B4370D">
      <w:pPr>
        <w:spacing w:before="120"/>
        <w:jc w:val="both"/>
        <w:rPr>
          <w:color w:val="000000"/>
        </w:rPr>
      </w:pPr>
      <w:r w:rsidRPr="00E3482E">
        <w:rPr>
          <w:color w:val="000000"/>
        </w:rPr>
        <w:t>If patients do not experience a serious infusion related reaction with their first or subsequent infusions administered over the standard infusion schedule, a more rapid infusion can be administered for second and subsequent infusions using a concentration of 4 mg/mL in a 250 mL volume. Initiate at a rate of 250 mg/h for the first 30 minutes and then 600 mg/h for the next 90 minutes. With this infusion schedule, the 1000mg/ 250mL infusion will generally be completed in 2 hours.</w:t>
      </w:r>
    </w:p>
    <w:p w:rsidR="00B4370D" w:rsidRPr="00E3482E" w:rsidRDefault="00B4370D" w:rsidP="00B4370D">
      <w:pPr>
        <w:spacing w:before="120"/>
        <w:jc w:val="both"/>
        <w:rPr>
          <w:color w:val="000000"/>
        </w:rPr>
      </w:pPr>
      <w:r w:rsidRPr="00E3482E">
        <w:rPr>
          <w:color w:val="000000"/>
        </w:rPr>
        <w:t>Patients who have clinically significant cardiovascular disease, including arrhythmias, or previous serious infusion reactions to any prior biologic therapy or to rituximab, should not be administered the more rapid 2 h</w:t>
      </w:r>
      <w:r w:rsidR="00C31697" w:rsidRPr="00E3482E">
        <w:rPr>
          <w:color w:val="000000"/>
        </w:rPr>
        <w:t>our-</w:t>
      </w:r>
      <w:r w:rsidRPr="00E3482E">
        <w:rPr>
          <w:color w:val="000000"/>
        </w:rPr>
        <w:t>infusion.</w:t>
      </w:r>
    </w:p>
    <w:p w:rsidR="00C31697" w:rsidRPr="00E3482E" w:rsidRDefault="00C31697" w:rsidP="00C31697">
      <w:pPr>
        <w:pStyle w:val="Heading6"/>
        <w:rPr>
          <w:color w:val="000000"/>
        </w:rPr>
      </w:pPr>
      <w:r w:rsidRPr="00E3482E">
        <w:rPr>
          <w:color w:val="000000"/>
        </w:rPr>
        <w:t>Granuloma</w:t>
      </w:r>
      <w:r w:rsidR="00CE75ED" w:rsidRPr="00E3482E">
        <w:rPr>
          <w:color w:val="000000"/>
        </w:rPr>
        <w:t xml:space="preserve">tosis with </w:t>
      </w:r>
      <w:proofErr w:type="spellStart"/>
      <w:r w:rsidR="00D6167E" w:rsidRPr="00E3482E">
        <w:rPr>
          <w:color w:val="000000"/>
        </w:rPr>
        <w:t>p</w:t>
      </w:r>
      <w:r w:rsidRPr="00E3482E">
        <w:rPr>
          <w:color w:val="000000"/>
        </w:rPr>
        <w:t>olyangiitis</w:t>
      </w:r>
      <w:proofErr w:type="spellEnd"/>
      <w:r w:rsidRPr="00E3482E">
        <w:rPr>
          <w:color w:val="000000"/>
        </w:rPr>
        <w:t xml:space="preserve"> (Wegener’s) (GPA) and Microscopic </w:t>
      </w:r>
      <w:proofErr w:type="spellStart"/>
      <w:r w:rsidR="00D6167E" w:rsidRPr="00E3482E">
        <w:rPr>
          <w:color w:val="000000"/>
        </w:rPr>
        <w:t>p</w:t>
      </w:r>
      <w:r w:rsidRPr="00E3482E">
        <w:rPr>
          <w:color w:val="000000"/>
        </w:rPr>
        <w:t>olyangiitis</w:t>
      </w:r>
      <w:proofErr w:type="spellEnd"/>
      <w:r w:rsidRPr="00E3482E">
        <w:rPr>
          <w:color w:val="000000"/>
        </w:rPr>
        <w:t xml:space="preserve"> (MPA)</w:t>
      </w:r>
    </w:p>
    <w:p w:rsidR="00C31697" w:rsidRPr="00E3482E" w:rsidRDefault="00C31697" w:rsidP="00C31697">
      <w:pPr>
        <w:spacing w:before="120"/>
        <w:jc w:val="both"/>
        <w:rPr>
          <w:color w:val="000000"/>
        </w:rPr>
      </w:pPr>
      <w:r w:rsidRPr="00E3482E">
        <w:rPr>
          <w:color w:val="000000"/>
        </w:rPr>
        <w:t xml:space="preserve">Premedication consisting of an analgesic/antipyretic such as paracetamol and an antihistamine should always be administered 30 to 60 minutes before each infusion of </w:t>
      </w:r>
      <w:r w:rsidR="009E0201">
        <w:rPr>
          <w:color w:val="000000"/>
        </w:rPr>
        <w:t>RIXIMYO</w:t>
      </w:r>
      <w:r w:rsidR="009E0201" w:rsidRPr="009E0201">
        <w:rPr>
          <w:color w:val="000000"/>
          <w:vertAlign w:val="superscript"/>
        </w:rPr>
        <w:t>®</w:t>
      </w:r>
      <w:r w:rsidRPr="00E3482E">
        <w:rPr>
          <w:color w:val="000000"/>
        </w:rPr>
        <w:t>.</w:t>
      </w:r>
    </w:p>
    <w:p w:rsidR="00C31697" w:rsidRPr="00E3482E" w:rsidRDefault="00C31697" w:rsidP="00C31697">
      <w:pPr>
        <w:spacing w:before="120"/>
        <w:jc w:val="both"/>
        <w:rPr>
          <w:color w:val="000000"/>
        </w:rPr>
      </w:pPr>
      <w:r w:rsidRPr="00E3482E">
        <w:rPr>
          <w:color w:val="000000"/>
        </w:rPr>
        <w:t xml:space="preserve">The recommended dosage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for treatment of GPA and MPA is 375 mg/m</w:t>
      </w:r>
      <w:r w:rsidRPr="00E3482E">
        <w:rPr>
          <w:color w:val="000000"/>
          <w:vertAlign w:val="superscript"/>
        </w:rPr>
        <w:t>2</w:t>
      </w:r>
      <w:r w:rsidRPr="00E3482E">
        <w:rPr>
          <w:color w:val="000000"/>
        </w:rPr>
        <w:t xml:space="preserve"> body surface area, administered as an IV infusion once weekly for 4 weeks.</w:t>
      </w:r>
    </w:p>
    <w:p w:rsidR="00C31697" w:rsidRPr="00E3482E" w:rsidRDefault="00C31697" w:rsidP="00C31697">
      <w:pPr>
        <w:spacing w:before="120"/>
        <w:jc w:val="both"/>
        <w:rPr>
          <w:color w:val="000000"/>
        </w:rPr>
      </w:pPr>
      <w:r w:rsidRPr="00E3482E">
        <w:rPr>
          <w:color w:val="000000"/>
        </w:rPr>
        <w:t xml:space="preserve">Methylprednisolone 1000 mg IV per day for 1 to 3 days is recommended in combination with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 xml:space="preserve">to treat severe vasculitis symptoms, followed by oral prednisone 1 mg/kg/day (not to exceed 80 mg/day, and tapered as rapidly as possible per clinical need) during and after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treatment.</w:t>
      </w:r>
    </w:p>
    <w:p w:rsidR="00C31697" w:rsidRPr="00E3482E" w:rsidRDefault="00C31697" w:rsidP="00C31697">
      <w:pPr>
        <w:spacing w:before="120"/>
        <w:jc w:val="both"/>
        <w:rPr>
          <w:color w:val="000000"/>
        </w:rPr>
      </w:pPr>
      <w:r w:rsidRPr="00E3482E">
        <w:rPr>
          <w:i/>
          <w:color w:val="000000"/>
          <w:u w:val="single"/>
        </w:rPr>
        <w:t>First infusion</w:t>
      </w:r>
      <w:r w:rsidRPr="00E3482E">
        <w:rPr>
          <w:color w:val="000000"/>
        </w:rPr>
        <w:t xml:space="preserve">: The recommended initial infusion rate for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is 50 mg/h; subsequently the rate can be escalated in 50 mg/h increments every 30 minutes to a maximum of 400 mg/h.</w:t>
      </w:r>
    </w:p>
    <w:p w:rsidR="00C31697" w:rsidRPr="00E3482E" w:rsidRDefault="00C31697" w:rsidP="00C31697">
      <w:pPr>
        <w:spacing w:before="120"/>
        <w:jc w:val="both"/>
        <w:rPr>
          <w:color w:val="000000"/>
        </w:rPr>
      </w:pPr>
      <w:r w:rsidRPr="00E3482E">
        <w:rPr>
          <w:i/>
          <w:color w:val="000000"/>
          <w:u w:val="single"/>
        </w:rPr>
        <w:t>Subsequent infusions</w:t>
      </w:r>
      <w:r w:rsidRPr="00E3482E">
        <w:rPr>
          <w:color w:val="000000"/>
        </w:rPr>
        <w:t xml:space="preserve">: Subsequent infusions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can be administered at a rate of 100 mg/h and increased by 100 mg/h increments every 30 minutes to a maximum of 400 mg/h.</w:t>
      </w:r>
    </w:p>
    <w:p w:rsidR="00B4370D" w:rsidRPr="00E3482E" w:rsidRDefault="00C31697" w:rsidP="00C31697">
      <w:pPr>
        <w:spacing w:before="120"/>
        <w:jc w:val="both"/>
        <w:rPr>
          <w:color w:val="000000"/>
        </w:rPr>
      </w:pPr>
      <w:r w:rsidRPr="00E3482E">
        <w:rPr>
          <w:color w:val="000000"/>
        </w:rPr>
        <w:lastRenderedPageBreak/>
        <w:t xml:space="preserve">Pneumocystis </w:t>
      </w:r>
      <w:proofErr w:type="spellStart"/>
      <w:r w:rsidRPr="00E3482E">
        <w:rPr>
          <w:color w:val="000000"/>
        </w:rPr>
        <w:t>jiroveci</w:t>
      </w:r>
      <w:proofErr w:type="spellEnd"/>
      <w:r w:rsidRPr="00E3482E">
        <w:rPr>
          <w:color w:val="000000"/>
        </w:rPr>
        <w:t xml:space="preserve"> pneumonia (PJP) prophylaxis is recommended for patients with GPA and MPA during and following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treatment, as appropriate.</w:t>
      </w:r>
    </w:p>
    <w:p w:rsidR="00C31697" w:rsidRPr="00E3482E" w:rsidRDefault="00C31697" w:rsidP="00F5092E">
      <w:pPr>
        <w:pStyle w:val="HeadingUnderlined"/>
      </w:pPr>
      <w:r w:rsidRPr="00E3482E">
        <w:t>Special Populations</w:t>
      </w:r>
    </w:p>
    <w:p w:rsidR="0083073A" w:rsidRPr="00E3482E" w:rsidRDefault="00C31697" w:rsidP="00B4370D">
      <w:pPr>
        <w:spacing w:before="120"/>
        <w:jc w:val="both"/>
        <w:rPr>
          <w:color w:val="000000"/>
        </w:rPr>
      </w:pPr>
      <w:r w:rsidRPr="00E3482E">
        <w:rPr>
          <w:b/>
          <w:color w:val="000000"/>
        </w:rPr>
        <w:t>Elderly</w:t>
      </w:r>
      <w:r w:rsidRPr="00E3482E">
        <w:rPr>
          <w:color w:val="000000"/>
        </w:rPr>
        <w:t>: No dose adjustment is required in elderly patients (aged &gt; 65 years).</w:t>
      </w:r>
      <w:r w:rsidR="00B4370D" w:rsidRPr="00E3482E">
        <w:rPr>
          <w:color w:val="000000"/>
        </w:rPr>
        <w:t xml:space="preserve"> </w:t>
      </w:r>
    </w:p>
    <w:p w:rsidR="00C31697" w:rsidRPr="00E3482E" w:rsidRDefault="00C31697" w:rsidP="00F5092E">
      <w:pPr>
        <w:pStyle w:val="HeadingUnderlined"/>
      </w:pPr>
      <w:r w:rsidRPr="00E3482E">
        <w:t>Preparation</w:t>
      </w:r>
    </w:p>
    <w:p w:rsidR="00C31697" w:rsidRPr="00E3482E" w:rsidRDefault="009E0201" w:rsidP="00053C20">
      <w:pPr>
        <w:jc w:val="both"/>
        <w:rPr>
          <w:color w:val="000000"/>
        </w:rPr>
      </w:pPr>
      <w:r>
        <w:rPr>
          <w:color w:val="000000"/>
        </w:rPr>
        <w:t>RIXIMYO</w:t>
      </w:r>
      <w:r w:rsidRPr="009E0201">
        <w:rPr>
          <w:color w:val="000000"/>
          <w:vertAlign w:val="superscript"/>
        </w:rPr>
        <w:t>®</w:t>
      </w:r>
      <w:r w:rsidRPr="00E3482E">
        <w:rPr>
          <w:color w:val="000000"/>
        </w:rPr>
        <w:t xml:space="preserve"> </w:t>
      </w:r>
      <w:r w:rsidR="00C31697" w:rsidRPr="00E3482E">
        <w:rPr>
          <w:color w:val="000000"/>
        </w:rPr>
        <w:t xml:space="preserve">vials do not contain an antimicrobial agent or preservative; therefore, care must be taken to ensure the sterility of the vials and prepared solution. Each vial </w:t>
      </w:r>
      <w:r w:rsidR="00A634B5" w:rsidRPr="00E3482E">
        <w:rPr>
          <w:color w:val="000000"/>
        </w:rPr>
        <w:t>is for single use in one patient only.</w:t>
      </w:r>
      <w:r w:rsidR="000610EE" w:rsidRPr="00E3482E">
        <w:rPr>
          <w:color w:val="000000"/>
        </w:rPr>
        <w:t xml:space="preserve"> Discard any residue</w:t>
      </w:r>
      <w:r w:rsidR="00A634B5" w:rsidRPr="00E3482E">
        <w:rPr>
          <w:color w:val="000000"/>
        </w:rPr>
        <w:t>.</w:t>
      </w:r>
    </w:p>
    <w:p w:rsidR="00C31697" w:rsidRPr="00E3482E" w:rsidRDefault="00C31697" w:rsidP="00C31697">
      <w:pPr>
        <w:spacing w:before="120"/>
        <w:jc w:val="both"/>
        <w:rPr>
          <w:color w:val="000000"/>
        </w:rPr>
      </w:pPr>
      <w:r w:rsidRPr="00E3482E">
        <w:rPr>
          <w:color w:val="000000"/>
        </w:rPr>
        <w:t xml:space="preserve">Aseptically withdraw the necessary amount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and dilute to a calculated concentration between 1 mg/mL to 4 mg/mL of rituximab into an infusion bag containing either 0.9% sodium chloride or 5% dextrose in water. To mix the solution, gently invert the bag to avoid foaming. Parenteral drug products should be inspected visually for particulate matter and discolouration prior to administration.</w:t>
      </w:r>
    </w:p>
    <w:p w:rsidR="00C31697" w:rsidRPr="00E3482E" w:rsidRDefault="00C31697" w:rsidP="00C31697">
      <w:pPr>
        <w:spacing w:before="120"/>
        <w:jc w:val="both"/>
        <w:rPr>
          <w:color w:val="000000"/>
        </w:rPr>
      </w:pPr>
      <w:r w:rsidRPr="00E3482E">
        <w:rPr>
          <w:color w:val="000000"/>
        </w:rPr>
        <w:t xml:space="preserve">To reduce microbiological hazard, prepared infusion solutions of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 xml:space="preserve">should be used as soon as practicable after dilution. If necessary, the prepared solutions may be stored in the refrigerator (2°C to 8°C) for up to 24 hours. This timeframe allows for the temporary interruption of the infusion and subsequent recommencement if the patient has an infusion reaction (see </w:t>
      </w:r>
      <w:r w:rsidRPr="00E3482E">
        <w:rPr>
          <w:i/>
          <w:color w:val="000000"/>
        </w:rPr>
        <w:t>Administration</w:t>
      </w:r>
      <w:r w:rsidRPr="00E3482E">
        <w:rPr>
          <w:color w:val="000000"/>
        </w:rPr>
        <w:t xml:space="preserve"> below).</w:t>
      </w:r>
    </w:p>
    <w:p w:rsidR="00C31697" w:rsidRPr="00E3482E" w:rsidRDefault="00C31697" w:rsidP="00C31697">
      <w:pPr>
        <w:spacing w:before="120"/>
        <w:jc w:val="both"/>
        <w:rPr>
          <w:color w:val="000000"/>
        </w:rPr>
      </w:pPr>
      <w:r w:rsidRPr="00E3482E">
        <w:rPr>
          <w:color w:val="000000"/>
        </w:rPr>
        <w:t xml:space="preserve">No incompatibilities between </w:t>
      </w:r>
      <w:r w:rsidR="009E0201">
        <w:rPr>
          <w:color w:val="000000"/>
        </w:rPr>
        <w:t>RIXIMYO</w:t>
      </w:r>
      <w:r w:rsidR="009E0201" w:rsidRPr="009E0201">
        <w:rPr>
          <w:color w:val="000000"/>
          <w:vertAlign w:val="superscript"/>
        </w:rPr>
        <w:t>®</w:t>
      </w:r>
      <w:r w:rsidR="009E0201" w:rsidRPr="00E3482E">
        <w:rPr>
          <w:color w:val="000000"/>
        </w:rPr>
        <w:t xml:space="preserve"> </w:t>
      </w:r>
      <w:r w:rsidR="00535471" w:rsidRPr="00E3482E">
        <w:rPr>
          <w:color w:val="000000"/>
        </w:rPr>
        <w:t>solution for infusion</w:t>
      </w:r>
      <w:r w:rsidRPr="00E3482E">
        <w:rPr>
          <w:color w:val="000000"/>
        </w:rPr>
        <w:t xml:space="preserve"> and polyvinyl chloride,</w:t>
      </w:r>
      <w:r w:rsidRPr="00E3482E">
        <w:rPr>
          <w:color w:val="000000"/>
          <w:u w:val="single"/>
        </w:rPr>
        <w:t xml:space="preserve"> </w:t>
      </w:r>
      <w:r w:rsidRPr="00E3482E">
        <w:rPr>
          <w:color w:val="000000"/>
        </w:rPr>
        <w:t xml:space="preserve">polypropylene or polyethylene bags </w:t>
      </w:r>
      <w:r w:rsidR="00535471" w:rsidRPr="00E3482E">
        <w:rPr>
          <w:color w:val="000000"/>
        </w:rPr>
        <w:t>or</w:t>
      </w:r>
      <w:r w:rsidR="00010681" w:rsidRPr="00E3482E">
        <w:rPr>
          <w:color w:val="000000"/>
        </w:rPr>
        <w:t xml:space="preserve"> glass infusion bottles </w:t>
      </w:r>
      <w:r w:rsidRPr="00E3482E">
        <w:rPr>
          <w:color w:val="000000"/>
        </w:rPr>
        <w:t>have been observed.</w:t>
      </w:r>
    </w:p>
    <w:p w:rsidR="00C31697" w:rsidRPr="00E3482E" w:rsidRDefault="00C31697" w:rsidP="00F5092E">
      <w:pPr>
        <w:pStyle w:val="HeadingUnderlined"/>
      </w:pPr>
      <w:r w:rsidRPr="00E3482E">
        <w:t>Administration</w:t>
      </w:r>
    </w:p>
    <w:p w:rsidR="00C31697" w:rsidRPr="00E3482E" w:rsidRDefault="00C31697" w:rsidP="00C31697">
      <w:pPr>
        <w:spacing w:before="120"/>
        <w:jc w:val="both"/>
        <w:rPr>
          <w:color w:val="000000"/>
        </w:rPr>
      </w:pPr>
      <w:r w:rsidRPr="00E3482E">
        <w:rPr>
          <w:color w:val="000000"/>
        </w:rPr>
        <w:t xml:space="preserve">The </w:t>
      </w:r>
      <w:r w:rsidR="009E0201">
        <w:rPr>
          <w:color w:val="000000"/>
        </w:rPr>
        <w:t>RIXIMYO</w:t>
      </w:r>
      <w:r w:rsidR="009E0201" w:rsidRPr="009E0201">
        <w:rPr>
          <w:color w:val="000000"/>
          <w:vertAlign w:val="superscript"/>
        </w:rPr>
        <w:t>®</w:t>
      </w:r>
      <w:r w:rsidR="009E0201" w:rsidRPr="00E3482E">
        <w:rPr>
          <w:color w:val="000000"/>
        </w:rPr>
        <w:t xml:space="preserve"> </w:t>
      </w:r>
      <w:r w:rsidRPr="00E3482E">
        <w:rPr>
          <w:color w:val="000000"/>
        </w:rPr>
        <w:t>solution for infusion should be administered intravenously through a dedicated line.</w:t>
      </w:r>
    </w:p>
    <w:p w:rsidR="00C31697" w:rsidRPr="00E3482E" w:rsidRDefault="00C31697" w:rsidP="00C31697">
      <w:pPr>
        <w:spacing w:before="120"/>
        <w:jc w:val="both"/>
        <w:rPr>
          <w:color w:val="000000"/>
        </w:rPr>
      </w:pPr>
      <w:r w:rsidRPr="00E3482E">
        <w:rPr>
          <w:color w:val="000000"/>
        </w:rPr>
        <w:t xml:space="preserve">As with all parenteral products, appropriate aseptic technique should be used during the administration of </w:t>
      </w:r>
      <w:r w:rsidR="009E0201">
        <w:rPr>
          <w:color w:val="000000"/>
        </w:rPr>
        <w:t>RIXIMYO</w:t>
      </w:r>
      <w:r w:rsidR="009E0201" w:rsidRPr="009E0201">
        <w:rPr>
          <w:color w:val="000000"/>
          <w:vertAlign w:val="superscript"/>
        </w:rPr>
        <w:t>®</w:t>
      </w:r>
      <w:r w:rsidRPr="00E3482E">
        <w:rPr>
          <w:color w:val="000000"/>
        </w:rPr>
        <w:t xml:space="preserve">. Do not administer as an intravenous push or bolus. Hypersensitivity reactions may occur whenever protein solutions such as </w:t>
      </w:r>
      <w:r w:rsidR="0039097A" w:rsidRPr="00E3482E">
        <w:rPr>
          <w:color w:val="000000"/>
        </w:rPr>
        <w:t>rituximab</w:t>
      </w:r>
      <w:r w:rsidRPr="00E3482E">
        <w:rPr>
          <w:color w:val="000000"/>
        </w:rPr>
        <w:t xml:space="preserve"> are administered (see </w:t>
      </w:r>
      <w:r w:rsidRPr="00E3482E">
        <w:rPr>
          <w:b/>
          <w:color w:val="000000"/>
        </w:rPr>
        <w:t>PRECAUTIONS</w:t>
      </w:r>
      <w:r w:rsidRPr="00E3482E">
        <w:rPr>
          <w:color w:val="000000"/>
        </w:rPr>
        <w:t>).</w:t>
      </w:r>
    </w:p>
    <w:p w:rsidR="00AC742C" w:rsidRPr="00E3482E" w:rsidRDefault="00AC742C" w:rsidP="00AE3304">
      <w:pPr>
        <w:rPr>
          <w:color w:val="000000"/>
          <w:lang w:val="en-GB"/>
        </w:rPr>
      </w:pPr>
    </w:p>
    <w:p w:rsidR="0066180B" w:rsidRPr="00E3482E" w:rsidRDefault="0066180B" w:rsidP="00F11870">
      <w:pPr>
        <w:pStyle w:val="Heading1"/>
      </w:pPr>
      <w:r w:rsidRPr="00E3482E">
        <w:t>OVERDOSAGE</w:t>
      </w:r>
    </w:p>
    <w:p w:rsidR="0039097A" w:rsidRPr="00E3482E" w:rsidRDefault="0039097A" w:rsidP="0039097A">
      <w:pPr>
        <w:spacing w:before="120"/>
        <w:jc w:val="both"/>
        <w:rPr>
          <w:color w:val="000000"/>
          <w:lang w:val="en-GB"/>
        </w:rPr>
      </w:pPr>
      <w:r w:rsidRPr="00E3482E">
        <w:rPr>
          <w:color w:val="000000"/>
          <w:lang w:val="en-GB"/>
        </w:rPr>
        <w:t>Limited experience with doses higher than the approved IV doses of rituximab is available from clinical trials in humans. The highest IV dose tested in humans to date is 5000 mg (2250 mg/m</w:t>
      </w:r>
      <w:r w:rsidRPr="00E3482E">
        <w:rPr>
          <w:color w:val="000000"/>
          <w:vertAlign w:val="superscript"/>
          <w:lang w:val="en-GB"/>
        </w:rPr>
        <w:t>2</w:t>
      </w:r>
      <w:r w:rsidRPr="00E3482E">
        <w:rPr>
          <w:color w:val="000000"/>
          <w:lang w:val="en-GB"/>
        </w:rPr>
        <w:t>). No additional safety signals were identified. Patients who experience overdose should have immediate interruption of their infusion and be closely monitored.</w:t>
      </w:r>
    </w:p>
    <w:p w:rsidR="0039097A" w:rsidRPr="00E3482E" w:rsidRDefault="0039097A" w:rsidP="0039097A">
      <w:pPr>
        <w:spacing w:before="120"/>
        <w:jc w:val="both"/>
        <w:rPr>
          <w:color w:val="000000"/>
          <w:lang w:val="en-GB"/>
        </w:rPr>
      </w:pPr>
      <w:r w:rsidRPr="00E3482E">
        <w:rPr>
          <w:color w:val="000000"/>
          <w:lang w:val="en-GB"/>
        </w:rPr>
        <w:t>In the post-marketing setting, 5 cases of rituximab overdose have been reported. Three cases had no reported adverse event. The two adverse events that were reported were flu-like symptoms, with a dose of 1800 mg and fatal respiratory failure, with a dose of 2000 mg.</w:t>
      </w:r>
    </w:p>
    <w:p w:rsidR="0039097A" w:rsidRPr="00E3482E" w:rsidRDefault="0039097A" w:rsidP="0039097A">
      <w:pPr>
        <w:spacing w:before="120"/>
        <w:jc w:val="both"/>
        <w:rPr>
          <w:color w:val="000000"/>
          <w:lang w:val="en-GB"/>
        </w:rPr>
      </w:pPr>
      <w:r w:rsidRPr="00E3482E">
        <w:rPr>
          <w:color w:val="000000"/>
          <w:lang w:val="en-GB"/>
        </w:rPr>
        <w:lastRenderedPageBreak/>
        <w:t>Consideration should be given to the need for regular monitoring of blood cell count and for increased risk of infections while patients are B cell-depleted.</w:t>
      </w:r>
    </w:p>
    <w:p w:rsidR="008C2D81" w:rsidRPr="00E3482E" w:rsidRDefault="0039097A" w:rsidP="0039097A">
      <w:pPr>
        <w:spacing w:before="120"/>
        <w:jc w:val="both"/>
        <w:rPr>
          <w:color w:val="000000"/>
          <w:lang w:val="en-GB"/>
        </w:rPr>
      </w:pPr>
      <w:r w:rsidRPr="00E3482E">
        <w:rPr>
          <w:color w:val="000000"/>
          <w:lang w:val="en-GB"/>
        </w:rPr>
        <w:t>Treatment of overdose should also consist of general supportive measures.</w:t>
      </w:r>
      <w:r w:rsidR="005778BE" w:rsidRPr="00E3482E">
        <w:rPr>
          <w:color w:val="000000"/>
          <w:lang w:val="en-GB"/>
        </w:rPr>
        <w:t xml:space="preserve"> </w:t>
      </w:r>
    </w:p>
    <w:p w:rsidR="00574323" w:rsidRPr="00E3482E" w:rsidRDefault="00574323" w:rsidP="0039097A">
      <w:pPr>
        <w:spacing w:before="120"/>
        <w:jc w:val="both"/>
        <w:rPr>
          <w:color w:val="000000"/>
        </w:rPr>
      </w:pPr>
      <w:r w:rsidRPr="00E3482E">
        <w:rPr>
          <w:color w:val="000000"/>
        </w:rPr>
        <w:t>Contact the Poisons Information Centre on 13 11 26 for advice on management</w:t>
      </w:r>
      <w:r w:rsidR="005778BE" w:rsidRPr="00E3482E">
        <w:rPr>
          <w:color w:val="000000"/>
        </w:rPr>
        <w:t xml:space="preserve"> of overdose</w:t>
      </w:r>
      <w:r w:rsidRPr="00E3482E">
        <w:rPr>
          <w:color w:val="000000"/>
        </w:rPr>
        <w:t>.</w:t>
      </w:r>
    </w:p>
    <w:p w:rsidR="0066180B" w:rsidRPr="00E3482E" w:rsidRDefault="0066180B" w:rsidP="00313421">
      <w:pPr>
        <w:rPr>
          <w:color w:val="000000"/>
        </w:rPr>
      </w:pPr>
    </w:p>
    <w:p w:rsidR="0066180B" w:rsidRPr="00E3482E" w:rsidRDefault="0066180B" w:rsidP="00F11870">
      <w:pPr>
        <w:pStyle w:val="Heading1"/>
      </w:pPr>
      <w:r w:rsidRPr="00E3482E">
        <w:t xml:space="preserve">PRESENTATION </w:t>
      </w:r>
      <w:smartTag w:uri="urn:schemas-microsoft-com:office:smarttags" w:element="stockticker">
        <w:r w:rsidRPr="00E3482E">
          <w:t>AND</w:t>
        </w:r>
      </w:smartTag>
      <w:r w:rsidRPr="00E3482E">
        <w:t xml:space="preserve"> STORAGE CONDITIONS</w:t>
      </w:r>
    </w:p>
    <w:p w:rsidR="0039097A" w:rsidRPr="00E3482E" w:rsidRDefault="00B632DF" w:rsidP="00C85D3E">
      <w:pPr>
        <w:numPr>
          <w:ilvl w:val="0"/>
          <w:numId w:val="20"/>
        </w:numPr>
        <w:spacing w:before="120"/>
        <w:ind w:left="360"/>
        <w:jc w:val="both"/>
        <w:rPr>
          <w:noProof/>
          <w:color w:val="000000"/>
        </w:rPr>
      </w:pPr>
      <w:r>
        <w:rPr>
          <w:color w:val="000000"/>
        </w:rPr>
        <w:t>RIXIMYO</w:t>
      </w:r>
      <w:r w:rsidRPr="009E0201">
        <w:rPr>
          <w:color w:val="000000"/>
          <w:vertAlign w:val="superscript"/>
        </w:rPr>
        <w:t>®</w:t>
      </w:r>
      <w:r w:rsidRPr="00E3482E">
        <w:rPr>
          <w:color w:val="000000"/>
        </w:rPr>
        <w:t xml:space="preserve"> </w:t>
      </w:r>
      <w:r w:rsidR="00C85D3E" w:rsidRPr="00E3482E">
        <w:rPr>
          <w:noProof/>
          <w:color w:val="000000"/>
        </w:rPr>
        <w:t>100 mg: p</w:t>
      </w:r>
      <w:r w:rsidR="0039097A" w:rsidRPr="00E3482E">
        <w:rPr>
          <w:noProof/>
          <w:color w:val="000000"/>
        </w:rPr>
        <w:t>ack</w:t>
      </w:r>
      <w:r w:rsidR="00F459B9" w:rsidRPr="00E3482E">
        <w:rPr>
          <w:noProof/>
          <w:color w:val="000000"/>
        </w:rPr>
        <w:t>s</w:t>
      </w:r>
      <w:r w:rsidR="0039097A" w:rsidRPr="00E3482E">
        <w:rPr>
          <w:noProof/>
          <w:color w:val="000000"/>
        </w:rPr>
        <w:t xml:space="preserve"> of 2</w:t>
      </w:r>
      <w:r w:rsidR="00F459B9" w:rsidRPr="00E3482E">
        <w:rPr>
          <w:noProof/>
          <w:color w:val="000000"/>
        </w:rPr>
        <w:t xml:space="preserve"> or 3</w:t>
      </w:r>
      <w:r w:rsidR="0039097A" w:rsidRPr="00E3482E">
        <w:rPr>
          <w:noProof/>
          <w:color w:val="000000"/>
        </w:rPr>
        <w:t xml:space="preserve"> single-use vials containing 100 mg</w:t>
      </w:r>
      <w:r w:rsidR="00C85D3E" w:rsidRPr="00E3482E">
        <w:rPr>
          <w:noProof/>
          <w:color w:val="000000"/>
        </w:rPr>
        <w:t xml:space="preserve"> rituximab in </w:t>
      </w:r>
      <w:r w:rsidR="0039097A" w:rsidRPr="00E3482E">
        <w:rPr>
          <w:noProof/>
          <w:color w:val="000000"/>
        </w:rPr>
        <w:t>10 mL concentrated solution for injection.</w:t>
      </w:r>
    </w:p>
    <w:p w:rsidR="0039097A" w:rsidRPr="00E3482E" w:rsidRDefault="00B632DF" w:rsidP="00C85D3E">
      <w:pPr>
        <w:numPr>
          <w:ilvl w:val="0"/>
          <w:numId w:val="20"/>
        </w:numPr>
        <w:spacing w:before="120"/>
        <w:ind w:left="360"/>
        <w:jc w:val="both"/>
        <w:rPr>
          <w:noProof/>
          <w:color w:val="000000"/>
        </w:rPr>
      </w:pPr>
      <w:r>
        <w:rPr>
          <w:color w:val="000000"/>
        </w:rPr>
        <w:t>RIXIMYO</w:t>
      </w:r>
      <w:r w:rsidRPr="009E0201">
        <w:rPr>
          <w:color w:val="000000"/>
          <w:vertAlign w:val="superscript"/>
        </w:rPr>
        <w:t>®</w:t>
      </w:r>
      <w:r w:rsidRPr="00E3482E">
        <w:rPr>
          <w:color w:val="000000"/>
        </w:rPr>
        <w:t xml:space="preserve"> </w:t>
      </w:r>
      <w:r w:rsidR="00C85D3E" w:rsidRPr="00E3482E">
        <w:rPr>
          <w:noProof/>
          <w:color w:val="000000"/>
        </w:rPr>
        <w:t>500 mg: p</w:t>
      </w:r>
      <w:r w:rsidR="0039097A" w:rsidRPr="00E3482E">
        <w:rPr>
          <w:noProof/>
          <w:color w:val="000000"/>
        </w:rPr>
        <w:t>ack</w:t>
      </w:r>
      <w:r w:rsidR="00F459B9" w:rsidRPr="00E3482E">
        <w:rPr>
          <w:noProof/>
          <w:color w:val="000000"/>
        </w:rPr>
        <w:t>s</w:t>
      </w:r>
      <w:r w:rsidR="0039097A" w:rsidRPr="00E3482E">
        <w:rPr>
          <w:noProof/>
          <w:color w:val="000000"/>
        </w:rPr>
        <w:t xml:space="preserve"> of 1</w:t>
      </w:r>
      <w:r w:rsidR="00F459B9" w:rsidRPr="00E3482E">
        <w:rPr>
          <w:noProof/>
          <w:color w:val="000000"/>
        </w:rPr>
        <w:t xml:space="preserve"> or 2</w:t>
      </w:r>
      <w:r w:rsidR="0039097A" w:rsidRPr="00E3482E">
        <w:rPr>
          <w:noProof/>
          <w:color w:val="000000"/>
        </w:rPr>
        <w:t xml:space="preserve"> single-use vial</w:t>
      </w:r>
      <w:r w:rsidR="0076564A" w:rsidRPr="00E3482E">
        <w:rPr>
          <w:noProof/>
          <w:color w:val="000000"/>
        </w:rPr>
        <w:t>s</w:t>
      </w:r>
      <w:r w:rsidR="0039097A" w:rsidRPr="00E3482E">
        <w:rPr>
          <w:noProof/>
          <w:color w:val="000000"/>
        </w:rPr>
        <w:t xml:space="preserve"> containing 500 mg</w:t>
      </w:r>
      <w:r w:rsidR="00C85D3E" w:rsidRPr="00E3482E">
        <w:rPr>
          <w:noProof/>
          <w:color w:val="000000"/>
        </w:rPr>
        <w:t xml:space="preserve"> rituximab in </w:t>
      </w:r>
      <w:r w:rsidR="0039097A" w:rsidRPr="00E3482E">
        <w:rPr>
          <w:noProof/>
          <w:color w:val="000000"/>
        </w:rPr>
        <w:t>50 mL concentrated solution for injection.</w:t>
      </w:r>
    </w:p>
    <w:p w:rsidR="00F459B9" w:rsidRPr="00E3482E" w:rsidRDefault="00F459B9" w:rsidP="00F459B9">
      <w:pPr>
        <w:spacing w:before="120"/>
        <w:jc w:val="both"/>
        <w:rPr>
          <w:noProof/>
          <w:color w:val="000000"/>
        </w:rPr>
      </w:pPr>
      <w:r w:rsidRPr="00E3482E">
        <w:rPr>
          <w:noProof/>
          <w:color w:val="000000"/>
        </w:rPr>
        <w:t>Not all pack sizes may be marketed in Australia.</w:t>
      </w:r>
    </w:p>
    <w:p w:rsidR="00C85D3E" w:rsidRPr="00E3482E" w:rsidRDefault="00C85D3E" w:rsidP="00F5092E">
      <w:pPr>
        <w:pStyle w:val="HeadingUnderlined"/>
      </w:pPr>
      <w:r w:rsidRPr="00E3482E">
        <w:t>Storage</w:t>
      </w:r>
    </w:p>
    <w:p w:rsidR="00C85D3E" w:rsidRPr="00E3482E" w:rsidRDefault="00B632DF" w:rsidP="00C85D3E">
      <w:pPr>
        <w:spacing w:before="120"/>
        <w:jc w:val="both"/>
        <w:rPr>
          <w:noProof/>
          <w:color w:val="000000"/>
        </w:rPr>
      </w:pPr>
      <w:r>
        <w:rPr>
          <w:color w:val="000000"/>
        </w:rPr>
        <w:t>RIXIMYO</w:t>
      </w:r>
      <w:r w:rsidRPr="009E0201">
        <w:rPr>
          <w:color w:val="000000"/>
          <w:vertAlign w:val="superscript"/>
        </w:rPr>
        <w:t>®</w:t>
      </w:r>
      <w:r w:rsidRPr="00E3482E">
        <w:rPr>
          <w:color w:val="000000"/>
        </w:rPr>
        <w:t xml:space="preserve"> </w:t>
      </w:r>
      <w:r w:rsidR="00C85D3E" w:rsidRPr="00E3482E">
        <w:rPr>
          <w:noProof/>
          <w:color w:val="000000"/>
        </w:rPr>
        <w:t xml:space="preserve">vials must be refrigerated between 2°C to 8°C. Do not freeze. </w:t>
      </w:r>
      <w:r>
        <w:rPr>
          <w:color w:val="000000"/>
        </w:rPr>
        <w:t>RIXIMYO</w:t>
      </w:r>
      <w:r w:rsidRPr="009E0201">
        <w:rPr>
          <w:color w:val="000000"/>
          <w:vertAlign w:val="superscript"/>
        </w:rPr>
        <w:t>®</w:t>
      </w:r>
      <w:r w:rsidRPr="00E3482E">
        <w:rPr>
          <w:color w:val="000000"/>
        </w:rPr>
        <w:t xml:space="preserve"> </w:t>
      </w:r>
      <w:r w:rsidR="00C85D3E" w:rsidRPr="00E3482E">
        <w:rPr>
          <w:noProof/>
          <w:color w:val="000000"/>
        </w:rPr>
        <w:t xml:space="preserve">vials must be protected from </w:t>
      </w:r>
      <w:r w:rsidR="00403C16" w:rsidRPr="00E3482E">
        <w:rPr>
          <w:noProof/>
          <w:color w:val="000000"/>
        </w:rPr>
        <w:t>light</w:t>
      </w:r>
      <w:r w:rsidR="00C85D3E" w:rsidRPr="00E3482E">
        <w:rPr>
          <w:noProof/>
          <w:color w:val="000000"/>
        </w:rPr>
        <w:t xml:space="preserve">. Do not use beyond the expiry date printed on the carton and vial label. </w:t>
      </w:r>
      <w:r>
        <w:rPr>
          <w:color w:val="000000"/>
        </w:rPr>
        <w:t>RIXIMYO</w:t>
      </w:r>
      <w:r w:rsidRPr="009E0201">
        <w:rPr>
          <w:color w:val="000000"/>
          <w:vertAlign w:val="superscript"/>
        </w:rPr>
        <w:t>®</w:t>
      </w:r>
      <w:r w:rsidRPr="00E3482E">
        <w:rPr>
          <w:color w:val="000000"/>
        </w:rPr>
        <w:t xml:space="preserve"> </w:t>
      </w:r>
      <w:r w:rsidR="00C85D3E" w:rsidRPr="00E3482E">
        <w:rPr>
          <w:noProof/>
          <w:color w:val="000000"/>
        </w:rPr>
        <w:t>vials should be used once only and any unused portion left in the vials should be discarded.</w:t>
      </w:r>
    </w:p>
    <w:p w:rsidR="00C85D3E" w:rsidRPr="00E3482E" w:rsidRDefault="00C85D3E" w:rsidP="00F5092E">
      <w:pPr>
        <w:pStyle w:val="HeadingUnderlined"/>
      </w:pPr>
      <w:r w:rsidRPr="00E3482E">
        <w:t>Disposal of medicines</w:t>
      </w:r>
    </w:p>
    <w:p w:rsidR="006154FC" w:rsidRPr="00E3482E" w:rsidRDefault="00C85D3E" w:rsidP="00C85D3E">
      <w:pPr>
        <w:spacing w:before="120"/>
        <w:jc w:val="both"/>
        <w:rPr>
          <w:color w:val="000000"/>
        </w:rPr>
      </w:pPr>
      <w:r w:rsidRPr="00E3482E">
        <w:rPr>
          <w:noProof/>
          <w:color w:val="000000"/>
        </w:rPr>
        <w:t>The release of medicines into the environment should be minimised. Medicines should not be disposed of via wastewater and disposal through household waste should be avoided. Unused or expired medicine should be returned to a pharmacy for disposal.</w:t>
      </w:r>
      <w:r w:rsidR="00D00CEB" w:rsidRPr="00E3482E">
        <w:rPr>
          <w:noProof/>
          <w:color w:val="000000"/>
        </w:rPr>
        <w:t xml:space="preserve"> </w:t>
      </w:r>
    </w:p>
    <w:p w:rsidR="0066180B" w:rsidRPr="00E3482E" w:rsidRDefault="0066180B" w:rsidP="00FA2217">
      <w:pPr>
        <w:rPr>
          <w:color w:val="000000"/>
        </w:rPr>
      </w:pPr>
    </w:p>
    <w:p w:rsidR="0066180B" w:rsidRPr="00E3482E" w:rsidRDefault="0066180B" w:rsidP="00F11870">
      <w:pPr>
        <w:pStyle w:val="Heading1"/>
      </w:pPr>
      <w:r w:rsidRPr="00E3482E">
        <w:t xml:space="preserve">NAME </w:t>
      </w:r>
      <w:smartTag w:uri="urn:schemas-microsoft-com:office:smarttags" w:element="stockticker">
        <w:r w:rsidRPr="00E3482E">
          <w:t>AND</w:t>
        </w:r>
      </w:smartTag>
      <w:r w:rsidRPr="00E3482E">
        <w:t xml:space="preserve"> ADDRESS OF THE SPONSOR</w:t>
      </w:r>
    </w:p>
    <w:p w:rsidR="0066180B" w:rsidRPr="00E3482E" w:rsidRDefault="0079675D" w:rsidP="00C85D3E">
      <w:pPr>
        <w:spacing w:before="120"/>
        <w:rPr>
          <w:color w:val="000000"/>
        </w:rPr>
      </w:pPr>
      <w:r w:rsidRPr="00E3482E">
        <w:rPr>
          <w:color w:val="000000"/>
        </w:rPr>
        <w:t>Sandoz</w:t>
      </w:r>
      <w:r w:rsidR="0066180B" w:rsidRPr="00E3482E">
        <w:rPr>
          <w:color w:val="000000"/>
        </w:rPr>
        <w:t xml:space="preserve"> Pty L</w:t>
      </w:r>
      <w:r w:rsidRPr="00E3482E">
        <w:rPr>
          <w:color w:val="000000"/>
        </w:rPr>
        <w:t>td</w:t>
      </w:r>
    </w:p>
    <w:p w:rsidR="0066180B" w:rsidRPr="00E3482E" w:rsidRDefault="0066180B" w:rsidP="00E10F05">
      <w:pPr>
        <w:rPr>
          <w:color w:val="000000"/>
        </w:rPr>
      </w:pPr>
      <w:smartTag w:uri="urn:schemas-microsoft-com:office:smarttags" w:element="stockticker">
        <w:r w:rsidRPr="00E3482E">
          <w:rPr>
            <w:color w:val="000000"/>
          </w:rPr>
          <w:t>ABN</w:t>
        </w:r>
      </w:smartTag>
      <w:r w:rsidRPr="00E3482E">
        <w:rPr>
          <w:color w:val="000000"/>
        </w:rPr>
        <w:t xml:space="preserve"> </w:t>
      </w:r>
      <w:r w:rsidR="005C4EF3" w:rsidRPr="00E3482E">
        <w:rPr>
          <w:color w:val="000000"/>
        </w:rPr>
        <w:t>60 075 449 553</w:t>
      </w:r>
    </w:p>
    <w:p w:rsidR="0066180B" w:rsidRPr="00E3482E" w:rsidRDefault="0066180B" w:rsidP="001F52E7">
      <w:pPr>
        <w:rPr>
          <w:color w:val="000000"/>
        </w:rPr>
      </w:pPr>
      <w:r w:rsidRPr="00E3482E">
        <w:rPr>
          <w:color w:val="000000"/>
        </w:rPr>
        <w:t>54 Waterloo Road</w:t>
      </w:r>
    </w:p>
    <w:p w:rsidR="0066180B" w:rsidRPr="00E3482E" w:rsidRDefault="005C4EF3" w:rsidP="008C0038">
      <w:pPr>
        <w:rPr>
          <w:color w:val="000000"/>
        </w:rPr>
      </w:pPr>
      <w:r w:rsidRPr="00E3482E">
        <w:rPr>
          <w:color w:val="000000"/>
        </w:rPr>
        <w:t>Macquarie Park</w:t>
      </w:r>
      <w:r w:rsidR="0066180B" w:rsidRPr="00E3482E">
        <w:rPr>
          <w:color w:val="000000"/>
        </w:rPr>
        <w:t xml:space="preserve"> NSW 2113</w:t>
      </w:r>
    </w:p>
    <w:p w:rsidR="005C4EF3" w:rsidRPr="00E3482E" w:rsidRDefault="005C4EF3" w:rsidP="008C0038">
      <w:pPr>
        <w:rPr>
          <w:color w:val="000000"/>
        </w:rPr>
      </w:pPr>
      <w:r w:rsidRPr="00E3482E">
        <w:rPr>
          <w:color w:val="000000"/>
        </w:rPr>
        <w:t>Tel: 1800 634 500</w:t>
      </w:r>
    </w:p>
    <w:p w:rsidR="0066180B" w:rsidRPr="00E3482E" w:rsidRDefault="0066180B" w:rsidP="00863FA2">
      <w:pPr>
        <w:rPr>
          <w:color w:val="000000"/>
        </w:rPr>
      </w:pPr>
    </w:p>
    <w:p w:rsidR="0066180B" w:rsidRPr="00E3482E" w:rsidRDefault="0066180B" w:rsidP="00F11870">
      <w:pPr>
        <w:pStyle w:val="Heading1"/>
      </w:pPr>
      <w:r w:rsidRPr="00E3482E">
        <w:t>POISON SCHEDULE OF THE MEDICINE</w:t>
      </w:r>
    </w:p>
    <w:p w:rsidR="0066180B" w:rsidRPr="00E3482E" w:rsidRDefault="004F5669" w:rsidP="00C85D3E">
      <w:pPr>
        <w:spacing w:before="120"/>
        <w:rPr>
          <w:color w:val="000000"/>
        </w:rPr>
      </w:pPr>
      <w:r w:rsidRPr="00E3482E">
        <w:rPr>
          <w:color w:val="000000"/>
        </w:rPr>
        <w:t>Schedule 4 – Prescription Only Medicine</w:t>
      </w:r>
    </w:p>
    <w:p w:rsidR="00F44550" w:rsidRPr="00E3482E" w:rsidRDefault="00F44550" w:rsidP="00057D00">
      <w:pPr>
        <w:rPr>
          <w:color w:val="000000"/>
        </w:rPr>
      </w:pPr>
    </w:p>
    <w:p w:rsidR="0066180B" w:rsidRPr="00E3482E" w:rsidRDefault="0066180B" w:rsidP="00F11870">
      <w:pPr>
        <w:pStyle w:val="Heading1"/>
      </w:pPr>
      <w:r w:rsidRPr="00E3482E">
        <w:t xml:space="preserve">DATE OF </w:t>
      </w:r>
      <w:r w:rsidR="0008400F" w:rsidRPr="00E3482E">
        <w:t>FIRST INCLUSION IN THE ARTG</w:t>
      </w:r>
    </w:p>
    <w:p w:rsidR="00777D39" w:rsidRPr="00E3482E" w:rsidRDefault="00336B55" w:rsidP="00C85D3E">
      <w:pPr>
        <w:spacing w:before="120"/>
        <w:rPr>
          <w:color w:val="000000"/>
        </w:rPr>
      </w:pPr>
      <w:r>
        <w:rPr>
          <w:color w:val="000000"/>
        </w:rPr>
        <w:t>30 November</w:t>
      </w:r>
      <w:r w:rsidR="00C42FAA">
        <w:rPr>
          <w:color w:val="000000"/>
        </w:rPr>
        <w:t xml:space="preserve"> 2017</w:t>
      </w:r>
    </w:p>
    <w:p w:rsidR="0007142F" w:rsidRPr="00E3482E" w:rsidRDefault="00F04592" w:rsidP="00CE7E02">
      <w:pPr>
        <w:rPr>
          <w:color w:val="000000"/>
        </w:rPr>
      </w:pPr>
      <w:r w:rsidRPr="00E3482E">
        <w:rPr>
          <w:color w:val="000000"/>
        </w:rPr>
        <w:t xml:space="preserve"> </w:t>
      </w:r>
    </w:p>
    <w:p w:rsidR="00A36233" w:rsidRDefault="00A36233" w:rsidP="00A36233">
      <w:pPr>
        <w:pStyle w:val="paragraph"/>
      </w:pPr>
    </w:p>
    <w:p w:rsidR="00A36233" w:rsidRDefault="00A36233" w:rsidP="007E52E0">
      <w:pPr>
        <w:pStyle w:val="paragraph"/>
      </w:pPr>
      <w:proofErr w:type="spellStart"/>
      <w:r>
        <w:lastRenderedPageBreak/>
        <w:t>Riximyo</w:t>
      </w:r>
      <w:proofErr w:type="spellEnd"/>
      <w:r w:rsidRPr="00A36233">
        <w:rPr>
          <w:vertAlign w:val="superscript"/>
        </w:rPr>
        <w:t>®</w:t>
      </w:r>
      <w:r>
        <w:t xml:space="preserve"> is a registered trademark of Novartis AG</w:t>
      </w:r>
    </w:p>
    <w:p w:rsidR="00A36233" w:rsidRPr="00A36233" w:rsidRDefault="00A36233" w:rsidP="00A36233">
      <w:pPr>
        <w:pStyle w:val="paragraph"/>
      </w:pPr>
      <w:proofErr w:type="spellStart"/>
      <w:r w:rsidRPr="00A36233">
        <w:t>Mabthera</w:t>
      </w:r>
      <w:proofErr w:type="spellEnd"/>
      <w:r w:rsidRPr="00A36233">
        <w:rPr>
          <w:vertAlign w:val="superscript"/>
        </w:rPr>
        <w:t>®</w:t>
      </w:r>
      <w:r w:rsidRPr="00A36233">
        <w:t xml:space="preserve"> is a registered trademark of F Hoffmann-La Roche AG</w:t>
      </w:r>
    </w:p>
    <w:p w:rsidR="0008400F" w:rsidRPr="00E3482E" w:rsidRDefault="00535471" w:rsidP="00C85D3E">
      <w:pPr>
        <w:spacing w:before="120"/>
        <w:rPr>
          <w:color w:val="000000"/>
        </w:rPr>
      </w:pPr>
      <w:r w:rsidRPr="00E3482E">
        <w:rPr>
          <w:color w:val="000000"/>
        </w:rPr>
        <w:t xml:space="preserve"> </w:t>
      </w:r>
    </w:p>
    <w:sectPr w:rsidR="0008400F" w:rsidRPr="00E3482E" w:rsidSect="00EC3103">
      <w:headerReference w:type="even" r:id="rId16"/>
      <w:headerReference w:type="default" r:id="rId17"/>
      <w:footerReference w:type="default" r:id="rId18"/>
      <w:type w:val="continuous"/>
      <w:pgSz w:w="11907" w:h="16840" w:code="9"/>
      <w:pgMar w:top="1440" w:right="1134" w:bottom="1134" w:left="1440"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C43" w:rsidRDefault="00551C43" w:rsidP="00AE3304">
      <w:r>
        <w:separator/>
      </w:r>
    </w:p>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endnote>
  <w:endnote w:type="continuationSeparator" w:id="0">
    <w:p w:rsidR="00551C43" w:rsidRDefault="00551C43" w:rsidP="00AE3304">
      <w:r>
        <w:continuationSeparator/>
      </w:r>
    </w:p>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70" w:rsidRPr="007770C6" w:rsidRDefault="00F11870" w:rsidP="0079675D">
    <w:pPr>
      <w:pStyle w:val="Footer"/>
      <w:pBdr>
        <w:top w:val="single" w:sz="4" w:space="1" w:color="auto"/>
      </w:pBdr>
      <w:rPr>
        <w:i/>
        <w:sz w:val="22"/>
        <w:szCs w:val="22"/>
      </w:rPr>
    </w:pPr>
    <w:r w:rsidRPr="007770C6">
      <w:rPr>
        <w:i/>
        <w:sz w:val="22"/>
        <w:szCs w:val="22"/>
      </w:rPr>
      <w:t xml:space="preserve">Sandoz Pty </w:t>
    </w:r>
    <w:proofErr w:type="gramStart"/>
    <w:r w:rsidRPr="007770C6">
      <w:rPr>
        <w:i/>
        <w:sz w:val="22"/>
        <w:szCs w:val="22"/>
      </w:rPr>
      <w:t>Ltd</w:t>
    </w:r>
    <w:r w:rsidR="00336B55">
      <w:rPr>
        <w:i/>
        <w:sz w:val="22"/>
        <w:szCs w:val="22"/>
      </w:rPr>
      <w:t xml:space="preserve">  rix211117i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C43" w:rsidRDefault="00551C43" w:rsidP="00AE3304">
      <w:r>
        <w:separator/>
      </w:r>
    </w:p>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footnote>
  <w:footnote w:type="continuationSeparator" w:id="0">
    <w:p w:rsidR="00551C43" w:rsidRDefault="00551C43" w:rsidP="00AE3304">
      <w:r>
        <w:continuationSeparator/>
      </w:r>
    </w:p>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p w:rsidR="00551C43" w:rsidRDefault="00551C43" w:rsidP="00AE33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p w:rsidR="00F11870" w:rsidRDefault="00F11870" w:rsidP="00AE33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332972" w:rsidRPr="002E7F61" w:rsidTr="00373FE2">
      <w:trPr>
        <w:trHeight w:val="602"/>
      </w:trPr>
      <w:tc>
        <w:tcPr>
          <w:tcW w:w="8720" w:type="dxa"/>
          <w:shd w:val="clear" w:color="auto" w:fill="E4F2E0"/>
        </w:tcPr>
        <w:p w:rsidR="00332972" w:rsidRPr="002E7F61" w:rsidRDefault="00332972" w:rsidP="00373FE2">
          <w:pPr>
            <w:pStyle w:val="Footer"/>
            <w:rPr>
              <w:b/>
              <w:sz w:val="18"/>
              <w:szCs w:val="18"/>
            </w:rPr>
          </w:pPr>
          <w:r w:rsidRPr="002E7F61">
            <w:rPr>
              <w:b/>
              <w:sz w:val="18"/>
              <w:szCs w:val="18"/>
            </w:rPr>
            <w:t xml:space="preserve">Attachment 1: Product information for </w:t>
          </w:r>
          <w:r w:rsidRPr="00CE48C0">
            <w:rPr>
              <w:b/>
              <w:sz w:val="18"/>
              <w:szCs w:val="18"/>
            </w:rPr>
            <w:t xml:space="preserve">AusPAR </w:t>
          </w:r>
          <w:proofErr w:type="spellStart"/>
          <w:r w:rsidRPr="00CE48C0">
            <w:rPr>
              <w:b/>
              <w:sz w:val="18"/>
              <w:szCs w:val="18"/>
            </w:rPr>
            <w:t>Riximyo</w:t>
          </w:r>
          <w:proofErr w:type="spellEnd"/>
          <w:r w:rsidRPr="00CE48C0">
            <w:rPr>
              <w:b/>
              <w:sz w:val="18"/>
              <w:szCs w:val="18"/>
            </w:rPr>
            <w:t xml:space="preserve"> rituximab Sandoz Pty Ltd PM-2016-03153-1-4</w:t>
          </w:r>
          <w:r>
            <w:rPr>
              <w:b/>
              <w:sz w:val="18"/>
              <w:szCs w:val="18"/>
            </w:rPr>
            <w:t xml:space="preserve"> </w:t>
          </w:r>
          <w:r w:rsidRPr="00CE48C0">
            <w:rPr>
              <w:b/>
              <w:sz w:val="18"/>
              <w:szCs w:val="18"/>
            </w:rPr>
            <w:t>Final 23 August 2018</w:t>
          </w:r>
          <w:r w:rsidRPr="002E7F61">
            <w:rPr>
              <w:b/>
              <w:sz w:val="18"/>
              <w:szCs w:val="18"/>
            </w:rPr>
            <w:t>. This Product information was approved at the time this AusPAR was published.</w:t>
          </w:r>
        </w:p>
      </w:tc>
    </w:tr>
  </w:tbl>
  <w:p w:rsidR="00F11870" w:rsidRPr="00141F6A" w:rsidRDefault="00F11870" w:rsidP="007770C6">
    <w:pPr>
      <w:pStyle w:val="Header"/>
      <w:rPr>
        <w:rFonts w:ascii="Times New Roman" w:hAnsi="Times New Roman"/>
        <w:i/>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778"/>
    <w:multiLevelType w:val="hybridMultilevel"/>
    <w:tmpl w:val="BDA61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D42DD3"/>
    <w:multiLevelType w:val="hybridMultilevel"/>
    <w:tmpl w:val="5742E77A"/>
    <w:lvl w:ilvl="0" w:tplc="89C0F37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CA7997"/>
    <w:multiLevelType w:val="hybridMultilevel"/>
    <w:tmpl w:val="5E92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46569E"/>
    <w:multiLevelType w:val="hybridMultilevel"/>
    <w:tmpl w:val="766CA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17E3C"/>
    <w:multiLevelType w:val="hybridMultilevel"/>
    <w:tmpl w:val="3A763382"/>
    <w:lvl w:ilvl="0" w:tplc="89C0F37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9A3686"/>
    <w:multiLevelType w:val="hybridMultilevel"/>
    <w:tmpl w:val="52445496"/>
    <w:lvl w:ilvl="0" w:tplc="7152BED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93FFE"/>
    <w:multiLevelType w:val="hybridMultilevel"/>
    <w:tmpl w:val="6CE2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801EB"/>
    <w:multiLevelType w:val="hybridMultilevel"/>
    <w:tmpl w:val="67407E5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7175E"/>
    <w:multiLevelType w:val="hybridMultilevel"/>
    <w:tmpl w:val="702A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B6EE9"/>
    <w:multiLevelType w:val="hybridMultilevel"/>
    <w:tmpl w:val="6498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677FB"/>
    <w:multiLevelType w:val="hybridMultilevel"/>
    <w:tmpl w:val="4EC42080"/>
    <w:lvl w:ilvl="0" w:tplc="CF3CC0B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15F3E"/>
    <w:multiLevelType w:val="hybridMultilevel"/>
    <w:tmpl w:val="1380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AEF7A13"/>
    <w:multiLevelType w:val="singleLevel"/>
    <w:tmpl w:val="45541546"/>
    <w:lvl w:ilvl="0">
      <w:start w:val="1"/>
      <w:numFmt w:val="bullet"/>
      <w:lvlText w:val=""/>
      <w:lvlJc w:val="left"/>
      <w:pPr>
        <w:tabs>
          <w:tab w:val="num" w:pos="357"/>
        </w:tabs>
        <w:ind w:left="357" w:hanging="357"/>
      </w:pPr>
      <w:rPr>
        <w:rFonts w:ascii="Symbol" w:hAnsi="Symbol" w:hint="default"/>
      </w:rPr>
    </w:lvl>
  </w:abstractNum>
  <w:abstractNum w:abstractNumId="13">
    <w:nsid w:val="4B1479B0"/>
    <w:multiLevelType w:val="hybridMultilevel"/>
    <w:tmpl w:val="31B44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B6B72"/>
    <w:multiLevelType w:val="singleLevel"/>
    <w:tmpl w:val="2A4AD80E"/>
    <w:lvl w:ilvl="0">
      <w:start w:val="1"/>
      <w:numFmt w:val="bullet"/>
      <w:lvlText w:val=""/>
      <w:lvlJc w:val="left"/>
      <w:pPr>
        <w:tabs>
          <w:tab w:val="num" w:pos="357"/>
        </w:tabs>
        <w:ind w:left="357" w:hanging="357"/>
      </w:pPr>
      <w:rPr>
        <w:rFonts w:ascii="Symbol" w:hAnsi="Symbol" w:cs="Courier New" w:hint="default"/>
      </w:rPr>
    </w:lvl>
  </w:abstractNum>
  <w:abstractNum w:abstractNumId="15">
    <w:nsid w:val="53ED6621"/>
    <w:multiLevelType w:val="hybridMultilevel"/>
    <w:tmpl w:val="B148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67F28"/>
    <w:multiLevelType w:val="hybridMultilevel"/>
    <w:tmpl w:val="66BA563E"/>
    <w:lvl w:ilvl="0" w:tplc="CF3CC0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7E697A"/>
    <w:multiLevelType w:val="singleLevel"/>
    <w:tmpl w:val="417ED746"/>
    <w:lvl w:ilvl="0">
      <w:start w:val="1"/>
      <w:numFmt w:val="decimal"/>
      <w:pStyle w:val="steps"/>
      <w:lvlText w:val="%1."/>
      <w:lvlJc w:val="left"/>
      <w:pPr>
        <w:tabs>
          <w:tab w:val="num" w:pos="357"/>
        </w:tabs>
        <w:ind w:left="357" w:hanging="357"/>
      </w:pPr>
      <w:rPr>
        <w:rFonts w:hint="default"/>
      </w:rPr>
    </w:lvl>
  </w:abstractNum>
  <w:abstractNum w:abstractNumId="18">
    <w:nsid w:val="6AAD2A3F"/>
    <w:multiLevelType w:val="singleLevel"/>
    <w:tmpl w:val="8AA07F22"/>
    <w:lvl w:ilvl="0">
      <w:start w:val="1"/>
      <w:numFmt w:val="bullet"/>
      <w:pStyle w:val="dotpoints"/>
      <w:lvlText w:val=""/>
      <w:lvlJc w:val="left"/>
      <w:pPr>
        <w:tabs>
          <w:tab w:val="num" w:pos="357"/>
        </w:tabs>
        <w:ind w:left="357" w:hanging="357"/>
      </w:pPr>
      <w:rPr>
        <w:rFonts w:ascii="Symbol" w:hAnsi="Symbol" w:cs="Courier New" w:hint="default"/>
      </w:rPr>
    </w:lvl>
  </w:abstractNum>
  <w:abstractNum w:abstractNumId="19">
    <w:nsid w:val="6CAE2341"/>
    <w:multiLevelType w:val="hybridMultilevel"/>
    <w:tmpl w:val="64DCDA6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13"/>
  </w:num>
  <w:num w:numId="2">
    <w:abstractNumId w:val="12"/>
  </w:num>
  <w:num w:numId="3">
    <w:abstractNumId w:val="6"/>
  </w:num>
  <w:num w:numId="4">
    <w:abstractNumId w:val="15"/>
  </w:num>
  <w:num w:numId="5">
    <w:abstractNumId w:val="9"/>
  </w:num>
  <w:num w:numId="6">
    <w:abstractNumId w:val="19"/>
  </w:num>
  <w:num w:numId="7">
    <w:abstractNumId w:val="5"/>
  </w:num>
  <w:num w:numId="8">
    <w:abstractNumId w:val="16"/>
  </w:num>
  <w:num w:numId="9">
    <w:abstractNumId w:val="7"/>
  </w:num>
  <w:num w:numId="10">
    <w:abstractNumId w:val="10"/>
  </w:num>
  <w:num w:numId="11">
    <w:abstractNumId w:val="17"/>
  </w:num>
  <w:num w:numId="12">
    <w:abstractNumId w:val="14"/>
  </w:num>
  <w:num w:numId="13">
    <w:abstractNumId w:val="18"/>
  </w:num>
  <w:num w:numId="14">
    <w:abstractNumId w:val="8"/>
  </w:num>
  <w:num w:numId="15">
    <w:abstractNumId w:val="3"/>
  </w:num>
  <w:num w:numId="16">
    <w:abstractNumId w:val="11"/>
  </w:num>
  <w:num w:numId="17">
    <w:abstractNumId w:val="0"/>
  </w:num>
  <w:num w:numId="18">
    <w:abstractNumId w:val="4"/>
  </w:num>
  <w:num w:numId="19">
    <w:abstractNumId w:val="1"/>
  </w:num>
  <w:num w:numId="20">
    <w:abstractNumId w:val="2"/>
  </w:num>
  <w:num w:numId="21">
    <w:abstractNumId w:val="17"/>
    <w:lvlOverride w:ilvl="0">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CF"/>
    <w:rsid w:val="000007AE"/>
    <w:rsid w:val="00000C45"/>
    <w:rsid w:val="00001553"/>
    <w:rsid w:val="0000232E"/>
    <w:rsid w:val="000045A6"/>
    <w:rsid w:val="000045E1"/>
    <w:rsid w:val="0000474D"/>
    <w:rsid w:val="00006A82"/>
    <w:rsid w:val="00007304"/>
    <w:rsid w:val="00010681"/>
    <w:rsid w:val="00011028"/>
    <w:rsid w:val="0001203D"/>
    <w:rsid w:val="000131BD"/>
    <w:rsid w:val="000150A3"/>
    <w:rsid w:val="00015118"/>
    <w:rsid w:val="0001567F"/>
    <w:rsid w:val="00017A37"/>
    <w:rsid w:val="00021757"/>
    <w:rsid w:val="00022876"/>
    <w:rsid w:val="000237C1"/>
    <w:rsid w:val="00023EB2"/>
    <w:rsid w:val="000249C9"/>
    <w:rsid w:val="000256A0"/>
    <w:rsid w:val="00026CEC"/>
    <w:rsid w:val="0002720D"/>
    <w:rsid w:val="00027782"/>
    <w:rsid w:val="00030731"/>
    <w:rsid w:val="00030D4C"/>
    <w:rsid w:val="00032087"/>
    <w:rsid w:val="00032BFF"/>
    <w:rsid w:val="00034542"/>
    <w:rsid w:val="00037DC5"/>
    <w:rsid w:val="0004025B"/>
    <w:rsid w:val="00043D46"/>
    <w:rsid w:val="00044481"/>
    <w:rsid w:val="0004602D"/>
    <w:rsid w:val="00046126"/>
    <w:rsid w:val="000464D5"/>
    <w:rsid w:val="00046A05"/>
    <w:rsid w:val="00047578"/>
    <w:rsid w:val="0005032F"/>
    <w:rsid w:val="0005164D"/>
    <w:rsid w:val="000522A4"/>
    <w:rsid w:val="00053B23"/>
    <w:rsid w:val="00053C20"/>
    <w:rsid w:val="00055B55"/>
    <w:rsid w:val="000573E0"/>
    <w:rsid w:val="00057D00"/>
    <w:rsid w:val="00057EF0"/>
    <w:rsid w:val="0006027F"/>
    <w:rsid w:val="00060D23"/>
    <w:rsid w:val="000610EE"/>
    <w:rsid w:val="00061B10"/>
    <w:rsid w:val="00063908"/>
    <w:rsid w:val="0006393D"/>
    <w:rsid w:val="00065A68"/>
    <w:rsid w:val="000673B7"/>
    <w:rsid w:val="00067FC0"/>
    <w:rsid w:val="0007142F"/>
    <w:rsid w:val="000774C8"/>
    <w:rsid w:val="000801E0"/>
    <w:rsid w:val="000831DC"/>
    <w:rsid w:val="00083D5F"/>
    <w:rsid w:val="0008400F"/>
    <w:rsid w:val="00085093"/>
    <w:rsid w:val="00085866"/>
    <w:rsid w:val="00085945"/>
    <w:rsid w:val="00085B03"/>
    <w:rsid w:val="000875D1"/>
    <w:rsid w:val="00090724"/>
    <w:rsid w:val="0009100B"/>
    <w:rsid w:val="00094B27"/>
    <w:rsid w:val="00096ED8"/>
    <w:rsid w:val="000A0E9E"/>
    <w:rsid w:val="000A0F84"/>
    <w:rsid w:val="000A114D"/>
    <w:rsid w:val="000A2475"/>
    <w:rsid w:val="000A3631"/>
    <w:rsid w:val="000A56C3"/>
    <w:rsid w:val="000B420F"/>
    <w:rsid w:val="000B45A9"/>
    <w:rsid w:val="000B5C1C"/>
    <w:rsid w:val="000B6238"/>
    <w:rsid w:val="000B764E"/>
    <w:rsid w:val="000B7D47"/>
    <w:rsid w:val="000B7DFB"/>
    <w:rsid w:val="000C07CC"/>
    <w:rsid w:val="000C0A52"/>
    <w:rsid w:val="000C0DD4"/>
    <w:rsid w:val="000C632C"/>
    <w:rsid w:val="000C6CCE"/>
    <w:rsid w:val="000C76BC"/>
    <w:rsid w:val="000C7903"/>
    <w:rsid w:val="000C7B48"/>
    <w:rsid w:val="000D0323"/>
    <w:rsid w:val="000D0674"/>
    <w:rsid w:val="000D1AA9"/>
    <w:rsid w:val="000D2A47"/>
    <w:rsid w:val="000D4CA4"/>
    <w:rsid w:val="000D652B"/>
    <w:rsid w:val="000D6A0A"/>
    <w:rsid w:val="000D7F7D"/>
    <w:rsid w:val="000E1DEC"/>
    <w:rsid w:val="000E4701"/>
    <w:rsid w:val="000E524C"/>
    <w:rsid w:val="000E5581"/>
    <w:rsid w:val="000E5D96"/>
    <w:rsid w:val="000E6331"/>
    <w:rsid w:val="000E6806"/>
    <w:rsid w:val="000E777A"/>
    <w:rsid w:val="000F0174"/>
    <w:rsid w:val="000F06EB"/>
    <w:rsid w:val="000F0AF2"/>
    <w:rsid w:val="000F2222"/>
    <w:rsid w:val="000F2FF9"/>
    <w:rsid w:val="000F3A52"/>
    <w:rsid w:val="000F495F"/>
    <w:rsid w:val="000F4F73"/>
    <w:rsid w:val="00100A39"/>
    <w:rsid w:val="00101442"/>
    <w:rsid w:val="0010399D"/>
    <w:rsid w:val="00103ED5"/>
    <w:rsid w:val="00104832"/>
    <w:rsid w:val="0010529E"/>
    <w:rsid w:val="00110546"/>
    <w:rsid w:val="00115172"/>
    <w:rsid w:val="00116AC5"/>
    <w:rsid w:val="00117859"/>
    <w:rsid w:val="00117A70"/>
    <w:rsid w:val="00117CD1"/>
    <w:rsid w:val="0012008F"/>
    <w:rsid w:val="00122379"/>
    <w:rsid w:val="00122863"/>
    <w:rsid w:val="001228CD"/>
    <w:rsid w:val="00124729"/>
    <w:rsid w:val="00124B16"/>
    <w:rsid w:val="00125381"/>
    <w:rsid w:val="001253AC"/>
    <w:rsid w:val="00126B8E"/>
    <w:rsid w:val="0012740C"/>
    <w:rsid w:val="0013236C"/>
    <w:rsid w:val="00133807"/>
    <w:rsid w:val="00135652"/>
    <w:rsid w:val="00135D24"/>
    <w:rsid w:val="00136427"/>
    <w:rsid w:val="00136A06"/>
    <w:rsid w:val="00140DA0"/>
    <w:rsid w:val="00141B40"/>
    <w:rsid w:val="00141F6A"/>
    <w:rsid w:val="00142284"/>
    <w:rsid w:val="0014254A"/>
    <w:rsid w:val="001428C0"/>
    <w:rsid w:val="0014354D"/>
    <w:rsid w:val="001442D4"/>
    <w:rsid w:val="001442F8"/>
    <w:rsid w:val="0014632F"/>
    <w:rsid w:val="001472E8"/>
    <w:rsid w:val="0015066F"/>
    <w:rsid w:val="001541C0"/>
    <w:rsid w:val="0015690D"/>
    <w:rsid w:val="0015780B"/>
    <w:rsid w:val="00160BF5"/>
    <w:rsid w:val="00164682"/>
    <w:rsid w:val="00176B91"/>
    <w:rsid w:val="001805F0"/>
    <w:rsid w:val="00180B9A"/>
    <w:rsid w:val="0018644A"/>
    <w:rsid w:val="00186FA1"/>
    <w:rsid w:val="0019021B"/>
    <w:rsid w:val="0019109F"/>
    <w:rsid w:val="001A14B6"/>
    <w:rsid w:val="001A18B5"/>
    <w:rsid w:val="001A4D1A"/>
    <w:rsid w:val="001A6D54"/>
    <w:rsid w:val="001B0985"/>
    <w:rsid w:val="001B1467"/>
    <w:rsid w:val="001B5CD6"/>
    <w:rsid w:val="001C0DEC"/>
    <w:rsid w:val="001C2488"/>
    <w:rsid w:val="001C2793"/>
    <w:rsid w:val="001C411D"/>
    <w:rsid w:val="001C4330"/>
    <w:rsid w:val="001C4349"/>
    <w:rsid w:val="001C5839"/>
    <w:rsid w:val="001C63D5"/>
    <w:rsid w:val="001C7CA5"/>
    <w:rsid w:val="001C7F3B"/>
    <w:rsid w:val="001D2411"/>
    <w:rsid w:val="001D2CDE"/>
    <w:rsid w:val="001D3867"/>
    <w:rsid w:val="001D640B"/>
    <w:rsid w:val="001D7A5F"/>
    <w:rsid w:val="001E121D"/>
    <w:rsid w:val="001E13A8"/>
    <w:rsid w:val="001E216B"/>
    <w:rsid w:val="001E6998"/>
    <w:rsid w:val="001E70B6"/>
    <w:rsid w:val="001E76A1"/>
    <w:rsid w:val="001E7888"/>
    <w:rsid w:val="001F0397"/>
    <w:rsid w:val="001F11DF"/>
    <w:rsid w:val="001F2B0F"/>
    <w:rsid w:val="001F4A4C"/>
    <w:rsid w:val="001F5252"/>
    <w:rsid w:val="001F52E7"/>
    <w:rsid w:val="001F6D35"/>
    <w:rsid w:val="001F74C6"/>
    <w:rsid w:val="00203BFA"/>
    <w:rsid w:val="00206428"/>
    <w:rsid w:val="0021061C"/>
    <w:rsid w:val="002132A4"/>
    <w:rsid w:val="00214D46"/>
    <w:rsid w:val="00215C8B"/>
    <w:rsid w:val="00216DD8"/>
    <w:rsid w:val="00216DEE"/>
    <w:rsid w:val="00217362"/>
    <w:rsid w:val="00220EAA"/>
    <w:rsid w:val="00224248"/>
    <w:rsid w:val="0022566B"/>
    <w:rsid w:val="00225B5E"/>
    <w:rsid w:val="002344C2"/>
    <w:rsid w:val="00234759"/>
    <w:rsid w:val="00234D2C"/>
    <w:rsid w:val="00234D7C"/>
    <w:rsid w:val="00234D9E"/>
    <w:rsid w:val="00235A19"/>
    <w:rsid w:val="002362A0"/>
    <w:rsid w:val="00236C4C"/>
    <w:rsid w:val="00237A2F"/>
    <w:rsid w:val="002407C2"/>
    <w:rsid w:val="00240A63"/>
    <w:rsid w:val="00243739"/>
    <w:rsid w:val="00243DC8"/>
    <w:rsid w:val="0024550C"/>
    <w:rsid w:val="002459BE"/>
    <w:rsid w:val="00246414"/>
    <w:rsid w:val="00250DEC"/>
    <w:rsid w:val="00252BBD"/>
    <w:rsid w:val="00254302"/>
    <w:rsid w:val="00255942"/>
    <w:rsid w:val="0025631F"/>
    <w:rsid w:val="0025701A"/>
    <w:rsid w:val="002572CF"/>
    <w:rsid w:val="002600F2"/>
    <w:rsid w:val="00263911"/>
    <w:rsid w:val="002641C0"/>
    <w:rsid w:val="00271DE0"/>
    <w:rsid w:val="00272917"/>
    <w:rsid w:val="00272D99"/>
    <w:rsid w:val="00274BAF"/>
    <w:rsid w:val="00277342"/>
    <w:rsid w:val="00277B08"/>
    <w:rsid w:val="00280B2E"/>
    <w:rsid w:val="002817CF"/>
    <w:rsid w:val="00283558"/>
    <w:rsid w:val="00286876"/>
    <w:rsid w:val="0029017F"/>
    <w:rsid w:val="00291A8B"/>
    <w:rsid w:val="0029292A"/>
    <w:rsid w:val="002938DA"/>
    <w:rsid w:val="00295623"/>
    <w:rsid w:val="002956CE"/>
    <w:rsid w:val="002957CF"/>
    <w:rsid w:val="00296722"/>
    <w:rsid w:val="002969B0"/>
    <w:rsid w:val="00297145"/>
    <w:rsid w:val="00297728"/>
    <w:rsid w:val="002A136A"/>
    <w:rsid w:val="002A15CF"/>
    <w:rsid w:val="002A46AF"/>
    <w:rsid w:val="002A48CD"/>
    <w:rsid w:val="002A5674"/>
    <w:rsid w:val="002A5BD3"/>
    <w:rsid w:val="002B1AA4"/>
    <w:rsid w:val="002B710C"/>
    <w:rsid w:val="002B742B"/>
    <w:rsid w:val="002C05D0"/>
    <w:rsid w:val="002C118A"/>
    <w:rsid w:val="002C1A6B"/>
    <w:rsid w:val="002C2536"/>
    <w:rsid w:val="002C55E3"/>
    <w:rsid w:val="002C5727"/>
    <w:rsid w:val="002C7625"/>
    <w:rsid w:val="002D12FE"/>
    <w:rsid w:val="002D14C8"/>
    <w:rsid w:val="002D2088"/>
    <w:rsid w:val="002D3309"/>
    <w:rsid w:val="002D4AA1"/>
    <w:rsid w:val="002D63FF"/>
    <w:rsid w:val="002D77EE"/>
    <w:rsid w:val="002E2408"/>
    <w:rsid w:val="002E27EE"/>
    <w:rsid w:val="002E4B6A"/>
    <w:rsid w:val="002F1A54"/>
    <w:rsid w:val="002F22CA"/>
    <w:rsid w:val="002F24BB"/>
    <w:rsid w:val="002F31F9"/>
    <w:rsid w:val="002F3201"/>
    <w:rsid w:val="002F3A42"/>
    <w:rsid w:val="0030022A"/>
    <w:rsid w:val="00300B58"/>
    <w:rsid w:val="00302556"/>
    <w:rsid w:val="00302596"/>
    <w:rsid w:val="00302DDB"/>
    <w:rsid w:val="00306F35"/>
    <w:rsid w:val="00307F5D"/>
    <w:rsid w:val="00312517"/>
    <w:rsid w:val="0031288A"/>
    <w:rsid w:val="00313421"/>
    <w:rsid w:val="0031364A"/>
    <w:rsid w:val="00322B42"/>
    <w:rsid w:val="003233DC"/>
    <w:rsid w:val="00324C0D"/>
    <w:rsid w:val="003253F9"/>
    <w:rsid w:val="00326ACA"/>
    <w:rsid w:val="00326CD5"/>
    <w:rsid w:val="003270BA"/>
    <w:rsid w:val="00330278"/>
    <w:rsid w:val="003302F6"/>
    <w:rsid w:val="003315E1"/>
    <w:rsid w:val="003316FB"/>
    <w:rsid w:val="00331EB9"/>
    <w:rsid w:val="00332972"/>
    <w:rsid w:val="00333A85"/>
    <w:rsid w:val="00333AB2"/>
    <w:rsid w:val="0033627F"/>
    <w:rsid w:val="00336733"/>
    <w:rsid w:val="00336B55"/>
    <w:rsid w:val="00340249"/>
    <w:rsid w:val="00340357"/>
    <w:rsid w:val="00340B3C"/>
    <w:rsid w:val="00342D70"/>
    <w:rsid w:val="00342FC4"/>
    <w:rsid w:val="0034428D"/>
    <w:rsid w:val="003445B9"/>
    <w:rsid w:val="0034514E"/>
    <w:rsid w:val="0034584B"/>
    <w:rsid w:val="003629C5"/>
    <w:rsid w:val="00362F02"/>
    <w:rsid w:val="003659DF"/>
    <w:rsid w:val="003667E7"/>
    <w:rsid w:val="0036683D"/>
    <w:rsid w:val="00367153"/>
    <w:rsid w:val="00370868"/>
    <w:rsid w:val="00371064"/>
    <w:rsid w:val="0037191E"/>
    <w:rsid w:val="0037358D"/>
    <w:rsid w:val="00373C86"/>
    <w:rsid w:val="00373CA9"/>
    <w:rsid w:val="003847CC"/>
    <w:rsid w:val="00386117"/>
    <w:rsid w:val="00386F8A"/>
    <w:rsid w:val="0039097A"/>
    <w:rsid w:val="003918B0"/>
    <w:rsid w:val="00392F08"/>
    <w:rsid w:val="00396257"/>
    <w:rsid w:val="00397487"/>
    <w:rsid w:val="00397DE2"/>
    <w:rsid w:val="003A085E"/>
    <w:rsid w:val="003A10D9"/>
    <w:rsid w:val="003A6FDE"/>
    <w:rsid w:val="003B21E8"/>
    <w:rsid w:val="003B3470"/>
    <w:rsid w:val="003B34A5"/>
    <w:rsid w:val="003B7E9E"/>
    <w:rsid w:val="003C0CBA"/>
    <w:rsid w:val="003C1581"/>
    <w:rsid w:val="003C177F"/>
    <w:rsid w:val="003C2D98"/>
    <w:rsid w:val="003C5E08"/>
    <w:rsid w:val="003C670F"/>
    <w:rsid w:val="003C706C"/>
    <w:rsid w:val="003D1B98"/>
    <w:rsid w:val="003D2551"/>
    <w:rsid w:val="003E0C17"/>
    <w:rsid w:val="003E156B"/>
    <w:rsid w:val="003E440A"/>
    <w:rsid w:val="003E6C11"/>
    <w:rsid w:val="003F08D0"/>
    <w:rsid w:val="003F0995"/>
    <w:rsid w:val="003F1402"/>
    <w:rsid w:val="003F1748"/>
    <w:rsid w:val="003F17D5"/>
    <w:rsid w:val="003F1CA0"/>
    <w:rsid w:val="003F4506"/>
    <w:rsid w:val="003F4855"/>
    <w:rsid w:val="003F52A1"/>
    <w:rsid w:val="003F5E7A"/>
    <w:rsid w:val="003F76F9"/>
    <w:rsid w:val="00403C16"/>
    <w:rsid w:val="00404000"/>
    <w:rsid w:val="0040492A"/>
    <w:rsid w:val="00405CA0"/>
    <w:rsid w:val="0040638C"/>
    <w:rsid w:val="004067C0"/>
    <w:rsid w:val="00406BB1"/>
    <w:rsid w:val="00407593"/>
    <w:rsid w:val="00410960"/>
    <w:rsid w:val="00414452"/>
    <w:rsid w:val="004173DE"/>
    <w:rsid w:val="00421866"/>
    <w:rsid w:val="00422A1B"/>
    <w:rsid w:val="00422C4E"/>
    <w:rsid w:val="00424509"/>
    <w:rsid w:val="004248E4"/>
    <w:rsid w:val="00426532"/>
    <w:rsid w:val="00427439"/>
    <w:rsid w:val="004278AA"/>
    <w:rsid w:val="00430355"/>
    <w:rsid w:val="0043093F"/>
    <w:rsid w:val="0043273A"/>
    <w:rsid w:val="00434432"/>
    <w:rsid w:val="00435BF9"/>
    <w:rsid w:val="00437A5C"/>
    <w:rsid w:val="00437EAB"/>
    <w:rsid w:val="00440BD6"/>
    <w:rsid w:val="0044373C"/>
    <w:rsid w:val="00445780"/>
    <w:rsid w:val="004457B6"/>
    <w:rsid w:val="0045088C"/>
    <w:rsid w:val="00451DB1"/>
    <w:rsid w:val="00452C44"/>
    <w:rsid w:val="00453BE2"/>
    <w:rsid w:val="00457336"/>
    <w:rsid w:val="00457451"/>
    <w:rsid w:val="00460510"/>
    <w:rsid w:val="0046264C"/>
    <w:rsid w:val="00464DAB"/>
    <w:rsid w:val="00466B3F"/>
    <w:rsid w:val="00466D63"/>
    <w:rsid w:val="00470ECE"/>
    <w:rsid w:val="00471DE8"/>
    <w:rsid w:val="00472B1B"/>
    <w:rsid w:val="00473845"/>
    <w:rsid w:val="00474079"/>
    <w:rsid w:val="00474891"/>
    <w:rsid w:val="004802E9"/>
    <w:rsid w:val="00485EDA"/>
    <w:rsid w:val="00487305"/>
    <w:rsid w:val="00490880"/>
    <w:rsid w:val="00493730"/>
    <w:rsid w:val="00494A70"/>
    <w:rsid w:val="00495F81"/>
    <w:rsid w:val="004A3327"/>
    <w:rsid w:val="004A3643"/>
    <w:rsid w:val="004A3D5E"/>
    <w:rsid w:val="004A3E75"/>
    <w:rsid w:val="004A65D9"/>
    <w:rsid w:val="004B0692"/>
    <w:rsid w:val="004B0B13"/>
    <w:rsid w:val="004B2144"/>
    <w:rsid w:val="004B23AF"/>
    <w:rsid w:val="004B3B9F"/>
    <w:rsid w:val="004B5641"/>
    <w:rsid w:val="004B5DFE"/>
    <w:rsid w:val="004B6224"/>
    <w:rsid w:val="004B6BED"/>
    <w:rsid w:val="004C0B7D"/>
    <w:rsid w:val="004C1B66"/>
    <w:rsid w:val="004C2F20"/>
    <w:rsid w:val="004C46F9"/>
    <w:rsid w:val="004C4CF1"/>
    <w:rsid w:val="004C65BB"/>
    <w:rsid w:val="004C6D12"/>
    <w:rsid w:val="004D244F"/>
    <w:rsid w:val="004D4AC4"/>
    <w:rsid w:val="004D7536"/>
    <w:rsid w:val="004E002C"/>
    <w:rsid w:val="004E09E0"/>
    <w:rsid w:val="004E3E0D"/>
    <w:rsid w:val="004E5E2C"/>
    <w:rsid w:val="004F0390"/>
    <w:rsid w:val="004F1540"/>
    <w:rsid w:val="004F2FE1"/>
    <w:rsid w:val="004F5669"/>
    <w:rsid w:val="004F6763"/>
    <w:rsid w:val="0050066F"/>
    <w:rsid w:val="00500881"/>
    <w:rsid w:val="00500FD0"/>
    <w:rsid w:val="005012AB"/>
    <w:rsid w:val="00501668"/>
    <w:rsid w:val="005035E1"/>
    <w:rsid w:val="00504959"/>
    <w:rsid w:val="00504AF1"/>
    <w:rsid w:val="0050751D"/>
    <w:rsid w:val="00510B96"/>
    <w:rsid w:val="0051210B"/>
    <w:rsid w:val="005142F4"/>
    <w:rsid w:val="00514587"/>
    <w:rsid w:val="005170FC"/>
    <w:rsid w:val="00522A0C"/>
    <w:rsid w:val="00524266"/>
    <w:rsid w:val="00524BAF"/>
    <w:rsid w:val="00530030"/>
    <w:rsid w:val="00531083"/>
    <w:rsid w:val="005311B2"/>
    <w:rsid w:val="00531FC3"/>
    <w:rsid w:val="005321AD"/>
    <w:rsid w:val="00532BAB"/>
    <w:rsid w:val="00535471"/>
    <w:rsid w:val="005359C4"/>
    <w:rsid w:val="00535AC7"/>
    <w:rsid w:val="00535E23"/>
    <w:rsid w:val="0053651B"/>
    <w:rsid w:val="00542B29"/>
    <w:rsid w:val="005433D5"/>
    <w:rsid w:val="00544521"/>
    <w:rsid w:val="00547BFE"/>
    <w:rsid w:val="00550172"/>
    <w:rsid w:val="00550DEA"/>
    <w:rsid w:val="00551605"/>
    <w:rsid w:val="005517F0"/>
    <w:rsid w:val="00551C43"/>
    <w:rsid w:val="005540CB"/>
    <w:rsid w:val="00554128"/>
    <w:rsid w:val="00554221"/>
    <w:rsid w:val="005606E8"/>
    <w:rsid w:val="00562374"/>
    <w:rsid w:val="00565251"/>
    <w:rsid w:val="00565F8E"/>
    <w:rsid w:val="00567F82"/>
    <w:rsid w:val="0057119E"/>
    <w:rsid w:val="005715F0"/>
    <w:rsid w:val="00571772"/>
    <w:rsid w:val="00574323"/>
    <w:rsid w:val="005746B3"/>
    <w:rsid w:val="00575BCD"/>
    <w:rsid w:val="005778BE"/>
    <w:rsid w:val="005828F5"/>
    <w:rsid w:val="0058309D"/>
    <w:rsid w:val="00583DB6"/>
    <w:rsid w:val="005854CD"/>
    <w:rsid w:val="00590D05"/>
    <w:rsid w:val="00591ECA"/>
    <w:rsid w:val="0059201F"/>
    <w:rsid w:val="00592093"/>
    <w:rsid w:val="00596A45"/>
    <w:rsid w:val="00596DA0"/>
    <w:rsid w:val="005A4313"/>
    <w:rsid w:val="005A5366"/>
    <w:rsid w:val="005A6355"/>
    <w:rsid w:val="005A6F62"/>
    <w:rsid w:val="005A73F0"/>
    <w:rsid w:val="005B32E0"/>
    <w:rsid w:val="005B34B2"/>
    <w:rsid w:val="005B39E7"/>
    <w:rsid w:val="005B64BC"/>
    <w:rsid w:val="005B6C1B"/>
    <w:rsid w:val="005B70E8"/>
    <w:rsid w:val="005C1767"/>
    <w:rsid w:val="005C238A"/>
    <w:rsid w:val="005C295B"/>
    <w:rsid w:val="005C4EF3"/>
    <w:rsid w:val="005D1184"/>
    <w:rsid w:val="005D2C7E"/>
    <w:rsid w:val="005D4B9A"/>
    <w:rsid w:val="005D5D2D"/>
    <w:rsid w:val="005D5EAF"/>
    <w:rsid w:val="005D72AB"/>
    <w:rsid w:val="005D76A3"/>
    <w:rsid w:val="005E194F"/>
    <w:rsid w:val="005E2E0A"/>
    <w:rsid w:val="005E593C"/>
    <w:rsid w:val="005E60DF"/>
    <w:rsid w:val="005E7BE5"/>
    <w:rsid w:val="005F01AA"/>
    <w:rsid w:val="005F14AA"/>
    <w:rsid w:val="005F350E"/>
    <w:rsid w:val="005F568F"/>
    <w:rsid w:val="005F680A"/>
    <w:rsid w:val="005F7774"/>
    <w:rsid w:val="0060471A"/>
    <w:rsid w:val="006057B7"/>
    <w:rsid w:val="006072F6"/>
    <w:rsid w:val="006113DD"/>
    <w:rsid w:val="00611E8B"/>
    <w:rsid w:val="0061294A"/>
    <w:rsid w:val="006154FC"/>
    <w:rsid w:val="00615639"/>
    <w:rsid w:val="00616D48"/>
    <w:rsid w:val="00616E86"/>
    <w:rsid w:val="00622AE3"/>
    <w:rsid w:val="00623B72"/>
    <w:rsid w:val="0062442A"/>
    <w:rsid w:val="00631DA4"/>
    <w:rsid w:val="006338A0"/>
    <w:rsid w:val="00635851"/>
    <w:rsid w:val="00636E39"/>
    <w:rsid w:val="00636F79"/>
    <w:rsid w:val="00637A01"/>
    <w:rsid w:val="00640BDE"/>
    <w:rsid w:val="006418E2"/>
    <w:rsid w:val="006419DD"/>
    <w:rsid w:val="00641AB4"/>
    <w:rsid w:val="006441CF"/>
    <w:rsid w:val="00645EE2"/>
    <w:rsid w:val="00646012"/>
    <w:rsid w:val="0064734A"/>
    <w:rsid w:val="00651FE1"/>
    <w:rsid w:val="00654610"/>
    <w:rsid w:val="00654B42"/>
    <w:rsid w:val="0065646C"/>
    <w:rsid w:val="00656C2D"/>
    <w:rsid w:val="00660D76"/>
    <w:rsid w:val="0066180B"/>
    <w:rsid w:val="0066306B"/>
    <w:rsid w:val="00664E12"/>
    <w:rsid w:val="006713CF"/>
    <w:rsid w:val="006732A5"/>
    <w:rsid w:val="006759B4"/>
    <w:rsid w:val="00675BAE"/>
    <w:rsid w:val="00675EAB"/>
    <w:rsid w:val="00682018"/>
    <w:rsid w:val="0068220C"/>
    <w:rsid w:val="00683190"/>
    <w:rsid w:val="00683F68"/>
    <w:rsid w:val="0068411C"/>
    <w:rsid w:val="00684A93"/>
    <w:rsid w:val="00684CFC"/>
    <w:rsid w:val="00687475"/>
    <w:rsid w:val="00687FBA"/>
    <w:rsid w:val="0069098C"/>
    <w:rsid w:val="00693989"/>
    <w:rsid w:val="006971FA"/>
    <w:rsid w:val="006A1968"/>
    <w:rsid w:val="006A5237"/>
    <w:rsid w:val="006A7513"/>
    <w:rsid w:val="006B130E"/>
    <w:rsid w:val="006B1DBF"/>
    <w:rsid w:val="006B432A"/>
    <w:rsid w:val="006B4AAF"/>
    <w:rsid w:val="006B5509"/>
    <w:rsid w:val="006B6A6C"/>
    <w:rsid w:val="006B70E0"/>
    <w:rsid w:val="006C2D1A"/>
    <w:rsid w:val="006C7662"/>
    <w:rsid w:val="006D2A2B"/>
    <w:rsid w:val="006D5C94"/>
    <w:rsid w:val="006D6EC6"/>
    <w:rsid w:val="006E4489"/>
    <w:rsid w:val="006E505C"/>
    <w:rsid w:val="006E6AC9"/>
    <w:rsid w:val="006F1D7A"/>
    <w:rsid w:val="006F239A"/>
    <w:rsid w:val="006F3434"/>
    <w:rsid w:val="006F55CD"/>
    <w:rsid w:val="006F5F0C"/>
    <w:rsid w:val="006F6AC5"/>
    <w:rsid w:val="00700828"/>
    <w:rsid w:val="00702DB5"/>
    <w:rsid w:val="00703749"/>
    <w:rsid w:val="00704540"/>
    <w:rsid w:val="007047F2"/>
    <w:rsid w:val="00704C09"/>
    <w:rsid w:val="00705B9C"/>
    <w:rsid w:val="00706358"/>
    <w:rsid w:val="00711B24"/>
    <w:rsid w:val="007139CD"/>
    <w:rsid w:val="00714EA6"/>
    <w:rsid w:val="00715E86"/>
    <w:rsid w:val="00720A4A"/>
    <w:rsid w:val="00723522"/>
    <w:rsid w:val="007235C2"/>
    <w:rsid w:val="00723877"/>
    <w:rsid w:val="00724608"/>
    <w:rsid w:val="00725A14"/>
    <w:rsid w:val="00725B4C"/>
    <w:rsid w:val="007267C1"/>
    <w:rsid w:val="007305A9"/>
    <w:rsid w:val="007307C8"/>
    <w:rsid w:val="007327D6"/>
    <w:rsid w:val="00733941"/>
    <w:rsid w:val="00735E40"/>
    <w:rsid w:val="00736FEA"/>
    <w:rsid w:val="007371A2"/>
    <w:rsid w:val="0073746C"/>
    <w:rsid w:val="00737BE7"/>
    <w:rsid w:val="00740FE2"/>
    <w:rsid w:val="00741DFA"/>
    <w:rsid w:val="00741E17"/>
    <w:rsid w:val="00743A8A"/>
    <w:rsid w:val="007444EB"/>
    <w:rsid w:val="00744502"/>
    <w:rsid w:val="00744E76"/>
    <w:rsid w:val="007450AB"/>
    <w:rsid w:val="00746DBC"/>
    <w:rsid w:val="00747834"/>
    <w:rsid w:val="00751762"/>
    <w:rsid w:val="00751B3B"/>
    <w:rsid w:val="00752CB2"/>
    <w:rsid w:val="007537C2"/>
    <w:rsid w:val="007553B7"/>
    <w:rsid w:val="007556FF"/>
    <w:rsid w:val="00757A2C"/>
    <w:rsid w:val="00761509"/>
    <w:rsid w:val="00762892"/>
    <w:rsid w:val="00762A9B"/>
    <w:rsid w:val="00764D08"/>
    <w:rsid w:val="0076564A"/>
    <w:rsid w:val="007661FD"/>
    <w:rsid w:val="00766C6A"/>
    <w:rsid w:val="00770E86"/>
    <w:rsid w:val="00771B28"/>
    <w:rsid w:val="00772107"/>
    <w:rsid w:val="00772713"/>
    <w:rsid w:val="007729E1"/>
    <w:rsid w:val="00775537"/>
    <w:rsid w:val="007770C6"/>
    <w:rsid w:val="00777ADC"/>
    <w:rsid w:val="00777D39"/>
    <w:rsid w:val="00780ADB"/>
    <w:rsid w:val="0078107B"/>
    <w:rsid w:val="00781BCB"/>
    <w:rsid w:val="00781E38"/>
    <w:rsid w:val="00783DE2"/>
    <w:rsid w:val="00784E33"/>
    <w:rsid w:val="007869AA"/>
    <w:rsid w:val="00790C72"/>
    <w:rsid w:val="007935BC"/>
    <w:rsid w:val="0079675D"/>
    <w:rsid w:val="007A3846"/>
    <w:rsid w:val="007A5D0D"/>
    <w:rsid w:val="007A65FB"/>
    <w:rsid w:val="007B03D0"/>
    <w:rsid w:val="007B11BE"/>
    <w:rsid w:val="007B1E70"/>
    <w:rsid w:val="007B22B9"/>
    <w:rsid w:val="007B2D7A"/>
    <w:rsid w:val="007B3F8C"/>
    <w:rsid w:val="007B4242"/>
    <w:rsid w:val="007B69EE"/>
    <w:rsid w:val="007C2020"/>
    <w:rsid w:val="007C5403"/>
    <w:rsid w:val="007C57A4"/>
    <w:rsid w:val="007C7AD1"/>
    <w:rsid w:val="007C7B14"/>
    <w:rsid w:val="007C7F40"/>
    <w:rsid w:val="007D0860"/>
    <w:rsid w:val="007D10EF"/>
    <w:rsid w:val="007D144A"/>
    <w:rsid w:val="007D58EF"/>
    <w:rsid w:val="007D7F3B"/>
    <w:rsid w:val="007E0150"/>
    <w:rsid w:val="007E1D30"/>
    <w:rsid w:val="007E27E3"/>
    <w:rsid w:val="007E3755"/>
    <w:rsid w:val="007E52AF"/>
    <w:rsid w:val="007E52E0"/>
    <w:rsid w:val="007E74AB"/>
    <w:rsid w:val="007E7E42"/>
    <w:rsid w:val="007F0FE3"/>
    <w:rsid w:val="007F19C7"/>
    <w:rsid w:val="007F1E55"/>
    <w:rsid w:val="007F2A88"/>
    <w:rsid w:val="007F3446"/>
    <w:rsid w:val="007F52AE"/>
    <w:rsid w:val="007F7EB1"/>
    <w:rsid w:val="00800772"/>
    <w:rsid w:val="0080078B"/>
    <w:rsid w:val="00802E9F"/>
    <w:rsid w:val="008033E8"/>
    <w:rsid w:val="00803B54"/>
    <w:rsid w:val="00803BA4"/>
    <w:rsid w:val="008043C3"/>
    <w:rsid w:val="00804A55"/>
    <w:rsid w:val="00805101"/>
    <w:rsid w:val="008060D0"/>
    <w:rsid w:val="00810DD2"/>
    <w:rsid w:val="0081218C"/>
    <w:rsid w:val="00812959"/>
    <w:rsid w:val="008161DD"/>
    <w:rsid w:val="008163A3"/>
    <w:rsid w:val="00817B94"/>
    <w:rsid w:val="00826AF2"/>
    <w:rsid w:val="00827104"/>
    <w:rsid w:val="0083073A"/>
    <w:rsid w:val="008346C1"/>
    <w:rsid w:val="00834E87"/>
    <w:rsid w:val="00840055"/>
    <w:rsid w:val="00840589"/>
    <w:rsid w:val="008419C0"/>
    <w:rsid w:val="008422A9"/>
    <w:rsid w:val="008427EE"/>
    <w:rsid w:val="00842B21"/>
    <w:rsid w:val="00844096"/>
    <w:rsid w:val="00844AE6"/>
    <w:rsid w:val="00844CAD"/>
    <w:rsid w:val="00844E8A"/>
    <w:rsid w:val="00845AA8"/>
    <w:rsid w:val="00846210"/>
    <w:rsid w:val="008475CA"/>
    <w:rsid w:val="008506C4"/>
    <w:rsid w:val="008625AF"/>
    <w:rsid w:val="00863765"/>
    <w:rsid w:val="0086398C"/>
    <w:rsid w:val="00863FA2"/>
    <w:rsid w:val="00865C75"/>
    <w:rsid w:val="008664C0"/>
    <w:rsid w:val="00866EE7"/>
    <w:rsid w:val="008711AA"/>
    <w:rsid w:val="00872FA2"/>
    <w:rsid w:val="0087324D"/>
    <w:rsid w:val="0087430C"/>
    <w:rsid w:val="00875245"/>
    <w:rsid w:val="008777E2"/>
    <w:rsid w:val="008779A3"/>
    <w:rsid w:val="00877F82"/>
    <w:rsid w:val="00881F45"/>
    <w:rsid w:val="008824F9"/>
    <w:rsid w:val="008842A4"/>
    <w:rsid w:val="008860AF"/>
    <w:rsid w:val="00886A02"/>
    <w:rsid w:val="00892048"/>
    <w:rsid w:val="0089282E"/>
    <w:rsid w:val="0089297B"/>
    <w:rsid w:val="00893764"/>
    <w:rsid w:val="00893E61"/>
    <w:rsid w:val="00895205"/>
    <w:rsid w:val="008966D2"/>
    <w:rsid w:val="008A0E86"/>
    <w:rsid w:val="008A0F5F"/>
    <w:rsid w:val="008A3FFD"/>
    <w:rsid w:val="008A7865"/>
    <w:rsid w:val="008A7E2A"/>
    <w:rsid w:val="008B0ED1"/>
    <w:rsid w:val="008B1162"/>
    <w:rsid w:val="008B2EBF"/>
    <w:rsid w:val="008B6543"/>
    <w:rsid w:val="008B71BE"/>
    <w:rsid w:val="008B7A87"/>
    <w:rsid w:val="008C0038"/>
    <w:rsid w:val="008C0B2E"/>
    <w:rsid w:val="008C1172"/>
    <w:rsid w:val="008C2D72"/>
    <w:rsid w:val="008C2D81"/>
    <w:rsid w:val="008C335A"/>
    <w:rsid w:val="008C5277"/>
    <w:rsid w:val="008C6DE2"/>
    <w:rsid w:val="008C7572"/>
    <w:rsid w:val="008D4446"/>
    <w:rsid w:val="008D4CBB"/>
    <w:rsid w:val="008D504D"/>
    <w:rsid w:val="008D5E3F"/>
    <w:rsid w:val="008D6D56"/>
    <w:rsid w:val="008E0AD6"/>
    <w:rsid w:val="008E1148"/>
    <w:rsid w:val="008E1324"/>
    <w:rsid w:val="008E7CC1"/>
    <w:rsid w:val="008F0F2F"/>
    <w:rsid w:val="008F1A6F"/>
    <w:rsid w:val="008F1F0A"/>
    <w:rsid w:val="008F1FE7"/>
    <w:rsid w:val="008F268B"/>
    <w:rsid w:val="008F2789"/>
    <w:rsid w:val="008F309F"/>
    <w:rsid w:val="008F3B8E"/>
    <w:rsid w:val="008F3EB1"/>
    <w:rsid w:val="008F5279"/>
    <w:rsid w:val="008F6FA3"/>
    <w:rsid w:val="00900768"/>
    <w:rsid w:val="009068CC"/>
    <w:rsid w:val="00906A2B"/>
    <w:rsid w:val="00906F46"/>
    <w:rsid w:val="00907287"/>
    <w:rsid w:val="00907A92"/>
    <w:rsid w:val="00912362"/>
    <w:rsid w:val="009165C6"/>
    <w:rsid w:val="00917420"/>
    <w:rsid w:val="00917B3D"/>
    <w:rsid w:val="0092060A"/>
    <w:rsid w:val="0092164F"/>
    <w:rsid w:val="009216CC"/>
    <w:rsid w:val="00921A45"/>
    <w:rsid w:val="00923452"/>
    <w:rsid w:val="00926148"/>
    <w:rsid w:val="009275E2"/>
    <w:rsid w:val="00932F63"/>
    <w:rsid w:val="00933146"/>
    <w:rsid w:val="00933360"/>
    <w:rsid w:val="00935880"/>
    <w:rsid w:val="00935ABD"/>
    <w:rsid w:val="00936AD6"/>
    <w:rsid w:val="009376D7"/>
    <w:rsid w:val="0094110B"/>
    <w:rsid w:val="00941BB0"/>
    <w:rsid w:val="00941C5A"/>
    <w:rsid w:val="00941F8B"/>
    <w:rsid w:val="00944E59"/>
    <w:rsid w:val="00945A2D"/>
    <w:rsid w:val="00946DF6"/>
    <w:rsid w:val="00950BC7"/>
    <w:rsid w:val="009521C6"/>
    <w:rsid w:val="00954A1D"/>
    <w:rsid w:val="00956052"/>
    <w:rsid w:val="00956B57"/>
    <w:rsid w:val="009573DB"/>
    <w:rsid w:val="00960274"/>
    <w:rsid w:val="00961016"/>
    <w:rsid w:val="0096163C"/>
    <w:rsid w:val="00961651"/>
    <w:rsid w:val="00961E63"/>
    <w:rsid w:val="009632F2"/>
    <w:rsid w:val="00967084"/>
    <w:rsid w:val="00967AA4"/>
    <w:rsid w:val="00967ED5"/>
    <w:rsid w:val="00970AC7"/>
    <w:rsid w:val="00972740"/>
    <w:rsid w:val="009733D7"/>
    <w:rsid w:val="00973778"/>
    <w:rsid w:val="00974AC9"/>
    <w:rsid w:val="00975F83"/>
    <w:rsid w:val="0097773F"/>
    <w:rsid w:val="00982511"/>
    <w:rsid w:val="00982770"/>
    <w:rsid w:val="00983035"/>
    <w:rsid w:val="00986423"/>
    <w:rsid w:val="0098665E"/>
    <w:rsid w:val="00991E36"/>
    <w:rsid w:val="00991E39"/>
    <w:rsid w:val="00993B03"/>
    <w:rsid w:val="00993BA4"/>
    <w:rsid w:val="009944F3"/>
    <w:rsid w:val="009950E0"/>
    <w:rsid w:val="0099690B"/>
    <w:rsid w:val="00996C1A"/>
    <w:rsid w:val="009A046D"/>
    <w:rsid w:val="009A1AE7"/>
    <w:rsid w:val="009A42F2"/>
    <w:rsid w:val="009A4BA1"/>
    <w:rsid w:val="009A4BE6"/>
    <w:rsid w:val="009A53CB"/>
    <w:rsid w:val="009B0FFE"/>
    <w:rsid w:val="009B1509"/>
    <w:rsid w:val="009B25F6"/>
    <w:rsid w:val="009B2E8A"/>
    <w:rsid w:val="009B611E"/>
    <w:rsid w:val="009B705A"/>
    <w:rsid w:val="009C305E"/>
    <w:rsid w:val="009C3318"/>
    <w:rsid w:val="009C448A"/>
    <w:rsid w:val="009D03B6"/>
    <w:rsid w:val="009D1E46"/>
    <w:rsid w:val="009D3F65"/>
    <w:rsid w:val="009D44F1"/>
    <w:rsid w:val="009D643C"/>
    <w:rsid w:val="009D6571"/>
    <w:rsid w:val="009D66EE"/>
    <w:rsid w:val="009D7DAC"/>
    <w:rsid w:val="009E0201"/>
    <w:rsid w:val="009E1273"/>
    <w:rsid w:val="009E12B4"/>
    <w:rsid w:val="009E6AE0"/>
    <w:rsid w:val="009E78F5"/>
    <w:rsid w:val="009F31A8"/>
    <w:rsid w:val="009F55B0"/>
    <w:rsid w:val="009F68C5"/>
    <w:rsid w:val="009F747D"/>
    <w:rsid w:val="009F7F0A"/>
    <w:rsid w:val="00A01860"/>
    <w:rsid w:val="00A033B9"/>
    <w:rsid w:val="00A0486A"/>
    <w:rsid w:val="00A05703"/>
    <w:rsid w:val="00A069D4"/>
    <w:rsid w:val="00A07318"/>
    <w:rsid w:val="00A07E32"/>
    <w:rsid w:val="00A07F3B"/>
    <w:rsid w:val="00A14D09"/>
    <w:rsid w:val="00A17142"/>
    <w:rsid w:val="00A176AD"/>
    <w:rsid w:val="00A200C6"/>
    <w:rsid w:val="00A31B9B"/>
    <w:rsid w:val="00A322BE"/>
    <w:rsid w:val="00A333B4"/>
    <w:rsid w:val="00A34B62"/>
    <w:rsid w:val="00A36233"/>
    <w:rsid w:val="00A43E9B"/>
    <w:rsid w:val="00A44CC5"/>
    <w:rsid w:val="00A4532F"/>
    <w:rsid w:val="00A475BF"/>
    <w:rsid w:val="00A50614"/>
    <w:rsid w:val="00A5164B"/>
    <w:rsid w:val="00A52A2C"/>
    <w:rsid w:val="00A52CAC"/>
    <w:rsid w:val="00A541B3"/>
    <w:rsid w:val="00A55491"/>
    <w:rsid w:val="00A60242"/>
    <w:rsid w:val="00A60C25"/>
    <w:rsid w:val="00A61CB5"/>
    <w:rsid w:val="00A62844"/>
    <w:rsid w:val="00A634B5"/>
    <w:rsid w:val="00A63B19"/>
    <w:rsid w:val="00A64372"/>
    <w:rsid w:val="00A67972"/>
    <w:rsid w:val="00A67E04"/>
    <w:rsid w:val="00A71258"/>
    <w:rsid w:val="00A72173"/>
    <w:rsid w:val="00A76A72"/>
    <w:rsid w:val="00A77C40"/>
    <w:rsid w:val="00A77CC4"/>
    <w:rsid w:val="00A80540"/>
    <w:rsid w:val="00A81007"/>
    <w:rsid w:val="00A812E6"/>
    <w:rsid w:val="00A817F9"/>
    <w:rsid w:val="00A82568"/>
    <w:rsid w:val="00A82C57"/>
    <w:rsid w:val="00A838D3"/>
    <w:rsid w:val="00A8560C"/>
    <w:rsid w:val="00A85CDE"/>
    <w:rsid w:val="00A86EA9"/>
    <w:rsid w:val="00A879C7"/>
    <w:rsid w:val="00A906E1"/>
    <w:rsid w:val="00A95724"/>
    <w:rsid w:val="00AA11BC"/>
    <w:rsid w:val="00AA40A4"/>
    <w:rsid w:val="00AA574E"/>
    <w:rsid w:val="00AA7FD0"/>
    <w:rsid w:val="00AA7FE7"/>
    <w:rsid w:val="00AB09EF"/>
    <w:rsid w:val="00AB2787"/>
    <w:rsid w:val="00AB3D16"/>
    <w:rsid w:val="00AB4725"/>
    <w:rsid w:val="00AB5FA3"/>
    <w:rsid w:val="00AB6E48"/>
    <w:rsid w:val="00AC0F7A"/>
    <w:rsid w:val="00AC2935"/>
    <w:rsid w:val="00AC341B"/>
    <w:rsid w:val="00AC41AD"/>
    <w:rsid w:val="00AC45D8"/>
    <w:rsid w:val="00AC4BBA"/>
    <w:rsid w:val="00AC742C"/>
    <w:rsid w:val="00AD21DA"/>
    <w:rsid w:val="00AD7B94"/>
    <w:rsid w:val="00AE1166"/>
    <w:rsid w:val="00AE2AC6"/>
    <w:rsid w:val="00AE3304"/>
    <w:rsid w:val="00AE34F2"/>
    <w:rsid w:val="00AE4799"/>
    <w:rsid w:val="00AE5497"/>
    <w:rsid w:val="00AE7B57"/>
    <w:rsid w:val="00AF13A1"/>
    <w:rsid w:val="00AF22E6"/>
    <w:rsid w:val="00AF4FA2"/>
    <w:rsid w:val="00AF7B3F"/>
    <w:rsid w:val="00B01E14"/>
    <w:rsid w:val="00B0259E"/>
    <w:rsid w:val="00B05D64"/>
    <w:rsid w:val="00B06B11"/>
    <w:rsid w:val="00B0749B"/>
    <w:rsid w:val="00B0786B"/>
    <w:rsid w:val="00B07C65"/>
    <w:rsid w:val="00B12DF2"/>
    <w:rsid w:val="00B13079"/>
    <w:rsid w:val="00B152BB"/>
    <w:rsid w:val="00B161DD"/>
    <w:rsid w:val="00B21687"/>
    <w:rsid w:val="00B21B52"/>
    <w:rsid w:val="00B21DAD"/>
    <w:rsid w:val="00B2237E"/>
    <w:rsid w:val="00B23B14"/>
    <w:rsid w:val="00B23BE1"/>
    <w:rsid w:val="00B24EDB"/>
    <w:rsid w:val="00B271C8"/>
    <w:rsid w:val="00B322A9"/>
    <w:rsid w:val="00B33121"/>
    <w:rsid w:val="00B35A2F"/>
    <w:rsid w:val="00B4370D"/>
    <w:rsid w:val="00B43C51"/>
    <w:rsid w:val="00B4558A"/>
    <w:rsid w:val="00B46DD7"/>
    <w:rsid w:val="00B53533"/>
    <w:rsid w:val="00B54CA5"/>
    <w:rsid w:val="00B632DF"/>
    <w:rsid w:val="00B65074"/>
    <w:rsid w:val="00B6540E"/>
    <w:rsid w:val="00B65B98"/>
    <w:rsid w:val="00B71491"/>
    <w:rsid w:val="00B72C4D"/>
    <w:rsid w:val="00B73106"/>
    <w:rsid w:val="00B73F65"/>
    <w:rsid w:val="00B74199"/>
    <w:rsid w:val="00B74779"/>
    <w:rsid w:val="00B75390"/>
    <w:rsid w:val="00B76FC8"/>
    <w:rsid w:val="00B77BFD"/>
    <w:rsid w:val="00B82A53"/>
    <w:rsid w:val="00B8321E"/>
    <w:rsid w:val="00B84C77"/>
    <w:rsid w:val="00B85DA0"/>
    <w:rsid w:val="00B90203"/>
    <w:rsid w:val="00B90E25"/>
    <w:rsid w:val="00B9173E"/>
    <w:rsid w:val="00B9342A"/>
    <w:rsid w:val="00B97644"/>
    <w:rsid w:val="00BA1F83"/>
    <w:rsid w:val="00BA39AE"/>
    <w:rsid w:val="00BA4E98"/>
    <w:rsid w:val="00BA56B3"/>
    <w:rsid w:val="00BA5F80"/>
    <w:rsid w:val="00BB0C61"/>
    <w:rsid w:val="00BB1A3A"/>
    <w:rsid w:val="00BB5794"/>
    <w:rsid w:val="00BB67D0"/>
    <w:rsid w:val="00BC1506"/>
    <w:rsid w:val="00BC59AA"/>
    <w:rsid w:val="00BC6697"/>
    <w:rsid w:val="00BD0028"/>
    <w:rsid w:val="00BD0098"/>
    <w:rsid w:val="00BD171C"/>
    <w:rsid w:val="00BD1AA7"/>
    <w:rsid w:val="00BD1B08"/>
    <w:rsid w:val="00BD4577"/>
    <w:rsid w:val="00BD4D0A"/>
    <w:rsid w:val="00BD4D3B"/>
    <w:rsid w:val="00BD524B"/>
    <w:rsid w:val="00BD63E5"/>
    <w:rsid w:val="00BD71CD"/>
    <w:rsid w:val="00BE015A"/>
    <w:rsid w:val="00BE30C5"/>
    <w:rsid w:val="00BE5199"/>
    <w:rsid w:val="00BE71A5"/>
    <w:rsid w:val="00BF1193"/>
    <w:rsid w:val="00BF27CC"/>
    <w:rsid w:val="00BF3ABE"/>
    <w:rsid w:val="00BF75E7"/>
    <w:rsid w:val="00C05418"/>
    <w:rsid w:val="00C0651E"/>
    <w:rsid w:val="00C06DD6"/>
    <w:rsid w:val="00C070D4"/>
    <w:rsid w:val="00C076F3"/>
    <w:rsid w:val="00C0798A"/>
    <w:rsid w:val="00C11098"/>
    <w:rsid w:val="00C13F2D"/>
    <w:rsid w:val="00C150C4"/>
    <w:rsid w:val="00C16785"/>
    <w:rsid w:val="00C24378"/>
    <w:rsid w:val="00C24B7F"/>
    <w:rsid w:val="00C275BA"/>
    <w:rsid w:val="00C31697"/>
    <w:rsid w:val="00C31DF4"/>
    <w:rsid w:val="00C329A1"/>
    <w:rsid w:val="00C40D48"/>
    <w:rsid w:val="00C412C0"/>
    <w:rsid w:val="00C42FAA"/>
    <w:rsid w:val="00C43218"/>
    <w:rsid w:val="00C447E7"/>
    <w:rsid w:val="00C4568A"/>
    <w:rsid w:val="00C47E92"/>
    <w:rsid w:val="00C50C7E"/>
    <w:rsid w:val="00C51C29"/>
    <w:rsid w:val="00C53012"/>
    <w:rsid w:val="00C57076"/>
    <w:rsid w:val="00C61002"/>
    <w:rsid w:val="00C65662"/>
    <w:rsid w:val="00C663E2"/>
    <w:rsid w:val="00C67983"/>
    <w:rsid w:val="00C71567"/>
    <w:rsid w:val="00C7186C"/>
    <w:rsid w:val="00C72FB1"/>
    <w:rsid w:val="00C7408B"/>
    <w:rsid w:val="00C75B09"/>
    <w:rsid w:val="00C80252"/>
    <w:rsid w:val="00C8033E"/>
    <w:rsid w:val="00C821DA"/>
    <w:rsid w:val="00C82242"/>
    <w:rsid w:val="00C83B17"/>
    <w:rsid w:val="00C85D3E"/>
    <w:rsid w:val="00C866A0"/>
    <w:rsid w:val="00C86A3D"/>
    <w:rsid w:val="00C87DFD"/>
    <w:rsid w:val="00C904CC"/>
    <w:rsid w:val="00C90F5B"/>
    <w:rsid w:val="00C915A8"/>
    <w:rsid w:val="00C91E06"/>
    <w:rsid w:val="00C92347"/>
    <w:rsid w:val="00C95ECC"/>
    <w:rsid w:val="00C97955"/>
    <w:rsid w:val="00CA04C3"/>
    <w:rsid w:val="00CA3C35"/>
    <w:rsid w:val="00CA3EBA"/>
    <w:rsid w:val="00CA454F"/>
    <w:rsid w:val="00CA456B"/>
    <w:rsid w:val="00CA51B2"/>
    <w:rsid w:val="00CA710B"/>
    <w:rsid w:val="00CB2CD2"/>
    <w:rsid w:val="00CB30A0"/>
    <w:rsid w:val="00CB3467"/>
    <w:rsid w:val="00CB3B01"/>
    <w:rsid w:val="00CB3DFC"/>
    <w:rsid w:val="00CB4158"/>
    <w:rsid w:val="00CC10E5"/>
    <w:rsid w:val="00CC36A2"/>
    <w:rsid w:val="00CC5E4F"/>
    <w:rsid w:val="00CC602C"/>
    <w:rsid w:val="00CD061F"/>
    <w:rsid w:val="00CD415E"/>
    <w:rsid w:val="00CD5514"/>
    <w:rsid w:val="00CD5C1B"/>
    <w:rsid w:val="00CD610F"/>
    <w:rsid w:val="00CE08FC"/>
    <w:rsid w:val="00CE1A37"/>
    <w:rsid w:val="00CE292C"/>
    <w:rsid w:val="00CE4CAE"/>
    <w:rsid w:val="00CE528B"/>
    <w:rsid w:val="00CE55CF"/>
    <w:rsid w:val="00CE65E9"/>
    <w:rsid w:val="00CE75ED"/>
    <w:rsid w:val="00CE7E02"/>
    <w:rsid w:val="00CF035A"/>
    <w:rsid w:val="00CF2F32"/>
    <w:rsid w:val="00CF37BA"/>
    <w:rsid w:val="00CF477B"/>
    <w:rsid w:val="00CF7092"/>
    <w:rsid w:val="00D00CEB"/>
    <w:rsid w:val="00D0461B"/>
    <w:rsid w:val="00D068AD"/>
    <w:rsid w:val="00D07E3B"/>
    <w:rsid w:val="00D10BAC"/>
    <w:rsid w:val="00D11FF1"/>
    <w:rsid w:val="00D149F7"/>
    <w:rsid w:val="00D1550A"/>
    <w:rsid w:val="00D163A4"/>
    <w:rsid w:val="00D17B51"/>
    <w:rsid w:val="00D21476"/>
    <w:rsid w:val="00D2175E"/>
    <w:rsid w:val="00D2229D"/>
    <w:rsid w:val="00D259CA"/>
    <w:rsid w:val="00D26407"/>
    <w:rsid w:val="00D30183"/>
    <w:rsid w:val="00D33FD5"/>
    <w:rsid w:val="00D34820"/>
    <w:rsid w:val="00D34F28"/>
    <w:rsid w:val="00D3549B"/>
    <w:rsid w:val="00D35DD4"/>
    <w:rsid w:val="00D40A2D"/>
    <w:rsid w:val="00D40D84"/>
    <w:rsid w:val="00D43E83"/>
    <w:rsid w:val="00D44B51"/>
    <w:rsid w:val="00D47286"/>
    <w:rsid w:val="00D4757A"/>
    <w:rsid w:val="00D47FD6"/>
    <w:rsid w:val="00D53717"/>
    <w:rsid w:val="00D537BC"/>
    <w:rsid w:val="00D54F8C"/>
    <w:rsid w:val="00D5518E"/>
    <w:rsid w:val="00D57FBD"/>
    <w:rsid w:val="00D61534"/>
    <w:rsid w:val="00D6167E"/>
    <w:rsid w:val="00D62D6A"/>
    <w:rsid w:val="00D64552"/>
    <w:rsid w:val="00D663D2"/>
    <w:rsid w:val="00D67255"/>
    <w:rsid w:val="00D70F9A"/>
    <w:rsid w:val="00D713B0"/>
    <w:rsid w:val="00D71D14"/>
    <w:rsid w:val="00D7454C"/>
    <w:rsid w:val="00D77067"/>
    <w:rsid w:val="00D77132"/>
    <w:rsid w:val="00D776D8"/>
    <w:rsid w:val="00D80351"/>
    <w:rsid w:val="00D81C34"/>
    <w:rsid w:val="00D82A2D"/>
    <w:rsid w:val="00D83127"/>
    <w:rsid w:val="00D83410"/>
    <w:rsid w:val="00D87756"/>
    <w:rsid w:val="00D91CB6"/>
    <w:rsid w:val="00D93932"/>
    <w:rsid w:val="00D94DC6"/>
    <w:rsid w:val="00D95DC3"/>
    <w:rsid w:val="00D95F6A"/>
    <w:rsid w:val="00D960B6"/>
    <w:rsid w:val="00D96182"/>
    <w:rsid w:val="00D97434"/>
    <w:rsid w:val="00DA09DD"/>
    <w:rsid w:val="00DA0B16"/>
    <w:rsid w:val="00DA1F01"/>
    <w:rsid w:val="00DA1F51"/>
    <w:rsid w:val="00DA2E61"/>
    <w:rsid w:val="00DA3E5E"/>
    <w:rsid w:val="00DA6308"/>
    <w:rsid w:val="00DA6784"/>
    <w:rsid w:val="00DA76B8"/>
    <w:rsid w:val="00DA7A84"/>
    <w:rsid w:val="00DB0597"/>
    <w:rsid w:val="00DB09FF"/>
    <w:rsid w:val="00DB1008"/>
    <w:rsid w:val="00DB1128"/>
    <w:rsid w:val="00DB38C2"/>
    <w:rsid w:val="00DB3DD1"/>
    <w:rsid w:val="00DB75D9"/>
    <w:rsid w:val="00DC1B59"/>
    <w:rsid w:val="00DC27AC"/>
    <w:rsid w:val="00DC2A01"/>
    <w:rsid w:val="00DC3351"/>
    <w:rsid w:val="00DC41C2"/>
    <w:rsid w:val="00DC4F9F"/>
    <w:rsid w:val="00DC7D4F"/>
    <w:rsid w:val="00DD1CA3"/>
    <w:rsid w:val="00DD2569"/>
    <w:rsid w:val="00DD470F"/>
    <w:rsid w:val="00DD6012"/>
    <w:rsid w:val="00DD611C"/>
    <w:rsid w:val="00DD7106"/>
    <w:rsid w:val="00DD7F65"/>
    <w:rsid w:val="00DE016B"/>
    <w:rsid w:val="00DE0987"/>
    <w:rsid w:val="00DE33F7"/>
    <w:rsid w:val="00DE3CBC"/>
    <w:rsid w:val="00DE3F07"/>
    <w:rsid w:val="00DE457C"/>
    <w:rsid w:val="00DE486E"/>
    <w:rsid w:val="00DE7203"/>
    <w:rsid w:val="00DF0632"/>
    <w:rsid w:val="00DF2455"/>
    <w:rsid w:val="00DF3540"/>
    <w:rsid w:val="00DF7838"/>
    <w:rsid w:val="00E01B69"/>
    <w:rsid w:val="00E020DB"/>
    <w:rsid w:val="00E02411"/>
    <w:rsid w:val="00E04ADD"/>
    <w:rsid w:val="00E10D3E"/>
    <w:rsid w:val="00E10F05"/>
    <w:rsid w:val="00E12347"/>
    <w:rsid w:val="00E1388F"/>
    <w:rsid w:val="00E148CF"/>
    <w:rsid w:val="00E15724"/>
    <w:rsid w:val="00E15EB0"/>
    <w:rsid w:val="00E16924"/>
    <w:rsid w:val="00E20087"/>
    <w:rsid w:val="00E21D64"/>
    <w:rsid w:val="00E251E2"/>
    <w:rsid w:val="00E26781"/>
    <w:rsid w:val="00E26B9F"/>
    <w:rsid w:val="00E3150B"/>
    <w:rsid w:val="00E31ABE"/>
    <w:rsid w:val="00E31B4C"/>
    <w:rsid w:val="00E32C26"/>
    <w:rsid w:val="00E3482E"/>
    <w:rsid w:val="00E36896"/>
    <w:rsid w:val="00E40271"/>
    <w:rsid w:val="00E402C3"/>
    <w:rsid w:val="00E40538"/>
    <w:rsid w:val="00E44BA3"/>
    <w:rsid w:val="00E44C8C"/>
    <w:rsid w:val="00E456A5"/>
    <w:rsid w:val="00E459F7"/>
    <w:rsid w:val="00E53432"/>
    <w:rsid w:val="00E54416"/>
    <w:rsid w:val="00E569A4"/>
    <w:rsid w:val="00E6018B"/>
    <w:rsid w:val="00E601AF"/>
    <w:rsid w:val="00E6115D"/>
    <w:rsid w:val="00E6189F"/>
    <w:rsid w:val="00E6365A"/>
    <w:rsid w:val="00E66C4C"/>
    <w:rsid w:val="00E7108C"/>
    <w:rsid w:val="00E714AB"/>
    <w:rsid w:val="00E723D5"/>
    <w:rsid w:val="00E723F3"/>
    <w:rsid w:val="00E72E75"/>
    <w:rsid w:val="00E72EEE"/>
    <w:rsid w:val="00E75CCC"/>
    <w:rsid w:val="00E82A96"/>
    <w:rsid w:val="00E85264"/>
    <w:rsid w:val="00E8629C"/>
    <w:rsid w:val="00E901B5"/>
    <w:rsid w:val="00E9135B"/>
    <w:rsid w:val="00E938AB"/>
    <w:rsid w:val="00E94132"/>
    <w:rsid w:val="00E95043"/>
    <w:rsid w:val="00EA196F"/>
    <w:rsid w:val="00EA6B32"/>
    <w:rsid w:val="00EA725D"/>
    <w:rsid w:val="00EA7542"/>
    <w:rsid w:val="00EB313F"/>
    <w:rsid w:val="00EB455E"/>
    <w:rsid w:val="00EB5996"/>
    <w:rsid w:val="00EB5A5C"/>
    <w:rsid w:val="00EB6A2E"/>
    <w:rsid w:val="00EC1592"/>
    <w:rsid w:val="00EC1A35"/>
    <w:rsid w:val="00EC226F"/>
    <w:rsid w:val="00EC294E"/>
    <w:rsid w:val="00EC3103"/>
    <w:rsid w:val="00EC375E"/>
    <w:rsid w:val="00EC4E96"/>
    <w:rsid w:val="00ED11A4"/>
    <w:rsid w:val="00ED24C2"/>
    <w:rsid w:val="00ED5533"/>
    <w:rsid w:val="00ED5E96"/>
    <w:rsid w:val="00ED72CC"/>
    <w:rsid w:val="00ED7456"/>
    <w:rsid w:val="00EE45E9"/>
    <w:rsid w:val="00EE723E"/>
    <w:rsid w:val="00EE78F2"/>
    <w:rsid w:val="00EF2C52"/>
    <w:rsid w:val="00EF32B4"/>
    <w:rsid w:val="00EF4014"/>
    <w:rsid w:val="00EF40CD"/>
    <w:rsid w:val="00EF45B5"/>
    <w:rsid w:val="00EF59F4"/>
    <w:rsid w:val="00EF7349"/>
    <w:rsid w:val="00EF744D"/>
    <w:rsid w:val="00F02120"/>
    <w:rsid w:val="00F023C3"/>
    <w:rsid w:val="00F04592"/>
    <w:rsid w:val="00F06235"/>
    <w:rsid w:val="00F105E3"/>
    <w:rsid w:val="00F10B4B"/>
    <w:rsid w:val="00F10EEE"/>
    <w:rsid w:val="00F1155B"/>
    <w:rsid w:val="00F11870"/>
    <w:rsid w:val="00F15B76"/>
    <w:rsid w:val="00F17A06"/>
    <w:rsid w:val="00F2435B"/>
    <w:rsid w:val="00F254CF"/>
    <w:rsid w:val="00F255CF"/>
    <w:rsid w:val="00F3248D"/>
    <w:rsid w:val="00F34B7A"/>
    <w:rsid w:val="00F35747"/>
    <w:rsid w:val="00F36EA3"/>
    <w:rsid w:val="00F36FEB"/>
    <w:rsid w:val="00F417D5"/>
    <w:rsid w:val="00F4292F"/>
    <w:rsid w:val="00F436AC"/>
    <w:rsid w:val="00F437E8"/>
    <w:rsid w:val="00F44393"/>
    <w:rsid w:val="00F44550"/>
    <w:rsid w:val="00F459B9"/>
    <w:rsid w:val="00F47225"/>
    <w:rsid w:val="00F47B80"/>
    <w:rsid w:val="00F47D23"/>
    <w:rsid w:val="00F5092E"/>
    <w:rsid w:val="00F5598F"/>
    <w:rsid w:val="00F56162"/>
    <w:rsid w:val="00F56A7F"/>
    <w:rsid w:val="00F56C50"/>
    <w:rsid w:val="00F61E29"/>
    <w:rsid w:val="00F62411"/>
    <w:rsid w:val="00F63D7A"/>
    <w:rsid w:val="00F6497C"/>
    <w:rsid w:val="00F65515"/>
    <w:rsid w:val="00F6596B"/>
    <w:rsid w:val="00F664DF"/>
    <w:rsid w:val="00F66AE7"/>
    <w:rsid w:val="00F67A4F"/>
    <w:rsid w:val="00F73808"/>
    <w:rsid w:val="00F738B3"/>
    <w:rsid w:val="00F74ABA"/>
    <w:rsid w:val="00F74C86"/>
    <w:rsid w:val="00F75F07"/>
    <w:rsid w:val="00F7799D"/>
    <w:rsid w:val="00F82C3D"/>
    <w:rsid w:val="00F83713"/>
    <w:rsid w:val="00F84A90"/>
    <w:rsid w:val="00F87845"/>
    <w:rsid w:val="00F87D27"/>
    <w:rsid w:val="00F90D10"/>
    <w:rsid w:val="00F9566A"/>
    <w:rsid w:val="00F96C45"/>
    <w:rsid w:val="00F97A1F"/>
    <w:rsid w:val="00FA126E"/>
    <w:rsid w:val="00FA2217"/>
    <w:rsid w:val="00FA29E3"/>
    <w:rsid w:val="00FA3ED9"/>
    <w:rsid w:val="00FA47F8"/>
    <w:rsid w:val="00FA4EB1"/>
    <w:rsid w:val="00FA684A"/>
    <w:rsid w:val="00FA73CA"/>
    <w:rsid w:val="00FB2A5E"/>
    <w:rsid w:val="00FB3486"/>
    <w:rsid w:val="00FB6C9D"/>
    <w:rsid w:val="00FC0B30"/>
    <w:rsid w:val="00FC1465"/>
    <w:rsid w:val="00FC1519"/>
    <w:rsid w:val="00FC3226"/>
    <w:rsid w:val="00FC4591"/>
    <w:rsid w:val="00FC6C34"/>
    <w:rsid w:val="00FC6FF5"/>
    <w:rsid w:val="00FD1511"/>
    <w:rsid w:val="00FD3470"/>
    <w:rsid w:val="00FD7EBF"/>
    <w:rsid w:val="00FE003C"/>
    <w:rsid w:val="00FE061A"/>
    <w:rsid w:val="00FE2240"/>
    <w:rsid w:val="00FE2E62"/>
    <w:rsid w:val="00FE3403"/>
    <w:rsid w:val="00FE4CCF"/>
    <w:rsid w:val="00FE649F"/>
    <w:rsid w:val="00FF24C6"/>
    <w:rsid w:val="00FF3332"/>
    <w:rsid w:val="00FF43DD"/>
    <w:rsid w:val="00FF4F73"/>
    <w:rsid w:val="00FF5B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04"/>
    <w:pPr>
      <w:spacing w:line="320" w:lineRule="atLeast"/>
    </w:pPr>
    <w:rPr>
      <w:sz w:val="24"/>
      <w:szCs w:val="24"/>
      <w:lang w:eastAsia="en-US"/>
    </w:rPr>
  </w:style>
  <w:style w:type="paragraph" w:styleId="Heading1">
    <w:name w:val="heading 1"/>
    <w:basedOn w:val="Normal"/>
    <w:next w:val="paragraph"/>
    <w:link w:val="Heading1Char"/>
    <w:autoRedefine/>
    <w:qFormat/>
    <w:rsid w:val="00F11870"/>
    <w:pPr>
      <w:keepNext/>
      <w:keepLines/>
      <w:tabs>
        <w:tab w:val="right" w:pos="9073"/>
      </w:tabs>
      <w:spacing w:before="120" w:after="240"/>
      <w:outlineLvl w:val="0"/>
    </w:pPr>
    <w:rPr>
      <w:rFonts w:ascii="Times New Roman Bold" w:hAnsi="Times New Roman Bold"/>
      <w:b/>
      <w:caps/>
      <w:sz w:val="30"/>
    </w:rPr>
  </w:style>
  <w:style w:type="paragraph" w:styleId="Heading2">
    <w:name w:val="heading 2"/>
    <w:basedOn w:val="Normal"/>
    <w:next w:val="paragraph"/>
    <w:link w:val="Heading2Char"/>
    <w:autoRedefine/>
    <w:qFormat/>
    <w:rsid w:val="00F5092E"/>
    <w:pPr>
      <w:keepNext/>
      <w:keepLines/>
      <w:spacing w:before="200" w:after="120"/>
      <w:outlineLvl w:val="1"/>
    </w:pPr>
    <w:rPr>
      <w:b/>
      <w:noProof/>
    </w:rPr>
  </w:style>
  <w:style w:type="paragraph" w:styleId="Heading3">
    <w:name w:val="heading 3"/>
    <w:basedOn w:val="Heading6"/>
    <w:next w:val="Normal"/>
    <w:link w:val="Heading3Char"/>
    <w:uiPriority w:val="9"/>
    <w:qFormat/>
    <w:rsid w:val="00866EE7"/>
    <w:pPr>
      <w:outlineLvl w:val="2"/>
    </w:pPr>
    <w:rPr>
      <w:i w:val="0"/>
    </w:rPr>
  </w:style>
  <w:style w:type="paragraph" w:styleId="Heading6">
    <w:name w:val="heading 6"/>
    <w:basedOn w:val="Normal"/>
    <w:next w:val="Normal"/>
    <w:link w:val="Heading6Char"/>
    <w:qFormat/>
    <w:rsid w:val="009A42F2"/>
    <w:pPr>
      <w:spacing w:before="200" w:after="12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80B"/>
    <w:pPr>
      <w:tabs>
        <w:tab w:val="center" w:pos="4540"/>
        <w:tab w:val="right" w:pos="9080"/>
      </w:tabs>
    </w:pPr>
    <w:rPr>
      <w:rFonts w:ascii="Arial" w:hAnsi="Arial"/>
      <w:sz w:val="20"/>
    </w:rPr>
  </w:style>
  <w:style w:type="paragraph" w:customStyle="1" w:styleId="paragraph">
    <w:name w:val="paragraph"/>
    <w:basedOn w:val="Normal"/>
    <w:rsid w:val="0066180B"/>
    <w:pPr>
      <w:spacing w:before="120"/>
      <w:jc w:val="both"/>
    </w:pPr>
  </w:style>
  <w:style w:type="paragraph" w:customStyle="1" w:styleId="Text">
    <w:name w:val="Text"/>
    <w:aliases w:val="Graphic,Graphic Char Char,Graphic Char Char Char Char Char,Graphic Char Char Char Char Char Char Char C"/>
    <w:basedOn w:val="Normal"/>
    <w:link w:val="TextChar"/>
    <w:qFormat/>
    <w:rsid w:val="0066180B"/>
    <w:pPr>
      <w:spacing w:before="120"/>
      <w:jc w:val="both"/>
    </w:pPr>
  </w:style>
  <w:style w:type="character" w:customStyle="1" w:styleId="TextChar">
    <w:name w:val="Text Char"/>
    <w:link w:val="Text"/>
    <w:rsid w:val="0066180B"/>
    <w:rPr>
      <w:sz w:val="24"/>
      <w:lang w:val="en-US" w:eastAsia="en-US" w:bidi="ar-SA"/>
    </w:rPr>
  </w:style>
  <w:style w:type="paragraph" w:styleId="Subtitle">
    <w:name w:val="Subtitle"/>
    <w:basedOn w:val="Normal"/>
    <w:link w:val="SubtitleChar"/>
    <w:autoRedefine/>
    <w:qFormat/>
    <w:rsid w:val="007770C6"/>
    <w:pPr>
      <w:jc w:val="center"/>
      <w:outlineLvl w:val="1"/>
    </w:pPr>
    <w:rPr>
      <w:rFonts w:cs="Arial"/>
      <w:b/>
      <w:sz w:val="30"/>
      <w:szCs w:val="30"/>
    </w:rPr>
  </w:style>
  <w:style w:type="paragraph" w:styleId="Title">
    <w:name w:val="Title"/>
    <w:basedOn w:val="Normal"/>
    <w:link w:val="TitleChar"/>
    <w:autoRedefine/>
    <w:qFormat/>
    <w:rsid w:val="005C1767"/>
    <w:pPr>
      <w:jc w:val="center"/>
      <w:outlineLvl w:val="0"/>
    </w:pPr>
    <w:rPr>
      <w:rFonts w:cs="Arial"/>
      <w:b/>
      <w:bCs/>
      <w:kern w:val="28"/>
      <w:sz w:val="34"/>
      <w:szCs w:val="34"/>
    </w:rPr>
  </w:style>
  <w:style w:type="paragraph" w:styleId="BodyText">
    <w:name w:val="Body Text"/>
    <w:basedOn w:val="Normal"/>
    <w:link w:val="BodyTextChar"/>
    <w:rsid w:val="0066180B"/>
    <w:pPr>
      <w:spacing w:after="120"/>
    </w:pPr>
  </w:style>
  <w:style w:type="paragraph" w:customStyle="1" w:styleId="CharCharCharCharCharCharCharCharChar">
    <w:name w:val="Char Char Char Char Char Char Char Char Char"/>
    <w:basedOn w:val="Normal"/>
    <w:rsid w:val="002969B0"/>
    <w:pPr>
      <w:spacing w:after="160" w:line="240" w:lineRule="exact"/>
    </w:pPr>
    <w:rPr>
      <w:rFonts w:ascii="Verdana" w:hAnsi="Verdana" w:cs="Verdana"/>
      <w:sz w:val="20"/>
    </w:rPr>
  </w:style>
  <w:style w:type="paragraph" w:customStyle="1" w:styleId="Listlevel1">
    <w:name w:val="List level 1"/>
    <w:basedOn w:val="Normal"/>
    <w:link w:val="Listlevel1Char"/>
    <w:rsid w:val="002969B0"/>
    <w:pPr>
      <w:spacing w:before="40" w:after="20" w:line="240" w:lineRule="auto"/>
      <w:ind w:left="425" w:hanging="425"/>
    </w:pPr>
    <w:rPr>
      <w:rFonts w:eastAsia="MS Mincho"/>
    </w:rPr>
  </w:style>
  <w:style w:type="character" w:customStyle="1" w:styleId="Listlevel1Char">
    <w:name w:val="List level 1 Char"/>
    <w:link w:val="Listlevel1"/>
    <w:rsid w:val="002969B0"/>
    <w:rPr>
      <w:rFonts w:eastAsia="MS Mincho"/>
      <w:sz w:val="24"/>
      <w:lang w:val="en-US" w:eastAsia="en-US" w:bidi="ar-SA"/>
    </w:rPr>
  </w:style>
  <w:style w:type="paragraph" w:customStyle="1" w:styleId="Nottoc-headings">
    <w:name w:val="Not toc-headings"/>
    <w:basedOn w:val="Normal"/>
    <w:next w:val="Text"/>
    <w:link w:val="Nottoc-headingsChar"/>
    <w:rsid w:val="00E04ADD"/>
    <w:pPr>
      <w:keepNext/>
      <w:keepLines/>
      <w:spacing w:before="240" w:after="60" w:line="240" w:lineRule="auto"/>
      <w:ind w:left="1701" w:hanging="1701"/>
    </w:pPr>
    <w:rPr>
      <w:rFonts w:ascii="Arial" w:eastAsia="MS Mincho" w:hAnsi="Arial"/>
      <w:b/>
    </w:rPr>
  </w:style>
  <w:style w:type="character" w:customStyle="1" w:styleId="Nottoc-headingsChar">
    <w:name w:val="Not toc-headings Char"/>
    <w:link w:val="Nottoc-headings"/>
    <w:rsid w:val="00E04ADD"/>
    <w:rPr>
      <w:rFonts w:ascii="Arial" w:eastAsia="MS Mincho" w:hAnsi="Arial"/>
      <w:b/>
      <w:sz w:val="24"/>
      <w:lang w:val="en-US" w:eastAsia="en-US" w:bidi="ar-SA"/>
    </w:rPr>
  </w:style>
  <w:style w:type="paragraph" w:customStyle="1" w:styleId="Comment">
    <w:name w:val="Comment"/>
    <w:basedOn w:val="Normal"/>
    <w:next w:val="Text"/>
    <w:link w:val="CommentChar"/>
    <w:rsid w:val="00E04ADD"/>
    <w:pPr>
      <w:keepLines/>
      <w:spacing w:before="120" w:line="240" w:lineRule="auto"/>
      <w:jc w:val="both"/>
    </w:pPr>
    <w:rPr>
      <w:rFonts w:eastAsia="MS Mincho"/>
      <w:i/>
      <w:color w:val="BF30B5"/>
    </w:rPr>
  </w:style>
  <w:style w:type="character" w:customStyle="1" w:styleId="CommentChar">
    <w:name w:val="Comment Char"/>
    <w:link w:val="Comment"/>
    <w:rsid w:val="00E04ADD"/>
    <w:rPr>
      <w:rFonts w:eastAsia="MS Mincho"/>
      <w:i/>
      <w:color w:val="BF30B5"/>
      <w:sz w:val="24"/>
      <w:szCs w:val="24"/>
      <w:lang w:val="en-US" w:eastAsia="en-US" w:bidi="ar-SA"/>
    </w:rPr>
  </w:style>
  <w:style w:type="paragraph" w:customStyle="1" w:styleId="Table">
    <w:name w:val="Table"/>
    <w:aliases w:val="10 pt  Bold,9 pt"/>
    <w:basedOn w:val="Nottoc-headings"/>
    <w:link w:val="TableChar"/>
    <w:rsid w:val="00E04ADD"/>
    <w:pPr>
      <w:keepNext w:val="0"/>
      <w:tabs>
        <w:tab w:val="left" w:pos="284"/>
      </w:tabs>
      <w:spacing w:before="40" w:after="20"/>
      <w:ind w:left="0" w:firstLine="0"/>
    </w:pPr>
    <w:rPr>
      <w:b w:val="0"/>
      <w:sz w:val="20"/>
    </w:rPr>
  </w:style>
  <w:style w:type="paragraph" w:styleId="EndnoteText">
    <w:name w:val="endnote text"/>
    <w:basedOn w:val="Normal"/>
    <w:link w:val="EndnoteTextChar"/>
    <w:semiHidden/>
    <w:rsid w:val="006154FC"/>
    <w:pPr>
      <w:tabs>
        <w:tab w:val="left" w:pos="567"/>
      </w:tabs>
      <w:spacing w:line="240" w:lineRule="auto"/>
    </w:pPr>
    <w:rPr>
      <w:sz w:val="22"/>
      <w:lang w:val="en-GB"/>
    </w:rPr>
  </w:style>
  <w:style w:type="paragraph" w:styleId="BalloonText">
    <w:name w:val="Balloon Text"/>
    <w:basedOn w:val="Normal"/>
    <w:link w:val="BalloonTextChar"/>
    <w:semiHidden/>
    <w:rsid w:val="00DA0B16"/>
    <w:rPr>
      <w:rFonts w:ascii="Tahoma" w:hAnsi="Tahoma" w:cs="Tahoma"/>
      <w:sz w:val="16"/>
      <w:szCs w:val="16"/>
    </w:rPr>
  </w:style>
  <w:style w:type="paragraph" w:styleId="FootnoteText">
    <w:name w:val="footnote text"/>
    <w:basedOn w:val="Normal"/>
    <w:link w:val="FootnoteTextChar"/>
    <w:semiHidden/>
    <w:rsid w:val="00B07C65"/>
    <w:rPr>
      <w:sz w:val="20"/>
    </w:rPr>
  </w:style>
  <w:style w:type="character" w:styleId="FootnoteReference">
    <w:name w:val="footnote reference"/>
    <w:semiHidden/>
    <w:rsid w:val="00B07C65"/>
    <w:rPr>
      <w:vertAlign w:val="superscript"/>
    </w:rPr>
  </w:style>
  <w:style w:type="character" w:styleId="CommentReference">
    <w:name w:val="annotation reference"/>
    <w:semiHidden/>
    <w:rsid w:val="00B97644"/>
    <w:rPr>
      <w:sz w:val="16"/>
      <w:szCs w:val="16"/>
    </w:rPr>
  </w:style>
  <w:style w:type="paragraph" w:styleId="CommentText">
    <w:name w:val="annotation text"/>
    <w:basedOn w:val="Normal"/>
    <w:link w:val="CommentTextChar"/>
    <w:uiPriority w:val="99"/>
    <w:semiHidden/>
    <w:rsid w:val="00B97644"/>
    <w:rPr>
      <w:sz w:val="20"/>
    </w:rPr>
  </w:style>
  <w:style w:type="paragraph" w:styleId="CommentSubject">
    <w:name w:val="annotation subject"/>
    <w:basedOn w:val="CommentText"/>
    <w:next w:val="CommentText"/>
    <w:link w:val="CommentSubjectChar"/>
    <w:semiHidden/>
    <w:rsid w:val="00B97644"/>
    <w:rPr>
      <w:b/>
      <w:bCs/>
    </w:rPr>
  </w:style>
  <w:style w:type="character" w:styleId="FollowedHyperlink">
    <w:name w:val="FollowedHyperlink"/>
    <w:rsid w:val="001A4D1A"/>
    <w:rPr>
      <w:color w:val="606420"/>
      <w:u w:val="single"/>
    </w:rPr>
  </w:style>
  <w:style w:type="paragraph" w:customStyle="1" w:styleId="Compound">
    <w:name w:val="Compound"/>
    <w:basedOn w:val="Normal"/>
    <w:rsid w:val="009950E0"/>
    <w:pPr>
      <w:keepNext/>
      <w:spacing w:before="720" w:line="240" w:lineRule="auto"/>
      <w:jc w:val="center"/>
    </w:pPr>
    <w:rPr>
      <w:rFonts w:ascii="Arial" w:eastAsia="MS Gothic" w:hAnsi="Arial"/>
      <w:sz w:val="32"/>
    </w:rPr>
  </w:style>
  <w:style w:type="paragraph" w:styleId="Revision">
    <w:name w:val="Revision"/>
    <w:hidden/>
    <w:uiPriority w:val="99"/>
    <w:semiHidden/>
    <w:rsid w:val="009F747D"/>
    <w:rPr>
      <w:sz w:val="24"/>
      <w:lang w:val="en-US" w:eastAsia="en-US"/>
    </w:rPr>
  </w:style>
  <w:style w:type="paragraph" w:styleId="Footer">
    <w:name w:val="footer"/>
    <w:basedOn w:val="Normal"/>
    <w:link w:val="FooterChar"/>
    <w:unhideWhenUsed/>
    <w:rsid w:val="00AC2935"/>
    <w:pPr>
      <w:tabs>
        <w:tab w:val="center" w:pos="4680"/>
        <w:tab w:val="right" w:pos="9360"/>
      </w:tabs>
    </w:pPr>
  </w:style>
  <w:style w:type="character" w:customStyle="1" w:styleId="FooterChar">
    <w:name w:val="Footer Char"/>
    <w:link w:val="Footer"/>
    <w:rsid w:val="00AC2935"/>
    <w:rPr>
      <w:sz w:val="24"/>
    </w:rPr>
  </w:style>
  <w:style w:type="character" w:customStyle="1" w:styleId="TableChar">
    <w:name w:val="Table Char"/>
    <w:aliases w:val="10 pt  Bold Char,9 pt Char,10 pt Char"/>
    <w:link w:val="Table"/>
    <w:rsid w:val="008A3FFD"/>
    <w:rPr>
      <w:rFonts w:ascii="Arial" w:eastAsia="MS Mincho" w:hAnsi="Arial"/>
    </w:rPr>
  </w:style>
  <w:style w:type="paragraph" w:customStyle="1" w:styleId="Legend">
    <w:name w:val="Legend"/>
    <w:basedOn w:val="Table"/>
    <w:link w:val="LegendChar"/>
    <w:rsid w:val="009D643C"/>
    <w:rPr>
      <w:lang w:val="x-none" w:eastAsia="ja-JP"/>
    </w:rPr>
  </w:style>
  <w:style w:type="character" w:customStyle="1" w:styleId="LegendChar">
    <w:name w:val="Legend Char"/>
    <w:link w:val="Legend"/>
    <w:rsid w:val="009D643C"/>
    <w:rPr>
      <w:rFonts w:ascii="Arial" w:eastAsia="MS Mincho" w:hAnsi="Arial"/>
      <w:szCs w:val="24"/>
      <w:lang w:val="x-none" w:eastAsia="ja-JP"/>
    </w:rPr>
  </w:style>
  <w:style w:type="paragraph" w:customStyle="1" w:styleId="Box">
    <w:name w:val="Box"/>
    <w:basedOn w:val="Normal"/>
    <w:link w:val="BoxChar"/>
    <w:autoRedefine/>
    <w:qFormat/>
    <w:rsid w:val="00803BA4"/>
    <w:rPr>
      <w:color w:val="0000FF"/>
    </w:rPr>
  </w:style>
  <w:style w:type="character" w:customStyle="1" w:styleId="Heading3Char">
    <w:name w:val="Heading 3 Char"/>
    <w:link w:val="Heading3"/>
    <w:uiPriority w:val="9"/>
    <w:rsid w:val="00866EE7"/>
    <w:rPr>
      <w:b/>
      <w:bCs/>
      <w:sz w:val="24"/>
      <w:szCs w:val="24"/>
    </w:rPr>
  </w:style>
  <w:style w:type="character" w:customStyle="1" w:styleId="BoxChar">
    <w:name w:val="Box Char"/>
    <w:link w:val="Box"/>
    <w:rsid w:val="00803BA4"/>
    <w:rPr>
      <w:color w:val="0000FF"/>
      <w:sz w:val="24"/>
    </w:rPr>
  </w:style>
  <w:style w:type="paragraph" w:customStyle="1" w:styleId="Tabletitle">
    <w:name w:val="Table title"/>
    <w:basedOn w:val="Normal"/>
    <w:link w:val="TabletitleChar"/>
    <w:qFormat/>
    <w:rsid w:val="00932F63"/>
    <w:pPr>
      <w:tabs>
        <w:tab w:val="left" w:pos="1134"/>
      </w:tabs>
      <w:spacing w:after="120"/>
      <w:ind w:left="1134" w:hanging="1134"/>
    </w:pPr>
    <w:rPr>
      <w:b/>
      <w:lang w:val="en-GB"/>
    </w:rPr>
  </w:style>
  <w:style w:type="paragraph" w:customStyle="1" w:styleId="steps">
    <w:name w:val="steps"/>
    <w:basedOn w:val="Normal"/>
    <w:link w:val="stepsChar"/>
    <w:qFormat/>
    <w:rsid w:val="009B1509"/>
    <w:pPr>
      <w:numPr>
        <w:numId w:val="11"/>
      </w:numPr>
      <w:spacing w:after="120"/>
    </w:pPr>
    <w:rPr>
      <w:rFonts w:eastAsia="MS Mincho"/>
      <w:lang w:eastAsia="ja-JP"/>
    </w:rPr>
  </w:style>
  <w:style w:type="character" w:customStyle="1" w:styleId="TabletitleChar">
    <w:name w:val="Table title Char"/>
    <w:link w:val="Tabletitle"/>
    <w:rsid w:val="00932F63"/>
    <w:rPr>
      <w:b/>
      <w:sz w:val="24"/>
      <w:szCs w:val="24"/>
      <w:lang w:val="en-GB"/>
    </w:rPr>
  </w:style>
  <w:style w:type="paragraph" w:customStyle="1" w:styleId="dotpoints">
    <w:name w:val="dotpoints"/>
    <w:basedOn w:val="Normal"/>
    <w:link w:val="dotpointsChar"/>
    <w:qFormat/>
    <w:rsid w:val="00FA2217"/>
    <w:pPr>
      <w:numPr>
        <w:numId w:val="13"/>
      </w:numPr>
      <w:tabs>
        <w:tab w:val="clear" w:pos="357"/>
        <w:tab w:val="num" w:pos="714"/>
      </w:tabs>
      <w:ind w:left="714"/>
    </w:pPr>
    <w:rPr>
      <w:rFonts w:eastAsia="MS Mincho"/>
      <w:lang w:eastAsia="ja-JP"/>
    </w:rPr>
  </w:style>
  <w:style w:type="character" w:customStyle="1" w:styleId="stepsChar">
    <w:name w:val="steps Char"/>
    <w:link w:val="steps"/>
    <w:rsid w:val="009B1509"/>
    <w:rPr>
      <w:rFonts w:eastAsia="MS Mincho"/>
      <w:sz w:val="24"/>
      <w:szCs w:val="24"/>
      <w:lang w:eastAsia="ja-JP"/>
    </w:rPr>
  </w:style>
  <w:style w:type="table" w:styleId="TableGrid">
    <w:name w:val="Table Grid"/>
    <w:basedOn w:val="TableNormal"/>
    <w:uiPriority w:val="59"/>
    <w:rsid w:val="00A0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tpointsChar">
    <w:name w:val="dotpoints Char"/>
    <w:link w:val="dotpoints"/>
    <w:rsid w:val="00FA2217"/>
    <w:rPr>
      <w:rFonts w:eastAsia="MS Mincho"/>
      <w:sz w:val="24"/>
      <w:szCs w:val="24"/>
      <w:lang w:eastAsia="ja-JP"/>
    </w:rPr>
  </w:style>
  <w:style w:type="paragraph" w:customStyle="1" w:styleId="HeadingUnderlined">
    <w:name w:val="Heading Underlined"/>
    <w:basedOn w:val="Heading2"/>
    <w:link w:val="HeadingUnderlinedChar"/>
    <w:qFormat/>
    <w:rsid w:val="008E7CC1"/>
    <w:rPr>
      <w:u w:val="single"/>
    </w:rPr>
  </w:style>
  <w:style w:type="character" w:styleId="Hyperlink">
    <w:name w:val="Hyperlink"/>
    <w:uiPriority w:val="99"/>
    <w:unhideWhenUsed/>
    <w:rsid w:val="008A0E86"/>
    <w:rPr>
      <w:color w:val="0563C1"/>
      <w:u w:val="single"/>
    </w:rPr>
  </w:style>
  <w:style w:type="character" w:customStyle="1" w:styleId="Heading2Char">
    <w:name w:val="Heading 2 Char"/>
    <w:link w:val="Heading2"/>
    <w:rsid w:val="00F5092E"/>
    <w:rPr>
      <w:b/>
      <w:noProof/>
      <w:sz w:val="24"/>
      <w:szCs w:val="24"/>
      <w:lang w:eastAsia="en-US"/>
    </w:rPr>
  </w:style>
  <w:style w:type="character" w:customStyle="1" w:styleId="HeadingUnderlinedChar">
    <w:name w:val="Heading Underlined Char"/>
    <w:link w:val="HeadingUnderlined"/>
    <w:rsid w:val="008E7CC1"/>
    <w:rPr>
      <w:b/>
      <w:noProof/>
      <w:sz w:val="24"/>
      <w:szCs w:val="24"/>
      <w:u w:val="single"/>
      <w:lang w:val="en-US" w:eastAsia="en-US"/>
    </w:rPr>
  </w:style>
  <w:style w:type="paragraph" w:customStyle="1" w:styleId="commentcontentpara">
    <w:name w:val="commentcontentpara"/>
    <w:basedOn w:val="Normal"/>
    <w:rsid w:val="00F96C45"/>
    <w:pPr>
      <w:spacing w:before="100" w:beforeAutospacing="1" w:after="100" w:afterAutospacing="1" w:line="240" w:lineRule="auto"/>
    </w:pPr>
    <w:rPr>
      <w:lang w:eastAsia="en-AU"/>
    </w:rPr>
  </w:style>
  <w:style w:type="character" w:customStyle="1" w:styleId="CommentTextChar">
    <w:name w:val="Comment Text Char"/>
    <w:link w:val="CommentText"/>
    <w:uiPriority w:val="99"/>
    <w:semiHidden/>
    <w:rsid w:val="00F7799D"/>
    <w:rPr>
      <w:szCs w:val="24"/>
      <w:lang w:eastAsia="en-US"/>
    </w:rPr>
  </w:style>
  <w:style w:type="character" w:customStyle="1" w:styleId="Heading1Char">
    <w:name w:val="Heading 1 Char"/>
    <w:link w:val="Heading1"/>
    <w:rsid w:val="00F11870"/>
    <w:rPr>
      <w:rFonts w:ascii="Times New Roman Bold" w:hAnsi="Times New Roman Bold"/>
      <w:b/>
      <w:caps/>
      <w:sz w:val="30"/>
      <w:szCs w:val="24"/>
      <w:lang w:eastAsia="en-US"/>
    </w:rPr>
  </w:style>
  <w:style w:type="character" w:customStyle="1" w:styleId="Heading6Char">
    <w:name w:val="Heading 6 Char"/>
    <w:link w:val="Heading6"/>
    <w:rsid w:val="00C91E06"/>
    <w:rPr>
      <w:b/>
      <w:bCs/>
      <w:i/>
      <w:sz w:val="24"/>
      <w:szCs w:val="24"/>
      <w:lang w:eastAsia="en-US"/>
    </w:rPr>
  </w:style>
  <w:style w:type="paragraph" w:customStyle="1" w:styleId="msonormal0">
    <w:name w:val="msonormal"/>
    <w:basedOn w:val="Normal"/>
    <w:rsid w:val="00C91E06"/>
    <w:pPr>
      <w:spacing w:before="100" w:beforeAutospacing="1" w:after="100" w:afterAutospacing="1" w:line="240" w:lineRule="auto"/>
    </w:pPr>
    <w:rPr>
      <w:lang w:eastAsia="en-AU"/>
    </w:rPr>
  </w:style>
  <w:style w:type="character" w:customStyle="1" w:styleId="FootnoteTextChar">
    <w:name w:val="Footnote Text Char"/>
    <w:link w:val="FootnoteText"/>
    <w:semiHidden/>
    <w:rsid w:val="00C91E06"/>
    <w:rPr>
      <w:szCs w:val="24"/>
      <w:lang w:eastAsia="en-US"/>
    </w:rPr>
  </w:style>
  <w:style w:type="character" w:customStyle="1" w:styleId="HeaderChar">
    <w:name w:val="Header Char"/>
    <w:link w:val="Header"/>
    <w:uiPriority w:val="99"/>
    <w:rsid w:val="00C91E06"/>
    <w:rPr>
      <w:rFonts w:ascii="Arial" w:hAnsi="Arial"/>
      <w:szCs w:val="24"/>
      <w:lang w:eastAsia="en-US"/>
    </w:rPr>
  </w:style>
  <w:style w:type="character" w:customStyle="1" w:styleId="EndnoteTextChar">
    <w:name w:val="Endnote Text Char"/>
    <w:link w:val="EndnoteText"/>
    <w:semiHidden/>
    <w:rsid w:val="00C91E06"/>
    <w:rPr>
      <w:sz w:val="22"/>
      <w:szCs w:val="24"/>
      <w:lang w:val="en-GB" w:eastAsia="en-US"/>
    </w:rPr>
  </w:style>
  <w:style w:type="character" w:customStyle="1" w:styleId="TitleChar">
    <w:name w:val="Title Char"/>
    <w:link w:val="Title"/>
    <w:rsid w:val="005C1767"/>
    <w:rPr>
      <w:rFonts w:cs="Arial"/>
      <w:b/>
      <w:bCs/>
      <w:kern w:val="28"/>
      <w:sz w:val="34"/>
      <w:szCs w:val="34"/>
      <w:lang w:eastAsia="en-US"/>
    </w:rPr>
  </w:style>
  <w:style w:type="character" w:customStyle="1" w:styleId="BodyTextChar">
    <w:name w:val="Body Text Char"/>
    <w:link w:val="BodyText"/>
    <w:rsid w:val="00C91E06"/>
    <w:rPr>
      <w:sz w:val="24"/>
      <w:szCs w:val="24"/>
      <w:lang w:eastAsia="en-US"/>
    </w:rPr>
  </w:style>
  <w:style w:type="character" w:customStyle="1" w:styleId="SubtitleChar">
    <w:name w:val="Subtitle Char"/>
    <w:link w:val="Subtitle"/>
    <w:rsid w:val="00C91E06"/>
    <w:rPr>
      <w:rFonts w:cs="Arial"/>
      <w:b/>
      <w:sz w:val="30"/>
      <w:szCs w:val="30"/>
      <w:lang w:eastAsia="en-US"/>
    </w:rPr>
  </w:style>
  <w:style w:type="character" w:customStyle="1" w:styleId="CommentSubjectChar">
    <w:name w:val="Comment Subject Char"/>
    <w:link w:val="CommentSubject"/>
    <w:semiHidden/>
    <w:rsid w:val="00C91E06"/>
    <w:rPr>
      <w:b/>
      <w:bCs/>
      <w:szCs w:val="24"/>
      <w:lang w:eastAsia="en-US"/>
    </w:rPr>
  </w:style>
  <w:style w:type="character" w:customStyle="1" w:styleId="BalloonTextChar">
    <w:name w:val="Balloon Text Char"/>
    <w:link w:val="BalloonText"/>
    <w:semiHidden/>
    <w:rsid w:val="00C91E06"/>
    <w:rPr>
      <w:rFonts w:ascii="Tahoma" w:hAnsi="Tahoma" w:cs="Tahoma"/>
      <w:sz w:val="16"/>
      <w:szCs w:val="16"/>
      <w:lang w:eastAsia="en-US"/>
    </w:rPr>
  </w:style>
  <w:style w:type="paragraph" w:customStyle="1" w:styleId="CharCharCharCharCharCharCharCharChar0">
    <w:name w:val="Char Char Char Char Char Char Char Char Char"/>
    <w:basedOn w:val="Normal"/>
    <w:rsid w:val="00C91E06"/>
    <w:pPr>
      <w:spacing w:after="160" w:line="240" w:lineRule="exact"/>
    </w:pPr>
    <w:rPr>
      <w:rFonts w:ascii="Verdana" w:hAnsi="Verdana" w:cs="Verdana"/>
      <w:sz w:val="20"/>
    </w:rPr>
  </w:style>
  <w:style w:type="character" w:styleId="SubtleEmphasis">
    <w:name w:val="Subtle Emphasis"/>
    <w:uiPriority w:val="19"/>
    <w:qFormat/>
    <w:rsid w:val="000A3631"/>
    <w:rPr>
      <w:i/>
      <w:iCs/>
      <w:color w:val="404040"/>
    </w:rPr>
  </w:style>
  <w:style w:type="paragraph" w:customStyle="1" w:styleId="PItext">
    <w:name w:val="PI text"/>
    <w:basedOn w:val="Normal"/>
    <w:qFormat/>
    <w:rsid w:val="00F82C3D"/>
    <w:pPr>
      <w:spacing w:after="240" w:line="240" w:lineRule="auto"/>
      <w:jc w:val="both"/>
    </w:pPr>
    <w:rPr>
      <w:color w:val="000000"/>
    </w:rPr>
  </w:style>
  <w:style w:type="character" w:customStyle="1" w:styleId="apple-converted-space">
    <w:name w:val="apple-converted-space"/>
    <w:rsid w:val="0073746C"/>
  </w:style>
  <w:style w:type="paragraph" w:customStyle="1" w:styleId="Default">
    <w:name w:val="Default"/>
    <w:rsid w:val="00BF1193"/>
    <w:pPr>
      <w:autoSpaceDE w:val="0"/>
      <w:autoSpaceDN w:val="0"/>
      <w:adjustRightInd w:val="0"/>
    </w:pPr>
    <w:rPr>
      <w:rFonts w:ascii="Cambria" w:hAnsi="Cambria" w:cs="Cambri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04"/>
    <w:pPr>
      <w:spacing w:line="320" w:lineRule="atLeast"/>
    </w:pPr>
    <w:rPr>
      <w:sz w:val="24"/>
      <w:szCs w:val="24"/>
      <w:lang w:eastAsia="en-US"/>
    </w:rPr>
  </w:style>
  <w:style w:type="paragraph" w:styleId="Heading1">
    <w:name w:val="heading 1"/>
    <w:basedOn w:val="Normal"/>
    <w:next w:val="paragraph"/>
    <w:link w:val="Heading1Char"/>
    <w:autoRedefine/>
    <w:qFormat/>
    <w:rsid w:val="00F11870"/>
    <w:pPr>
      <w:keepNext/>
      <w:keepLines/>
      <w:tabs>
        <w:tab w:val="right" w:pos="9073"/>
      </w:tabs>
      <w:spacing w:before="120" w:after="240"/>
      <w:outlineLvl w:val="0"/>
    </w:pPr>
    <w:rPr>
      <w:rFonts w:ascii="Times New Roman Bold" w:hAnsi="Times New Roman Bold"/>
      <w:b/>
      <w:caps/>
      <w:sz w:val="30"/>
    </w:rPr>
  </w:style>
  <w:style w:type="paragraph" w:styleId="Heading2">
    <w:name w:val="heading 2"/>
    <w:basedOn w:val="Normal"/>
    <w:next w:val="paragraph"/>
    <w:link w:val="Heading2Char"/>
    <w:autoRedefine/>
    <w:qFormat/>
    <w:rsid w:val="00F5092E"/>
    <w:pPr>
      <w:keepNext/>
      <w:keepLines/>
      <w:spacing w:before="200" w:after="120"/>
      <w:outlineLvl w:val="1"/>
    </w:pPr>
    <w:rPr>
      <w:b/>
      <w:noProof/>
    </w:rPr>
  </w:style>
  <w:style w:type="paragraph" w:styleId="Heading3">
    <w:name w:val="heading 3"/>
    <w:basedOn w:val="Heading6"/>
    <w:next w:val="Normal"/>
    <w:link w:val="Heading3Char"/>
    <w:uiPriority w:val="9"/>
    <w:qFormat/>
    <w:rsid w:val="00866EE7"/>
    <w:pPr>
      <w:outlineLvl w:val="2"/>
    </w:pPr>
    <w:rPr>
      <w:i w:val="0"/>
    </w:rPr>
  </w:style>
  <w:style w:type="paragraph" w:styleId="Heading6">
    <w:name w:val="heading 6"/>
    <w:basedOn w:val="Normal"/>
    <w:next w:val="Normal"/>
    <w:link w:val="Heading6Char"/>
    <w:qFormat/>
    <w:rsid w:val="009A42F2"/>
    <w:pPr>
      <w:spacing w:before="200" w:after="12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80B"/>
    <w:pPr>
      <w:tabs>
        <w:tab w:val="center" w:pos="4540"/>
        <w:tab w:val="right" w:pos="9080"/>
      </w:tabs>
    </w:pPr>
    <w:rPr>
      <w:rFonts w:ascii="Arial" w:hAnsi="Arial"/>
      <w:sz w:val="20"/>
    </w:rPr>
  </w:style>
  <w:style w:type="paragraph" w:customStyle="1" w:styleId="paragraph">
    <w:name w:val="paragraph"/>
    <w:basedOn w:val="Normal"/>
    <w:rsid w:val="0066180B"/>
    <w:pPr>
      <w:spacing w:before="120"/>
      <w:jc w:val="both"/>
    </w:pPr>
  </w:style>
  <w:style w:type="paragraph" w:customStyle="1" w:styleId="Text">
    <w:name w:val="Text"/>
    <w:aliases w:val="Graphic,Graphic Char Char,Graphic Char Char Char Char Char,Graphic Char Char Char Char Char Char Char C"/>
    <w:basedOn w:val="Normal"/>
    <w:link w:val="TextChar"/>
    <w:qFormat/>
    <w:rsid w:val="0066180B"/>
    <w:pPr>
      <w:spacing w:before="120"/>
      <w:jc w:val="both"/>
    </w:pPr>
  </w:style>
  <w:style w:type="character" w:customStyle="1" w:styleId="TextChar">
    <w:name w:val="Text Char"/>
    <w:link w:val="Text"/>
    <w:rsid w:val="0066180B"/>
    <w:rPr>
      <w:sz w:val="24"/>
      <w:lang w:val="en-US" w:eastAsia="en-US" w:bidi="ar-SA"/>
    </w:rPr>
  </w:style>
  <w:style w:type="paragraph" w:styleId="Subtitle">
    <w:name w:val="Subtitle"/>
    <w:basedOn w:val="Normal"/>
    <w:link w:val="SubtitleChar"/>
    <w:autoRedefine/>
    <w:qFormat/>
    <w:rsid w:val="007770C6"/>
    <w:pPr>
      <w:jc w:val="center"/>
      <w:outlineLvl w:val="1"/>
    </w:pPr>
    <w:rPr>
      <w:rFonts w:cs="Arial"/>
      <w:b/>
      <w:sz w:val="30"/>
      <w:szCs w:val="30"/>
    </w:rPr>
  </w:style>
  <w:style w:type="paragraph" w:styleId="Title">
    <w:name w:val="Title"/>
    <w:basedOn w:val="Normal"/>
    <w:link w:val="TitleChar"/>
    <w:autoRedefine/>
    <w:qFormat/>
    <w:rsid w:val="005C1767"/>
    <w:pPr>
      <w:jc w:val="center"/>
      <w:outlineLvl w:val="0"/>
    </w:pPr>
    <w:rPr>
      <w:rFonts w:cs="Arial"/>
      <w:b/>
      <w:bCs/>
      <w:kern w:val="28"/>
      <w:sz w:val="34"/>
      <w:szCs w:val="34"/>
    </w:rPr>
  </w:style>
  <w:style w:type="paragraph" w:styleId="BodyText">
    <w:name w:val="Body Text"/>
    <w:basedOn w:val="Normal"/>
    <w:link w:val="BodyTextChar"/>
    <w:rsid w:val="0066180B"/>
    <w:pPr>
      <w:spacing w:after="120"/>
    </w:pPr>
  </w:style>
  <w:style w:type="paragraph" w:customStyle="1" w:styleId="CharCharCharCharCharCharCharCharChar">
    <w:name w:val="Char Char Char Char Char Char Char Char Char"/>
    <w:basedOn w:val="Normal"/>
    <w:rsid w:val="002969B0"/>
    <w:pPr>
      <w:spacing w:after="160" w:line="240" w:lineRule="exact"/>
    </w:pPr>
    <w:rPr>
      <w:rFonts w:ascii="Verdana" w:hAnsi="Verdana" w:cs="Verdana"/>
      <w:sz w:val="20"/>
    </w:rPr>
  </w:style>
  <w:style w:type="paragraph" w:customStyle="1" w:styleId="Listlevel1">
    <w:name w:val="List level 1"/>
    <w:basedOn w:val="Normal"/>
    <w:link w:val="Listlevel1Char"/>
    <w:rsid w:val="002969B0"/>
    <w:pPr>
      <w:spacing w:before="40" w:after="20" w:line="240" w:lineRule="auto"/>
      <w:ind w:left="425" w:hanging="425"/>
    </w:pPr>
    <w:rPr>
      <w:rFonts w:eastAsia="MS Mincho"/>
    </w:rPr>
  </w:style>
  <w:style w:type="character" w:customStyle="1" w:styleId="Listlevel1Char">
    <w:name w:val="List level 1 Char"/>
    <w:link w:val="Listlevel1"/>
    <w:rsid w:val="002969B0"/>
    <w:rPr>
      <w:rFonts w:eastAsia="MS Mincho"/>
      <w:sz w:val="24"/>
      <w:lang w:val="en-US" w:eastAsia="en-US" w:bidi="ar-SA"/>
    </w:rPr>
  </w:style>
  <w:style w:type="paragraph" w:customStyle="1" w:styleId="Nottoc-headings">
    <w:name w:val="Not toc-headings"/>
    <w:basedOn w:val="Normal"/>
    <w:next w:val="Text"/>
    <w:link w:val="Nottoc-headingsChar"/>
    <w:rsid w:val="00E04ADD"/>
    <w:pPr>
      <w:keepNext/>
      <w:keepLines/>
      <w:spacing w:before="240" w:after="60" w:line="240" w:lineRule="auto"/>
      <w:ind w:left="1701" w:hanging="1701"/>
    </w:pPr>
    <w:rPr>
      <w:rFonts w:ascii="Arial" w:eastAsia="MS Mincho" w:hAnsi="Arial"/>
      <w:b/>
    </w:rPr>
  </w:style>
  <w:style w:type="character" w:customStyle="1" w:styleId="Nottoc-headingsChar">
    <w:name w:val="Not toc-headings Char"/>
    <w:link w:val="Nottoc-headings"/>
    <w:rsid w:val="00E04ADD"/>
    <w:rPr>
      <w:rFonts w:ascii="Arial" w:eastAsia="MS Mincho" w:hAnsi="Arial"/>
      <w:b/>
      <w:sz w:val="24"/>
      <w:lang w:val="en-US" w:eastAsia="en-US" w:bidi="ar-SA"/>
    </w:rPr>
  </w:style>
  <w:style w:type="paragraph" w:customStyle="1" w:styleId="Comment">
    <w:name w:val="Comment"/>
    <w:basedOn w:val="Normal"/>
    <w:next w:val="Text"/>
    <w:link w:val="CommentChar"/>
    <w:rsid w:val="00E04ADD"/>
    <w:pPr>
      <w:keepLines/>
      <w:spacing w:before="120" w:line="240" w:lineRule="auto"/>
      <w:jc w:val="both"/>
    </w:pPr>
    <w:rPr>
      <w:rFonts w:eastAsia="MS Mincho"/>
      <w:i/>
      <w:color w:val="BF30B5"/>
    </w:rPr>
  </w:style>
  <w:style w:type="character" w:customStyle="1" w:styleId="CommentChar">
    <w:name w:val="Comment Char"/>
    <w:link w:val="Comment"/>
    <w:rsid w:val="00E04ADD"/>
    <w:rPr>
      <w:rFonts w:eastAsia="MS Mincho"/>
      <w:i/>
      <w:color w:val="BF30B5"/>
      <w:sz w:val="24"/>
      <w:szCs w:val="24"/>
      <w:lang w:val="en-US" w:eastAsia="en-US" w:bidi="ar-SA"/>
    </w:rPr>
  </w:style>
  <w:style w:type="paragraph" w:customStyle="1" w:styleId="Table">
    <w:name w:val="Table"/>
    <w:aliases w:val="10 pt  Bold,9 pt"/>
    <w:basedOn w:val="Nottoc-headings"/>
    <w:link w:val="TableChar"/>
    <w:rsid w:val="00E04ADD"/>
    <w:pPr>
      <w:keepNext w:val="0"/>
      <w:tabs>
        <w:tab w:val="left" w:pos="284"/>
      </w:tabs>
      <w:spacing w:before="40" w:after="20"/>
      <w:ind w:left="0" w:firstLine="0"/>
    </w:pPr>
    <w:rPr>
      <w:b w:val="0"/>
      <w:sz w:val="20"/>
    </w:rPr>
  </w:style>
  <w:style w:type="paragraph" w:styleId="EndnoteText">
    <w:name w:val="endnote text"/>
    <w:basedOn w:val="Normal"/>
    <w:link w:val="EndnoteTextChar"/>
    <w:semiHidden/>
    <w:rsid w:val="006154FC"/>
    <w:pPr>
      <w:tabs>
        <w:tab w:val="left" w:pos="567"/>
      </w:tabs>
      <w:spacing w:line="240" w:lineRule="auto"/>
    </w:pPr>
    <w:rPr>
      <w:sz w:val="22"/>
      <w:lang w:val="en-GB"/>
    </w:rPr>
  </w:style>
  <w:style w:type="paragraph" w:styleId="BalloonText">
    <w:name w:val="Balloon Text"/>
    <w:basedOn w:val="Normal"/>
    <w:link w:val="BalloonTextChar"/>
    <w:semiHidden/>
    <w:rsid w:val="00DA0B16"/>
    <w:rPr>
      <w:rFonts w:ascii="Tahoma" w:hAnsi="Tahoma" w:cs="Tahoma"/>
      <w:sz w:val="16"/>
      <w:szCs w:val="16"/>
    </w:rPr>
  </w:style>
  <w:style w:type="paragraph" w:styleId="FootnoteText">
    <w:name w:val="footnote text"/>
    <w:basedOn w:val="Normal"/>
    <w:link w:val="FootnoteTextChar"/>
    <w:semiHidden/>
    <w:rsid w:val="00B07C65"/>
    <w:rPr>
      <w:sz w:val="20"/>
    </w:rPr>
  </w:style>
  <w:style w:type="character" w:styleId="FootnoteReference">
    <w:name w:val="footnote reference"/>
    <w:semiHidden/>
    <w:rsid w:val="00B07C65"/>
    <w:rPr>
      <w:vertAlign w:val="superscript"/>
    </w:rPr>
  </w:style>
  <w:style w:type="character" w:styleId="CommentReference">
    <w:name w:val="annotation reference"/>
    <w:semiHidden/>
    <w:rsid w:val="00B97644"/>
    <w:rPr>
      <w:sz w:val="16"/>
      <w:szCs w:val="16"/>
    </w:rPr>
  </w:style>
  <w:style w:type="paragraph" w:styleId="CommentText">
    <w:name w:val="annotation text"/>
    <w:basedOn w:val="Normal"/>
    <w:link w:val="CommentTextChar"/>
    <w:uiPriority w:val="99"/>
    <w:semiHidden/>
    <w:rsid w:val="00B97644"/>
    <w:rPr>
      <w:sz w:val="20"/>
    </w:rPr>
  </w:style>
  <w:style w:type="paragraph" w:styleId="CommentSubject">
    <w:name w:val="annotation subject"/>
    <w:basedOn w:val="CommentText"/>
    <w:next w:val="CommentText"/>
    <w:link w:val="CommentSubjectChar"/>
    <w:semiHidden/>
    <w:rsid w:val="00B97644"/>
    <w:rPr>
      <w:b/>
      <w:bCs/>
    </w:rPr>
  </w:style>
  <w:style w:type="character" w:styleId="FollowedHyperlink">
    <w:name w:val="FollowedHyperlink"/>
    <w:rsid w:val="001A4D1A"/>
    <w:rPr>
      <w:color w:val="606420"/>
      <w:u w:val="single"/>
    </w:rPr>
  </w:style>
  <w:style w:type="paragraph" w:customStyle="1" w:styleId="Compound">
    <w:name w:val="Compound"/>
    <w:basedOn w:val="Normal"/>
    <w:rsid w:val="009950E0"/>
    <w:pPr>
      <w:keepNext/>
      <w:spacing w:before="720" w:line="240" w:lineRule="auto"/>
      <w:jc w:val="center"/>
    </w:pPr>
    <w:rPr>
      <w:rFonts w:ascii="Arial" w:eastAsia="MS Gothic" w:hAnsi="Arial"/>
      <w:sz w:val="32"/>
    </w:rPr>
  </w:style>
  <w:style w:type="paragraph" w:styleId="Revision">
    <w:name w:val="Revision"/>
    <w:hidden/>
    <w:uiPriority w:val="99"/>
    <w:semiHidden/>
    <w:rsid w:val="009F747D"/>
    <w:rPr>
      <w:sz w:val="24"/>
      <w:lang w:val="en-US" w:eastAsia="en-US"/>
    </w:rPr>
  </w:style>
  <w:style w:type="paragraph" w:styleId="Footer">
    <w:name w:val="footer"/>
    <w:basedOn w:val="Normal"/>
    <w:link w:val="FooterChar"/>
    <w:unhideWhenUsed/>
    <w:rsid w:val="00AC2935"/>
    <w:pPr>
      <w:tabs>
        <w:tab w:val="center" w:pos="4680"/>
        <w:tab w:val="right" w:pos="9360"/>
      </w:tabs>
    </w:pPr>
  </w:style>
  <w:style w:type="character" w:customStyle="1" w:styleId="FooterChar">
    <w:name w:val="Footer Char"/>
    <w:link w:val="Footer"/>
    <w:rsid w:val="00AC2935"/>
    <w:rPr>
      <w:sz w:val="24"/>
    </w:rPr>
  </w:style>
  <w:style w:type="character" w:customStyle="1" w:styleId="TableChar">
    <w:name w:val="Table Char"/>
    <w:aliases w:val="10 pt  Bold Char,9 pt Char,10 pt Char"/>
    <w:link w:val="Table"/>
    <w:rsid w:val="008A3FFD"/>
    <w:rPr>
      <w:rFonts w:ascii="Arial" w:eastAsia="MS Mincho" w:hAnsi="Arial"/>
    </w:rPr>
  </w:style>
  <w:style w:type="paragraph" w:customStyle="1" w:styleId="Legend">
    <w:name w:val="Legend"/>
    <w:basedOn w:val="Table"/>
    <w:link w:val="LegendChar"/>
    <w:rsid w:val="009D643C"/>
    <w:rPr>
      <w:lang w:val="x-none" w:eastAsia="ja-JP"/>
    </w:rPr>
  </w:style>
  <w:style w:type="character" w:customStyle="1" w:styleId="LegendChar">
    <w:name w:val="Legend Char"/>
    <w:link w:val="Legend"/>
    <w:rsid w:val="009D643C"/>
    <w:rPr>
      <w:rFonts w:ascii="Arial" w:eastAsia="MS Mincho" w:hAnsi="Arial"/>
      <w:szCs w:val="24"/>
      <w:lang w:val="x-none" w:eastAsia="ja-JP"/>
    </w:rPr>
  </w:style>
  <w:style w:type="paragraph" w:customStyle="1" w:styleId="Box">
    <w:name w:val="Box"/>
    <w:basedOn w:val="Normal"/>
    <w:link w:val="BoxChar"/>
    <w:autoRedefine/>
    <w:qFormat/>
    <w:rsid w:val="00803BA4"/>
    <w:rPr>
      <w:color w:val="0000FF"/>
    </w:rPr>
  </w:style>
  <w:style w:type="character" w:customStyle="1" w:styleId="Heading3Char">
    <w:name w:val="Heading 3 Char"/>
    <w:link w:val="Heading3"/>
    <w:uiPriority w:val="9"/>
    <w:rsid w:val="00866EE7"/>
    <w:rPr>
      <w:b/>
      <w:bCs/>
      <w:sz w:val="24"/>
      <w:szCs w:val="24"/>
    </w:rPr>
  </w:style>
  <w:style w:type="character" w:customStyle="1" w:styleId="BoxChar">
    <w:name w:val="Box Char"/>
    <w:link w:val="Box"/>
    <w:rsid w:val="00803BA4"/>
    <w:rPr>
      <w:color w:val="0000FF"/>
      <w:sz w:val="24"/>
    </w:rPr>
  </w:style>
  <w:style w:type="paragraph" w:customStyle="1" w:styleId="Tabletitle">
    <w:name w:val="Table title"/>
    <w:basedOn w:val="Normal"/>
    <w:link w:val="TabletitleChar"/>
    <w:qFormat/>
    <w:rsid w:val="00932F63"/>
    <w:pPr>
      <w:tabs>
        <w:tab w:val="left" w:pos="1134"/>
      </w:tabs>
      <w:spacing w:after="120"/>
      <w:ind w:left="1134" w:hanging="1134"/>
    </w:pPr>
    <w:rPr>
      <w:b/>
      <w:lang w:val="en-GB"/>
    </w:rPr>
  </w:style>
  <w:style w:type="paragraph" w:customStyle="1" w:styleId="steps">
    <w:name w:val="steps"/>
    <w:basedOn w:val="Normal"/>
    <w:link w:val="stepsChar"/>
    <w:qFormat/>
    <w:rsid w:val="009B1509"/>
    <w:pPr>
      <w:numPr>
        <w:numId w:val="11"/>
      </w:numPr>
      <w:spacing w:after="120"/>
    </w:pPr>
    <w:rPr>
      <w:rFonts w:eastAsia="MS Mincho"/>
      <w:lang w:eastAsia="ja-JP"/>
    </w:rPr>
  </w:style>
  <w:style w:type="character" w:customStyle="1" w:styleId="TabletitleChar">
    <w:name w:val="Table title Char"/>
    <w:link w:val="Tabletitle"/>
    <w:rsid w:val="00932F63"/>
    <w:rPr>
      <w:b/>
      <w:sz w:val="24"/>
      <w:szCs w:val="24"/>
      <w:lang w:val="en-GB"/>
    </w:rPr>
  </w:style>
  <w:style w:type="paragraph" w:customStyle="1" w:styleId="dotpoints">
    <w:name w:val="dotpoints"/>
    <w:basedOn w:val="Normal"/>
    <w:link w:val="dotpointsChar"/>
    <w:qFormat/>
    <w:rsid w:val="00FA2217"/>
    <w:pPr>
      <w:numPr>
        <w:numId w:val="13"/>
      </w:numPr>
      <w:tabs>
        <w:tab w:val="clear" w:pos="357"/>
        <w:tab w:val="num" w:pos="714"/>
      </w:tabs>
      <w:ind w:left="714"/>
    </w:pPr>
    <w:rPr>
      <w:rFonts w:eastAsia="MS Mincho"/>
      <w:lang w:eastAsia="ja-JP"/>
    </w:rPr>
  </w:style>
  <w:style w:type="character" w:customStyle="1" w:styleId="stepsChar">
    <w:name w:val="steps Char"/>
    <w:link w:val="steps"/>
    <w:rsid w:val="009B1509"/>
    <w:rPr>
      <w:rFonts w:eastAsia="MS Mincho"/>
      <w:sz w:val="24"/>
      <w:szCs w:val="24"/>
      <w:lang w:eastAsia="ja-JP"/>
    </w:rPr>
  </w:style>
  <w:style w:type="table" w:styleId="TableGrid">
    <w:name w:val="Table Grid"/>
    <w:basedOn w:val="TableNormal"/>
    <w:uiPriority w:val="59"/>
    <w:rsid w:val="00A0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tpointsChar">
    <w:name w:val="dotpoints Char"/>
    <w:link w:val="dotpoints"/>
    <w:rsid w:val="00FA2217"/>
    <w:rPr>
      <w:rFonts w:eastAsia="MS Mincho"/>
      <w:sz w:val="24"/>
      <w:szCs w:val="24"/>
      <w:lang w:eastAsia="ja-JP"/>
    </w:rPr>
  </w:style>
  <w:style w:type="paragraph" w:customStyle="1" w:styleId="HeadingUnderlined">
    <w:name w:val="Heading Underlined"/>
    <w:basedOn w:val="Heading2"/>
    <w:link w:val="HeadingUnderlinedChar"/>
    <w:qFormat/>
    <w:rsid w:val="008E7CC1"/>
    <w:rPr>
      <w:u w:val="single"/>
    </w:rPr>
  </w:style>
  <w:style w:type="character" w:styleId="Hyperlink">
    <w:name w:val="Hyperlink"/>
    <w:uiPriority w:val="99"/>
    <w:unhideWhenUsed/>
    <w:rsid w:val="008A0E86"/>
    <w:rPr>
      <w:color w:val="0563C1"/>
      <w:u w:val="single"/>
    </w:rPr>
  </w:style>
  <w:style w:type="character" w:customStyle="1" w:styleId="Heading2Char">
    <w:name w:val="Heading 2 Char"/>
    <w:link w:val="Heading2"/>
    <w:rsid w:val="00F5092E"/>
    <w:rPr>
      <w:b/>
      <w:noProof/>
      <w:sz w:val="24"/>
      <w:szCs w:val="24"/>
      <w:lang w:eastAsia="en-US"/>
    </w:rPr>
  </w:style>
  <w:style w:type="character" w:customStyle="1" w:styleId="HeadingUnderlinedChar">
    <w:name w:val="Heading Underlined Char"/>
    <w:link w:val="HeadingUnderlined"/>
    <w:rsid w:val="008E7CC1"/>
    <w:rPr>
      <w:b/>
      <w:noProof/>
      <w:sz w:val="24"/>
      <w:szCs w:val="24"/>
      <w:u w:val="single"/>
      <w:lang w:val="en-US" w:eastAsia="en-US"/>
    </w:rPr>
  </w:style>
  <w:style w:type="paragraph" w:customStyle="1" w:styleId="commentcontentpara">
    <w:name w:val="commentcontentpara"/>
    <w:basedOn w:val="Normal"/>
    <w:rsid w:val="00F96C45"/>
    <w:pPr>
      <w:spacing w:before="100" w:beforeAutospacing="1" w:after="100" w:afterAutospacing="1" w:line="240" w:lineRule="auto"/>
    </w:pPr>
    <w:rPr>
      <w:lang w:eastAsia="en-AU"/>
    </w:rPr>
  </w:style>
  <w:style w:type="character" w:customStyle="1" w:styleId="CommentTextChar">
    <w:name w:val="Comment Text Char"/>
    <w:link w:val="CommentText"/>
    <w:uiPriority w:val="99"/>
    <w:semiHidden/>
    <w:rsid w:val="00F7799D"/>
    <w:rPr>
      <w:szCs w:val="24"/>
      <w:lang w:eastAsia="en-US"/>
    </w:rPr>
  </w:style>
  <w:style w:type="character" w:customStyle="1" w:styleId="Heading1Char">
    <w:name w:val="Heading 1 Char"/>
    <w:link w:val="Heading1"/>
    <w:rsid w:val="00F11870"/>
    <w:rPr>
      <w:rFonts w:ascii="Times New Roman Bold" w:hAnsi="Times New Roman Bold"/>
      <w:b/>
      <w:caps/>
      <w:sz w:val="30"/>
      <w:szCs w:val="24"/>
      <w:lang w:eastAsia="en-US"/>
    </w:rPr>
  </w:style>
  <w:style w:type="character" w:customStyle="1" w:styleId="Heading6Char">
    <w:name w:val="Heading 6 Char"/>
    <w:link w:val="Heading6"/>
    <w:rsid w:val="00C91E06"/>
    <w:rPr>
      <w:b/>
      <w:bCs/>
      <w:i/>
      <w:sz w:val="24"/>
      <w:szCs w:val="24"/>
      <w:lang w:eastAsia="en-US"/>
    </w:rPr>
  </w:style>
  <w:style w:type="paragraph" w:customStyle="1" w:styleId="msonormal0">
    <w:name w:val="msonormal"/>
    <w:basedOn w:val="Normal"/>
    <w:rsid w:val="00C91E06"/>
    <w:pPr>
      <w:spacing w:before="100" w:beforeAutospacing="1" w:after="100" w:afterAutospacing="1" w:line="240" w:lineRule="auto"/>
    </w:pPr>
    <w:rPr>
      <w:lang w:eastAsia="en-AU"/>
    </w:rPr>
  </w:style>
  <w:style w:type="character" w:customStyle="1" w:styleId="FootnoteTextChar">
    <w:name w:val="Footnote Text Char"/>
    <w:link w:val="FootnoteText"/>
    <w:semiHidden/>
    <w:rsid w:val="00C91E06"/>
    <w:rPr>
      <w:szCs w:val="24"/>
      <w:lang w:eastAsia="en-US"/>
    </w:rPr>
  </w:style>
  <w:style w:type="character" w:customStyle="1" w:styleId="HeaderChar">
    <w:name w:val="Header Char"/>
    <w:link w:val="Header"/>
    <w:uiPriority w:val="99"/>
    <w:rsid w:val="00C91E06"/>
    <w:rPr>
      <w:rFonts w:ascii="Arial" w:hAnsi="Arial"/>
      <w:szCs w:val="24"/>
      <w:lang w:eastAsia="en-US"/>
    </w:rPr>
  </w:style>
  <w:style w:type="character" w:customStyle="1" w:styleId="EndnoteTextChar">
    <w:name w:val="Endnote Text Char"/>
    <w:link w:val="EndnoteText"/>
    <w:semiHidden/>
    <w:rsid w:val="00C91E06"/>
    <w:rPr>
      <w:sz w:val="22"/>
      <w:szCs w:val="24"/>
      <w:lang w:val="en-GB" w:eastAsia="en-US"/>
    </w:rPr>
  </w:style>
  <w:style w:type="character" w:customStyle="1" w:styleId="TitleChar">
    <w:name w:val="Title Char"/>
    <w:link w:val="Title"/>
    <w:rsid w:val="005C1767"/>
    <w:rPr>
      <w:rFonts w:cs="Arial"/>
      <w:b/>
      <w:bCs/>
      <w:kern w:val="28"/>
      <w:sz w:val="34"/>
      <w:szCs w:val="34"/>
      <w:lang w:eastAsia="en-US"/>
    </w:rPr>
  </w:style>
  <w:style w:type="character" w:customStyle="1" w:styleId="BodyTextChar">
    <w:name w:val="Body Text Char"/>
    <w:link w:val="BodyText"/>
    <w:rsid w:val="00C91E06"/>
    <w:rPr>
      <w:sz w:val="24"/>
      <w:szCs w:val="24"/>
      <w:lang w:eastAsia="en-US"/>
    </w:rPr>
  </w:style>
  <w:style w:type="character" w:customStyle="1" w:styleId="SubtitleChar">
    <w:name w:val="Subtitle Char"/>
    <w:link w:val="Subtitle"/>
    <w:rsid w:val="00C91E06"/>
    <w:rPr>
      <w:rFonts w:cs="Arial"/>
      <w:b/>
      <w:sz w:val="30"/>
      <w:szCs w:val="30"/>
      <w:lang w:eastAsia="en-US"/>
    </w:rPr>
  </w:style>
  <w:style w:type="character" w:customStyle="1" w:styleId="CommentSubjectChar">
    <w:name w:val="Comment Subject Char"/>
    <w:link w:val="CommentSubject"/>
    <w:semiHidden/>
    <w:rsid w:val="00C91E06"/>
    <w:rPr>
      <w:b/>
      <w:bCs/>
      <w:szCs w:val="24"/>
      <w:lang w:eastAsia="en-US"/>
    </w:rPr>
  </w:style>
  <w:style w:type="character" w:customStyle="1" w:styleId="BalloonTextChar">
    <w:name w:val="Balloon Text Char"/>
    <w:link w:val="BalloonText"/>
    <w:semiHidden/>
    <w:rsid w:val="00C91E06"/>
    <w:rPr>
      <w:rFonts w:ascii="Tahoma" w:hAnsi="Tahoma" w:cs="Tahoma"/>
      <w:sz w:val="16"/>
      <w:szCs w:val="16"/>
      <w:lang w:eastAsia="en-US"/>
    </w:rPr>
  </w:style>
  <w:style w:type="paragraph" w:customStyle="1" w:styleId="CharCharCharCharCharCharCharCharChar0">
    <w:name w:val="Char Char Char Char Char Char Char Char Char"/>
    <w:basedOn w:val="Normal"/>
    <w:rsid w:val="00C91E06"/>
    <w:pPr>
      <w:spacing w:after="160" w:line="240" w:lineRule="exact"/>
    </w:pPr>
    <w:rPr>
      <w:rFonts w:ascii="Verdana" w:hAnsi="Verdana" w:cs="Verdana"/>
      <w:sz w:val="20"/>
    </w:rPr>
  </w:style>
  <w:style w:type="character" w:styleId="SubtleEmphasis">
    <w:name w:val="Subtle Emphasis"/>
    <w:uiPriority w:val="19"/>
    <w:qFormat/>
    <w:rsid w:val="000A3631"/>
    <w:rPr>
      <w:i/>
      <w:iCs/>
      <w:color w:val="404040"/>
    </w:rPr>
  </w:style>
  <w:style w:type="paragraph" w:customStyle="1" w:styleId="PItext">
    <w:name w:val="PI text"/>
    <w:basedOn w:val="Normal"/>
    <w:qFormat/>
    <w:rsid w:val="00F82C3D"/>
    <w:pPr>
      <w:spacing w:after="240" w:line="240" w:lineRule="auto"/>
      <w:jc w:val="both"/>
    </w:pPr>
    <w:rPr>
      <w:color w:val="000000"/>
    </w:rPr>
  </w:style>
  <w:style w:type="character" w:customStyle="1" w:styleId="apple-converted-space">
    <w:name w:val="apple-converted-space"/>
    <w:rsid w:val="0073746C"/>
  </w:style>
  <w:style w:type="paragraph" w:customStyle="1" w:styleId="Default">
    <w:name w:val="Default"/>
    <w:rsid w:val="00BF1193"/>
    <w:pPr>
      <w:autoSpaceDE w:val="0"/>
      <w:autoSpaceDN w:val="0"/>
      <w:adjustRightInd w:val="0"/>
    </w:pPr>
    <w:rPr>
      <w:rFonts w:ascii="Cambria" w:hAnsi="Cambria" w:cs="Cambr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0098">
      <w:bodyDiv w:val="1"/>
      <w:marLeft w:val="0"/>
      <w:marRight w:val="0"/>
      <w:marTop w:val="0"/>
      <w:marBottom w:val="0"/>
      <w:divBdr>
        <w:top w:val="none" w:sz="0" w:space="0" w:color="auto"/>
        <w:left w:val="none" w:sz="0" w:space="0" w:color="auto"/>
        <w:bottom w:val="none" w:sz="0" w:space="0" w:color="auto"/>
        <w:right w:val="none" w:sz="0" w:space="0" w:color="auto"/>
      </w:divBdr>
      <w:divsChild>
        <w:div w:id="266162058">
          <w:marLeft w:val="0"/>
          <w:marRight w:val="0"/>
          <w:marTop w:val="0"/>
          <w:marBottom w:val="0"/>
          <w:divBdr>
            <w:top w:val="none" w:sz="0" w:space="0" w:color="auto"/>
            <w:left w:val="none" w:sz="0" w:space="0" w:color="auto"/>
            <w:bottom w:val="none" w:sz="0" w:space="0" w:color="auto"/>
            <w:right w:val="none" w:sz="0" w:space="0" w:color="auto"/>
          </w:divBdr>
        </w:div>
      </w:divsChild>
    </w:div>
    <w:div w:id="811949833">
      <w:bodyDiv w:val="1"/>
      <w:marLeft w:val="0"/>
      <w:marRight w:val="0"/>
      <w:marTop w:val="0"/>
      <w:marBottom w:val="0"/>
      <w:divBdr>
        <w:top w:val="none" w:sz="0" w:space="0" w:color="auto"/>
        <w:left w:val="none" w:sz="0" w:space="0" w:color="auto"/>
        <w:bottom w:val="none" w:sz="0" w:space="0" w:color="auto"/>
        <w:right w:val="none" w:sz="0" w:space="0" w:color="auto"/>
      </w:divBdr>
    </w:div>
    <w:div w:id="1059285245">
      <w:bodyDiv w:val="1"/>
      <w:marLeft w:val="0"/>
      <w:marRight w:val="0"/>
      <w:marTop w:val="0"/>
      <w:marBottom w:val="0"/>
      <w:divBdr>
        <w:top w:val="none" w:sz="0" w:space="0" w:color="auto"/>
        <w:left w:val="none" w:sz="0" w:space="0" w:color="auto"/>
        <w:bottom w:val="none" w:sz="0" w:space="0" w:color="auto"/>
        <w:right w:val="none" w:sz="0" w:space="0" w:color="auto"/>
      </w:divBdr>
    </w:div>
    <w:div w:id="10873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7BEB6F2094C419AE7BD3455662DE7" ma:contentTypeVersion="5" ma:contentTypeDescription="Create a new document." ma:contentTypeScope="" ma:versionID="d34e65e24536c220e0bcfc2456698a2d">
  <xsd:schema xmlns:xsd="http://www.w3.org/2001/XMLSchema" xmlns:xs="http://www.w3.org/2001/XMLSchema" xmlns:p="http://schemas.microsoft.com/office/2006/metadata/properties" xmlns:ns3="bde3e21d-d688-49dc-a251-2826dad5ac25" xmlns:ns4="1462ea8f-7408-4fa4-9291-078da32834cf" targetNamespace="http://schemas.microsoft.com/office/2006/metadata/properties" ma:root="true" ma:fieldsID="f4bc74261ad33f083cb0354784af2acc" ns3:_="" ns4:_="">
    <xsd:import namespace="bde3e21d-d688-49dc-a251-2826dad5ac25"/>
    <xsd:import namespace="1462ea8f-7408-4fa4-9291-078da32834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3e21d-d688-49dc-a251-2826dad5ac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2ea8f-7408-4fa4-9291-078da32834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9A39E-2BDC-4C72-A79D-B8A912D98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3e21d-d688-49dc-a251-2826dad5ac25"/>
    <ds:schemaRef ds:uri="1462ea8f-7408-4fa4-9291-078da3283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A8E88-4010-4BC7-B6DB-E272F62028D5}">
  <ds:schemaRefs>
    <ds:schemaRef ds:uri="http://schemas.microsoft.com/office/2006/metadata/longProperties"/>
  </ds:schemaRefs>
</ds:datastoreItem>
</file>

<file path=customXml/itemProps3.xml><?xml version="1.0" encoding="utf-8"?>
<ds:datastoreItem xmlns:ds="http://schemas.openxmlformats.org/officeDocument/2006/customXml" ds:itemID="{4129DD20-454C-4391-AC11-90165F256C54}">
  <ds:schemaRefs>
    <ds:schemaRef ds:uri="http://schemas.microsoft.com/sharepoint/v3/contenttype/forms"/>
  </ds:schemaRefs>
</ds:datastoreItem>
</file>

<file path=customXml/itemProps4.xml><?xml version="1.0" encoding="utf-8"?>
<ds:datastoreItem xmlns:ds="http://schemas.openxmlformats.org/officeDocument/2006/customXml" ds:itemID="{359F8E37-2FD7-4C32-A68E-5942D05094B7}">
  <ds:schemaRefs>
    <ds:schemaRef ds:uri="http://purl.org/dc/terms/"/>
    <ds:schemaRef ds:uri="http://schemas.microsoft.com/office/infopath/2007/PartnerControls"/>
    <ds:schemaRef ds:uri="http://schemas.microsoft.com/office/2006/documentManagement/types"/>
    <ds:schemaRef ds:uri="bde3e21d-d688-49dc-a251-2826dad5ac25"/>
    <ds:schemaRef ds:uri="http://schemas.microsoft.com/office/2006/metadata/properties"/>
    <ds:schemaRef ds:uri="http://schemas.openxmlformats.org/package/2006/metadata/core-properties"/>
    <ds:schemaRef ds:uri="http://purl.org/dc/elements/1.1/"/>
    <ds:schemaRef ds:uri="1462ea8f-7408-4fa4-9291-078da32834cf"/>
    <ds:schemaRef ds:uri="http://www.w3.org/XML/1998/namespace"/>
    <ds:schemaRef ds:uri="http://purl.org/dc/dcmitype/"/>
  </ds:schemaRefs>
</ds:datastoreItem>
</file>

<file path=customXml/itemProps5.xml><?xml version="1.0" encoding="utf-8"?>
<ds:datastoreItem xmlns:ds="http://schemas.openxmlformats.org/officeDocument/2006/customXml" ds:itemID="{B50A20A2-BA03-497F-8945-AF51A8CE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24605</Words>
  <Characters>140881</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Sandoz Pty Ltd</Company>
  <LinksUpToDate>false</LinksUpToDate>
  <CharactersWithSpaces>165156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Rituximab</dc:title>
  <dc:subject>prescription medicines</dc:subject>
  <dc:creator/>
  <cp:keywords>AusPARs</cp:keywords>
  <cp:lastPrinted>2017-06-26T23:25:00Z</cp:lastPrinted>
  <dcterms:created xsi:type="dcterms:W3CDTF">2018-09-11T00:27:00Z</dcterms:created>
  <dcterms:modified xsi:type="dcterms:W3CDTF">2018-09-11T00:29:00Z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1_p11_94">
    <vt:lpwstr/>
  </property>
  <property fmtid="{D5CDD505-2E9C-101B-9397-08002B2CF9AE}" pid="3" name="d1_p11_88">
    <vt:lpwstr/>
  </property>
  <property fmtid="{D5CDD505-2E9C-101B-9397-08002B2CF9AE}" pid="4" name="hd68aa4e02194580bd84d17754489a77">
    <vt:lpwstr/>
  </property>
  <property fmtid="{D5CDD505-2E9C-101B-9397-08002B2CF9AE}" pid="5" name="d1_p11_11">
    <vt:lpwstr/>
  </property>
  <property fmtid="{D5CDD505-2E9C-101B-9397-08002B2CF9AE}" pid="6" name="d0c8e85c950846968ac482549d80c0bc">
    <vt:lpwstr/>
  </property>
  <property fmtid="{D5CDD505-2E9C-101B-9397-08002B2CF9AE}" pid="7" name="d1_p11_82">
    <vt:lpwstr/>
  </property>
  <property fmtid="{D5CDD505-2E9C-101B-9397-08002B2CF9AE}" pid="8" name="d35e40d87d4f4274b285d43b6872c6cd">
    <vt:lpwstr/>
  </property>
  <property fmtid="{D5CDD505-2E9C-101B-9397-08002B2CF9AE}" pid="9" name="TaxCatchAll">
    <vt:lpwstr/>
  </property>
</Properties>
</file>