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47E11DC" w14:textId="77777777" w:rsidTr="00BF1190">
        <w:trPr>
          <w:trHeight w:val="1863"/>
        </w:trPr>
        <w:tc>
          <w:tcPr>
            <w:tcW w:w="3652" w:type="dxa"/>
            <w:tcBorders>
              <w:top w:val="nil"/>
              <w:left w:val="nil"/>
              <w:bottom w:val="nil"/>
              <w:right w:val="nil"/>
            </w:tcBorders>
          </w:tcPr>
          <w:p w14:paraId="7B9B6BA8" w14:textId="77777777" w:rsidR="008E7846" w:rsidRPr="00096AA7" w:rsidRDefault="0056265A" w:rsidP="0056265A">
            <w:pPr>
              <w:rPr>
                <w:rFonts w:ascii="Arial" w:hAnsi="Arial" w:cs="Arial"/>
                <w:b/>
                <w:color w:val="002C47"/>
                <w:sz w:val="36"/>
                <w:szCs w:val="36"/>
              </w:rPr>
            </w:pPr>
            <w:bookmarkStart w:id="0" w:name="_GoBack"/>
            <w:bookmarkEnd w:id="0"/>
            <w:r>
              <w:rPr>
                <w:rFonts w:ascii="Arial" w:hAnsi="Arial" w:cs="Arial"/>
                <w:b/>
                <w:color w:val="002C47"/>
                <w:sz w:val="36"/>
                <w:szCs w:val="36"/>
              </w:rPr>
              <w:t>August</w:t>
            </w:r>
            <w:r w:rsidR="00C346AB">
              <w:rPr>
                <w:rFonts w:ascii="Arial" w:hAnsi="Arial" w:cs="Arial"/>
                <w:b/>
                <w:color w:val="002C47"/>
                <w:sz w:val="36"/>
                <w:szCs w:val="36"/>
              </w:rPr>
              <w:t xml:space="preserve"> </w:t>
            </w:r>
            <w:r>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AAED1F4" w14:textId="77777777" w:rsidTr="0032583B">
        <w:trPr>
          <w:trHeight w:val="868"/>
        </w:trPr>
        <w:tc>
          <w:tcPr>
            <w:tcW w:w="9079" w:type="dxa"/>
          </w:tcPr>
          <w:p w14:paraId="437FD8D9" w14:textId="77777777" w:rsidR="0032583B" w:rsidRPr="00455D5D" w:rsidRDefault="0032583B" w:rsidP="00455D5D">
            <w:pPr>
              <w:rPr>
                <w:rFonts w:ascii="Arial" w:hAnsi="Arial" w:cs="Arial"/>
                <w:color w:val="FFFFFF" w:themeColor="background1"/>
                <w:sz w:val="52"/>
                <w:szCs w:val="52"/>
              </w:rPr>
            </w:pPr>
            <w:r w:rsidRPr="00455D5D">
              <w:rPr>
                <w:rFonts w:ascii="Arial" w:hAnsi="Arial" w:cs="Arial"/>
                <w:color w:val="FFFFFF" w:themeColor="background1"/>
                <w:sz w:val="52"/>
                <w:szCs w:val="52"/>
              </w:rPr>
              <w:t xml:space="preserve">Australian Public Assessment Report for </w:t>
            </w:r>
            <w:r w:rsidR="0056265A" w:rsidRPr="00455D5D">
              <w:rPr>
                <w:rFonts w:ascii="Arial" w:hAnsi="Arial" w:cs="Arial"/>
                <w:color w:val="FFFFFF" w:themeColor="background1"/>
                <w:sz w:val="52"/>
                <w:szCs w:val="52"/>
              </w:rPr>
              <w:t>Rituximab</w:t>
            </w:r>
          </w:p>
        </w:tc>
      </w:tr>
      <w:tr w:rsidR="0032583B" w:rsidRPr="00B64760" w14:paraId="234A1030" w14:textId="77777777" w:rsidTr="0032583B">
        <w:tc>
          <w:tcPr>
            <w:tcW w:w="9079" w:type="dxa"/>
          </w:tcPr>
          <w:p w14:paraId="3FB93E4E" w14:textId="77777777" w:rsidR="00455D5D" w:rsidRDefault="00455D5D" w:rsidP="00455D5D">
            <w:pPr>
              <w:rPr>
                <w:rFonts w:ascii="Arial" w:hAnsi="Arial" w:cs="Arial"/>
                <w:color w:val="FFFFFF" w:themeColor="background1"/>
                <w:sz w:val="40"/>
                <w:szCs w:val="40"/>
              </w:rPr>
            </w:pPr>
          </w:p>
          <w:p w14:paraId="409806CF" w14:textId="77777777" w:rsidR="0032583B" w:rsidRPr="00455D5D" w:rsidRDefault="0032583B" w:rsidP="00455D5D">
            <w:pPr>
              <w:rPr>
                <w:rFonts w:ascii="Arial" w:hAnsi="Arial" w:cs="Arial"/>
                <w:color w:val="FFFFFF" w:themeColor="background1"/>
                <w:sz w:val="40"/>
                <w:szCs w:val="40"/>
              </w:rPr>
            </w:pPr>
            <w:r w:rsidRPr="00455D5D">
              <w:rPr>
                <w:rFonts w:ascii="Arial" w:hAnsi="Arial" w:cs="Arial"/>
                <w:color w:val="FFFFFF" w:themeColor="background1"/>
                <w:sz w:val="40"/>
                <w:szCs w:val="40"/>
              </w:rPr>
              <w:t xml:space="preserve">Proprietary Product Name: </w:t>
            </w:r>
            <w:r w:rsidR="0056265A" w:rsidRPr="00455D5D">
              <w:rPr>
                <w:rFonts w:ascii="Arial" w:hAnsi="Arial" w:cs="Arial"/>
                <w:color w:val="FFFFFF" w:themeColor="background1"/>
                <w:sz w:val="40"/>
                <w:szCs w:val="40"/>
              </w:rPr>
              <w:t>MabThera</w:t>
            </w:r>
          </w:p>
        </w:tc>
      </w:tr>
      <w:tr w:rsidR="0032583B" w:rsidRPr="00B64760" w14:paraId="3A9C8B22" w14:textId="77777777" w:rsidTr="0032583B">
        <w:trPr>
          <w:trHeight w:val="486"/>
        </w:trPr>
        <w:tc>
          <w:tcPr>
            <w:tcW w:w="9079" w:type="dxa"/>
          </w:tcPr>
          <w:p w14:paraId="6B5BC4DF" w14:textId="77777777" w:rsidR="0032583B" w:rsidRPr="00455D5D" w:rsidRDefault="0032583B" w:rsidP="00455D5D">
            <w:pPr>
              <w:pStyle w:val="Subtitle"/>
              <w:ind w:left="0"/>
              <w:rPr>
                <w:rFonts w:cs="Arial"/>
                <w:color w:val="FFFFFF" w:themeColor="background1"/>
              </w:rPr>
            </w:pPr>
            <w:r w:rsidRPr="00455D5D">
              <w:rPr>
                <w:rFonts w:cs="Arial"/>
                <w:color w:val="FFFFFF" w:themeColor="background1"/>
              </w:rPr>
              <w:t>Sponsor:</w:t>
            </w:r>
            <w:r w:rsidR="003E57C6">
              <w:rPr>
                <w:rFonts w:cs="Arial"/>
                <w:color w:val="FFFFFF" w:themeColor="background1"/>
              </w:rPr>
              <w:t xml:space="preserve"> </w:t>
            </w:r>
            <w:r w:rsidR="0056265A" w:rsidRPr="00455D5D">
              <w:rPr>
                <w:rFonts w:cs="Arial"/>
                <w:color w:val="FFFFFF" w:themeColor="background1"/>
                <w:szCs w:val="22"/>
              </w:rPr>
              <w:t>Roche Products Pty Ltd</w:t>
            </w:r>
            <w:r w:rsidRPr="00455D5D">
              <w:rPr>
                <w:rFonts w:cs="Arial"/>
                <w:color w:val="FFFFFF" w:themeColor="background1"/>
              </w:rPr>
              <w:t xml:space="preserve"> </w:t>
            </w:r>
          </w:p>
        </w:tc>
      </w:tr>
    </w:tbl>
    <w:p w14:paraId="22927564" w14:textId="77777777" w:rsidR="008E7846" w:rsidRPr="0085156D" w:rsidRDefault="008E7846" w:rsidP="0085156D">
      <w:r w:rsidRPr="0085156D">
        <w:br w:type="page"/>
      </w:r>
    </w:p>
    <w:p w14:paraId="67AE2F3A" w14:textId="77777777" w:rsidR="008E7846" w:rsidRPr="001F6CBA" w:rsidRDefault="008E7846" w:rsidP="008E7846">
      <w:pPr>
        <w:pStyle w:val="NonTOCHeading2"/>
      </w:pPr>
      <w:r w:rsidRPr="001F6CBA">
        <w:lastRenderedPageBreak/>
        <w:t>About the Therapeutic Goods Administration (TGA)</w:t>
      </w:r>
    </w:p>
    <w:p w14:paraId="2056C33A" w14:textId="77777777" w:rsidR="008E7846" w:rsidRDefault="008E7846" w:rsidP="006E450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B8C44EA" w14:textId="77777777" w:rsidR="008E7846" w:rsidRDefault="00C80137" w:rsidP="006E450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0F3C8B5E" w14:textId="77777777" w:rsidR="008E7846" w:rsidRDefault="008E7846" w:rsidP="006E450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0BB5E21" w14:textId="77777777" w:rsidR="008E7846" w:rsidRDefault="008E7846" w:rsidP="006E450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F16EEAE" w14:textId="77777777" w:rsidR="008E7846" w:rsidRDefault="008E7846" w:rsidP="006E4508">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14:paraId="3DCF691F" w14:textId="77777777" w:rsidR="008E7846" w:rsidRDefault="008E7846" w:rsidP="008E7846">
      <w:pPr>
        <w:pStyle w:val="NonTOCHeading2"/>
      </w:pPr>
      <w:r>
        <w:t>About AusPARs</w:t>
      </w:r>
    </w:p>
    <w:p w14:paraId="4098A3C6" w14:textId="77777777" w:rsidR="00FC4A5D" w:rsidRDefault="008E7846" w:rsidP="006E4508">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prescription medicine submission</w:t>
      </w:r>
      <w:r w:rsidR="00FC4A5D">
        <w:t>.</w:t>
      </w:r>
    </w:p>
    <w:p w14:paraId="05C46C3A" w14:textId="0A7EE15F" w:rsidR="008E7846" w:rsidRDefault="008E7846" w:rsidP="006E4508">
      <w:pPr>
        <w:pStyle w:val="ListBullet"/>
        <w:numPr>
          <w:ilvl w:val="0"/>
          <w:numId w:val="1"/>
        </w:numPr>
        <w:ind w:left="357" w:hanging="357"/>
      </w:pPr>
      <w:proofErr w:type="spellStart"/>
      <w:r>
        <w:t>AusPARs</w:t>
      </w:r>
      <w:proofErr w:type="spellEnd"/>
      <w:r>
        <w:t xml:space="preserve"> are prepared and published by the TGA.</w:t>
      </w:r>
    </w:p>
    <w:p w14:paraId="5B78B347" w14:textId="77777777" w:rsidR="008E7846" w:rsidRDefault="008E7846" w:rsidP="006E4508">
      <w:pPr>
        <w:pStyle w:val="ListBullet"/>
        <w:numPr>
          <w:ilvl w:val="0"/>
          <w:numId w:val="1"/>
        </w:numPr>
        <w:ind w:left="357" w:hanging="357"/>
      </w:pPr>
      <w:r>
        <w:t>An AusPAR is prepared for submissions that relate to new chemical entities, generic medicines, major variations, and extensions of indications.</w:t>
      </w:r>
    </w:p>
    <w:p w14:paraId="40828C33" w14:textId="77777777" w:rsidR="008E7846" w:rsidRDefault="008E7846" w:rsidP="006E4508">
      <w:pPr>
        <w:pStyle w:val="ListBullet"/>
        <w:numPr>
          <w:ilvl w:val="0"/>
          <w:numId w:val="1"/>
        </w:numPr>
        <w:ind w:left="357" w:hanging="357"/>
      </w:pPr>
      <w:r>
        <w:t>An AusPAR is a static document, in that it will provide information that relates to a submission at a particular point in time.</w:t>
      </w:r>
    </w:p>
    <w:p w14:paraId="6B495F76" w14:textId="77777777" w:rsidR="00B452CE" w:rsidRDefault="008E7846" w:rsidP="006E4508">
      <w:pPr>
        <w:pStyle w:val="ListBullet"/>
        <w:numPr>
          <w:ilvl w:val="0"/>
          <w:numId w:val="1"/>
        </w:numPr>
        <w:ind w:left="357" w:hanging="357"/>
      </w:pPr>
      <w:r>
        <w:t>A new AusPAR will be developed to reflect changes to indications and/or major variations to a prescription medicine subject to evaluation by the TGA.</w:t>
      </w:r>
    </w:p>
    <w:p w14:paraId="78E01106" w14:textId="77777777" w:rsidR="00924482" w:rsidRPr="00DF1D7F" w:rsidRDefault="00924482" w:rsidP="00F54B65">
      <w:pPr>
        <w:pStyle w:val="LegalSubheading"/>
        <w:spacing w:before="3120"/>
      </w:pPr>
      <w:r w:rsidRPr="00DF1D7F">
        <w:t>Copyright</w:t>
      </w:r>
    </w:p>
    <w:p w14:paraId="46FA0765" w14:textId="77777777"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00FA7D0B"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49BD030" w14:textId="77777777" w:rsidR="0089635C" w:rsidRPr="0089635C" w:rsidRDefault="0089635C" w:rsidP="0010788A">
          <w:pPr>
            <w:pStyle w:val="Contents"/>
          </w:pPr>
          <w:r w:rsidRPr="0010788A">
            <w:t>Contents</w:t>
          </w:r>
        </w:p>
        <w:p w14:paraId="0A064849" w14:textId="77777777" w:rsidR="00FC4A5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0622488" w:history="1">
            <w:r w:rsidR="00FC4A5D" w:rsidRPr="00F8457C">
              <w:rPr>
                <w:rStyle w:val="Hyperlink"/>
                <w:noProof/>
              </w:rPr>
              <w:t>List of the most common abbreviations used in this AusPAR</w:t>
            </w:r>
            <w:r w:rsidR="00FC4A5D">
              <w:rPr>
                <w:noProof/>
                <w:webHidden/>
              </w:rPr>
              <w:tab/>
            </w:r>
            <w:r w:rsidR="00FC4A5D">
              <w:rPr>
                <w:noProof/>
                <w:webHidden/>
              </w:rPr>
              <w:fldChar w:fldCharType="begin"/>
            </w:r>
            <w:r w:rsidR="00FC4A5D">
              <w:rPr>
                <w:noProof/>
                <w:webHidden/>
              </w:rPr>
              <w:instrText xml:space="preserve"> PAGEREF _Toc430622488 \h </w:instrText>
            </w:r>
            <w:r w:rsidR="00FC4A5D">
              <w:rPr>
                <w:noProof/>
                <w:webHidden/>
              </w:rPr>
            </w:r>
            <w:r w:rsidR="00FC4A5D">
              <w:rPr>
                <w:noProof/>
                <w:webHidden/>
              </w:rPr>
              <w:fldChar w:fldCharType="separate"/>
            </w:r>
            <w:r w:rsidR="00FC4A5D">
              <w:rPr>
                <w:noProof/>
                <w:webHidden/>
              </w:rPr>
              <w:t>4</w:t>
            </w:r>
            <w:r w:rsidR="00FC4A5D">
              <w:rPr>
                <w:noProof/>
                <w:webHidden/>
              </w:rPr>
              <w:fldChar w:fldCharType="end"/>
            </w:r>
          </w:hyperlink>
        </w:p>
        <w:p w14:paraId="2E0FC1BB" w14:textId="77777777" w:rsidR="00FC4A5D" w:rsidRDefault="005332D9">
          <w:pPr>
            <w:pStyle w:val="TOC2"/>
            <w:rPr>
              <w:rFonts w:asciiTheme="minorHAnsi" w:eastAsiaTheme="minorEastAsia" w:hAnsiTheme="minorHAnsi" w:cstheme="minorBidi"/>
              <w:b w:val="0"/>
              <w:noProof/>
              <w:sz w:val="22"/>
              <w:lang w:eastAsia="en-AU"/>
            </w:rPr>
          </w:pPr>
          <w:hyperlink w:anchor="_Toc430622489" w:history="1">
            <w:r w:rsidR="00FC4A5D" w:rsidRPr="00F8457C">
              <w:rPr>
                <w:rStyle w:val="Hyperlink"/>
                <w:noProof/>
              </w:rPr>
              <w:t>I. Introduction to product submission</w:t>
            </w:r>
            <w:r w:rsidR="00FC4A5D">
              <w:rPr>
                <w:noProof/>
                <w:webHidden/>
              </w:rPr>
              <w:tab/>
            </w:r>
            <w:r w:rsidR="00FC4A5D">
              <w:rPr>
                <w:noProof/>
                <w:webHidden/>
              </w:rPr>
              <w:fldChar w:fldCharType="begin"/>
            </w:r>
            <w:r w:rsidR="00FC4A5D">
              <w:rPr>
                <w:noProof/>
                <w:webHidden/>
              </w:rPr>
              <w:instrText xml:space="preserve"> PAGEREF _Toc430622489 \h </w:instrText>
            </w:r>
            <w:r w:rsidR="00FC4A5D">
              <w:rPr>
                <w:noProof/>
                <w:webHidden/>
              </w:rPr>
            </w:r>
            <w:r w:rsidR="00FC4A5D">
              <w:rPr>
                <w:noProof/>
                <w:webHidden/>
              </w:rPr>
              <w:fldChar w:fldCharType="separate"/>
            </w:r>
            <w:r w:rsidR="00FC4A5D">
              <w:rPr>
                <w:noProof/>
                <w:webHidden/>
              </w:rPr>
              <w:t>6</w:t>
            </w:r>
            <w:r w:rsidR="00FC4A5D">
              <w:rPr>
                <w:noProof/>
                <w:webHidden/>
              </w:rPr>
              <w:fldChar w:fldCharType="end"/>
            </w:r>
          </w:hyperlink>
        </w:p>
        <w:p w14:paraId="2D87F907" w14:textId="77777777" w:rsidR="00FC4A5D" w:rsidRDefault="005332D9">
          <w:pPr>
            <w:pStyle w:val="TOC3"/>
            <w:rPr>
              <w:rFonts w:asciiTheme="minorHAnsi" w:eastAsiaTheme="minorEastAsia" w:hAnsiTheme="minorHAnsi" w:cstheme="minorBidi"/>
              <w:noProof/>
              <w:lang w:eastAsia="en-AU"/>
            </w:rPr>
          </w:pPr>
          <w:hyperlink w:anchor="_Toc430622490" w:history="1">
            <w:r w:rsidR="00FC4A5D" w:rsidRPr="00F8457C">
              <w:rPr>
                <w:rStyle w:val="Hyperlink"/>
                <w:noProof/>
                <w:lang w:eastAsia="en-AU"/>
              </w:rPr>
              <w:t>Submission details</w:t>
            </w:r>
            <w:r w:rsidR="00FC4A5D">
              <w:rPr>
                <w:noProof/>
                <w:webHidden/>
              </w:rPr>
              <w:tab/>
            </w:r>
            <w:r w:rsidR="00FC4A5D">
              <w:rPr>
                <w:noProof/>
                <w:webHidden/>
              </w:rPr>
              <w:fldChar w:fldCharType="begin"/>
            </w:r>
            <w:r w:rsidR="00FC4A5D">
              <w:rPr>
                <w:noProof/>
                <w:webHidden/>
              </w:rPr>
              <w:instrText xml:space="preserve"> PAGEREF _Toc430622490 \h </w:instrText>
            </w:r>
            <w:r w:rsidR="00FC4A5D">
              <w:rPr>
                <w:noProof/>
                <w:webHidden/>
              </w:rPr>
            </w:r>
            <w:r w:rsidR="00FC4A5D">
              <w:rPr>
                <w:noProof/>
                <w:webHidden/>
              </w:rPr>
              <w:fldChar w:fldCharType="separate"/>
            </w:r>
            <w:r w:rsidR="00FC4A5D">
              <w:rPr>
                <w:noProof/>
                <w:webHidden/>
              </w:rPr>
              <w:t>6</w:t>
            </w:r>
            <w:r w:rsidR="00FC4A5D">
              <w:rPr>
                <w:noProof/>
                <w:webHidden/>
              </w:rPr>
              <w:fldChar w:fldCharType="end"/>
            </w:r>
          </w:hyperlink>
        </w:p>
        <w:p w14:paraId="54695011" w14:textId="77777777" w:rsidR="00FC4A5D" w:rsidRDefault="005332D9">
          <w:pPr>
            <w:pStyle w:val="TOC3"/>
            <w:rPr>
              <w:rFonts w:asciiTheme="minorHAnsi" w:eastAsiaTheme="minorEastAsia" w:hAnsiTheme="minorHAnsi" w:cstheme="minorBidi"/>
              <w:noProof/>
              <w:lang w:eastAsia="en-AU"/>
            </w:rPr>
          </w:pPr>
          <w:hyperlink w:anchor="_Toc430622491" w:history="1">
            <w:r w:rsidR="00FC4A5D" w:rsidRPr="00F8457C">
              <w:rPr>
                <w:rStyle w:val="Hyperlink"/>
                <w:noProof/>
              </w:rPr>
              <w:t>Product background</w:t>
            </w:r>
            <w:r w:rsidR="00FC4A5D">
              <w:rPr>
                <w:noProof/>
                <w:webHidden/>
              </w:rPr>
              <w:tab/>
            </w:r>
            <w:r w:rsidR="00FC4A5D">
              <w:rPr>
                <w:noProof/>
                <w:webHidden/>
              </w:rPr>
              <w:fldChar w:fldCharType="begin"/>
            </w:r>
            <w:r w:rsidR="00FC4A5D">
              <w:rPr>
                <w:noProof/>
                <w:webHidden/>
              </w:rPr>
              <w:instrText xml:space="preserve"> PAGEREF _Toc430622491 \h </w:instrText>
            </w:r>
            <w:r w:rsidR="00FC4A5D">
              <w:rPr>
                <w:noProof/>
                <w:webHidden/>
              </w:rPr>
            </w:r>
            <w:r w:rsidR="00FC4A5D">
              <w:rPr>
                <w:noProof/>
                <w:webHidden/>
              </w:rPr>
              <w:fldChar w:fldCharType="separate"/>
            </w:r>
            <w:r w:rsidR="00FC4A5D">
              <w:rPr>
                <w:noProof/>
                <w:webHidden/>
              </w:rPr>
              <w:t>6</w:t>
            </w:r>
            <w:r w:rsidR="00FC4A5D">
              <w:rPr>
                <w:noProof/>
                <w:webHidden/>
              </w:rPr>
              <w:fldChar w:fldCharType="end"/>
            </w:r>
          </w:hyperlink>
        </w:p>
        <w:p w14:paraId="673183CD" w14:textId="77777777" w:rsidR="00FC4A5D" w:rsidRDefault="005332D9">
          <w:pPr>
            <w:pStyle w:val="TOC3"/>
            <w:rPr>
              <w:rFonts w:asciiTheme="minorHAnsi" w:eastAsiaTheme="minorEastAsia" w:hAnsiTheme="minorHAnsi" w:cstheme="minorBidi"/>
              <w:noProof/>
              <w:lang w:eastAsia="en-AU"/>
            </w:rPr>
          </w:pPr>
          <w:hyperlink w:anchor="_Toc430622492" w:history="1">
            <w:r w:rsidR="00FC4A5D" w:rsidRPr="00F8457C">
              <w:rPr>
                <w:rStyle w:val="Hyperlink"/>
                <w:noProof/>
              </w:rPr>
              <w:t>Regulatory status</w:t>
            </w:r>
            <w:r w:rsidR="00FC4A5D">
              <w:rPr>
                <w:noProof/>
                <w:webHidden/>
              </w:rPr>
              <w:tab/>
            </w:r>
            <w:r w:rsidR="00FC4A5D">
              <w:rPr>
                <w:noProof/>
                <w:webHidden/>
              </w:rPr>
              <w:fldChar w:fldCharType="begin"/>
            </w:r>
            <w:r w:rsidR="00FC4A5D">
              <w:rPr>
                <w:noProof/>
                <w:webHidden/>
              </w:rPr>
              <w:instrText xml:space="preserve"> PAGEREF _Toc430622492 \h </w:instrText>
            </w:r>
            <w:r w:rsidR="00FC4A5D">
              <w:rPr>
                <w:noProof/>
                <w:webHidden/>
              </w:rPr>
            </w:r>
            <w:r w:rsidR="00FC4A5D">
              <w:rPr>
                <w:noProof/>
                <w:webHidden/>
              </w:rPr>
              <w:fldChar w:fldCharType="separate"/>
            </w:r>
            <w:r w:rsidR="00FC4A5D">
              <w:rPr>
                <w:noProof/>
                <w:webHidden/>
              </w:rPr>
              <w:t>8</w:t>
            </w:r>
            <w:r w:rsidR="00FC4A5D">
              <w:rPr>
                <w:noProof/>
                <w:webHidden/>
              </w:rPr>
              <w:fldChar w:fldCharType="end"/>
            </w:r>
          </w:hyperlink>
        </w:p>
        <w:p w14:paraId="719A3154" w14:textId="77777777" w:rsidR="00FC4A5D" w:rsidRDefault="005332D9">
          <w:pPr>
            <w:pStyle w:val="TOC3"/>
            <w:rPr>
              <w:rFonts w:asciiTheme="minorHAnsi" w:eastAsiaTheme="minorEastAsia" w:hAnsiTheme="minorHAnsi" w:cstheme="minorBidi"/>
              <w:noProof/>
              <w:lang w:eastAsia="en-AU"/>
            </w:rPr>
          </w:pPr>
          <w:hyperlink w:anchor="_Toc430622493" w:history="1">
            <w:r w:rsidR="00FC4A5D" w:rsidRPr="00F8457C">
              <w:rPr>
                <w:rStyle w:val="Hyperlink"/>
                <w:noProof/>
              </w:rPr>
              <w:t>Product Information</w:t>
            </w:r>
            <w:r w:rsidR="00FC4A5D">
              <w:rPr>
                <w:noProof/>
                <w:webHidden/>
              </w:rPr>
              <w:tab/>
            </w:r>
            <w:r w:rsidR="00FC4A5D">
              <w:rPr>
                <w:noProof/>
                <w:webHidden/>
              </w:rPr>
              <w:fldChar w:fldCharType="begin"/>
            </w:r>
            <w:r w:rsidR="00FC4A5D">
              <w:rPr>
                <w:noProof/>
                <w:webHidden/>
              </w:rPr>
              <w:instrText xml:space="preserve"> PAGEREF _Toc430622493 \h </w:instrText>
            </w:r>
            <w:r w:rsidR="00FC4A5D">
              <w:rPr>
                <w:noProof/>
                <w:webHidden/>
              </w:rPr>
            </w:r>
            <w:r w:rsidR="00FC4A5D">
              <w:rPr>
                <w:noProof/>
                <w:webHidden/>
              </w:rPr>
              <w:fldChar w:fldCharType="separate"/>
            </w:r>
            <w:r w:rsidR="00FC4A5D">
              <w:rPr>
                <w:noProof/>
                <w:webHidden/>
              </w:rPr>
              <w:t>8</w:t>
            </w:r>
            <w:r w:rsidR="00FC4A5D">
              <w:rPr>
                <w:noProof/>
                <w:webHidden/>
              </w:rPr>
              <w:fldChar w:fldCharType="end"/>
            </w:r>
          </w:hyperlink>
        </w:p>
        <w:p w14:paraId="436345E6" w14:textId="77777777" w:rsidR="00FC4A5D" w:rsidRDefault="005332D9">
          <w:pPr>
            <w:pStyle w:val="TOC2"/>
            <w:rPr>
              <w:rFonts w:asciiTheme="minorHAnsi" w:eastAsiaTheme="minorEastAsia" w:hAnsiTheme="minorHAnsi" w:cstheme="minorBidi"/>
              <w:b w:val="0"/>
              <w:noProof/>
              <w:sz w:val="22"/>
              <w:lang w:eastAsia="en-AU"/>
            </w:rPr>
          </w:pPr>
          <w:hyperlink w:anchor="_Toc430622494" w:history="1">
            <w:r w:rsidR="00FC4A5D" w:rsidRPr="00F8457C">
              <w:rPr>
                <w:rStyle w:val="Hyperlink"/>
                <w:noProof/>
              </w:rPr>
              <w:t>II. Quality findings</w:t>
            </w:r>
            <w:r w:rsidR="00FC4A5D">
              <w:rPr>
                <w:noProof/>
                <w:webHidden/>
              </w:rPr>
              <w:tab/>
            </w:r>
            <w:r w:rsidR="00FC4A5D">
              <w:rPr>
                <w:noProof/>
                <w:webHidden/>
              </w:rPr>
              <w:fldChar w:fldCharType="begin"/>
            </w:r>
            <w:r w:rsidR="00FC4A5D">
              <w:rPr>
                <w:noProof/>
                <w:webHidden/>
              </w:rPr>
              <w:instrText xml:space="preserve"> PAGEREF _Toc430622494 \h </w:instrText>
            </w:r>
            <w:r w:rsidR="00FC4A5D">
              <w:rPr>
                <w:noProof/>
                <w:webHidden/>
              </w:rPr>
            </w:r>
            <w:r w:rsidR="00FC4A5D">
              <w:rPr>
                <w:noProof/>
                <w:webHidden/>
              </w:rPr>
              <w:fldChar w:fldCharType="separate"/>
            </w:r>
            <w:r w:rsidR="00FC4A5D">
              <w:rPr>
                <w:noProof/>
                <w:webHidden/>
              </w:rPr>
              <w:t>9</w:t>
            </w:r>
            <w:r w:rsidR="00FC4A5D">
              <w:rPr>
                <w:noProof/>
                <w:webHidden/>
              </w:rPr>
              <w:fldChar w:fldCharType="end"/>
            </w:r>
          </w:hyperlink>
        </w:p>
        <w:p w14:paraId="527D4F10" w14:textId="77777777" w:rsidR="00FC4A5D" w:rsidRDefault="005332D9">
          <w:pPr>
            <w:pStyle w:val="TOC2"/>
            <w:rPr>
              <w:rFonts w:asciiTheme="minorHAnsi" w:eastAsiaTheme="minorEastAsia" w:hAnsiTheme="minorHAnsi" w:cstheme="minorBidi"/>
              <w:b w:val="0"/>
              <w:noProof/>
              <w:sz w:val="22"/>
              <w:lang w:eastAsia="en-AU"/>
            </w:rPr>
          </w:pPr>
          <w:hyperlink w:anchor="_Toc430622495" w:history="1">
            <w:r w:rsidR="00FC4A5D" w:rsidRPr="00F8457C">
              <w:rPr>
                <w:rStyle w:val="Hyperlink"/>
                <w:noProof/>
              </w:rPr>
              <w:t>III. Nonclinical findings</w:t>
            </w:r>
            <w:r w:rsidR="00FC4A5D">
              <w:rPr>
                <w:noProof/>
                <w:webHidden/>
              </w:rPr>
              <w:tab/>
            </w:r>
            <w:r w:rsidR="00FC4A5D">
              <w:rPr>
                <w:noProof/>
                <w:webHidden/>
              </w:rPr>
              <w:fldChar w:fldCharType="begin"/>
            </w:r>
            <w:r w:rsidR="00FC4A5D">
              <w:rPr>
                <w:noProof/>
                <w:webHidden/>
              </w:rPr>
              <w:instrText xml:space="preserve"> PAGEREF _Toc430622495 \h </w:instrText>
            </w:r>
            <w:r w:rsidR="00FC4A5D">
              <w:rPr>
                <w:noProof/>
                <w:webHidden/>
              </w:rPr>
            </w:r>
            <w:r w:rsidR="00FC4A5D">
              <w:rPr>
                <w:noProof/>
                <w:webHidden/>
              </w:rPr>
              <w:fldChar w:fldCharType="separate"/>
            </w:r>
            <w:r w:rsidR="00FC4A5D">
              <w:rPr>
                <w:noProof/>
                <w:webHidden/>
              </w:rPr>
              <w:t>9</w:t>
            </w:r>
            <w:r w:rsidR="00FC4A5D">
              <w:rPr>
                <w:noProof/>
                <w:webHidden/>
              </w:rPr>
              <w:fldChar w:fldCharType="end"/>
            </w:r>
          </w:hyperlink>
        </w:p>
        <w:p w14:paraId="2C4EEFBB" w14:textId="77777777" w:rsidR="00FC4A5D" w:rsidRDefault="005332D9">
          <w:pPr>
            <w:pStyle w:val="TOC2"/>
            <w:rPr>
              <w:rFonts w:asciiTheme="minorHAnsi" w:eastAsiaTheme="minorEastAsia" w:hAnsiTheme="minorHAnsi" w:cstheme="minorBidi"/>
              <w:b w:val="0"/>
              <w:noProof/>
              <w:sz w:val="22"/>
              <w:lang w:eastAsia="en-AU"/>
            </w:rPr>
          </w:pPr>
          <w:hyperlink w:anchor="_Toc430622496" w:history="1">
            <w:r w:rsidR="00FC4A5D" w:rsidRPr="00F8457C">
              <w:rPr>
                <w:rStyle w:val="Hyperlink"/>
                <w:noProof/>
              </w:rPr>
              <w:t>IV. Clinical findings</w:t>
            </w:r>
            <w:r w:rsidR="00FC4A5D">
              <w:rPr>
                <w:noProof/>
                <w:webHidden/>
              </w:rPr>
              <w:tab/>
            </w:r>
            <w:r w:rsidR="00FC4A5D">
              <w:rPr>
                <w:noProof/>
                <w:webHidden/>
              </w:rPr>
              <w:fldChar w:fldCharType="begin"/>
            </w:r>
            <w:r w:rsidR="00FC4A5D">
              <w:rPr>
                <w:noProof/>
                <w:webHidden/>
              </w:rPr>
              <w:instrText xml:space="preserve"> PAGEREF _Toc430622496 \h </w:instrText>
            </w:r>
            <w:r w:rsidR="00FC4A5D">
              <w:rPr>
                <w:noProof/>
                <w:webHidden/>
              </w:rPr>
            </w:r>
            <w:r w:rsidR="00FC4A5D">
              <w:rPr>
                <w:noProof/>
                <w:webHidden/>
              </w:rPr>
              <w:fldChar w:fldCharType="separate"/>
            </w:r>
            <w:r w:rsidR="00FC4A5D">
              <w:rPr>
                <w:noProof/>
                <w:webHidden/>
              </w:rPr>
              <w:t>9</w:t>
            </w:r>
            <w:r w:rsidR="00FC4A5D">
              <w:rPr>
                <w:noProof/>
                <w:webHidden/>
              </w:rPr>
              <w:fldChar w:fldCharType="end"/>
            </w:r>
          </w:hyperlink>
        </w:p>
        <w:p w14:paraId="6B4FA762" w14:textId="77777777" w:rsidR="00FC4A5D" w:rsidRDefault="005332D9">
          <w:pPr>
            <w:pStyle w:val="TOC3"/>
            <w:rPr>
              <w:rFonts w:asciiTheme="minorHAnsi" w:eastAsiaTheme="minorEastAsia" w:hAnsiTheme="minorHAnsi" w:cstheme="minorBidi"/>
              <w:noProof/>
              <w:lang w:eastAsia="en-AU"/>
            </w:rPr>
          </w:pPr>
          <w:hyperlink w:anchor="_Toc430622497" w:history="1">
            <w:r w:rsidR="00FC4A5D" w:rsidRPr="00F8457C">
              <w:rPr>
                <w:rStyle w:val="Hyperlink"/>
                <w:noProof/>
              </w:rPr>
              <w:t>Introduction</w:t>
            </w:r>
            <w:r w:rsidR="00FC4A5D">
              <w:rPr>
                <w:noProof/>
                <w:webHidden/>
              </w:rPr>
              <w:tab/>
            </w:r>
            <w:r w:rsidR="00FC4A5D">
              <w:rPr>
                <w:noProof/>
                <w:webHidden/>
              </w:rPr>
              <w:fldChar w:fldCharType="begin"/>
            </w:r>
            <w:r w:rsidR="00FC4A5D">
              <w:rPr>
                <w:noProof/>
                <w:webHidden/>
              </w:rPr>
              <w:instrText xml:space="preserve"> PAGEREF _Toc430622497 \h </w:instrText>
            </w:r>
            <w:r w:rsidR="00FC4A5D">
              <w:rPr>
                <w:noProof/>
                <w:webHidden/>
              </w:rPr>
            </w:r>
            <w:r w:rsidR="00FC4A5D">
              <w:rPr>
                <w:noProof/>
                <w:webHidden/>
              </w:rPr>
              <w:fldChar w:fldCharType="separate"/>
            </w:r>
            <w:r w:rsidR="00FC4A5D">
              <w:rPr>
                <w:noProof/>
                <w:webHidden/>
              </w:rPr>
              <w:t>9</w:t>
            </w:r>
            <w:r w:rsidR="00FC4A5D">
              <w:rPr>
                <w:noProof/>
                <w:webHidden/>
              </w:rPr>
              <w:fldChar w:fldCharType="end"/>
            </w:r>
          </w:hyperlink>
        </w:p>
        <w:p w14:paraId="69D53B42" w14:textId="77777777" w:rsidR="00FC4A5D" w:rsidRDefault="005332D9">
          <w:pPr>
            <w:pStyle w:val="TOC3"/>
            <w:rPr>
              <w:rFonts w:asciiTheme="minorHAnsi" w:eastAsiaTheme="minorEastAsia" w:hAnsiTheme="minorHAnsi" w:cstheme="minorBidi"/>
              <w:noProof/>
              <w:lang w:eastAsia="en-AU"/>
            </w:rPr>
          </w:pPr>
          <w:hyperlink w:anchor="_Toc430622498" w:history="1">
            <w:r w:rsidR="00FC4A5D" w:rsidRPr="00F8457C">
              <w:rPr>
                <w:rStyle w:val="Hyperlink"/>
                <w:noProof/>
              </w:rPr>
              <w:t>Pharmacokinetics</w:t>
            </w:r>
            <w:r w:rsidR="00FC4A5D">
              <w:rPr>
                <w:noProof/>
                <w:webHidden/>
              </w:rPr>
              <w:tab/>
            </w:r>
            <w:r w:rsidR="00FC4A5D">
              <w:rPr>
                <w:noProof/>
                <w:webHidden/>
              </w:rPr>
              <w:fldChar w:fldCharType="begin"/>
            </w:r>
            <w:r w:rsidR="00FC4A5D">
              <w:rPr>
                <w:noProof/>
                <w:webHidden/>
              </w:rPr>
              <w:instrText xml:space="preserve"> PAGEREF _Toc430622498 \h </w:instrText>
            </w:r>
            <w:r w:rsidR="00FC4A5D">
              <w:rPr>
                <w:noProof/>
                <w:webHidden/>
              </w:rPr>
            </w:r>
            <w:r w:rsidR="00FC4A5D">
              <w:rPr>
                <w:noProof/>
                <w:webHidden/>
              </w:rPr>
              <w:fldChar w:fldCharType="separate"/>
            </w:r>
            <w:r w:rsidR="00FC4A5D">
              <w:rPr>
                <w:noProof/>
                <w:webHidden/>
              </w:rPr>
              <w:t>10</w:t>
            </w:r>
            <w:r w:rsidR="00FC4A5D">
              <w:rPr>
                <w:noProof/>
                <w:webHidden/>
              </w:rPr>
              <w:fldChar w:fldCharType="end"/>
            </w:r>
          </w:hyperlink>
        </w:p>
        <w:p w14:paraId="344F38F4" w14:textId="77777777" w:rsidR="00FC4A5D" w:rsidRDefault="005332D9">
          <w:pPr>
            <w:pStyle w:val="TOC3"/>
            <w:rPr>
              <w:rFonts w:asciiTheme="minorHAnsi" w:eastAsiaTheme="minorEastAsia" w:hAnsiTheme="minorHAnsi" w:cstheme="minorBidi"/>
              <w:noProof/>
              <w:lang w:eastAsia="en-AU"/>
            </w:rPr>
          </w:pPr>
          <w:hyperlink w:anchor="_Toc430622499" w:history="1">
            <w:r w:rsidR="00FC4A5D" w:rsidRPr="00F8457C">
              <w:rPr>
                <w:rStyle w:val="Hyperlink"/>
                <w:noProof/>
              </w:rPr>
              <w:t>Pharmacodynamics</w:t>
            </w:r>
            <w:r w:rsidR="00FC4A5D">
              <w:rPr>
                <w:noProof/>
                <w:webHidden/>
              </w:rPr>
              <w:tab/>
            </w:r>
            <w:r w:rsidR="00FC4A5D">
              <w:rPr>
                <w:noProof/>
                <w:webHidden/>
              </w:rPr>
              <w:fldChar w:fldCharType="begin"/>
            </w:r>
            <w:r w:rsidR="00FC4A5D">
              <w:rPr>
                <w:noProof/>
                <w:webHidden/>
              </w:rPr>
              <w:instrText xml:space="preserve"> PAGEREF _Toc430622499 \h </w:instrText>
            </w:r>
            <w:r w:rsidR="00FC4A5D">
              <w:rPr>
                <w:noProof/>
                <w:webHidden/>
              </w:rPr>
            </w:r>
            <w:r w:rsidR="00FC4A5D">
              <w:rPr>
                <w:noProof/>
                <w:webHidden/>
              </w:rPr>
              <w:fldChar w:fldCharType="separate"/>
            </w:r>
            <w:r w:rsidR="00FC4A5D">
              <w:rPr>
                <w:noProof/>
                <w:webHidden/>
              </w:rPr>
              <w:t>10</w:t>
            </w:r>
            <w:r w:rsidR="00FC4A5D">
              <w:rPr>
                <w:noProof/>
                <w:webHidden/>
              </w:rPr>
              <w:fldChar w:fldCharType="end"/>
            </w:r>
          </w:hyperlink>
        </w:p>
        <w:p w14:paraId="5E48CAA5" w14:textId="77777777" w:rsidR="00FC4A5D" w:rsidRDefault="005332D9">
          <w:pPr>
            <w:pStyle w:val="TOC3"/>
            <w:rPr>
              <w:rFonts w:asciiTheme="minorHAnsi" w:eastAsiaTheme="minorEastAsia" w:hAnsiTheme="minorHAnsi" w:cstheme="minorBidi"/>
              <w:noProof/>
              <w:lang w:eastAsia="en-AU"/>
            </w:rPr>
          </w:pPr>
          <w:hyperlink w:anchor="_Toc430622500" w:history="1">
            <w:r w:rsidR="00FC4A5D" w:rsidRPr="00F8457C">
              <w:rPr>
                <w:rStyle w:val="Hyperlink"/>
                <w:noProof/>
              </w:rPr>
              <w:t>Dosage selection for the pivotal studies</w:t>
            </w:r>
            <w:r w:rsidR="00FC4A5D">
              <w:rPr>
                <w:noProof/>
                <w:webHidden/>
              </w:rPr>
              <w:tab/>
            </w:r>
            <w:r w:rsidR="00FC4A5D">
              <w:rPr>
                <w:noProof/>
                <w:webHidden/>
              </w:rPr>
              <w:fldChar w:fldCharType="begin"/>
            </w:r>
            <w:r w:rsidR="00FC4A5D">
              <w:rPr>
                <w:noProof/>
                <w:webHidden/>
              </w:rPr>
              <w:instrText xml:space="preserve"> PAGEREF _Toc430622500 \h </w:instrText>
            </w:r>
            <w:r w:rsidR="00FC4A5D">
              <w:rPr>
                <w:noProof/>
                <w:webHidden/>
              </w:rPr>
            </w:r>
            <w:r w:rsidR="00FC4A5D">
              <w:rPr>
                <w:noProof/>
                <w:webHidden/>
              </w:rPr>
              <w:fldChar w:fldCharType="separate"/>
            </w:r>
            <w:r w:rsidR="00FC4A5D">
              <w:rPr>
                <w:noProof/>
                <w:webHidden/>
              </w:rPr>
              <w:t>10</w:t>
            </w:r>
            <w:r w:rsidR="00FC4A5D">
              <w:rPr>
                <w:noProof/>
                <w:webHidden/>
              </w:rPr>
              <w:fldChar w:fldCharType="end"/>
            </w:r>
          </w:hyperlink>
        </w:p>
        <w:p w14:paraId="29930C43" w14:textId="77777777" w:rsidR="00FC4A5D" w:rsidRDefault="005332D9">
          <w:pPr>
            <w:pStyle w:val="TOC3"/>
            <w:rPr>
              <w:rFonts w:asciiTheme="minorHAnsi" w:eastAsiaTheme="minorEastAsia" w:hAnsiTheme="minorHAnsi" w:cstheme="minorBidi"/>
              <w:noProof/>
              <w:lang w:eastAsia="en-AU"/>
            </w:rPr>
          </w:pPr>
          <w:hyperlink w:anchor="_Toc430622501" w:history="1">
            <w:r w:rsidR="00FC4A5D" w:rsidRPr="00F8457C">
              <w:rPr>
                <w:rStyle w:val="Hyperlink"/>
                <w:noProof/>
              </w:rPr>
              <w:t>Efficacy</w:t>
            </w:r>
            <w:r w:rsidR="00FC4A5D">
              <w:rPr>
                <w:noProof/>
                <w:webHidden/>
              </w:rPr>
              <w:tab/>
            </w:r>
            <w:r w:rsidR="00FC4A5D">
              <w:rPr>
                <w:noProof/>
                <w:webHidden/>
              </w:rPr>
              <w:fldChar w:fldCharType="begin"/>
            </w:r>
            <w:r w:rsidR="00FC4A5D">
              <w:rPr>
                <w:noProof/>
                <w:webHidden/>
              </w:rPr>
              <w:instrText xml:space="preserve"> PAGEREF _Toc430622501 \h </w:instrText>
            </w:r>
            <w:r w:rsidR="00FC4A5D">
              <w:rPr>
                <w:noProof/>
                <w:webHidden/>
              </w:rPr>
            </w:r>
            <w:r w:rsidR="00FC4A5D">
              <w:rPr>
                <w:noProof/>
                <w:webHidden/>
              </w:rPr>
              <w:fldChar w:fldCharType="separate"/>
            </w:r>
            <w:r w:rsidR="00FC4A5D">
              <w:rPr>
                <w:noProof/>
                <w:webHidden/>
              </w:rPr>
              <w:t>10</w:t>
            </w:r>
            <w:r w:rsidR="00FC4A5D">
              <w:rPr>
                <w:noProof/>
                <w:webHidden/>
              </w:rPr>
              <w:fldChar w:fldCharType="end"/>
            </w:r>
          </w:hyperlink>
        </w:p>
        <w:p w14:paraId="094A2489" w14:textId="77777777" w:rsidR="00FC4A5D" w:rsidRDefault="005332D9">
          <w:pPr>
            <w:pStyle w:val="TOC3"/>
            <w:rPr>
              <w:rFonts w:asciiTheme="minorHAnsi" w:eastAsiaTheme="minorEastAsia" w:hAnsiTheme="minorHAnsi" w:cstheme="minorBidi"/>
              <w:noProof/>
              <w:lang w:eastAsia="en-AU"/>
            </w:rPr>
          </w:pPr>
          <w:hyperlink w:anchor="_Toc430622502" w:history="1">
            <w:r w:rsidR="00FC4A5D" w:rsidRPr="00F8457C">
              <w:rPr>
                <w:rStyle w:val="Hyperlink"/>
                <w:noProof/>
              </w:rPr>
              <w:t>Safety</w:t>
            </w:r>
            <w:r w:rsidR="00FC4A5D">
              <w:rPr>
                <w:noProof/>
                <w:webHidden/>
              </w:rPr>
              <w:tab/>
            </w:r>
            <w:r w:rsidR="00FC4A5D">
              <w:rPr>
                <w:noProof/>
                <w:webHidden/>
              </w:rPr>
              <w:fldChar w:fldCharType="begin"/>
            </w:r>
            <w:r w:rsidR="00FC4A5D">
              <w:rPr>
                <w:noProof/>
                <w:webHidden/>
              </w:rPr>
              <w:instrText xml:space="preserve"> PAGEREF _Toc430622502 \h </w:instrText>
            </w:r>
            <w:r w:rsidR="00FC4A5D">
              <w:rPr>
                <w:noProof/>
                <w:webHidden/>
              </w:rPr>
            </w:r>
            <w:r w:rsidR="00FC4A5D">
              <w:rPr>
                <w:noProof/>
                <w:webHidden/>
              </w:rPr>
              <w:fldChar w:fldCharType="separate"/>
            </w:r>
            <w:r w:rsidR="00FC4A5D">
              <w:rPr>
                <w:noProof/>
                <w:webHidden/>
              </w:rPr>
              <w:t>11</w:t>
            </w:r>
            <w:r w:rsidR="00FC4A5D">
              <w:rPr>
                <w:noProof/>
                <w:webHidden/>
              </w:rPr>
              <w:fldChar w:fldCharType="end"/>
            </w:r>
          </w:hyperlink>
        </w:p>
        <w:p w14:paraId="7C68461A" w14:textId="77777777" w:rsidR="00FC4A5D" w:rsidRDefault="005332D9">
          <w:pPr>
            <w:pStyle w:val="TOC3"/>
            <w:rPr>
              <w:rFonts w:asciiTheme="minorHAnsi" w:eastAsiaTheme="minorEastAsia" w:hAnsiTheme="minorHAnsi" w:cstheme="minorBidi"/>
              <w:noProof/>
              <w:lang w:eastAsia="en-AU"/>
            </w:rPr>
          </w:pPr>
          <w:hyperlink w:anchor="_Toc430622503" w:history="1">
            <w:r w:rsidR="00FC4A5D" w:rsidRPr="00F8457C">
              <w:rPr>
                <w:rStyle w:val="Hyperlink"/>
                <w:noProof/>
              </w:rPr>
              <w:t>First Round Benefit-Risk Assessment</w:t>
            </w:r>
            <w:r w:rsidR="00FC4A5D">
              <w:rPr>
                <w:noProof/>
                <w:webHidden/>
              </w:rPr>
              <w:tab/>
            </w:r>
            <w:r w:rsidR="00FC4A5D">
              <w:rPr>
                <w:noProof/>
                <w:webHidden/>
              </w:rPr>
              <w:fldChar w:fldCharType="begin"/>
            </w:r>
            <w:r w:rsidR="00FC4A5D">
              <w:rPr>
                <w:noProof/>
                <w:webHidden/>
              </w:rPr>
              <w:instrText xml:space="preserve"> PAGEREF _Toc430622503 \h </w:instrText>
            </w:r>
            <w:r w:rsidR="00FC4A5D">
              <w:rPr>
                <w:noProof/>
                <w:webHidden/>
              </w:rPr>
            </w:r>
            <w:r w:rsidR="00FC4A5D">
              <w:rPr>
                <w:noProof/>
                <w:webHidden/>
              </w:rPr>
              <w:fldChar w:fldCharType="separate"/>
            </w:r>
            <w:r w:rsidR="00FC4A5D">
              <w:rPr>
                <w:noProof/>
                <w:webHidden/>
              </w:rPr>
              <w:t>14</w:t>
            </w:r>
            <w:r w:rsidR="00FC4A5D">
              <w:rPr>
                <w:noProof/>
                <w:webHidden/>
              </w:rPr>
              <w:fldChar w:fldCharType="end"/>
            </w:r>
          </w:hyperlink>
        </w:p>
        <w:p w14:paraId="47564556" w14:textId="77777777" w:rsidR="00FC4A5D" w:rsidRDefault="005332D9">
          <w:pPr>
            <w:pStyle w:val="TOC3"/>
            <w:rPr>
              <w:rFonts w:asciiTheme="minorHAnsi" w:eastAsiaTheme="minorEastAsia" w:hAnsiTheme="minorHAnsi" w:cstheme="minorBidi"/>
              <w:noProof/>
              <w:lang w:eastAsia="en-AU"/>
            </w:rPr>
          </w:pPr>
          <w:hyperlink w:anchor="_Toc430622504" w:history="1">
            <w:r w:rsidR="00FC4A5D" w:rsidRPr="00F8457C">
              <w:rPr>
                <w:rStyle w:val="Hyperlink"/>
                <w:noProof/>
              </w:rPr>
              <w:t>First Round Recommendation Regarding Authorisation</w:t>
            </w:r>
            <w:r w:rsidR="00FC4A5D">
              <w:rPr>
                <w:noProof/>
                <w:webHidden/>
              </w:rPr>
              <w:tab/>
            </w:r>
            <w:r w:rsidR="00FC4A5D">
              <w:rPr>
                <w:noProof/>
                <w:webHidden/>
              </w:rPr>
              <w:fldChar w:fldCharType="begin"/>
            </w:r>
            <w:r w:rsidR="00FC4A5D">
              <w:rPr>
                <w:noProof/>
                <w:webHidden/>
              </w:rPr>
              <w:instrText xml:space="preserve"> PAGEREF _Toc430622504 \h </w:instrText>
            </w:r>
            <w:r w:rsidR="00FC4A5D">
              <w:rPr>
                <w:noProof/>
                <w:webHidden/>
              </w:rPr>
            </w:r>
            <w:r w:rsidR="00FC4A5D">
              <w:rPr>
                <w:noProof/>
                <w:webHidden/>
              </w:rPr>
              <w:fldChar w:fldCharType="separate"/>
            </w:r>
            <w:r w:rsidR="00FC4A5D">
              <w:rPr>
                <w:noProof/>
                <w:webHidden/>
              </w:rPr>
              <w:t>14</w:t>
            </w:r>
            <w:r w:rsidR="00FC4A5D">
              <w:rPr>
                <w:noProof/>
                <w:webHidden/>
              </w:rPr>
              <w:fldChar w:fldCharType="end"/>
            </w:r>
          </w:hyperlink>
        </w:p>
        <w:p w14:paraId="53AED1AD" w14:textId="77777777" w:rsidR="00FC4A5D" w:rsidRDefault="005332D9">
          <w:pPr>
            <w:pStyle w:val="TOC3"/>
            <w:rPr>
              <w:rFonts w:asciiTheme="minorHAnsi" w:eastAsiaTheme="minorEastAsia" w:hAnsiTheme="minorHAnsi" w:cstheme="minorBidi"/>
              <w:noProof/>
              <w:lang w:eastAsia="en-AU"/>
            </w:rPr>
          </w:pPr>
          <w:hyperlink w:anchor="_Toc430622505" w:history="1">
            <w:r w:rsidR="00FC4A5D" w:rsidRPr="00F8457C">
              <w:rPr>
                <w:rStyle w:val="Hyperlink"/>
                <w:noProof/>
              </w:rPr>
              <w:t>Clinical Questions</w:t>
            </w:r>
            <w:r w:rsidR="00FC4A5D">
              <w:rPr>
                <w:noProof/>
                <w:webHidden/>
              </w:rPr>
              <w:tab/>
            </w:r>
            <w:r w:rsidR="00FC4A5D">
              <w:rPr>
                <w:noProof/>
                <w:webHidden/>
              </w:rPr>
              <w:fldChar w:fldCharType="begin"/>
            </w:r>
            <w:r w:rsidR="00FC4A5D">
              <w:rPr>
                <w:noProof/>
                <w:webHidden/>
              </w:rPr>
              <w:instrText xml:space="preserve"> PAGEREF _Toc430622505 \h </w:instrText>
            </w:r>
            <w:r w:rsidR="00FC4A5D">
              <w:rPr>
                <w:noProof/>
                <w:webHidden/>
              </w:rPr>
            </w:r>
            <w:r w:rsidR="00FC4A5D">
              <w:rPr>
                <w:noProof/>
                <w:webHidden/>
              </w:rPr>
              <w:fldChar w:fldCharType="separate"/>
            </w:r>
            <w:r w:rsidR="00FC4A5D">
              <w:rPr>
                <w:noProof/>
                <w:webHidden/>
              </w:rPr>
              <w:t>14</w:t>
            </w:r>
            <w:r w:rsidR="00FC4A5D">
              <w:rPr>
                <w:noProof/>
                <w:webHidden/>
              </w:rPr>
              <w:fldChar w:fldCharType="end"/>
            </w:r>
          </w:hyperlink>
        </w:p>
        <w:p w14:paraId="74AEC717" w14:textId="77777777" w:rsidR="00FC4A5D" w:rsidRDefault="005332D9">
          <w:pPr>
            <w:pStyle w:val="TOC3"/>
            <w:rPr>
              <w:rFonts w:asciiTheme="minorHAnsi" w:eastAsiaTheme="minorEastAsia" w:hAnsiTheme="minorHAnsi" w:cstheme="minorBidi"/>
              <w:noProof/>
              <w:lang w:eastAsia="en-AU"/>
            </w:rPr>
          </w:pPr>
          <w:hyperlink w:anchor="_Toc430622506" w:history="1">
            <w:r w:rsidR="00FC4A5D" w:rsidRPr="00F8457C">
              <w:rPr>
                <w:rStyle w:val="Hyperlink"/>
                <w:noProof/>
              </w:rPr>
              <w:t>Second Round Evaluation of clinical data submitted in response to questions</w:t>
            </w:r>
            <w:r w:rsidR="00FC4A5D">
              <w:rPr>
                <w:noProof/>
                <w:webHidden/>
              </w:rPr>
              <w:tab/>
            </w:r>
            <w:r w:rsidR="00FC4A5D">
              <w:rPr>
                <w:noProof/>
                <w:webHidden/>
              </w:rPr>
              <w:fldChar w:fldCharType="begin"/>
            </w:r>
            <w:r w:rsidR="00FC4A5D">
              <w:rPr>
                <w:noProof/>
                <w:webHidden/>
              </w:rPr>
              <w:instrText xml:space="preserve"> PAGEREF _Toc430622506 \h </w:instrText>
            </w:r>
            <w:r w:rsidR="00FC4A5D">
              <w:rPr>
                <w:noProof/>
                <w:webHidden/>
              </w:rPr>
            </w:r>
            <w:r w:rsidR="00FC4A5D">
              <w:rPr>
                <w:noProof/>
                <w:webHidden/>
              </w:rPr>
              <w:fldChar w:fldCharType="separate"/>
            </w:r>
            <w:r w:rsidR="00FC4A5D">
              <w:rPr>
                <w:noProof/>
                <w:webHidden/>
              </w:rPr>
              <w:t>14</w:t>
            </w:r>
            <w:r w:rsidR="00FC4A5D">
              <w:rPr>
                <w:noProof/>
                <w:webHidden/>
              </w:rPr>
              <w:fldChar w:fldCharType="end"/>
            </w:r>
          </w:hyperlink>
        </w:p>
        <w:p w14:paraId="7018B71D" w14:textId="77777777" w:rsidR="00FC4A5D" w:rsidRDefault="005332D9">
          <w:pPr>
            <w:pStyle w:val="TOC2"/>
            <w:rPr>
              <w:rFonts w:asciiTheme="minorHAnsi" w:eastAsiaTheme="minorEastAsia" w:hAnsiTheme="minorHAnsi" w:cstheme="minorBidi"/>
              <w:b w:val="0"/>
              <w:noProof/>
              <w:sz w:val="22"/>
              <w:lang w:eastAsia="en-AU"/>
            </w:rPr>
          </w:pPr>
          <w:hyperlink w:anchor="_Toc430622507" w:history="1">
            <w:r w:rsidR="00FC4A5D" w:rsidRPr="00F8457C">
              <w:rPr>
                <w:rStyle w:val="Hyperlink"/>
                <w:noProof/>
              </w:rPr>
              <w:t>V. Pharmacovigilance findings</w:t>
            </w:r>
            <w:r w:rsidR="00FC4A5D">
              <w:rPr>
                <w:noProof/>
                <w:webHidden/>
              </w:rPr>
              <w:tab/>
            </w:r>
            <w:r w:rsidR="00FC4A5D">
              <w:rPr>
                <w:noProof/>
                <w:webHidden/>
              </w:rPr>
              <w:fldChar w:fldCharType="begin"/>
            </w:r>
            <w:r w:rsidR="00FC4A5D">
              <w:rPr>
                <w:noProof/>
                <w:webHidden/>
              </w:rPr>
              <w:instrText xml:space="preserve"> PAGEREF _Toc430622507 \h </w:instrText>
            </w:r>
            <w:r w:rsidR="00FC4A5D">
              <w:rPr>
                <w:noProof/>
                <w:webHidden/>
              </w:rPr>
            </w:r>
            <w:r w:rsidR="00FC4A5D">
              <w:rPr>
                <w:noProof/>
                <w:webHidden/>
              </w:rPr>
              <w:fldChar w:fldCharType="separate"/>
            </w:r>
            <w:r w:rsidR="00FC4A5D">
              <w:rPr>
                <w:noProof/>
                <w:webHidden/>
              </w:rPr>
              <w:t>15</w:t>
            </w:r>
            <w:r w:rsidR="00FC4A5D">
              <w:rPr>
                <w:noProof/>
                <w:webHidden/>
              </w:rPr>
              <w:fldChar w:fldCharType="end"/>
            </w:r>
          </w:hyperlink>
        </w:p>
        <w:p w14:paraId="7F35B3D1" w14:textId="77777777" w:rsidR="00FC4A5D" w:rsidRDefault="005332D9">
          <w:pPr>
            <w:pStyle w:val="TOC3"/>
            <w:rPr>
              <w:rFonts w:asciiTheme="minorHAnsi" w:eastAsiaTheme="minorEastAsia" w:hAnsiTheme="minorHAnsi" w:cstheme="minorBidi"/>
              <w:noProof/>
              <w:lang w:eastAsia="en-AU"/>
            </w:rPr>
          </w:pPr>
          <w:hyperlink w:anchor="_Toc430622508" w:history="1">
            <w:r w:rsidR="00FC4A5D" w:rsidRPr="00F8457C">
              <w:rPr>
                <w:rStyle w:val="Hyperlink"/>
                <w:noProof/>
                <w:lang w:eastAsia="en-AU"/>
              </w:rPr>
              <w:t>Risk management plan</w:t>
            </w:r>
            <w:r w:rsidR="00FC4A5D">
              <w:rPr>
                <w:noProof/>
                <w:webHidden/>
              </w:rPr>
              <w:tab/>
            </w:r>
            <w:r w:rsidR="00FC4A5D">
              <w:rPr>
                <w:noProof/>
                <w:webHidden/>
              </w:rPr>
              <w:fldChar w:fldCharType="begin"/>
            </w:r>
            <w:r w:rsidR="00FC4A5D">
              <w:rPr>
                <w:noProof/>
                <w:webHidden/>
              </w:rPr>
              <w:instrText xml:space="preserve"> PAGEREF _Toc430622508 \h </w:instrText>
            </w:r>
            <w:r w:rsidR="00FC4A5D">
              <w:rPr>
                <w:noProof/>
                <w:webHidden/>
              </w:rPr>
            </w:r>
            <w:r w:rsidR="00FC4A5D">
              <w:rPr>
                <w:noProof/>
                <w:webHidden/>
              </w:rPr>
              <w:fldChar w:fldCharType="separate"/>
            </w:r>
            <w:r w:rsidR="00FC4A5D">
              <w:rPr>
                <w:noProof/>
                <w:webHidden/>
              </w:rPr>
              <w:t>15</w:t>
            </w:r>
            <w:r w:rsidR="00FC4A5D">
              <w:rPr>
                <w:noProof/>
                <w:webHidden/>
              </w:rPr>
              <w:fldChar w:fldCharType="end"/>
            </w:r>
          </w:hyperlink>
        </w:p>
        <w:p w14:paraId="4A404280" w14:textId="77777777" w:rsidR="00FC4A5D" w:rsidRDefault="005332D9">
          <w:pPr>
            <w:pStyle w:val="TOC2"/>
            <w:rPr>
              <w:rFonts w:asciiTheme="minorHAnsi" w:eastAsiaTheme="minorEastAsia" w:hAnsiTheme="minorHAnsi" w:cstheme="minorBidi"/>
              <w:b w:val="0"/>
              <w:noProof/>
              <w:sz w:val="22"/>
              <w:lang w:eastAsia="en-AU"/>
            </w:rPr>
          </w:pPr>
          <w:hyperlink w:anchor="_Toc430622509" w:history="1">
            <w:r w:rsidR="00FC4A5D" w:rsidRPr="00F8457C">
              <w:rPr>
                <w:rStyle w:val="Hyperlink"/>
                <w:noProof/>
              </w:rPr>
              <w:t>VI. Overall conclusion and risk/benefit assessment</w:t>
            </w:r>
            <w:r w:rsidR="00FC4A5D">
              <w:rPr>
                <w:noProof/>
                <w:webHidden/>
              </w:rPr>
              <w:tab/>
            </w:r>
            <w:r w:rsidR="00FC4A5D">
              <w:rPr>
                <w:noProof/>
                <w:webHidden/>
              </w:rPr>
              <w:fldChar w:fldCharType="begin"/>
            </w:r>
            <w:r w:rsidR="00FC4A5D">
              <w:rPr>
                <w:noProof/>
                <w:webHidden/>
              </w:rPr>
              <w:instrText xml:space="preserve"> PAGEREF _Toc430622509 \h </w:instrText>
            </w:r>
            <w:r w:rsidR="00FC4A5D">
              <w:rPr>
                <w:noProof/>
                <w:webHidden/>
              </w:rPr>
            </w:r>
            <w:r w:rsidR="00FC4A5D">
              <w:rPr>
                <w:noProof/>
                <w:webHidden/>
              </w:rPr>
              <w:fldChar w:fldCharType="separate"/>
            </w:r>
            <w:r w:rsidR="00FC4A5D">
              <w:rPr>
                <w:noProof/>
                <w:webHidden/>
              </w:rPr>
              <w:t>20</w:t>
            </w:r>
            <w:r w:rsidR="00FC4A5D">
              <w:rPr>
                <w:noProof/>
                <w:webHidden/>
              </w:rPr>
              <w:fldChar w:fldCharType="end"/>
            </w:r>
          </w:hyperlink>
        </w:p>
        <w:p w14:paraId="1E43FFCB" w14:textId="77777777" w:rsidR="00FC4A5D" w:rsidRDefault="005332D9">
          <w:pPr>
            <w:pStyle w:val="TOC3"/>
            <w:rPr>
              <w:rFonts w:asciiTheme="minorHAnsi" w:eastAsiaTheme="minorEastAsia" w:hAnsiTheme="minorHAnsi" w:cstheme="minorBidi"/>
              <w:noProof/>
              <w:lang w:eastAsia="en-AU"/>
            </w:rPr>
          </w:pPr>
          <w:hyperlink w:anchor="_Toc430622510" w:history="1">
            <w:r w:rsidR="00FC4A5D" w:rsidRPr="00F8457C">
              <w:rPr>
                <w:rStyle w:val="Hyperlink"/>
                <w:noProof/>
              </w:rPr>
              <w:t>Quality</w:t>
            </w:r>
            <w:r w:rsidR="00FC4A5D">
              <w:rPr>
                <w:noProof/>
                <w:webHidden/>
              </w:rPr>
              <w:tab/>
            </w:r>
            <w:r w:rsidR="00FC4A5D">
              <w:rPr>
                <w:noProof/>
                <w:webHidden/>
              </w:rPr>
              <w:fldChar w:fldCharType="begin"/>
            </w:r>
            <w:r w:rsidR="00FC4A5D">
              <w:rPr>
                <w:noProof/>
                <w:webHidden/>
              </w:rPr>
              <w:instrText xml:space="preserve"> PAGEREF _Toc430622510 \h </w:instrText>
            </w:r>
            <w:r w:rsidR="00FC4A5D">
              <w:rPr>
                <w:noProof/>
                <w:webHidden/>
              </w:rPr>
            </w:r>
            <w:r w:rsidR="00FC4A5D">
              <w:rPr>
                <w:noProof/>
                <w:webHidden/>
              </w:rPr>
              <w:fldChar w:fldCharType="separate"/>
            </w:r>
            <w:r w:rsidR="00FC4A5D">
              <w:rPr>
                <w:noProof/>
                <w:webHidden/>
              </w:rPr>
              <w:t>20</w:t>
            </w:r>
            <w:r w:rsidR="00FC4A5D">
              <w:rPr>
                <w:noProof/>
                <w:webHidden/>
              </w:rPr>
              <w:fldChar w:fldCharType="end"/>
            </w:r>
          </w:hyperlink>
        </w:p>
        <w:p w14:paraId="31B8D9AD" w14:textId="77777777" w:rsidR="00FC4A5D" w:rsidRDefault="005332D9">
          <w:pPr>
            <w:pStyle w:val="TOC3"/>
            <w:rPr>
              <w:rFonts w:asciiTheme="minorHAnsi" w:eastAsiaTheme="minorEastAsia" w:hAnsiTheme="minorHAnsi" w:cstheme="minorBidi"/>
              <w:noProof/>
              <w:lang w:eastAsia="en-AU"/>
            </w:rPr>
          </w:pPr>
          <w:hyperlink w:anchor="_Toc430622511" w:history="1">
            <w:r w:rsidR="00FC4A5D" w:rsidRPr="00F8457C">
              <w:rPr>
                <w:rStyle w:val="Hyperlink"/>
                <w:noProof/>
              </w:rPr>
              <w:t>Nonclinical</w:t>
            </w:r>
            <w:r w:rsidR="00FC4A5D">
              <w:rPr>
                <w:noProof/>
                <w:webHidden/>
              </w:rPr>
              <w:tab/>
            </w:r>
            <w:r w:rsidR="00FC4A5D">
              <w:rPr>
                <w:noProof/>
                <w:webHidden/>
              </w:rPr>
              <w:fldChar w:fldCharType="begin"/>
            </w:r>
            <w:r w:rsidR="00FC4A5D">
              <w:rPr>
                <w:noProof/>
                <w:webHidden/>
              </w:rPr>
              <w:instrText xml:space="preserve"> PAGEREF _Toc430622511 \h </w:instrText>
            </w:r>
            <w:r w:rsidR="00FC4A5D">
              <w:rPr>
                <w:noProof/>
                <w:webHidden/>
              </w:rPr>
            </w:r>
            <w:r w:rsidR="00FC4A5D">
              <w:rPr>
                <w:noProof/>
                <w:webHidden/>
              </w:rPr>
              <w:fldChar w:fldCharType="separate"/>
            </w:r>
            <w:r w:rsidR="00FC4A5D">
              <w:rPr>
                <w:noProof/>
                <w:webHidden/>
              </w:rPr>
              <w:t>20</w:t>
            </w:r>
            <w:r w:rsidR="00FC4A5D">
              <w:rPr>
                <w:noProof/>
                <w:webHidden/>
              </w:rPr>
              <w:fldChar w:fldCharType="end"/>
            </w:r>
          </w:hyperlink>
        </w:p>
        <w:p w14:paraId="1B838DE7" w14:textId="77777777" w:rsidR="00FC4A5D" w:rsidRDefault="005332D9">
          <w:pPr>
            <w:pStyle w:val="TOC3"/>
            <w:rPr>
              <w:rFonts w:asciiTheme="minorHAnsi" w:eastAsiaTheme="minorEastAsia" w:hAnsiTheme="minorHAnsi" w:cstheme="minorBidi"/>
              <w:noProof/>
              <w:lang w:eastAsia="en-AU"/>
            </w:rPr>
          </w:pPr>
          <w:hyperlink w:anchor="_Toc430622512" w:history="1">
            <w:r w:rsidR="00FC4A5D" w:rsidRPr="00F8457C">
              <w:rPr>
                <w:rStyle w:val="Hyperlink"/>
                <w:noProof/>
              </w:rPr>
              <w:t>Clinical</w:t>
            </w:r>
            <w:r w:rsidR="00FC4A5D">
              <w:rPr>
                <w:noProof/>
                <w:webHidden/>
              </w:rPr>
              <w:tab/>
            </w:r>
            <w:r w:rsidR="00FC4A5D">
              <w:rPr>
                <w:noProof/>
                <w:webHidden/>
              </w:rPr>
              <w:fldChar w:fldCharType="begin"/>
            </w:r>
            <w:r w:rsidR="00FC4A5D">
              <w:rPr>
                <w:noProof/>
                <w:webHidden/>
              </w:rPr>
              <w:instrText xml:space="preserve"> PAGEREF _Toc430622512 \h </w:instrText>
            </w:r>
            <w:r w:rsidR="00FC4A5D">
              <w:rPr>
                <w:noProof/>
                <w:webHidden/>
              </w:rPr>
            </w:r>
            <w:r w:rsidR="00FC4A5D">
              <w:rPr>
                <w:noProof/>
                <w:webHidden/>
              </w:rPr>
              <w:fldChar w:fldCharType="separate"/>
            </w:r>
            <w:r w:rsidR="00FC4A5D">
              <w:rPr>
                <w:noProof/>
                <w:webHidden/>
              </w:rPr>
              <w:t>20</w:t>
            </w:r>
            <w:r w:rsidR="00FC4A5D">
              <w:rPr>
                <w:noProof/>
                <w:webHidden/>
              </w:rPr>
              <w:fldChar w:fldCharType="end"/>
            </w:r>
          </w:hyperlink>
        </w:p>
        <w:p w14:paraId="20E79868" w14:textId="77777777" w:rsidR="00FC4A5D" w:rsidRDefault="005332D9">
          <w:pPr>
            <w:pStyle w:val="TOC3"/>
            <w:rPr>
              <w:rFonts w:asciiTheme="minorHAnsi" w:eastAsiaTheme="minorEastAsia" w:hAnsiTheme="minorHAnsi" w:cstheme="minorBidi"/>
              <w:noProof/>
              <w:lang w:eastAsia="en-AU"/>
            </w:rPr>
          </w:pPr>
          <w:hyperlink w:anchor="_Toc430622513" w:history="1">
            <w:r w:rsidR="00FC4A5D" w:rsidRPr="00F8457C">
              <w:rPr>
                <w:rStyle w:val="Hyperlink"/>
                <w:noProof/>
                <w:lang w:eastAsia="en-AU"/>
              </w:rPr>
              <w:t>Risk management plan</w:t>
            </w:r>
            <w:r w:rsidR="00FC4A5D">
              <w:rPr>
                <w:noProof/>
                <w:webHidden/>
              </w:rPr>
              <w:tab/>
            </w:r>
            <w:r w:rsidR="00FC4A5D">
              <w:rPr>
                <w:noProof/>
                <w:webHidden/>
              </w:rPr>
              <w:fldChar w:fldCharType="begin"/>
            </w:r>
            <w:r w:rsidR="00FC4A5D">
              <w:rPr>
                <w:noProof/>
                <w:webHidden/>
              </w:rPr>
              <w:instrText xml:space="preserve"> PAGEREF _Toc430622513 \h </w:instrText>
            </w:r>
            <w:r w:rsidR="00FC4A5D">
              <w:rPr>
                <w:noProof/>
                <w:webHidden/>
              </w:rPr>
            </w:r>
            <w:r w:rsidR="00FC4A5D">
              <w:rPr>
                <w:noProof/>
                <w:webHidden/>
              </w:rPr>
              <w:fldChar w:fldCharType="separate"/>
            </w:r>
            <w:r w:rsidR="00FC4A5D">
              <w:rPr>
                <w:noProof/>
                <w:webHidden/>
              </w:rPr>
              <w:t>23</w:t>
            </w:r>
            <w:r w:rsidR="00FC4A5D">
              <w:rPr>
                <w:noProof/>
                <w:webHidden/>
              </w:rPr>
              <w:fldChar w:fldCharType="end"/>
            </w:r>
          </w:hyperlink>
        </w:p>
        <w:p w14:paraId="6FCE9E2D" w14:textId="77777777" w:rsidR="00FC4A5D" w:rsidRDefault="005332D9">
          <w:pPr>
            <w:pStyle w:val="TOC3"/>
            <w:rPr>
              <w:rFonts w:asciiTheme="minorHAnsi" w:eastAsiaTheme="minorEastAsia" w:hAnsiTheme="minorHAnsi" w:cstheme="minorBidi"/>
              <w:noProof/>
              <w:lang w:eastAsia="en-AU"/>
            </w:rPr>
          </w:pPr>
          <w:hyperlink w:anchor="_Toc430622514" w:history="1">
            <w:r w:rsidR="00FC4A5D" w:rsidRPr="00F8457C">
              <w:rPr>
                <w:rStyle w:val="Hyperlink"/>
                <w:noProof/>
              </w:rPr>
              <w:t>Risk-benefit analysis</w:t>
            </w:r>
            <w:r w:rsidR="00FC4A5D">
              <w:rPr>
                <w:noProof/>
                <w:webHidden/>
              </w:rPr>
              <w:tab/>
            </w:r>
            <w:r w:rsidR="00FC4A5D">
              <w:rPr>
                <w:noProof/>
                <w:webHidden/>
              </w:rPr>
              <w:fldChar w:fldCharType="begin"/>
            </w:r>
            <w:r w:rsidR="00FC4A5D">
              <w:rPr>
                <w:noProof/>
                <w:webHidden/>
              </w:rPr>
              <w:instrText xml:space="preserve"> PAGEREF _Toc430622514 \h </w:instrText>
            </w:r>
            <w:r w:rsidR="00FC4A5D">
              <w:rPr>
                <w:noProof/>
                <w:webHidden/>
              </w:rPr>
            </w:r>
            <w:r w:rsidR="00FC4A5D">
              <w:rPr>
                <w:noProof/>
                <w:webHidden/>
              </w:rPr>
              <w:fldChar w:fldCharType="separate"/>
            </w:r>
            <w:r w:rsidR="00FC4A5D">
              <w:rPr>
                <w:noProof/>
                <w:webHidden/>
              </w:rPr>
              <w:t>23</w:t>
            </w:r>
            <w:r w:rsidR="00FC4A5D">
              <w:rPr>
                <w:noProof/>
                <w:webHidden/>
              </w:rPr>
              <w:fldChar w:fldCharType="end"/>
            </w:r>
          </w:hyperlink>
        </w:p>
        <w:p w14:paraId="649720BA" w14:textId="77777777" w:rsidR="00FC4A5D" w:rsidRDefault="005332D9">
          <w:pPr>
            <w:pStyle w:val="TOC3"/>
            <w:rPr>
              <w:rFonts w:asciiTheme="minorHAnsi" w:eastAsiaTheme="minorEastAsia" w:hAnsiTheme="minorHAnsi" w:cstheme="minorBidi"/>
              <w:noProof/>
              <w:lang w:eastAsia="en-AU"/>
            </w:rPr>
          </w:pPr>
          <w:hyperlink w:anchor="_Toc430622515" w:history="1">
            <w:r w:rsidR="00FC4A5D" w:rsidRPr="00F8457C">
              <w:rPr>
                <w:rStyle w:val="Hyperlink"/>
                <w:noProof/>
              </w:rPr>
              <w:t>Outcome</w:t>
            </w:r>
            <w:r w:rsidR="00FC4A5D">
              <w:rPr>
                <w:noProof/>
                <w:webHidden/>
              </w:rPr>
              <w:tab/>
            </w:r>
            <w:r w:rsidR="00FC4A5D">
              <w:rPr>
                <w:noProof/>
                <w:webHidden/>
              </w:rPr>
              <w:fldChar w:fldCharType="begin"/>
            </w:r>
            <w:r w:rsidR="00FC4A5D">
              <w:rPr>
                <w:noProof/>
                <w:webHidden/>
              </w:rPr>
              <w:instrText xml:space="preserve"> PAGEREF _Toc430622515 \h </w:instrText>
            </w:r>
            <w:r w:rsidR="00FC4A5D">
              <w:rPr>
                <w:noProof/>
                <w:webHidden/>
              </w:rPr>
            </w:r>
            <w:r w:rsidR="00FC4A5D">
              <w:rPr>
                <w:noProof/>
                <w:webHidden/>
              </w:rPr>
              <w:fldChar w:fldCharType="separate"/>
            </w:r>
            <w:r w:rsidR="00FC4A5D">
              <w:rPr>
                <w:noProof/>
                <w:webHidden/>
              </w:rPr>
              <w:t>31</w:t>
            </w:r>
            <w:r w:rsidR="00FC4A5D">
              <w:rPr>
                <w:noProof/>
                <w:webHidden/>
              </w:rPr>
              <w:fldChar w:fldCharType="end"/>
            </w:r>
          </w:hyperlink>
        </w:p>
        <w:p w14:paraId="14CF6D7E" w14:textId="77777777" w:rsidR="00FC4A5D" w:rsidRDefault="005332D9">
          <w:pPr>
            <w:pStyle w:val="TOC2"/>
            <w:rPr>
              <w:rFonts w:asciiTheme="minorHAnsi" w:eastAsiaTheme="minorEastAsia" w:hAnsiTheme="minorHAnsi" w:cstheme="minorBidi"/>
              <w:b w:val="0"/>
              <w:noProof/>
              <w:sz w:val="22"/>
              <w:lang w:eastAsia="en-AU"/>
            </w:rPr>
          </w:pPr>
          <w:hyperlink w:anchor="_Toc430622516" w:history="1">
            <w:r w:rsidR="00FC4A5D" w:rsidRPr="00F8457C">
              <w:rPr>
                <w:rStyle w:val="Hyperlink"/>
                <w:noProof/>
              </w:rPr>
              <w:t>Attachment 1. Product Information</w:t>
            </w:r>
            <w:r w:rsidR="00FC4A5D">
              <w:rPr>
                <w:noProof/>
                <w:webHidden/>
              </w:rPr>
              <w:tab/>
            </w:r>
            <w:r w:rsidR="00FC4A5D">
              <w:rPr>
                <w:noProof/>
                <w:webHidden/>
              </w:rPr>
              <w:fldChar w:fldCharType="begin"/>
            </w:r>
            <w:r w:rsidR="00FC4A5D">
              <w:rPr>
                <w:noProof/>
                <w:webHidden/>
              </w:rPr>
              <w:instrText xml:space="preserve"> PAGEREF _Toc430622516 \h </w:instrText>
            </w:r>
            <w:r w:rsidR="00FC4A5D">
              <w:rPr>
                <w:noProof/>
                <w:webHidden/>
              </w:rPr>
            </w:r>
            <w:r w:rsidR="00FC4A5D">
              <w:rPr>
                <w:noProof/>
                <w:webHidden/>
              </w:rPr>
              <w:fldChar w:fldCharType="separate"/>
            </w:r>
            <w:r w:rsidR="00FC4A5D">
              <w:rPr>
                <w:noProof/>
                <w:webHidden/>
              </w:rPr>
              <w:t>32</w:t>
            </w:r>
            <w:r w:rsidR="00FC4A5D">
              <w:rPr>
                <w:noProof/>
                <w:webHidden/>
              </w:rPr>
              <w:fldChar w:fldCharType="end"/>
            </w:r>
          </w:hyperlink>
        </w:p>
        <w:p w14:paraId="74A84027" w14:textId="77777777" w:rsidR="00FC4A5D" w:rsidRDefault="005332D9">
          <w:pPr>
            <w:pStyle w:val="TOC2"/>
            <w:rPr>
              <w:rFonts w:asciiTheme="minorHAnsi" w:eastAsiaTheme="minorEastAsia" w:hAnsiTheme="minorHAnsi" w:cstheme="minorBidi"/>
              <w:b w:val="0"/>
              <w:noProof/>
              <w:sz w:val="22"/>
              <w:lang w:eastAsia="en-AU"/>
            </w:rPr>
          </w:pPr>
          <w:hyperlink w:anchor="_Toc430622517" w:history="1">
            <w:r w:rsidR="00FC4A5D" w:rsidRPr="00F8457C">
              <w:rPr>
                <w:rStyle w:val="Hyperlink"/>
                <w:noProof/>
                <w:lang w:eastAsia="en-AU"/>
              </w:rPr>
              <w:t>Attachment 2. Extract from the Clinical Evaluation Report</w:t>
            </w:r>
            <w:r w:rsidR="00FC4A5D">
              <w:rPr>
                <w:noProof/>
                <w:webHidden/>
              </w:rPr>
              <w:tab/>
            </w:r>
            <w:r w:rsidR="00FC4A5D">
              <w:rPr>
                <w:noProof/>
                <w:webHidden/>
              </w:rPr>
              <w:fldChar w:fldCharType="begin"/>
            </w:r>
            <w:r w:rsidR="00FC4A5D">
              <w:rPr>
                <w:noProof/>
                <w:webHidden/>
              </w:rPr>
              <w:instrText xml:space="preserve"> PAGEREF _Toc430622517 \h </w:instrText>
            </w:r>
            <w:r w:rsidR="00FC4A5D">
              <w:rPr>
                <w:noProof/>
                <w:webHidden/>
              </w:rPr>
            </w:r>
            <w:r w:rsidR="00FC4A5D">
              <w:rPr>
                <w:noProof/>
                <w:webHidden/>
              </w:rPr>
              <w:fldChar w:fldCharType="separate"/>
            </w:r>
            <w:r w:rsidR="00FC4A5D">
              <w:rPr>
                <w:noProof/>
                <w:webHidden/>
              </w:rPr>
              <w:t>32</w:t>
            </w:r>
            <w:r w:rsidR="00FC4A5D">
              <w:rPr>
                <w:noProof/>
                <w:webHidden/>
              </w:rPr>
              <w:fldChar w:fldCharType="end"/>
            </w:r>
          </w:hyperlink>
        </w:p>
        <w:p w14:paraId="7BC6E696" w14:textId="77777777" w:rsidR="003A7F6C" w:rsidRPr="00B811C6" w:rsidRDefault="00DB6124" w:rsidP="00B811C6">
          <w:pPr>
            <w:pStyle w:val="TOC2"/>
          </w:pPr>
          <w:r>
            <w:fldChar w:fldCharType="end"/>
          </w:r>
        </w:p>
      </w:sdtContent>
    </w:sdt>
    <w:bookmarkStart w:id="3" w:name="_Toc314842482" w:displacedByCustomXml="prev"/>
    <w:p w14:paraId="1888F3CB" w14:textId="77777777" w:rsidR="00FD119B" w:rsidRDefault="00FD119B">
      <w:pPr>
        <w:spacing w:before="0" w:after="200" w:line="0" w:lineRule="auto"/>
      </w:pPr>
      <w:r>
        <w:br w:type="page"/>
      </w:r>
    </w:p>
    <w:p w14:paraId="58FD6A6B" w14:textId="77777777" w:rsidR="00FD119B" w:rsidRDefault="00FD119B" w:rsidP="004F0C4A">
      <w:pPr>
        <w:pStyle w:val="Heading2"/>
      </w:pPr>
      <w:bookmarkStart w:id="4" w:name="_Toc351716269"/>
      <w:bookmarkStart w:id="5" w:name="_Toc351718881"/>
      <w:bookmarkStart w:id="6" w:name="_Toc355338616"/>
      <w:bookmarkStart w:id="7" w:name="_Toc356306144"/>
      <w:bookmarkStart w:id="8" w:name="_Toc430622488"/>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90"/>
        <w:gridCol w:w="6830"/>
      </w:tblGrid>
      <w:tr w:rsidR="00B71D5F" w14:paraId="30A94E12" w14:textId="77777777" w:rsidTr="00B71D5F">
        <w:trPr>
          <w:cnfStyle w:val="100000000000" w:firstRow="1" w:lastRow="0" w:firstColumn="0" w:lastColumn="0" w:oddVBand="0" w:evenVBand="0" w:oddHBand="0" w:evenHBand="0" w:firstRowFirstColumn="0" w:firstRowLastColumn="0" w:lastRowFirstColumn="0" w:lastRowLastColumn="0"/>
        </w:trPr>
        <w:tc>
          <w:tcPr>
            <w:tcW w:w="1890" w:type="dxa"/>
          </w:tcPr>
          <w:p w14:paraId="0CE86324"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sz w:val="20"/>
                <w:szCs w:val="20"/>
              </w:rPr>
            </w:pPr>
            <w:r w:rsidRPr="00107039">
              <w:rPr>
                <w:rFonts w:asciiTheme="minorHAnsi" w:hAnsiTheme="minorHAnsi"/>
                <w:sz w:val="20"/>
                <w:szCs w:val="20"/>
              </w:rPr>
              <w:t>Abbreviation</w:t>
            </w:r>
          </w:p>
        </w:tc>
        <w:tc>
          <w:tcPr>
            <w:tcW w:w="6830" w:type="dxa"/>
          </w:tcPr>
          <w:p w14:paraId="4A300E81"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sz w:val="20"/>
                <w:szCs w:val="20"/>
              </w:rPr>
            </w:pPr>
            <w:r w:rsidRPr="00107039">
              <w:rPr>
                <w:rFonts w:asciiTheme="minorHAnsi" w:hAnsiTheme="minorHAnsi"/>
                <w:sz w:val="20"/>
                <w:szCs w:val="20"/>
              </w:rPr>
              <w:t>Meaning</w:t>
            </w:r>
          </w:p>
        </w:tc>
      </w:tr>
      <w:tr w:rsidR="00B71D5F" w14:paraId="33C75C76" w14:textId="77777777" w:rsidTr="00B71D5F">
        <w:tc>
          <w:tcPr>
            <w:tcW w:w="1890" w:type="dxa"/>
          </w:tcPr>
          <w:p w14:paraId="6A24CEE5" w14:textId="77777777" w:rsidR="00B71D5F" w:rsidRPr="00107039" w:rsidRDefault="00B71D5F" w:rsidP="00B44C6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ACR</w:t>
            </w:r>
          </w:p>
        </w:tc>
        <w:tc>
          <w:tcPr>
            <w:tcW w:w="6830" w:type="dxa"/>
          </w:tcPr>
          <w:p w14:paraId="21221689" w14:textId="77777777" w:rsidR="00B71D5F" w:rsidRPr="00107039" w:rsidRDefault="00B71D5F" w:rsidP="00B44C6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American College of Rheumatology</w:t>
            </w:r>
          </w:p>
        </w:tc>
      </w:tr>
      <w:tr w:rsidR="00B71D5F" w14:paraId="2ED2D122" w14:textId="77777777" w:rsidTr="00B71D5F">
        <w:tc>
          <w:tcPr>
            <w:tcW w:w="1890" w:type="dxa"/>
            <w:hideMark/>
          </w:tcPr>
          <w:p w14:paraId="0232FAC8"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AE</w:t>
            </w:r>
          </w:p>
        </w:tc>
        <w:tc>
          <w:tcPr>
            <w:tcW w:w="6830" w:type="dxa"/>
            <w:hideMark/>
          </w:tcPr>
          <w:p w14:paraId="78CB6AF2"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Adverse event</w:t>
            </w:r>
          </w:p>
        </w:tc>
      </w:tr>
      <w:tr w:rsidR="00B71D5F" w14:paraId="2F55FE51" w14:textId="77777777" w:rsidTr="00B71D5F">
        <w:tc>
          <w:tcPr>
            <w:tcW w:w="1890" w:type="dxa"/>
            <w:hideMark/>
          </w:tcPr>
          <w:p w14:paraId="68ADE2A3"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ALP</w:t>
            </w:r>
          </w:p>
        </w:tc>
        <w:tc>
          <w:tcPr>
            <w:tcW w:w="6830" w:type="dxa"/>
            <w:hideMark/>
          </w:tcPr>
          <w:p w14:paraId="71DC6685"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Alkaline phosphatase</w:t>
            </w:r>
          </w:p>
        </w:tc>
      </w:tr>
      <w:tr w:rsidR="00B71D5F" w14:paraId="0B3000F5" w14:textId="77777777" w:rsidTr="00B71D5F">
        <w:tc>
          <w:tcPr>
            <w:tcW w:w="1890" w:type="dxa"/>
            <w:hideMark/>
          </w:tcPr>
          <w:p w14:paraId="110A48F6"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ALT [SGPT]</w:t>
            </w:r>
          </w:p>
        </w:tc>
        <w:tc>
          <w:tcPr>
            <w:tcW w:w="6830" w:type="dxa"/>
            <w:hideMark/>
          </w:tcPr>
          <w:p w14:paraId="529DCF8C"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Alanine aminotransferase</w:t>
            </w:r>
          </w:p>
        </w:tc>
      </w:tr>
      <w:tr w:rsidR="00B71D5F" w14:paraId="27D607D9" w14:textId="77777777" w:rsidTr="00B71D5F">
        <w:tc>
          <w:tcPr>
            <w:tcW w:w="1890" w:type="dxa"/>
            <w:hideMark/>
          </w:tcPr>
          <w:p w14:paraId="4BA17B57"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AST [SGOT]</w:t>
            </w:r>
          </w:p>
        </w:tc>
        <w:tc>
          <w:tcPr>
            <w:tcW w:w="6830" w:type="dxa"/>
            <w:hideMark/>
          </w:tcPr>
          <w:p w14:paraId="0D058543"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Aspartate aminotransferase</w:t>
            </w:r>
          </w:p>
        </w:tc>
      </w:tr>
      <w:tr w:rsidR="00B71D5F" w14:paraId="2878AAD4" w14:textId="77777777" w:rsidTr="00B71D5F">
        <w:tc>
          <w:tcPr>
            <w:tcW w:w="1890" w:type="dxa"/>
            <w:hideMark/>
          </w:tcPr>
          <w:p w14:paraId="58F7E5A0"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BUN</w:t>
            </w:r>
          </w:p>
        </w:tc>
        <w:tc>
          <w:tcPr>
            <w:tcW w:w="6830" w:type="dxa"/>
            <w:hideMark/>
          </w:tcPr>
          <w:p w14:paraId="39310424"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Blood urea nitrogen</w:t>
            </w:r>
          </w:p>
        </w:tc>
      </w:tr>
      <w:tr w:rsidR="00B71D5F" w14:paraId="03CF7C4C" w14:textId="77777777" w:rsidTr="00B71D5F">
        <w:tc>
          <w:tcPr>
            <w:tcW w:w="1890" w:type="dxa"/>
            <w:hideMark/>
          </w:tcPr>
          <w:p w14:paraId="383E4103"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CFR</w:t>
            </w:r>
          </w:p>
        </w:tc>
        <w:tc>
          <w:tcPr>
            <w:tcW w:w="6830" w:type="dxa"/>
            <w:hideMark/>
          </w:tcPr>
          <w:p w14:paraId="4750DA32"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Code of Federal Regulations</w:t>
            </w:r>
          </w:p>
        </w:tc>
      </w:tr>
      <w:tr w:rsidR="00B71D5F" w14:paraId="7C516083" w14:textId="77777777" w:rsidTr="00B71D5F">
        <w:tc>
          <w:tcPr>
            <w:tcW w:w="1890" w:type="dxa"/>
            <w:hideMark/>
          </w:tcPr>
          <w:p w14:paraId="49E011B4"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CI</w:t>
            </w:r>
          </w:p>
        </w:tc>
        <w:tc>
          <w:tcPr>
            <w:tcW w:w="6830" w:type="dxa"/>
            <w:hideMark/>
          </w:tcPr>
          <w:p w14:paraId="3413F2AB"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Confidence interval</w:t>
            </w:r>
          </w:p>
        </w:tc>
      </w:tr>
      <w:tr w:rsidR="00B71D5F" w14:paraId="2DE7F614" w14:textId="77777777" w:rsidTr="00B71D5F">
        <w:tc>
          <w:tcPr>
            <w:tcW w:w="1890" w:type="dxa"/>
            <w:hideMark/>
          </w:tcPr>
          <w:p w14:paraId="58F06BFD"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CRF</w:t>
            </w:r>
          </w:p>
        </w:tc>
        <w:tc>
          <w:tcPr>
            <w:tcW w:w="6830" w:type="dxa"/>
            <w:hideMark/>
          </w:tcPr>
          <w:p w14:paraId="1A6BA00E"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Case report form</w:t>
            </w:r>
          </w:p>
        </w:tc>
      </w:tr>
      <w:tr w:rsidR="00B71D5F" w14:paraId="4A11242A" w14:textId="77777777" w:rsidTr="00B71D5F">
        <w:tc>
          <w:tcPr>
            <w:tcW w:w="1890" w:type="dxa"/>
            <w:hideMark/>
          </w:tcPr>
          <w:p w14:paraId="36D83190"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CTCAE v4.0</w:t>
            </w:r>
          </w:p>
        </w:tc>
        <w:tc>
          <w:tcPr>
            <w:tcW w:w="6830" w:type="dxa"/>
            <w:hideMark/>
          </w:tcPr>
          <w:p w14:paraId="1EF2220E"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Common Terminology Criteria for Adverse Events version 4.0</w:t>
            </w:r>
          </w:p>
        </w:tc>
      </w:tr>
      <w:tr w:rsidR="00B71D5F" w14:paraId="4DC975EC" w14:textId="77777777" w:rsidTr="00B71D5F">
        <w:tc>
          <w:tcPr>
            <w:tcW w:w="1890" w:type="dxa"/>
            <w:hideMark/>
          </w:tcPr>
          <w:p w14:paraId="0EA53820"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DBP</w:t>
            </w:r>
          </w:p>
        </w:tc>
        <w:tc>
          <w:tcPr>
            <w:tcW w:w="6830" w:type="dxa"/>
            <w:hideMark/>
          </w:tcPr>
          <w:p w14:paraId="7366E76F"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Diastolic blood pressure</w:t>
            </w:r>
          </w:p>
        </w:tc>
      </w:tr>
      <w:tr w:rsidR="00B71D5F" w14:paraId="3D0CC75E" w14:textId="77777777" w:rsidTr="00B71D5F">
        <w:tc>
          <w:tcPr>
            <w:tcW w:w="1890" w:type="dxa"/>
            <w:hideMark/>
          </w:tcPr>
          <w:p w14:paraId="44BDCE74"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DMARD</w:t>
            </w:r>
          </w:p>
        </w:tc>
        <w:tc>
          <w:tcPr>
            <w:tcW w:w="6830" w:type="dxa"/>
            <w:hideMark/>
          </w:tcPr>
          <w:p w14:paraId="40A60B50"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Disease-modifying antirheumatic drug</w:t>
            </w:r>
          </w:p>
        </w:tc>
      </w:tr>
      <w:tr w:rsidR="00B71D5F" w14:paraId="301A19C7" w14:textId="77777777" w:rsidTr="00B71D5F">
        <w:tc>
          <w:tcPr>
            <w:tcW w:w="1890" w:type="dxa"/>
            <w:hideMark/>
          </w:tcPr>
          <w:p w14:paraId="2E4929AE"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ECG</w:t>
            </w:r>
          </w:p>
        </w:tc>
        <w:tc>
          <w:tcPr>
            <w:tcW w:w="6830" w:type="dxa"/>
            <w:hideMark/>
          </w:tcPr>
          <w:p w14:paraId="47D0CB75"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Electrocardiogram</w:t>
            </w:r>
          </w:p>
        </w:tc>
      </w:tr>
      <w:tr w:rsidR="00B71D5F" w14:paraId="7F28FDD6" w14:textId="77777777" w:rsidTr="00B71D5F">
        <w:tc>
          <w:tcPr>
            <w:tcW w:w="1890" w:type="dxa"/>
            <w:hideMark/>
          </w:tcPr>
          <w:p w14:paraId="745BABB3"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proofErr w:type="spellStart"/>
            <w:r w:rsidRPr="00107039">
              <w:rPr>
                <w:rFonts w:asciiTheme="minorHAnsi" w:hAnsiTheme="minorHAnsi"/>
                <w:sz w:val="20"/>
                <w:szCs w:val="20"/>
              </w:rPr>
              <w:t>eform</w:t>
            </w:r>
            <w:proofErr w:type="spellEnd"/>
            <w:r w:rsidRPr="00107039">
              <w:rPr>
                <w:rFonts w:asciiTheme="minorHAnsi" w:hAnsiTheme="minorHAnsi"/>
                <w:sz w:val="20"/>
                <w:szCs w:val="20"/>
              </w:rPr>
              <w:t xml:space="preserve"> </w:t>
            </w:r>
          </w:p>
        </w:tc>
        <w:tc>
          <w:tcPr>
            <w:tcW w:w="6830" w:type="dxa"/>
            <w:hideMark/>
          </w:tcPr>
          <w:p w14:paraId="7BD6EC02"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Electronic form (page)</w:t>
            </w:r>
          </w:p>
        </w:tc>
      </w:tr>
      <w:tr w:rsidR="00B71D5F" w14:paraId="6B494400" w14:textId="77777777" w:rsidTr="00B71D5F">
        <w:tc>
          <w:tcPr>
            <w:tcW w:w="1890" w:type="dxa"/>
            <w:hideMark/>
          </w:tcPr>
          <w:p w14:paraId="629EF759"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ESF</w:t>
            </w:r>
          </w:p>
        </w:tc>
        <w:tc>
          <w:tcPr>
            <w:tcW w:w="6830" w:type="dxa"/>
            <w:hideMark/>
          </w:tcPr>
          <w:p w14:paraId="0783EDDF"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Eligibility screening form</w:t>
            </w:r>
          </w:p>
        </w:tc>
      </w:tr>
      <w:tr w:rsidR="00B71D5F" w14:paraId="60C72AD9" w14:textId="77777777" w:rsidTr="00B71D5F">
        <w:tc>
          <w:tcPr>
            <w:tcW w:w="1890" w:type="dxa"/>
            <w:hideMark/>
          </w:tcPr>
          <w:p w14:paraId="74C2927B"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FDA</w:t>
            </w:r>
          </w:p>
        </w:tc>
        <w:tc>
          <w:tcPr>
            <w:tcW w:w="6830" w:type="dxa"/>
            <w:hideMark/>
          </w:tcPr>
          <w:p w14:paraId="677A7AD5"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Food and Drug Administration</w:t>
            </w:r>
          </w:p>
        </w:tc>
      </w:tr>
      <w:tr w:rsidR="00B71D5F" w14:paraId="677684D1" w14:textId="77777777" w:rsidTr="00B71D5F">
        <w:tc>
          <w:tcPr>
            <w:tcW w:w="1890" w:type="dxa"/>
            <w:hideMark/>
          </w:tcPr>
          <w:p w14:paraId="53C3AF22"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proofErr w:type="spellStart"/>
            <w:r w:rsidRPr="00107039">
              <w:rPr>
                <w:rFonts w:asciiTheme="minorHAnsi" w:hAnsiTheme="minorHAnsi"/>
                <w:sz w:val="20"/>
                <w:szCs w:val="20"/>
              </w:rPr>
              <w:t>HBcAb</w:t>
            </w:r>
            <w:proofErr w:type="spellEnd"/>
          </w:p>
        </w:tc>
        <w:tc>
          <w:tcPr>
            <w:tcW w:w="6830" w:type="dxa"/>
            <w:hideMark/>
          </w:tcPr>
          <w:p w14:paraId="15227F33"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Hepatitis B core antibody</w:t>
            </w:r>
          </w:p>
        </w:tc>
      </w:tr>
      <w:tr w:rsidR="00B71D5F" w14:paraId="09767530" w14:textId="77777777" w:rsidTr="00B71D5F">
        <w:tc>
          <w:tcPr>
            <w:tcW w:w="1890" w:type="dxa"/>
            <w:hideMark/>
          </w:tcPr>
          <w:p w14:paraId="48D23618"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HBsAg</w:t>
            </w:r>
          </w:p>
        </w:tc>
        <w:tc>
          <w:tcPr>
            <w:tcW w:w="6830" w:type="dxa"/>
            <w:hideMark/>
          </w:tcPr>
          <w:p w14:paraId="43720D56"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Hepatitis B surface antigen</w:t>
            </w:r>
          </w:p>
        </w:tc>
      </w:tr>
      <w:tr w:rsidR="00B71D5F" w14:paraId="39792F94" w14:textId="77777777" w:rsidTr="00B71D5F">
        <w:tc>
          <w:tcPr>
            <w:tcW w:w="1890" w:type="dxa"/>
            <w:hideMark/>
          </w:tcPr>
          <w:p w14:paraId="207A56DB"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GCP</w:t>
            </w:r>
          </w:p>
        </w:tc>
        <w:tc>
          <w:tcPr>
            <w:tcW w:w="6830" w:type="dxa"/>
            <w:hideMark/>
          </w:tcPr>
          <w:p w14:paraId="1062CDAD"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Good Clinical Practice</w:t>
            </w:r>
          </w:p>
        </w:tc>
      </w:tr>
      <w:tr w:rsidR="00B71D5F" w14:paraId="28459E98" w14:textId="77777777" w:rsidTr="00B71D5F">
        <w:tc>
          <w:tcPr>
            <w:tcW w:w="1890" w:type="dxa"/>
            <w:hideMark/>
          </w:tcPr>
          <w:p w14:paraId="79231069"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ICF</w:t>
            </w:r>
          </w:p>
        </w:tc>
        <w:tc>
          <w:tcPr>
            <w:tcW w:w="6830" w:type="dxa"/>
            <w:hideMark/>
          </w:tcPr>
          <w:p w14:paraId="51398F91"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Informed consent form</w:t>
            </w:r>
          </w:p>
        </w:tc>
      </w:tr>
      <w:tr w:rsidR="00B71D5F" w14:paraId="4B047FA1" w14:textId="77777777" w:rsidTr="00B71D5F">
        <w:tc>
          <w:tcPr>
            <w:tcW w:w="1890" w:type="dxa"/>
            <w:hideMark/>
          </w:tcPr>
          <w:p w14:paraId="11E1FCCC"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ICH</w:t>
            </w:r>
          </w:p>
        </w:tc>
        <w:tc>
          <w:tcPr>
            <w:tcW w:w="6830" w:type="dxa"/>
            <w:hideMark/>
          </w:tcPr>
          <w:p w14:paraId="25ABCDD7"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International Conference on Harmonisation</w:t>
            </w:r>
          </w:p>
        </w:tc>
      </w:tr>
      <w:tr w:rsidR="00B71D5F" w14:paraId="4543B3B5" w14:textId="77777777" w:rsidTr="00B71D5F">
        <w:tc>
          <w:tcPr>
            <w:tcW w:w="1890" w:type="dxa"/>
            <w:hideMark/>
          </w:tcPr>
          <w:p w14:paraId="06A12B1E"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IMP</w:t>
            </w:r>
          </w:p>
        </w:tc>
        <w:tc>
          <w:tcPr>
            <w:tcW w:w="6830" w:type="dxa"/>
            <w:hideMark/>
          </w:tcPr>
          <w:p w14:paraId="6FFFD964"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Investigational medicinal product</w:t>
            </w:r>
          </w:p>
        </w:tc>
      </w:tr>
      <w:tr w:rsidR="00B71D5F" w14:paraId="0CEC4C73" w14:textId="77777777" w:rsidTr="00B71D5F">
        <w:tc>
          <w:tcPr>
            <w:tcW w:w="1890" w:type="dxa"/>
            <w:hideMark/>
          </w:tcPr>
          <w:p w14:paraId="515213A0"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IRB</w:t>
            </w:r>
          </w:p>
        </w:tc>
        <w:tc>
          <w:tcPr>
            <w:tcW w:w="6830" w:type="dxa"/>
            <w:hideMark/>
          </w:tcPr>
          <w:p w14:paraId="54C7B80A"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Institutional review board</w:t>
            </w:r>
          </w:p>
        </w:tc>
      </w:tr>
      <w:tr w:rsidR="00B71D5F" w14:paraId="337C83F6" w14:textId="77777777" w:rsidTr="00B71D5F">
        <w:tc>
          <w:tcPr>
            <w:tcW w:w="1890" w:type="dxa"/>
            <w:hideMark/>
          </w:tcPr>
          <w:p w14:paraId="603D9212"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IRR</w:t>
            </w:r>
          </w:p>
        </w:tc>
        <w:tc>
          <w:tcPr>
            <w:tcW w:w="6830" w:type="dxa"/>
            <w:hideMark/>
          </w:tcPr>
          <w:p w14:paraId="3519A284"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Infusion-related reaction</w:t>
            </w:r>
          </w:p>
        </w:tc>
      </w:tr>
      <w:tr w:rsidR="00B71D5F" w14:paraId="0C2164AC" w14:textId="77777777" w:rsidTr="00B71D5F">
        <w:tc>
          <w:tcPr>
            <w:tcW w:w="1890" w:type="dxa"/>
            <w:hideMark/>
          </w:tcPr>
          <w:p w14:paraId="4ADF3E52"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IV</w:t>
            </w:r>
          </w:p>
        </w:tc>
        <w:tc>
          <w:tcPr>
            <w:tcW w:w="6830" w:type="dxa"/>
            <w:hideMark/>
          </w:tcPr>
          <w:p w14:paraId="7166B457"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Intravenous</w:t>
            </w:r>
          </w:p>
        </w:tc>
      </w:tr>
      <w:tr w:rsidR="00B71D5F" w14:paraId="422349CC" w14:textId="77777777" w:rsidTr="00B71D5F">
        <w:tc>
          <w:tcPr>
            <w:tcW w:w="1890" w:type="dxa"/>
            <w:hideMark/>
          </w:tcPr>
          <w:p w14:paraId="781FBFB8"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lastRenderedPageBreak/>
              <w:t>IxRS</w:t>
            </w:r>
          </w:p>
        </w:tc>
        <w:tc>
          <w:tcPr>
            <w:tcW w:w="6830" w:type="dxa"/>
            <w:hideMark/>
          </w:tcPr>
          <w:p w14:paraId="750B009C"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Interactive voice and web response system</w:t>
            </w:r>
          </w:p>
        </w:tc>
      </w:tr>
      <w:tr w:rsidR="00B71D5F" w14:paraId="13A30B6B" w14:textId="77777777" w:rsidTr="00B71D5F">
        <w:tc>
          <w:tcPr>
            <w:tcW w:w="1890" w:type="dxa"/>
            <w:hideMark/>
          </w:tcPr>
          <w:p w14:paraId="5ED2EAF4"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LDH</w:t>
            </w:r>
          </w:p>
        </w:tc>
        <w:tc>
          <w:tcPr>
            <w:tcW w:w="6830" w:type="dxa"/>
            <w:hideMark/>
          </w:tcPr>
          <w:p w14:paraId="5C8C764B"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Lactate dehydrogenase</w:t>
            </w:r>
          </w:p>
        </w:tc>
      </w:tr>
      <w:tr w:rsidR="00B71D5F" w14:paraId="67CC9187" w14:textId="77777777" w:rsidTr="00B71D5F">
        <w:tc>
          <w:tcPr>
            <w:tcW w:w="1890" w:type="dxa"/>
            <w:hideMark/>
          </w:tcPr>
          <w:p w14:paraId="70F9B81F"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MedDRA</w:t>
            </w:r>
          </w:p>
        </w:tc>
        <w:tc>
          <w:tcPr>
            <w:tcW w:w="6830" w:type="dxa"/>
            <w:hideMark/>
          </w:tcPr>
          <w:p w14:paraId="37197C91"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Medical Dictionary for Regulatory Activities</w:t>
            </w:r>
          </w:p>
        </w:tc>
      </w:tr>
      <w:tr w:rsidR="00B71D5F" w14:paraId="23C0D5A1" w14:textId="77777777" w:rsidTr="00B71D5F">
        <w:tc>
          <w:tcPr>
            <w:tcW w:w="1890" w:type="dxa"/>
            <w:hideMark/>
          </w:tcPr>
          <w:p w14:paraId="2DF7D37E"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MTX</w:t>
            </w:r>
          </w:p>
        </w:tc>
        <w:tc>
          <w:tcPr>
            <w:tcW w:w="6830" w:type="dxa"/>
            <w:hideMark/>
          </w:tcPr>
          <w:p w14:paraId="17794E62"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Methotrexate</w:t>
            </w:r>
          </w:p>
        </w:tc>
      </w:tr>
      <w:tr w:rsidR="00B71D5F" w14:paraId="7D97D63E" w14:textId="77777777" w:rsidTr="00B71D5F">
        <w:tc>
          <w:tcPr>
            <w:tcW w:w="1890" w:type="dxa"/>
            <w:hideMark/>
          </w:tcPr>
          <w:p w14:paraId="37D034AA"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NCI</w:t>
            </w:r>
          </w:p>
        </w:tc>
        <w:tc>
          <w:tcPr>
            <w:tcW w:w="6830" w:type="dxa"/>
            <w:hideMark/>
          </w:tcPr>
          <w:p w14:paraId="498139EB"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National Cancer Institute</w:t>
            </w:r>
          </w:p>
        </w:tc>
      </w:tr>
      <w:tr w:rsidR="00B71D5F" w14:paraId="054B560D" w14:textId="77777777" w:rsidTr="00B71D5F">
        <w:tc>
          <w:tcPr>
            <w:tcW w:w="1890" w:type="dxa"/>
            <w:hideMark/>
          </w:tcPr>
          <w:p w14:paraId="4502FB9D"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NSAID</w:t>
            </w:r>
          </w:p>
        </w:tc>
        <w:tc>
          <w:tcPr>
            <w:tcW w:w="6830" w:type="dxa"/>
            <w:hideMark/>
          </w:tcPr>
          <w:p w14:paraId="1E7B8FE0"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Nonsteroidal anti-inflammatory drug</w:t>
            </w:r>
          </w:p>
        </w:tc>
      </w:tr>
      <w:tr w:rsidR="00B71D5F" w14:paraId="2617E493" w14:textId="77777777" w:rsidTr="00B71D5F">
        <w:tc>
          <w:tcPr>
            <w:tcW w:w="1890" w:type="dxa"/>
            <w:hideMark/>
          </w:tcPr>
          <w:p w14:paraId="3630E3C0"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RA</w:t>
            </w:r>
          </w:p>
        </w:tc>
        <w:tc>
          <w:tcPr>
            <w:tcW w:w="6830" w:type="dxa"/>
            <w:hideMark/>
          </w:tcPr>
          <w:p w14:paraId="0C9E0AFB"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Rheumatoid arthritis</w:t>
            </w:r>
          </w:p>
        </w:tc>
      </w:tr>
      <w:tr w:rsidR="00B71D5F" w14:paraId="4B791ADB" w14:textId="77777777" w:rsidTr="00B71D5F">
        <w:tc>
          <w:tcPr>
            <w:tcW w:w="1890" w:type="dxa"/>
            <w:hideMark/>
          </w:tcPr>
          <w:p w14:paraId="7DA8A760"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RBC</w:t>
            </w:r>
          </w:p>
        </w:tc>
        <w:tc>
          <w:tcPr>
            <w:tcW w:w="6830" w:type="dxa"/>
            <w:hideMark/>
          </w:tcPr>
          <w:p w14:paraId="4A2A151F"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Red blood cell</w:t>
            </w:r>
          </w:p>
        </w:tc>
      </w:tr>
      <w:tr w:rsidR="00B71D5F" w14:paraId="372F3DEB" w14:textId="77777777" w:rsidTr="00B71D5F">
        <w:tc>
          <w:tcPr>
            <w:tcW w:w="1890" w:type="dxa"/>
            <w:hideMark/>
          </w:tcPr>
          <w:p w14:paraId="0008202D"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RF</w:t>
            </w:r>
          </w:p>
        </w:tc>
        <w:tc>
          <w:tcPr>
            <w:tcW w:w="6830" w:type="dxa"/>
            <w:hideMark/>
          </w:tcPr>
          <w:p w14:paraId="52C6FEF1"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Rheumatoid factor</w:t>
            </w:r>
          </w:p>
        </w:tc>
      </w:tr>
      <w:tr w:rsidR="00B71D5F" w14:paraId="18A10813" w14:textId="77777777" w:rsidTr="00B71D5F">
        <w:tc>
          <w:tcPr>
            <w:tcW w:w="1890" w:type="dxa"/>
            <w:hideMark/>
          </w:tcPr>
          <w:p w14:paraId="2A6723BC"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RTX</w:t>
            </w:r>
          </w:p>
        </w:tc>
        <w:tc>
          <w:tcPr>
            <w:tcW w:w="6830" w:type="dxa"/>
            <w:hideMark/>
          </w:tcPr>
          <w:p w14:paraId="51D2A216"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Rituximab</w:t>
            </w:r>
          </w:p>
        </w:tc>
      </w:tr>
      <w:tr w:rsidR="00B71D5F" w14:paraId="5C8A1923" w14:textId="77777777" w:rsidTr="00B71D5F">
        <w:tc>
          <w:tcPr>
            <w:tcW w:w="1890" w:type="dxa"/>
            <w:hideMark/>
          </w:tcPr>
          <w:p w14:paraId="74BF91D2"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SAE</w:t>
            </w:r>
          </w:p>
        </w:tc>
        <w:tc>
          <w:tcPr>
            <w:tcW w:w="6830" w:type="dxa"/>
            <w:hideMark/>
          </w:tcPr>
          <w:p w14:paraId="744A2C15"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Serious adverse event</w:t>
            </w:r>
          </w:p>
        </w:tc>
      </w:tr>
      <w:tr w:rsidR="00B71D5F" w14:paraId="5D8F5F21" w14:textId="77777777" w:rsidTr="00B71D5F">
        <w:tc>
          <w:tcPr>
            <w:tcW w:w="1890" w:type="dxa"/>
            <w:hideMark/>
          </w:tcPr>
          <w:p w14:paraId="38F34921"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107039">
              <w:rPr>
                <w:rFonts w:asciiTheme="minorHAnsi" w:hAnsiTheme="minorHAnsi"/>
                <w:sz w:val="20"/>
                <w:szCs w:val="20"/>
              </w:rPr>
              <w:t>SBP</w:t>
            </w:r>
          </w:p>
        </w:tc>
        <w:tc>
          <w:tcPr>
            <w:tcW w:w="6830" w:type="dxa"/>
            <w:hideMark/>
          </w:tcPr>
          <w:p w14:paraId="684942AA"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107039">
              <w:rPr>
                <w:rFonts w:asciiTheme="minorHAnsi" w:hAnsiTheme="minorHAnsi"/>
                <w:sz w:val="20"/>
                <w:szCs w:val="20"/>
              </w:rPr>
              <w:t>Systolic blood pressure</w:t>
            </w:r>
          </w:p>
        </w:tc>
      </w:tr>
      <w:tr w:rsidR="00B71D5F" w14:paraId="43759709" w14:textId="77777777" w:rsidTr="00B71D5F">
        <w:tc>
          <w:tcPr>
            <w:tcW w:w="1890" w:type="dxa"/>
            <w:hideMark/>
          </w:tcPr>
          <w:p w14:paraId="604159FD"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107039">
              <w:rPr>
                <w:rFonts w:asciiTheme="minorHAnsi" w:hAnsiTheme="minorHAnsi"/>
                <w:sz w:val="20"/>
                <w:szCs w:val="20"/>
              </w:rPr>
              <w:t>SIRR</w:t>
            </w:r>
          </w:p>
        </w:tc>
        <w:tc>
          <w:tcPr>
            <w:tcW w:w="6830" w:type="dxa"/>
            <w:hideMark/>
          </w:tcPr>
          <w:p w14:paraId="4626396B"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107039">
              <w:rPr>
                <w:rFonts w:asciiTheme="minorHAnsi" w:hAnsiTheme="minorHAnsi"/>
                <w:sz w:val="20"/>
                <w:szCs w:val="20"/>
              </w:rPr>
              <w:t>Serious infusion-related reaction</w:t>
            </w:r>
          </w:p>
        </w:tc>
      </w:tr>
      <w:tr w:rsidR="00B71D5F" w14:paraId="7B529054" w14:textId="77777777" w:rsidTr="00B71D5F">
        <w:tc>
          <w:tcPr>
            <w:tcW w:w="1890" w:type="dxa"/>
            <w:hideMark/>
          </w:tcPr>
          <w:p w14:paraId="113013F5"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SIE</w:t>
            </w:r>
          </w:p>
        </w:tc>
        <w:tc>
          <w:tcPr>
            <w:tcW w:w="6830" w:type="dxa"/>
            <w:hideMark/>
          </w:tcPr>
          <w:p w14:paraId="7C7A4FC1"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Serious infection event</w:t>
            </w:r>
          </w:p>
        </w:tc>
      </w:tr>
      <w:tr w:rsidR="00B71D5F" w14:paraId="41AF4164" w14:textId="77777777" w:rsidTr="00B71D5F">
        <w:tc>
          <w:tcPr>
            <w:tcW w:w="1890" w:type="dxa"/>
            <w:hideMark/>
          </w:tcPr>
          <w:p w14:paraId="2977D20A"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SSR</w:t>
            </w:r>
          </w:p>
        </w:tc>
        <w:tc>
          <w:tcPr>
            <w:tcW w:w="6830" w:type="dxa"/>
            <w:hideMark/>
          </w:tcPr>
          <w:p w14:paraId="74C19648"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SUSAR Report</w:t>
            </w:r>
          </w:p>
        </w:tc>
      </w:tr>
      <w:tr w:rsidR="00B71D5F" w14:paraId="2CC93679" w14:textId="77777777" w:rsidTr="00B71D5F">
        <w:tc>
          <w:tcPr>
            <w:tcW w:w="1890" w:type="dxa"/>
            <w:hideMark/>
          </w:tcPr>
          <w:p w14:paraId="7B6C6F44"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SUSAR</w:t>
            </w:r>
          </w:p>
        </w:tc>
        <w:tc>
          <w:tcPr>
            <w:tcW w:w="6830" w:type="dxa"/>
            <w:hideMark/>
          </w:tcPr>
          <w:p w14:paraId="09F59106"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Suspected unexpected serious adverse reaction</w:t>
            </w:r>
          </w:p>
        </w:tc>
      </w:tr>
      <w:tr w:rsidR="00B71D5F" w14:paraId="49633115" w14:textId="77777777" w:rsidTr="00B71D5F">
        <w:tc>
          <w:tcPr>
            <w:tcW w:w="1890" w:type="dxa"/>
            <w:hideMark/>
          </w:tcPr>
          <w:p w14:paraId="3E3B88A3"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TNF</w:t>
            </w:r>
          </w:p>
        </w:tc>
        <w:tc>
          <w:tcPr>
            <w:tcW w:w="6830" w:type="dxa"/>
            <w:hideMark/>
          </w:tcPr>
          <w:p w14:paraId="0CF5B666"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Tumor necrosis factor</w:t>
            </w:r>
          </w:p>
        </w:tc>
      </w:tr>
      <w:tr w:rsidR="00B71D5F" w14:paraId="50A94D70" w14:textId="77777777" w:rsidTr="00B71D5F">
        <w:tc>
          <w:tcPr>
            <w:tcW w:w="1890" w:type="dxa"/>
            <w:hideMark/>
          </w:tcPr>
          <w:p w14:paraId="7D5EDE26"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ULN</w:t>
            </w:r>
          </w:p>
        </w:tc>
        <w:tc>
          <w:tcPr>
            <w:tcW w:w="6830" w:type="dxa"/>
            <w:hideMark/>
          </w:tcPr>
          <w:p w14:paraId="3B7D4ABF"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kern w:val="16"/>
                <w:sz w:val="20"/>
                <w:szCs w:val="20"/>
              </w:rPr>
            </w:pPr>
            <w:r w:rsidRPr="00107039">
              <w:rPr>
                <w:rFonts w:asciiTheme="minorHAnsi" w:hAnsiTheme="minorHAnsi"/>
                <w:sz w:val="20"/>
                <w:szCs w:val="20"/>
              </w:rPr>
              <w:t>Upper limit of normal</w:t>
            </w:r>
          </w:p>
        </w:tc>
      </w:tr>
      <w:tr w:rsidR="00B71D5F" w14:paraId="42B5AE6D" w14:textId="77777777" w:rsidTr="00B71D5F">
        <w:tc>
          <w:tcPr>
            <w:tcW w:w="1890" w:type="dxa"/>
            <w:hideMark/>
          </w:tcPr>
          <w:p w14:paraId="0A0CA98B"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107039">
              <w:rPr>
                <w:rFonts w:asciiTheme="minorHAnsi" w:hAnsiTheme="minorHAnsi"/>
                <w:sz w:val="20"/>
                <w:szCs w:val="20"/>
              </w:rPr>
              <w:t>WBC</w:t>
            </w:r>
          </w:p>
        </w:tc>
        <w:tc>
          <w:tcPr>
            <w:tcW w:w="6830" w:type="dxa"/>
            <w:hideMark/>
          </w:tcPr>
          <w:p w14:paraId="22D0E388" w14:textId="77777777" w:rsidR="00B71D5F" w:rsidRPr="00107039" w:rsidRDefault="00B71D5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kern w:val="16"/>
                <w:sz w:val="20"/>
                <w:szCs w:val="20"/>
              </w:rPr>
            </w:pPr>
            <w:r w:rsidRPr="00107039">
              <w:rPr>
                <w:rFonts w:asciiTheme="minorHAnsi" w:hAnsiTheme="minorHAnsi"/>
                <w:sz w:val="20"/>
                <w:szCs w:val="20"/>
              </w:rPr>
              <w:t>White blood cell</w:t>
            </w:r>
          </w:p>
        </w:tc>
      </w:tr>
    </w:tbl>
    <w:p w14:paraId="4EF15327"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B0FEAEB" w14:textId="77777777" w:rsidR="008E7846" w:rsidRDefault="00F53C07" w:rsidP="008E7846">
      <w:pPr>
        <w:pStyle w:val="Heading2"/>
      </w:pPr>
      <w:bookmarkStart w:id="9" w:name="_Toc430622489"/>
      <w:r>
        <w:lastRenderedPageBreak/>
        <w:t>I.</w:t>
      </w:r>
      <w:r w:rsidR="008E7846">
        <w:t xml:space="preserve"> Introduction to product submission</w:t>
      </w:r>
      <w:bookmarkEnd w:id="9"/>
      <w:bookmarkEnd w:id="3"/>
      <w:bookmarkEnd w:id="1"/>
    </w:p>
    <w:p w14:paraId="4CB3F47D" w14:textId="77777777" w:rsidR="008E7846" w:rsidRDefault="008E7846" w:rsidP="008E7846">
      <w:pPr>
        <w:pStyle w:val="Heading3"/>
        <w:rPr>
          <w:lang w:eastAsia="en-AU"/>
        </w:rPr>
      </w:pPr>
      <w:bookmarkStart w:id="10" w:name="_Toc247691502"/>
      <w:bookmarkStart w:id="11" w:name="_Toc314842483"/>
      <w:bookmarkStart w:id="12" w:name="_Toc430622490"/>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14:paraId="19FD5886" w14:textId="77777777" w:rsidTr="00B3644C">
        <w:trPr>
          <w:trHeight w:hRule="exact" w:val="454"/>
        </w:trPr>
        <w:tc>
          <w:tcPr>
            <w:tcW w:w="2907" w:type="dxa"/>
          </w:tcPr>
          <w:p w14:paraId="2EB74550"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47EAE91A" w14:textId="77777777" w:rsidR="008E7846" w:rsidRPr="003D1E62" w:rsidRDefault="0056265A" w:rsidP="0056265A">
            <w:r>
              <w:rPr>
                <w:rFonts w:asciiTheme="minorHAnsi" w:hAnsiTheme="minorHAnsi"/>
              </w:rPr>
              <w:t xml:space="preserve">New dosing schedule in </w:t>
            </w:r>
            <w:r w:rsidR="003F5EE2">
              <w:rPr>
                <w:rFonts w:asciiTheme="minorHAnsi" w:hAnsiTheme="minorHAnsi"/>
              </w:rPr>
              <w:t>rheumatoid arthritis (</w:t>
            </w:r>
            <w:r>
              <w:rPr>
                <w:rFonts w:asciiTheme="minorHAnsi" w:hAnsiTheme="minorHAnsi"/>
              </w:rPr>
              <w:t>RA</w:t>
            </w:r>
            <w:r w:rsidR="003F5EE2">
              <w:rPr>
                <w:rFonts w:asciiTheme="minorHAnsi" w:hAnsiTheme="minorHAnsi"/>
              </w:rPr>
              <w:t>)</w:t>
            </w:r>
            <w:r>
              <w:rPr>
                <w:rFonts w:asciiTheme="minorHAnsi" w:hAnsiTheme="minorHAnsi"/>
              </w:rPr>
              <w:t xml:space="preserve"> (major variation)</w:t>
            </w:r>
          </w:p>
        </w:tc>
      </w:tr>
      <w:tr w:rsidR="008E7846" w:rsidRPr="003D1E62" w14:paraId="5CD70931" w14:textId="77777777" w:rsidTr="00B3644C">
        <w:trPr>
          <w:trHeight w:hRule="exact" w:val="454"/>
        </w:trPr>
        <w:tc>
          <w:tcPr>
            <w:tcW w:w="2907" w:type="dxa"/>
          </w:tcPr>
          <w:p w14:paraId="2739CA7F" w14:textId="77777777" w:rsidR="008E7846" w:rsidRPr="003D1E62" w:rsidRDefault="008E7846" w:rsidP="003D1E62">
            <w:r w:rsidRPr="003D1E62">
              <w:rPr>
                <w:i/>
              </w:rPr>
              <w:t>Decision</w:t>
            </w:r>
            <w:r w:rsidRPr="003D1E62">
              <w:t>:</w:t>
            </w:r>
          </w:p>
        </w:tc>
        <w:tc>
          <w:tcPr>
            <w:tcW w:w="6590" w:type="dxa"/>
            <w:gridSpan w:val="2"/>
          </w:tcPr>
          <w:p w14:paraId="6F1A3E5B" w14:textId="77777777" w:rsidR="008E7846" w:rsidRPr="003D1E62" w:rsidRDefault="008E7846" w:rsidP="00431730">
            <w:r w:rsidRPr="003D1E62">
              <w:t xml:space="preserve">Approved </w:t>
            </w:r>
          </w:p>
        </w:tc>
      </w:tr>
      <w:tr w:rsidR="008E7846" w:rsidRPr="003D1E62" w14:paraId="4F86B504" w14:textId="77777777" w:rsidTr="00B3644C">
        <w:trPr>
          <w:trHeight w:hRule="exact" w:val="454"/>
        </w:trPr>
        <w:tc>
          <w:tcPr>
            <w:tcW w:w="2907" w:type="dxa"/>
          </w:tcPr>
          <w:p w14:paraId="40887870"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4E814025" w14:textId="77777777" w:rsidR="008E7846" w:rsidRPr="003D1E62" w:rsidRDefault="00431730" w:rsidP="001B5C90">
            <w:r>
              <w:t>5 March 2015</w:t>
            </w:r>
          </w:p>
        </w:tc>
      </w:tr>
      <w:tr w:rsidR="008E7846" w:rsidRPr="00487162" w14:paraId="63E080A9" w14:textId="77777777" w:rsidTr="00B3644C">
        <w:trPr>
          <w:gridAfter w:val="1"/>
          <w:wAfter w:w="283" w:type="dxa"/>
        </w:trPr>
        <w:tc>
          <w:tcPr>
            <w:tcW w:w="2907" w:type="dxa"/>
          </w:tcPr>
          <w:p w14:paraId="7DDB31AB" w14:textId="77777777" w:rsidR="008E7846" w:rsidRPr="00487162" w:rsidRDefault="001B5C90" w:rsidP="00E45619">
            <w:pPr>
              <w:rPr>
                <w:i/>
              </w:rPr>
            </w:pPr>
            <w:r>
              <w:rPr>
                <w:i/>
              </w:rPr>
              <w:t>Active ingredient(s):</w:t>
            </w:r>
          </w:p>
        </w:tc>
        <w:tc>
          <w:tcPr>
            <w:tcW w:w="6307" w:type="dxa"/>
          </w:tcPr>
          <w:p w14:paraId="5D0D5771" w14:textId="77777777" w:rsidR="008E7846" w:rsidRPr="0056265A" w:rsidRDefault="0056265A" w:rsidP="00B3644C">
            <w:pPr>
              <w:rPr>
                <w:rFonts w:asciiTheme="minorHAnsi" w:hAnsiTheme="minorHAnsi"/>
              </w:rPr>
            </w:pPr>
            <w:r>
              <w:rPr>
                <w:rFonts w:asciiTheme="minorHAnsi" w:hAnsiTheme="minorHAnsi"/>
              </w:rPr>
              <w:t>Rituximab</w:t>
            </w:r>
          </w:p>
        </w:tc>
      </w:tr>
      <w:tr w:rsidR="008E7846" w:rsidRPr="00487162" w14:paraId="0EFD9CEB" w14:textId="77777777" w:rsidTr="00B3644C">
        <w:trPr>
          <w:gridAfter w:val="1"/>
          <w:wAfter w:w="283" w:type="dxa"/>
        </w:trPr>
        <w:tc>
          <w:tcPr>
            <w:tcW w:w="2907" w:type="dxa"/>
          </w:tcPr>
          <w:p w14:paraId="36B4C1D7" w14:textId="77777777" w:rsidR="008E7846" w:rsidRPr="00487162" w:rsidRDefault="008E7846" w:rsidP="001B5C90">
            <w:pPr>
              <w:rPr>
                <w:i/>
              </w:rPr>
            </w:pPr>
            <w:r w:rsidRPr="00487162">
              <w:rPr>
                <w:i/>
              </w:rPr>
              <w:t>Product</w:t>
            </w:r>
            <w:r w:rsidR="001B5C90">
              <w:rPr>
                <w:i/>
              </w:rPr>
              <w:t xml:space="preserve"> name(s):</w:t>
            </w:r>
          </w:p>
        </w:tc>
        <w:tc>
          <w:tcPr>
            <w:tcW w:w="6307" w:type="dxa"/>
          </w:tcPr>
          <w:p w14:paraId="4F7D24E7" w14:textId="77777777" w:rsidR="008E7846" w:rsidRPr="00487162" w:rsidRDefault="0056265A" w:rsidP="00B3644C">
            <w:r>
              <w:t>MabThera</w:t>
            </w:r>
          </w:p>
        </w:tc>
      </w:tr>
      <w:tr w:rsidR="008E7846" w:rsidRPr="00487162" w14:paraId="57AF1DA8" w14:textId="77777777" w:rsidTr="00B3644C">
        <w:trPr>
          <w:gridAfter w:val="1"/>
          <w:wAfter w:w="283" w:type="dxa"/>
        </w:trPr>
        <w:tc>
          <w:tcPr>
            <w:tcW w:w="2907" w:type="dxa"/>
          </w:tcPr>
          <w:p w14:paraId="3279A58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FD03B27" w14:textId="77777777" w:rsidR="008E7846" w:rsidRDefault="0056265A" w:rsidP="00B3644C">
            <w:pPr>
              <w:rPr>
                <w:rFonts w:asciiTheme="minorHAnsi" w:hAnsiTheme="minorHAnsi"/>
              </w:rPr>
            </w:pPr>
            <w:r>
              <w:rPr>
                <w:rFonts w:asciiTheme="minorHAnsi" w:hAnsiTheme="minorHAnsi"/>
              </w:rPr>
              <w:t>Roche Products Pty Ltd</w:t>
            </w:r>
          </w:p>
          <w:p w14:paraId="727A44D2" w14:textId="77777777" w:rsidR="003F5EE2" w:rsidRPr="003F5EE2" w:rsidRDefault="003F5EE2" w:rsidP="00B3644C">
            <w:pPr>
              <w:rPr>
                <w:rFonts w:asciiTheme="minorHAnsi" w:hAnsiTheme="minorHAnsi"/>
              </w:rPr>
            </w:pPr>
            <w:r>
              <w:rPr>
                <w:rFonts w:asciiTheme="minorHAnsi" w:hAnsiTheme="minorHAnsi"/>
              </w:rPr>
              <w:t>PO Box 255 Dee Why NSW 2099</w:t>
            </w:r>
          </w:p>
        </w:tc>
      </w:tr>
      <w:tr w:rsidR="008E7846" w:rsidRPr="00487162" w14:paraId="5C75EBCD" w14:textId="77777777" w:rsidTr="00B3644C">
        <w:trPr>
          <w:gridAfter w:val="1"/>
          <w:wAfter w:w="283" w:type="dxa"/>
        </w:trPr>
        <w:tc>
          <w:tcPr>
            <w:tcW w:w="2907" w:type="dxa"/>
          </w:tcPr>
          <w:p w14:paraId="74118920" w14:textId="77777777" w:rsidR="008E7846" w:rsidRPr="00487162" w:rsidRDefault="001B5C90" w:rsidP="00E45619">
            <w:pPr>
              <w:rPr>
                <w:i/>
              </w:rPr>
            </w:pPr>
            <w:r>
              <w:rPr>
                <w:i/>
              </w:rPr>
              <w:t>Dose form(s):</w:t>
            </w:r>
          </w:p>
        </w:tc>
        <w:tc>
          <w:tcPr>
            <w:tcW w:w="6307" w:type="dxa"/>
          </w:tcPr>
          <w:p w14:paraId="5FC67B52" w14:textId="77777777" w:rsidR="008E7846" w:rsidRPr="00487162" w:rsidRDefault="0056265A" w:rsidP="00B3644C">
            <w:r>
              <w:t>Solution for injection</w:t>
            </w:r>
          </w:p>
        </w:tc>
      </w:tr>
      <w:tr w:rsidR="008E7846" w:rsidRPr="00487162" w14:paraId="2BE464E0" w14:textId="77777777" w:rsidTr="00B3644C">
        <w:trPr>
          <w:gridAfter w:val="1"/>
          <w:wAfter w:w="283" w:type="dxa"/>
        </w:trPr>
        <w:tc>
          <w:tcPr>
            <w:tcW w:w="2907" w:type="dxa"/>
          </w:tcPr>
          <w:p w14:paraId="32E410B5" w14:textId="77777777" w:rsidR="008E7846" w:rsidRPr="00487162" w:rsidRDefault="008E7846" w:rsidP="00E45619">
            <w:pPr>
              <w:rPr>
                <w:i/>
              </w:rPr>
            </w:pPr>
            <w:r w:rsidRPr="00487162">
              <w:rPr>
                <w:i/>
              </w:rPr>
              <w:t xml:space="preserve">Strength(s): </w:t>
            </w:r>
          </w:p>
        </w:tc>
        <w:tc>
          <w:tcPr>
            <w:tcW w:w="6307" w:type="dxa"/>
          </w:tcPr>
          <w:p w14:paraId="7261C58B" w14:textId="77777777" w:rsidR="008E7846" w:rsidRPr="0056265A" w:rsidRDefault="0056265A" w:rsidP="00B3644C">
            <w:pPr>
              <w:spacing w:line="240" w:lineRule="auto"/>
              <w:rPr>
                <w:rFonts w:asciiTheme="minorHAnsi" w:hAnsiTheme="minorHAnsi"/>
              </w:rPr>
            </w:pPr>
            <w:r>
              <w:rPr>
                <w:rFonts w:asciiTheme="minorHAnsi" w:hAnsiTheme="minorHAnsi"/>
              </w:rPr>
              <w:t>100</w:t>
            </w:r>
            <w:r w:rsidR="009A7557">
              <w:rPr>
                <w:rFonts w:asciiTheme="minorHAnsi" w:hAnsiTheme="minorHAnsi"/>
              </w:rPr>
              <w:t xml:space="preserve"> </w:t>
            </w:r>
            <w:r>
              <w:rPr>
                <w:rFonts w:asciiTheme="minorHAnsi" w:hAnsiTheme="minorHAnsi"/>
              </w:rPr>
              <w:t>mg/10</w:t>
            </w:r>
            <w:r w:rsidR="009A7557">
              <w:rPr>
                <w:rFonts w:asciiTheme="minorHAnsi" w:hAnsiTheme="minorHAnsi"/>
              </w:rPr>
              <w:t xml:space="preserve"> </w:t>
            </w:r>
            <w:r>
              <w:rPr>
                <w:rFonts w:asciiTheme="minorHAnsi" w:hAnsiTheme="minorHAnsi"/>
              </w:rPr>
              <w:t xml:space="preserve">mL </w:t>
            </w:r>
            <w:r w:rsidR="001E6805">
              <w:rPr>
                <w:rFonts w:asciiTheme="minorHAnsi" w:hAnsiTheme="minorHAnsi"/>
              </w:rPr>
              <w:t xml:space="preserve">and </w:t>
            </w:r>
            <w:r>
              <w:rPr>
                <w:rFonts w:asciiTheme="minorHAnsi" w:hAnsiTheme="minorHAnsi"/>
              </w:rPr>
              <w:t>500</w:t>
            </w:r>
            <w:r w:rsidR="009A7557">
              <w:rPr>
                <w:rFonts w:asciiTheme="minorHAnsi" w:hAnsiTheme="minorHAnsi"/>
              </w:rPr>
              <w:t xml:space="preserve"> </w:t>
            </w:r>
            <w:r>
              <w:rPr>
                <w:rFonts w:asciiTheme="minorHAnsi" w:hAnsiTheme="minorHAnsi"/>
              </w:rPr>
              <w:t>mg/50</w:t>
            </w:r>
            <w:r w:rsidR="009A7557">
              <w:rPr>
                <w:rFonts w:asciiTheme="minorHAnsi" w:hAnsiTheme="minorHAnsi"/>
              </w:rPr>
              <w:t xml:space="preserve"> </w:t>
            </w:r>
            <w:r>
              <w:rPr>
                <w:rFonts w:asciiTheme="minorHAnsi" w:hAnsiTheme="minorHAnsi"/>
              </w:rPr>
              <w:t xml:space="preserve">mL </w:t>
            </w:r>
          </w:p>
        </w:tc>
      </w:tr>
      <w:tr w:rsidR="008E7846" w:rsidRPr="00487162" w14:paraId="33589E04" w14:textId="77777777" w:rsidTr="00B3644C">
        <w:trPr>
          <w:gridAfter w:val="1"/>
          <w:wAfter w:w="283" w:type="dxa"/>
        </w:trPr>
        <w:tc>
          <w:tcPr>
            <w:tcW w:w="2907" w:type="dxa"/>
          </w:tcPr>
          <w:p w14:paraId="73FEB71E" w14:textId="77777777" w:rsidR="008E7846" w:rsidRPr="00487162" w:rsidRDefault="008E7846" w:rsidP="00E45619">
            <w:pPr>
              <w:rPr>
                <w:i/>
              </w:rPr>
            </w:pPr>
            <w:r w:rsidRPr="00487162">
              <w:rPr>
                <w:i/>
              </w:rPr>
              <w:t>Container(s):</w:t>
            </w:r>
          </w:p>
        </w:tc>
        <w:tc>
          <w:tcPr>
            <w:tcW w:w="6307" w:type="dxa"/>
          </w:tcPr>
          <w:p w14:paraId="0DC4009F" w14:textId="77777777" w:rsidR="008E7846" w:rsidRPr="00487162" w:rsidRDefault="0056265A" w:rsidP="00B3644C">
            <w:r>
              <w:rPr>
                <w:rFonts w:asciiTheme="minorHAnsi" w:hAnsiTheme="minorHAnsi"/>
              </w:rPr>
              <w:t xml:space="preserve">Single use vials for </w:t>
            </w:r>
          </w:p>
        </w:tc>
      </w:tr>
      <w:tr w:rsidR="008E7846" w:rsidRPr="00487162" w14:paraId="3E75C56F" w14:textId="77777777" w:rsidTr="00B3644C">
        <w:trPr>
          <w:gridAfter w:val="1"/>
          <w:wAfter w:w="283" w:type="dxa"/>
        </w:trPr>
        <w:tc>
          <w:tcPr>
            <w:tcW w:w="2907" w:type="dxa"/>
          </w:tcPr>
          <w:p w14:paraId="69B2D984" w14:textId="77777777" w:rsidR="008E7846" w:rsidRPr="00487162" w:rsidRDefault="008E7846" w:rsidP="00E45619">
            <w:pPr>
              <w:rPr>
                <w:i/>
              </w:rPr>
            </w:pPr>
            <w:r w:rsidRPr="00487162">
              <w:rPr>
                <w:i/>
              </w:rPr>
              <w:t>Pack size(s):</w:t>
            </w:r>
          </w:p>
        </w:tc>
        <w:tc>
          <w:tcPr>
            <w:tcW w:w="6307" w:type="dxa"/>
          </w:tcPr>
          <w:p w14:paraId="0D4F8389" w14:textId="77777777" w:rsidR="008E7846" w:rsidRPr="00487162" w:rsidRDefault="00B3644C" w:rsidP="009A7557">
            <w:r>
              <w:t>2x 10 mL and 1x</w:t>
            </w:r>
            <w:r w:rsidR="009A7557">
              <w:t>50 mL</w:t>
            </w:r>
          </w:p>
        </w:tc>
      </w:tr>
      <w:tr w:rsidR="008E7846" w:rsidRPr="00487162" w14:paraId="40592C54" w14:textId="77777777" w:rsidTr="00B3644C">
        <w:trPr>
          <w:gridAfter w:val="1"/>
          <w:wAfter w:w="283" w:type="dxa"/>
        </w:trPr>
        <w:tc>
          <w:tcPr>
            <w:tcW w:w="2907" w:type="dxa"/>
          </w:tcPr>
          <w:p w14:paraId="472402A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B876809" w14:textId="77777777" w:rsidR="001E6805" w:rsidRPr="001E6805" w:rsidRDefault="001E6805" w:rsidP="003E57C6">
            <w:pPr>
              <w:autoSpaceDE w:val="0"/>
              <w:autoSpaceDN w:val="0"/>
              <w:adjustRightInd w:val="0"/>
              <w:spacing w:after="0"/>
              <w:rPr>
                <w:rFonts w:asciiTheme="minorHAnsi" w:hAnsiTheme="minorHAnsi"/>
                <w:b/>
                <w:bCs/>
                <w:i/>
                <w:iCs/>
                <w:lang w:val="en-US"/>
              </w:rPr>
            </w:pPr>
            <w:r w:rsidRPr="001E6805">
              <w:rPr>
                <w:rFonts w:asciiTheme="minorHAnsi" w:hAnsiTheme="minorHAnsi"/>
                <w:b/>
                <w:bCs/>
                <w:i/>
                <w:iCs/>
                <w:lang w:val="en-US"/>
              </w:rPr>
              <w:t>Rheumatoid Arthritis</w:t>
            </w:r>
          </w:p>
          <w:p w14:paraId="24AEFC29" w14:textId="77777777" w:rsidR="001E6805" w:rsidRPr="001E6805" w:rsidRDefault="00411AB3" w:rsidP="001E6805">
            <w:pPr>
              <w:autoSpaceDE w:val="0"/>
              <w:autoSpaceDN w:val="0"/>
              <w:adjustRightInd w:val="0"/>
              <w:spacing w:before="0" w:after="0"/>
              <w:rPr>
                <w:rFonts w:asciiTheme="minorHAnsi" w:hAnsiTheme="minorHAnsi"/>
                <w:i/>
                <w:lang w:val="en-US"/>
              </w:rPr>
            </w:pPr>
            <w:r>
              <w:rPr>
                <w:rFonts w:asciiTheme="minorHAnsi" w:hAnsiTheme="minorHAnsi"/>
                <w:i/>
                <w:lang w:val="en-US"/>
              </w:rPr>
              <w:t>MabThera</w:t>
            </w:r>
            <w:r w:rsidR="009A7557" w:rsidRPr="001E6805">
              <w:rPr>
                <w:rFonts w:asciiTheme="minorHAnsi" w:hAnsiTheme="minorHAnsi"/>
                <w:i/>
                <w:lang w:val="en-US"/>
              </w:rPr>
              <w:t xml:space="preserve"> </w:t>
            </w:r>
            <w:r w:rsidR="001E6805" w:rsidRPr="001E6805">
              <w:rPr>
                <w:rFonts w:asciiTheme="minorHAnsi" w:hAnsiTheme="minorHAnsi"/>
                <w:i/>
                <w:lang w:val="en-US"/>
              </w:rPr>
              <w:t>(rituximab) in combination with methotrexate is indicated for the treatment of adult patients with severe, active rheumatoid arthritis who have had an inadequate response or intolerance to at least one tumour necrosis factor (TNF) inhibitor therapy.</w:t>
            </w:r>
          </w:p>
          <w:p w14:paraId="680C7108" w14:textId="77777777" w:rsidR="008E7846" w:rsidRPr="009A7557" w:rsidRDefault="00411AB3" w:rsidP="009A7557">
            <w:pPr>
              <w:autoSpaceDE w:val="0"/>
              <w:autoSpaceDN w:val="0"/>
              <w:adjustRightInd w:val="0"/>
              <w:spacing w:before="0" w:after="0"/>
              <w:rPr>
                <w:rFonts w:asciiTheme="minorHAnsi" w:hAnsiTheme="minorHAnsi"/>
                <w:i/>
                <w:lang w:val="en-US"/>
              </w:rPr>
            </w:pPr>
            <w:r>
              <w:rPr>
                <w:rFonts w:asciiTheme="minorHAnsi" w:hAnsiTheme="minorHAnsi"/>
                <w:i/>
                <w:lang w:val="en-US"/>
              </w:rPr>
              <w:t>MabThera</w:t>
            </w:r>
            <w:r w:rsidR="009A7557" w:rsidRPr="001E6805">
              <w:rPr>
                <w:rFonts w:asciiTheme="minorHAnsi" w:hAnsiTheme="minorHAnsi"/>
                <w:i/>
                <w:lang w:val="en-US"/>
              </w:rPr>
              <w:t xml:space="preserve"> </w:t>
            </w:r>
            <w:r w:rsidR="001E6805" w:rsidRPr="001E6805">
              <w:rPr>
                <w:rFonts w:asciiTheme="minorHAnsi" w:hAnsiTheme="minorHAnsi"/>
                <w:i/>
                <w:lang w:val="en-US"/>
              </w:rPr>
              <w:t>has been shown to reduce the rate of progression of joint damage as measured by X-ray when given in</w:t>
            </w:r>
            <w:r w:rsidR="009A7557">
              <w:rPr>
                <w:rFonts w:asciiTheme="minorHAnsi" w:hAnsiTheme="minorHAnsi"/>
                <w:i/>
                <w:lang w:val="en-US"/>
              </w:rPr>
              <w:t xml:space="preserve"> combination with methotrexate.</w:t>
            </w:r>
          </w:p>
        </w:tc>
      </w:tr>
      <w:tr w:rsidR="008E7846" w:rsidRPr="00487162" w14:paraId="1262A69F" w14:textId="77777777" w:rsidTr="00B3644C">
        <w:trPr>
          <w:gridAfter w:val="1"/>
          <w:wAfter w:w="283" w:type="dxa"/>
        </w:trPr>
        <w:tc>
          <w:tcPr>
            <w:tcW w:w="2907" w:type="dxa"/>
          </w:tcPr>
          <w:p w14:paraId="380665FD" w14:textId="77777777" w:rsidR="008E7846" w:rsidRPr="00487162" w:rsidRDefault="008E7846" w:rsidP="00E45619">
            <w:pPr>
              <w:rPr>
                <w:i/>
              </w:rPr>
            </w:pPr>
            <w:r w:rsidRPr="00487162">
              <w:rPr>
                <w:i/>
              </w:rPr>
              <w:t>Route(s) of administration:</w:t>
            </w:r>
          </w:p>
        </w:tc>
        <w:tc>
          <w:tcPr>
            <w:tcW w:w="6307" w:type="dxa"/>
          </w:tcPr>
          <w:p w14:paraId="68835BB9" w14:textId="77777777" w:rsidR="008E7846" w:rsidRPr="00487162" w:rsidRDefault="0056265A" w:rsidP="00B3644C">
            <w:r>
              <w:rPr>
                <w:rFonts w:asciiTheme="minorHAnsi" w:hAnsiTheme="minorHAnsi"/>
              </w:rPr>
              <w:t>Intravenous infusion (IVI)</w:t>
            </w:r>
          </w:p>
        </w:tc>
      </w:tr>
      <w:tr w:rsidR="008E7846" w:rsidRPr="00487162" w14:paraId="29C6E25B" w14:textId="77777777" w:rsidTr="00B3644C">
        <w:trPr>
          <w:gridAfter w:val="1"/>
          <w:wAfter w:w="283" w:type="dxa"/>
        </w:trPr>
        <w:tc>
          <w:tcPr>
            <w:tcW w:w="2907" w:type="dxa"/>
          </w:tcPr>
          <w:p w14:paraId="6D9ED024" w14:textId="77777777" w:rsidR="008E7846" w:rsidRPr="00487162" w:rsidRDefault="008E7846" w:rsidP="00E45619">
            <w:pPr>
              <w:rPr>
                <w:i/>
              </w:rPr>
            </w:pPr>
            <w:r w:rsidRPr="00487162">
              <w:rPr>
                <w:i/>
              </w:rPr>
              <w:t>Dosage:</w:t>
            </w:r>
          </w:p>
        </w:tc>
        <w:tc>
          <w:tcPr>
            <w:tcW w:w="6307" w:type="dxa"/>
          </w:tcPr>
          <w:p w14:paraId="00A3DFA1" w14:textId="77777777" w:rsidR="008E7846" w:rsidRPr="00487162" w:rsidRDefault="001E6805" w:rsidP="00B3644C">
            <w:r>
              <w:t>A course of MabThera consists of two 1000 mg infusions. The recommended dosage of MabThera is 1000 mg by IV infusion followed by a second 1000 mg IV infusion two weeks later. The course of MabThera is given concomitantly with the dose of MTX tolerated by the patient. The minimal effective dose is not yet known.</w:t>
            </w:r>
          </w:p>
        </w:tc>
      </w:tr>
      <w:tr w:rsidR="008E7846" w:rsidRPr="00487162" w14:paraId="379E416E" w14:textId="77777777" w:rsidTr="00B3644C">
        <w:trPr>
          <w:gridAfter w:val="1"/>
          <w:wAfter w:w="283" w:type="dxa"/>
        </w:trPr>
        <w:tc>
          <w:tcPr>
            <w:tcW w:w="2907" w:type="dxa"/>
          </w:tcPr>
          <w:p w14:paraId="4DE67FBF"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1EBF9AB1" w14:textId="77777777" w:rsidR="008E7846" w:rsidRPr="00487162" w:rsidRDefault="001E6805" w:rsidP="00B3644C">
            <w:r>
              <w:rPr>
                <w:rFonts w:asciiTheme="minorHAnsi" w:hAnsiTheme="minorHAnsi"/>
              </w:rPr>
              <w:t>AUST R 60318 and AUST R 60319</w:t>
            </w:r>
          </w:p>
        </w:tc>
      </w:tr>
    </w:tbl>
    <w:p w14:paraId="4D40FD97" w14:textId="77777777" w:rsidR="008E7846" w:rsidRDefault="008E7846" w:rsidP="008E7846">
      <w:pPr>
        <w:pStyle w:val="Heading3"/>
      </w:pPr>
      <w:bookmarkStart w:id="13" w:name="_Toc247691503"/>
      <w:bookmarkStart w:id="14" w:name="_Toc314842484"/>
      <w:bookmarkStart w:id="15" w:name="_Toc430622491"/>
      <w:r>
        <w:t>Product background</w:t>
      </w:r>
      <w:bookmarkEnd w:id="13"/>
      <w:bookmarkEnd w:id="14"/>
      <w:bookmarkEnd w:id="15"/>
    </w:p>
    <w:p w14:paraId="514D6185" w14:textId="77777777" w:rsidR="0056265A" w:rsidRDefault="00940A89" w:rsidP="00B44C63">
      <w:pPr>
        <w:rPr>
          <w:lang w:eastAsia="ja-JP"/>
        </w:rPr>
      </w:pPr>
      <w:r w:rsidRPr="00940A89">
        <w:t xml:space="preserve">This AusPAR describes the application by the sponsor to register </w:t>
      </w:r>
      <w:r w:rsidR="0056265A">
        <w:t xml:space="preserve">an alternative, faster (2 h) infusion schedule of </w:t>
      </w:r>
      <w:r w:rsidR="003F5EE2">
        <w:t>MabThera (</w:t>
      </w:r>
      <w:r w:rsidR="0056265A">
        <w:t>rituximab</w:t>
      </w:r>
      <w:r w:rsidR="003F5EE2">
        <w:t>)</w:t>
      </w:r>
      <w:r w:rsidR="0056265A">
        <w:t xml:space="preserve"> for the rheumatoid arthritis (RA) indication.</w:t>
      </w:r>
    </w:p>
    <w:p w14:paraId="20A31917" w14:textId="77777777" w:rsidR="0056265A" w:rsidRDefault="0056265A" w:rsidP="00B44C63">
      <w:r>
        <w:t>The faster 2</w:t>
      </w:r>
      <w:r w:rsidR="009A7557">
        <w:t xml:space="preserve"> </w:t>
      </w:r>
      <w:r>
        <w:t>h infusion schedule will not apply to any non</w:t>
      </w:r>
      <w:r w:rsidR="003F5EE2">
        <w:t xml:space="preserve"> </w:t>
      </w:r>
      <w:r>
        <w:t xml:space="preserve">RA indication. Note this update also does not apply to a separately registered </w:t>
      </w:r>
      <w:r w:rsidR="009A7557">
        <w:t>subcutaneous (</w:t>
      </w:r>
      <w:r>
        <w:t>SC</w:t>
      </w:r>
      <w:r w:rsidR="009A7557">
        <w:t>)</w:t>
      </w:r>
      <w:r>
        <w:t xml:space="preserve"> formulation of rituximab which does not have RA indication.</w:t>
      </w:r>
    </w:p>
    <w:p w14:paraId="2C063ECE" w14:textId="77777777" w:rsidR="002611CF" w:rsidRDefault="002611CF" w:rsidP="002611CF">
      <w:pPr>
        <w:pStyle w:val="Numberbullet0"/>
        <w:numPr>
          <w:ilvl w:val="0"/>
          <w:numId w:val="0"/>
        </w:numPr>
      </w:pPr>
      <w:bookmarkStart w:id="16" w:name="_Toc314842485"/>
      <w:bookmarkStart w:id="17" w:name="_Toc247691504"/>
      <w:r w:rsidRPr="002611CF">
        <w:lastRenderedPageBreak/>
        <w:t>The currently approved dosage regimen for MabThera in RA is as follows:</w:t>
      </w:r>
    </w:p>
    <w:p w14:paraId="06A42833" w14:textId="77777777" w:rsidR="002611CF" w:rsidRPr="002611CF" w:rsidRDefault="002611CF" w:rsidP="002611CF">
      <w:pPr>
        <w:ind w:left="720"/>
        <w:rPr>
          <w:i/>
        </w:rPr>
      </w:pPr>
      <w:r w:rsidRPr="002611CF">
        <w:rPr>
          <w:b/>
          <w:i/>
        </w:rPr>
        <w:t>First infusion of each course:</w:t>
      </w:r>
      <w:r w:rsidRPr="002611CF">
        <w:rPr>
          <w:i/>
        </w:rPr>
        <w:t xml:space="preserve"> The recommended initial rate for infusion is 50 mg/h; after the first 30 minutes, it can be escalated in 50mg/h increments every 30 minutes, to a maximum of 400 mg/h.</w:t>
      </w:r>
    </w:p>
    <w:p w14:paraId="62A6EB51" w14:textId="77777777" w:rsidR="002611CF" w:rsidRPr="002611CF" w:rsidRDefault="002611CF" w:rsidP="002611CF">
      <w:pPr>
        <w:ind w:left="720"/>
        <w:rPr>
          <w:i/>
        </w:rPr>
      </w:pPr>
      <w:r w:rsidRPr="002611CF">
        <w:rPr>
          <w:b/>
          <w:i/>
        </w:rPr>
        <w:t>Second infusion of each course:</w:t>
      </w:r>
      <w:r w:rsidRPr="002611CF">
        <w:rPr>
          <w:i/>
        </w:rPr>
        <w:t xml:space="preserve"> Subsequent doses of MABTHERA can be infused at an initial rate of 100 mg/h, and increased by 100 mg/h increments at 30 minutes intervals, to a maximum of 400 mg/h.</w:t>
      </w:r>
    </w:p>
    <w:p w14:paraId="389E6482" w14:textId="77777777" w:rsidR="002611CF" w:rsidRDefault="002611CF" w:rsidP="002611CF">
      <w:pPr>
        <w:pStyle w:val="Numberbullet0"/>
        <w:numPr>
          <w:ilvl w:val="0"/>
          <w:numId w:val="0"/>
        </w:numPr>
        <w:ind w:left="425" w:hanging="425"/>
      </w:pPr>
      <w:r>
        <w:t xml:space="preserve">With </w:t>
      </w:r>
      <w:r w:rsidRPr="002611CF">
        <w:t>th</w:t>
      </w:r>
      <w:r>
        <w:t>is application, the</w:t>
      </w:r>
      <w:r w:rsidRPr="002611CF">
        <w:t xml:space="preserve"> sponsor </w:t>
      </w:r>
      <w:r>
        <w:t>seeks</w:t>
      </w:r>
      <w:r w:rsidRPr="002611CF">
        <w:t xml:space="preserve"> to change this to:</w:t>
      </w:r>
    </w:p>
    <w:p w14:paraId="2F82A027" w14:textId="77777777" w:rsidR="002611CF" w:rsidRPr="002611CF" w:rsidRDefault="002611CF" w:rsidP="002611CF">
      <w:pPr>
        <w:ind w:left="425"/>
        <w:rPr>
          <w:i/>
        </w:rPr>
      </w:pPr>
      <w:r w:rsidRPr="002611CF">
        <w:rPr>
          <w:b/>
          <w:i/>
        </w:rPr>
        <w:t>First infusion:</w:t>
      </w:r>
      <w:r w:rsidRPr="002611CF">
        <w:rPr>
          <w:i/>
        </w:rPr>
        <w:t xml:space="preserve"> The recommended initial rate for infusion is 50 mg/h; after the first 30 minutes, it can be escalated in 50mg/h increments every 30 minutes, to a maximum of 400 mg/h.</w:t>
      </w:r>
    </w:p>
    <w:p w14:paraId="4146B23D" w14:textId="77777777" w:rsidR="002611CF" w:rsidRPr="002611CF" w:rsidRDefault="002611CF" w:rsidP="002611CF">
      <w:pPr>
        <w:ind w:left="425"/>
        <w:rPr>
          <w:i/>
        </w:rPr>
      </w:pPr>
      <w:r w:rsidRPr="002611CF">
        <w:rPr>
          <w:b/>
          <w:i/>
        </w:rPr>
        <w:t>Subsequent infusions:</w:t>
      </w:r>
      <w:r w:rsidRPr="002611CF">
        <w:rPr>
          <w:i/>
        </w:rPr>
        <w:t xml:space="preserve"> Subsequent doses of MABTHERA can be infused at an initial rate of 100mg/h, and increased by 100mg/h increments at 30 minutes intervals, to a maximum of 400mg/h.</w:t>
      </w:r>
    </w:p>
    <w:p w14:paraId="50309F3B" w14:textId="77777777" w:rsidR="002611CF" w:rsidRPr="002611CF" w:rsidRDefault="002611CF" w:rsidP="002611CF">
      <w:pPr>
        <w:ind w:left="425"/>
        <w:rPr>
          <w:i/>
        </w:rPr>
      </w:pPr>
      <w:r w:rsidRPr="002611CF">
        <w:rPr>
          <w:b/>
          <w:i/>
        </w:rPr>
        <w:t>Rheumatoid Arthritis only: Alternative Subsequent, Faster, Infusion Schedule</w:t>
      </w:r>
      <w:r w:rsidRPr="002611CF">
        <w:rPr>
          <w:i/>
        </w:rPr>
        <w:t>:</w:t>
      </w:r>
    </w:p>
    <w:p w14:paraId="745988CD" w14:textId="77777777" w:rsidR="002611CF" w:rsidRPr="002611CF" w:rsidRDefault="002611CF" w:rsidP="002611CF">
      <w:pPr>
        <w:ind w:left="425"/>
        <w:rPr>
          <w:i/>
          <w:noProof/>
          <w:lang w:eastAsia="en-AU"/>
        </w:rPr>
      </w:pPr>
      <w:r w:rsidRPr="002611CF">
        <w:rPr>
          <w:i/>
          <w:noProof/>
          <w:lang w:eastAsia="en-AU"/>
        </w:rPr>
        <w:t>In RA, with a dose of 1000mg MABTHERA, if there are no infusion related reactions or other reasons to slow or cease the infusion, the standard infusion schedules shown above result in an estimated duration of infusion of 4h 15 minutes for the first infusion and 3h 15 minutes for the subsequent infusions.</w:t>
      </w:r>
    </w:p>
    <w:p w14:paraId="29E20FAB" w14:textId="77777777" w:rsidR="002611CF" w:rsidRPr="002611CF" w:rsidRDefault="002611CF" w:rsidP="002611CF">
      <w:pPr>
        <w:ind w:left="425"/>
        <w:rPr>
          <w:i/>
          <w:noProof/>
          <w:lang w:eastAsia="en-AU"/>
        </w:rPr>
      </w:pPr>
      <w:r w:rsidRPr="002611CF">
        <w:rPr>
          <w:i/>
          <w:noProof/>
          <w:lang w:eastAsia="en-AU"/>
        </w:rPr>
        <w:t>If patients</w:t>
      </w:r>
      <w:r w:rsidR="00356803">
        <w:rPr>
          <w:i/>
          <w:noProof/>
          <w:lang w:eastAsia="en-AU"/>
        </w:rPr>
        <w:t xml:space="preserve"> </w:t>
      </w:r>
      <w:r w:rsidRPr="002611CF">
        <w:rPr>
          <w:i/>
          <w:noProof/>
          <w:lang w:eastAsia="en-AU"/>
        </w:rPr>
        <w:t xml:space="preserve">do not experience a serious infusion related reaction with their first or subsequent infusions administered over the standared infusion schedule, a more rapid infusion can be administered for second or subsequent infusions using a concentration of 4mg/mL in a 250mL volume. Initiate at a rate of 250mg/h for the first 30 minutes and then 600mg/h for the next 90 minutes. With this infusion schedule, the 1000mg/250mL infusion will generally be completed in 2 </w:t>
      </w:r>
      <w:r w:rsidR="00DC6DD0">
        <w:rPr>
          <w:i/>
          <w:noProof/>
          <w:lang w:eastAsia="en-AU"/>
        </w:rPr>
        <w:t>h</w:t>
      </w:r>
      <w:r w:rsidRPr="002611CF">
        <w:rPr>
          <w:i/>
          <w:noProof/>
          <w:lang w:eastAsia="en-AU"/>
        </w:rPr>
        <w:t>. If the more rapid infusion is tolerated, this infusion schedule can be used when administering subsequent infusions.</w:t>
      </w:r>
    </w:p>
    <w:p w14:paraId="4B5947F7" w14:textId="77777777" w:rsidR="00FC4A5D" w:rsidRDefault="002611CF" w:rsidP="002611CF">
      <w:pPr>
        <w:ind w:left="425"/>
        <w:rPr>
          <w:i/>
          <w:noProof/>
          <w:lang w:eastAsia="en-AU"/>
        </w:rPr>
      </w:pPr>
      <w:r w:rsidRPr="002611CF">
        <w:rPr>
          <w:i/>
          <w:noProof/>
          <w:lang w:eastAsia="en-AU"/>
        </w:rPr>
        <w:t>Patients who have clinically significant cardiovascular disease, including arrhythmias or previous serious infusion reactions to any prior biologic therapy or to rituximab, should not be administered the more rapid, 2 h, infusion</w:t>
      </w:r>
      <w:r w:rsidR="00FC4A5D">
        <w:rPr>
          <w:i/>
          <w:noProof/>
          <w:lang w:eastAsia="en-AU"/>
        </w:rPr>
        <w:t>.</w:t>
      </w:r>
    </w:p>
    <w:p w14:paraId="24230887" w14:textId="3ACFA77D" w:rsidR="002611CF" w:rsidRDefault="002611CF" w:rsidP="002611CF">
      <w:r>
        <w:t>In addition to proposing an alternative 2 h infusion schedule in RA, the following changes to the dosing schedule are also inherent in this update:</w:t>
      </w:r>
    </w:p>
    <w:p w14:paraId="6F0AE8F3" w14:textId="77777777" w:rsidR="002611CF" w:rsidRDefault="002611CF" w:rsidP="006E4508">
      <w:pPr>
        <w:pStyle w:val="Numberbullet0"/>
        <w:numPr>
          <w:ilvl w:val="0"/>
          <w:numId w:val="2"/>
        </w:numPr>
      </w:pPr>
      <w:r>
        <w:t>The currently approved dosing schedule mandates a slow (4 h) infusion schedule for the first infusion of every course of rituximab. The second infusion in each course is then given as a 3 h infusion.</w:t>
      </w:r>
    </w:p>
    <w:p w14:paraId="10979E2D" w14:textId="77777777" w:rsidR="002611CF" w:rsidRDefault="002611CF" w:rsidP="006E4508">
      <w:pPr>
        <w:pStyle w:val="Numberbullet0"/>
        <w:numPr>
          <w:ilvl w:val="0"/>
          <w:numId w:val="2"/>
        </w:numPr>
      </w:pPr>
      <w:r>
        <w:t>This submission is seeking to limit the 4 h infusion to only the first ever infusion in a patient. All subsequent infusions can be standard 3 h infusions. The new 2 h infusion schedule may be used in as an alternative to 3 h infusions in any infusion subsequent to the first infusion in a patient where a patient has not previously experienced any serious infusion related adverse reaction (SIRR).</w:t>
      </w:r>
    </w:p>
    <w:p w14:paraId="239BED68" w14:textId="77777777" w:rsidR="002611CF" w:rsidRDefault="002611CF" w:rsidP="006E4508">
      <w:pPr>
        <w:pStyle w:val="Numberbullet0"/>
        <w:numPr>
          <w:ilvl w:val="0"/>
          <w:numId w:val="2"/>
        </w:numPr>
      </w:pPr>
      <w:r>
        <w:t>Limitation of the 4 h schedule to first infusion only was not investigated but appears to have been a consequence of the proposal to adopt 3 h or 2 h alternative schedules for all subsequent doses.</w:t>
      </w:r>
    </w:p>
    <w:p w14:paraId="2FEF6614" w14:textId="77777777" w:rsidR="00B71D5F" w:rsidRPr="002611CF" w:rsidRDefault="009A7557" w:rsidP="00337FDF">
      <w:pPr>
        <w:pStyle w:val="Numberbullet0"/>
        <w:numPr>
          <w:ilvl w:val="0"/>
          <w:numId w:val="0"/>
        </w:numPr>
        <w:rPr>
          <w:rFonts w:asciiTheme="minorHAnsi" w:hAnsiTheme="minorHAnsi"/>
        </w:rPr>
      </w:pPr>
      <w:r>
        <w:t>The sponsor has not proposed any changes to the current indications for MabThera</w:t>
      </w:r>
      <w:r w:rsidR="003E57C6">
        <w:t>. F</w:t>
      </w:r>
      <w:r w:rsidR="002611CF">
        <w:t xml:space="preserve">or the currently approved </w:t>
      </w:r>
      <w:r w:rsidRPr="009A7557">
        <w:rPr>
          <w:rFonts w:asciiTheme="minorHAnsi" w:hAnsiTheme="minorHAnsi"/>
        </w:rPr>
        <w:t xml:space="preserve">indications </w:t>
      </w:r>
      <w:r>
        <w:rPr>
          <w:rFonts w:asciiTheme="minorHAnsi" w:hAnsiTheme="minorHAnsi"/>
        </w:rPr>
        <w:t xml:space="preserve">in Australia </w:t>
      </w:r>
      <w:r w:rsidRPr="009A7557">
        <w:rPr>
          <w:rFonts w:asciiTheme="minorHAnsi" w:hAnsiTheme="minorHAnsi"/>
        </w:rPr>
        <w:t xml:space="preserve">for </w:t>
      </w:r>
      <w:r>
        <w:rPr>
          <w:rFonts w:asciiTheme="minorHAnsi" w:hAnsiTheme="minorHAnsi"/>
        </w:rPr>
        <w:t xml:space="preserve">MabThera in </w:t>
      </w:r>
      <w:r w:rsidRPr="009A7557">
        <w:rPr>
          <w:rFonts w:asciiTheme="minorHAnsi" w:hAnsiTheme="minorHAnsi"/>
        </w:rPr>
        <w:t xml:space="preserve">RA </w:t>
      </w:r>
      <w:r w:rsidR="002611CF">
        <w:rPr>
          <w:rFonts w:asciiTheme="minorHAnsi" w:hAnsiTheme="minorHAnsi"/>
        </w:rPr>
        <w:t xml:space="preserve">see </w:t>
      </w:r>
      <w:r w:rsidR="002611CF" w:rsidRPr="002611CF">
        <w:rPr>
          <w:rFonts w:asciiTheme="minorHAnsi" w:hAnsiTheme="minorHAnsi"/>
          <w:i/>
        </w:rPr>
        <w:t>Submission details</w:t>
      </w:r>
      <w:r w:rsidR="002611CF">
        <w:rPr>
          <w:rFonts w:asciiTheme="minorHAnsi" w:hAnsiTheme="minorHAnsi"/>
        </w:rPr>
        <w:t xml:space="preserve"> above</w:t>
      </w:r>
      <w:r w:rsidR="003E57C6">
        <w:rPr>
          <w:rFonts w:asciiTheme="minorHAnsi" w:hAnsiTheme="minorHAnsi"/>
        </w:rPr>
        <w:t xml:space="preserve"> and Attachment 1 PI</w:t>
      </w:r>
      <w:r w:rsidR="002611CF">
        <w:rPr>
          <w:rFonts w:asciiTheme="minorHAnsi" w:hAnsiTheme="minorHAnsi"/>
        </w:rPr>
        <w:t xml:space="preserve">. </w:t>
      </w:r>
      <w:r w:rsidR="0056265A" w:rsidRPr="00B44C63">
        <w:rPr>
          <w:lang w:val="en-US"/>
        </w:rPr>
        <w:t>For non-rheumatoid arthritis indications please see the approved PI</w:t>
      </w:r>
      <w:r>
        <w:rPr>
          <w:lang w:val="en-US"/>
        </w:rPr>
        <w:t xml:space="preserve"> (Attachment 1)</w:t>
      </w:r>
      <w:r w:rsidR="0056265A" w:rsidRPr="00B44C63">
        <w:rPr>
          <w:lang w:val="en-US"/>
        </w:rPr>
        <w:t>.</w:t>
      </w:r>
      <w:r w:rsidR="00337FDF">
        <w:rPr>
          <w:lang w:val="en-US"/>
        </w:rPr>
        <w:t xml:space="preserve"> </w:t>
      </w:r>
      <w:r w:rsidR="00B71D5F" w:rsidRPr="002611CF">
        <w:t>There are no changes proposed to the currently registered formulation.</w:t>
      </w:r>
    </w:p>
    <w:p w14:paraId="0E2BE90E" w14:textId="77777777" w:rsidR="00B71D5F" w:rsidRPr="002611CF" w:rsidRDefault="00B71D5F" w:rsidP="002611CF">
      <w:r w:rsidRPr="002611CF">
        <w:lastRenderedPageBreak/>
        <w:t>Rituximab is a chimeric part-human part-mouse monoclonal antibody against human CD20, a cell surface antigen expressed on B-lymphocytes</w:t>
      </w:r>
      <w:r w:rsidR="002611CF">
        <w:t xml:space="preserve">. </w:t>
      </w:r>
      <w:r w:rsidRPr="002611CF">
        <w:t>Rituximab is a highly purified 1328-amino acid antibody with an approximate molecular weight of 145 k</w:t>
      </w:r>
      <w:r w:rsidR="002611CF">
        <w:t>ilo Daltons (</w:t>
      </w:r>
      <w:proofErr w:type="gramStart"/>
      <w:r w:rsidR="002611CF">
        <w:t>k</w:t>
      </w:r>
      <w:r w:rsidRPr="002611CF">
        <w:t>D</w:t>
      </w:r>
      <w:proofErr w:type="gramEnd"/>
      <w:r w:rsidR="002611CF">
        <w:t>)</w:t>
      </w:r>
      <w:r w:rsidRPr="002611CF">
        <w:t xml:space="preserve">. It is a glycosylated </w:t>
      </w:r>
      <w:r w:rsidR="002611CF">
        <w:t>immunoglobulin (</w:t>
      </w:r>
      <w:r w:rsidRPr="002611CF">
        <w:t>Ig</w:t>
      </w:r>
      <w:r w:rsidR="002611CF">
        <w:t xml:space="preserve">) </w:t>
      </w:r>
      <w:r w:rsidRPr="002611CF">
        <w:t>G1 kappa immunoglobulin containing murine light</w:t>
      </w:r>
      <w:r w:rsidR="002611CF">
        <w:t xml:space="preserve"> </w:t>
      </w:r>
      <w:r w:rsidRPr="002611CF">
        <w:t>and heavy</w:t>
      </w:r>
      <w:r w:rsidR="002611CF">
        <w:t xml:space="preserve"> </w:t>
      </w:r>
      <w:r w:rsidRPr="002611CF">
        <w:t>chain variable regions and human gamma 1 heavy-chain and kappa light-chain constant regions.</w:t>
      </w:r>
    </w:p>
    <w:p w14:paraId="716BD9DC" w14:textId="77777777" w:rsidR="00FC4A5D" w:rsidRDefault="00B71D5F" w:rsidP="002611CF">
      <w:r w:rsidRPr="002611CF">
        <w:t>Rituximab binds specifically to the CD20 antigen</w:t>
      </w:r>
      <w:r w:rsidR="00107039">
        <w:rPr>
          <w:rStyle w:val="FootnoteReference"/>
        </w:rPr>
        <w:footnoteReference w:id="1"/>
      </w:r>
      <w:r w:rsidRPr="002611CF">
        <w:t xml:space="preserve"> </w:t>
      </w:r>
      <w:r w:rsidR="00DC67A1" w:rsidRPr="002611CF">
        <w:t>expressed on B cells</w:t>
      </w:r>
      <w:r w:rsidR="00DC67A1">
        <w:t>;</w:t>
      </w:r>
      <w:r w:rsidR="00DC67A1" w:rsidRPr="002611CF">
        <w:t xml:space="preserve"> </w:t>
      </w:r>
      <w:r w:rsidRPr="002611CF">
        <w:t>it does not bind to haematopoietic stem or CD20</w:t>
      </w:r>
      <w:r w:rsidR="002611CF">
        <w:t xml:space="preserve"> </w:t>
      </w:r>
      <w:r w:rsidRPr="002611CF">
        <w:t>negative precursor cells.</w:t>
      </w:r>
      <w:r w:rsidR="003E57C6">
        <w:t xml:space="preserve"> </w:t>
      </w:r>
      <w:r w:rsidRPr="002611CF">
        <w:t>Rituximab depletes peripheral B cells by several potential mechanisms, including complement-mediated lysis, antibody dependent cellular cytotoxicity (ADCC)</w:t>
      </w:r>
      <w:r w:rsidR="002611CF">
        <w:t xml:space="preserve"> </w:t>
      </w:r>
      <w:r w:rsidRPr="002611CF">
        <w:t>mediated killing and apoptosis</w:t>
      </w:r>
      <w:r w:rsidR="00FC4A5D">
        <w:t>.</w:t>
      </w:r>
    </w:p>
    <w:p w14:paraId="5FC22A07" w14:textId="77777777" w:rsidR="00FC4A5D" w:rsidRDefault="002611CF" w:rsidP="002611CF">
      <w:pPr>
        <w:rPr>
          <w:rFonts w:asciiTheme="minorHAnsi" w:hAnsiTheme="minorHAnsi"/>
        </w:rPr>
      </w:pPr>
      <w:r w:rsidRPr="0056265A">
        <w:rPr>
          <w:rFonts w:asciiTheme="minorHAnsi" w:hAnsiTheme="minorHAnsi"/>
        </w:rPr>
        <w:t xml:space="preserve">The application is supported by clinical data and </w:t>
      </w:r>
      <w:r>
        <w:rPr>
          <w:rFonts w:asciiTheme="minorHAnsi" w:hAnsiTheme="minorHAnsi"/>
        </w:rPr>
        <w:t>a Risk Management Plan (</w:t>
      </w:r>
      <w:r w:rsidRPr="0056265A">
        <w:rPr>
          <w:rFonts w:asciiTheme="minorHAnsi" w:hAnsiTheme="minorHAnsi"/>
        </w:rPr>
        <w:t>RMP</w:t>
      </w:r>
      <w:r>
        <w:rPr>
          <w:rFonts w:asciiTheme="minorHAnsi" w:hAnsiTheme="minorHAnsi"/>
        </w:rPr>
        <w:t>)</w:t>
      </w:r>
      <w:r w:rsidRPr="0056265A">
        <w:rPr>
          <w:rFonts w:asciiTheme="minorHAnsi" w:hAnsiTheme="minorHAnsi"/>
        </w:rPr>
        <w:t xml:space="preserve"> only. The clinical data comprised one uncontrolled study using 2</w:t>
      </w:r>
      <w:r>
        <w:rPr>
          <w:rFonts w:asciiTheme="minorHAnsi" w:hAnsiTheme="minorHAnsi"/>
        </w:rPr>
        <w:t xml:space="preserve"> </w:t>
      </w:r>
      <w:r w:rsidRPr="0056265A">
        <w:rPr>
          <w:rFonts w:asciiTheme="minorHAnsi" w:hAnsiTheme="minorHAnsi"/>
        </w:rPr>
        <w:t>h schedule (</w:t>
      </w:r>
      <w:r>
        <w:rPr>
          <w:rFonts w:asciiTheme="minorHAnsi" w:hAnsiTheme="minorHAnsi"/>
        </w:rPr>
        <w:t>S</w:t>
      </w:r>
      <w:r w:rsidRPr="0056265A">
        <w:rPr>
          <w:rFonts w:asciiTheme="minorHAnsi" w:hAnsiTheme="minorHAnsi"/>
        </w:rPr>
        <w:t>tudy ML25641) for assessment of safety outcomes. No new efficacy data were included in the submission</w:t>
      </w:r>
      <w:r w:rsidR="00FC4A5D">
        <w:rPr>
          <w:rFonts w:asciiTheme="minorHAnsi" w:hAnsiTheme="minorHAnsi"/>
        </w:rPr>
        <w:t>.</w:t>
      </w:r>
    </w:p>
    <w:p w14:paraId="7E96FC65" w14:textId="5191C1BC" w:rsidR="002611CF" w:rsidRDefault="002611CF" w:rsidP="002611CF">
      <w:pPr>
        <w:rPr>
          <w:szCs w:val="24"/>
          <w:lang w:val="en-US"/>
        </w:rPr>
      </w:pPr>
      <w:r>
        <w:rPr>
          <w:lang w:val="en-US"/>
        </w:rPr>
        <w:t>The following Guidance relates to the present application:</w:t>
      </w:r>
    </w:p>
    <w:p w14:paraId="015DB857" w14:textId="77777777" w:rsidR="002611CF" w:rsidRDefault="002611CF" w:rsidP="002611CF">
      <w:pPr>
        <w:pStyle w:val="ListBullet"/>
        <w:rPr>
          <w:kern w:val="16"/>
          <w:lang w:eastAsia="en-AU"/>
        </w:rPr>
      </w:pPr>
      <w:r>
        <w:t>CPMP/EWP/556/95 Points to Consider on Clinical Investigation of Medicinal Products other than NSAIDs for Treatment of Rheumatoid Arthritis.</w:t>
      </w:r>
    </w:p>
    <w:p w14:paraId="037588A6" w14:textId="77777777" w:rsidR="008E7846" w:rsidRPr="003F31A2" w:rsidRDefault="00386150" w:rsidP="008E7846">
      <w:pPr>
        <w:pStyle w:val="Heading3"/>
      </w:pPr>
      <w:bookmarkStart w:id="18" w:name="_Toc430622492"/>
      <w:r>
        <w:t>Regulatory s</w:t>
      </w:r>
      <w:r w:rsidR="008E7846">
        <w:t>tatus</w:t>
      </w:r>
      <w:bookmarkEnd w:id="16"/>
      <w:bookmarkEnd w:id="18"/>
      <w:r w:rsidR="008E7846">
        <w:t xml:space="preserve"> </w:t>
      </w:r>
      <w:bookmarkEnd w:id="17"/>
    </w:p>
    <w:p w14:paraId="4F07EDC5" w14:textId="3218C2B1" w:rsidR="00940A89" w:rsidRPr="00940A89" w:rsidRDefault="00940A89" w:rsidP="00940A89">
      <w:bookmarkStart w:id="19" w:name="_Toc247691505"/>
      <w:bookmarkStart w:id="20" w:name="_Toc314842486"/>
      <w:r w:rsidRPr="00940A89">
        <w:t xml:space="preserve">The product received initial registration on the Australian Register of Therapeutic Goods (ARTG) </w:t>
      </w:r>
      <w:r w:rsidR="00337FDF">
        <w:t xml:space="preserve">in </w:t>
      </w:r>
      <w:r w:rsidR="00E76890">
        <w:t>October 1998</w:t>
      </w:r>
      <w:r w:rsidR="00337FDF">
        <w:t>.</w:t>
      </w:r>
    </w:p>
    <w:p w14:paraId="609E084B" w14:textId="77777777" w:rsidR="00FC4A5D" w:rsidRDefault="00940A89" w:rsidP="00940A89">
      <w:r w:rsidRPr="00940A89">
        <w:t xml:space="preserve">At the time the TGA considered this application, a similar application had been approved </w:t>
      </w:r>
      <w:r w:rsidR="00337FDF">
        <w:t xml:space="preserve">in </w:t>
      </w:r>
      <w:r w:rsidR="00DC67A1">
        <w:t>t</w:t>
      </w:r>
      <w:r w:rsidR="00337FDF">
        <w:t>he European Union (EU)</w:t>
      </w:r>
      <w:r w:rsidR="00E76890">
        <w:t xml:space="preserve"> and</w:t>
      </w:r>
      <w:r w:rsidR="00921AD7">
        <w:t xml:space="preserve"> </w:t>
      </w:r>
      <w:r w:rsidR="00337FDF">
        <w:t>New Zealand</w:t>
      </w:r>
      <w:r w:rsidR="00E76890">
        <w:t>.</w:t>
      </w:r>
      <w:r w:rsidR="00337FDF">
        <w:t xml:space="preserve"> A provisional approval letter had been given by Swissmedic</w:t>
      </w:r>
      <w:r>
        <w:t>.</w:t>
      </w:r>
      <w:r w:rsidR="00E76890">
        <w:t xml:space="preserve"> At the time the TGA considered this application, a Complete Response Letter had been issued in the USA (see details in Table 1 below)</w:t>
      </w:r>
      <w:r w:rsidR="00FC4A5D">
        <w:t>.</w:t>
      </w:r>
    </w:p>
    <w:p w14:paraId="7E7D9987" w14:textId="36D33B7D" w:rsidR="00337FDF" w:rsidRDefault="00337FDF" w:rsidP="00337FDF">
      <w:pPr>
        <w:pStyle w:val="TableTitle"/>
      </w:pPr>
      <w:r>
        <w:t>Table 1: International regulatory status</w:t>
      </w:r>
    </w:p>
    <w:p w14:paraId="3377CE26" w14:textId="77777777" w:rsidR="00431730" w:rsidRDefault="00431730" w:rsidP="00337FDF">
      <w:r>
        <w:rPr>
          <w:noProof/>
          <w:lang w:eastAsia="en-AU"/>
        </w:rPr>
        <w:drawing>
          <wp:inline distT="0" distB="0" distL="0" distR="0" wp14:anchorId="45ED91C3" wp14:editId="45FDCBF8">
            <wp:extent cx="3045481" cy="2545575"/>
            <wp:effectExtent l="0" t="0" r="2540" b="7620"/>
            <wp:docPr id="11" name="Picture 11"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914" t="3007" r="7503"/>
                    <a:stretch/>
                  </pic:blipFill>
                  <pic:spPr bwMode="auto">
                    <a:xfrm>
                      <a:off x="0" y="0"/>
                      <a:ext cx="3049696" cy="2549098"/>
                    </a:xfrm>
                    <a:prstGeom prst="rect">
                      <a:avLst/>
                    </a:prstGeom>
                    <a:ln>
                      <a:noFill/>
                    </a:ln>
                    <a:extLst>
                      <a:ext uri="{53640926-AAD7-44D8-BBD7-CCE9431645EC}">
                        <a14:shadowObscured xmlns:a14="http://schemas.microsoft.com/office/drawing/2010/main"/>
                      </a:ext>
                    </a:extLst>
                  </pic:spPr>
                </pic:pic>
              </a:graphicData>
            </a:graphic>
          </wp:inline>
        </w:drawing>
      </w:r>
    </w:p>
    <w:p w14:paraId="162C5642" w14:textId="77777777" w:rsidR="008E7846" w:rsidRDefault="008E7846" w:rsidP="00940A89">
      <w:pPr>
        <w:pStyle w:val="Heading3"/>
      </w:pPr>
      <w:bookmarkStart w:id="21" w:name="_Toc430622493"/>
      <w:r>
        <w:lastRenderedPageBreak/>
        <w:t>Product Information</w:t>
      </w:r>
      <w:bookmarkEnd w:id="19"/>
      <w:bookmarkEnd w:id="20"/>
      <w:bookmarkEnd w:id="21"/>
    </w:p>
    <w:p w14:paraId="3DF5DC45" w14:textId="77777777" w:rsidR="00940A89" w:rsidRDefault="00940A89" w:rsidP="00940A89">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5" w:history="1">
        <w:r w:rsidR="00383221">
          <w:rPr>
            <w:rStyle w:val="Hyperlink"/>
          </w:rPr>
          <w:t>https://www.tga.gov.au/product-information-pi</w:t>
        </w:r>
      </w:hyperlink>
      <w:r w:rsidRPr="00940A89">
        <w:t>&gt;.</w:t>
      </w:r>
    </w:p>
    <w:p w14:paraId="1C10290C" w14:textId="77777777" w:rsidR="008E7846" w:rsidRPr="003602A9" w:rsidRDefault="008E7846" w:rsidP="008E7846">
      <w:pPr>
        <w:pStyle w:val="Heading2"/>
        <w:ind w:left="-11"/>
      </w:pPr>
      <w:bookmarkStart w:id="24" w:name="_Toc430622494"/>
      <w:r>
        <w:t>II. Quality</w:t>
      </w:r>
      <w:bookmarkEnd w:id="2"/>
      <w:r>
        <w:t xml:space="preserve"> findings</w:t>
      </w:r>
      <w:bookmarkEnd w:id="22"/>
      <w:bookmarkEnd w:id="23"/>
      <w:bookmarkEnd w:id="24"/>
    </w:p>
    <w:p w14:paraId="33036D01" w14:textId="77777777" w:rsidR="00940A89" w:rsidRPr="00940A89" w:rsidRDefault="00940A89" w:rsidP="00940A89">
      <w:bookmarkStart w:id="25" w:name="_Toc247691507"/>
      <w:bookmarkStart w:id="26" w:name="_Toc314842488"/>
      <w:r w:rsidRPr="00940A89">
        <w:t>There was no requirement for a quality evaluation in a submission of this type.</w:t>
      </w:r>
    </w:p>
    <w:p w14:paraId="25798952" w14:textId="77777777" w:rsidR="008E7846" w:rsidRDefault="008E7846" w:rsidP="008E7846">
      <w:pPr>
        <w:pStyle w:val="Heading2"/>
      </w:pPr>
      <w:bookmarkStart w:id="27" w:name="_Toc196046439"/>
      <w:bookmarkStart w:id="28" w:name="_Toc247691510"/>
      <w:bookmarkStart w:id="29" w:name="_Toc314842494"/>
      <w:bookmarkStart w:id="30" w:name="_Toc430622495"/>
      <w:bookmarkEnd w:id="25"/>
      <w:bookmarkEnd w:id="26"/>
      <w:r>
        <w:t>III. Nonclinical</w:t>
      </w:r>
      <w:bookmarkEnd w:id="27"/>
      <w:r>
        <w:t xml:space="preserve"> findings</w:t>
      </w:r>
      <w:bookmarkEnd w:id="28"/>
      <w:bookmarkEnd w:id="29"/>
      <w:bookmarkEnd w:id="30"/>
    </w:p>
    <w:p w14:paraId="4295CCFB" w14:textId="77777777" w:rsidR="00940A89" w:rsidRDefault="00940A89" w:rsidP="000E6196">
      <w:bookmarkStart w:id="31" w:name="_Toc247691511"/>
      <w:bookmarkStart w:id="32" w:name="_Toc314842495"/>
      <w:r>
        <w:t>There was no requirement for a nonclinical evaluation in a submission of this type.</w:t>
      </w:r>
    </w:p>
    <w:p w14:paraId="07E589E3" w14:textId="77777777" w:rsidR="008E7846" w:rsidRPr="00254787" w:rsidRDefault="008E7846" w:rsidP="008E7846">
      <w:pPr>
        <w:pStyle w:val="Heading2"/>
      </w:pPr>
      <w:bookmarkStart w:id="33" w:name="_Toc196046462"/>
      <w:bookmarkStart w:id="34" w:name="_Toc247691516"/>
      <w:bookmarkStart w:id="35" w:name="_Toc314842500"/>
      <w:bookmarkStart w:id="36" w:name="_Toc430622496"/>
      <w:bookmarkStart w:id="37" w:name="_Toc163441353"/>
      <w:bookmarkStart w:id="38" w:name="_Toc163441348"/>
      <w:bookmarkEnd w:id="31"/>
      <w:bookmarkEnd w:id="32"/>
      <w:r>
        <w:t xml:space="preserve">IV. </w:t>
      </w:r>
      <w:r w:rsidRPr="00254787">
        <w:t>Clinical</w:t>
      </w:r>
      <w:bookmarkEnd w:id="33"/>
      <w:r>
        <w:t xml:space="preserve"> </w:t>
      </w:r>
      <w:r w:rsidR="003A7F6C">
        <w:t>f</w:t>
      </w:r>
      <w:r>
        <w:t>indings</w:t>
      </w:r>
      <w:bookmarkEnd w:id="34"/>
      <w:bookmarkEnd w:id="35"/>
      <w:bookmarkEnd w:id="36"/>
    </w:p>
    <w:p w14:paraId="0BE76EA2" w14:textId="77777777" w:rsidR="00C80137" w:rsidRDefault="00C80137" w:rsidP="00D425BB">
      <w:bookmarkStart w:id="3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488BF3EC" w14:textId="77777777" w:rsidR="008E7846" w:rsidRDefault="008E7846" w:rsidP="008E7846">
      <w:pPr>
        <w:pStyle w:val="Heading3"/>
      </w:pPr>
      <w:bookmarkStart w:id="40" w:name="_Toc247691517"/>
      <w:bookmarkStart w:id="41" w:name="_Toc314842501"/>
      <w:bookmarkStart w:id="42" w:name="_Toc430622497"/>
      <w:r w:rsidRPr="00254787">
        <w:t>Introduction</w:t>
      </w:r>
      <w:bookmarkEnd w:id="39"/>
      <w:bookmarkEnd w:id="40"/>
      <w:bookmarkEnd w:id="41"/>
      <w:bookmarkEnd w:id="42"/>
    </w:p>
    <w:p w14:paraId="3C1991FB" w14:textId="77777777" w:rsidR="00605AD4" w:rsidRDefault="00605AD4" w:rsidP="00B44C63">
      <w:pPr>
        <w:pStyle w:val="Heading4"/>
      </w:pPr>
      <w:bookmarkStart w:id="43" w:name="_Toc196046464"/>
      <w:bookmarkStart w:id="44" w:name="_Toc247691518"/>
      <w:bookmarkStart w:id="45" w:name="_Toc314842502"/>
      <w:r w:rsidRPr="00B44C63">
        <w:t>Clinical</w:t>
      </w:r>
      <w:r w:rsidRPr="00605AD4">
        <w:t xml:space="preserve"> Rationale</w:t>
      </w:r>
    </w:p>
    <w:p w14:paraId="3C021D94" w14:textId="77777777" w:rsidR="003E57C6" w:rsidRDefault="003E57C6" w:rsidP="003E57C6">
      <w:pPr>
        <w:rPr>
          <w:szCs w:val="24"/>
        </w:rPr>
      </w:pPr>
      <w:r>
        <w:t>Currently a patient visit for the second or subsequent infusion in RA takes 4</w:t>
      </w:r>
      <w:r w:rsidR="00DC67A1">
        <w:t xml:space="preserve"> to </w:t>
      </w:r>
      <w:r>
        <w:t>5 h including the time for premedication and post</w:t>
      </w:r>
      <w:r w:rsidR="00DC67A1">
        <w:t xml:space="preserve"> </w:t>
      </w:r>
      <w:r>
        <w:t xml:space="preserve">infusion observation. With a faster infusion rate this time would be reduced to approximately 3 </w:t>
      </w:r>
      <w:r w:rsidR="00DC6DD0">
        <w:t>h</w:t>
      </w:r>
      <w:r>
        <w:t>, thereby reducing the burden of time per treatment.</w:t>
      </w:r>
    </w:p>
    <w:p w14:paraId="09A37939" w14:textId="77777777" w:rsidR="00FC4A5D" w:rsidRDefault="003E57C6" w:rsidP="003E57C6">
      <w:r>
        <w:rPr>
          <w:lang w:val="en-US"/>
        </w:rPr>
        <w:t xml:space="preserve">The only infusion regimen studied throughout the RA development program was largely based on the protocol used to </w:t>
      </w:r>
      <w:r w:rsidRPr="003E57C6">
        <w:t xml:space="preserve">treat patients with </w:t>
      </w:r>
      <w:r w:rsidR="003F5EE2" w:rsidRPr="003E57C6">
        <w:t>Non-Hodgkin Lymphoma (NHL)</w:t>
      </w:r>
      <w:r w:rsidRPr="003E57C6">
        <w:t>. Patients with RA do not have an expanded pool of B cells compared with B-cell NHL or chronic lymphocytic leuk</w:t>
      </w:r>
      <w:r w:rsidR="00FF305A">
        <w:t>a</w:t>
      </w:r>
      <w:r w:rsidRPr="003E57C6">
        <w:t>emia (CLL) patients. This may partially explain why the rate of infusion-related reactions (IRRs) reported in patients with RA is lower than those with oncology indications in which a large pool of B cells are rapidly depleted with the first infusion</w:t>
      </w:r>
      <w:r w:rsidR="00FC4A5D">
        <w:t>.</w:t>
      </w:r>
    </w:p>
    <w:p w14:paraId="7AEDB0FC" w14:textId="29B115F1" w:rsidR="003E57C6" w:rsidRDefault="003E57C6" w:rsidP="003E57C6">
      <w:r w:rsidRPr="003E57C6">
        <w:t>The sponsor has identified five Investigator</w:t>
      </w:r>
      <w:r>
        <w:t xml:space="preserve"> sponsored, published studies that explored accelerated administration regimens (Table 2). However, due to the limitations of the published studies (primarily the identification and definition of IRRs) the sponsor considers these data to be supportive only. Hence, the sponsor has initiated their own study to demonstrate the safety of an accelerated administration regimen in patients with RA. These studies are discussed in more detail under </w:t>
      </w:r>
      <w:r w:rsidRPr="002D7220">
        <w:rPr>
          <w:i/>
        </w:rPr>
        <w:t>Safety</w:t>
      </w:r>
      <w:r>
        <w:t xml:space="preserve"> in Attachment 2.</w:t>
      </w:r>
    </w:p>
    <w:p w14:paraId="0BABAE48" w14:textId="77777777" w:rsidR="003E57C6" w:rsidRPr="002D7220" w:rsidRDefault="003E57C6" w:rsidP="003E57C6">
      <w:pPr>
        <w:pStyle w:val="Tabletitle0"/>
      </w:pPr>
      <w:r>
        <w:lastRenderedPageBreak/>
        <w:t xml:space="preserve">Table 2: </w:t>
      </w:r>
      <w:r w:rsidRPr="007E7BFB">
        <w:t xml:space="preserve">Summary of Published Studies with Faster-Infusions of Rituximab in Patients with Rheumatoid Arthritis </w:t>
      </w:r>
      <w:r>
        <w:t>and Other Autoimmune Disorders</w:t>
      </w:r>
      <w:r>
        <w:rPr>
          <w:noProof/>
          <w:lang w:eastAsia="en-AU"/>
        </w:rPr>
        <w:drawing>
          <wp:inline distT="0" distB="0" distL="0" distR="0" wp14:anchorId="3486B2AD" wp14:editId="2E815890">
            <wp:extent cx="4768948" cy="3646006"/>
            <wp:effectExtent l="0" t="0" r="0" b="0"/>
            <wp:docPr id="13" name="Picture 13" descr="Table 2: Summary of Published Studies with Faster-Infusions of Rituximab in Patients with Rheumatoid Arthritis and Other Autoimmune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4772521" cy="3648738"/>
                    </a:xfrm>
                    <a:prstGeom prst="rect">
                      <a:avLst/>
                    </a:prstGeom>
                  </pic:spPr>
                </pic:pic>
              </a:graphicData>
            </a:graphic>
          </wp:inline>
        </w:drawing>
      </w:r>
    </w:p>
    <w:p w14:paraId="5449C803" w14:textId="77777777" w:rsidR="00605AD4" w:rsidRDefault="00605AD4" w:rsidP="00605AD4">
      <w:pPr>
        <w:pStyle w:val="Heading4"/>
      </w:pPr>
      <w:r w:rsidRPr="00605AD4">
        <w:t>Contents of the clinical dossier</w:t>
      </w:r>
    </w:p>
    <w:p w14:paraId="2D8AFC59" w14:textId="77777777" w:rsidR="00B71D5F" w:rsidRDefault="00B71D5F" w:rsidP="00B44C63">
      <w:pPr>
        <w:pStyle w:val="Heading5"/>
      </w:pPr>
      <w:bookmarkStart w:id="46" w:name="_Toc395285738"/>
      <w:bookmarkStart w:id="47" w:name="_Toc290846234"/>
      <w:r>
        <w:t>Scope of the clinical dossier</w:t>
      </w:r>
      <w:bookmarkEnd w:id="46"/>
      <w:bookmarkEnd w:id="47"/>
    </w:p>
    <w:p w14:paraId="47FFB354" w14:textId="77777777" w:rsidR="00B71D5F" w:rsidRDefault="00B71D5F" w:rsidP="003E57C6">
      <w:r>
        <w:t xml:space="preserve">The submission </w:t>
      </w:r>
      <w:r w:rsidR="003E57C6">
        <w:t>included o</w:t>
      </w:r>
      <w:r>
        <w:t>ne pivotal safety study: Study ML25641.</w:t>
      </w:r>
    </w:p>
    <w:p w14:paraId="378F84EB" w14:textId="77777777" w:rsidR="00605AD4" w:rsidRDefault="00605AD4" w:rsidP="00B44C63">
      <w:pPr>
        <w:pStyle w:val="Heading5"/>
      </w:pPr>
      <w:r w:rsidRPr="00605AD4">
        <w:t>Paediatric data</w:t>
      </w:r>
    </w:p>
    <w:p w14:paraId="17EAF853" w14:textId="77777777" w:rsidR="00B71D5F" w:rsidRDefault="00B71D5F" w:rsidP="00B44C63">
      <w:pPr>
        <w:rPr>
          <w:szCs w:val="24"/>
        </w:rPr>
      </w:pPr>
      <w:r>
        <w:t>The submission did not include paediatric data.</w:t>
      </w:r>
    </w:p>
    <w:p w14:paraId="2C455089" w14:textId="77777777" w:rsidR="00605AD4" w:rsidRDefault="00605AD4" w:rsidP="00B44C63">
      <w:pPr>
        <w:pStyle w:val="Heading5"/>
      </w:pPr>
      <w:r w:rsidRPr="00605AD4">
        <w:t>Good clinical practice</w:t>
      </w:r>
    </w:p>
    <w:p w14:paraId="7A2F5D13" w14:textId="77777777" w:rsidR="00B71D5F" w:rsidRDefault="00B71D5F" w:rsidP="00B44C63">
      <w:pPr>
        <w:rPr>
          <w:szCs w:val="24"/>
        </w:rPr>
      </w:pPr>
      <w:bookmarkStart w:id="48" w:name="_Toc241374282"/>
      <w:r>
        <w:t>Study ML25641 appears to have been conducted according to</w:t>
      </w:r>
      <w:r w:rsidR="003E57C6">
        <w:t xml:space="preserve"> Good Clinical Practice (</w:t>
      </w:r>
      <w:r>
        <w:t>GCP</w:t>
      </w:r>
      <w:r w:rsidR="003E57C6">
        <w:t>)</w:t>
      </w:r>
      <w:r>
        <w:t>.</w:t>
      </w:r>
      <w:bookmarkEnd w:id="48"/>
    </w:p>
    <w:p w14:paraId="0612A2C8" w14:textId="77777777" w:rsidR="008E7846" w:rsidRPr="00254787" w:rsidRDefault="008E7846" w:rsidP="00605AD4">
      <w:pPr>
        <w:pStyle w:val="Heading3"/>
      </w:pPr>
      <w:bookmarkStart w:id="49" w:name="_Toc430622498"/>
      <w:r w:rsidRPr="00254787">
        <w:t>Pharmacokinetics</w:t>
      </w:r>
      <w:bookmarkEnd w:id="37"/>
      <w:bookmarkEnd w:id="43"/>
      <w:bookmarkEnd w:id="44"/>
      <w:bookmarkEnd w:id="45"/>
      <w:bookmarkEnd w:id="49"/>
    </w:p>
    <w:p w14:paraId="13FB9652" w14:textId="77777777" w:rsidR="00B71D5F" w:rsidRDefault="00B71D5F" w:rsidP="00B44C63">
      <w:pPr>
        <w:rPr>
          <w:szCs w:val="24"/>
        </w:rPr>
      </w:pPr>
      <w:r>
        <w:t>No new pharmacokinetic data were included in the submission.</w:t>
      </w:r>
    </w:p>
    <w:p w14:paraId="35C27C17" w14:textId="77777777" w:rsidR="008E7846" w:rsidRDefault="008E7846" w:rsidP="008E7846">
      <w:pPr>
        <w:pStyle w:val="Heading3"/>
      </w:pPr>
      <w:bookmarkStart w:id="50" w:name="_Toc196046481"/>
      <w:bookmarkStart w:id="51" w:name="_Toc247691520"/>
      <w:bookmarkStart w:id="52" w:name="_Toc314842503"/>
      <w:bookmarkStart w:id="53" w:name="_Toc430622499"/>
      <w:r w:rsidRPr="00254787">
        <w:t>Pharmacodynamics</w:t>
      </w:r>
      <w:bookmarkEnd w:id="38"/>
      <w:bookmarkEnd w:id="50"/>
      <w:bookmarkEnd w:id="51"/>
      <w:bookmarkEnd w:id="52"/>
      <w:bookmarkEnd w:id="53"/>
    </w:p>
    <w:p w14:paraId="011F4FF5" w14:textId="77777777" w:rsidR="00B71D5F" w:rsidRDefault="00B71D5F" w:rsidP="00B44C63">
      <w:pPr>
        <w:rPr>
          <w:szCs w:val="24"/>
        </w:rPr>
      </w:pPr>
      <w:r>
        <w:t>No new pharmacodynamic data were included in the submission.</w:t>
      </w:r>
    </w:p>
    <w:p w14:paraId="294B1610" w14:textId="77777777" w:rsidR="008E7846" w:rsidRDefault="00605AD4" w:rsidP="00605AD4">
      <w:pPr>
        <w:pStyle w:val="Heading3"/>
      </w:pPr>
      <w:bookmarkStart w:id="54" w:name="_Toc430622500"/>
      <w:r>
        <w:t>Dosage selection for the pivotal studies</w:t>
      </w:r>
      <w:bookmarkEnd w:id="54"/>
    </w:p>
    <w:p w14:paraId="409A3629" w14:textId="77777777" w:rsidR="00B71D5F" w:rsidRDefault="00B71D5F" w:rsidP="00B44C63">
      <w:r>
        <w:t>The dosage selection was based on the currently approved dose, with a new rate of delivery.</w:t>
      </w:r>
    </w:p>
    <w:p w14:paraId="771C99C5" w14:textId="77777777" w:rsidR="008E7846" w:rsidRPr="00254787" w:rsidRDefault="008E7846" w:rsidP="008E7846">
      <w:pPr>
        <w:pStyle w:val="Heading3"/>
      </w:pPr>
      <w:bookmarkStart w:id="55" w:name="_Toc163441372"/>
      <w:bookmarkStart w:id="56" w:name="_Toc196046485"/>
      <w:bookmarkStart w:id="57" w:name="_Toc247691521"/>
      <w:bookmarkStart w:id="58" w:name="_Toc314842504"/>
      <w:bookmarkStart w:id="59" w:name="_Toc430622501"/>
      <w:r w:rsidRPr="00254787">
        <w:lastRenderedPageBreak/>
        <w:t>Efficacy</w:t>
      </w:r>
      <w:bookmarkEnd w:id="55"/>
      <w:bookmarkEnd w:id="56"/>
      <w:bookmarkEnd w:id="57"/>
      <w:bookmarkEnd w:id="58"/>
      <w:bookmarkEnd w:id="59"/>
    </w:p>
    <w:p w14:paraId="1F441F0B" w14:textId="77777777" w:rsidR="00B71D5F" w:rsidRDefault="00B71D5F" w:rsidP="00B44C63">
      <w:bookmarkStart w:id="60" w:name="_Toc163441378"/>
      <w:bookmarkStart w:id="61" w:name="_Toc196046495"/>
      <w:bookmarkStart w:id="62" w:name="_Toc247691522"/>
      <w:bookmarkStart w:id="63" w:name="_Toc314842505"/>
      <w:r>
        <w:t>No new efficacy data were included in the submission.</w:t>
      </w:r>
    </w:p>
    <w:p w14:paraId="1367A1DF" w14:textId="77777777" w:rsidR="008E7846" w:rsidRPr="002E238E" w:rsidRDefault="008E7846" w:rsidP="008E7846">
      <w:pPr>
        <w:pStyle w:val="Heading3"/>
      </w:pPr>
      <w:bookmarkStart w:id="64" w:name="_Toc430622502"/>
      <w:r w:rsidRPr="002E238E">
        <w:t>Safety</w:t>
      </w:r>
      <w:bookmarkEnd w:id="60"/>
      <w:bookmarkEnd w:id="61"/>
      <w:bookmarkEnd w:id="62"/>
      <w:bookmarkEnd w:id="63"/>
      <w:bookmarkEnd w:id="64"/>
    </w:p>
    <w:p w14:paraId="09B99652" w14:textId="77777777" w:rsidR="00605AD4" w:rsidRPr="00B44C63" w:rsidRDefault="00605AD4" w:rsidP="00B44C63">
      <w:pPr>
        <w:pStyle w:val="Heading4"/>
      </w:pPr>
      <w:bookmarkStart w:id="65" w:name="_Toc247691524"/>
      <w:bookmarkStart w:id="66" w:name="_Toc314842508"/>
      <w:bookmarkStart w:id="67" w:name="_Toc196046504"/>
      <w:bookmarkStart w:id="68" w:name="_Toc163441390"/>
      <w:r w:rsidRPr="00605AD4">
        <w:t>Studies providing safety data</w:t>
      </w:r>
    </w:p>
    <w:p w14:paraId="2FC88502" w14:textId="32BD7DAB" w:rsidR="00B71D5F" w:rsidRDefault="00B71D5F" w:rsidP="00B44C63">
      <w:pPr>
        <w:rPr>
          <w:szCs w:val="24"/>
        </w:rPr>
      </w:pPr>
      <w:bookmarkStart w:id="69" w:name="_Ref268776745"/>
      <w:r>
        <w:t xml:space="preserve">The pivotal </w:t>
      </w:r>
      <w:proofErr w:type="spellStart"/>
      <w:r w:rsidR="00E76890">
        <w:t>study</w:t>
      </w:r>
      <w:proofErr w:type="gramStart"/>
      <w:r w:rsidR="00E76890">
        <w:t>,</w:t>
      </w:r>
      <w:r w:rsidR="003E57C6">
        <w:t>Study</w:t>
      </w:r>
      <w:proofErr w:type="spellEnd"/>
      <w:proofErr w:type="gramEnd"/>
      <w:r w:rsidR="003E57C6">
        <w:t xml:space="preserve"> ML25641</w:t>
      </w:r>
      <w:r>
        <w:t>provided evaluable safety data</w:t>
      </w:r>
      <w:r w:rsidR="00FF305A">
        <w:t xml:space="preserve"> for this submission</w:t>
      </w:r>
      <w:r>
        <w:t>.</w:t>
      </w:r>
      <w:bookmarkEnd w:id="69"/>
    </w:p>
    <w:p w14:paraId="3AA36090" w14:textId="77777777" w:rsidR="00605AD4" w:rsidRDefault="00605AD4" w:rsidP="00B44C63">
      <w:pPr>
        <w:pStyle w:val="Heading4"/>
      </w:pPr>
      <w:r w:rsidRPr="00605AD4">
        <w:t xml:space="preserve">Patient </w:t>
      </w:r>
      <w:r w:rsidRPr="00B44C63">
        <w:t>exposure</w:t>
      </w:r>
    </w:p>
    <w:p w14:paraId="28BC4F0D" w14:textId="549511AF" w:rsidR="00B71D5F" w:rsidRDefault="00B71D5F" w:rsidP="00B44C63">
      <w:r>
        <w:t xml:space="preserve">There were 351 subjects who received Infusion </w:t>
      </w:r>
      <w:r w:rsidR="005419BF">
        <w:t>one</w:t>
      </w:r>
      <w:r>
        <w:t xml:space="preserve">, 341 (97.2%) who received Infusion </w:t>
      </w:r>
      <w:r w:rsidR="006A685C">
        <w:t>two</w:t>
      </w:r>
      <w:r>
        <w:t xml:space="preserve">, 290 (82.6%) who received Infusion </w:t>
      </w:r>
      <w:r w:rsidR="006A685C">
        <w:t>three</w:t>
      </w:r>
      <w:r>
        <w:t xml:space="preserve"> and 278 (79.2%) who received Infusion </w:t>
      </w:r>
      <w:r w:rsidR="006A685C">
        <w:t>four</w:t>
      </w:r>
      <w:r>
        <w:t xml:space="preserve"> (</w:t>
      </w:r>
      <w:r w:rsidR="00DC6DD0">
        <w:t>Table 3</w:t>
      </w:r>
      <w:r>
        <w:t>).</w:t>
      </w:r>
      <w:r w:rsidR="003E57C6">
        <w:t xml:space="preserve"> </w:t>
      </w:r>
      <w:proofErr w:type="gramStart"/>
      <w:r>
        <w:t xml:space="preserve">A total of 73 (20.8%) subjects discontinued before Week 30: 19 (5.4%) because of </w:t>
      </w:r>
      <w:r w:rsidR="00DC6DD0">
        <w:t>adverse event (</w:t>
      </w:r>
      <w:r>
        <w:t>AE</w:t>
      </w:r>
      <w:r w:rsidR="00DC6DD0">
        <w:t>)</w:t>
      </w:r>
      <w:r>
        <w:t>, 20 (5.7%) due to protocol violation and 23 (6.6%) because of the Subject’s decision.</w:t>
      </w:r>
      <w:proofErr w:type="gramEnd"/>
      <w:r w:rsidR="003E57C6">
        <w:t xml:space="preserve"> </w:t>
      </w:r>
      <w:r>
        <w:t xml:space="preserve">Not all of the subjects received the intended faster infusion rate for the second and subsequent infusions: 337 (98.8%) of the subjects that received Infusion </w:t>
      </w:r>
      <w:r w:rsidR="005419BF">
        <w:t>two</w:t>
      </w:r>
      <w:r>
        <w:t xml:space="preserve">, 289 (99.7%) at Infusion </w:t>
      </w:r>
      <w:r w:rsidR="006A685C">
        <w:t>three</w:t>
      </w:r>
      <w:r>
        <w:t xml:space="preserve"> and 278 (100%) at Infusion </w:t>
      </w:r>
      <w:r w:rsidR="006A685C">
        <w:t>four</w:t>
      </w:r>
      <w:r>
        <w:t>.</w:t>
      </w:r>
    </w:p>
    <w:p w14:paraId="5B317E49" w14:textId="77777777" w:rsidR="00DC6DD0" w:rsidRPr="00C63039" w:rsidRDefault="00DC6DD0" w:rsidP="00DC6DD0">
      <w:pPr>
        <w:pStyle w:val="Tabletitle0"/>
        <w:rPr>
          <w:rFonts w:ascii="Times New Roman" w:hAnsi="Times New Roman"/>
          <w:sz w:val="24"/>
        </w:rPr>
      </w:pPr>
      <w:bookmarkStart w:id="70" w:name="Table_8_2_1_1"/>
      <w:r>
        <w:lastRenderedPageBreak/>
        <w:t>Table 3</w:t>
      </w:r>
      <w:bookmarkEnd w:id="70"/>
      <w:r>
        <w:t xml:space="preserve">: </w:t>
      </w:r>
      <w:r w:rsidRPr="00C63039">
        <w:t xml:space="preserve">Patient Disposition by Infusion for Study ML25641 </w:t>
      </w:r>
      <w:r>
        <w:rPr>
          <w:rFonts w:ascii="Times New Roman" w:hAnsi="Times New Roman"/>
          <w:noProof/>
          <w:sz w:val="24"/>
          <w:lang w:eastAsia="en-AU"/>
        </w:rPr>
        <w:drawing>
          <wp:inline distT="0" distB="0" distL="0" distR="0" wp14:anchorId="332F4B41" wp14:editId="3866C645">
            <wp:extent cx="3944766" cy="5326896"/>
            <wp:effectExtent l="0" t="0" r="0" b="7620"/>
            <wp:docPr id="14" name="Picture 14" descr="Table 3: Patient Disposition by Infusion for Study ML256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3950343" cy="5334427"/>
                    </a:xfrm>
                    <a:prstGeom prst="rect">
                      <a:avLst/>
                    </a:prstGeom>
                    <a:noFill/>
                    <a:ln>
                      <a:noFill/>
                    </a:ln>
                  </pic:spPr>
                </pic:pic>
              </a:graphicData>
            </a:graphic>
          </wp:inline>
        </w:drawing>
      </w:r>
    </w:p>
    <w:p w14:paraId="14C6AB30" w14:textId="77777777" w:rsidR="00605AD4" w:rsidRDefault="00605AD4" w:rsidP="00B44C63">
      <w:pPr>
        <w:pStyle w:val="Heading4"/>
      </w:pPr>
      <w:r w:rsidRPr="00B44C63">
        <w:t>Postmarketing</w:t>
      </w:r>
      <w:r w:rsidRPr="00605AD4">
        <w:t xml:space="preserve"> data</w:t>
      </w:r>
    </w:p>
    <w:p w14:paraId="24A1FCCC" w14:textId="77777777" w:rsidR="00B71D5F" w:rsidRDefault="00B71D5F" w:rsidP="00B44C63">
      <w:pPr>
        <w:rPr>
          <w:szCs w:val="24"/>
          <w:lang w:val="en-US"/>
        </w:rPr>
      </w:pPr>
      <w:r>
        <w:rPr>
          <w:lang w:val="en-US"/>
        </w:rPr>
        <w:t>MabThera has been licensed and is marketed in over 100 countries including the US</w:t>
      </w:r>
      <w:r w:rsidR="00DC6DD0">
        <w:rPr>
          <w:lang w:val="en-US"/>
        </w:rPr>
        <w:t>A</w:t>
      </w:r>
      <w:r>
        <w:rPr>
          <w:lang w:val="en-US"/>
        </w:rPr>
        <w:t>, all EU member states, Norway, Iceland, Japan, Australia, New Zealand, Canada and Switzerland.</w:t>
      </w:r>
      <w:r w:rsidR="003E57C6">
        <w:rPr>
          <w:lang w:val="en-US"/>
        </w:rPr>
        <w:t xml:space="preserve"> </w:t>
      </w:r>
      <w:r>
        <w:rPr>
          <w:lang w:val="en-US"/>
        </w:rPr>
        <w:t>An estimated 402,372 RA patients have been treated with rituximab via commercially obtained drug and through clinical trials.</w:t>
      </w:r>
    </w:p>
    <w:p w14:paraId="756BE5F6" w14:textId="77777777" w:rsidR="00B71D5F" w:rsidRDefault="00B71D5F" w:rsidP="00B44C63">
      <w:pPr>
        <w:rPr>
          <w:kern w:val="16"/>
          <w:lang w:eastAsia="en-AU"/>
        </w:rPr>
      </w:pPr>
      <w:r>
        <w:rPr>
          <w:lang w:val="en-US"/>
        </w:rPr>
        <w:t xml:space="preserve">The data submitted in </w:t>
      </w:r>
      <w:r>
        <w:t xml:space="preserve">Study ML25641 were the only postmarketing data submitted by the </w:t>
      </w:r>
      <w:r w:rsidR="00DC6DD0">
        <w:t>s</w:t>
      </w:r>
      <w:r>
        <w:t>ponsor relating to the rapid infusion rate.</w:t>
      </w:r>
    </w:p>
    <w:p w14:paraId="476215FD" w14:textId="75D443EF" w:rsidR="00B71D5F" w:rsidRDefault="00B71D5F" w:rsidP="00B44C63">
      <w:r>
        <w:t xml:space="preserve">The </w:t>
      </w:r>
      <w:r w:rsidR="00DC6DD0">
        <w:t>s</w:t>
      </w:r>
      <w:r>
        <w:t xml:space="preserve">ponsor had also identified through a literature search five studies that described subjects with RA that had received rapid infusions of rituximab but the </w:t>
      </w:r>
      <w:r w:rsidR="00DC6DD0">
        <w:t>s</w:t>
      </w:r>
      <w:r>
        <w:t xml:space="preserve">ponsor </w:t>
      </w:r>
      <w:r w:rsidR="009C7A82">
        <w:t xml:space="preserve">considers </w:t>
      </w:r>
      <w:r>
        <w:t xml:space="preserve">these data </w:t>
      </w:r>
      <w:r w:rsidR="009C7A82">
        <w:t xml:space="preserve">to be only supportive </w:t>
      </w:r>
      <w:r>
        <w:t>because of the poor quality of the studies and reports.</w:t>
      </w:r>
      <w:r w:rsidR="003E57C6">
        <w:t xml:space="preserve"> </w:t>
      </w:r>
      <w:r>
        <w:t xml:space="preserve">These studies are described </w:t>
      </w:r>
      <w:r w:rsidRPr="003E57C6">
        <w:t xml:space="preserve">in </w:t>
      </w:r>
      <w:hyperlink r:id="rId19" w:anchor="Table_2_1_1" w:history="1">
        <w:r w:rsidR="003E57C6" w:rsidRPr="003E57C6">
          <w:t>Table</w:t>
        </w:r>
      </w:hyperlink>
      <w:r w:rsidR="003E57C6" w:rsidRPr="003E57C6">
        <w:t xml:space="preserve"> 2</w:t>
      </w:r>
      <w:r w:rsidRPr="003E57C6">
        <w:t xml:space="preserve"> and were</w:t>
      </w:r>
      <w:r>
        <w:t>:</w:t>
      </w:r>
    </w:p>
    <w:p w14:paraId="22F8F4E0" w14:textId="77777777" w:rsidR="00FC4A5D" w:rsidRDefault="00B71D5F" w:rsidP="00B44C63">
      <w:pPr>
        <w:pStyle w:val="ListBullet"/>
      </w:pPr>
      <w:r>
        <w:t>Faraawi and Roth 2010 was a publication in abstract for describing 10 subjects with RA who between them received 36 infusions of which 26 were rapid infusions of rituximab.</w:t>
      </w:r>
      <w:r w:rsidR="003E57C6">
        <w:t xml:space="preserve"> </w:t>
      </w:r>
      <w:r>
        <w:t>One subject experienced an episode of headache, chest tightness and shortness of breath which resolved during the infusion</w:t>
      </w:r>
      <w:r w:rsidR="00FC4A5D">
        <w:t>.</w:t>
      </w:r>
    </w:p>
    <w:p w14:paraId="24C27A6D" w14:textId="5F6E3BCC" w:rsidR="00B71D5F" w:rsidRDefault="00B71D5F" w:rsidP="00B44C63">
      <w:pPr>
        <w:pStyle w:val="ListBullet"/>
      </w:pPr>
      <w:r>
        <w:lastRenderedPageBreak/>
        <w:t>Larsen and J</w:t>
      </w:r>
      <w:r w:rsidR="00FF305A">
        <w:t>a</w:t>
      </w:r>
      <w:r>
        <w:t>c</w:t>
      </w:r>
      <w:r w:rsidR="00FF305A">
        <w:t>o</w:t>
      </w:r>
      <w:r>
        <w:t>bsen 2013 describe 54 subjects who received rapid infusions of rituximab.</w:t>
      </w:r>
      <w:r w:rsidR="003E57C6">
        <w:t xml:space="preserve"> </w:t>
      </w:r>
      <w:r>
        <w:t>There were 16 subjects with RA.</w:t>
      </w:r>
      <w:r w:rsidR="003E57C6">
        <w:t xml:space="preserve"> </w:t>
      </w:r>
      <w:r>
        <w:t>Ten (18.5%) subjects experienced IRRs: three (5.5%) with both infusions, eight (14.8%) on the first and five (9.2%) on the second.</w:t>
      </w:r>
      <w:r w:rsidR="003E57C6">
        <w:t xml:space="preserve"> </w:t>
      </w:r>
      <w:r>
        <w:t>The highest prevalence of IRRs was stated to be in the RA group at 9.2% but this does not correspond to a plausible number of subjects (1.5 subjects).</w:t>
      </w:r>
    </w:p>
    <w:p w14:paraId="53DF6C4E" w14:textId="77777777" w:rsidR="00B71D5F" w:rsidRDefault="00B71D5F" w:rsidP="00B44C63">
      <w:pPr>
        <w:pStyle w:val="ListBullet"/>
      </w:pPr>
      <w:r>
        <w:t>Schoeffel et al 2008 was a report in abstract form of a cohort of subjects with RA that were treated with a rapid infusion of rituximab (range 37 to 150 minutes).</w:t>
      </w:r>
      <w:r w:rsidR="003E57C6">
        <w:t xml:space="preserve"> </w:t>
      </w:r>
      <w:r>
        <w:t>The methods for identifying and classifying IRRs were not reported.</w:t>
      </w:r>
      <w:r w:rsidR="003E57C6">
        <w:t xml:space="preserve"> </w:t>
      </w:r>
      <w:r>
        <w:t>No IRRs were reported.</w:t>
      </w:r>
    </w:p>
    <w:p w14:paraId="3D4ADBD4" w14:textId="77777777" w:rsidR="00B71D5F" w:rsidRDefault="00B71D5F" w:rsidP="00B44C63">
      <w:pPr>
        <w:pStyle w:val="ListBullet"/>
      </w:pPr>
      <w:r>
        <w:t>Bukh et al was a conference presentation published in abstract form and presented as a poster.</w:t>
      </w:r>
      <w:r w:rsidR="003E57C6">
        <w:t xml:space="preserve"> </w:t>
      </w:r>
      <w:r>
        <w:t>It described 13 subjects, 12 with RA that were treated with a rapid infusion of rituximab for their second infusion (1000 mg over 1.5 h).</w:t>
      </w:r>
      <w:r w:rsidR="003E57C6">
        <w:t xml:space="preserve"> </w:t>
      </w:r>
      <w:r>
        <w:t>The methods for eliciting and categorising IRRs were not described.</w:t>
      </w:r>
      <w:r w:rsidR="003E57C6">
        <w:t xml:space="preserve"> </w:t>
      </w:r>
      <w:r>
        <w:t>One subject experienced mild hypotension.</w:t>
      </w:r>
      <w:r w:rsidR="003E57C6">
        <w:t xml:space="preserve"> </w:t>
      </w:r>
      <w:r>
        <w:t>One subject had the infusion stopped temporarily due to sweating, feeling uncomfortable, temperature of 37.9°C and paraesthesiae in the arms.</w:t>
      </w:r>
    </w:p>
    <w:p w14:paraId="7BE038A4" w14:textId="77777777" w:rsidR="00B71D5F" w:rsidRDefault="00B71D5F" w:rsidP="00B44C63">
      <w:pPr>
        <w:pStyle w:val="ListBullet"/>
      </w:pPr>
      <w:r>
        <w:t>Can et al 2012 describes a cohort of 68 subjects, 60 of whom had RA.</w:t>
      </w:r>
      <w:r w:rsidR="003E57C6">
        <w:t xml:space="preserve"> </w:t>
      </w:r>
      <w:r>
        <w:t xml:space="preserve">There were 71 rapid infusions (1000 mg over 2 </w:t>
      </w:r>
      <w:r w:rsidR="00DC6DD0">
        <w:t>h</w:t>
      </w:r>
      <w:r>
        <w:t>) administered in the RA group.</w:t>
      </w:r>
      <w:r w:rsidR="003E57C6">
        <w:t xml:space="preserve"> </w:t>
      </w:r>
      <w:r>
        <w:t>There were three (5.9%) subjects with IRRs on the second infusion.</w:t>
      </w:r>
      <w:r w:rsidR="003E57C6">
        <w:t xml:space="preserve"> </w:t>
      </w:r>
      <w:r>
        <w:t>The symptoms experienced were pharyngeal discomfort, vertigo, hypotension and cough.</w:t>
      </w:r>
    </w:p>
    <w:p w14:paraId="63E9E99B" w14:textId="77777777" w:rsidR="00B71D5F" w:rsidRDefault="00B71D5F" w:rsidP="00B44C63">
      <w:r>
        <w:t xml:space="preserve">The </w:t>
      </w:r>
      <w:r w:rsidR="00DC6DD0">
        <w:t>e</w:t>
      </w:r>
      <w:r>
        <w:t xml:space="preserve">valuator agrees with the </w:t>
      </w:r>
      <w:r w:rsidR="00DC6DD0">
        <w:t>s</w:t>
      </w:r>
      <w:r>
        <w:t>ponsor’s assessment of the quality of the studies and that these studies did not provide sufficient demonstration of safety to support the proposed new rapid dosing regimen.</w:t>
      </w:r>
      <w:r w:rsidR="003E57C6">
        <w:t xml:space="preserve"> </w:t>
      </w:r>
      <w:r>
        <w:t xml:space="preserve">The </w:t>
      </w:r>
      <w:r w:rsidR="00DC6DD0">
        <w:t>e</w:t>
      </w:r>
      <w:r>
        <w:t>valuator also considers that these studies do not raise any additional safety concerns with regard the proposed new rapid infusion dosing regimen.</w:t>
      </w:r>
    </w:p>
    <w:p w14:paraId="1FB3CD3B" w14:textId="77777777" w:rsidR="00605AD4" w:rsidRPr="00B44C63" w:rsidRDefault="00605AD4" w:rsidP="00B44C63">
      <w:pPr>
        <w:pStyle w:val="Heading4"/>
      </w:pPr>
      <w:r w:rsidRPr="00605AD4">
        <w:t>Evaluator’s conclusions on safety</w:t>
      </w:r>
    </w:p>
    <w:p w14:paraId="4FD515D1" w14:textId="77777777" w:rsidR="00B71D5F" w:rsidRDefault="00B71D5F" w:rsidP="00B44C63">
      <w:pPr>
        <w:rPr>
          <w:szCs w:val="24"/>
        </w:rPr>
      </w:pPr>
      <w:r>
        <w:t>The data primarily address the issue of IRRs, which are the primary concern arising from a more rapid administration rate of intravenous rituximab.</w:t>
      </w:r>
      <w:r w:rsidR="003E57C6">
        <w:t xml:space="preserve"> </w:t>
      </w:r>
      <w:r>
        <w:t>The rates of IRRs with the proposed new rapid infusion rate are similar to those observed in previous studies conducted in the RA population.</w:t>
      </w:r>
      <w:r w:rsidR="003E57C6">
        <w:t xml:space="preserve"> </w:t>
      </w:r>
      <w:r>
        <w:t xml:space="preserve">The incidence (95% </w:t>
      </w:r>
      <w:r w:rsidR="00DC6DD0">
        <w:t>confidence interval (</w:t>
      </w:r>
      <w:r>
        <w:t>CI</w:t>
      </w:r>
      <w:r w:rsidR="00DC6DD0">
        <w:t>)</w:t>
      </w:r>
      <w:r>
        <w:t>) of IRRs associated with the rapid infusion rate at the time of the second rituximab infusion was 6.5% (4.1% to 9.7%).</w:t>
      </w:r>
      <w:r w:rsidR="003E57C6">
        <w:t xml:space="preserve"> </w:t>
      </w:r>
      <w:r>
        <w:t xml:space="preserve">The </w:t>
      </w:r>
      <w:r w:rsidR="00DC6DD0">
        <w:t>s</w:t>
      </w:r>
      <w:r>
        <w:t>ponsor provided a weighted historical incidence (95% CI) of IRRs associated with the second rituximab infusion of 8.1% (7.2% to 9.1%).</w:t>
      </w:r>
      <w:r w:rsidR="003E57C6">
        <w:t xml:space="preserve"> </w:t>
      </w:r>
      <w:r>
        <w:t>The rate of IRRs (95% CI) from Study WA17047 IMAGE and Study WA17045 SERENE was 5.3% (3.4% to 8.0%) for the second infusion.</w:t>
      </w:r>
    </w:p>
    <w:p w14:paraId="3CB2D468" w14:textId="038EF533" w:rsidR="00B71D5F" w:rsidRDefault="00B71D5F" w:rsidP="00B44C63">
      <w:pPr>
        <w:rPr>
          <w:kern w:val="16"/>
          <w:lang w:eastAsia="en-AU"/>
        </w:rPr>
      </w:pPr>
      <w:r>
        <w:rPr>
          <w:lang w:val="en-US"/>
        </w:rPr>
        <w:t>The i</w:t>
      </w:r>
      <w:r>
        <w:rPr>
          <w:rFonts w:eastAsia="SymbolMT"/>
          <w:lang w:val="en-US"/>
        </w:rPr>
        <w:t xml:space="preserve">ncidence (95% CI) of IRRs associated </w:t>
      </w:r>
      <w:r>
        <w:t xml:space="preserve">with the rapid infusion rate at the time of the third rituximab infusion </w:t>
      </w:r>
      <w:r>
        <w:rPr>
          <w:rFonts w:eastAsia="SymbolMT"/>
          <w:lang w:val="en-US"/>
        </w:rPr>
        <w:t>was 5.9% (3.5% to 9.3%).</w:t>
      </w:r>
      <w:r w:rsidR="003E57C6">
        <w:rPr>
          <w:rFonts w:eastAsia="SymbolMT"/>
          <w:lang w:val="en-US"/>
        </w:rPr>
        <w:t xml:space="preserve"> </w:t>
      </w:r>
      <w:r>
        <w:rPr>
          <w:lang w:val="en-US"/>
        </w:rPr>
        <w:t>The weighted historical incidence (95% CI) of IRRs associated with the third rituximab infusion was 11.5% (10.3% to 12.8%).</w:t>
      </w:r>
      <w:r w:rsidR="003E57C6">
        <w:rPr>
          <w:lang w:val="en-US"/>
        </w:rPr>
        <w:t xml:space="preserve"> </w:t>
      </w:r>
      <w:r>
        <w:t>The rate of IRRs (95% CI) from Study WA17047 IMAGE and Study WA17045 SERENE was 9.2% (6.5% to 12.5%) for the third infusion.</w:t>
      </w:r>
    </w:p>
    <w:p w14:paraId="52EF74D2" w14:textId="77777777" w:rsidR="00705900" w:rsidRDefault="00705900" w:rsidP="00705900">
      <w:pPr>
        <w:rPr>
          <w:rFonts w:eastAsia="SymbolMT"/>
          <w:lang w:val="en-US"/>
        </w:rPr>
      </w:pPr>
      <w:r>
        <w:t xml:space="preserve">In Study ML25641 there were no </w:t>
      </w:r>
      <w:r>
        <w:rPr>
          <w:rFonts w:eastAsia="SymbolMT"/>
          <w:lang w:val="en-US"/>
        </w:rPr>
        <w:t xml:space="preserve">SIRRs associated with the rapid infusion rate. </w:t>
      </w:r>
      <w:r>
        <w:rPr>
          <w:rFonts w:eastAsia="SymbolMT"/>
        </w:rPr>
        <w:t xml:space="preserve">There was </w:t>
      </w:r>
      <w:r>
        <w:rPr>
          <w:rFonts w:eastAsia="SymbolMT"/>
          <w:lang w:val="en-US"/>
        </w:rPr>
        <w:t>one CTC Grade 3 or 4 AE reported following the second infusion and none following the third. The incidence (95% CI) of stopping/slowing/interrupting the second rituximab infusion was 3.9% (2.1% to 6.5%) and the third rituximab infusion was 6.6% (4.0% to 10.1%). The adverse event profile reported in the study is consistent with the known AE profile of rituximab.</w:t>
      </w:r>
    </w:p>
    <w:p w14:paraId="2A55FAD7" w14:textId="77777777" w:rsidR="00FC4A5D" w:rsidRDefault="00B71D5F" w:rsidP="00B44C63">
      <w:r>
        <w:t>The proposed new rapid infusion rate dosing regimen in the PI document is the same as that used in</w:t>
      </w:r>
      <w:r>
        <w:rPr>
          <w:lang w:val="en-US"/>
        </w:rPr>
        <w:t xml:space="preserve"> </w:t>
      </w:r>
      <w:r>
        <w:t>Study ML25641</w:t>
      </w:r>
      <w:r w:rsidR="00FC4A5D">
        <w:t>.</w:t>
      </w:r>
    </w:p>
    <w:p w14:paraId="7B98501B" w14:textId="43D70134" w:rsidR="00B71D5F" w:rsidRDefault="00B71D5F" w:rsidP="00B44C63">
      <w:r>
        <w:t>All subjects in Study ML25641 were treated with methotrexate.</w:t>
      </w:r>
      <w:r w:rsidR="003E57C6">
        <w:t xml:space="preserve"> </w:t>
      </w:r>
      <w:r>
        <w:t>Hence, the study results are not generalisable to patients who are not treated with methotrexate.</w:t>
      </w:r>
      <w:r w:rsidR="003E57C6">
        <w:t xml:space="preserve"> </w:t>
      </w:r>
      <w:r>
        <w:t xml:space="preserve">However, this is </w:t>
      </w:r>
      <w:r>
        <w:lastRenderedPageBreak/>
        <w:t xml:space="preserve">consistent with the indication, </w:t>
      </w:r>
      <w:r w:rsidR="005419BF">
        <w:t xml:space="preserve">which </w:t>
      </w:r>
      <w:r>
        <w:t xml:space="preserve">includes only those patients with RA who are </w:t>
      </w:r>
      <w:r w:rsidR="00571AD8">
        <w:t>receiving concomitant treatment</w:t>
      </w:r>
      <w:r>
        <w:t xml:space="preserve"> with methotrexate.</w:t>
      </w:r>
    </w:p>
    <w:p w14:paraId="1D46265A" w14:textId="77777777" w:rsidR="00B71D5F" w:rsidRDefault="00B71D5F" w:rsidP="00B44C63">
      <w:pPr>
        <w:rPr>
          <w:lang w:val="en-US"/>
        </w:rPr>
      </w:pPr>
      <w:r>
        <w:rPr>
          <w:lang w:val="en-US"/>
        </w:rPr>
        <w:t xml:space="preserve">All subjects in </w:t>
      </w:r>
      <w:r>
        <w:t>Study ML25641</w:t>
      </w:r>
      <w:r>
        <w:rPr>
          <w:lang w:val="en-US"/>
        </w:rPr>
        <w:t xml:space="preserve"> received the following pre-medication before each rapid rate infusion:</w:t>
      </w:r>
    </w:p>
    <w:p w14:paraId="273A1EFE" w14:textId="77777777" w:rsidR="00B71D5F" w:rsidRPr="00B44C63" w:rsidRDefault="00B71D5F" w:rsidP="006E4508">
      <w:pPr>
        <w:pStyle w:val="Numberbullet0"/>
        <w:numPr>
          <w:ilvl w:val="0"/>
          <w:numId w:val="10"/>
        </w:numPr>
        <w:rPr>
          <w:lang w:val="en-US"/>
        </w:rPr>
      </w:pPr>
      <w:r w:rsidRPr="00B44C63">
        <w:rPr>
          <w:lang w:val="en-US"/>
        </w:rPr>
        <w:t>Methylprednisolone 100 mg by slow intravenous infusion (over 10 to 15 minutes) administered at least 30 minutes prior to each infusion.</w:t>
      </w:r>
    </w:p>
    <w:p w14:paraId="7BC3B702" w14:textId="77777777" w:rsidR="00B71D5F" w:rsidRPr="00B44C63" w:rsidRDefault="00B71D5F" w:rsidP="006E4508">
      <w:pPr>
        <w:pStyle w:val="Numberbullet0"/>
        <w:numPr>
          <w:ilvl w:val="0"/>
          <w:numId w:val="10"/>
        </w:numPr>
        <w:rPr>
          <w:lang w:val="en-US"/>
        </w:rPr>
      </w:pPr>
      <w:r w:rsidRPr="00B44C63">
        <w:rPr>
          <w:lang w:val="en-US"/>
        </w:rPr>
        <w:t>Acetaminophen 1 g administered orally 30 to 60 minutes prior to each infusion.</w:t>
      </w:r>
    </w:p>
    <w:p w14:paraId="1E50C589" w14:textId="77777777" w:rsidR="00B71D5F" w:rsidRPr="00B44C63" w:rsidRDefault="00B71D5F" w:rsidP="006E4508">
      <w:pPr>
        <w:pStyle w:val="Numberbullet0"/>
        <w:numPr>
          <w:ilvl w:val="0"/>
          <w:numId w:val="10"/>
        </w:numPr>
        <w:rPr>
          <w:kern w:val="16"/>
          <w:lang w:val="en-US" w:eastAsia="en-AU"/>
        </w:rPr>
      </w:pPr>
      <w:r w:rsidRPr="00B44C63">
        <w:rPr>
          <w:lang w:val="en-US"/>
        </w:rPr>
        <w:t>An antihistamine (diphenhydramine HCL 50 mg or equivalent dose of alternate) administered orally 30 to 60 minutes prior to each infusion.</w:t>
      </w:r>
    </w:p>
    <w:p w14:paraId="1BB6CB59" w14:textId="77777777" w:rsidR="00B71D5F" w:rsidRDefault="00B71D5F" w:rsidP="00B44C63">
      <w:pPr>
        <w:rPr>
          <w:lang w:val="en-US"/>
        </w:rPr>
      </w:pPr>
      <w:r>
        <w:rPr>
          <w:lang w:val="en-US"/>
        </w:rPr>
        <w:t xml:space="preserve">The administration of methylprednisolone 100 mg, paracetamol and antihistamine is also recommended in the dosing instructions, according to the same regimen as in </w:t>
      </w:r>
      <w:r>
        <w:t>Study ML25641</w:t>
      </w:r>
      <w:r>
        <w:rPr>
          <w:lang w:val="en-US"/>
        </w:rPr>
        <w:t>.</w:t>
      </w:r>
    </w:p>
    <w:p w14:paraId="4EA3E01C" w14:textId="77777777" w:rsidR="00B71D5F" w:rsidRDefault="00B71D5F" w:rsidP="00B44C63">
      <w:pPr>
        <w:rPr>
          <w:lang w:val="en-US"/>
        </w:rPr>
      </w:pPr>
      <w:r>
        <w:rPr>
          <w:lang w:val="en-US"/>
        </w:rPr>
        <w:t xml:space="preserve">In </w:t>
      </w:r>
      <w:r>
        <w:t>Study ML25641 there were 198 (56.4%) subjects treated with concomitant glucocorticoids.</w:t>
      </w:r>
      <w:r w:rsidR="003E57C6">
        <w:t xml:space="preserve"> </w:t>
      </w:r>
      <w:r>
        <w:t>However, this would be typical of the RA population and does not impact upon the dosing recommendations.</w:t>
      </w:r>
    </w:p>
    <w:p w14:paraId="7FD976A6" w14:textId="26DC0B7A" w:rsidR="00B71D5F" w:rsidRDefault="00B71D5F" w:rsidP="00B44C63">
      <w:r>
        <w:t>The study population in Study ML25641 was subjects with RA</w:t>
      </w:r>
      <w:r w:rsidR="00E76890">
        <w:t xml:space="preserve"> of ≥ 6 months duration</w:t>
      </w:r>
      <w:r>
        <w:t xml:space="preserve"> treated with methotrexate</w:t>
      </w:r>
      <w:r w:rsidR="0028747C">
        <w:t xml:space="preserve"> </w:t>
      </w:r>
      <w:r>
        <w:t xml:space="preserve">who had an inadequate response to a </w:t>
      </w:r>
      <w:r w:rsidR="00411AB3">
        <w:t>Tumour Necrosis Factor (</w:t>
      </w:r>
      <w:r>
        <w:t>TNF</w:t>
      </w:r>
      <w:r w:rsidR="00411AB3">
        <w:t>)</w:t>
      </w:r>
      <w:r>
        <w:t xml:space="preserve"> inhibitor.</w:t>
      </w:r>
      <w:r w:rsidR="003E57C6">
        <w:t xml:space="preserve"> </w:t>
      </w:r>
      <w:r>
        <w:t>However, the indication in Australia is restricted to patients with severe, active RA:</w:t>
      </w:r>
    </w:p>
    <w:p w14:paraId="54A9AE65" w14:textId="77777777" w:rsidR="00B71D5F" w:rsidRPr="00B44C63" w:rsidRDefault="00411AB3" w:rsidP="00B44C63">
      <w:pPr>
        <w:ind w:left="720"/>
        <w:rPr>
          <w:i/>
          <w:lang w:val="en-US"/>
        </w:rPr>
      </w:pPr>
      <w:r>
        <w:rPr>
          <w:i/>
          <w:lang w:val="en-US"/>
        </w:rPr>
        <w:t>MabThera</w:t>
      </w:r>
      <w:r w:rsidRPr="00B44C63">
        <w:rPr>
          <w:i/>
          <w:lang w:val="en-US"/>
        </w:rPr>
        <w:t xml:space="preserve"> </w:t>
      </w:r>
      <w:r w:rsidR="00B71D5F" w:rsidRPr="00B44C63">
        <w:rPr>
          <w:i/>
          <w:lang w:val="en-US"/>
        </w:rPr>
        <w:t>(rituximab) in combination with methotrexate is indicated for the treatment of adult patients with severe, active rheumatoid arthritis who have had an inadequate response or intolerance to at least one tumour necrosis factor (TNF) inhibitor therapy.</w:t>
      </w:r>
    </w:p>
    <w:p w14:paraId="0C944EB5" w14:textId="77777777" w:rsidR="00B71D5F" w:rsidRDefault="00411AB3" w:rsidP="00B44C63">
      <w:pPr>
        <w:rPr>
          <w:kern w:val="16"/>
          <w:lang w:eastAsia="en-AU"/>
        </w:rPr>
      </w:pPr>
      <w:r>
        <w:rPr>
          <w:lang w:val="en-US"/>
        </w:rPr>
        <w:t>However, in the opinion of the e</w:t>
      </w:r>
      <w:r w:rsidR="00B71D5F">
        <w:rPr>
          <w:lang w:val="en-US"/>
        </w:rPr>
        <w:t xml:space="preserve">valuator, the results of </w:t>
      </w:r>
      <w:r w:rsidR="00B71D5F">
        <w:t>Study ML25641, conducted in a general population of subjects with RA are applicable to a population of patients with severe, active RA.</w:t>
      </w:r>
    </w:p>
    <w:p w14:paraId="309C2C74" w14:textId="77777777" w:rsidR="00B71D5F" w:rsidRDefault="00B71D5F" w:rsidP="00B44C63">
      <w:pPr>
        <w:rPr>
          <w:lang w:val="en-US"/>
        </w:rPr>
      </w:pPr>
      <w:r>
        <w:t>The results of Study ML25641 are only generalisable to patients with RA and not to any other medical conditions.</w:t>
      </w:r>
      <w:r w:rsidR="003E57C6">
        <w:t xml:space="preserve"> </w:t>
      </w:r>
      <w:r>
        <w:t>Only subjects with RA were included in Study ML25641.</w:t>
      </w:r>
    </w:p>
    <w:p w14:paraId="7262288B" w14:textId="6CED4836" w:rsidR="00B71D5F" w:rsidRDefault="00B71D5F" w:rsidP="00B44C63">
      <w:pPr>
        <w:rPr>
          <w:lang w:val="en-US"/>
        </w:rPr>
      </w:pPr>
      <w:r>
        <w:rPr>
          <w:lang w:val="en-US"/>
        </w:rPr>
        <w:t>The study design (single arm, no comparator and using historical data for comparison) was acceptable for evaluation of the safety of the proposed new rapid infusion.</w:t>
      </w:r>
      <w:r w:rsidR="003E57C6">
        <w:rPr>
          <w:lang w:val="en-US"/>
        </w:rPr>
        <w:t xml:space="preserve"> </w:t>
      </w:r>
      <w:r>
        <w:rPr>
          <w:lang w:val="en-US"/>
        </w:rPr>
        <w:t>The study design would not have been appropriate for the evaluation of efficacy.</w:t>
      </w:r>
      <w:r w:rsidR="003E57C6">
        <w:rPr>
          <w:lang w:val="en-US"/>
        </w:rPr>
        <w:t xml:space="preserve"> </w:t>
      </w:r>
      <w:r>
        <w:rPr>
          <w:lang w:val="en-US"/>
        </w:rPr>
        <w:t xml:space="preserve">There were 337 subjects who received the rapid infusion regimen which, in the opinion of the </w:t>
      </w:r>
      <w:r w:rsidR="00411AB3">
        <w:rPr>
          <w:lang w:val="en-US"/>
        </w:rPr>
        <w:t>e</w:t>
      </w:r>
      <w:r>
        <w:rPr>
          <w:lang w:val="en-US"/>
        </w:rPr>
        <w:t>valuator represents a sufficient number of subjects included in the study.</w:t>
      </w:r>
      <w:r w:rsidR="003E57C6">
        <w:rPr>
          <w:lang w:val="en-US"/>
        </w:rPr>
        <w:t xml:space="preserve"> </w:t>
      </w:r>
      <w:r>
        <w:rPr>
          <w:lang w:val="en-US"/>
        </w:rPr>
        <w:t>The open nature of the trial may have resulted in measurement bias.</w:t>
      </w:r>
      <w:r w:rsidR="003E57C6">
        <w:rPr>
          <w:lang w:val="en-US"/>
        </w:rPr>
        <w:t xml:space="preserve"> </w:t>
      </w:r>
      <w:r>
        <w:rPr>
          <w:lang w:val="en-US"/>
        </w:rPr>
        <w:t>However, the primary outcome measure (IRRs) should have been sufficiently objective and robust to overcome this deficiency.</w:t>
      </w:r>
      <w:r w:rsidR="003E57C6">
        <w:rPr>
          <w:lang w:val="en-US"/>
        </w:rPr>
        <w:t xml:space="preserve"> </w:t>
      </w:r>
      <w:r>
        <w:rPr>
          <w:lang w:val="en-US"/>
        </w:rPr>
        <w:t xml:space="preserve">The </w:t>
      </w:r>
      <w:r>
        <w:t xml:space="preserve">historical incidence (95% CI) of IRRs associated with the second rituximab infusion was 8.1% (7.2% to 9.1%) but the prospective data provided by the </w:t>
      </w:r>
      <w:r w:rsidR="00411AB3">
        <w:t>s</w:t>
      </w:r>
      <w:r>
        <w:t>ponsor was a rate of IRRs (95% CI) from Study WA17047 IMAGE and Study WA17045 SERENE of 5.3% (3.4% to 8.0%) for the second infusion.</w:t>
      </w:r>
      <w:r w:rsidR="003E57C6">
        <w:t xml:space="preserve"> </w:t>
      </w:r>
      <w:r>
        <w:t>This would suggest bias in the elicitation of IRRs for the historical data rather than bias in Study ML25641.</w:t>
      </w:r>
      <w:r w:rsidR="003E57C6">
        <w:t xml:space="preserve"> </w:t>
      </w:r>
      <w:r>
        <w:t>The methods used for identifying IRRs from the historical data were different to those for identifying IRRs prospectively</w:t>
      </w:r>
      <w:r w:rsidR="00C954E0">
        <w:rPr>
          <w:rStyle w:val="FootnoteReference"/>
        </w:rPr>
        <w:footnoteReference w:id="2"/>
      </w:r>
      <w:r w:rsidR="005549BB">
        <w:t>.</w:t>
      </w:r>
      <w:r w:rsidR="005473DD">
        <w:t xml:space="preserve"> </w:t>
      </w:r>
      <w:r w:rsidR="00411AB3">
        <w:t>Overall the e</w:t>
      </w:r>
      <w:r>
        <w:t>valuator was satisfied with the design and conduct of Study ML25641.</w:t>
      </w:r>
    </w:p>
    <w:p w14:paraId="3ABA447F" w14:textId="77777777" w:rsidR="00605AD4" w:rsidRPr="00605AD4" w:rsidRDefault="00605AD4" w:rsidP="00605AD4">
      <w:pPr>
        <w:pStyle w:val="Heading3"/>
        <w:rPr>
          <w:rFonts w:eastAsia="Cambria"/>
        </w:rPr>
      </w:pPr>
      <w:bookmarkStart w:id="71" w:name="_Toc430622503"/>
      <w:r w:rsidRPr="00605AD4">
        <w:rPr>
          <w:rFonts w:eastAsia="Cambria"/>
        </w:rPr>
        <w:lastRenderedPageBreak/>
        <w:t>First Round Benefit-Risk Assessment</w:t>
      </w:r>
      <w:bookmarkEnd w:id="71"/>
    </w:p>
    <w:p w14:paraId="16E29A79" w14:textId="77777777" w:rsidR="00B71D5F" w:rsidRDefault="00B71D5F" w:rsidP="00D108D6">
      <w:pPr>
        <w:pStyle w:val="Heading4"/>
      </w:pPr>
      <w:bookmarkStart w:id="72" w:name="_Toc395285782"/>
      <w:bookmarkStart w:id="73" w:name="_Toc290846331"/>
      <w:bookmarkStart w:id="74" w:name="_Toc272414693"/>
      <w:bookmarkStart w:id="75" w:name="_Ref272160836"/>
      <w:bookmarkStart w:id="76" w:name="_Toc241374331"/>
      <w:bookmarkStart w:id="77" w:name="_Toc236802592"/>
      <w:r>
        <w:t>First round assessment of benefits</w:t>
      </w:r>
      <w:bookmarkEnd w:id="72"/>
      <w:bookmarkEnd w:id="73"/>
      <w:bookmarkEnd w:id="74"/>
      <w:bookmarkEnd w:id="75"/>
      <w:bookmarkEnd w:id="76"/>
      <w:bookmarkEnd w:id="77"/>
    </w:p>
    <w:p w14:paraId="62D9E9C1" w14:textId="77777777" w:rsidR="00FC4A5D" w:rsidRDefault="00B71D5F" w:rsidP="00B44C63">
      <w:r>
        <w:t>Efficacy was not addressed in the present application but the proposed new rapid administration would be expected to reduce treatment costs and be more convenient to patients</w:t>
      </w:r>
      <w:r w:rsidR="00FC4A5D">
        <w:t>.</w:t>
      </w:r>
    </w:p>
    <w:p w14:paraId="367CB19B" w14:textId="3F84C081" w:rsidR="00B71D5F" w:rsidRDefault="00B71D5F" w:rsidP="00D108D6">
      <w:pPr>
        <w:pStyle w:val="Heading4"/>
        <w:rPr>
          <w:sz w:val="24"/>
        </w:rPr>
      </w:pPr>
      <w:bookmarkStart w:id="78" w:name="_Toc395285783"/>
      <w:bookmarkStart w:id="79" w:name="_Toc290846332"/>
      <w:bookmarkStart w:id="80" w:name="_Toc272414694"/>
      <w:bookmarkStart w:id="81" w:name="_Ref272160964"/>
      <w:bookmarkStart w:id="82" w:name="_Toc241374334"/>
      <w:bookmarkStart w:id="83" w:name="_Toc236802596"/>
      <w:r>
        <w:t>First round assessment of risks</w:t>
      </w:r>
      <w:bookmarkEnd w:id="78"/>
      <w:bookmarkEnd w:id="79"/>
      <w:bookmarkEnd w:id="80"/>
      <w:bookmarkEnd w:id="81"/>
      <w:bookmarkEnd w:id="82"/>
      <w:bookmarkEnd w:id="83"/>
    </w:p>
    <w:p w14:paraId="68B645A6" w14:textId="77777777" w:rsidR="00B71D5F" w:rsidRDefault="00B71D5F" w:rsidP="00B44C63">
      <w:pPr>
        <w:rPr>
          <w:szCs w:val="24"/>
        </w:rPr>
      </w:pPr>
      <w:r>
        <w:t xml:space="preserve">The proposed alternative, faster infusion schedule of </w:t>
      </w:r>
      <w:r w:rsidR="00411AB3">
        <w:t xml:space="preserve">MabThera </w:t>
      </w:r>
      <w:r>
        <w:t>for rheumatoid arthritis has a similar risk for IRRs as the currently approved administration regimen.</w:t>
      </w:r>
      <w:r w:rsidR="003E57C6">
        <w:t xml:space="preserve"> </w:t>
      </w:r>
      <w:r>
        <w:t xml:space="preserve">There were no other risks identified with the proposed alternative, faster infusion schedule of </w:t>
      </w:r>
      <w:r w:rsidR="00411AB3">
        <w:t>MabThera</w:t>
      </w:r>
      <w:r>
        <w:t>.</w:t>
      </w:r>
    </w:p>
    <w:p w14:paraId="339ACFF1" w14:textId="77777777" w:rsidR="00B71D5F" w:rsidRDefault="00B71D5F" w:rsidP="00B44C63">
      <w:r>
        <w:t xml:space="preserve">In the opinion of the </w:t>
      </w:r>
      <w:r w:rsidR="00411AB3">
        <w:t>e</w:t>
      </w:r>
      <w:r>
        <w:t>valuator, off-label use of the new rapid infusion is also an Important Potential Risk that should be addressed in the RMP.</w:t>
      </w:r>
    </w:p>
    <w:p w14:paraId="552813D6" w14:textId="77777777" w:rsidR="00B71D5F" w:rsidRDefault="00B71D5F" w:rsidP="00D108D6">
      <w:pPr>
        <w:pStyle w:val="Heading4"/>
        <w:rPr>
          <w:sz w:val="24"/>
        </w:rPr>
      </w:pPr>
      <w:bookmarkStart w:id="84" w:name="_Toc395285784"/>
      <w:bookmarkStart w:id="85" w:name="_Toc290846333"/>
      <w:bookmarkStart w:id="86" w:name="_Toc272414695"/>
      <w:bookmarkStart w:id="87" w:name="_Toc241374335"/>
      <w:bookmarkStart w:id="88" w:name="_Toc236802597"/>
      <w:r>
        <w:t>First round assessment of benefit-risk balance</w:t>
      </w:r>
      <w:bookmarkEnd w:id="84"/>
      <w:bookmarkEnd w:id="85"/>
      <w:bookmarkEnd w:id="86"/>
      <w:bookmarkEnd w:id="87"/>
      <w:bookmarkEnd w:id="88"/>
    </w:p>
    <w:p w14:paraId="7D8DD6EC" w14:textId="77777777" w:rsidR="00B71D5F" w:rsidRDefault="00B71D5F" w:rsidP="00B44C63">
      <w:pPr>
        <w:rPr>
          <w:szCs w:val="24"/>
        </w:rPr>
      </w:pPr>
      <w:r>
        <w:t xml:space="preserve">The benefit-risk balance of the alternative, faster infusion schedule of </w:t>
      </w:r>
      <w:r w:rsidR="00411AB3">
        <w:t xml:space="preserve">MabThera </w:t>
      </w:r>
      <w:r>
        <w:t xml:space="preserve">for </w:t>
      </w:r>
      <w:r w:rsidR="00411AB3">
        <w:t>RA</w:t>
      </w:r>
      <w:r>
        <w:t>, given the proposed usage, is favourable.</w:t>
      </w:r>
    </w:p>
    <w:p w14:paraId="457B284D" w14:textId="77777777" w:rsidR="00605AD4" w:rsidRPr="00605AD4" w:rsidRDefault="00605AD4" w:rsidP="00605AD4">
      <w:pPr>
        <w:pStyle w:val="Heading3"/>
        <w:rPr>
          <w:rFonts w:eastAsia="Cambria"/>
        </w:rPr>
      </w:pPr>
      <w:bookmarkStart w:id="89" w:name="_Toc430622504"/>
      <w:r w:rsidRPr="00605AD4">
        <w:rPr>
          <w:rFonts w:eastAsia="Cambria"/>
        </w:rPr>
        <w:t>First Round Recommendation Regarding Authorisation</w:t>
      </w:r>
      <w:bookmarkEnd w:id="89"/>
    </w:p>
    <w:p w14:paraId="20C5E286" w14:textId="77777777" w:rsidR="00B71D5F" w:rsidRDefault="00B71D5F" w:rsidP="00B44C63">
      <w:r>
        <w:t>The</w:t>
      </w:r>
      <w:r w:rsidR="00411AB3">
        <w:t xml:space="preserve"> e</w:t>
      </w:r>
      <w:r>
        <w:t xml:space="preserve">valuator has no objection to the approval of the alternative, faster infusion schedule of </w:t>
      </w:r>
      <w:r w:rsidR="00411AB3">
        <w:t xml:space="preserve">MabThera </w:t>
      </w:r>
      <w:r>
        <w:t xml:space="preserve">for </w:t>
      </w:r>
      <w:r w:rsidR="00411AB3">
        <w:t>RA</w:t>
      </w:r>
      <w:r>
        <w:t>.</w:t>
      </w:r>
    </w:p>
    <w:p w14:paraId="628FEC45" w14:textId="77777777" w:rsidR="00605AD4" w:rsidRPr="00605AD4" w:rsidRDefault="00605AD4" w:rsidP="00605AD4">
      <w:pPr>
        <w:pStyle w:val="Heading3"/>
        <w:rPr>
          <w:rFonts w:eastAsia="Cambria"/>
        </w:rPr>
      </w:pPr>
      <w:bookmarkStart w:id="90" w:name="_Toc430622505"/>
      <w:r w:rsidRPr="00605AD4">
        <w:rPr>
          <w:rFonts w:eastAsia="Cambria"/>
        </w:rPr>
        <w:t>Clinical Questions</w:t>
      </w:r>
      <w:bookmarkEnd w:id="90"/>
    </w:p>
    <w:p w14:paraId="4667F8BE" w14:textId="77777777" w:rsidR="00B71D5F" w:rsidRDefault="00411AB3" w:rsidP="00D108D6">
      <w:pPr>
        <w:rPr>
          <w:szCs w:val="24"/>
        </w:rPr>
      </w:pPr>
      <w:r>
        <w:rPr>
          <w:szCs w:val="24"/>
        </w:rPr>
        <w:t>The clinical evaluator did not raise any questions with the sponsor.</w:t>
      </w:r>
    </w:p>
    <w:p w14:paraId="1DBE7D86" w14:textId="77777777" w:rsidR="00605AD4" w:rsidRPr="00605AD4" w:rsidRDefault="00605AD4" w:rsidP="00605AD4">
      <w:pPr>
        <w:pStyle w:val="Heading3"/>
        <w:rPr>
          <w:rFonts w:eastAsia="Cambria"/>
        </w:rPr>
      </w:pPr>
      <w:bookmarkStart w:id="91" w:name="_Toc430622506"/>
      <w:r w:rsidRPr="00605AD4">
        <w:rPr>
          <w:rFonts w:eastAsia="Cambria"/>
        </w:rPr>
        <w:t>Second Round Evaluation of clinical data submitted in response to questions</w:t>
      </w:r>
      <w:bookmarkEnd w:id="91"/>
    </w:p>
    <w:p w14:paraId="06508F6C" w14:textId="77777777" w:rsidR="00FC4A5D" w:rsidRDefault="00B71D5F" w:rsidP="00605AD4">
      <w:r>
        <w:t>No second round evalu</w:t>
      </w:r>
      <w:r w:rsidR="00D108D6">
        <w:t>a</w:t>
      </w:r>
      <w:r>
        <w:t>tion was conducted</w:t>
      </w:r>
      <w:r w:rsidR="00FC4A5D">
        <w:t>.</w:t>
      </w:r>
    </w:p>
    <w:p w14:paraId="139B9C2C" w14:textId="5CE98999" w:rsidR="008E7846" w:rsidRPr="00E41208" w:rsidRDefault="008E7846" w:rsidP="00546154">
      <w:pPr>
        <w:pStyle w:val="Heading2"/>
      </w:pPr>
      <w:bookmarkStart w:id="92" w:name="_Toc430622507"/>
      <w:r w:rsidRPr="00E41208">
        <w:t xml:space="preserve">V. Pharmacovigilance </w:t>
      </w:r>
      <w:r>
        <w:t>f</w:t>
      </w:r>
      <w:r w:rsidRPr="00E41208">
        <w:t>indings</w:t>
      </w:r>
      <w:bookmarkEnd w:id="65"/>
      <w:bookmarkEnd w:id="66"/>
      <w:bookmarkEnd w:id="92"/>
    </w:p>
    <w:p w14:paraId="53C2FC68" w14:textId="77777777" w:rsidR="008E7846" w:rsidRDefault="00386150" w:rsidP="008E7846">
      <w:pPr>
        <w:pStyle w:val="Heading3"/>
        <w:rPr>
          <w:lang w:eastAsia="en-AU"/>
        </w:rPr>
      </w:pPr>
      <w:bookmarkStart w:id="93" w:name="_Toc247691526"/>
      <w:bookmarkStart w:id="94" w:name="_Toc314842509"/>
      <w:bookmarkStart w:id="95" w:name="_Toc430622508"/>
      <w:r>
        <w:rPr>
          <w:lang w:eastAsia="en-AU"/>
        </w:rPr>
        <w:t>Risk m</w:t>
      </w:r>
      <w:r w:rsidR="008E7846">
        <w:rPr>
          <w:lang w:eastAsia="en-AU"/>
        </w:rPr>
        <w:t xml:space="preserve">anagement </w:t>
      </w:r>
      <w:r>
        <w:rPr>
          <w:lang w:eastAsia="en-AU"/>
        </w:rPr>
        <w:t>p</w:t>
      </w:r>
      <w:r w:rsidR="008E7846">
        <w:rPr>
          <w:lang w:eastAsia="en-AU"/>
        </w:rPr>
        <w:t>lan</w:t>
      </w:r>
      <w:bookmarkEnd w:id="93"/>
      <w:bookmarkEnd w:id="94"/>
      <w:bookmarkEnd w:id="95"/>
    </w:p>
    <w:p w14:paraId="46734D06" w14:textId="101B01B1" w:rsidR="007475A5" w:rsidRDefault="008E7846" w:rsidP="007475A5">
      <w:pPr>
        <w:rPr>
          <w:lang w:eastAsia="en-AU"/>
        </w:rPr>
      </w:pPr>
      <w:r>
        <w:rPr>
          <w:lang w:eastAsia="en-AU"/>
        </w:rPr>
        <w:t>The sponsor submitted a</w:t>
      </w:r>
      <w:r w:rsidR="00411AB3">
        <w:rPr>
          <w:lang w:eastAsia="en-AU"/>
        </w:rPr>
        <w:t>n EU</w:t>
      </w:r>
      <w:r>
        <w:rPr>
          <w:lang w:eastAsia="en-AU"/>
        </w:rPr>
        <w:t xml:space="preserve"> Risk Management Plan</w:t>
      </w:r>
      <w:r w:rsidR="006F25B8">
        <w:rPr>
          <w:lang w:eastAsia="en-AU"/>
        </w:rPr>
        <w:t xml:space="preserve"> </w:t>
      </w:r>
      <w:r w:rsidR="00411AB3">
        <w:rPr>
          <w:lang w:eastAsia="en-AU"/>
        </w:rPr>
        <w:t>(</w:t>
      </w:r>
      <w:r w:rsidR="009B025A">
        <w:t>EU-RMP</w:t>
      </w:r>
      <w:r w:rsidR="00411AB3">
        <w:t>)</w:t>
      </w:r>
      <w:r w:rsidR="009B025A">
        <w:t xml:space="preserve"> (</w:t>
      </w:r>
      <w:r w:rsidR="009B025A">
        <w:rPr>
          <w:iCs/>
        </w:rPr>
        <w:t>Version: 12.0, dated 10 February 2014) with an Australian Specific Annex (ASA) Version: 4.0, dated October 2014</w:t>
      </w:r>
      <w:r w:rsidR="00411AB3">
        <w:rPr>
          <w:iCs/>
        </w:rPr>
        <w:t xml:space="preserve"> </w:t>
      </w:r>
      <w:r>
        <w:rPr>
          <w:lang w:eastAsia="en-AU"/>
        </w:rPr>
        <w:t xml:space="preserve">which was reviewed </w:t>
      </w:r>
      <w:r w:rsidRPr="00411AB3">
        <w:rPr>
          <w:lang w:eastAsia="en-AU"/>
        </w:rPr>
        <w:t xml:space="preserve">by the TGA’s </w:t>
      </w:r>
      <w:r w:rsidR="00411AB3" w:rsidRPr="00411AB3">
        <w:rPr>
          <w:lang w:eastAsia="en-AU"/>
        </w:rPr>
        <w:t>Post-Market Surveillance Branch (PMSB</w:t>
      </w:r>
      <w:r w:rsidRPr="00411AB3">
        <w:rPr>
          <w:lang w:eastAsia="en-AU"/>
        </w:rPr>
        <w:t>).</w:t>
      </w:r>
    </w:p>
    <w:p w14:paraId="67CC434E" w14:textId="77777777" w:rsidR="008E7846" w:rsidRDefault="003A7F6C" w:rsidP="008E7846">
      <w:pPr>
        <w:pStyle w:val="Heading4"/>
        <w:rPr>
          <w:lang w:eastAsia="en-AU"/>
        </w:rPr>
      </w:pPr>
      <w:r>
        <w:rPr>
          <w:lang w:eastAsia="en-AU"/>
        </w:rPr>
        <w:t>Safety s</w:t>
      </w:r>
      <w:r w:rsidR="008E7846">
        <w:rPr>
          <w:lang w:eastAsia="en-AU"/>
        </w:rPr>
        <w:t>pecification</w:t>
      </w:r>
    </w:p>
    <w:p w14:paraId="7F95C637" w14:textId="77777777" w:rsidR="00705900" w:rsidRDefault="00705900" w:rsidP="00705900">
      <w:pPr>
        <w:rPr>
          <w:lang w:eastAsia="en-AU"/>
        </w:rPr>
      </w:pPr>
      <w:r>
        <w:rPr>
          <w:lang w:eastAsia="en-AU"/>
        </w:rPr>
        <w:t>The sponsor submitted an EU Risk Management Plan (</w:t>
      </w:r>
      <w:r>
        <w:t>EU-RMP) (</w:t>
      </w:r>
      <w:r>
        <w:rPr>
          <w:iCs/>
        </w:rPr>
        <w:t xml:space="preserve">Version: 12.0, dated 10 February 2014) with an Australian Specific Annex (ASA) Version: 4.0, dated October 2014 </w:t>
      </w:r>
      <w:r>
        <w:rPr>
          <w:lang w:eastAsia="en-AU"/>
        </w:rPr>
        <w:t xml:space="preserve">which was reviewed </w:t>
      </w:r>
      <w:r w:rsidRPr="00411AB3">
        <w:rPr>
          <w:lang w:eastAsia="en-AU"/>
        </w:rPr>
        <w:t>by the TGA’s Post-Market Surveillance Branch (PMSB).</w:t>
      </w:r>
    </w:p>
    <w:p w14:paraId="2FE221EB" w14:textId="77777777" w:rsidR="00705900" w:rsidRDefault="00705900" w:rsidP="00705900">
      <w:pPr>
        <w:pStyle w:val="Heading4"/>
        <w:rPr>
          <w:lang w:eastAsia="en-AU"/>
        </w:rPr>
      </w:pPr>
      <w:r>
        <w:rPr>
          <w:lang w:eastAsia="en-AU"/>
        </w:rPr>
        <w:lastRenderedPageBreak/>
        <w:t>Safety specification</w:t>
      </w:r>
    </w:p>
    <w:p w14:paraId="113C0A78" w14:textId="77777777" w:rsidR="00705900" w:rsidRDefault="00705900" w:rsidP="00705900">
      <w:pPr>
        <w:rPr>
          <w:lang w:eastAsia="en-AU"/>
        </w:rPr>
      </w:pPr>
      <w:r>
        <w:rPr>
          <w:lang w:eastAsia="en-AU"/>
        </w:rPr>
        <w:t>The sponsor provided a summary of ongoing safety concerns which are shown at Table 4.</w:t>
      </w:r>
    </w:p>
    <w:p w14:paraId="476A45C1" w14:textId="77777777" w:rsidR="00705900" w:rsidRDefault="00705900" w:rsidP="00705900">
      <w:pPr>
        <w:pStyle w:val="Tabletitle0"/>
        <w:rPr>
          <w:lang w:eastAsia="en-AU"/>
        </w:rPr>
      </w:pPr>
      <w:r>
        <w:rPr>
          <w:lang w:eastAsia="en-AU"/>
        </w:rPr>
        <w:t>Table 4: Summary of ongoing safety concerns</w:t>
      </w:r>
    </w:p>
    <w:p w14:paraId="5302E4BD" w14:textId="77777777" w:rsidR="00705900" w:rsidRDefault="00705900" w:rsidP="00705900">
      <w:pPr>
        <w:pStyle w:val="Tabletext"/>
        <w:keepNext/>
        <w:rPr>
          <w:lang w:eastAsia="en-AU"/>
        </w:rPr>
      </w:pPr>
      <w:r>
        <w:rPr>
          <w:lang w:eastAsia="en-AU"/>
        </w:rPr>
        <w:t>Changes compared to EU-RMP version 9.1 are shaded in grey in the tables below.</w:t>
      </w:r>
    </w:p>
    <w:p w14:paraId="310E0885" w14:textId="77777777" w:rsidR="00705900" w:rsidRPr="00411AB3" w:rsidRDefault="00705900" w:rsidP="00705900">
      <w:pPr>
        <w:keepNext/>
        <w:rPr>
          <w:lang w:eastAsia="en-AU"/>
        </w:rPr>
      </w:pPr>
      <w:r>
        <w:rPr>
          <w:noProof/>
          <w:lang w:eastAsia="en-AU"/>
        </w:rPr>
        <w:drawing>
          <wp:inline distT="0" distB="0" distL="0" distR="0" wp14:anchorId="271FB3AD" wp14:editId="07C85F3B">
            <wp:extent cx="3365884" cy="510854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65884" cy="5108548"/>
                    </a:xfrm>
                    <a:prstGeom prst="rect">
                      <a:avLst/>
                    </a:prstGeom>
                  </pic:spPr>
                </pic:pic>
              </a:graphicData>
            </a:graphic>
          </wp:inline>
        </w:drawing>
      </w:r>
    </w:p>
    <w:p w14:paraId="02699257" w14:textId="77777777" w:rsidR="00705900" w:rsidRDefault="00705900" w:rsidP="00705900">
      <w:r>
        <w:t>In addition the important potential risks: ‘Off label use of the SC formulation’ and ‘Administration route error’ have been included as new ongoing safety concerns to fulfil an assurance provided in the sponsor’s correspondence dated 31 October 2013. These changes are reflected in Section 9: ‘Pharmacovigilance practice in Australia’ and Section 10: ‘Risk Minimisation Activities’ of the ASA but do not appear to have been captured in Section 8: ‘Summary of Safety Concerns’ of the ASA.</w:t>
      </w:r>
    </w:p>
    <w:p w14:paraId="7ED37732" w14:textId="77777777" w:rsidR="008E7846" w:rsidRDefault="008E7846" w:rsidP="00921AD7">
      <w:pPr>
        <w:pStyle w:val="Heading4"/>
        <w:rPr>
          <w:lang w:eastAsia="en-AU"/>
        </w:rPr>
      </w:pPr>
      <w:r>
        <w:rPr>
          <w:lang w:eastAsia="en-AU"/>
        </w:rPr>
        <w:t xml:space="preserve">Pharmacovigilance </w:t>
      </w:r>
      <w:r w:rsidR="003A7F6C">
        <w:rPr>
          <w:lang w:eastAsia="en-AU"/>
        </w:rPr>
        <w:t>p</w:t>
      </w:r>
      <w:r>
        <w:rPr>
          <w:lang w:eastAsia="en-AU"/>
        </w:rPr>
        <w:t>lan</w:t>
      </w:r>
    </w:p>
    <w:p w14:paraId="5E53154C" w14:textId="77777777" w:rsidR="00FC4A5D" w:rsidRDefault="009B025A" w:rsidP="009B025A">
      <w:pPr>
        <w:tabs>
          <w:tab w:val="left" w:pos="720"/>
        </w:tabs>
        <w:autoSpaceDE w:val="0"/>
        <w:autoSpaceDN w:val="0"/>
        <w:adjustRightInd w:val="0"/>
      </w:pPr>
      <w:r>
        <w:t>The sponsor proposes routine pharmacovigilance activities to monitor all the specified ongoing safety concerns, including the use of guided questionnaires to collect data for the important identified risks: ‘Progressive Multifocal Leukoencephalopathy (PML)’, ‘</w:t>
      </w:r>
      <w:r>
        <w:rPr>
          <w:rFonts w:eastAsia="TimesNewRoman"/>
        </w:rPr>
        <w:t xml:space="preserve">Hepatitis B virus reactivation’ </w:t>
      </w:r>
      <w:r w:rsidR="00395D39">
        <w:rPr>
          <w:rFonts w:eastAsia="TimesNewRoman"/>
        </w:rPr>
        <w:t>and</w:t>
      </w:r>
      <w:r>
        <w:rPr>
          <w:rFonts w:eastAsia="TimesNewRoman"/>
        </w:rPr>
        <w:t xml:space="preserve"> ‘</w:t>
      </w:r>
      <w:r>
        <w:t xml:space="preserve">Posterior Reversible Encephalopathy Syndrome (PRES)’; and for the important potential risks: ‘Second malignancies’ </w:t>
      </w:r>
      <w:r w:rsidR="00395D39">
        <w:t>and</w:t>
      </w:r>
      <w:r>
        <w:t xml:space="preserve"> ‘Off label use in paediatric patients’.</w:t>
      </w:r>
      <w:r w:rsidR="003E57C6">
        <w:t xml:space="preserve"> </w:t>
      </w:r>
      <w:r>
        <w:t>Furthermore additional pharmacovigilance activities are also proposed for the important identified risks: ‘Infusion related reactions’</w:t>
      </w:r>
      <w:r>
        <w:rPr>
          <w:sz w:val="20"/>
          <w:szCs w:val="20"/>
        </w:rPr>
        <w:t xml:space="preserve">, </w:t>
      </w:r>
      <w:r>
        <w:t xml:space="preserve">‘Infections’, ‘Progressive Multifocal </w:t>
      </w:r>
      <w:r>
        <w:lastRenderedPageBreak/>
        <w:t>Leukoencephalopathy (PML)’ &amp; ‘</w:t>
      </w:r>
      <w:r>
        <w:rPr>
          <w:rFonts w:eastAsia="TimesNewRoman"/>
        </w:rPr>
        <w:t xml:space="preserve">Hepatitis B virus reactivation’; </w:t>
      </w:r>
      <w:r>
        <w:t>for the important potential risks: ‘</w:t>
      </w:r>
      <w:r>
        <w:rPr>
          <w:rFonts w:eastAsia="TimesNewRoman"/>
        </w:rPr>
        <w:t xml:space="preserve">De Novo HBV, and HBV Reactivation’, </w:t>
      </w:r>
      <w:r>
        <w:t xml:space="preserve">‘Opportunistic Infections’, ‘Malignant Events’, ‘Impact on Cardiovascular Disease’, ‘GI Perforation’, ‘Prolonged B-cell depletion’, ‘Off label use in paediatric patients’ </w:t>
      </w:r>
      <w:r w:rsidR="00395D39">
        <w:t>and</w:t>
      </w:r>
      <w:r>
        <w:t xml:space="preserve"> ‘Relapses’ and for the important missing information: ‘Use in pregnancy and lactation’, ‘Immunogenicity and autoimmune disease’ &amp; ‘Lon</w:t>
      </w:r>
      <w:r w:rsidR="00395D39">
        <w:t>g term use in GPA/MPA patients’</w:t>
      </w:r>
      <w:r w:rsidR="00FC4A5D">
        <w:t>.</w:t>
      </w:r>
    </w:p>
    <w:p w14:paraId="76DC6BA3" w14:textId="5B9AD7BB"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1D380DA2" w14:textId="77777777" w:rsidR="00FC4A5D" w:rsidRDefault="009B025A" w:rsidP="00F85FA4">
      <w:bookmarkStart w:id="96" w:name="_Toc247691527"/>
      <w:r>
        <w:t xml:space="preserve">The sponsor proposes routine risk minimisation activities for all the specified ongoing safety concerns, except for the important missing information: ‘Effect of greater exposure in patients with low BSA after fixed-dose SC administration’ </w:t>
      </w:r>
      <w:r>
        <w:rPr>
          <w:rFonts w:eastAsia="TimesNewRoman"/>
        </w:rPr>
        <w:t xml:space="preserve">for which no </w:t>
      </w:r>
      <w:r>
        <w:t>risk minimisation activities are proposed.</w:t>
      </w:r>
      <w:r w:rsidR="003E57C6">
        <w:t xml:space="preserve"> </w:t>
      </w:r>
      <w:r>
        <w:t>Furthermore additional risk minimisation activities are proposed for the important identified risks: ‘Infusion related reactions’</w:t>
      </w:r>
      <w:r>
        <w:rPr>
          <w:sz w:val="20"/>
          <w:szCs w:val="20"/>
        </w:rPr>
        <w:t xml:space="preserve"> </w:t>
      </w:r>
      <w:r w:rsidR="00FF305A" w:rsidRPr="00921AD7">
        <w:t>and</w:t>
      </w:r>
      <w:r>
        <w:rPr>
          <w:sz w:val="20"/>
          <w:szCs w:val="20"/>
        </w:rPr>
        <w:t xml:space="preserve"> </w:t>
      </w:r>
      <w:r>
        <w:t>‘Infections’; and for the important potential risks: ‘</w:t>
      </w:r>
      <w:proofErr w:type="gramStart"/>
      <w:r>
        <w:t>Off</w:t>
      </w:r>
      <w:proofErr w:type="gramEnd"/>
      <w:r>
        <w:t xml:space="preserve"> label use of the SC formulation’ </w:t>
      </w:r>
      <w:r w:rsidR="00395D39">
        <w:t>and</w:t>
      </w:r>
      <w:r>
        <w:t xml:space="preserve"> ‘Administration route error</w:t>
      </w:r>
      <w:r w:rsidR="00F85FA4">
        <w:t>.</w:t>
      </w:r>
      <w:r>
        <w:t>’</w:t>
      </w:r>
      <w:r w:rsidR="00FC4A5D">
        <w:t>.</w:t>
      </w:r>
    </w:p>
    <w:p w14:paraId="6596FD36" w14:textId="3464E1D2" w:rsidR="006F25B8" w:rsidRDefault="006F25B8" w:rsidP="006F25B8">
      <w:pPr>
        <w:pStyle w:val="Heading4"/>
        <w:rPr>
          <w:lang w:eastAsia="en-AU"/>
        </w:rPr>
      </w:pPr>
      <w:r w:rsidRPr="006F25B8">
        <w:rPr>
          <w:lang w:eastAsia="en-AU"/>
        </w:rPr>
        <w:t xml:space="preserve">Reconciliation of issues outlined in the RMP report </w:t>
      </w:r>
    </w:p>
    <w:p w14:paraId="6C7CDE93" w14:textId="70785B61" w:rsidR="006F25B8" w:rsidRDefault="006F25B8" w:rsidP="006F25B8">
      <w:pPr>
        <w:rPr>
          <w:lang w:eastAsia="en-AU"/>
        </w:rPr>
      </w:pPr>
      <w:r>
        <w:rPr>
          <w:lang w:eastAsia="en-AU"/>
        </w:rPr>
        <w:t xml:space="preserve">Table </w:t>
      </w:r>
      <w:r w:rsidR="00395D39">
        <w:rPr>
          <w:lang w:eastAsia="en-AU"/>
        </w:rPr>
        <w:t>5</w:t>
      </w:r>
      <w:r>
        <w:rPr>
          <w:lang w:eastAsia="en-AU"/>
        </w:rPr>
        <w:t xml:space="preserve"> </w:t>
      </w:r>
      <w:r w:rsidR="006C7100">
        <w:rPr>
          <w:lang w:eastAsia="en-AU"/>
        </w:rPr>
        <w:t xml:space="preserve">and </w:t>
      </w:r>
      <w:proofErr w:type="gramStart"/>
      <w:r w:rsidR="006C7100" w:rsidRPr="00921AD7">
        <w:rPr>
          <w:i/>
          <w:lang w:eastAsia="en-AU"/>
        </w:rPr>
        <w:t>Ou</w:t>
      </w:r>
      <w:r w:rsidR="00921AD7">
        <w:rPr>
          <w:i/>
          <w:lang w:eastAsia="en-AU"/>
        </w:rPr>
        <w:t>t</w:t>
      </w:r>
      <w:r w:rsidR="006C7100" w:rsidRPr="00921AD7">
        <w:rPr>
          <w:i/>
          <w:lang w:eastAsia="en-AU"/>
        </w:rPr>
        <w:t>standing</w:t>
      </w:r>
      <w:proofErr w:type="gramEnd"/>
      <w:r w:rsidR="006C7100" w:rsidRPr="00921AD7">
        <w:rPr>
          <w:i/>
          <w:lang w:eastAsia="en-AU"/>
        </w:rPr>
        <w:t xml:space="preserve"> issues</w:t>
      </w:r>
      <w:r w:rsidR="006C7100">
        <w:rPr>
          <w:lang w:eastAsia="en-AU"/>
        </w:rPr>
        <w:t xml:space="preserve"> below </w:t>
      </w:r>
      <w:r>
        <w:rPr>
          <w:lang w:eastAsia="en-AU"/>
        </w:rPr>
        <w:t>summaris</w:t>
      </w:r>
      <w:r w:rsidR="00921AD7">
        <w:rPr>
          <w:lang w:eastAsia="en-AU"/>
        </w:rPr>
        <w:t>es</w:t>
      </w:r>
      <w:r>
        <w:rPr>
          <w:lang w:eastAsia="en-AU"/>
        </w:rPr>
        <w:t xml:space="preserve"> the </w:t>
      </w:r>
      <w:r w:rsidR="00395D39">
        <w:rPr>
          <w:lang w:eastAsia="en-AU"/>
        </w:rPr>
        <w:t>PMSB</w:t>
      </w:r>
      <w:r>
        <w:rPr>
          <w:lang w:eastAsia="en-AU"/>
        </w:rPr>
        <w:t xml:space="preserve">’s first round evaluation of the RMP, the sponsor’s responses to issues raised by the </w:t>
      </w:r>
      <w:r w:rsidR="00395D39">
        <w:rPr>
          <w:lang w:eastAsia="en-AU"/>
        </w:rPr>
        <w:t>PMSB</w:t>
      </w:r>
      <w:r>
        <w:rPr>
          <w:lang w:eastAsia="en-AU"/>
        </w:rPr>
        <w:t xml:space="preserve"> and the </w:t>
      </w:r>
      <w:r w:rsidR="00395D39">
        <w:rPr>
          <w:lang w:eastAsia="en-AU"/>
        </w:rPr>
        <w:t>PMSB</w:t>
      </w:r>
      <w:r>
        <w:rPr>
          <w:lang w:eastAsia="en-AU"/>
        </w:rPr>
        <w:t>’s evaluation of the sponsor’s responses.”</w:t>
      </w:r>
    </w:p>
    <w:p w14:paraId="0D73B088" w14:textId="73998061" w:rsidR="009B025A" w:rsidRPr="007848B3" w:rsidRDefault="00D108D6" w:rsidP="00D108D6">
      <w:pPr>
        <w:pStyle w:val="TableTitle"/>
      </w:pPr>
      <w:r>
        <w:t xml:space="preserve">Table </w:t>
      </w:r>
      <w:r w:rsidR="00395D39">
        <w:t xml:space="preserve">5: </w:t>
      </w:r>
      <w:r w:rsidR="009B025A" w:rsidRPr="00107999">
        <w:t>Reconciliation of issues outlined in the RMP report</w:t>
      </w:r>
    </w:p>
    <w:tbl>
      <w:tblPr>
        <w:tblStyle w:val="TableTGAblue"/>
        <w:tblW w:w="5000" w:type="pct"/>
        <w:jc w:val="center"/>
        <w:tblInd w:w="760" w:type="dxa"/>
        <w:tblLayout w:type="fixed"/>
        <w:tblLook w:val="04A0" w:firstRow="1" w:lastRow="0" w:firstColumn="1" w:lastColumn="0" w:noHBand="0" w:noVBand="1"/>
      </w:tblPr>
      <w:tblGrid>
        <w:gridCol w:w="3399"/>
        <w:gridCol w:w="2801"/>
        <w:gridCol w:w="2520"/>
      </w:tblGrid>
      <w:tr w:rsidR="009B025A" w:rsidRPr="00012483" w14:paraId="3897D70A" w14:textId="7DCA3D34" w:rsidTr="00200D8D">
        <w:trPr>
          <w:cnfStyle w:val="100000000000" w:firstRow="1" w:lastRow="0" w:firstColumn="0" w:lastColumn="0" w:oddVBand="0" w:evenVBand="0" w:oddHBand="0" w:evenHBand="0" w:firstRowFirstColumn="0" w:firstRowLastColumn="0" w:lastRowFirstColumn="0" w:lastRowLastColumn="0"/>
          <w:jc w:val="center"/>
        </w:trPr>
        <w:tc>
          <w:tcPr>
            <w:tcW w:w="1949" w:type="pct"/>
            <w:noWrap/>
          </w:tcPr>
          <w:p w14:paraId="2A480017" w14:textId="62DF082A" w:rsidR="009B025A" w:rsidRPr="00012483" w:rsidRDefault="009B025A" w:rsidP="00B44C63">
            <w:pPr>
              <w:spacing w:before="100" w:beforeAutospacing="1" w:after="100" w:afterAutospacing="1" w:line="240" w:lineRule="auto"/>
              <w:jc w:val="center"/>
              <w:rPr>
                <w:rFonts w:asciiTheme="minorHAnsi" w:hAnsiTheme="minorHAnsi"/>
                <w:sz w:val="20"/>
                <w:szCs w:val="20"/>
              </w:rPr>
            </w:pPr>
            <w:r w:rsidRPr="00012483">
              <w:rPr>
                <w:rFonts w:asciiTheme="minorHAnsi" w:hAnsiTheme="minorHAnsi"/>
                <w:sz w:val="20"/>
                <w:szCs w:val="20"/>
              </w:rPr>
              <w:t>Recommendation in RMP evaluation report</w:t>
            </w:r>
          </w:p>
        </w:tc>
        <w:tc>
          <w:tcPr>
            <w:tcW w:w="1606" w:type="pct"/>
            <w:noWrap/>
          </w:tcPr>
          <w:p w14:paraId="27382C0D" w14:textId="214927EC" w:rsidR="009B025A" w:rsidRPr="00012483" w:rsidRDefault="009B025A" w:rsidP="00395D39">
            <w:pPr>
              <w:spacing w:before="100" w:beforeAutospacing="1" w:after="100" w:afterAutospacing="1" w:line="240" w:lineRule="auto"/>
              <w:ind w:left="28"/>
              <w:jc w:val="center"/>
              <w:rPr>
                <w:rFonts w:asciiTheme="minorHAnsi" w:hAnsiTheme="minorHAnsi"/>
                <w:sz w:val="20"/>
                <w:szCs w:val="20"/>
              </w:rPr>
            </w:pPr>
            <w:r w:rsidRPr="00012483">
              <w:rPr>
                <w:rFonts w:asciiTheme="minorHAnsi" w:hAnsiTheme="minorHAnsi"/>
                <w:sz w:val="20"/>
                <w:szCs w:val="20"/>
              </w:rPr>
              <w:t>Sponsor’s response</w:t>
            </w:r>
          </w:p>
        </w:tc>
        <w:tc>
          <w:tcPr>
            <w:tcW w:w="1445" w:type="pct"/>
            <w:noWrap/>
          </w:tcPr>
          <w:p w14:paraId="30FEC351" w14:textId="23292DAE" w:rsidR="009B025A" w:rsidRPr="00012483" w:rsidRDefault="00395D39" w:rsidP="00395D39">
            <w:pPr>
              <w:spacing w:before="100" w:beforeAutospacing="1" w:after="100" w:afterAutospacing="1" w:line="240" w:lineRule="auto"/>
              <w:ind w:left="0"/>
              <w:jc w:val="center"/>
              <w:rPr>
                <w:rFonts w:asciiTheme="minorHAnsi" w:hAnsiTheme="minorHAnsi"/>
                <w:sz w:val="20"/>
                <w:szCs w:val="20"/>
              </w:rPr>
            </w:pPr>
            <w:r w:rsidRPr="00012483">
              <w:rPr>
                <w:rFonts w:asciiTheme="minorHAnsi" w:hAnsiTheme="minorHAnsi"/>
                <w:sz w:val="20"/>
                <w:szCs w:val="20"/>
              </w:rPr>
              <w:t>PMSB</w:t>
            </w:r>
            <w:r w:rsidR="009B025A" w:rsidRPr="00012483">
              <w:rPr>
                <w:rFonts w:asciiTheme="minorHAnsi" w:hAnsiTheme="minorHAnsi"/>
                <w:sz w:val="20"/>
                <w:szCs w:val="20"/>
              </w:rPr>
              <w:t xml:space="preserve"> evaluator’s comment</w:t>
            </w:r>
          </w:p>
        </w:tc>
      </w:tr>
      <w:tr w:rsidR="009B025A" w:rsidRPr="00012483" w14:paraId="7733FF43" w14:textId="77777777" w:rsidTr="00200D8D">
        <w:trPr>
          <w:trHeight w:val="1084"/>
          <w:jc w:val="center"/>
        </w:trPr>
        <w:tc>
          <w:tcPr>
            <w:tcW w:w="1949" w:type="pct"/>
            <w:tcBorders>
              <w:top w:val="single" w:sz="8" w:space="0" w:color="000000" w:themeColor="text1"/>
              <w:left w:val="single" w:sz="8" w:space="0" w:color="000000" w:themeColor="text1"/>
              <w:bottom w:val="single" w:sz="4" w:space="0" w:color="auto"/>
              <w:right w:val="single" w:sz="8" w:space="0" w:color="000000" w:themeColor="text1"/>
            </w:tcBorders>
            <w:noWrap/>
          </w:tcPr>
          <w:p w14:paraId="42CFF35E" w14:textId="11578173" w:rsidR="009B025A" w:rsidRPr="00012483" w:rsidRDefault="00012483" w:rsidP="00012483">
            <w:pPr>
              <w:tabs>
                <w:tab w:val="left" w:pos="142"/>
                <w:tab w:val="left" w:pos="215"/>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42" w:hanging="142"/>
              <w:rPr>
                <w:rFonts w:asciiTheme="minorHAnsi" w:hAnsiTheme="minorHAnsi"/>
                <w:sz w:val="20"/>
              </w:rPr>
            </w:pPr>
            <w:r w:rsidRPr="00012483">
              <w:rPr>
                <w:rFonts w:asciiTheme="minorHAnsi" w:hAnsiTheme="minorHAnsi"/>
                <w:sz w:val="20"/>
              </w:rPr>
              <w:t xml:space="preserve">2. </w:t>
            </w:r>
            <w:r w:rsidR="009B025A" w:rsidRPr="00012483">
              <w:rPr>
                <w:rFonts w:asciiTheme="minorHAnsi" w:hAnsiTheme="minorHAnsi"/>
                <w:sz w:val="20"/>
              </w:rPr>
              <w:t xml:space="preserve">The summary of the Ongoing Safety Concerns as specified in the ASA is only considered acceptable once the important potential risk: ‘Off-label use of the alternative, faster infusion schedule of </w:t>
            </w:r>
            <w:r w:rsidR="00395D39" w:rsidRPr="00012483">
              <w:rPr>
                <w:sz w:val="20"/>
              </w:rPr>
              <w:t>MabThera</w:t>
            </w:r>
            <w:r w:rsidR="00395D39" w:rsidRPr="00012483">
              <w:rPr>
                <w:rFonts w:asciiTheme="minorHAnsi" w:hAnsiTheme="minorHAnsi"/>
                <w:sz w:val="20"/>
              </w:rPr>
              <w:t xml:space="preserve"> </w:t>
            </w:r>
            <w:r w:rsidR="009B025A" w:rsidRPr="00012483">
              <w:rPr>
                <w:rFonts w:asciiTheme="minorHAnsi" w:hAnsiTheme="minorHAnsi"/>
                <w:sz w:val="20"/>
              </w:rPr>
              <w:t>is included as a new ongoing safety concern, which need only be reflected in a revised ASA.</w:t>
            </w:r>
            <w:r w:rsidR="003E57C6" w:rsidRPr="00012483">
              <w:rPr>
                <w:rFonts w:asciiTheme="minorHAnsi" w:hAnsiTheme="minorHAnsi"/>
                <w:sz w:val="20"/>
              </w:rPr>
              <w:t xml:space="preserve"> </w:t>
            </w:r>
            <w:r w:rsidR="009B025A" w:rsidRPr="00012483">
              <w:rPr>
                <w:rFonts w:asciiTheme="minorHAnsi" w:hAnsiTheme="minorHAnsi"/>
                <w:sz w:val="20"/>
              </w:rPr>
              <w:t xml:space="preserve">In addition Section 8: ‘Summary of Safety Concerns’ of the ASA should be corrected to include the important potential risks: ‘Off label use of the SC formulation’ </w:t>
            </w:r>
            <w:r w:rsidR="00395D39" w:rsidRPr="00012483">
              <w:rPr>
                <w:rFonts w:asciiTheme="minorHAnsi" w:hAnsiTheme="minorHAnsi"/>
                <w:sz w:val="20"/>
              </w:rPr>
              <w:t>and</w:t>
            </w:r>
            <w:r w:rsidR="009B025A" w:rsidRPr="00012483">
              <w:rPr>
                <w:rFonts w:asciiTheme="minorHAnsi" w:hAnsiTheme="minorHAnsi"/>
                <w:sz w:val="20"/>
              </w:rPr>
              <w:t xml:space="preserve"> ‘Administration route error’.</w:t>
            </w:r>
          </w:p>
        </w:tc>
        <w:tc>
          <w:tcPr>
            <w:tcW w:w="1606" w:type="pct"/>
            <w:tcBorders>
              <w:top w:val="single" w:sz="8" w:space="0" w:color="000000" w:themeColor="text1"/>
              <w:left w:val="single" w:sz="8" w:space="0" w:color="000000" w:themeColor="text1"/>
              <w:bottom w:val="single" w:sz="4" w:space="0" w:color="auto"/>
              <w:right w:val="single" w:sz="8" w:space="0" w:color="000000" w:themeColor="text1"/>
            </w:tcBorders>
            <w:noWrap/>
          </w:tcPr>
          <w:p w14:paraId="3EB8327E" w14:textId="53D677F9" w:rsidR="009B025A" w:rsidRPr="00012483" w:rsidRDefault="009B025A" w:rsidP="00395D39">
            <w:pPr>
              <w:autoSpaceDE w:val="0"/>
              <w:autoSpaceDN w:val="0"/>
              <w:spacing w:before="0" w:after="0" w:line="240" w:lineRule="auto"/>
              <w:ind w:left="28"/>
              <w:rPr>
                <w:rFonts w:asciiTheme="minorHAnsi" w:hAnsiTheme="minorHAnsi"/>
                <w:sz w:val="20"/>
                <w:szCs w:val="20"/>
              </w:rPr>
            </w:pPr>
            <w:r w:rsidRPr="00012483">
              <w:rPr>
                <w:rFonts w:asciiTheme="minorHAnsi" w:hAnsiTheme="minorHAnsi"/>
                <w:sz w:val="20"/>
                <w:szCs w:val="20"/>
              </w:rPr>
              <w:t>See above</w:t>
            </w:r>
          </w:p>
          <w:p w14:paraId="3B75E158" w14:textId="65C55C87" w:rsidR="009B025A" w:rsidRPr="00012483" w:rsidRDefault="009B025A" w:rsidP="00395D39">
            <w:pPr>
              <w:autoSpaceDE w:val="0"/>
              <w:autoSpaceDN w:val="0"/>
              <w:spacing w:before="0" w:after="0" w:line="240" w:lineRule="auto"/>
              <w:ind w:left="28"/>
              <w:rPr>
                <w:rFonts w:asciiTheme="minorHAnsi" w:hAnsiTheme="minorHAnsi"/>
                <w:sz w:val="20"/>
                <w:szCs w:val="20"/>
              </w:rPr>
            </w:pPr>
          </w:p>
          <w:p w14:paraId="3452B114" w14:textId="5F7B9569" w:rsidR="009B025A" w:rsidRPr="00012483" w:rsidRDefault="009B025A" w:rsidP="00395D39">
            <w:pPr>
              <w:autoSpaceDE w:val="0"/>
              <w:autoSpaceDN w:val="0"/>
              <w:spacing w:before="0" w:after="0" w:line="240" w:lineRule="auto"/>
              <w:ind w:left="28"/>
              <w:rPr>
                <w:rFonts w:asciiTheme="minorHAnsi" w:hAnsiTheme="minorHAnsi"/>
                <w:sz w:val="20"/>
                <w:szCs w:val="20"/>
              </w:rPr>
            </w:pPr>
          </w:p>
          <w:p w14:paraId="63602A60" w14:textId="231FCC57" w:rsidR="009B025A" w:rsidRPr="00012483" w:rsidRDefault="009B025A" w:rsidP="00395D39">
            <w:pPr>
              <w:autoSpaceDE w:val="0"/>
              <w:autoSpaceDN w:val="0"/>
              <w:spacing w:before="0" w:after="0" w:line="240" w:lineRule="auto"/>
              <w:ind w:left="28"/>
              <w:rPr>
                <w:rFonts w:asciiTheme="minorHAnsi" w:hAnsiTheme="minorHAnsi"/>
                <w:sz w:val="20"/>
                <w:szCs w:val="20"/>
              </w:rPr>
            </w:pPr>
          </w:p>
          <w:p w14:paraId="7B46841B" w14:textId="15EEEE5D" w:rsidR="009B025A" w:rsidRPr="00012483" w:rsidRDefault="009B025A" w:rsidP="00395D39">
            <w:pPr>
              <w:autoSpaceDE w:val="0"/>
              <w:autoSpaceDN w:val="0"/>
              <w:spacing w:before="0" w:after="0" w:line="240" w:lineRule="auto"/>
              <w:ind w:left="28"/>
              <w:rPr>
                <w:rFonts w:asciiTheme="minorHAnsi" w:hAnsiTheme="minorHAnsi"/>
                <w:sz w:val="20"/>
                <w:szCs w:val="20"/>
              </w:rPr>
            </w:pPr>
          </w:p>
          <w:p w14:paraId="5B46FAD7" w14:textId="0A3B2793" w:rsidR="009B025A" w:rsidRPr="00012483" w:rsidRDefault="009B025A" w:rsidP="00395D39">
            <w:pPr>
              <w:autoSpaceDE w:val="0"/>
              <w:autoSpaceDN w:val="0"/>
              <w:spacing w:before="0" w:after="0" w:line="240" w:lineRule="auto"/>
              <w:ind w:left="28"/>
              <w:rPr>
                <w:rFonts w:asciiTheme="minorHAnsi" w:hAnsiTheme="minorHAnsi"/>
                <w:sz w:val="20"/>
                <w:szCs w:val="20"/>
              </w:rPr>
            </w:pPr>
          </w:p>
          <w:p w14:paraId="4D11EDD6" w14:textId="1A69F850" w:rsidR="009B025A" w:rsidRPr="00012483" w:rsidRDefault="009B025A" w:rsidP="00395D39">
            <w:pPr>
              <w:autoSpaceDE w:val="0"/>
              <w:autoSpaceDN w:val="0"/>
              <w:spacing w:before="0" w:after="0" w:line="240" w:lineRule="auto"/>
              <w:ind w:left="28"/>
              <w:rPr>
                <w:rFonts w:asciiTheme="minorHAnsi" w:eastAsia="MS Mincho" w:hAnsiTheme="minorHAnsi"/>
                <w:sz w:val="20"/>
                <w:szCs w:val="20"/>
              </w:rPr>
            </w:pPr>
          </w:p>
          <w:p w14:paraId="43DDFB84" w14:textId="6E67DA98" w:rsidR="009B025A" w:rsidRPr="00012483" w:rsidRDefault="009B025A" w:rsidP="00395D39">
            <w:pPr>
              <w:autoSpaceDE w:val="0"/>
              <w:autoSpaceDN w:val="0"/>
              <w:spacing w:before="0" w:after="0" w:line="240" w:lineRule="auto"/>
              <w:ind w:left="28"/>
              <w:rPr>
                <w:rFonts w:asciiTheme="minorHAnsi" w:hAnsiTheme="minorHAnsi"/>
                <w:sz w:val="20"/>
                <w:szCs w:val="20"/>
              </w:rPr>
            </w:pPr>
            <w:r w:rsidRPr="00012483">
              <w:rPr>
                <w:rFonts w:asciiTheme="minorHAnsi" w:eastAsia="MS Mincho" w:hAnsiTheme="minorHAnsi"/>
                <w:sz w:val="20"/>
                <w:szCs w:val="20"/>
              </w:rPr>
              <w:t>The ASA has been updated to include off label use of the SC formulation and Administration Route Error as potential risks.</w:t>
            </w:r>
          </w:p>
        </w:tc>
        <w:tc>
          <w:tcPr>
            <w:tcW w:w="1445" w:type="pct"/>
            <w:tcBorders>
              <w:top w:val="single" w:sz="8" w:space="0" w:color="000000" w:themeColor="text1"/>
              <w:left w:val="single" w:sz="8" w:space="0" w:color="000000" w:themeColor="text1"/>
              <w:bottom w:val="single" w:sz="4" w:space="0" w:color="auto"/>
              <w:right w:val="single" w:sz="8" w:space="0" w:color="000000" w:themeColor="text1"/>
            </w:tcBorders>
            <w:noWrap/>
          </w:tcPr>
          <w:p w14:paraId="3606C973" w14:textId="7BC38C3E" w:rsidR="009B025A" w:rsidRPr="00012483" w:rsidRDefault="009B025A" w:rsidP="00395D39">
            <w:pPr>
              <w:spacing w:before="100" w:beforeAutospacing="1" w:after="100" w:afterAutospacing="1" w:line="240" w:lineRule="auto"/>
              <w:ind w:left="0"/>
              <w:rPr>
                <w:rFonts w:asciiTheme="minorHAnsi" w:eastAsia="MS Mincho" w:hAnsiTheme="minorHAnsi" w:cs="Calibri"/>
                <w:b/>
                <w:color w:val="000000"/>
                <w:sz w:val="20"/>
                <w:szCs w:val="20"/>
              </w:rPr>
            </w:pPr>
            <w:r w:rsidRPr="00012483">
              <w:rPr>
                <w:rFonts w:asciiTheme="minorHAnsi" w:eastAsia="MS Mincho" w:hAnsiTheme="minorHAnsi" w:cs="Calibri"/>
                <w:color w:val="000000"/>
                <w:sz w:val="20"/>
                <w:szCs w:val="20"/>
              </w:rPr>
              <w:t>See above</w:t>
            </w:r>
          </w:p>
          <w:p w14:paraId="3D6B1A18" w14:textId="17E832DE" w:rsidR="009B025A" w:rsidRPr="00012483" w:rsidRDefault="009B025A" w:rsidP="00395D39">
            <w:pPr>
              <w:spacing w:before="100" w:beforeAutospacing="1" w:after="100" w:afterAutospacing="1" w:line="240" w:lineRule="auto"/>
              <w:ind w:left="0"/>
              <w:rPr>
                <w:rFonts w:asciiTheme="minorHAnsi" w:eastAsia="MS Mincho" w:hAnsiTheme="minorHAnsi" w:cs="Calibri"/>
                <w:b/>
                <w:color w:val="000000"/>
                <w:sz w:val="20"/>
                <w:szCs w:val="20"/>
              </w:rPr>
            </w:pPr>
          </w:p>
          <w:p w14:paraId="50D4D1FA" w14:textId="41F42A5E" w:rsidR="009B025A" w:rsidRPr="00012483" w:rsidRDefault="009B025A" w:rsidP="00395D39">
            <w:pPr>
              <w:spacing w:before="100" w:beforeAutospacing="1" w:after="100" w:afterAutospacing="1" w:line="240" w:lineRule="auto"/>
              <w:ind w:left="0"/>
              <w:rPr>
                <w:rFonts w:asciiTheme="minorHAnsi" w:eastAsia="MS Mincho" w:hAnsiTheme="minorHAnsi" w:cs="Calibri"/>
                <w:b/>
                <w:color w:val="000000"/>
                <w:sz w:val="20"/>
                <w:szCs w:val="20"/>
              </w:rPr>
            </w:pPr>
          </w:p>
          <w:p w14:paraId="0F8833B2" w14:textId="4F0A2912" w:rsidR="009B025A" w:rsidRPr="00012483" w:rsidRDefault="009B025A" w:rsidP="00200D8D">
            <w:pPr>
              <w:spacing w:before="100" w:beforeAutospacing="1" w:after="100" w:afterAutospacing="1" w:line="240" w:lineRule="auto"/>
              <w:ind w:left="0"/>
              <w:rPr>
                <w:rFonts w:asciiTheme="minorHAnsi" w:eastAsia="MS Mincho" w:hAnsiTheme="minorHAnsi" w:cs="Calibri"/>
                <w:color w:val="000000"/>
                <w:sz w:val="20"/>
                <w:szCs w:val="20"/>
              </w:rPr>
            </w:pPr>
            <w:r w:rsidRPr="00012483">
              <w:rPr>
                <w:rFonts w:asciiTheme="minorHAnsi" w:eastAsia="MS Mincho" w:hAnsiTheme="minorHAnsi" w:cs="Calibri"/>
                <w:color w:val="000000"/>
                <w:sz w:val="20"/>
                <w:szCs w:val="20"/>
              </w:rPr>
              <w:t>This is acceptable.</w:t>
            </w:r>
          </w:p>
        </w:tc>
      </w:tr>
      <w:tr w:rsidR="009B025A" w:rsidRPr="00012483" w14:paraId="0ECBC91E" w14:textId="77777777" w:rsidTr="00200D8D">
        <w:trPr>
          <w:trHeight w:val="1084"/>
          <w:jc w:val="center"/>
        </w:trPr>
        <w:tc>
          <w:tcPr>
            <w:tcW w:w="1949" w:type="pct"/>
            <w:tcBorders>
              <w:top w:val="single" w:sz="8" w:space="0" w:color="000000" w:themeColor="text1"/>
              <w:left w:val="single" w:sz="8" w:space="0" w:color="000000" w:themeColor="text1"/>
              <w:bottom w:val="single" w:sz="4" w:space="0" w:color="auto"/>
              <w:right w:val="single" w:sz="8" w:space="0" w:color="000000" w:themeColor="text1"/>
            </w:tcBorders>
            <w:noWrap/>
          </w:tcPr>
          <w:p w14:paraId="253F8935" w14:textId="650DD278" w:rsidR="009B025A" w:rsidRPr="00012483" w:rsidRDefault="00012483" w:rsidP="00012483">
            <w:pPr>
              <w:pStyle w:val="ListParagraph"/>
              <w:tabs>
                <w:tab w:val="left" w:pos="142"/>
                <w:tab w:val="left" w:pos="215"/>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42" w:hanging="142"/>
              <w:rPr>
                <w:rFonts w:asciiTheme="minorHAnsi" w:hAnsiTheme="minorHAnsi"/>
                <w:sz w:val="20"/>
              </w:rPr>
            </w:pPr>
            <w:r w:rsidRPr="00012483">
              <w:rPr>
                <w:rFonts w:asciiTheme="minorHAnsi" w:hAnsiTheme="minorHAnsi"/>
                <w:sz w:val="20"/>
              </w:rPr>
              <w:t xml:space="preserve">4. </w:t>
            </w:r>
            <w:r w:rsidR="009B025A" w:rsidRPr="00012483">
              <w:rPr>
                <w:rFonts w:asciiTheme="minorHAnsi" w:hAnsiTheme="minorHAnsi"/>
                <w:sz w:val="20"/>
              </w:rPr>
              <w:t xml:space="preserve">The ‘Potential for Medication Errors and Overdose’ section of the ASA previously accepted for </w:t>
            </w:r>
            <w:r w:rsidR="00395D39" w:rsidRPr="00012483">
              <w:rPr>
                <w:sz w:val="20"/>
              </w:rPr>
              <w:t>MabThera</w:t>
            </w:r>
            <w:r w:rsidR="00395D39" w:rsidRPr="00012483">
              <w:rPr>
                <w:rFonts w:asciiTheme="minorHAnsi" w:hAnsiTheme="minorHAnsi"/>
                <w:sz w:val="20"/>
              </w:rPr>
              <w:t xml:space="preserve"> </w:t>
            </w:r>
            <w:r w:rsidR="009B025A" w:rsidRPr="00012483">
              <w:rPr>
                <w:rFonts w:asciiTheme="minorHAnsi" w:hAnsiTheme="minorHAnsi"/>
                <w:sz w:val="20"/>
              </w:rPr>
              <w:t>has been removed from the updated ASA.</w:t>
            </w:r>
            <w:r w:rsidR="003E57C6" w:rsidRPr="00012483">
              <w:rPr>
                <w:rFonts w:asciiTheme="minorHAnsi" w:hAnsiTheme="minorHAnsi"/>
                <w:sz w:val="20"/>
              </w:rPr>
              <w:t xml:space="preserve"> </w:t>
            </w:r>
            <w:r w:rsidR="009B025A" w:rsidRPr="00012483">
              <w:rPr>
                <w:rFonts w:asciiTheme="minorHAnsi" w:hAnsiTheme="minorHAnsi"/>
                <w:sz w:val="20"/>
              </w:rPr>
              <w:t xml:space="preserve">The </w:t>
            </w:r>
            <w:r w:rsidR="009B025A" w:rsidRPr="00012483">
              <w:rPr>
                <w:rFonts w:asciiTheme="minorHAnsi" w:hAnsiTheme="minorHAnsi"/>
                <w:i/>
                <w:sz w:val="20"/>
              </w:rPr>
              <w:t>Risk Management Plan (RMP) Questions and Answers (Version 1.3, October 2012)</w:t>
            </w:r>
            <w:r w:rsidR="009B025A" w:rsidRPr="00012483">
              <w:rPr>
                <w:rFonts w:asciiTheme="minorHAnsi" w:hAnsiTheme="minorHAnsi"/>
                <w:sz w:val="20"/>
              </w:rPr>
              <w:t xml:space="preserve">, as found on the TGA website, states the ASA should include: </w:t>
            </w:r>
            <w:r w:rsidR="009B025A" w:rsidRPr="00012483">
              <w:rPr>
                <w:rFonts w:asciiTheme="minorHAnsi" w:hAnsiTheme="minorHAnsi"/>
                <w:i/>
                <w:sz w:val="20"/>
              </w:rPr>
              <w:t xml:space="preserve">“Australian information if available, on potential for medication errors or other risks, for example: if an extension of indication or new </w:t>
            </w:r>
            <w:r w:rsidR="009B025A" w:rsidRPr="00012483">
              <w:rPr>
                <w:rFonts w:asciiTheme="minorHAnsi" w:hAnsiTheme="minorHAnsi"/>
                <w:i/>
                <w:sz w:val="20"/>
              </w:rPr>
              <w:lastRenderedPageBreak/>
              <w:t>dosage form is proposed.”</w:t>
            </w:r>
            <w:r w:rsidR="003E57C6" w:rsidRPr="00012483">
              <w:rPr>
                <w:rFonts w:asciiTheme="minorHAnsi" w:hAnsiTheme="minorHAnsi"/>
                <w:sz w:val="20"/>
              </w:rPr>
              <w:t xml:space="preserve"> </w:t>
            </w:r>
            <w:r w:rsidR="009B025A" w:rsidRPr="00012483">
              <w:rPr>
                <w:rFonts w:asciiTheme="minorHAnsi" w:hAnsiTheme="minorHAnsi"/>
                <w:sz w:val="20"/>
              </w:rPr>
              <w:t xml:space="preserve">Consequently the sponsor should reinstate such a section in a revised ASA, which relates to the important potential risks: ‘Off label use of the SC formulation’ </w:t>
            </w:r>
            <w:r w:rsidR="00395D39" w:rsidRPr="00012483">
              <w:rPr>
                <w:rFonts w:asciiTheme="minorHAnsi" w:hAnsiTheme="minorHAnsi"/>
                <w:sz w:val="20"/>
              </w:rPr>
              <w:t>and</w:t>
            </w:r>
            <w:r w:rsidR="009B025A" w:rsidRPr="00012483">
              <w:rPr>
                <w:rFonts w:asciiTheme="minorHAnsi" w:hAnsiTheme="minorHAnsi"/>
                <w:sz w:val="20"/>
              </w:rPr>
              <w:t xml:space="preserve"> ‘Administration route error’.</w:t>
            </w:r>
          </w:p>
        </w:tc>
        <w:tc>
          <w:tcPr>
            <w:tcW w:w="1606" w:type="pct"/>
            <w:tcBorders>
              <w:top w:val="single" w:sz="8" w:space="0" w:color="000000" w:themeColor="text1"/>
              <w:left w:val="single" w:sz="8" w:space="0" w:color="000000" w:themeColor="text1"/>
              <w:bottom w:val="single" w:sz="4" w:space="0" w:color="auto"/>
              <w:right w:val="single" w:sz="8" w:space="0" w:color="000000" w:themeColor="text1"/>
            </w:tcBorders>
            <w:noWrap/>
          </w:tcPr>
          <w:p w14:paraId="117F8C80" w14:textId="7C1CD625" w:rsidR="009B025A" w:rsidRPr="00012483" w:rsidRDefault="009B025A" w:rsidP="00395D39">
            <w:pPr>
              <w:autoSpaceDE w:val="0"/>
              <w:autoSpaceDN w:val="0"/>
              <w:spacing w:before="0" w:after="0" w:line="240" w:lineRule="auto"/>
              <w:ind w:left="28"/>
              <w:rPr>
                <w:rFonts w:asciiTheme="minorHAnsi" w:hAnsiTheme="minorHAnsi"/>
                <w:sz w:val="20"/>
                <w:szCs w:val="20"/>
              </w:rPr>
            </w:pPr>
            <w:r w:rsidRPr="00012483">
              <w:rPr>
                <w:rFonts w:asciiTheme="minorHAnsi" w:eastAsia="MS Mincho" w:hAnsiTheme="minorHAnsi"/>
                <w:color w:val="000000"/>
                <w:sz w:val="20"/>
                <w:szCs w:val="20"/>
              </w:rPr>
              <w:lastRenderedPageBreak/>
              <w:t>Information on the “Potential for Medication</w:t>
            </w:r>
            <w:r w:rsidR="00395D39" w:rsidRPr="00012483">
              <w:rPr>
                <w:rFonts w:asciiTheme="minorHAnsi" w:eastAsia="MS Mincho" w:hAnsiTheme="minorHAnsi"/>
                <w:color w:val="000000"/>
                <w:sz w:val="20"/>
                <w:szCs w:val="20"/>
              </w:rPr>
              <w:t xml:space="preserve"> </w:t>
            </w:r>
            <w:r w:rsidRPr="00012483">
              <w:rPr>
                <w:rFonts w:asciiTheme="minorHAnsi" w:eastAsia="MS Mincho" w:hAnsiTheme="minorHAnsi"/>
                <w:color w:val="000000"/>
                <w:sz w:val="20"/>
                <w:szCs w:val="20"/>
              </w:rPr>
              <w:t xml:space="preserve">Errors and Overdose” in relation to the important potential risks of </w:t>
            </w:r>
            <w:r w:rsidRPr="00012483">
              <w:rPr>
                <w:rFonts w:asciiTheme="minorHAnsi" w:eastAsia="MS Mincho" w:hAnsiTheme="minorHAnsi"/>
                <w:color w:val="222222"/>
                <w:sz w:val="20"/>
                <w:szCs w:val="20"/>
              </w:rPr>
              <w:t xml:space="preserve">‘Off label use of the SC formulation’ </w:t>
            </w:r>
            <w:r w:rsidR="00395D39" w:rsidRPr="00012483">
              <w:rPr>
                <w:rFonts w:asciiTheme="minorHAnsi" w:eastAsia="MS Mincho" w:hAnsiTheme="minorHAnsi"/>
                <w:color w:val="222222"/>
                <w:sz w:val="20"/>
                <w:szCs w:val="20"/>
              </w:rPr>
              <w:t>and</w:t>
            </w:r>
            <w:r w:rsidRPr="00012483">
              <w:rPr>
                <w:rFonts w:asciiTheme="minorHAnsi" w:eastAsia="MS Mincho" w:hAnsiTheme="minorHAnsi"/>
                <w:color w:val="222222"/>
                <w:sz w:val="20"/>
                <w:szCs w:val="20"/>
              </w:rPr>
              <w:t xml:space="preserve"> ‘Administration route error’, has been reinstated in the ASA.</w:t>
            </w:r>
          </w:p>
        </w:tc>
        <w:tc>
          <w:tcPr>
            <w:tcW w:w="1445" w:type="pct"/>
            <w:tcBorders>
              <w:top w:val="single" w:sz="8" w:space="0" w:color="000000" w:themeColor="text1"/>
              <w:left w:val="single" w:sz="8" w:space="0" w:color="000000" w:themeColor="text1"/>
              <w:bottom w:val="single" w:sz="4" w:space="0" w:color="auto"/>
              <w:right w:val="single" w:sz="8" w:space="0" w:color="000000" w:themeColor="text1"/>
            </w:tcBorders>
            <w:noWrap/>
          </w:tcPr>
          <w:p w14:paraId="653DCC19" w14:textId="39B4EBC3" w:rsidR="009B025A" w:rsidRPr="00012483" w:rsidRDefault="009B025A" w:rsidP="00395D39">
            <w:pPr>
              <w:spacing w:before="100" w:beforeAutospacing="1" w:after="100" w:afterAutospacing="1" w:line="240" w:lineRule="auto"/>
              <w:ind w:left="0"/>
              <w:rPr>
                <w:rFonts w:asciiTheme="minorHAnsi" w:eastAsia="MS Mincho" w:hAnsiTheme="minorHAnsi" w:cs="Calibri"/>
                <w:color w:val="000000"/>
                <w:sz w:val="20"/>
                <w:szCs w:val="20"/>
              </w:rPr>
            </w:pPr>
            <w:r w:rsidRPr="00012483">
              <w:rPr>
                <w:rFonts w:asciiTheme="minorHAnsi" w:eastAsia="MS Mincho" w:hAnsiTheme="minorHAnsi" w:cs="Calibri"/>
                <w:color w:val="000000"/>
                <w:sz w:val="20"/>
                <w:szCs w:val="20"/>
              </w:rPr>
              <w:t>This is acceptable.</w:t>
            </w:r>
          </w:p>
        </w:tc>
      </w:tr>
      <w:tr w:rsidR="009B025A" w:rsidRPr="00107999" w14:paraId="7D9BC629" w14:textId="77777777" w:rsidTr="00200D8D">
        <w:trPr>
          <w:trHeight w:val="1720"/>
          <w:jc w:val="center"/>
        </w:trPr>
        <w:tc>
          <w:tcPr>
            <w:tcW w:w="194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D0A67A1" w14:textId="5B777A6A" w:rsidR="009B025A" w:rsidRPr="00012483" w:rsidRDefault="00012483" w:rsidP="00012483">
            <w:pPr>
              <w:tabs>
                <w:tab w:val="left" w:pos="142"/>
                <w:tab w:val="left" w:pos="215"/>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42" w:hanging="142"/>
              <w:rPr>
                <w:rFonts w:asciiTheme="minorHAnsi" w:hAnsiTheme="minorHAnsi"/>
                <w:sz w:val="20"/>
              </w:rPr>
            </w:pPr>
            <w:r>
              <w:rPr>
                <w:rFonts w:asciiTheme="minorHAnsi" w:hAnsiTheme="minorHAnsi"/>
                <w:sz w:val="20"/>
              </w:rPr>
              <w:lastRenderedPageBreak/>
              <w:t>8</w:t>
            </w:r>
            <w:r w:rsidRPr="00012483">
              <w:rPr>
                <w:rFonts w:asciiTheme="minorHAnsi" w:hAnsiTheme="minorHAnsi"/>
                <w:sz w:val="20"/>
              </w:rPr>
              <w:t xml:space="preserve">. </w:t>
            </w:r>
            <w:r w:rsidR="009B025A" w:rsidRPr="00012483">
              <w:rPr>
                <w:rFonts w:asciiTheme="minorHAnsi" w:hAnsiTheme="minorHAnsi"/>
                <w:sz w:val="20"/>
              </w:rPr>
              <w:t xml:space="preserve">There are no objections to changes to the distribution plan of the additional risk minimisation activities for the important potential risks: ‘Off label use of the SC formulation’ </w:t>
            </w:r>
            <w:r w:rsidR="00E47464" w:rsidRPr="00012483">
              <w:rPr>
                <w:rFonts w:asciiTheme="minorHAnsi" w:hAnsiTheme="minorHAnsi"/>
                <w:sz w:val="20"/>
              </w:rPr>
              <w:t>and</w:t>
            </w:r>
            <w:r w:rsidR="009B025A" w:rsidRPr="00012483">
              <w:rPr>
                <w:rFonts w:asciiTheme="minorHAnsi" w:hAnsiTheme="minorHAnsi"/>
                <w:sz w:val="20"/>
              </w:rPr>
              <w:t xml:space="preserve"> ‘Administration route error’ to what was previously accepted for </w:t>
            </w:r>
            <w:r w:rsidR="00E47464" w:rsidRPr="00012483">
              <w:rPr>
                <w:sz w:val="20"/>
              </w:rPr>
              <w:t>MabThera</w:t>
            </w:r>
            <w:r w:rsidR="009B025A" w:rsidRPr="00012483">
              <w:rPr>
                <w:rFonts w:asciiTheme="minorHAnsi" w:hAnsiTheme="minorHAnsi"/>
                <w:sz w:val="20"/>
              </w:rPr>
              <w:t>.</w:t>
            </w:r>
            <w:r w:rsidR="003E57C6" w:rsidRPr="00012483">
              <w:rPr>
                <w:rFonts w:asciiTheme="minorHAnsi" w:hAnsiTheme="minorHAnsi"/>
                <w:sz w:val="20"/>
              </w:rPr>
              <w:t xml:space="preserve"> </w:t>
            </w:r>
            <w:r w:rsidR="009B025A" w:rsidRPr="00012483">
              <w:rPr>
                <w:rFonts w:asciiTheme="minorHAnsi" w:hAnsiTheme="minorHAnsi"/>
                <w:sz w:val="20"/>
              </w:rPr>
              <w:t>Nevertheless such detail should be captured in a revised ASA.</w:t>
            </w:r>
          </w:p>
        </w:tc>
        <w:tc>
          <w:tcPr>
            <w:tcW w:w="160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3367849" w14:textId="3A66F59F" w:rsidR="009B025A" w:rsidRPr="00012483" w:rsidRDefault="009B025A" w:rsidP="00E47464">
            <w:pPr>
              <w:autoSpaceDE w:val="0"/>
              <w:autoSpaceDN w:val="0"/>
              <w:spacing w:before="0" w:after="0" w:line="240" w:lineRule="auto"/>
              <w:ind w:left="28"/>
              <w:rPr>
                <w:rFonts w:asciiTheme="minorHAnsi" w:hAnsiTheme="minorHAnsi"/>
                <w:sz w:val="20"/>
                <w:szCs w:val="20"/>
              </w:rPr>
            </w:pPr>
            <w:r w:rsidRPr="00012483">
              <w:rPr>
                <w:rFonts w:asciiTheme="minorHAnsi" w:hAnsiTheme="minorHAnsi"/>
                <w:sz w:val="20"/>
                <w:szCs w:val="20"/>
              </w:rPr>
              <w:t>The ASA has been updated accordingly.</w:t>
            </w:r>
            <w:r w:rsidR="003E57C6" w:rsidRPr="00012483">
              <w:rPr>
                <w:sz w:val="20"/>
                <w:szCs w:val="20"/>
              </w:rPr>
              <w:t xml:space="preserve"> </w:t>
            </w:r>
            <w:r w:rsidRPr="00012483">
              <w:rPr>
                <w:rFonts w:asciiTheme="minorHAnsi" w:eastAsia="MS Mincho" w:hAnsiTheme="minorHAnsi" w:cs="TimesNewRoman"/>
                <w:sz w:val="20"/>
                <w:szCs w:val="20"/>
              </w:rPr>
              <w:t xml:space="preserve"> </w:t>
            </w:r>
          </w:p>
        </w:tc>
        <w:tc>
          <w:tcPr>
            <w:tcW w:w="144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BB15878" w14:textId="31D51B1D" w:rsidR="009B025A" w:rsidRPr="00012483" w:rsidRDefault="009B025A" w:rsidP="00395D39">
            <w:pPr>
              <w:spacing w:before="100" w:beforeAutospacing="1" w:after="100" w:afterAutospacing="1" w:line="240" w:lineRule="auto"/>
              <w:ind w:left="0"/>
              <w:rPr>
                <w:rFonts w:asciiTheme="minorHAnsi" w:hAnsiTheme="minorHAnsi"/>
                <w:sz w:val="20"/>
                <w:szCs w:val="20"/>
              </w:rPr>
            </w:pPr>
            <w:r w:rsidRPr="00012483">
              <w:rPr>
                <w:rFonts w:asciiTheme="minorHAnsi" w:eastAsia="MS Mincho" w:hAnsiTheme="minorHAnsi" w:cs="TimesNewRoman"/>
                <w:sz w:val="20"/>
                <w:szCs w:val="20"/>
              </w:rPr>
              <w:t>This is acceptable.</w:t>
            </w:r>
          </w:p>
        </w:tc>
      </w:tr>
    </w:tbl>
    <w:p w14:paraId="5C0E198A" w14:textId="0325ABF8"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14:paraId="23F6ACB5" w14:textId="0248E078" w:rsidR="009B025A" w:rsidRDefault="009B025A" w:rsidP="009B025A">
      <w:bookmarkStart w:id="97" w:name="_Toc314842510"/>
      <w:r>
        <w:t>It is considered that the sponsor’s response to the TGA</w:t>
      </w:r>
      <w:r w:rsidR="00E47464">
        <w:t>’s consolidated</w:t>
      </w:r>
      <w:r>
        <w:t xml:space="preserve"> </w:t>
      </w:r>
      <w:r w:rsidR="00E47464">
        <w:t>r</w:t>
      </w:r>
      <w:r>
        <w:t xml:space="preserve">equest </w:t>
      </w:r>
      <w:r w:rsidR="00E47464">
        <w:t xml:space="preserve">for further information </w:t>
      </w:r>
      <w:r>
        <w:t>has not adequately addressed all of the issues identified in the RMP evaluation report.</w:t>
      </w:r>
    </w:p>
    <w:p w14:paraId="494C72F8" w14:textId="40D7FD3D" w:rsidR="009B025A" w:rsidRDefault="009B025A" w:rsidP="00D108D6">
      <w:pPr>
        <w:pStyle w:val="Heading5"/>
      </w:pPr>
      <w:r>
        <w:t>Outstanding issues</w:t>
      </w:r>
    </w:p>
    <w:p w14:paraId="14E37E6C" w14:textId="391AD5FE" w:rsidR="009B025A" w:rsidRDefault="009B025A" w:rsidP="00D108D6">
      <w:pPr>
        <w:pStyle w:val="Heading6"/>
      </w:pPr>
      <w:r>
        <w:t>Issues in relation to the RMP</w:t>
      </w:r>
    </w:p>
    <w:p w14:paraId="76759F0B" w14:textId="58041D8F" w:rsidR="009B025A" w:rsidRDefault="009B025A" w:rsidP="00EC4CC0">
      <w:r>
        <w:t xml:space="preserve">The Clinical Evaluation Report for </w:t>
      </w:r>
      <w:r w:rsidR="00E47464">
        <w:t xml:space="preserve">MabThera </w:t>
      </w:r>
      <w:r>
        <w:t xml:space="preserve">stated: </w:t>
      </w:r>
      <w:r>
        <w:rPr>
          <w:i/>
        </w:rPr>
        <w:t>“In the opinion of the Evaluator, off-label use of the new rapid infusion is also an Important Potential Risk.”</w:t>
      </w:r>
      <w:r w:rsidR="003E57C6">
        <w:t xml:space="preserve"> </w:t>
      </w:r>
      <w:r>
        <w:t>It was acknowledged that appropriate routine risk minimisation was already applied to the ongoing safety concern</w:t>
      </w:r>
      <w:r>
        <w:rPr>
          <w:i/>
        </w:rPr>
        <w:t xml:space="preserve"> </w:t>
      </w:r>
      <w:r>
        <w:t>of off-label use of the new rapid infusion.</w:t>
      </w:r>
      <w:r w:rsidR="003E57C6">
        <w:t xml:space="preserve"> </w:t>
      </w:r>
      <w:r>
        <w:t xml:space="preserve">Nevertheless to ensure that it is appropriately monitored by routine pharmacovigilance it was reiterated to the sponsor that ‘Off-label use of the alternative, faster infusion schedule of </w:t>
      </w:r>
      <w:r w:rsidR="00E47464">
        <w:t xml:space="preserve">MabThera </w:t>
      </w:r>
      <w:r>
        <w:t>should be included as an important potential risk, which need only be reflected in a revised ASA.</w:t>
      </w:r>
      <w:r w:rsidR="003E57C6">
        <w:t xml:space="preserve"> </w:t>
      </w:r>
      <w:r>
        <w:t>Consequently the summary of the Ongoing Safety Concerns as specified in the ASA would only be considered acceptable once the important potential risk: ‘Off-label use of the alternative, faster infusion schedule of MABTHERA’ was included as a new ongoing safety concern, which need only be reflected in a revised ASA.</w:t>
      </w:r>
      <w:r w:rsidR="003E57C6">
        <w:t xml:space="preserve"> </w:t>
      </w:r>
      <w:r>
        <w:t>In response the sponsor has simply restated its position that it c</w:t>
      </w:r>
      <w:r>
        <w:rPr>
          <w:rFonts w:eastAsia="MS Mincho"/>
          <w:color w:val="000000"/>
          <w:lang w:eastAsia="en-AU"/>
        </w:rPr>
        <w:t xml:space="preserve">onsiders </w:t>
      </w:r>
      <w:r>
        <w:rPr>
          <w:rFonts w:eastAsia="MS Mincho"/>
          <w:color w:val="222222"/>
          <w:lang w:eastAsia="en-AU"/>
        </w:rPr>
        <w:t>off-label administration of a faster rate of infusion, in itself, does not represent an important risk for patients and therefore it is not included in the updated ASA.</w:t>
      </w:r>
      <w:r w:rsidR="003E57C6">
        <w:rPr>
          <w:rFonts w:eastAsia="MS Mincho"/>
          <w:color w:val="222222"/>
          <w:lang w:eastAsia="en-AU"/>
        </w:rPr>
        <w:t xml:space="preserve"> </w:t>
      </w:r>
      <w:r>
        <w:rPr>
          <w:rFonts w:eastAsia="MS Mincho"/>
          <w:color w:val="222222"/>
          <w:lang w:eastAsia="en-AU"/>
        </w:rPr>
        <w:t>Consequently this remains an outstanding issue and the ASA should be revised accordingly before this application is approved.</w:t>
      </w:r>
    </w:p>
    <w:p w14:paraId="1963507A" w14:textId="68C17E07" w:rsidR="009B025A" w:rsidRPr="00E47464" w:rsidRDefault="009B025A" w:rsidP="00EC4CC0">
      <w:r>
        <w:t>It was acknowledged that the sponsor has provided a tabular summary of the ‘Studies referenced in the RMP’ in the ASA but not all of these additional pharmacovigilance activities have had anticipated dates for their submission in Australia annotated.</w:t>
      </w:r>
      <w:r w:rsidR="003E57C6">
        <w:t xml:space="preserve"> </w:t>
      </w:r>
      <w:r>
        <w:t>Given such information has been provided in the EU-RMP in relation to the EU, the sponsor was asked to correct this oversight in a revised ASA.</w:t>
      </w:r>
      <w:r w:rsidR="003E57C6">
        <w:t xml:space="preserve"> </w:t>
      </w:r>
      <w:r>
        <w:t xml:space="preserve">The sponsor has stated: </w:t>
      </w:r>
      <w:r>
        <w:rPr>
          <w:i/>
        </w:rPr>
        <w:t>“</w:t>
      </w:r>
      <w:r w:rsidRPr="00E47464">
        <w:rPr>
          <w:rFonts w:eastAsia="MS Mincho"/>
          <w:i/>
          <w:lang w:eastAsia="en-AU"/>
        </w:rPr>
        <w:t xml:space="preserve">The availability of data in Australia is by default linked to the dates provided in the EU RMP.” </w:t>
      </w:r>
      <w:r w:rsidRPr="00E47464">
        <w:rPr>
          <w:rFonts w:eastAsia="MS Mincho"/>
          <w:lang w:eastAsia="en-AU"/>
        </w:rPr>
        <w:t>and</w:t>
      </w:r>
      <w:r w:rsidRPr="00E47464">
        <w:rPr>
          <w:rFonts w:eastAsia="MS Mincho"/>
          <w:i/>
          <w:lang w:eastAsia="en-AU"/>
        </w:rPr>
        <w:t xml:space="preserve"> “If changes to the Australian PI are warranted as a result of availability of new data, an appropriate Safety Related Request or Category I submission will be made, accompanied by the relevant study report.”</w:t>
      </w:r>
      <w:r w:rsidR="003E57C6" w:rsidRPr="00E47464">
        <w:rPr>
          <w:rFonts w:eastAsia="MS Mincho"/>
          <w:lang w:eastAsia="en-AU"/>
        </w:rPr>
        <w:t xml:space="preserve"> </w:t>
      </w:r>
      <w:r w:rsidRPr="00E47464">
        <w:rPr>
          <w:rFonts w:eastAsia="MS Mincho"/>
          <w:lang w:eastAsia="en-AU"/>
        </w:rPr>
        <w:t>The sponsor should include these assurances in a revised ASA before this application is approved.</w:t>
      </w:r>
    </w:p>
    <w:p w14:paraId="7B2284F8" w14:textId="77777777" w:rsidR="00FC4A5D" w:rsidRDefault="009B025A" w:rsidP="00EC4CC0">
      <w:pPr>
        <w:rPr>
          <w:color w:val="000000"/>
        </w:rPr>
      </w:pPr>
      <w:r>
        <w:rPr>
          <w:lang w:eastAsia="en-AU"/>
        </w:rPr>
        <w:lastRenderedPageBreak/>
        <w:t>The sponsor was advised that t</w:t>
      </w:r>
      <w:r>
        <w:t xml:space="preserve">here appeared to be a lack of detailed information in either the EU-RMP or the ASA in regard to the communication/distribution plan for the </w:t>
      </w:r>
      <w:r w:rsidR="00E47464">
        <w:t>Health Care Professional (</w:t>
      </w:r>
      <w:r>
        <w:t>HCP</w:t>
      </w:r>
      <w:r w:rsidR="00E47464">
        <w:t>)</w:t>
      </w:r>
      <w:r>
        <w:t xml:space="preserve"> educational materials related to the important identified risk: ‘Infusion related reactions’ (RA and GPA/MPA indications only).</w:t>
      </w:r>
      <w:r w:rsidR="003E57C6">
        <w:t xml:space="preserve"> </w:t>
      </w:r>
      <w:r>
        <w:t xml:space="preserve">Consequently it was difficult to assess the adequacy of relying upon </w:t>
      </w:r>
      <w:r>
        <w:rPr>
          <w:color w:val="000000"/>
        </w:rPr>
        <w:t xml:space="preserve">data from spontaneous </w:t>
      </w:r>
      <w:r w:rsidR="00E47464">
        <w:rPr>
          <w:color w:val="000000"/>
        </w:rPr>
        <w:t>adverse drug reactions (</w:t>
      </w:r>
      <w:r>
        <w:rPr>
          <w:color w:val="000000"/>
        </w:rPr>
        <w:t>ADR</w:t>
      </w:r>
      <w:r w:rsidR="00E47464">
        <w:rPr>
          <w:color w:val="000000"/>
        </w:rPr>
        <w:t>)</w:t>
      </w:r>
      <w:r>
        <w:rPr>
          <w:color w:val="000000"/>
        </w:rPr>
        <w:t xml:space="preserve"> reporting to measure the effectiveness of the proposed additional risk minimisation activities.</w:t>
      </w:r>
      <w:r w:rsidR="003E57C6">
        <w:rPr>
          <w:color w:val="000000"/>
        </w:rPr>
        <w:t xml:space="preserve"> </w:t>
      </w:r>
      <w:r>
        <w:rPr>
          <w:color w:val="000000"/>
        </w:rPr>
        <w:t>It is also unclear as to whether patient educational materials are included in this battery.</w:t>
      </w:r>
      <w:r w:rsidR="003E57C6">
        <w:rPr>
          <w:color w:val="000000"/>
        </w:rPr>
        <w:t xml:space="preserve"> </w:t>
      </w:r>
      <w:r>
        <w:rPr>
          <w:color w:val="000000"/>
        </w:rPr>
        <w:t xml:space="preserve">Consequently the sponsor was asked to provide such detailed information relating to </w:t>
      </w:r>
      <w:r>
        <w:t xml:space="preserve">the </w:t>
      </w:r>
      <w:r>
        <w:rPr>
          <w:color w:val="000000"/>
        </w:rPr>
        <w:t xml:space="preserve">proposed additional risk minimisation activities for the </w:t>
      </w:r>
      <w:r>
        <w:t xml:space="preserve">important identified risk: ‘Infusion related reactions’ (RA and GPA/MPA indications only) in a revised ASA, including compelling justification for relying upon </w:t>
      </w:r>
      <w:r>
        <w:rPr>
          <w:color w:val="000000"/>
        </w:rPr>
        <w:t>data from spontaneous ADR reporting to measure the effectiveness of these activities</w:t>
      </w:r>
      <w:r w:rsidR="00FC4A5D">
        <w:rPr>
          <w:color w:val="000000"/>
        </w:rPr>
        <w:t>.</w:t>
      </w:r>
    </w:p>
    <w:p w14:paraId="113E1C43" w14:textId="77777777" w:rsidR="00FC4A5D" w:rsidRDefault="009B025A" w:rsidP="00EC4CC0">
      <w:pPr>
        <w:rPr>
          <w:color w:val="000000"/>
        </w:rPr>
      </w:pPr>
      <w:r>
        <w:rPr>
          <w:color w:val="000000"/>
        </w:rPr>
        <w:t xml:space="preserve">Similarly </w:t>
      </w:r>
      <w:r>
        <w:rPr>
          <w:lang w:eastAsia="en-AU"/>
        </w:rPr>
        <w:t>the sponsor was advised that t</w:t>
      </w:r>
      <w:r>
        <w:t>here appeared to be a lack of detailed information in the ASA in regard to the communication/distribution plan for the HCP and patient educational materials, as distinct from the Patient Alert Card, related to the important identified risk: ‘Infections’ (RA and GPA/MPA indications only).</w:t>
      </w:r>
      <w:r w:rsidR="003E57C6">
        <w:t xml:space="preserve"> </w:t>
      </w:r>
      <w:r>
        <w:t>Criteria for judging the success of these proposed additional risk minimisation measures also appears to be missing from both the EU-RMP and the ASA.</w:t>
      </w:r>
      <w:r w:rsidR="003E57C6">
        <w:t xml:space="preserve"> </w:t>
      </w:r>
      <w:r>
        <w:rPr>
          <w:color w:val="000000"/>
        </w:rPr>
        <w:t xml:space="preserve">Consequently the sponsor was asked to provide such detailed information relating to </w:t>
      </w:r>
      <w:r>
        <w:t xml:space="preserve">the </w:t>
      </w:r>
      <w:r>
        <w:rPr>
          <w:color w:val="000000"/>
        </w:rPr>
        <w:t xml:space="preserve">proposed additional risk minimisation activities for the </w:t>
      </w:r>
      <w:r>
        <w:t xml:space="preserve">important identified risk: ‘Infections’ (RA and GPA/MPA indications only) in a revised ASA, including compelling justification for relying upon </w:t>
      </w:r>
      <w:r>
        <w:rPr>
          <w:color w:val="000000"/>
        </w:rPr>
        <w:t>data from spontaneous ADR reporting to measure the effectiveness of these activities if so suggested</w:t>
      </w:r>
      <w:r w:rsidR="00FC4A5D">
        <w:rPr>
          <w:color w:val="000000"/>
        </w:rPr>
        <w:t>.</w:t>
      </w:r>
    </w:p>
    <w:p w14:paraId="463E2893" w14:textId="76540B30" w:rsidR="00E47464" w:rsidRDefault="009B025A" w:rsidP="00EC4CC0">
      <w:pPr>
        <w:rPr>
          <w:rFonts w:eastAsia="MS Mincho"/>
          <w:lang w:eastAsia="en-AU"/>
        </w:rPr>
      </w:pPr>
      <w:r>
        <w:rPr>
          <w:color w:val="000000"/>
        </w:rPr>
        <w:t>Finally the sponsor was asked to attach c</w:t>
      </w:r>
      <w:r>
        <w:t xml:space="preserve">opies of the draft HCP and patient educational material for the important identified risks: ‘Infusion related reactions’ </w:t>
      </w:r>
      <w:r w:rsidR="00E47464">
        <w:t>and</w:t>
      </w:r>
      <w:r>
        <w:t xml:space="preserve"> ‘Infections’ and the Patient Alert Card for the important identified risk: ‘Infections’ to a revised ASA.</w:t>
      </w:r>
      <w:r w:rsidR="003E57C6">
        <w:t xml:space="preserve"> </w:t>
      </w:r>
      <w:r>
        <w:t>If these are not yet available, the sponsor was asked to provide an assurance that they will be provided to the TGA once they become available.</w:t>
      </w:r>
      <w:r w:rsidR="003E57C6">
        <w:t xml:space="preserve"> </w:t>
      </w:r>
      <w:r>
        <w:t xml:space="preserve">The sponsor states: </w:t>
      </w:r>
      <w:r>
        <w:rPr>
          <w:i/>
        </w:rPr>
        <w:t>“</w:t>
      </w:r>
      <w:r>
        <w:rPr>
          <w:rFonts w:eastAsia="MS Mincho"/>
          <w:i/>
          <w:lang w:eastAsia="en-AU"/>
        </w:rPr>
        <w:t>With the update of the EU RMP from version 9.1 to 9.4, additional EU risk minimisation measures for “Infusion Related Reactions” and “Infection (non-oncology indications)” were listed. Educational materials addressing these risks have been in place for a long time in the EU, commensurate with the fact that Infusion Related Reactions and Infection have been longstanding identified risks however, changes to the new EU RMP template resulted in these now being listed in EU RMP v9.4 as risk minimisation measures. In Australia, RA focused educational materials for patients and health care providers have been in existence since at least 2007. The materials currently available (Patient Information for MabThera and Infusion guidelines for HealthCare Professionals) incorporate information regarding infusion related reactions and infections. These materials are however broader educational / promotional materials rather than specific risk minimisation measures to manage the well-established risks of Infusion Related Reactions and Infections.”</w:t>
      </w:r>
      <w:r>
        <w:rPr>
          <w:rFonts w:eastAsia="MS Mincho"/>
          <w:lang w:eastAsia="en-AU"/>
        </w:rPr>
        <w:t xml:space="preserve"> and </w:t>
      </w:r>
      <w:r>
        <w:rPr>
          <w:rFonts w:eastAsia="MS Mincho"/>
          <w:i/>
          <w:lang w:eastAsia="en-AU"/>
        </w:rPr>
        <w:t>“We therefore consider that additional, specific, educational risk minimisation measures are not necessary, especially since these risks have been established for a long time. Accordingly, the ASA has been updated to remove the statements in Section 10 of the ASA that “Similar educational materials are employed in Australia” so that there is no implication that available educational / promotional materials in Australia are specific risk minimisation measures to address these risks.”</w:t>
      </w:r>
      <w:r w:rsidR="003E57C6">
        <w:rPr>
          <w:rFonts w:eastAsia="MS Mincho"/>
          <w:lang w:eastAsia="en-AU"/>
        </w:rPr>
        <w:t xml:space="preserve"> </w:t>
      </w:r>
    </w:p>
    <w:p w14:paraId="59A766D8" w14:textId="35D046FB" w:rsidR="009B025A" w:rsidRDefault="009B025A" w:rsidP="005473DD">
      <w:pPr>
        <w:rPr>
          <w:lang w:eastAsia="en-AU"/>
        </w:rPr>
      </w:pPr>
      <w:r>
        <w:rPr>
          <w:rFonts w:eastAsia="MS Mincho"/>
          <w:lang w:eastAsia="en-AU"/>
        </w:rPr>
        <w:t xml:space="preserve">This response is considered to be inadequate as it makes no attempt to compare what risk minimisation activities included in previously submitted RMP documentation were accepted for </w:t>
      </w:r>
      <w:r w:rsidR="00E47464">
        <w:t>MabThera</w:t>
      </w:r>
      <w:r w:rsidR="00E47464">
        <w:rPr>
          <w:rFonts w:eastAsia="MS Mincho"/>
          <w:lang w:eastAsia="en-AU"/>
        </w:rPr>
        <w:t xml:space="preserve"> </w:t>
      </w:r>
      <w:r>
        <w:rPr>
          <w:rFonts w:eastAsia="MS Mincho"/>
          <w:lang w:eastAsia="en-AU"/>
        </w:rPr>
        <w:t>prior to the EU-RMP Version: 9.4.</w:t>
      </w:r>
      <w:r w:rsidR="003E57C6">
        <w:rPr>
          <w:rFonts w:eastAsia="MS Mincho"/>
          <w:lang w:eastAsia="en-AU"/>
        </w:rPr>
        <w:t xml:space="preserve"> </w:t>
      </w:r>
      <w:r>
        <w:rPr>
          <w:rFonts w:eastAsia="MS Mincho"/>
          <w:lang w:eastAsia="en-AU"/>
        </w:rPr>
        <w:t>In addition the tabular summary in Section 11: ‘</w:t>
      </w:r>
      <w:r>
        <w:rPr>
          <w:rFonts w:eastAsia="MS Mincho"/>
          <w:bCs/>
          <w:iCs/>
          <w:lang w:eastAsia="en-AU"/>
        </w:rPr>
        <w:t xml:space="preserve">Risk Minimisation Activities (RMinA)’ of the updated ASA does not identify and </w:t>
      </w:r>
      <w:r>
        <w:t xml:space="preserve">provide reasons for </w:t>
      </w:r>
      <w:r>
        <w:rPr>
          <w:iCs/>
        </w:rPr>
        <w:t xml:space="preserve">any differences between the EU-RMP and the local implementation of risk management activities – in this instance for </w:t>
      </w:r>
      <w:r>
        <w:t xml:space="preserve">the important identified risks: ‘Infusion related reactions’ </w:t>
      </w:r>
      <w:r w:rsidR="00E47464">
        <w:t>and</w:t>
      </w:r>
      <w:r>
        <w:t xml:space="preserve"> ‘Infections’ (RA and GPA/MPA indications only) </w:t>
      </w:r>
      <w:r>
        <w:rPr>
          <w:iCs/>
        </w:rPr>
        <w:t xml:space="preserve">the use of additional </w:t>
      </w:r>
      <w:r>
        <w:rPr>
          <w:rFonts w:eastAsia="MS Mincho"/>
          <w:lang w:eastAsia="en-AU"/>
        </w:rPr>
        <w:t>risk minimisation activities in the EU and not in Australia.</w:t>
      </w:r>
      <w:r w:rsidR="003E57C6">
        <w:rPr>
          <w:rFonts w:eastAsia="MS Mincho"/>
          <w:lang w:eastAsia="en-AU"/>
        </w:rPr>
        <w:t xml:space="preserve"> </w:t>
      </w:r>
      <w:r>
        <w:rPr>
          <w:rFonts w:eastAsia="MS Mincho"/>
          <w:lang w:eastAsia="en-AU"/>
        </w:rPr>
        <w:lastRenderedPageBreak/>
        <w:t>Furthermore Section 8: ‘</w:t>
      </w:r>
      <w:r>
        <w:rPr>
          <w:rFonts w:eastAsia="MS Mincho"/>
          <w:bCs/>
          <w:iCs/>
          <w:lang w:eastAsia="en-AU"/>
        </w:rPr>
        <w:t xml:space="preserve">Change history of RMPs submitted to TGA’ of the updated ASA does not capture the proposed changes to </w:t>
      </w:r>
      <w:r>
        <w:rPr>
          <w:iCs/>
        </w:rPr>
        <w:t xml:space="preserve">additional </w:t>
      </w:r>
      <w:r>
        <w:rPr>
          <w:rFonts w:eastAsia="MS Mincho"/>
          <w:lang w:eastAsia="en-AU"/>
        </w:rPr>
        <w:t xml:space="preserve">risk minimisation activities from ASA Version: 3.0 onwards and Section 2: ‘RMP Version History’ </w:t>
      </w:r>
      <w:r>
        <w:rPr>
          <w:rFonts w:eastAsia="MS Mincho"/>
          <w:bCs/>
          <w:iCs/>
          <w:lang w:eastAsia="en-AU"/>
        </w:rPr>
        <w:t>of the updated ASA does not include Version: 4.1 of the ASA.</w:t>
      </w:r>
      <w:r w:rsidR="003E57C6">
        <w:rPr>
          <w:rFonts w:eastAsia="MS Mincho"/>
          <w:lang w:eastAsia="en-AU"/>
        </w:rPr>
        <w:t xml:space="preserve"> </w:t>
      </w:r>
      <w:r>
        <w:rPr>
          <w:rFonts w:eastAsia="MS Mincho"/>
          <w:color w:val="222222"/>
          <w:lang w:eastAsia="en-AU"/>
        </w:rPr>
        <w:t xml:space="preserve">Consequently these issues remain outstanding and the ASA should be revised accordingly, including compelling justification for </w:t>
      </w:r>
      <w:r>
        <w:rPr>
          <w:iCs/>
        </w:rPr>
        <w:t xml:space="preserve">any differences between the EU-RMP and the local implementation of risk management activities, </w:t>
      </w:r>
      <w:r>
        <w:rPr>
          <w:rFonts w:eastAsia="MS Mincho"/>
          <w:color w:val="222222"/>
          <w:lang w:eastAsia="en-AU"/>
        </w:rPr>
        <w:t>before this application is approved.</w:t>
      </w:r>
    </w:p>
    <w:p w14:paraId="06214556" w14:textId="77777777" w:rsidR="009B025A" w:rsidRPr="00D108D6" w:rsidRDefault="009B025A" w:rsidP="00E47464">
      <w:pPr>
        <w:pStyle w:val="Heading5"/>
      </w:pPr>
      <w:r w:rsidRPr="00D108D6">
        <w:t xml:space="preserve">Advice </w:t>
      </w:r>
      <w:r w:rsidRPr="00E47464">
        <w:t>from</w:t>
      </w:r>
      <w:r w:rsidRPr="00D108D6">
        <w:t xml:space="preserve"> the </w:t>
      </w:r>
      <w:r w:rsidRPr="00D108D6">
        <w:rPr>
          <w:rStyle w:val="st1"/>
        </w:rPr>
        <w:t>Advisory Committee on the Safety of Medicines (ACSOM)</w:t>
      </w:r>
    </w:p>
    <w:p w14:paraId="456DB80D" w14:textId="77777777" w:rsidR="009B025A" w:rsidRDefault="009B025A" w:rsidP="009B025A">
      <w:pPr>
        <w:spacing w:before="100" w:beforeAutospacing="1" w:after="100" w:afterAutospacing="1" w:line="240" w:lineRule="auto"/>
        <w:rPr>
          <w:rFonts w:asciiTheme="minorHAnsi" w:hAnsiTheme="minorHAnsi"/>
        </w:rPr>
      </w:pPr>
      <w:r>
        <w:rPr>
          <w:rFonts w:asciiTheme="minorHAnsi" w:hAnsiTheme="minorHAnsi"/>
        </w:rPr>
        <w:t>ACSOM advice was not sought for this submission.</w:t>
      </w:r>
    </w:p>
    <w:p w14:paraId="1D3AB353" w14:textId="123FD0F2" w:rsidR="009B025A" w:rsidRDefault="009B025A" w:rsidP="00D108D6">
      <w:pPr>
        <w:pStyle w:val="Heading5"/>
      </w:pPr>
      <w:r>
        <w:t>Suggested wording for conditions of registration</w:t>
      </w:r>
    </w:p>
    <w:p w14:paraId="6FFE4081" w14:textId="353F8B83" w:rsidR="009B025A" w:rsidRDefault="009B025A" w:rsidP="00D108D6">
      <w:pPr>
        <w:pStyle w:val="Heading6"/>
      </w:pPr>
      <w:r>
        <w:t>RMP</w:t>
      </w:r>
    </w:p>
    <w:p w14:paraId="1D202F41" w14:textId="77777777" w:rsidR="00FC4A5D" w:rsidRDefault="009B025A" w:rsidP="00D108D6">
      <w:pPr>
        <w:rPr>
          <w:color w:val="000000"/>
        </w:rPr>
      </w:pPr>
      <w:r>
        <w:t>At this time</w:t>
      </w:r>
      <w:r w:rsidR="00E47464">
        <w:t>,</w:t>
      </w:r>
      <w:r>
        <w:t xml:space="preserve"> no wording can be provided as it is recommended that an acceptably revised ASA be submitted before </w:t>
      </w:r>
      <w:r>
        <w:rPr>
          <w:color w:val="000000"/>
        </w:rPr>
        <w:t>this application is approved</w:t>
      </w:r>
      <w:r w:rsidR="00FC4A5D">
        <w:rPr>
          <w:color w:val="000000"/>
        </w:rPr>
        <w:t>.</w:t>
      </w:r>
    </w:p>
    <w:p w14:paraId="254CAA82" w14:textId="16CEF881" w:rsidR="009B025A" w:rsidRDefault="009B025A" w:rsidP="00D108D6">
      <w:pPr>
        <w:pStyle w:val="Heading5"/>
      </w:pPr>
      <w:r>
        <w:t xml:space="preserve">Key changes to the updated RMP </w:t>
      </w:r>
    </w:p>
    <w:p w14:paraId="093613B3" w14:textId="0A5AC8D7" w:rsidR="00E47464" w:rsidRDefault="009B025A" w:rsidP="00B44C63">
      <w:r>
        <w:t>In their response to the TGA</w:t>
      </w:r>
      <w:r w:rsidR="00E47464">
        <w:t>’s consolidated r</w:t>
      </w:r>
      <w:r>
        <w:t xml:space="preserve">equests </w:t>
      </w:r>
      <w:r w:rsidR="00E47464">
        <w:t xml:space="preserve">for further information </w:t>
      </w:r>
      <w:r>
        <w:t xml:space="preserve">the sponsor provided </w:t>
      </w:r>
      <w:r>
        <w:rPr>
          <w:iCs/>
        </w:rPr>
        <w:t xml:space="preserve">an updated ASA </w:t>
      </w:r>
      <w:r>
        <w:t xml:space="preserve">(Version: 4.1 </w:t>
      </w:r>
      <w:r>
        <w:rPr>
          <w:iCs/>
        </w:rPr>
        <w:t>dated November</w:t>
      </w:r>
      <w:r>
        <w:t xml:space="preserve"> 2014).</w:t>
      </w:r>
      <w:r w:rsidR="003E57C6">
        <w:t xml:space="preserve"> </w:t>
      </w:r>
      <w:r>
        <w:t xml:space="preserve">Key changes from the versions evaluated </w:t>
      </w:r>
      <w:r w:rsidR="00E47464">
        <w:t>in the second round</w:t>
      </w:r>
      <w:r>
        <w:t xml:space="preserve"> </w:t>
      </w:r>
      <w:r w:rsidR="00E47464">
        <w:t xml:space="preserve">evaluation </w:t>
      </w:r>
      <w:r>
        <w:t xml:space="preserve">are summarised </w:t>
      </w:r>
      <w:r w:rsidR="00E47464">
        <w:t xml:space="preserve">in Table 6 </w:t>
      </w:r>
      <w:r>
        <w:t>below</w:t>
      </w:r>
      <w:r w:rsidR="00E47464">
        <w:t>.</w:t>
      </w:r>
    </w:p>
    <w:p w14:paraId="7A9E5EAA" w14:textId="5DC119C4" w:rsidR="009B025A" w:rsidRPr="006E4508" w:rsidRDefault="00E47464" w:rsidP="006E4508">
      <w:pPr>
        <w:pStyle w:val="Tabletitle0"/>
      </w:pPr>
      <w:r w:rsidRPr="00200D8D">
        <w:t>Table 6</w:t>
      </w:r>
      <w:r w:rsidR="009B025A" w:rsidRPr="00200D8D">
        <w:t xml:space="preserve">: </w:t>
      </w:r>
      <w:r w:rsidRPr="00200D8D">
        <w:t>Key changes to the ASA</w:t>
      </w:r>
    </w:p>
    <w:tbl>
      <w:tblPr>
        <w:tblStyle w:val="TableTGAblue"/>
        <w:tblW w:w="0" w:type="auto"/>
        <w:tblLook w:val="04A0" w:firstRow="1" w:lastRow="0" w:firstColumn="1" w:lastColumn="0" w:noHBand="0" w:noVBand="1"/>
      </w:tblPr>
      <w:tblGrid>
        <w:gridCol w:w="1628"/>
        <w:gridCol w:w="7092"/>
      </w:tblGrid>
      <w:tr w:rsidR="009B025A" w:rsidRPr="00200D8D" w14:paraId="411F1EF9" w14:textId="64F37303" w:rsidTr="006E4508">
        <w:trPr>
          <w:cnfStyle w:val="100000000000" w:firstRow="1" w:lastRow="0" w:firstColumn="0" w:lastColumn="0" w:oddVBand="0" w:evenVBand="0" w:oddHBand="0" w:evenHBand="0" w:firstRowFirstColumn="0" w:firstRowLastColumn="0" w:lastRowFirstColumn="0" w:lastRowLastColumn="0"/>
          <w:trHeight w:val="536"/>
        </w:trPr>
        <w:tc>
          <w:tcPr>
            <w:tcW w:w="1688" w:type="dxa"/>
          </w:tcPr>
          <w:p w14:paraId="28A29925" w14:textId="54066917" w:rsidR="009B025A" w:rsidRPr="006E4508" w:rsidRDefault="009B025A" w:rsidP="006E4508">
            <w:pPr>
              <w:rPr>
                <w:sz w:val="20"/>
                <w:szCs w:val="20"/>
              </w:rPr>
            </w:pPr>
          </w:p>
        </w:tc>
        <w:tc>
          <w:tcPr>
            <w:tcW w:w="7525" w:type="dxa"/>
          </w:tcPr>
          <w:p w14:paraId="00D9DDD0" w14:textId="68E6450A" w:rsidR="009B025A" w:rsidRPr="006E4508" w:rsidRDefault="006E4508" w:rsidP="006E4508">
            <w:pPr>
              <w:rPr>
                <w:sz w:val="20"/>
                <w:szCs w:val="20"/>
              </w:rPr>
            </w:pPr>
            <w:r w:rsidRPr="006E4508">
              <w:rPr>
                <w:sz w:val="20"/>
                <w:szCs w:val="20"/>
              </w:rPr>
              <w:t>Key change</w:t>
            </w:r>
          </w:p>
        </w:tc>
      </w:tr>
      <w:tr w:rsidR="009B025A" w:rsidRPr="00200D8D" w14:paraId="09ADAD9C" w14:textId="196C7B14" w:rsidTr="006E4508">
        <w:trPr>
          <w:trHeight w:val="524"/>
        </w:trPr>
        <w:tc>
          <w:tcPr>
            <w:tcW w:w="1688" w:type="dxa"/>
            <w:hideMark/>
          </w:tcPr>
          <w:p w14:paraId="61F408F4" w14:textId="6A9026E2" w:rsidR="009B025A" w:rsidRPr="006E4508" w:rsidRDefault="009B025A" w:rsidP="006E4508">
            <w:pPr>
              <w:rPr>
                <w:sz w:val="20"/>
                <w:szCs w:val="20"/>
              </w:rPr>
            </w:pPr>
            <w:r w:rsidRPr="006E4508">
              <w:rPr>
                <w:sz w:val="20"/>
                <w:szCs w:val="20"/>
              </w:rPr>
              <w:t>ASA</w:t>
            </w:r>
          </w:p>
        </w:tc>
        <w:tc>
          <w:tcPr>
            <w:tcW w:w="7525" w:type="dxa"/>
            <w:hideMark/>
          </w:tcPr>
          <w:p w14:paraId="6A085D6B" w14:textId="69AE2E5B" w:rsidR="009B025A" w:rsidRPr="006E4508" w:rsidRDefault="009B025A" w:rsidP="006E4508">
            <w:pPr>
              <w:rPr>
                <w:sz w:val="20"/>
                <w:szCs w:val="20"/>
              </w:rPr>
            </w:pPr>
            <w:r w:rsidRPr="006E4508">
              <w:rPr>
                <w:sz w:val="20"/>
                <w:szCs w:val="20"/>
              </w:rPr>
              <w:t xml:space="preserve">The important potential risks: ‘Off label use of the SC formulation’ </w:t>
            </w:r>
            <w:r w:rsidR="00E47464" w:rsidRPr="006E4508">
              <w:rPr>
                <w:sz w:val="20"/>
                <w:szCs w:val="20"/>
              </w:rPr>
              <w:t>and</w:t>
            </w:r>
            <w:r w:rsidRPr="006E4508">
              <w:rPr>
                <w:sz w:val="20"/>
                <w:szCs w:val="20"/>
              </w:rPr>
              <w:t xml:space="preserve"> ‘Administration route error’ have been included in Section 9: ‘Summary of Safety Concerns’.</w:t>
            </w:r>
          </w:p>
          <w:p w14:paraId="5DF4B779" w14:textId="09B55803" w:rsidR="009B025A" w:rsidRPr="006E4508" w:rsidRDefault="009B025A" w:rsidP="006E4508">
            <w:pPr>
              <w:rPr>
                <w:color w:val="222222"/>
                <w:sz w:val="20"/>
                <w:szCs w:val="20"/>
              </w:rPr>
            </w:pPr>
            <w:r w:rsidRPr="006E4508">
              <w:rPr>
                <w:sz w:val="20"/>
                <w:szCs w:val="20"/>
              </w:rPr>
              <w:t xml:space="preserve">Section 5: ‘Potential for Medication Errors and Overdose’ in relation to the important potential risks of </w:t>
            </w:r>
            <w:r w:rsidRPr="006E4508">
              <w:rPr>
                <w:color w:val="222222"/>
                <w:sz w:val="20"/>
                <w:szCs w:val="20"/>
              </w:rPr>
              <w:t>‘Off la</w:t>
            </w:r>
            <w:r w:rsidR="00E47464" w:rsidRPr="006E4508">
              <w:rPr>
                <w:color w:val="222222"/>
                <w:sz w:val="20"/>
                <w:szCs w:val="20"/>
              </w:rPr>
              <w:t>bel use of the SC formulation’ and</w:t>
            </w:r>
            <w:r w:rsidRPr="006E4508">
              <w:rPr>
                <w:color w:val="222222"/>
                <w:sz w:val="20"/>
                <w:szCs w:val="20"/>
              </w:rPr>
              <w:t xml:space="preserve"> ‘Administration route error’ has been included</w:t>
            </w:r>
            <w:r w:rsidRPr="006E4508">
              <w:rPr>
                <w:sz w:val="20"/>
                <w:szCs w:val="20"/>
              </w:rPr>
              <w:t>.</w:t>
            </w:r>
          </w:p>
          <w:p w14:paraId="102F827D" w14:textId="76BBB06F" w:rsidR="009B025A" w:rsidRPr="006E4508" w:rsidRDefault="009B025A" w:rsidP="006E4508">
            <w:pPr>
              <w:rPr>
                <w:sz w:val="20"/>
                <w:szCs w:val="20"/>
              </w:rPr>
            </w:pPr>
            <w:r w:rsidRPr="006E4508">
              <w:rPr>
                <w:sz w:val="20"/>
                <w:szCs w:val="20"/>
              </w:rPr>
              <w:t>Section 11: ‘</w:t>
            </w:r>
            <w:r w:rsidRPr="006E4508">
              <w:rPr>
                <w:bCs/>
                <w:iCs/>
                <w:sz w:val="20"/>
                <w:szCs w:val="20"/>
              </w:rPr>
              <w:t xml:space="preserve">Risk Minimisation Activities (RMinA)’ has removed the use of educational materials as </w:t>
            </w:r>
            <w:r w:rsidRPr="006E4508">
              <w:rPr>
                <w:iCs/>
                <w:sz w:val="20"/>
                <w:szCs w:val="20"/>
              </w:rPr>
              <w:t xml:space="preserve">additional </w:t>
            </w:r>
            <w:r w:rsidRPr="006E4508">
              <w:rPr>
                <w:sz w:val="20"/>
                <w:szCs w:val="20"/>
              </w:rPr>
              <w:t xml:space="preserve">risk minimisation activities </w:t>
            </w:r>
            <w:r w:rsidRPr="006E4508">
              <w:rPr>
                <w:iCs/>
                <w:sz w:val="20"/>
                <w:szCs w:val="20"/>
              </w:rPr>
              <w:t xml:space="preserve">for </w:t>
            </w:r>
            <w:r w:rsidRPr="006E4508">
              <w:rPr>
                <w:sz w:val="20"/>
                <w:szCs w:val="20"/>
              </w:rPr>
              <w:t xml:space="preserve">the important identified risks: ‘Infusion related reactions’ </w:t>
            </w:r>
            <w:r w:rsidR="00E47464" w:rsidRPr="006E4508">
              <w:rPr>
                <w:sz w:val="20"/>
                <w:szCs w:val="20"/>
              </w:rPr>
              <w:t>and</w:t>
            </w:r>
            <w:r w:rsidRPr="006E4508">
              <w:rPr>
                <w:sz w:val="20"/>
                <w:szCs w:val="20"/>
              </w:rPr>
              <w:t xml:space="preserve"> ‘Infections’ (RA and GPA/MPA indications only).</w:t>
            </w:r>
          </w:p>
        </w:tc>
      </w:tr>
    </w:tbl>
    <w:p w14:paraId="66E9F5FD" w14:textId="77777777" w:rsidR="008E7846" w:rsidRPr="00792A32" w:rsidRDefault="008E7846" w:rsidP="008E7846">
      <w:pPr>
        <w:pStyle w:val="Heading2"/>
      </w:pPr>
      <w:bookmarkStart w:id="98" w:name="_Toc43062250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67"/>
      <w:bookmarkEnd w:id="96"/>
      <w:bookmarkEnd w:id="97"/>
      <w:bookmarkEnd w:id="98"/>
    </w:p>
    <w:p w14:paraId="388ECD38" w14:textId="77777777" w:rsidR="008E7846" w:rsidRDefault="008E7846" w:rsidP="008E7846">
      <w:bookmarkStart w:id="99" w:name="_Toc247691528"/>
      <w:r>
        <w:t xml:space="preserve">The submission was summarised in the following </w:t>
      </w:r>
      <w:r w:rsidRPr="00EF5C48">
        <w:t xml:space="preserve">Delegate’s </w:t>
      </w:r>
      <w:r>
        <w:t>overview</w:t>
      </w:r>
      <w:r w:rsidRPr="00EF5C48">
        <w:t xml:space="preserve"> and recommendation</w:t>
      </w:r>
      <w:r>
        <w:t>s:</w:t>
      </w:r>
    </w:p>
    <w:p w14:paraId="59639CCF" w14:textId="77777777" w:rsidR="008E7846" w:rsidRDefault="008E7846" w:rsidP="008E7846">
      <w:pPr>
        <w:pStyle w:val="Heading3"/>
      </w:pPr>
      <w:bookmarkStart w:id="100" w:name="_Toc314842511"/>
      <w:bookmarkStart w:id="101" w:name="_Toc430622510"/>
      <w:r>
        <w:t>Quality</w:t>
      </w:r>
      <w:bookmarkEnd w:id="99"/>
      <w:bookmarkEnd w:id="100"/>
      <w:bookmarkEnd w:id="101"/>
    </w:p>
    <w:p w14:paraId="5D838544" w14:textId="77777777" w:rsidR="00E45619" w:rsidRDefault="008E7846" w:rsidP="003A7F6C">
      <w:r>
        <w:t>There was no requirement for a quality evaluation in a submission of this type.</w:t>
      </w:r>
    </w:p>
    <w:p w14:paraId="199C7A44" w14:textId="77777777" w:rsidR="008E7846" w:rsidRDefault="008E7846" w:rsidP="008E7846">
      <w:pPr>
        <w:pStyle w:val="Heading3"/>
      </w:pPr>
      <w:bookmarkStart w:id="102" w:name="_Toc314842512"/>
      <w:bookmarkStart w:id="103" w:name="_Toc430622511"/>
      <w:r>
        <w:t>Nonclinical</w:t>
      </w:r>
      <w:bookmarkEnd w:id="102"/>
      <w:bookmarkEnd w:id="103"/>
    </w:p>
    <w:p w14:paraId="230B4025" w14:textId="77777777" w:rsidR="008E7846" w:rsidRDefault="008E7846" w:rsidP="008E7846">
      <w:r>
        <w:t>There was no requirement for a nonclinical evaluation in a submission of this type.</w:t>
      </w:r>
    </w:p>
    <w:p w14:paraId="01A8A330" w14:textId="77777777" w:rsidR="008E7846" w:rsidRPr="00012483" w:rsidRDefault="008E7846" w:rsidP="00012483">
      <w:pPr>
        <w:pStyle w:val="Heading3"/>
      </w:pPr>
      <w:bookmarkStart w:id="104" w:name="_Toc247691530"/>
      <w:bookmarkStart w:id="105" w:name="_Toc314842513"/>
      <w:bookmarkStart w:id="106" w:name="_Toc430622512"/>
      <w:r>
        <w:lastRenderedPageBreak/>
        <w:t>Clinical</w:t>
      </w:r>
      <w:bookmarkEnd w:id="104"/>
      <w:bookmarkEnd w:id="105"/>
      <w:bookmarkEnd w:id="106"/>
    </w:p>
    <w:p w14:paraId="3D891073" w14:textId="77777777" w:rsidR="0056265A" w:rsidRPr="00012483" w:rsidRDefault="0056265A" w:rsidP="00012483">
      <w:pPr>
        <w:pStyle w:val="Heading4"/>
      </w:pPr>
      <w:bookmarkStart w:id="107" w:name="_Toc314842514"/>
      <w:r>
        <w:rPr>
          <w:noProof/>
          <w:lang w:eastAsia="en-AU"/>
        </w:rPr>
        <w:t>Clinical Efficacy</w:t>
      </w:r>
    </w:p>
    <w:p w14:paraId="4E48E578" w14:textId="77777777" w:rsidR="0056265A" w:rsidRPr="00012483" w:rsidRDefault="0056265A" w:rsidP="00012483">
      <w:pPr>
        <w:pStyle w:val="Heading5"/>
      </w:pPr>
      <w:bookmarkStart w:id="108" w:name="_Toc395285750"/>
      <w:bookmarkStart w:id="109" w:name="_Toc290846286"/>
      <w:bookmarkStart w:id="110" w:name="_Ref290844188"/>
      <w:r>
        <w:t>Study ML25641</w:t>
      </w:r>
      <w:bookmarkEnd w:id="108"/>
      <w:bookmarkEnd w:id="109"/>
      <w:bookmarkEnd w:id="110"/>
    </w:p>
    <w:p w14:paraId="5D97FBCB" w14:textId="77777777" w:rsidR="0056265A" w:rsidRDefault="0056265A" w:rsidP="00B44C63">
      <w:bookmarkStart w:id="111" w:name="_Study_design,_objectives,"/>
      <w:bookmarkEnd w:id="111"/>
      <w:r>
        <w:t>This single-arm study investigating the proposed 2</w:t>
      </w:r>
      <w:r w:rsidR="00E47464">
        <w:t xml:space="preserve"> </w:t>
      </w:r>
      <w:r>
        <w:t>h infusion schedule in RA patients was conducted at multiple sites in the US</w:t>
      </w:r>
      <w:r w:rsidR="00E47464">
        <w:t>A</w:t>
      </w:r>
      <w:r>
        <w:t xml:space="preserve"> during 2011-2013.</w:t>
      </w:r>
    </w:p>
    <w:p w14:paraId="2AA3745D" w14:textId="77777777" w:rsidR="0056265A" w:rsidRDefault="0056265A" w:rsidP="00B44C63">
      <w:r>
        <w:t>Patients with previous history of serious infusion related reaction to any biologic agent including rituximab were excluded. Patients with other concomitant serious, uncontrolled systemic diseases were also excluded.</w:t>
      </w:r>
    </w:p>
    <w:p w14:paraId="5BB3D08D" w14:textId="77777777" w:rsidR="0056265A" w:rsidRDefault="0056265A" w:rsidP="00B44C63">
      <w:pPr>
        <w:rPr>
          <w:lang w:val="en-US"/>
        </w:rPr>
      </w:pPr>
      <w:r>
        <w:t>A total of 4 rituximab infusions (one course comprising two 1000</w:t>
      </w:r>
      <w:r w:rsidR="00E47464">
        <w:t xml:space="preserve"> </w:t>
      </w:r>
      <w:r>
        <w:t xml:space="preserve">mg doses given 2 weeks apart followed 22 weeks later by a </w:t>
      </w:r>
      <w:r w:rsidR="00E47464">
        <w:t>second</w:t>
      </w:r>
      <w:r>
        <w:t xml:space="preserve"> course) were given to each patient via a dedicated line. </w:t>
      </w:r>
      <w:r>
        <w:rPr>
          <w:lang w:val="en-US"/>
        </w:rPr>
        <w:t>All patients received standard pre-medications before each infusion.</w:t>
      </w:r>
    </w:p>
    <w:p w14:paraId="1C5496FA" w14:textId="77777777" w:rsidR="00E47464" w:rsidRDefault="0056265A" w:rsidP="00B44C63">
      <w:pPr>
        <w:rPr>
          <w:lang w:val="en-US"/>
        </w:rPr>
      </w:pPr>
      <w:r>
        <w:t xml:space="preserve">The </w:t>
      </w:r>
      <w:r w:rsidR="00E47464">
        <w:t>first</w:t>
      </w:r>
      <w:r>
        <w:t xml:space="preserve"> infusion of the </w:t>
      </w:r>
      <w:r w:rsidR="00E47464">
        <w:t>first</w:t>
      </w:r>
      <w:r>
        <w:t xml:space="preserve"> course (1000mg in 250mL) was administered as the currently approved standard 4</w:t>
      </w:r>
      <w:r w:rsidR="00E47464">
        <w:t xml:space="preserve"> </w:t>
      </w:r>
      <w:r>
        <w:t xml:space="preserve">h infusion schedule. </w:t>
      </w:r>
      <w:r>
        <w:rPr>
          <w:lang w:val="en-US"/>
        </w:rPr>
        <w:t>If a patient experienced an infusion-related reaction, standard instructions for interruption and slowing the infusion, as currently reflected in the prescribing information document, were to be followed including withdrawal from the study in case of a serious infusion-related reaction. The 4</w:t>
      </w:r>
      <w:r w:rsidR="00E47464">
        <w:rPr>
          <w:lang w:val="en-US"/>
        </w:rPr>
        <w:t xml:space="preserve"> </w:t>
      </w:r>
      <w:r>
        <w:rPr>
          <w:lang w:val="en-US"/>
        </w:rPr>
        <w:t xml:space="preserve">h standard schedule was as </w:t>
      </w:r>
      <w:r w:rsidR="00E47464">
        <w:rPr>
          <w:lang w:val="en-US"/>
        </w:rPr>
        <w:t>shown in Table 7.</w:t>
      </w:r>
    </w:p>
    <w:p w14:paraId="7430C1EB" w14:textId="77777777" w:rsidR="0056265A" w:rsidRDefault="00E47464" w:rsidP="00E47464">
      <w:pPr>
        <w:pStyle w:val="Tabletitle0"/>
      </w:pPr>
      <w:r>
        <w:rPr>
          <w:lang w:val="en-US"/>
        </w:rPr>
        <w:t>Table 7</w:t>
      </w:r>
      <w:r w:rsidR="0056265A">
        <w:rPr>
          <w:lang w:val="en-US"/>
        </w:rPr>
        <w:t>:</w:t>
      </w:r>
      <w:r>
        <w:rPr>
          <w:lang w:val="en-US"/>
        </w:rPr>
        <w:t xml:space="preserve"> Four hour standard schedule</w:t>
      </w:r>
    </w:p>
    <w:p w14:paraId="0D8C510E" w14:textId="77777777" w:rsidR="0056265A" w:rsidRDefault="0056265A" w:rsidP="006E4508">
      <w:pPr>
        <w:ind w:right="-143"/>
        <w:rPr>
          <w:rFonts w:asciiTheme="minorHAnsi" w:hAnsiTheme="minorHAnsi"/>
        </w:rPr>
      </w:pPr>
      <w:r>
        <w:rPr>
          <w:rFonts w:asciiTheme="minorHAnsi" w:hAnsiTheme="minorHAnsi"/>
          <w:noProof/>
          <w:lang w:eastAsia="en-AU"/>
        </w:rPr>
        <w:drawing>
          <wp:inline distT="0" distB="0" distL="0" distR="0" wp14:anchorId="30F26012" wp14:editId="5D5C57B2">
            <wp:extent cx="4028601" cy="1775901"/>
            <wp:effectExtent l="0" t="0" r="0" b="0"/>
            <wp:docPr id="3" name="Picture 3" descr="Table 7:Standard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4031590" cy="1777218"/>
                    </a:xfrm>
                    <a:prstGeom prst="rect">
                      <a:avLst/>
                    </a:prstGeom>
                    <a:noFill/>
                    <a:ln>
                      <a:noFill/>
                    </a:ln>
                  </pic:spPr>
                </pic:pic>
              </a:graphicData>
            </a:graphic>
          </wp:inline>
        </w:drawing>
      </w:r>
    </w:p>
    <w:p w14:paraId="5B0E4327" w14:textId="77777777" w:rsidR="00E47464" w:rsidRDefault="0056265A" w:rsidP="00E47464">
      <w:pPr>
        <w:rPr>
          <w:lang w:val="en-US"/>
        </w:rPr>
      </w:pPr>
      <w:r>
        <w:rPr>
          <w:lang w:val="en-US"/>
        </w:rPr>
        <w:t xml:space="preserve">For </w:t>
      </w:r>
      <w:r w:rsidR="00E47464">
        <w:rPr>
          <w:lang w:val="en-US"/>
        </w:rPr>
        <w:t>second</w:t>
      </w:r>
      <w:r>
        <w:rPr>
          <w:lang w:val="en-US"/>
        </w:rPr>
        <w:t xml:space="preserve"> Infusion (1000</w:t>
      </w:r>
      <w:r w:rsidR="00E47464">
        <w:rPr>
          <w:lang w:val="en-US"/>
        </w:rPr>
        <w:t xml:space="preserve"> </w:t>
      </w:r>
      <w:r>
        <w:rPr>
          <w:lang w:val="en-US"/>
        </w:rPr>
        <w:t>mg in 250</w:t>
      </w:r>
      <w:r w:rsidR="00E47464">
        <w:rPr>
          <w:lang w:val="en-US"/>
        </w:rPr>
        <w:t xml:space="preserve"> </w:t>
      </w:r>
      <w:r>
        <w:rPr>
          <w:lang w:val="en-US"/>
        </w:rPr>
        <w:t xml:space="preserve">mL) of the </w:t>
      </w:r>
      <w:r w:rsidR="00E47464">
        <w:rPr>
          <w:lang w:val="en-US"/>
        </w:rPr>
        <w:t>first</w:t>
      </w:r>
      <w:r>
        <w:rPr>
          <w:lang w:val="en-US"/>
        </w:rPr>
        <w:t xml:space="preserve"> course (Day 15) and both first and second infusions of the </w:t>
      </w:r>
      <w:r w:rsidR="00E47464">
        <w:rPr>
          <w:lang w:val="en-US"/>
        </w:rPr>
        <w:t>second</w:t>
      </w:r>
      <w:r>
        <w:rPr>
          <w:lang w:val="en-US"/>
        </w:rPr>
        <w:t xml:space="preserve"> course (Day 168 and 182) the new 2</w:t>
      </w:r>
      <w:r w:rsidR="00E47464">
        <w:rPr>
          <w:lang w:val="en-US"/>
        </w:rPr>
        <w:t xml:space="preserve"> </w:t>
      </w:r>
      <w:r>
        <w:rPr>
          <w:lang w:val="en-US"/>
        </w:rPr>
        <w:t xml:space="preserve">h faster infusion schedule was used as </w:t>
      </w:r>
      <w:r w:rsidR="00E47464">
        <w:rPr>
          <w:lang w:val="en-US"/>
        </w:rPr>
        <w:t>shown in Table 8.</w:t>
      </w:r>
    </w:p>
    <w:p w14:paraId="4D330A6E" w14:textId="77777777" w:rsidR="0056265A" w:rsidRDefault="00E47464" w:rsidP="0013021A">
      <w:pPr>
        <w:pStyle w:val="Tabletitle0"/>
        <w:rPr>
          <w:rFonts w:asciiTheme="minorHAnsi" w:hAnsiTheme="minorHAnsi"/>
          <w:lang w:val="en-US" w:eastAsia="ja-JP"/>
        </w:rPr>
      </w:pPr>
      <w:r>
        <w:rPr>
          <w:lang w:val="en-US"/>
        </w:rPr>
        <w:t xml:space="preserve">Table 8: </w:t>
      </w:r>
      <w:r w:rsidR="0013021A">
        <w:rPr>
          <w:lang w:val="en-US"/>
        </w:rPr>
        <w:t>New faster infusion protocol</w:t>
      </w:r>
      <w:r w:rsidR="0056265A">
        <w:rPr>
          <w:rFonts w:asciiTheme="minorHAnsi" w:hAnsiTheme="minorHAnsi"/>
          <w:noProof/>
          <w:lang w:eastAsia="en-AU"/>
        </w:rPr>
        <w:drawing>
          <wp:inline distT="0" distB="0" distL="0" distR="0" wp14:anchorId="3A9D3A9B" wp14:editId="3CDE1836">
            <wp:extent cx="4368052" cy="1214171"/>
            <wp:effectExtent l="0" t="0" r="0" b="5080"/>
            <wp:docPr id="2" name="Picture 2" descr="Table 8: New faster infusion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4381146" cy="1217811"/>
                    </a:xfrm>
                    <a:prstGeom prst="rect">
                      <a:avLst/>
                    </a:prstGeom>
                    <a:noFill/>
                    <a:ln>
                      <a:noFill/>
                    </a:ln>
                  </pic:spPr>
                </pic:pic>
              </a:graphicData>
            </a:graphic>
          </wp:inline>
        </w:drawing>
      </w:r>
    </w:p>
    <w:p w14:paraId="3A2400F1" w14:textId="77777777" w:rsidR="0056265A" w:rsidRDefault="0056265A" w:rsidP="00B44C63">
      <w:pPr>
        <w:rPr>
          <w:lang w:val="en-US"/>
        </w:rPr>
      </w:pPr>
      <w:r>
        <w:rPr>
          <w:lang w:val="en-US"/>
        </w:rPr>
        <w:t>Patients who experienced a moderate-to-severe infusion</w:t>
      </w:r>
      <w:r w:rsidR="0013021A">
        <w:rPr>
          <w:lang w:val="en-US"/>
        </w:rPr>
        <w:t xml:space="preserve"> </w:t>
      </w:r>
      <w:r>
        <w:rPr>
          <w:lang w:val="en-US"/>
        </w:rPr>
        <w:t>related reaction (</w:t>
      </w:r>
      <w:r w:rsidR="0013021A">
        <w:rPr>
          <w:lang w:val="en-US"/>
        </w:rPr>
        <w:t>such as</w:t>
      </w:r>
      <w:r>
        <w:rPr>
          <w:lang w:val="en-US"/>
        </w:rPr>
        <w:t xml:space="preserve"> fever, chills or hypotension) were to have their infusion interrupted immediately and to receive symptomatic treatment. The infusion was not to be restarted until all symptoms had disappeared. The infusion was to be restarted at half the rate. If the patient tolerated the reduced rate for 30 minutes, the infusion rate was to be increased to the next closest rate following the infusion schedule. If the symptoms did not resolve with treatment, the </w:t>
      </w:r>
      <w:r>
        <w:rPr>
          <w:lang w:val="en-US"/>
        </w:rPr>
        <w:lastRenderedPageBreak/>
        <w:t xml:space="preserve">patient was to be withdrawn from the study. Any patient experiencing a </w:t>
      </w:r>
      <w:r w:rsidR="0013021A">
        <w:rPr>
          <w:lang w:val="en-US"/>
        </w:rPr>
        <w:t>serious IRR (</w:t>
      </w:r>
      <w:r>
        <w:rPr>
          <w:lang w:val="en-US"/>
        </w:rPr>
        <w:t>SIRR</w:t>
      </w:r>
      <w:r w:rsidR="0013021A">
        <w:rPr>
          <w:lang w:val="en-US"/>
        </w:rPr>
        <w:t>)</w:t>
      </w:r>
      <w:r>
        <w:rPr>
          <w:lang w:val="en-US"/>
        </w:rPr>
        <w:t xml:space="preserve"> was also to be withdrawn from the study.</w:t>
      </w:r>
    </w:p>
    <w:p w14:paraId="1244F55F" w14:textId="24A70D87" w:rsidR="0056265A" w:rsidRDefault="0056265A" w:rsidP="00B44C63">
      <w:r>
        <w:t>The age range of the participating patients (N = 351) was 23 to 88 years. There were 306 (87.2%) patients with no prior rituximab exposure, 24 (6.8%) with one prior rituximab course and 21 (6.0%) with two prior rituximab courses. The mean duration of RA was 12.</w:t>
      </w:r>
      <w:r w:rsidR="00A01F54">
        <w:t>5</w:t>
      </w:r>
      <w:r>
        <w:t xml:space="preserve"> years (</w:t>
      </w:r>
      <w:r w:rsidR="0013021A">
        <w:t>standard deviation (</w:t>
      </w:r>
      <w:r>
        <w:t>SD</w:t>
      </w:r>
      <w:r w:rsidR="0013021A">
        <w:t>)</w:t>
      </w:r>
      <w:r>
        <w:t xml:space="preserve"> 9.7). All patients were receiving concomitant methotrexate and 198 (56.4%) were receiving concomitant glucocorticoids.</w:t>
      </w:r>
    </w:p>
    <w:p w14:paraId="7A85EC7D" w14:textId="67A44990" w:rsidR="0056265A" w:rsidRDefault="0056265A" w:rsidP="00B44C63">
      <w:r>
        <w:t>A total of 351 patients received standard 4</w:t>
      </w:r>
      <w:r w:rsidR="0013021A">
        <w:t xml:space="preserve"> </w:t>
      </w:r>
      <w:r>
        <w:t xml:space="preserve">h Infusion 1. Subsequently, 341/351 (97.2%) received Infusion 2, 290/351 (82.6%) received Infusion 3 and 278/351 (79.2%) received Infusion 4. However, </w:t>
      </w:r>
      <w:r w:rsidR="005549BB">
        <w:t xml:space="preserve">not </w:t>
      </w:r>
      <w:r>
        <w:t xml:space="preserve">all </w:t>
      </w:r>
      <w:proofErr w:type="gramStart"/>
      <w:r>
        <w:t>patients  receive</w:t>
      </w:r>
      <w:r w:rsidR="005549BB">
        <w:t>d</w:t>
      </w:r>
      <w:proofErr w:type="gramEnd"/>
      <w:r>
        <w:t xml:space="preserve"> the intended faster infusion for the </w:t>
      </w:r>
      <w:r w:rsidR="00E47464">
        <w:t>second</w:t>
      </w:r>
      <w:r>
        <w:t xml:space="preserve"> and subsequent infusions. The 2</w:t>
      </w:r>
      <w:r w:rsidR="0013021A">
        <w:t xml:space="preserve"> </w:t>
      </w:r>
      <w:r>
        <w:t>h infusion was received by 337/351 (92%) patients at Infusion 2, 289/351 (82%) at Infusion 3 and 278/351 (79%) at Infusion 4.</w:t>
      </w:r>
    </w:p>
    <w:p w14:paraId="7ECE7357" w14:textId="77777777" w:rsidR="0056265A" w:rsidRDefault="0056265A" w:rsidP="00B44C63">
      <w:pPr>
        <w:rPr>
          <w:rFonts w:eastAsia="SymbolMT"/>
          <w:lang w:val="en-US"/>
        </w:rPr>
      </w:pPr>
      <w:r>
        <w:t xml:space="preserve">The primary outcome was </w:t>
      </w:r>
      <w:r>
        <w:rPr>
          <w:lang w:val="en-US"/>
        </w:rPr>
        <w:t xml:space="preserve">the incidence of IRRs associated with the </w:t>
      </w:r>
      <w:r w:rsidR="00E47464">
        <w:rPr>
          <w:lang w:val="en-US"/>
        </w:rPr>
        <w:t>second</w:t>
      </w:r>
      <w:r>
        <w:rPr>
          <w:lang w:val="en-US"/>
        </w:rPr>
        <w:t xml:space="preserve"> rituximab infusion. There were a number of related secondary outcomes. </w:t>
      </w:r>
      <w:r>
        <w:rPr>
          <w:rFonts w:eastAsia="SymbolMT"/>
          <w:lang w:val="en-US"/>
        </w:rPr>
        <w:t>The data were also analysed by previously rituximab-naïve and rituximab-experienced status.</w:t>
      </w:r>
    </w:p>
    <w:p w14:paraId="512BBB3A" w14:textId="77777777" w:rsidR="0013021A" w:rsidRDefault="0056265A" w:rsidP="00B44C63">
      <w:pPr>
        <w:rPr>
          <w:rFonts w:eastAsia="SymbolMT"/>
          <w:lang w:val="en-US"/>
        </w:rPr>
      </w:pPr>
      <w:r>
        <w:rPr>
          <w:rFonts w:eastAsia="SymbolMT"/>
          <w:lang w:val="en-US"/>
        </w:rPr>
        <w:t xml:space="preserve">The results were as </w:t>
      </w:r>
      <w:r w:rsidR="0013021A">
        <w:rPr>
          <w:rFonts w:eastAsia="SymbolMT"/>
          <w:lang w:val="en-US"/>
        </w:rPr>
        <w:t>shown in Table 9.</w:t>
      </w:r>
    </w:p>
    <w:p w14:paraId="15BA8C32" w14:textId="77777777" w:rsidR="0056265A" w:rsidRDefault="0013021A" w:rsidP="0013021A">
      <w:pPr>
        <w:pStyle w:val="Tabletitle0"/>
        <w:rPr>
          <w:rFonts w:eastAsia="MS Mincho"/>
          <w:lang w:eastAsia="ja-JP"/>
        </w:rPr>
      </w:pPr>
      <w:r>
        <w:rPr>
          <w:lang w:val="en-US"/>
        </w:rPr>
        <w:t>Table 9</w:t>
      </w:r>
      <w:r w:rsidR="0056265A">
        <w:rPr>
          <w:lang w:val="en-US"/>
        </w:rPr>
        <w:t>:</w:t>
      </w:r>
      <w:r>
        <w:rPr>
          <w:lang w:val="en-US"/>
        </w:rPr>
        <w:t xml:space="preserve"> Incidence of adverse events associated with Infusions 1-4</w:t>
      </w:r>
    </w:p>
    <w:tbl>
      <w:tblPr>
        <w:tblStyle w:val="TableTGAblue"/>
        <w:tblW w:w="8505" w:type="dxa"/>
        <w:tblInd w:w="108" w:type="dxa"/>
        <w:tblLayout w:type="fixed"/>
        <w:tblLook w:val="04A0" w:firstRow="1" w:lastRow="0" w:firstColumn="1" w:lastColumn="0" w:noHBand="0" w:noVBand="1"/>
      </w:tblPr>
      <w:tblGrid>
        <w:gridCol w:w="2268"/>
        <w:gridCol w:w="1701"/>
        <w:gridCol w:w="1560"/>
        <w:gridCol w:w="1559"/>
        <w:gridCol w:w="1417"/>
      </w:tblGrid>
      <w:tr w:rsidR="0056265A" w14:paraId="6524EEF4" w14:textId="77777777" w:rsidTr="006E4508">
        <w:trPr>
          <w:cnfStyle w:val="100000000000" w:firstRow="1" w:lastRow="0" w:firstColumn="0" w:lastColumn="0" w:oddVBand="0" w:evenVBand="0" w:oddHBand="0" w:evenHBand="0" w:firstRowFirstColumn="0" w:firstRowLastColumn="0" w:lastRowFirstColumn="0" w:lastRowLastColumn="0"/>
        </w:trPr>
        <w:tc>
          <w:tcPr>
            <w:tcW w:w="2268" w:type="dxa"/>
            <w:hideMark/>
          </w:tcPr>
          <w:p w14:paraId="30A111C3" w14:textId="77777777" w:rsidR="0056265A" w:rsidRPr="0013021A" w:rsidRDefault="0056265A" w:rsidP="0013021A">
            <w:pPr>
              <w:rPr>
                <w:rFonts w:asciiTheme="minorHAnsi" w:eastAsia="MS Mincho" w:hAnsiTheme="minorHAnsi"/>
                <w:sz w:val="20"/>
                <w:szCs w:val="20"/>
                <w:lang w:eastAsia="ja-JP"/>
              </w:rPr>
            </w:pPr>
            <w:bookmarkStart w:id="112" w:name="_Results_for_the"/>
            <w:bookmarkEnd w:id="112"/>
            <w:r w:rsidRPr="0013021A">
              <w:rPr>
                <w:rFonts w:asciiTheme="minorHAnsi" w:hAnsiTheme="minorHAnsi"/>
                <w:sz w:val="20"/>
                <w:szCs w:val="20"/>
                <w:lang w:val="en-US"/>
              </w:rPr>
              <w:t>S</w:t>
            </w:r>
            <w:r w:rsidRPr="0013021A">
              <w:rPr>
                <w:rFonts w:asciiTheme="minorHAnsi" w:hAnsiTheme="minorHAnsi"/>
                <w:sz w:val="20"/>
                <w:szCs w:val="20"/>
              </w:rPr>
              <w:t>tudy ML25641</w:t>
            </w:r>
          </w:p>
        </w:tc>
        <w:tc>
          <w:tcPr>
            <w:tcW w:w="1701" w:type="dxa"/>
            <w:hideMark/>
          </w:tcPr>
          <w:p w14:paraId="2E333723"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Infusion 1</w:t>
            </w:r>
          </w:p>
          <w:p w14:paraId="7DD7169F"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(Day 1)</w:t>
            </w:r>
          </w:p>
        </w:tc>
        <w:tc>
          <w:tcPr>
            <w:tcW w:w="1560" w:type="dxa"/>
            <w:hideMark/>
          </w:tcPr>
          <w:p w14:paraId="3F8BDAF5"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Infusion 2</w:t>
            </w:r>
          </w:p>
          <w:p w14:paraId="735BB2F5"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(Day 15)</w:t>
            </w:r>
          </w:p>
        </w:tc>
        <w:tc>
          <w:tcPr>
            <w:tcW w:w="1559" w:type="dxa"/>
            <w:hideMark/>
          </w:tcPr>
          <w:p w14:paraId="1FED458F"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Infusion 3</w:t>
            </w:r>
          </w:p>
          <w:p w14:paraId="6C924FCB"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(Day 168)</w:t>
            </w:r>
          </w:p>
        </w:tc>
        <w:tc>
          <w:tcPr>
            <w:tcW w:w="1417" w:type="dxa"/>
            <w:hideMark/>
          </w:tcPr>
          <w:p w14:paraId="440C1E93"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Infusion 4</w:t>
            </w:r>
          </w:p>
          <w:p w14:paraId="1FFDC2BF"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(Day 182)</w:t>
            </w:r>
          </w:p>
        </w:tc>
      </w:tr>
      <w:tr w:rsidR="0056265A" w14:paraId="3D89868C" w14:textId="77777777" w:rsidTr="006E4508">
        <w:tc>
          <w:tcPr>
            <w:tcW w:w="2268" w:type="dxa"/>
            <w:hideMark/>
          </w:tcPr>
          <w:p w14:paraId="54EFF11D"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Percent (incidence)</w:t>
            </w:r>
          </w:p>
          <w:p w14:paraId="1401C3A6"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[95%CI]</w:t>
            </w:r>
          </w:p>
        </w:tc>
        <w:tc>
          <w:tcPr>
            <w:tcW w:w="1701" w:type="dxa"/>
            <w:hideMark/>
          </w:tcPr>
          <w:p w14:paraId="22BB702D"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N = 351</w:t>
            </w:r>
          </w:p>
        </w:tc>
        <w:tc>
          <w:tcPr>
            <w:tcW w:w="1560" w:type="dxa"/>
            <w:hideMark/>
          </w:tcPr>
          <w:p w14:paraId="0BCB4305"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N = 337</w:t>
            </w:r>
          </w:p>
        </w:tc>
        <w:tc>
          <w:tcPr>
            <w:tcW w:w="1559" w:type="dxa"/>
            <w:hideMark/>
          </w:tcPr>
          <w:p w14:paraId="0FD6D409"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N = 289</w:t>
            </w:r>
          </w:p>
        </w:tc>
        <w:tc>
          <w:tcPr>
            <w:tcW w:w="1417" w:type="dxa"/>
            <w:hideMark/>
          </w:tcPr>
          <w:p w14:paraId="3F91201B"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N = 278</w:t>
            </w:r>
          </w:p>
        </w:tc>
      </w:tr>
      <w:tr w:rsidR="0056265A" w14:paraId="7EDFD9FE" w14:textId="77777777" w:rsidTr="006E4508">
        <w:tc>
          <w:tcPr>
            <w:tcW w:w="2268" w:type="dxa"/>
            <w:hideMark/>
          </w:tcPr>
          <w:p w14:paraId="5FFB816C"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IRRs</w:t>
            </w:r>
          </w:p>
        </w:tc>
        <w:tc>
          <w:tcPr>
            <w:tcW w:w="1701" w:type="dxa"/>
            <w:hideMark/>
          </w:tcPr>
          <w:p w14:paraId="4EA100E6"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16.2%</w:t>
            </w:r>
          </w:p>
          <w:p w14:paraId="11AC4A47"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[12.5%, 20.5%]</w:t>
            </w:r>
          </w:p>
        </w:tc>
        <w:tc>
          <w:tcPr>
            <w:tcW w:w="1560" w:type="dxa"/>
            <w:hideMark/>
          </w:tcPr>
          <w:p w14:paraId="19AA4DA7"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6.5%</w:t>
            </w:r>
          </w:p>
          <w:p w14:paraId="3571BA90"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[4.1%, 9.7%]</w:t>
            </w:r>
          </w:p>
        </w:tc>
        <w:tc>
          <w:tcPr>
            <w:tcW w:w="1559" w:type="dxa"/>
            <w:hideMark/>
          </w:tcPr>
          <w:p w14:paraId="670EF74F"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5.9%</w:t>
            </w:r>
          </w:p>
          <w:p w14:paraId="4432791A"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[3.5%, 9.3%]</w:t>
            </w:r>
          </w:p>
        </w:tc>
        <w:tc>
          <w:tcPr>
            <w:tcW w:w="1417" w:type="dxa"/>
            <w:hideMark/>
          </w:tcPr>
          <w:p w14:paraId="5F5CA765"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0.7%</w:t>
            </w:r>
          </w:p>
          <w:p w14:paraId="008EBC71"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[0.1%, 2.6%]</w:t>
            </w:r>
          </w:p>
        </w:tc>
      </w:tr>
      <w:tr w:rsidR="0056265A" w14:paraId="150AEB51" w14:textId="77777777" w:rsidTr="006E4508">
        <w:tc>
          <w:tcPr>
            <w:tcW w:w="2268" w:type="dxa"/>
            <w:hideMark/>
          </w:tcPr>
          <w:p w14:paraId="6CBAE626"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SIRRs</w:t>
            </w:r>
          </w:p>
        </w:tc>
        <w:tc>
          <w:tcPr>
            <w:tcW w:w="1701" w:type="dxa"/>
            <w:hideMark/>
          </w:tcPr>
          <w:p w14:paraId="591C355E"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w:t>
            </w:r>
          </w:p>
          <w:p w14:paraId="2A3830D7"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 1.0%]</w:t>
            </w:r>
          </w:p>
        </w:tc>
        <w:tc>
          <w:tcPr>
            <w:tcW w:w="1560" w:type="dxa"/>
            <w:hideMark/>
          </w:tcPr>
          <w:p w14:paraId="48B66BD7"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w:t>
            </w:r>
          </w:p>
          <w:p w14:paraId="1953F8BD"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 1.1%]</w:t>
            </w:r>
          </w:p>
        </w:tc>
        <w:tc>
          <w:tcPr>
            <w:tcW w:w="1559" w:type="dxa"/>
            <w:hideMark/>
          </w:tcPr>
          <w:p w14:paraId="457A3823"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w:t>
            </w:r>
          </w:p>
          <w:p w14:paraId="7CC86982"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 1.3%]</w:t>
            </w:r>
          </w:p>
        </w:tc>
        <w:tc>
          <w:tcPr>
            <w:tcW w:w="1417" w:type="dxa"/>
            <w:hideMark/>
          </w:tcPr>
          <w:p w14:paraId="2F84956A"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w:t>
            </w:r>
          </w:p>
          <w:p w14:paraId="0C64E0A6"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 1.3%]</w:t>
            </w:r>
          </w:p>
        </w:tc>
      </w:tr>
      <w:tr w:rsidR="0056265A" w14:paraId="4C9DD62C" w14:textId="77777777" w:rsidTr="006E4508">
        <w:tc>
          <w:tcPr>
            <w:tcW w:w="2268" w:type="dxa"/>
            <w:hideMark/>
          </w:tcPr>
          <w:p w14:paraId="5EF23FF1"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AEs</w:t>
            </w:r>
          </w:p>
        </w:tc>
        <w:tc>
          <w:tcPr>
            <w:tcW w:w="1701" w:type="dxa"/>
            <w:hideMark/>
          </w:tcPr>
          <w:p w14:paraId="0E8BDF43"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17.7%</w:t>
            </w:r>
          </w:p>
          <w:p w14:paraId="2700D798"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[13.8%, 22.1%]</w:t>
            </w:r>
          </w:p>
        </w:tc>
        <w:tc>
          <w:tcPr>
            <w:tcW w:w="1560" w:type="dxa"/>
            <w:hideMark/>
          </w:tcPr>
          <w:p w14:paraId="665BBC48"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7.1%</w:t>
            </w:r>
          </w:p>
          <w:p w14:paraId="6852FCBB"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[4.6%, 10.4%]</w:t>
            </w:r>
          </w:p>
        </w:tc>
        <w:tc>
          <w:tcPr>
            <w:tcW w:w="1559" w:type="dxa"/>
            <w:hideMark/>
          </w:tcPr>
          <w:p w14:paraId="52B68553"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7.6%</w:t>
            </w:r>
          </w:p>
          <w:p w14:paraId="3F259080"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[4.8%, 11.3%]</w:t>
            </w:r>
          </w:p>
        </w:tc>
        <w:tc>
          <w:tcPr>
            <w:tcW w:w="1417" w:type="dxa"/>
            <w:hideMark/>
          </w:tcPr>
          <w:p w14:paraId="1F25660E"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1.8%</w:t>
            </w:r>
          </w:p>
          <w:p w14:paraId="78C8DB9C"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[0.6%, 4.1%]</w:t>
            </w:r>
          </w:p>
        </w:tc>
      </w:tr>
      <w:tr w:rsidR="0056265A" w14:paraId="2E32530A" w14:textId="77777777" w:rsidTr="006E4508">
        <w:tc>
          <w:tcPr>
            <w:tcW w:w="2268" w:type="dxa"/>
            <w:hideMark/>
          </w:tcPr>
          <w:p w14:paraId="5E2E4267"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SAEs</w:t>
            </w:r>
          </w:p>
        </w:tc>
        <w:tc>
          <w:tcPr>
            <w:tcW w:w="1701" w:type="dxa"/>
            <w:hideMark/>
          </w:tcPr>
          <w:p w14:paraId="2FB66341"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w:t>
            </w:r>
          </w:p>
          <w:p w14:paraId="030A756E"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 1.0%]</w:t>
            </w:r>
          </w:p>
        </w:tc>
        <w:tc>
          <w:tcPr>
            <w:tcW w:w="1560" w:type="dxa"/>
            <w:hideMark/>
          </w:tcPr>
          <w:p w14:paraId="4347B502"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w:t>
            </w:r>
          </w:p>
          <w:p w14:paraId="30F7E279"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 1.1%]</w:t>
            </w:r>
          </w:p>
        </w:tc>
        <w:tc>
          <w:tcPr>
            <w:tcW w:w="1559" w:type="dxa"/>
            <w:hideMark/>
          </w:tcPr>
          <w:p w14:paraId="30B81725"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w:t>
            </w:r>
          </w:p>
          <w:p w14:paraId="215CC275"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 1.3%]</w:t>
            </w:r>
          </w:p>
        </w:tc>
        <w:tc>
          <w:tcPr>
            <w:tcW w:w="1417" w:type="dxa"/>
            <w:hideMark/>
          </w:tcPr>
          <w:p w14:paraId="7E9CB813"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w:t>
            </w:r>
          </w:p>
          <w:p w14:paraId="5D4EAC3C"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 1.3%]</w:t>
            </w:r>
          </w:p>
        </w:tc>
      </w:tr>
      <w:tr w:rsidR="0056265A" w14:paraId="161A3862" w14:textId="77777777" w:rsidTr="006E4508">
        <w:tc>
          <w:tcPr>
            <w:tcW w:w="2268" w:type="dxa"/>
            <w:hideMark/>
          </w:tcPr>
          <w:p w14:paraId="5BA866EC"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CTC (Grade 3 or 4)</w:t>
            </w:r>
          </w:p>
        </w:tc>
        <w:tc>
          <w:tcPr>
            <w:tcW w:w="1701" w:type="dxa"/>
            <w:hideMark/>
          </w:tcPr>
          <w:p w14:paraId="66813FBA"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0.6%</w:t>
            </w:r>
          </w:p>
          <w:p w14:paraId="0776B42A"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[0.1%, 2.0%]</w:t>
            </w:r>
          </w:p>
        </w:tc>
        <w:tc>
          <w:tcPr>
            <w:tcW w:w="1560" w:type="dxa"/>
            <w:hideMark/>
          </w:tcPr>
          <w:p w14:paraId="6FEA70D1"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0.6%</w:t>
            </w:r>
          </w:p>
          <w:p w14:paraId="0FF6FFA9"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[0.1%, 2.1%]</w:t>
            </w:r>
          </w:p>
        </w:tc>
        <w:tc>
          <w:tcPr>
            <w:tcW w:w="1559" w:type="dxa"/>
            <w:hideMark/>
          </w:tcPr>
          <w:p w14:paraId="11BAA215"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w:t>
            </w:r>
          </w:p>
          <w:p w14:paraId="3FE8AF22"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 1.3%]</w:t>
            </w:r>
          </w:p>
        </w:tc>
        <w:tc>
          <w:tcPr>
            <w:tcW w:w="1417" w:type="dxa"/>
            <w:hideMark/>
          </w:tcPr>
          <w:p w14:paraId="5C938B55"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w:t>
            </w:r>
          </w:p>
          <w:p w14:paraId="23552FDF"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[0.0, 1.3%]</w:t>
            </w:r>
          </w:p>
        </w:tc>
      </w:tr>
      <w:tr w:rsidR="0056265A" w14:paraId="1D0381FA" w14:textId="77777777" w:rsidTr="006E4508">
        <w:tc>
          <w:tcPr>
            <w:tcW w:w="2268" w:type="dxa"/>
            <w:hideMark/>
          </w:tcPr>
          <w:p w14:paraId="06F1CE30" w14:textId="77777777" w:rsidR="007A3E92" w:rsidRDefault="0056265A" w:rsidP="0013021A">
            <w:pPr>
              <w:rPr>
                <w:rFonts w:asciiTheme="minorHAnsi" w:hAnsiTheme="minorHAnsi"/>
                <w:sz w:val="20"/>
                <w:szCs w:val="20"/>
              </w:rPr>
            </w:pPr>
            <w:r w:rsidRPr="0013021A">
              <w:rPr>
                <w:rFonts w:asciiTheme="minorHAnsi" w:hAnsiTheme="minorHAnsi"/>
                <w:sz w:val="20"/>
                <w:szCs w:val="20"/>
              </w:rPr>
              <w:t>Stopping/slowing/</w:t>
            </w:r>
          </w:p>
          <w:p w14:paraId="057FBEF7" w14:textId="77777777" w:rsidR="0056265A" w:rsidRPr="0013021A" w:rsidRDefault="006E4508" w:rsidP="007A3E92">
            <w:pPr>
              <w:rPr>
                <w:rFonts w:asciiTheme="minorHAnsi" w:eastAsia="MS Mincho" w:hAnsiTheme="minorHAnsi"/>
                <w:sz w:val="20"/>
                <w:szCs w:val="20"/>
                <w:lang w:eastAsia="ja-JP"/>
              </w:rPr>
            </w:pPr>
            <w:r>
              <w:rPr>
                <w:rFonts w:asciiTheme="minorHAnsi" w:hAnsiTheme="minorHAnsi"/>
                <w:sz w:val="20"/>
                <w:szCs w:val="20"/>
              </w:rPr>
              <w:t>i</w:t>
            </w:r>
            <w:r w:rsidR="0056265A" w:rsidRPr="0013021A">
              <w:rPr>
                <w:rFonts w:asciiTheme="minorHAnsi" w:hAnsiTheme="minorHAnsi"/>
                <w:sz w:val="20"/>
                <w:szCs w:val="20"/>
              </w:rPr>
              <w:t>nterrupting</w:t>
            </w:r>
            <w:r w:rsidR="007A3E92">
              <w:rPr>
                <w:rFonts w:asciiTheme="minorHAnsi" w:hAnsiTheme="minorHAnsi"/>
                <w:sz w:val="20"/>
                <w:szCs w:val="20"/>
              </w:rPr>
              <w:t xml:space="preserve"> </w:t>
            </w:r>
            <w:r w:rsidR="0056265A" w:rsidRPr="0013021A">
              <w:rPr>
                <w:rFonts w:asciiTheme="minorHAnsi" w:hAnsiTheme="minorHAnsi"/>
                <w:sz w:val="20"/>
                <w:szCs w:val="20"/>
              </w:rPr>
              <w:t xml:space="preserve">the </w:t>
            </w:r>
            <w:r w:rsidR="0056265A" w:rsidRPr="0013021A">
              <w:rPr>
                <w:rFonts w:asciiTheme="minorHAnsi" w:hAnsiTheme="minorHAnsi"/>
                <w:sz w:val="20"/>
                <w:szCs w:val="20"/>
              </w:rPr>
              <w:lastRenderedPageBreak/>
              <w:t>infusion</w:t>
            </w:r>
          </w:p>
        </w:tc>
        <w:tc>
          <w:tcPr>
            <w:tcW w:w="1701" w:type="dxa"/>
            <w:hideMark/>
          </w:tcPr>
          <w:p w14:paraId="10CDADB3"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lastRenderedPageBreak/>
              <w:t>12.3%</w:t>
            </w:r>
          </w:p>
          <w:p w14:paraId="3D8D66B2"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 xml:space="preserve">[9.0%, </w:t>
            </w:r>
            <w:r w:rsidRPr="0013021A">
              <w:rPr>
                <w:rFonts w:asciiTheme="minorHAnsi" w:hAnsiTheme="minorHAnsi"/>
                <w:sz w:val="20"/>
                <w:szCs w:val="20"/>
              </w:rPr>
              <w:lastRenderedPageBreak/>
              <w:t>16.1%]</w:t>
            </w:r>
          </w:p>
        </w:tc>
        <w:tc>
          <w:tcPr>
            <w:tcW w:w="1560" w:type="dxa"/>
            <w:hideMark/>
          </w:tcPr>
          <w:p w14:paraId="74A99D1E"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lastRenderedPageBreak/>
              <w:t>3.9%</w:t>
            </w:r>
          </w:p>
          <w:p w14:paraId="29FD7BAA"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 xml:space="preserve">[2.1%, </w:t>
            </w:r>
            <w:r w:rsidRPr="0013021A">
              <w:rPr>
                <w:rFonts w:asciiTheme="minorHAnsi" w:hAnsiTheme="minorHAnsi"/>
                <w:sz w:val="20"/>
                <w:szCs w:val="20"/>
              </w:rPr>
              <w:lastRenderedPageBreak/>
              <w:t>6.5%]</w:t>
            </w:r>
          </w:p>
        </w:tc>
        <w:tc>
          <w:tcPr>
            <w:tcW w:w="1559" w:type="dxa"/>
            <w:hideMark/>
          </w:tcPr>
          <w:p w14:paraId="7C7DF4A8"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lastRenderedPageBreak/>
              <w:t>6.6%</w:t>
            </w:r>
          </w:p>
          <w:p w14:paraId="071FD150"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 xml:space="preserve">[4.0%, </w:t>
            </w:r>
            <w:r w:rsidRPr="0013021A">
              <w:rPr>
                <w:rFonts w:asciiTheme="minorHAnsi" w:hAnsiTheme="minorHAnsi"/>
                <w:sz w:val="20"/>
                <w:szCs w:val="20"/>
              </w:rPr>
              <w:lastRenderedPageBreak/>
              <w:t>10.1%]</w:t>
            </w:r>
          </w:p>
        </w:tc>
        <w:tc>
          <w:tcPr>
            <w:tcW w:w="1417" w:type="dxa"/>
            <w:hideMark/>
          </w:tcPr>
          <w:p w14:paraId="6AAD9C56"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lastRenderedPageBreak/>
              <w:t>1.1%</w:t>
            </w:r>
          </w:p>
          <w:p w14:paraId="21538AE0" w14:textId="37BEC351" w:rsidR="0056265A" w:rsidRPr="0013021A" w:rsidRDefault="0056265A" w:rsidP="007139F3">
            <w:pPr>
              <w:rPr>
                <w:rFonts w:asciiTheme="minorHAnsi" w:eastAsia="MS Mincho" w:hAnsiTheme="minorHAnsi"/>
                <w:sz w:val="20"/>
                <w:szCs w:val="20"/>
                <w:lang w:eastAsia="ja-JP"/>
              </w:rPr>
            </w:pPr>
            <w:r w:rsidRPr="0013021A">
              <w:rPr>
                <w:rFonts w:asciiTheme="minorHAnsi" w:hAnsiTheme="minorHAnsi"/>
                <w:sz w:val="20"/>
                <w:szCs w:val="20"/>
              </w:rPr>
              <w:t xml:space="preserve">[0.2%, </w:t>
            </w:r>
            <w:r w:rsidR="007139F3">
              <w:rPr>
                <w:rFonts w:asciiTheme="minorHAnsi" w:hAnsiTheme="minorHAnsi"/>
                <w:sz w:val="20"/>
                <w:szCs w:val="20"/>
              </w:rPr>
              <w:lastRenderedPageBreak/>
              <w:t>3.1</w:t>
            </w:r>
            <w:r w:rsidRPr="0013021A">
              <w:rPr>
                <w:rFonts w:asciiTheme="minorHAnsi" w:hAnsiTheme="minorHAnsi"/>
                <w:sz w:val="20"/>
                <w:szCs w:val="20"/>
              </w:rPr>
              <w:t>%]</w:t>
            </w:r>
          </w:p>
        </w:tc>
      </w:tr>
      <w:tr w:rsidR="0056265A" w14:paraId="72A95C1D" w14:textId="77777777" w:rsidTr="006E4508">
        <w:tc>
          <w:tcPr>
            <w:tcW w:w="2268" w:type="dxa"/>
            <w:hideMark/>
          </w:tcPr>
          <w:p w14:paraId="2A9E1C0E" w14:textId="77777777" w:rsidR="006E4508" w:rsidRDefault="0056265A" w:rsidP="006E4508">
            <w:pPr>
              <w:spacing w:after="0"/>
              <w:rPr>
                <w:rFonts w:asciiTheme="minorHAnsi" w:hAnsiTheme="minorHAnsi"/>
                <w:sz w:val="20"/>
                <w:szCs w:val="20"/>
              </w:rPr>
            </w:pPr>
            <w:r w:rsidRPr="0013021A">
              <w:rPr>
                <w:rFonts w:asciiTheme="minorHAnsi" w:hAnsiTheme="minorHAnsi"/>
                <w:sz w:val="20"/>
                <w:szCs w:val="20"/>
              </w:rPr>
              <w:lastRenderedPageBreak/>
              <w:t>Stopping/slowing/</w:t>
            </w:r>
          </w:p>
          <w:p w14:paraId="0EA6FC76" w14:textId="77777777" w:rsidR="0056265A" w:rsidRPr="0013021A" w:rsidRDefault="0056265A" w:rsidP="006E4508">
            <w:pPr>
              <w:spacing w:before="0" w:after="0"/>
              <w:rPr>
                <w:rFonts w:asciiTheme="minorHAnsi" w:eastAsia="MS Mincho" w:hAnsiTheme="minorHAnsi"/>
                <w:sz w:val="20"/>
                <w:szCs w:val="20"/>
                <w:lang w:eastAsia="ja-JP"/>
              </w:rPr>
            </w:pPr>
            <w:r w:rsidRPr="0013021A">
              <w:rPr>
                <w:rFonts w:asciiTheme="minorHAnsi" w:hAnsiTheme="minorHAnsi"/>
                <w:sz w:val="20"/>
                <w:szCs w:val="20"/>
              </w:rPr>
              <w:t>interrupting</w:t>
            </w:r>
            <w:r w:rsidR="006E4508">
              <w:rPr>
                <w:rFonts w:asciiTheme="minorHAnsi" w:hAnsiTheme="minorHAnsi"/>
                <w:sz w:val="20"/>
                <w:szCs w:val="20"/>
              </w:rPr>
              <w:t xml:space="preserve"> </w:t>
            </w:r>
            <w:r w:rsidRPr="0013021A">
              <w:rPr>
                <w:rFonts w:asciiTheme="minorHAnsi" w:hAnsiTheme="minorHAnsi"/>
                <w:sz w:val="20"/>
                <w:szCs w:val="20"/>
              </w:rPr>
              <w:t>the infusion due to AE</w:t>
            </w:r>
          </w:p>
        </w:tc>
        <w:tc>
          <w:tcPr>
            <w:tcW w:w="1701" w:type="dxa"/>
            <w:hideMark/>
          </w:tcPr>
          <w:p w14:paraId="372FF743"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10.3%</w:t>
            </w:r>
          </w:p>
          <w:p w14:paraId="462D8840"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[7.3%, 13.9%]</w:t>
            </w:r>
          </w:p>
        </w:tc>
        <w:tc>
          <w:tcPr>
            <w:tcW w:w="1560" w:type="dxa"/>
            <w:hideMark/>
          </w:tcPr>
          <w:p w14:paraId="5BD0E0F5"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2.7%</w:t>
            </w:r>
          </w:p>
          <w:p w14:paraId="7752EB72"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[1.2%, 5.0%]</w:t>
            </w:r>
          </w:p>
        </w:tc>
        <w:tc>
          <w:tcPr>
            <w:tcW w:w="1559" w:type="dxa"/>
            <w:hideMark/>
          </w:tcPr>
          <w:p w14:paraId="431F6974"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5.5%</w:t>
            </w:r>
          </w:p>
          <w:p w14:paraId="271D567E"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[3.2%, 8.8%]</w:t>
            </w:r>
          </w:p>
        </w:tc>
        <w:tc>
          <w:tcPr>
            <w:tcW w:w="1417" w:type="dxa"/>
            <w:hideMark/>
          </w:tcPr>
          <w:p w14:paraId="2B8BE0F6" w14:textId="77777777" w:rsidR="0056265A" w:rsidRPr="0013021A" w:rsidRDefault="0056265A" w:rsidP="0013021A">
            <w:pPr>
              <w:rPr>
                <w:rFonts w:asciiTheme="minorHAnsi" w:eastAsia="MS Mincho" w:hAnsiTheme="minorHAnsi"/>
                <w:sz w:val="20"/>
                <w:szCs w:val="20"/>
                <w:lang w:eastAsia="ja-JP"/>
              </w:rPr>
            </w:pPr>
            <w:r w:rsidRPr="0013021A">
              <w:rPr>
                <w:rFonts w:asciiTheme="minorHAnsi" w:hAnsiTheme="minorHAnsi"/>
                <w:sz w:val="20"/>
                <w:szCs w:val="20"/>
              </w:rPr>
              <w:t>0.7%</w:t>
            </w:r>
          </w:p>
          <w:p w14:paraId="30421842" w14:textId="2C57DB03" w:rsidR="0056265A" w:rsidRPr="0013021A" w:rsidRDefault="0056265A" w:rsidP="007139F3">
            <w:pPr>
              <w:rPr>
                <w:rFonts w:asciiTheme="minorHAnsi" w:eastAsia="MS Mincho" w:hAnsiTheme="minorHAnsi"/>
                <w:sz w:val="20"/>
                <w:szCs w:val="20"/>
                <w:lang w:eastAsia="ja-JP"/>
              </w:rPr>
            </w:pPr>
            <w:r w:rsidRPr="0013021A">
              <w:rPr>
                <w:rFonts w:asciiTheme="minorHAnsi" w:hAnsiTheme="minorHAnsi"/>
                <w:sz w:val="20"/>
                <w:szCs w:val="20"/>
              </w:rPr>
              <w:t xml:space="preserve">[0.1%, </w:t>
            </w:r>
            <w:r w:rsidR="007139F3">
              <w:rPr>
                <w:rFonts w:asciiTheme="minorHAnsi" w:hAnsiTheme="minorHAnsi"/>
                <w:sz w:val="20"/>
                <w:szCs w:val="20"/>
              </w:rPr>
              <w:t>2.6</w:t>
            </w:r>
            <w:r w:rsidRPr="0013021A">
              <w:rPr>
                <w:rFonts w:asciiTheme="minorHAnsi" w:hAnsiTheme="minorHAnsi"/>
                <w:sz w:val="20"/>
                <w:szCs w:val="20"/>
              </w:rPr>
              <w:t>%]</w:t>
            </w:r>
          </w:p>
        </w:tc>
      </w:tr>
    </w:tbl>
    <w:p w14:paraId="663FB0F4" w14:textId="77777777" w:rsidR="0056265A" w:rsidRDefault="0056265A" w:rsidP="0013021A">
      <w:pPr>
        <w:pStyle w:val="Tabletext"/>
        <w:rPr>
          <w:rFonts w:eastAsia="MS Mincho"/>
          <w:lang w:eastAsia="ja-JP"/>
        </w:rPr>
      </w:pPr>
      <w:r>
        <w:t>IRRs = infusion related reactions; SIRRS = serious infusion related reactions; CTC = common toxicity criteria; AEs = adverse events; SAEs = serious AEs</w:t>
      </w:r>
    </w:p>
    <w:p w14:paraId="34747A8D" w14:textId="77777777" w:rsidR="0056265A" w:rsidRDefault="0056265A" w:rsidP="00B44C63">
      <w:r w:rsidRPr="00BB2EAC">
        <w:t>For analysis by subgroups (rituximab naive v</w:t>
      </w:r>
      <w:r w:rsidR="0013021A" w:rsidRPr="00BB2EAC">
        <w:t>ersus</w:t>
      </w:r>
      <w:r w:rsidRPr="00BB2EAC">
        <w:t xml:space="preserve"> experienced), please see </w:t>
      </w:r>
      <w:r w:rsidR="00BB2EAC" w:rsidRPr="00BB2EAC">
        <w:t>Attachment 2</w:t>
      </w:r>
      <w:r w:rsidRPr="00BB2EAC">
        <w:t xml:space="preserve"> Table </w:t>
      </w:r>
      <w:r w:rsidR="00BB2EAC" w:rsidRPr="00BB2EAC">
        <w:t>12</w:t>
      </w:r>
      <w:r w:rsidRPr="00BB2EAC">
        <w:t>.</w:t>
      </w:r>
    </w:p>
    <w:p w14:paraId="738E3B00" w14:textId="77777777" w:rsidR="0056265A" w:rsidRDefault="0056265A" w:rsidP="0013021A">
      <w:pPr>
        <w:pStyle w:val="Heading5"/>
      </w:pPr>
      <w:bookmarkStart w:id="113" w:name="_Toc395285763"/>
      <w:r>
        <w:t xml:space="preserve">Historical </w:t>
      </w:r>
      <w:bookmarkEnd w:id="113"/>
      <w:r>
        <w:t>data</w:t>
      </w:r>
    </w:p>
    <w:p w14:paraId="327A6FA7" w14:textId="7103179B" w:rsidR="0056265A" w:rsidRDefault="0056265A" w:rsidP="00B44C63">
      <w:pPr>
        <w:rPr>
          <w:lang w:val="en-US"/>
        </w:rPr>
      </w:pPr>
      <w:bookmarkStart w:id="114" w:name="_Studies_providing_the"/>
      <w:bookmarkEnd w:id="114"/>
      <w:r>
        <w:rPr>
          <w:lang w:val="en-US"/>
        </w:rPr>
        <w:t>The weighted average of IRRs incidence (to account for rituximab</w:t>
      </w:r>
      <w:r w:rsidR="0013021A">
        <w:rPr>
          <w:lang w:val="en-US"/>
        </w:rPr>
        <w:t xml:space="preserve"> </w:t>
      </w:r>
      <w:r>
        <w:rPr>
          <w:lang w:val="en-US"/>
        </w:rPr>
        <w:t xml:space="preserve">experienced patients in the </w:t>
      </w:r>
      <w:r w:rsidR="0013021A">
        <w:rPr>
          <w:lang w:val="en-US"/>
        </w:rPr>
        <w:t>S</w:t>
      </w:r>
      <w:r>
        <w:rPr>
          <w:lang w:val="en-US"/>
        </w:rPr>
        <w:t>tudy ML2564</w:t>
      </w:r>
      <w:r w:rsidR="00512DF6">
        <w:rPr>
          <w:lang w:val="en-US"/>
        </w:rPr>
        <w:t>1</w:t>
      </w:r>
      <w:r>
        <w:rPr>
          <w:lang w:val="en-US"/>
        </w:rPr>
        <w:t>) in historical controls was provided for comparison as follows:</w:t>
      </w:r>
    </w:p>
    <w:p w14:paraId="1E1A2EDD" w14:textId="77777777" w:rsidR="0056265A" w:rsidRDefault="0013021A" w:rsidP="003F5EE2">
      <w:pPr>
        <w:pStyle w:val="Tabletitle0"/>
        <w:rPr>
          <w:rFonts w:asciiTheme="minorHAnsi" w:hAnsiTheme="minorHAnsi"/>
          <w:lang w:eastAsia="ja-JP"/>
        </w:rPr>
      </w:pPr>
      <w:r>
        <w:rPr>
          <w:lang w:val="en-US"/>
        </w:rPr>
        <w:t>Table 10: Expected control incidence of IRR for rituximab administered at the labelled rates.</w:t>
      </w:r>
      <w:r w:rsidR="0056265A">
        <w:rPr>
          <w:rFonts w:asciiTheme="minorHAnsi" w:hAnsiTheme="minorHAnsi"/>
          <w:noProof/>
          <w:color w:val="FF0000"/>
          <w:lang w:eastAsia="en-AU"/>
        </w:rPr>
        <w:drawing>
          <wp:inline distT="0" distB="0" distL="0" distR="0" wp14:anchorId="2F53A988" wp14:editId="379B9F0C">
            <wp:extent cx="4715584" cy="1560510"/>
            <wp:effectExtent l="0" t="0" r="0" b="1905"/>
            <wp:docPr id="1" name="Picture 1" descr="Table 10: Expected control incidence of IRR for rituximab administered at the labell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t="26351"/>
                    <a:stretch/>
                  </pic:blipFill>
                  <pic:spPr bwMode="auto">
                    <a:xfrm>
                      <a:off x="0" y="0"/>
                      <a:ext cx="4718738" cy="1561554"/>
                    </a:xfrm>
                    <a:prstGeom prst="rect">
                      <a:avLst/>
                    </a:prstGeom>
                    <a:noFill/>
                    <a:ln>
                      <a:noFill/>
                    </a:ln>
                    <a:extLst>
                      <a:ext uri="{53640926-AAD7-44D8-BBD7-CCE9431645EC}">
                        <a14:shadowObscured xmlns:a14="http://schemas.microsoft.com/office/drawing/2010/main"/>
                      </a:ext>
                    </a:extLst>
                  </pic:spPr>
                </pic:pic>
              </a:graphicData>
            </a:graphic>
          </wp:inline>
        </w:drawing>
      </w:r>
    </w:p>
    <w:p w14:paraId="6D849BEA" w14:textId="77777777" w:rsidR="0056265A" w:rsidRDefault="0056265A" w:rsidP="00B44C63">
      <w:r>
        <w:t>In a previous study WA17047, the incidence (unique patients) of IRRs (2 x 1.0g rituximab group) was as follows:</w:t>
      </w:r>
    </w:p>
    <w:p w14:paraId="135E52BA" w14:textId="77777777" w:rsidR="0056265A" w:rsidRPr="0013021A" w:rsidRDefault="0056265A" w:rsidP="0013021A">
      <w:pPr>
        <w:pStyle w:val="ListBullet"/>
      </w:pPr>
      <w:r w:rsidRPr="0013021A">
        <w:t>15.3% (infusion 1</w:t>
      </w:r>
      <w:r w:rsidR="0013021A">
        <w:t>) and 4.9% (infusion 2) during C</w:t>
      </w:r>
      <w:r w:rsidRPr="0013021A">
        <w:t>ourse 1.</w:t>
      </w:r>
    </w:p>
    <w:p w14:paraId="249860A5" w14:textId="77777777" w:rsidR="0056265A" w:rsidRPr="0013021A" w:rsidRDefault="0056265A" w:rsidP="0013021A">
      <w:pPr>
        <w:pStyle w:val="ListBullet"/>
      </w:pPr>
      <w:r w:rsidRPr="0013021A">
        <w:t>8.5% (infusion 1</w:t>
      </w:r>
      <w:r w:rsidR="0013021A">
        <w:t>) and 2.9% (infusion 2) during C</w:t>
      </w:r>
      <w:r w:rsidRPr="0013021A">
        <w:t>ourse 2.</w:t>
      </w:r>
    </w:p>
    <w:p w14:paraId="04C060D4" w14:textId="77777777" w:rsidR="0056265A" w:rsidRPr="0013021A" w:rsidRDefault="0056265A" w:rsidP="0013021A">
      <w:pPr>
        <w:pStyle w:val="ListBullet"/>
      </w:pPr>
      <w:r w:rsidRPr="0013021A">
        <w:t>8.8% (infusion 1</w:t>
      </w:r>
      <w:r w:rsidR="0013021A">
        <w:t>) and 3.6% (infusion 2) during C</w:t>
      </w:r>
      <w:r w:rsidRPr="0013021A">
        <w:t>ourse 3.</w:t>
      </w:r>
    </w:p>
    <w:p w14:paraId="634F520C" w14:textId="77777777" w:rsidR="0056265A" w:rsidRDefault="0056265A" w:rsidP="00B44C63">
      <w:r>
        <w:t>In a previous study WA17045, the incidence (unique patients) of IRRs (2 x 1.0g rituximab group) was as follows:</w:t>
      </w:r>
    </w:p>
    <w:p w14:paraId="750B7690" w14:textId="77777777" w:rsidR="0056265A" w:rsidRDefault="0056265A" w:rsidP="00B44C63">
      <w:pPr>
        <w:pStyle w:val="ListBullet"/>
      </w:pPr>
      <w:r>
        <w:t>25% (infusion</w:t>
      </w:r>
      <w:r w:rsidR="0013021A">
        <w:t xml:space="preserve"> 1) and 6% (infusion 2) during C</w:t>
      </w:r>
      <w:r>
        <w:t>ourse 1.</w:t>
      </w:r>
    </w:p>
    <w:p w14:paraId="53D07B35" w14:textId="77777777" w:rsidR="0056265A" w:rsidRDefault="0056265A" w:rsidP="00B44C63">
      <w:pPr>
        <w:pStyle w:val="ListBullet"/>
      </w:pPr>
      <w:r>
        <w:t>10% (infusion</w:t>
      </w:r>
      <w:r w:rsidR="0013021A">
        <w:t xml:space="preserve"> 1) and 5% (infusion 2) during C</w:t>
      </w:r>
      <w:r>
        <w:t>ourse 2.</w:t>
      </w:r>
    </w:p>
    <w:p w14:paraId="001374B4" w14:textId="77777777" w:rsidR="0056265A" w:rsidRPr="0013021A" w:rsidRDefault="0056265A" w:rsidP="00B44C63">
      <w:pPr>
        <w:rPr>
          <w:i/>
        </w:rPr>
      </w:pPr>
      <w:r>
        <w:t xml:space="preserve">Note the </w:t>
      </w:r>
      <w:r w:rsidR="0013021A">
        <w:t>I</w:t>
      </w:r>
      <w:r>
        <w:t xml:space="preserve">nfusions 1 and 2 in any course of treatment in this historical dataset are expected to be standard </w:t>
      </w:r>
      <w:r w:rsidRPr="006C379E">
        <w:t>4</w:t>
      </w:r>
      <w:r w:rsidR="0013021A" w:rsidRPr="006C379E">
        <w:t xml:space="preserve"> </w:t>
      </w:r>
      <w:r w:rsidRPr="006C379E">
        <w:t>h and 3</w:t>
      </w:r>
      <w:r w:rsidR="0013021A" w:rsidRPr="006C379E">
        <w:t xml:space="preserve"> </w:t>
      </w:r>
      <w:r w:rsidRPr="006C379E">
        <w:t xml:space="preserve">h infusions respectively based on the current approval. </w:t>
      </w:r>
      <w:r w:rsidRPr="006C379E">
        <w:rPr>
          <w:i/>
        </w:rPr>
        <w:t xml:space="preserve">The sponsor is requested to confirm this in </w:t>
      </w:r>
      <w:r w:rsidR="006C379E">
        <w:rPr>
          <w:i/>
        </w:rPr>
        <w:t>their</w:t>
      </w:r>
      <w:r w:rsidRPr="006C379E">
        <w:rPr>
          <w:i/>
        </w:rPr>
        <w:t xml:space="preserve"> pre</w:t>
      </w:r>
      <w:r w:rsidR="006C379E" w:rsidRPr="006C379E">
        <w:rPr>
          <w:i/>
        </w:rPr>
        <w:t xml:space="preserve"> Advisory Committee on Prescription Medicines (</w:t>
      </w:r>
      <w:r w:rsidRPr="006C379E">
        <w:rPr>
          <w:i/>
        </w:rPr>
        <w:t>ACPM</w:t>
      </w:r>
      <w:r w:rsidR="006C379E" w:rsidRPr="006C379E">
        <w:rPr>
          <w:i/>
        </w:rPr>
        <w:t>)</w:t>
      </w:r>
      <w:r w:rsidRPr="006C379E">
        <w:rPr>
          <w:i/>
        </w:rPr>
        <w:t xml:space="preserve"> response.</w:t>
      </w:r>
    </w:p>
    <w:p w14:paraId="0570C5B5" w14:textId="77777777" w:rsidR="0056265A" w:rsidRDefault="0056265A" w:rsidP="0013021A">
      <w:pPr>
        <w:pStyle w:val="Heading4"/>
        <w:rPr>
          <w:noProof/>
          <w:lang w:eastAsia="en-AU"/>
        </w:rPr>
      </w:pPr>
      <w:r w:rsidRPr="0013021A">
        <w:t>Clinical</w:t>
      </w:r>
      <w:r>
        <w:rPr>
          <w:noProof/>
          <w:lang w:eastAsia="en-AU"/>
        </w:rPr>
        <w:t xml:space="preserve"> Safety</w:t>
      </w:r>
    </w:p>
    <w:p w14:paraId="525D5997" w14:textId="77777777" w:rsidR="0013021A" w:rsidRDefault="0056265A" w:rsidP="00B44C63">
      <w:r>
        <w:t xml:space="preserve">No new or unexpected findings were reported compared to the current adverse effects </w:t>
      </w:r>
      <w:r w:rsidRPr="00B44C63">
        <w:t xml:space="preserve">profile of rituximab in RA patients. The infusion related adverse outcomes were treated as </w:t>
      </w:r>
      <w:r w:rsidRPr="00B44C63">
        <w:lastRenderedPageBreak/>
        <w:t>main safety/efficacy outcomes as reported above.</w:t>
      </w:r>
      <w:bookmarkStart w:id="115" w:name="_Pivotal_studies_1"/>
      <w:bookmarkStart w:id="116" w:name="_Pivotal_studies_2"/>
      <w:bookmarkStart w:id="117" w:name="_Pivotal_studies_3"/>
      <w:bookmarkStart w:id="118" w:name="_Post-marketing_data"/>
      <w:bookmarkStart w:id="119" w:name="_Toc395285777"/>
      <w:bookmarkEnd w:id="115"/>
      <w:bookmarkEnd w:id="116"/>
      <w:bookmarkEnd w:id="117"/>
      <w:bookmarkEnd w:id="118"/>
      <w:r w:rsidRPr="00B44C63">
        <w:t xml:space="preserve"> No post</w:t>
      </w:r>
      <w:r w:rsidR="0013021A">
        <w:t xml:space="preserve"> </w:t>
      </w:r>
      <w:r w:rsidRPr="00B44C63">
        <w:t>approval data are available yet with respect to the rapid 2</w:t>
      </w:r>
      <w:r w:rsidR="0013021A">
        <w:t xml:space="preserve"> </w:t>
      </w:r>
      <w:r w:rsidRPr="00B44C63">
        <w:t xml:space="preserve">h infusion. </w:t>
      </w:r>
      <w:bookmarkEnd w:id="119"/>
      <w:r w:rsidRPr="00B44C63">
        <w:t>For a number of published reports of rapid rituximab use please see CER</w:t>
      </w:r>
      <w:r w:rsidR="0013021A">
        <w:t xml:space="preserve"> Attachment 2</w:t>
      </w:r>
      <w:r w:rsidRPr="00B44C63">
        <w:t>.</w:t>
      </w:r>
    </w:p>
    <w:p w14:paraId="6242DD20" w14:textId="77777777" w:rsidR="007A3E92" w:rsidRPr="007A3E92" w:rsidRDefault="007B6132" w:rsidP="006C379E">
      <w:pPr>
        <w:pStyle w:val="Heading4"/>
      </w:pPr>
      <w:r w:rsidRPr="007A3E92">
        <w:t>Clinical evaluator’s recommendation</w:t>
      </w:r>
    </w:p>
    <w:p w14:paraId="3A29F223" w14:textId="77777777" w:rsidR="007A3E92" w:rsidRDefault="007A3E92" w:rsidP="007A3E92">
      <w:r>
        <w:t>The clinical evaluator has no objection to the approval of the alternative, faster infusion schedule of MabThera for RA.</w:t>
      </w:r>
    </w:p>
    <w:p w14:paraId="763AF690" w14:textId="77777777" w:rsidR="008E7846" w:rsidRDefault="00386150" w:rsidP="007B6132">
      <w:pPr>
        <w:pStyle w:val="Heading3"/>
        <w:rPr>
          <w:lang w:eastAsia="en-AU"/>
        </w:rPr>
      </w:pPr>
      <w:bookmarkStart w:id="120" w:name="_Toc430622513"/>
      <w:r>
        <w:rPr>
          <w:lang w:eastAsia="en-AU"/>
        </w:rPr>
        <w:t>Risk m</w:t>
      </w:r>
      <w:r w:rsidR="008E7846">
        <w:rPr>
          <w:lang w:eastAsia="en-AU"/>
        </w:rPr>
        <w:t xml:space="preserve">anagement </w:t>
      </w:r>
      <w:r>
        <w:rPr>
          <w:lang w:eastAsia="en-AU"/>
        </w:rPr>
        <w:t>p</w:t>
      </w:r>
      <w:r w:rsidR="008E7846">
        <w:rPr>
          <w:lang w:eastAsia="en-AU"/>
        </w:rPr>
        <w:t>lan</w:t>
      </w:r>
      <w:bookmarkEnd w:id="107"/>
      <w:bookmarkEnd w:id="120"/>
    </w:p>
    <w:p w14:paraId="4F11E7F3" w14:textId="77777777" w:rsidR="0056265A" w:rsidRDefault="0056265A" w:rsidP="0056265A">
      <w:pPr>
        <w:spacing w:line="240" w:lineRule="auto"/>
        <w:ind w:left="-142" w:right="-143"/>
        <w:jc w:val="both"/>
        <w:rPr>
          <w:rFonts w:asciiTheme="minorHAnsi" w:hAnsiTheme="minorHAnsi"/>
          <w:b/>
          <w:noProof/>
          <w:lang w:eastAsia="en-AU"/>
        </w:rPr>
      </w:pPr>
      <w:r>
        <w:rPr>
          <w:rFonts w:asciiTheme="minorHAnsi" w:hAnsiTheme="minorHAnsi"/>
          <w:noProof/>
          <w:lang w:eastAsia="en-AU"/>
        </w:rPr>
        <w:t>This submission is subject to a Risk Management Plan to the satisfaction of RMP evaluation area and will be a condition of regsitration.</w:t>
      </w:r>
    </w:p>
    <w:p w14:paraId="7CFC3602" w14:textId="77777777" w:rsidR="008E7846" w:rsidRDefault="00AA0ED0" w:rsidP="008E7846">
      <w:pPr>
        <w:pStyle w:val="Heading3"/>
      </w:pPr>
      <w:bookmarkStart w:id="121" w:name="_Toc247691531"/>
      <w:bookmarkStart w:id="122" w:name="_Toc314842515"/>
      <w:bookmarkStart w:id="123" w:name="_Toc430622514"/>
      <w:bookmarkStart w:id="124" w:name="_Toc196046505"/>
      <w:bookmarkStart w:id="125" w:name="_Toc196046949"/>
      <w:r>
        <w:t>Risk-benefit a</w:t>
      </w:r>
      <w:r w:rsidR="008E7846">
        <w:t>nalysis</w:t>
      </w:r>
      <w:bookmarkEnd w:id="121"/>
      <w:bookmarkEnd w:id="122"/>
      <w:bookmarkEnd w:id="123"/>
    </w:p>
    <w:p w14:paraId="72B0D7AB" w14:textId="77777777" w:rsidR="00D23139" w:rsidRDefault="00D23139" w:rsidP="00D23139">
      <w:pPr>
        <w:pStyle w:val="Heading4"/>
      </w:pPr>
      <w:r w:rsidRPr="00D23139">
        <w:t xml:space="preserve">Delegate’s considerations </w:t>
      </w:r>
    </w:p>
    <w:p w14:paraId="054EBF86" w14:textId="77777777" w:rsidR="0056265A" w:rsidRPr="0013021A" w:rsidRDefault="0056265A" w:rsidP="006E4508">
      <w:pPr>
        <w:pStyle w:val="Numberbullet0"/>
        <w:numPr>
          <w:ilvl w:val="0"/>
          <w:numId w:val="11"/>
        </w:numPr>
      </w:pPr>
      <w:r w:rsidRPr="0013021A">
        <w:t xml:space="preserve">The major limitation of </w:t>
      </w:r>
      <w:r w:rsidR="0013021A">
        <w:t>S</w:t>
      </w:r>
      <w:r w:rsidRPr="0013021A">
        <w:t>tudy ML25641, investigating the proposed 2</w:t>
      </w:r>
      <w:r w:rsidR="0013021A">
        <w:t xml:space="preserve"> </w:t>
      </w:r>
      <w:r w:rsidRPr="0013021A">
        <w:t>h rapid infusion schedule in RA patients, was its uncontrolled design</w:t>
      </w:r>
      <w:r w:rsidR="0013021A">
        <w:t>, that is,</w:t>
      </w:r>
      <w:r w:rsidRPr="0013021A">
        <w:t xml:space="preserve"> lack of concurrently treated controls. The selection criteria also excluded patients at high risk at baseline. Although historical data were provided but these are also subject to both selection bias and information bias with no assurance that similar patients under equivalent conditions are being compared.</w:t>
      </w:r>
    </w:p>
    <w:p w14:paraId="391629A8" w14:textId="77777777" w:rsidR="0056265A" w:rsidRPr="0013021A" w:rsidRDefault="0013021A" w:rsidP="0013021A">
      <w:pPr>
        <w:pStyle w:val="Numberbullet0"/>
      </w:pPr>
      <w:r>
        <w:t>It also needs to be emphasis</w:t>
      </w:r>
      <w:r w:rsidR="0056265A" w:rsidRPr="0013021A">
        <w:t>ed that a controlled trial was eminently possible, practical and ethical. Thus it is not entirely clear why a single</w:t>
      </w:r>
      <w:r>
        <w:t xml:space="preserve"> </w:t>
      </w:r>
      <w:r w:rsidR="0056265A" w:rsidRPr="0013021A">
        <w:t>arm design was preferred. Note also that no patient in this study received the currently approved 3</w:t>
      </w:r>
      <w:r>
        <w:t xml:space="preserve"> </w:t>
      </w:r>
      <w:r w:rsidR="0056265A" w:rsidRPr="0013021A">
        <w:t>h infusion for which the 2</w:t>
      </w:r>
      <w:r>
        <w:t xml:space="preserve"> </w:t>
      </w:r>
      <w:r w:rsidR="0056265A" w:rsidRPr="0013021A">
        <w:t>h infusion is the proposed alternative. The sponsor is requested to comment whether any regulatory advice from any jurisdiction was obtained during the planning of this study.</w:t>
      </w:r>
    </w:p>
    <w:p w14:paraId="2248F1CB" w14:textId="77777777" w:rsidR="0056265A" w:rsidRPr="0013021A" w:rsidRDefault="0056265A" w:rsidP="0013021A">
      <w:pPr>
        <w:pStyle w:val="Numberbullet0"/>
      </w:pPr>
      <w:r w:rsidRPr="0013021A">
        <w:t xml:space="preserve">The patient population in </w:t>
      </w:r>
      <w:r w:rsidR="0013021A">
        <w:t>S</w:t>
      </w:r>
      <w:r w:rsidRPr="0013021A">
        <w:t xml:space="preserve">tudy ML25641 was generally consistent with the approved indication of severe RA patients in Australia. The participants appear to have been given the </w:t>
      </w:r>
      <w:r w:rsidR="0013021A">
        <w:t>third</w:t>
      </w:r>
      <w:r w:rsidRPr="0013021A">
        <w:t xml:space="preserve"> and </w:t>
      </w:r>
      <w:r w:rsidR="0013021A">
        <w:t>fourth</w:t>
      </w:r>
      <w:r w:rsidRPr="0013021A">
        <w:t xml:space="preserve"> infusions (</w:t>
      </w:r>
      <w:r w:rsidR="0013021A">
        <w:t>that is,</w:t>
      </w:r>
      <w:r w:rsidRPr="0013021A">
        <w:t xml:space="preserve"> a </w:t>
      </w:r>
      <w:r w:rsidR="00E47464" w:rsidRPr="0013021A">
        <w:t>second</w:t>
      </w:r>
      <w:r w:rsidRPr="0013021A">
        <w:t xml:space="preserve"> course) without a clinical imperative, which would be inconsistent with the current treatment recommendations. The sponsor is requested to clarify this aspect of the study in </w:t>
      </w:r>
      <w:r w:rsidR="006C379E">
        <w:t>their</w:t>
      </w:r>
      <w:r w:rsidRPr="0013021A">
        <w:t xml:space="preserve"> pre-ACPM response.</w:t>
      </w:r>
    </w:p>
    <w:p w14:paraId="6370B177" w14:textId="77777777" w:rsidR="0056265A" w:rsidRPr="006C379E" w:rsidRDefault="0056265A" w:rsidP="0013021A">
      <w:pPr>
        <w:pStyle w:val="Numberbullet0"/>
      </w:pPr>
      <w:r w:rsidRPr="0013021A">
        <w:t xml:space="preserve">The reported incidence of IRRs in </w:t>
      </w:r>
      <w:r w:rsidR="006C379E">
        <w:t>S</w:t>
      </w:r>
      <w:r w:rsidRPr="0013021A">
        <w:rPr>
          <w:lang w:val="en-US"/>
        </w:rPr>
        <w:t xml:space="preserve">tudy ML25641 and the non-concurrent controlled data were as </w:t>
      </w:r>
      <w:r w:rsidR="006C379E">
        <w:rPr>
          <w:lang w:val="en-US"/>
        </w:rPr>
        <w:t>shown in Table 11 below.</w:t>
      </w:r>
    </w:p>
    <w:p w14:paraId="75550F53" w14:textId="77777777" w:rsidR="006C379E" w:rsidRDefault="006C379E" w:rsidP="006C379E">
      <w:pPr>
        <w:pStyle w:val="Tabletitle0"/>
      </w:pPr>
      <w:r>
        <w:rPr>
          <w:lang w:val="en-US"/>
        </w:rPr>
        <w:t>Table 11: Reported incidence of IRRs</w:t>
      </w:r>
    </w:p>
    <w:tbl>
      <w:tblPr>
        <w:tblStyle w:val="TableTGAblue"/>
        <w:tblW w:w="0" w:type="auto"/>
        <w:tblInd w:w="108" w:type="dxa"/>
        <w:tblLook w:val="04A0" w:firstRow="1" w:lastRow="0" w:firstColumn="1" w:lastColumn="0" w:noHBand="0" w:noVBand="1"/>
      </w:tblPr>
      <w:tblGrid>
        <w:gridCol w:w="2224"/>
        <w:gridCol w:w="1674"/>
        <w:gridCol w:w="1537"/>
        <w:gridCol w:w="1674"/>
        <w:gridCol w:w="1503"/>
      </w:tblGrid>
      <w:tr w:rsidR="0056265A" w14:paraId="301E8EDD" w14:textId="77777777" w:rsidTr="006E4508">
        <w:trPr>
          <w:cnfStyle w:val="100000000000" w:firstRow="1" w:lastRow="0" w:firstColumn="0" w:lastColumn="0" w:oddVBand="0" w:evenVBand="0" w:oddHBand="0" w:evenHBand="0" w:firstRowFirstColumn="0" w:firstRowLastColumn="0" w:lastRowFirstColumn="0" w:lastRowLastColumn="0"/>
        </w:trPr>
        <w:tc>
          <w:tcPr>
            <w:tcW w:w="2224" w:type="dxa"/>
            <w:hideMark/>
          </w:tcPr>
          <w:p w14:paraId="5B39CEF9" w14:textId="77777777" w:rsidR="0056265A" w:rsidRPr="006C379E" w:rsidRDefault="0056265A" w:rsidP="006C379E">
            <w:pPr>
              <w:adjustRightInd w:val="0"/>
              <w:snapToGrid w:val="0"/>
              <w:spacing w:line="240" w:lineRule="auto"/>
              <w:ind w:right="-142"/>
              <w:jc w:val="both"/>
              <w:rPr>
                <w:rFonts w:asciiTheme="minorHAnsi" w:eastAsia="MS Mincho" w:hAnsiTheme="minorHAnsi"/>
                <w:sz w:val="18"/>
                <w:szCs w:val="18"/>
                <w:lang w:eastAsia="ja-JP"/>
              </w:rPr>
            </w:pPr>
            <w:r w:rsidRPr="006C379E">
              <w:rPr>
                <w:rFonts w:asciiTheme="minorHAnsi" w:hAnsiTheme="minorHAnsi"/>
                <w:sz w:val="18"/>
                <w:szCs w:val="18"/>
              </w:rPr>
              <w:t>IRRs (%)</w:t>
            </w:r>
          </w:p>
        </w:tc>
        <w:tc>
          <w:tcPr>
            <w:tcW w:w="1674" w:type="dxa"/>
            <w:hideMark/>
          </w:tcPr>
          <w:p w14:paraId="53C60EFB" w14:textId="77777777" w:rsidR="0056265A" w:rsidRPr="006C379E" w:rsidRDefault="0056265A" w:rsidP="006C379E">
            <w:pPr>
              <w:spacing w:after="0" w:line="240" w:lineRule="auto"/>
              <w:ind w:right="-142"/>
              <w:jc w:val="center"/>
              <w:rPr>
                <w:rFonts w:asciiTheme="minorHAnsi" w:eastAsia="MS Mincho" w:hAnsiTheme="minorHAnsi"/>
                <w:sz w:val="16"/>
                <w:szCs w:val="16"/>
                <w:lang w:eastAsia="ja-JP"/>
              </w:rPr>
            </w:pPr>
            <w:r w:rsidRPr="006C379E">
              <w:rPr>
                <w:rFonts w:asciiTheme="minorHAnsi" w:hAnsiTheme="minorHAnsi"/>
                <w:sz w:val="16"/>
                <w:szCs w:val="16"/>
              </w:rPr>
              <w:t>Infusion 1</w:t>
            </w:r>
          </w:p>
          <w:p w14:paraId="70399BEE" w14:textId="77777777" w:rsidR="0056265A" w:rsidRPr="006C379E" w:rsidRDefault="0056265A" w:rsidP="006C379E">
            <w:pPr>
              <w:adjustRightInd w:val="0"/>
              <w:snapToGrid w:val="0"/>
              <w:spacing w:before="0" w:line="240" w:lineRule="auto"/>
              <w:ind w:right="-142"/>
              <w:jc w:val="center"/>
              <w:rPr>
                <w:rFonts w:asciiTheme="minorHAnsi" w:eastAsia="MS Mincho" w:hAnsiTheme="minorHAnsi"/>
                <w:sz w:val="16"/>
                <w:szCs w:val="16"/>
                <w:lang w:eastAsia="ja-JP"/>
              </w:rPr>
            </w:pPr>
            <w:r w:rsidRPr="006C379E">
              <w:rPr>
                <w:rFonts w:asciiTheme="minorHAnsi" w:hAnsiTheme="minorHAnsi"/>
                <w:sz w:val="16"/>
                <w:szCs w:val="16"/>
              </w:rPr>
              <w:t>(4</w:t>
            </w:r>
            <w:r w:rsidR="006C379E">
              <w:rPr>
                <w:rFonts w:asciiTheme="minorHAnsi" w:hAnsiTheme="minorHAnsi"/>
                <w:sz w:val="16"/>
                <w:szCs w:val="16"/>
              </w:rPr>
              <w:t xml:space="preserve"> </w:t>
            </w:r>
            <w:r w:rsidRPr="006C379E">
              <w:rPr>
                <w:rFonts w:asciiTheme="minorHAnsi" w:hAnsiTheme="minorHAnsi"/>
                <w:sz w:val="16"/>
                <w:szCs w:val="16"/>
              </w:rPr>
              <w:t>h)</w:t>
            </w:r>
          </w:p>
        </w:tc>
        <w:tc>
          <w:tcPr>
            <w:tcW w:w="1537" w:type="dxa"/>
            <w:hideMark/>
          </w:tcPr>
          <w:p w14:paraId="6D1FF71D" w14:textId="77777777" w:rsidR="0056265A" w:rsidRPr="006C379E" w:rsidRDefault="0056265A" w:rsidP="006C379E">
            <w:pPr>
              <w:adjustRightInd w:val="0"/>
              <w:snapToGrid w:val="0"/>
              <w:spacing w:line="240" w:lineRule="auto"/>
              <w:ind w:right="-142"/>
              <w:jc w:val="center"/>
              <w:rPr>
                <w:rFonts w:asciiTheme="minorHAnsi" w:eastAsia="MS Mincho" w:hAnsiTheme="minorHAnsi"/>
                <w:sz w:val="16"/>
                <w:szCs w:val="16"/>
                <w:lang w:eastAsia="ja-JP"/>
              </w:rPr>
            </w:pPr>
            <w:r w:rsidRPr="006C379E">
              <w:rPr>
                <w:rFonts w:asciiTheme="minorHAnsi" w:hAnsiTheme="minorHAnsi"/>
                <w:sz w:val="16"/>
                <w:szCs w:val="16"/>
              </w:rPr>
              <w:t>Infusion 2</w:t>
            </w:r>
          </w:p>
        </w:tc>
        <w:tc>
          <w:tcPr>
            <w:tcW w:w="1674" w:type="dxa"/>
            <w:hideMark/>
          </w:tcPr>
          <w:p w14:paraId="7E5804E6" w14:textId="77777777" w:rsidR="0056265A" w:rsidRPr="006C379E" w:rsidRDefault="0056265A" w:rsidP="006C379E">
            <w:pPr>
              <w:adjustRightInd w:val="0"/>
              <w:snapToGrid w:val="0"/>
              <w:spacing w:line="240" w:lineRule="auto"/>
              <w:ind w:right="-142"/>
              <w:jc w:val="center"/>
              <w:rPr>
                <w:rFonts w:asciiTheme="minorHAnsi" w:eastAsia="MS Mincho" w:hAnsiTheme="minorHAnsi"/>
                <w:sz w:val="16"/>
                <w:szCs w:val="16"/>
                <w:lang w:eastAsia="ja-JP"/>
              </w:rPr>
            </w:pPr>
            <w:r w:rsidRPr="006C379E">
              <w:rPr>
                <w:rFonts w:asciiTheme="minorHAnsi" w:hAnsiTheme="minorHAnsi"/>
                <w:sz w:val="16"/>
                <w:szCs w:val="16"/>
              </w:rPr>
              <w:t>Infusion 3</w:t>
            </w:r>
          </w:p>
        </w:tc>
        <w:tc>
          <w:tcPr>
            <w:tcW w:w="1503" w:type="dxa"/>
            <w:hideMark/>
          </w:tcPr>
          <w:p w14:paraId="11C0E504" w14:textId="77777777" w:rsidR="0056265A" w:rsidRPr="006C379E" w:rsidRDefault="0056265A" w:rsidP="006C379E">
            <w:pPr>
              <w:adjustRightInd w:val="0"/>
              <w:snapToGrid w:val="0"/>
              <w:spacing w:line="240" w:lineRule="auto"/>
              <w:ind w:right="-142"/>
              <w:jc w:val="center"/>
              <w:rPr>
                <w:rFonts w:asciiTheme="minorHAnsi" w:eastAsia="MS Mincho" w:hAnsiTheme="minorHAnsi"/>
                <w:sz w:val="16"/>
                <w:szCs w:val="16"/>
                <w:lang w:eastAsia="ja-JP"/>
              </w:rPr>
            </w:pPr>
            <w:r w:rsidRPr="006C379E">
              <w:rPr>
                <w:rFonts w:asciiTheme="minorHAnsi" w:hAnsiTheme="minorHAnsi"/>
                <w:sz w:val="16"/>
                <w:szCs w:val="16"/>
              </w:rPr>
              <w:t>Infusion 4</w:t>
            </w:r>
          </w:p>
        </w:tc>
      </w:tr>
      <w:tr w:rsidR="0056265A" w14:paraId="62193744" w14:textId="77777777" w:rsidTr="006E4508">
        <w:tc>
          <w:tcPr>
            <w:tcW w:w="2224" w:type="dxa"/>
            <w:hideMark/>
          </w:tcPr>
          <w:p w14:paraId="1F5B87E8" w14:textId="77777777" w:rsidR="0056265A" w:rsidRDefault="0056265A" w:rsidP="006C379E">
            <w:pPr>
              <w:keepNext/>
              <w:adjustRightInd w:val="0"/>
              <w:snapToGrid w:val="0"/>
              <w:spacing w:line="240" w:lineRule="auto"/>
              <w:ind w:right="-142"/>
              <w:rPr>
                <w:rFonts w:asciiTheme="minorHAnsi" w:eastAsia="MS Mincho" w:hAnsiTheme="minorHAnsi"/>
                <w:b/>
                <w:sz w:val="16"/>
                <w:szCs w:val="16"/>
                <w:lang w:eastAsia="ja-JP"/>
              </w:rPr>
            </w:pPr>
            <w:r>
              <w:rPr>
                <w:rFonts w:asciiTheme="minorHAnsi" w:hAnsiTheme="minorHAnsi"/>
                <w:b/>
                <w:sz w:val="16"/>
                <w:szCs w:val="16"/>
              </w:rPr>
              <w:t>Study ML25641</w:t>
            </w:r>
          </w:p>
        </w:tc>
        <w:tc>
          <w:tcPr>
            <w:tcW w:w="1674" w:type="dxa"/>
            <w:hideMark/>
          </w:tcPr>
          <w:p w14:paraId="15799E09" w14:textId="77777777" w:rsidR="0056265A" w:rsidRDefault="0056265A" w:rsidP="006C379E">
            <w:pPr>
              <w:keepNext/>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16.2%</w:t>
            </w:r>
          </w:p>
        </w:tc>
        <w:tc>
          <w:tcPr>
            <w:tcW w:w="1537" w:type="dxa"/>
            <w:hideMark/>
          </w:tcPr>
          <w:p w14:paraId="75B06F12" w14:textId="77777777" w:rsidR="0056265A" w:rsidRDefault="0056265A" w:rsidP="006C379E">
            <w:pPr>
              <w:keepNext/>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6.5% (2</w:t>
            </w:r>
            <w:r w:rsidR="006E4508">
              <w:rPr>
                <w:rFonts w:asciiTheme="minorHAnsi" w:hAnsiTheme="minorHAnsi"/>
                <w:sz w:val="16"/>
                <w:szCs w:val="16"/>
              </w:rPr>
              <w:t xml:space="preserve"> </w:t>
            </w:r>
            <w:r>
              <w:rPr>
                <w:rFonts w:asciiTheme="minorHAnsi" w:hAnsiTheme="minorHAnsi"/>
                <w:sz w:val="16"/>
                <w:szCs w:val="16"/>
              </w:rPr>
              <w:t>h)</w:t>
            </w:r>
          </w:p>
        </w:tc>
        <w:tc>
          <w:tcPr>
            <w:tcW w:w="1674" w:type="dxa"/>
            <w:hideMark/>
          </w:tcPr>
          <w:p w14:paraId="0CA20166" w14:textId="77777777" w:rsidR="0056265A" w:rsidRDefault="0056265A" w:rsidP="006C379E">
            <w:pPr>
              <w:keepNext/>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5.9% (2</w:t>
            </w:r>
            <w:r w:rsidR="006E4508">
              <w:rPr>
                <w:rFonts w:asciiTheme="minorHAnsi" w:hAnsiTheme="minorHAnsi"/>
                <w:sz w:val="16"/>
                <w:szCs w:val="16"/>
              </w:rPr>
              <w:t xml:space="preserve"> </w:t>
            </w:r>
            <w:r>
              <w:rPr>
                <w:rFonts w:asciiTheme="minorHAnsi" w:hAnsiTheme="minorHAnsi"/>
                <w:sz w:val="16"/>
                <w:szCs w:val="16"/>
              </w:rPr>
              <w:t>h)</w:t>
            </w:r>
          </w:p>
        </w:tc>
        <w:tc>
          <w:tcPr>
            <w:tcW w:w="1503" w:type="dxa"/>
            <w:hideMark/>
          </w:tcPr>
          <w:p w14:paraId="3E1C6346" w14:textId="77777777" w:rsidR="0056265A" w:rsidRDefault="0056265A" w:rsidP="006C379E">
            <w:pPr>
              <w:keepNext/>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0.7% (2</w:t>
            </w:r>
            <w:r w:rsidR="006E4508">
              <w:rPr>
                <w:rFonts w:asciiTheme="minorHAnsi" w:hAnsiTheme="minorHAnsi"/>
                <w:sz w:val="16"/>
                <w:szCs w:val="16"/>
              </w:rPr>
              <w:t xml:space="preserve"> </w:t>
            </w:r>
            <w:r>
              <w:rPr>
                <w:rFonts w:asciiTheme="minorHAnsi" w:hAnsiTheme="minorHAnsi"/>
                <w:sz w:val="16"/>
                <w:szCs w:val="16"/>
              </w:rPr>
              <w:t>h)</w:t>
            </w:r>
          </w:p>
        </w:tc>
      </w:tr>
      <w:tr w:rsidR="0056265A" w14:paraId="6272EDF8" w14:textId="77777777" w:rsidTr="006E4508">
        <w:tc>
          <w:tcPr>
            <w:tcW w:w="2224" w:type="dxa"/>
            <w:hideMark/>
          </w:tcPr>
          <w:p w14:paraId="7C6A0670" w14:textId="77777777" w:rsidR="0056265A" w:rsidRDefault="0056265A" w:rsidP="006C379E">
            <w:pPr>
              <w:keepNext/>
              <w:adjustRightInd w:val="0"/>
              <w:snapToGrid w:val="0"/>
              <w:spacing w:line="240" w:lineRule="auto"/>
              <w:ind w:right="-142"/>
              <w:rPr>
                <w:rFonts w:asciiTheme="minorHAnsi" w:eastAsia="MS Mincho" w:hAnsiTheme="minorHAnsi"/>
                <w:b/>
                <w:sz w:val="16"/>
                <w:szCs w:val="16"/>
                <w:lang w:eastAsia="ja-JP"/>
              </w:rPr>
            </w:pPr>
            <w:r>
              <w:rPr>
                <w:rFonts w:asciiTheme="minorHAnsi" w:hAnsiTheme="minorHAnsi"/>
                <w:b/>
                <w:sz w:val="16"/>
                <w:szCs w:val="16"/>
              </w:rPr>
              <w:t>Historical data</w:t>
            </w:r>
          </w:p>
        </w:tc>
        <w:tc>
          <w:tcPr>
            <w:tcW w:w="1674" w:type="dxa"/>
            <w:hideMark/>
          </w:tcPr>
          <w:p w14:paraId="0A85F59F" w14:textId="77777777" w:rsidR="0056265A" w:rsidRDefault="0056265A" w:rsidP="006C379E">
            <w:pPr>
              <w:keepNext/>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20.7%</w:t>
            </w:r>
          </w:p>
        </w:tc>
        <w:tc>
          <w:tcPr>
            <w:tcW w:w="1537" w:type="dxa"/>
            <w:hideMark/>
          </w:tcPr>
          <w:p w14:paraId="502C7CD9" w14:textId="77777777" w:rsidR="0056265A" w:rsidRDefault="0056265A" w:rsidP="006C379E">
            <w:pPr>
              <w:keepNext/>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8.1% (3</w:t>
            </w:r>
            <w:r w:rsidR="006E4508">
              <w:rPr>
                <w:rFonts w:asciiTheme="minorHAnsi" w:hAnsiTheme="minorHAnsi"/>
                <w:sz w:val="16"/>
                <w:szCs w:val="16"/>
              </w:rPr>
              <w:t xml:space="preserve"> </w:t>
            </w:r>
            <w:r>
              <w:rPr>
                <w:rFonts w:asciiTheme="minorHAnsi" w:hAnsiTheme="minorHAnsi"/>
                <w:sz w:val="16"/>
                <w:szCs w:val="16"/>
              </w:rPr>
              <w:t>h)</w:t>
            </w:r>
          </w:p>
        </w:tc>
        <w:tc>
          <w:tcPr>
            <w:tcW w:w="1674" w:type="dxa"/>
            <w:hideMark/>
          </w:tcPr>
          <w:p w14:paraId="55BE717D" w14:textId="77777777" w:rsidR="0056265A" w:rsidRDefault="0056265A" w:rsidP="006C379E">
            <w:pPr>
              <w:keepNext/>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11.5% (4</w:t>
            </w:r>
            <w:r w:rsidR="006E4508">
              <w:rPr>
                <w:rFonts w:asciiTheme="minorHAnsi" w:hAnsiTheme="minorHAnsi"/>
                <w:sz w:val="16"/>
                <w:szCs w:val="16"/>
              </w:rPr>
              <w:t xml:space="preserve"> </w:t>
            </w:r>
            <w:r>
              <w:rPr>
                <w:rFonts w:asciiTheme="minorHAnsi" w:hAnsiTheme="minorHAnsi"/>
                <w:sz w:val="16"/>
                <w:szCs w:val="16"/>
              </w:rPr>
              <w:t>h)</w:t>
            </w:r>
          </w:p>
        </w:tc>
        <w:tc>
          <w:tcPr>
            <w:tcW w:w="1503" w:type="dxa"/>
            <w:hideMark/>
          </w:tcPr>
          <w:p w14:paraId="0614AE64" w14:textId="77777777" w:rsidR="0056265A" w:rsidRDefault="0056265A" w:rsidP="006C379E">
            <w:pPr>
              <w:keepNext/>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5.0% (3</w:t>
            </w:r>
            <w:r w:rsidR="006E4508">
              <w:rPr>
                <w:rFonts w:asciiTheme="minorHAnsi" w:hAnsiTheme="minorHAnsi"/>
                <w:sz w:val="16"/>
                <w:szCs w:val="16"/>
              </w:rPr>
              <w:t xml:space="preserve"> </w:t>
            </w:r>
            <w:r>
              <w:rPr>
                <w:rFonts w:asciiTheme="minorHAnsi" w:hAnsiTheme="minorHAnsi"/>
                <w:sz w:val="16"/>
                <w:szCs w:val="16"/>
              </w:rPr>
              <w:t>h)</w:t>
            </w:r>
          </w:p>
        </w:tc>
      </w:tr>
      <w:tr w:rsidR="0056265A" w14:paraId="1E3D0A6C" w14:textId="77777777" w:rsidTr="006E4508">
        <w:tc>
          <w:tcPr>
            <w:tcW w:w="2224" w:type="dxa"/>
            <w:hideMark/>
          </w:tcPr>
          <w:p w14:paraId="6E203369" w14:textId="77777777" w:rsidR="0056265A" w:rsidRDefault="0056265A">
            <w:pPr>
              <w:adjustRightInd w:val="0"/>
              <w:snapToGrid w:val="0"/>
              <w:spacing w:line="240" w:lineRule="auto"/>
              <w:ind w:right="-142"/>
              <w:rPr>
                <w:rFonts w:asciiTheme="minorHAnsi" w:eastAsia="MS Mincho" w:hAnsiTheme="minorHAnsi"/>
                <w:b/>
                <w:sz w:val="16"/>
                <w:szCs w:val="16"/>
                <w:lang w:eastAsia="ja-JP"/>
              </w:rPr>
            </w:pPr>
            <w:r>
              <w:rPr>
                <w:rFonts w:asciiTheme="minorHAnsi" w:hAnsiTheme="minorHAnsi"/>
                <w:b/>
                <w:sz w:val="16"/>
                <w:szCs w:val="16"/>
              </w:rPr>
              <w:t>Study WA17047</w:t>
            </w:r>
          </w:p>
        </w:tc>
        <w:tc>
          <w:tcPr>
            <w:tcW w:w="1674" w:type="dxa"/>
            <w:hideMark/>
          </w:tcPr>
          <w:p w14:paraId="646127B2" w14:textId="77777777" w:rsidR="0056265A" w:rsidRDefault="0056265A">
            <w:pPr>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15.3%</w:t>
            </w:r>
          </w:p>
        </w:tc>
        <w:tc>
          <w:tcPr>
            <w:tcW w:w="1537" w:type="dxa"/>
            <w:hideMark/>
          </w:tcPr>
          <w:p w14:paraId="7E3CCEDF" w14:textId="77777777" w:rsidR="0056265A" w:rsidRDefault="0056265A">
            <w:pPr>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4.9% (3</w:t>
            </w:r>
            <w:r w:rsidR="006E4508">
              <w:rPr>
                <w:rFonts w:asciiTheme="minorHAnsi" w:hAnsiTheme="minorHAnsi"/>
                <w:sz w:val="16"/>
                <w:szCs w:val="16"/>
              </w:rPr>
              <w:t xml:space="preserve"> </w:t>
            </w:r>
            <w:r>
              <w:rPr>
                <w:rFonts w:asciiTheme="minorHAnsi" w:hAnsiTheme="minorHAnsi"/>
                <w:sz w:val="16"/>
                <w:szCs w:val="16"/>
              </w:rPr>
              <w:t>h)</w:t>
            </w:r>
          </w:p>
        </w:tc>
        <w:tc>
          <w:tcPr>
            <w:tcW w:w="1674" w:type="dxa"/>
            <w:hideMark/>
          </w:tcPr>
          <w:p w14:paraId="7DD940D6" w14:textId="77777777" w:rsidR="0056265A" w:rsidRDefault="0056265A">
            <w:pPr>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8.5% (4</w:t>
            </w:r>
            <w:r w:rsidR="006E4508">
              <w:rPr>
                <w:rFonts w:asciiTheme="minorHAnsi" w:hAnsiTheme="minorHAnsi"/>
                <w:sz w:val="16"/>
                <w:szCs w:val="16"/>
              </w:rPr>
              <w:t xml:space="preserve"> </w:t>
            </w:r>
            <w:r>
              <w:rPr>
                <w:rFonts w:asciiTheme="minorHAnsi" w:hAnsiTheme="minorHAnsi"/>
                <w:sz w:val="16"/>
                <w:szCs w:val="16"/>
              </w:rPr>
              <w:t>h)</w:t>
            </w:r>
          </w:p>
        </w:tc>
        <w:tc>
          <w:tcPr>
            <w:tcW w:w="1503" w:type="dxa"/>
            <w:hideMark/>
          </w:tcPr>
          <w:p w14:paraId="12994D74" w14:textId="77777777" w:rsidR="0056265A" w:rsidRDefault="0056265A">
            <w:pPr>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2.9% (3</w:t>
            </w:r>
            <w:r w:rsidR="006E4508">
              <w:rPr>
                <w:rFonts w:asciiTheme="minorHAnsi" w:hAnsiTheme="minorHAnsi"/>
                <w:sz w:val="16"/>
                <w:szCs w:val="16"/>
              </w:rPr>
              <w:t xml:space="preserve"> </w:t>
            </w:r>
            <w:r>
              <w:rPr>
                <w:rFonts w:asciiTheme="minorHAnsi" w:hAnsiTheme="minorHAnsi"/>
                <w:sz w:val="16"/>
                <w:szCs w:val="16"/>
              </w:rPr>
              <w:t>h)</w:t>
            </w:r>
          </w:p>
        </w:tc>
      </w:tr>
      <w:tr w:rsidR="0056265A" w14:paraId="4F35CD06" w14:textId="77777777" w:rsidTr="006E4508">
        <w:tc>
          <w:tcPr>
            <w:tcW w:w="2224" w:type="dxa"/>
            <w:hideMark/>
          </w:tcPr>
          <w:p w14:paraId="26C59C50" w14:textId="77777777" w:rsidR="0056265A" w:rsidRDefault="0056265A">
            <w:pPr>
              <w:adjustRightInd w:val="0"/>
              <w:snapToGrid w:val="0"/>
              <w:spacing w:line="240" w:lineRule="auto"/>
              <w:ind w:right="-142"/>
              <w:rPr>
                <w:rFonts w:asciiTheme="minorHAnsi" w:eastAsia="MS Mincho" w:hAnsiTheme="minorHAnsi"/>
                <w:b/>
                <w:sz w:val="16"/>
                <w:szCs w:val="16"/>
                <w:lang w:eastAsia="ja-JP"/>
              </w:rPr>
            </w:pPr>
            <w:r>
              <w:rPr>
                <w:rFonts w:asciiTheme="minorHAnsi" w:hAnsiTheme="minorHAnsi"/>
                <w:b/>
                <w:sz w:val="16"/>
                <w:szCs w:val="16"/>
              </w:rPr>
              <w:t>Study WA17045</w:t>
            </w:r>
          </w:p>
        </w:tc>
        <w:tc>
          <w:tcPr>
            <w:tcW w:w="1674" w:type="dxa"/>
            <w:hideMark/>
          </w:tcPr>
          <w:p w14:paraId="060A830E" w14:textId="77777777" w:rsidR="0056265A" w:rsidRDefault="0056265A">
            <w:pPr>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25%</w:t>
            </w:r>
          </w:p>
        </w:tc>
        <w:tc>
          <w:tcPr>
            <w:tcW w:w="1537" w:type="dxa"/>
            <w:hideMark/>
          </w:tcPr>
          <w:p w14:paraId="5C526954" w14:textId="77777777" w:rsidR="0056265A" w:rsidRDefault="0056265A">
            <w:pPr>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6% (3</w:t>
            </w:r>
            <w:r w:rsidR="006E4508">
              <w:rPr>
                <w:rFonts w:asciiTheme="minorHAnsi" w:hAnsiTheme="minorHAnsi"/>
                <w:sz w:val="16"/>
                <w:szCs w:val="16"/>
              </w:rPr>
              <w:t xml:space="preserve"> </w:t>
            </w:r>
            <w:r>
              <w:rPr>
                <w:rFonts w:asciiTheme="minorHAnsi" w:hAnsiTheme="minorHAnsi"/>
                <w:sz w:val="16"/>
                <w:szCs w:val="16"/>
              </w:rPr>
              <w:t>h)</w:t>
            </w:r>
          </w:p>
        </w:tc>
        <w:tc>
          <w:tcPr>
            <w:tcW w:w="1674" w:type="dxa"/>
            <w:hideMark/>
          </w:tcPr>
          <w:p w14:paraId="609FB306" w14:textId="77777777" w:rsidR="0056265A" w:rsidRDefault="0056265A">
            <w:pPr>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10% (4</w:t>
            </w:r>
            <w:r w:rsidR="006E4508">
              <w:rPr>
                <w:rFonts w:asciiTheme="minorHAnsi" w:hAnsiTheme="minorHAnsi"/>
                <w:sz w:val="16"/>
                <w:szCs w:val="16"/>
              </w:rPr>
              <w:t xml:space="preserve"> </w:t>
            </w:r>
            <w:r>
              <w:rPr>
                <w:rFonts w:asciiTheme="minorHAnsi" w:hAnsiTheme="minorHAnsi"/>
                <w:sz w:val="16"/>
                <w:szCs w:val="16"/>
              </w:rPr>
              <w:t>h)</w:t>
            </w:r>
          </w:p>
        </w:tc>
        <w:tc>
          <w:tcPr>
            <w:tcW w:w="1503" w:type="dxa"/>
            <w:hideMark/>
          </w:tcPr>
          <w:p w14:paraId="69A3E284" w14:textId="77777777" w:rsidR="0056265A" w:rsidRDefault="0056265A">
            <w:pPr>
              <w:adjustRightInd w:val="0"/>
              <w:snapToGrid w:val="0"/>
              <w:spacing w:line="240" w:lineRule="auto"/>
              <w:ind w:right="-142"/>
              <w:jc w:val="center"/>
              <w:rPr>
                <w:rFonts w:asciiTheme="minorHAnsi" w:eastAsia="MS Mincho" w:hAnsiTheme="minorHAnsi"/>
                <w:sz w:val="16"/>
                <w:szCs w:val="16"/>
                <w:lang w:eastAsia="ja-JP"/>
              </w:rPr>
            </w:pPr>
            <w:r>
              <w:rPr>
                <w:rFonts w:asciiTheme="minorHAnsi" w:hAnsiTheme="minorHAnsi"/>
                <w:sz w:val="16"/>
                <w:szCs w:val="16"/>
              </w:rPr>
              <w:t>5% (3</w:t>
            </w:r>
            <w:r w:rsidR="006E4508">
              <w:rPr>
                <w:rFonts w:asciiTheme="minorHAnsi" w:hAnsiTheme="minorHAnsi"/>
                <w:sz w:val="16"/>
                <w:szCs w:val="16"/>
              </w:rPr>
              <w:t xml:space="preserve"> </w:t>
            </w:r>
            <w:r>
              <w:rPr>
                <w:rFonts w:asciiTheme="minorHAnsi" w:hAnsiTheme="minorHAnsi"/>
                <w:sz w:val="16"/>
                <w:szCs w:val="16"/>
              </w:rPr>
              <w:t>h)</w:t>
            </w:r>
          </w:p>
        </w:tc>
      </w:tr>
    </w:tbl>
    <w:p w14:paraId="5E074EAC" w14:textId="77777777" w:rsidR="0056265A" w:rsidRDefault="0056265A" w:rsidP="006C379E">
      <w:pPr>
        <w:ind w:left="426"/>
      </w:pPr>
      <w:r>
        <w:lastRenderedPageBreak/>
        <w:t>On the face of it, the incidence of IRRs with the 2</w:t>
      </w:r>
      <w:r w:rsidR="006C379E">
        <w:t xml:space="preserve"> </w:t>
      </w:r>
      <w:r>
        <w:t xml:space="preserve">h infusion </w:t>
      </w:r>
      <w:r w:rsidR="006C379E">
        <w:t>at I</w:t>
      </w:r>
      <w:r>
        <w:t>nfusion 2 was similar to incidence of IRRs with the current standard schedule (3</w:t>
      </w:r>
      <w:r w:rsidR="006C379E">
        <w:t xml:space="preserve"> </w:t>
      </w:r>
      <w:r>
        <w:t>h) and furthermore appeared to be safer at subsequent administrations compared to the current standard schedule. This may, however, be a reflection of inherent bias in the single-arm trial design.</w:t>
      </w:r>
    </w:p>
    <w:p w14:paraId="5962011D" w14:textId="77777777" w:rsidR="0056265A" w:rsidRDefault="0056265A" w:rsidP="006C379E">
      <w:pPr>
        <w:pStyle w:val="Numberbullet0"/>
        <w:rPr>
          <w:lang w:val="en-US"/>
        </w:rPr>
      </w:pPr>
      <w:r>
        <w:rPr>
          <w:lang w:val="en-US"/>
        </w:rPr>
        <w:t>A noted earlier, the changes to the dosing schedule proposed in this submission also aim to limit the 4</w:t>
      </w:r>
      <w:r w:rsidR="006C379E">
        <w:rPr>
          <w:lang w:val="en-US"/>
        </w:rPr>
        <w:t xml:space="preserve"> </w:t>
      </w:r>
      <w:r>
        <w:rPr>
          <w:lang w:val="en-US"/>
        </w:rPr>
        <w:t>h infusion to the first ever infusion in a patient. All subsequent infusions can be standard 3</w:t>
      </w:r>
      <w:r w:rsidR="006C379E">
        <w:rPr>
          <w:lang w:val="en-US"/>
        </w:rPr>
        <w:t xml:space="preserve"> </w:t>
      </w:r>
      <w:r>
        <w:rPr>
          <w:lang w:val="en-US"/>
        </w:rPr>
        <w:t>h infusions or 2</w:t>
      </w:r>
      <w:r w:rsidR="006C379E">
        <w:rPr>
          <w:lang w:val="en-US"/>
        </w:rPr>
        <w:t xml:space="preserve"> </w:t>
      </w:r>
      <w:r>
        <w:rPr>
          <w:lang w:val="en-US"/>
        </w:rPr>
        <w:t>h infusions (where there has been no incidence of SIRRs in the past). All proposed changes apply to the RA indication only.</w:t>
      </w:r>
    </w:p>
    <w:p w14:paraId="0FA8B101" w14:textId="77777777" w:rsidR="00FC4A5D" w:rsidRDefault="0056265A" w:rsidP="0056265A">
      <w:pPr>
        <w:rPr>
          <w:rFonts w:asciiTheme="minorHAnsi" w:hAnsiTheme="minorHAnsi"/>
          <w:lang w:val="en-US"/>
        </w:rPr>
      </w:pPr>
      <w:r>
        <w:rPr>
          <w:rFonts w:asciiTheme="minorHAnsi" w:hAnsiTheme="minorHAnsi"/>
          <w:lang w:val="en-US"/>
        </w:rPr>
        <w:t>Advice from ACPM is sought regarding the validity and robustness of the supporting uncontrolled data as acceptable evidence of efficacy and safety of the proposed 2</w:t>
      </w:r>
      <w:r w:rsidR="006C379E">
        <w:rPr>
          <w:rFonts w:asciiTheme="minorHAnsi" w:hAnsiTheme="minorHAnsi"/>
          <w:lang w:val="en-US"/>
        </w:rPr>
        <w:t xml:space="preserve"> </w:t>
      </w:r>
      <w:r>
        <w:rPr>
          <w:rFonts w:asciiTheme="minorHAnsi" w:hAnsiTheme="minorHAnsi"/>
          <w:lang w:val="en-US"/>
        </w:rPr>
        <w:t>h alternative schedule for use in RA patients. The Committee is also requested to advice on the clinical suitability of accompanying changes that will result in a recommendation to use the slower 4</w:t>
      </w:r>
      <w:r w:rsidR="006C379E">
        <w:rPr>
          <w:rFonts w:asciiTheme="minorHAnsi" w:hAnsiTheme="minorHAnsi"/>
          <w:lang w:val="en-US"/>
        </w:rPr>
        <w:t xml:space="preserve"> </w:t>
      </w:r>
      <w:r>
        <w:rPr>
          <w:rFonts w:asciiTheme="minorHAnsi" w:hAnsiTheme="minorHAnsi"/>
          <w:lang w:val="en-US"/>
        </w:rPr>
        <w:t xml:space="preserve">h schedule for the </w:t>
      </w:r>
      <w:r w:rsidR="00E47464">
        <w:rPr>
          <w:rFonts w:asciiTheme="minorHAnsi" w:hAnsiTheme="minorHAnsi"/>
          <w:lang w:val="en-US"/>
        </w:rPr>
        <w:t>first</w:t>
      </w:r>
      <w:r>
        <w:rPr>
          <w:rFonts w:asciiTheme="minorHAnsi" w:hAnsiTheme="minorHAnsi"/>
          <w:lang w:val="en-US"/>
        </w:rPr>
        <w:t xml:space="preserve"> dose in a patient so that in subsequent courses of treatment either a 3</w:t>
      </w:r>
      <w:r w:rsidR="006C379E">
        <w:rPr>
          <w:rFonts w:asciiTheme="minorHAnsi" w:hAnsiTheme="minorHAnsi"/>
          <w:lang w:val="en-US"/>
        </w:rPr>
        <w:t xml:space="preserve"> </w:t>
      </w:r>
      <w:r>
        <w:rPr>
          <w:rFonts w:asciiTheme="minorHAnsi" w:hAnsiTheme="minorHAnsi"/>
          <w:lang w:val="en-US"/>
        </w:rPr>
        <w:t>h or a 2</w:t>
      </w:r>
      <w:r w:rsidR="006C379E">
        <w:rPr>
          <w:rFonts w:asciiTheme="minorHAnsi" w:hAnsiTheme="minorHAnsi"/>
          <w:lang w:val="en-US"/>
        </w:rPr>
        <w:t xml:space="preserve"> </w:t>
      </w:r>
      <w:r>
        <w:rPr>
          <w:rFonts w:asciiTheme="minorHAnsi" w:hAnsiTheme="minorHAnsi"/>
          <w:lang w:val="en-US"/>
        </w:rPr>
        <w:t>h (where no SIRRs has occurred in the past) infusion schedule may be used</w:t>
      </w:r>
      <w:r w:rsidR="00FC4A5D">
        <w:rPr>
          <w:rFonts w:asciiTheme="minorHAnsi" w:hAnsiTheme="minorHAnsi"/>
          <w:lang w:val="en-US"/>
        </w:rPr>
        <w:t>.</w:t>
      </w:r>
    </w:p>
    <w:p w14:paraId="4522CB4C" w14:textId="5946E414" w:rsidR="0056265A" w:rsidRDefault="0056265A" w:rsidP="00B44C63">
      <w:pPr>
        <w:pStyle w:val="Heading4"/>
        <w:rPr>
          <w:noProof/>
          <w:lang w:eastAsia="en-AU"/>
        </w:rPr>
      </w:pPr>
      <w:r>
        <w:rPr>
          <w:noProof/>
          <w:lang w:eastAsia="en-AU"/>
        </w:rPr>
        <w:t>Summary of Issues</w:t>
      </w:r>
    </w:p>
    <w:p w14:paraId="3D83E863" w14:textId="77777777" w:rsidR="00FC4A5D" w:rsidRDefault="0056265A" w:rsidP="0056265A">
      <w:pPr>
        <w:rPr>
          <w:rFonts w:asciiTheme="minorHAnsi" w:hAnsiTheme="minorHAnsi"/>
          <w:noProof/>
          <w:lang w:eastAsia="en-AU"/>
        </w:rPr>
      </w:pPr>
      <w:r>
        <w:rPr>
          <w:rFonts w:asciiTheme="minorHAnsi" w:hAnsiTheme="minorHAnsi"/>
          <w:noProof/>
          <w:lang w:eastAsia="en-AU"/>
        </w:rPr>
        <w:t>Adequacy of supporting dataset for the new/alternative rapid (2</w:t>
      </w:r>
      <w:r w:rsidR="006C379E">
        <w:rPr>
          <w:rFonts w:asciiTheme="minorHAnsi" w:hAnsiTheme="minorHAnsi"/>
          <w:noProof/>
          <w:lang w:eastAsia="en-AU"/>
        </w:rPr>
        <w:t xml:space="preserve"> </w:t>
      </w:r>
      <w:r>
        <w:rPr>
          <w:rFonts w:asciiTheme="minorHAnsi" w:hAnsiTheme="minorHAnsi"/>
          <w:noProof/>
          <w:lang w:eastAsia="en-AU"/>
        </w:rPr>
        <w:t>h) infusion schedule and appropriateness of the consequent proposed changes to the current infusion schedule</w:t>
      </w:r>
      <w:r w:rsidR="00FC4A5D">
        <w:rPr>
          <w:rFonts w:asciiTheme="minorHAnsi" w:hAnsiTheme="minorHAnsi"/>
          <w:noProof/>
          <w:lang w:eastAsia="en-AU"/>
        </w:rPr>
        <w:t>.</w:t>
      </w:r>
    </w:p>
    <w:p w14:paraId="79C2F297" w14:textId="559B2FC1" w:rsidR="0056265A" w:rsidRPr="00B44C63" w:rsidRDefault="00D23139" w:rsidP="00B44C63">
      <w:pPr>
        <w:pStyle w:val="Heading4"/>
      </w:pPr>
      <w:r w:rsidRPr="00D23139">
        <w:t>Proposed action</w:t>
      </w:r>
      <w:r w:rsidR="0056265A" w:rsidRPr="0056265A">
        <w:rPr>
          <w:rFonts w:asciiTheme="minorHAnsi" w:hAnsiTheme="minorHAnsi"/>
          <w:szCs w:val="22"/>
        </w:rPr>
        <w:t xml:space="preserve"> </w:t>
      </w:r>
    </w:p>
    <w:p w14:paraId="46E1965F" w14:textId="77777777" w:rsidR="0056265A" w:rsidRPr="0056265A" w:rsidRDefault="006C379E" w:rsidP="009B025A">
      <w:r>
        <w:t>The Delegate is</w:t>
      </w:r>
      <w:r w:rsidR="0056265A">
        <w:t xml:space="preserve"> not in a position to say, at this time, that the application for </w:t>
      </w:r>
      <w:r>
        <w:t xml:space="preserve">MabThera </w:t>
      </w:r>
      <w:r w:rsidR="0056265A">
        <w:t>(rituximab) for addition of an alternative 2</w:t>
      </w:r>
      <w:r>
        <w:t xml:space="preserve"> </w:t>
      </w:r>
      <w:r w:rsidR="0056265A">
        <w:t>h infusion schedule should be approved for registration</w:t>
      </w:r>
    </w:p>
    <w:p w14:paraId="57529CBE" w14:textId="77777777" w:rsidR="00D23139" w:rsidRPr="00B44C63" w:rsidRDefault="00D23139" w:rsidP="00B44C63">
      <w:pPr>
        <w:pStyle w:val="Heading4"/>
      </w:pPr>
      <w:r w:rsidRPr="00D23139">
        <w:t>Request for ACPM advice</w:t>
      </w:r>
    </w:p>
    <w:p w14:paraId="175403E3" w14:textId="77777777" w:rsidR="0056265A" w:rsidRDefault="0056265A" w:rsidP="0056265A">
      <w:pPr>
        <w:spacing w:line="240" w:lineRule="auto"/>
        <w:rPr>
          <w:rFonts w:asciiTheme="minorHAnsi" w:eastAsia="MS Mincho" w:hAnsiTheme="minorHAnsi"/>
          <w:noProof/>
          <w:lang w:eastAsia="en-AU"/>
        </w:rPr>
      </w:pPr>
      <w:r>
        <w:rPr>
          <w:rFonts w:asciiTheme="minorHAnsi" w:hAnsiTheme="minorHAnsi"/>
          <w:noProof/>
          <w:lang w:eastAsia="en-AU"/>
        </w:rPr>
        <w:t>The Committee is requested to provide advice on the following specific issues:</w:t>
      </w:r>
    </w:p>
    <w:p w14:paraId="0D25CD4C" w14:textId="77777777" w:rsidR="0056265A" w:rsidRDefault="0056265A" w:rsidP="006E4508">
      <w:pPr>
        <w:pStyle w:val="Numberbullet0"/>
        <w:numPr>
          <w:ilvl w:val="0"/>
          <w:numId w:val="8"/>
        </w:numPr>
        <w:rPr>
          <w:noProof/>
          <w:lang w:eastAsia="en-AU"/>
        </w:rPr>
      </w:pPr>
      <w:r w:rsidRPr="00B44C63">
        <w:rPr>
          <w:lang w:val="en-US"/>
        </w:rPr>
        <w:t>Does the ACPM accept the validity and robustness of the supporting uncontrolled data as reliable evidence of efficacy and safety for the proposed 2</w:t>
      </w:r>
      <w:r w:rsidR="006C379E">
        <w:rPr>
          <w:lang w:val="en-US"/>
        </w:rPr>
        <w:t xml:space="preserve"> </w:t>
      </w:r>
      <w:r w:rsidRPr="00B44C63">
        <w:rPr>
          <w:lang w:val="en-US"/>
        </w:rPr>
        <w:t>h alternative schedule for use in RA patients</w:t>
      </w:r>
      <w:r>
        <w:rPr>
          <w:noProof/>
          <w:lang w:eastAsia="en-AU"/>
        </w:rPr>
        <w:t>?</w:t>
      </w:r>
    </w:p>
    <w:p w14:paraId="7E418810" w14:textId="77777777" w:rsidR="0056265A" w:rsidRDefault="0056265A" w:rsidP="006E4508">
      <w:pPr>
        <w:pStyle w:val="Numberbullet0"/>
        <w:numPr>
          <w:ilvl w:val="0"/>
          <w:numId w:val="8"/>
        </w:numPr>
        <w:rPr>
          <w:noProof/>
          <w:lang w:eastAsia="en-AU"/>
        </w:rPr>
      </w:pPr>
      <w:r>
        <w:rPr>
          <w:noProof/>
          <w:lang w:eastAsia="en-AU"/>
        </w:rPr>
        <w:t>Does the Committee consider the</w:t>
      </w:r>
      <w:r w:rsidRPr="00B44C63">
        <w:rPr>
          <w:lang w:val="en-US"/>
        </w:rPr>
        <w:t xml:space="preserve"> accompanying changes that will result in a recommendation to use the slower 4</w:t>
      </w:r>
      <w:r w:rsidR="006C379E">
        <w:rPr>
          <w:lang w:val="en-US"/>
        </w:rPr>
        <w:t xml:space="preserve"> </w:t>
      </w:r>
      <w:r w:rsidRPr="00B44C63">
        <w:rPr>
          <w:lang w:val="en-US"/>
        </w:rPr>
        <w:t xml:space="preserve">h schedule for the </w:t>
      </w:r>
      <w:r w:rsidR="00E47464">
        <w:rPr>
          <w:lang w:val="en-US"/>
        </w:rPr>
        <w:t>first</w:t>
      </w:r>
      <w:r w:rsidRPr="00B44C63">
        <w:rPr>
          <w:lang w:val="en-US"/>
        </w:rPr>
        <w:t xml:space="preserve"> dose in a patient so that in subsequent courses of treatment either a 3</w:t>
      </w:r>
      <w:r w:rsidR="006C379E">
        <w:rPr>
          <w:lang w:val="en-US"/>
        </w:rPr>
        <w:t xml:space="preserve"> </w:t>
      </w:r>
      <w:r w:rsidRPr="00B44C63">
        <w:rPr>
          <w:lang w:val="en-US"/>
        </w:rPr>
        <w:t>h or a 2</w:t>
      </w:r>
      <w:r w:rsidR="006C379E">
        <w:rPr>
          <w:lang w:val="en-US"/>
        </w:rPr>
        <w:t xml:space="preserve"> </w:t>
      </w:r>
      <w:r w:rsidRPr="00B44C63">
        <w:rPr>
          <w:lang w:val="en-US"/>
        </w:rPr>
        <w:t>h (where no SIRR has occurred in the past) infusion schedule could be used as clinically desirable?</w:t>
      </w:r>
    </w:p>
    <w:p w14:paraId="583B3DED" w14:textId="77777777" w:rsidR="00FC4A5D" w:rsidRDefault="0056265A" w:rsidP="0056265A">
      <w:pPr>
        <w:rPr>
          <w:rFonts w:asciiTheme="minorHAnsi" w:hAnsiTheme="minorHAnsi"/>
          <w:noProof/>
          <w:lang w:eastAsia="en-AU"/>
        </w:rPr>
      </w:pPr>
      <w:r>
        <w:rPr>
          <w:rFonts w:asciiTheme="minorHAnsi" w:hAnsiTheme="minorHAnsi"/>
          <w:noProof/>
          <w:lang w:eastAsia="en-AU"/>
        </w:rPr>
        <w:t>The Committee is also requested to provide advice on any other issue that may be relevant to a decision on whether or not to approve this application</w:t>
      </w:r>
      <w:r w:rsidR="00FC4A5D">
        <w:rPr>
          <w:rFonts w:asciiTheme="minorHAnsi" w:hAnsiTheme="minorHAnsi"/>
          <w:noProof/>
          <w:lang w:eastAsia="en-AU"/>
        </w:rPr>
        <w:t>.</w:t>
      </w:r>
    </w:p>
    <w:p w14:paraId="35AAA9EC" w14:textId="0876FFAD" w:rsidR="00D23139" w:rsidRDefault="00D23139" w:rsidP="00D23139">
      <w:pPr>
        <w:pStyle w:val="Heading4"/>
      </w:pPr>
      <w:r w:rsidRPr="00D23139">
        <w:t xml:space="preserve">Response from Sponsor </w:t>
      </w:r>
    </w:p>
    <w:p w14:paraId="6F459634" w14:textId="77777777" w:rsidR="009B025A" w:rsidRDefault="009B025A" w:rsidP="00673B14">
      <w:pPr>
        <w:pStyle w:val="Heading5"/>
        <w:rPr>
          <w:rFonts w:eastAsiaTheme="minorHAnsi"/>
        </w:rPr>
      </w:pPr>
      <w:r>
        <w:rPr>
          <w:rFonts w:eastAsiaTheme="minorHAnsi"/>
        </w:rPr>
        <w:t>Comment on the Delegate’s Proposed Action</w:t>
      </w:r>
    </w:p>
    <w:p w14:paraId="5BA03011" w14:textId="77777777" w:rsidR="009B025A" w:rsidRDefault="009B025A" w:rsidP="00B44C63">
      <w:r>
        <w:t>The Sponsor notes the Delegate’s Summary of Issues and requests for ACPM advice in relation to:</w:t>
      </w:r>
    </w:p>
    <w:p w14:paraId="2B60DAA9" w14:textId="77777777" w:rsidR="009B025A" w:rsidRDefault="009B025A" w:rsidP="006E4508">
      <w:pPr>
        <w:pStyle w:val="Numberbullet0"/>
        <w:numPr>
          <w:ilvl w:val="0"/>
          <w:numId w:val="12"/>
        </w:numPr>
      </w:pPr>
      <w:r>
        <w:t>The adequacy of the supporting dataset for the new alternative rapid (2</w:t>
      </w:r>
      <w:r w:rsidR="00673B14">
        <w:t xml:space="preserve"> </w:t>
      </w:r>
      <w:r>
        <w:t>h) infusion schedule</w:t>
      </w:r>
      <w:r w:rsidR="00673B14">
        <w:t>.</w:t>
      </w:r>
    </w:p>
    <w:p w14:paraId="3DB1611B" w14:textId="77777777" w:rsidR="009B025A" w:rsidRDefault="009B025A" w:rsidP="006E4508">
      <w:pPr>
        <w:pStyle w:val="Numberbullet0"/>
        <w:numPr>
          <w:ilvl w:val="0"/>
          <w:numId w:val="12"/>
        </w:numPr>
      </w:pPr>
      <w:r>
        <w:t>The appropriateness of the consequent proposed changes to the current infusion schedule</w:t>
      </w:r>
      <w:r w:rsidR="00673B14">
        <w:t>.</w:t>
      </w:r>
    </w:p>
    <w:p w14:paraId="58E72F3C" w14:textId="77777777" w:rsidR="009B025A" w:rsidRDefault="009B025A" w:rsidP="00B44C63">
      <w:r>
        <w:lastRenderedPageBreak/>
        <w:t>Similar issues relating to the adequacy of the supporting dataset and overall clinical benefit (rather than</w:t>
      </w:r>
      <w:r w:rsidR="00BD699E">
        <w:t xml:space="preserve"> </w:t>
      </w:r>
      <w:r>
        <w:t>a specific safety concern), were also raised by the FDA as part of a Complete Response Letter</w:t>
      </w:r>
      <w:r w:rsidR="00BD699E">
        <w:t xml:space="preserve"> </w:t>
      </w:r>
      <w:r>
        <w:t xml:space="preserve">issued to the </w:t>
      </w:r>
      <w:r w:rsidR="00673B14">
        <w:t>s</w:t>
      </w:r>
      <w:r>
        <w:t>ponsor (US FDA Complete Response Letter 2014).</w:t>
      </w:r>
    </w:p>
    <w:p w14:paraId="380BF640" w14:textId="77777777" w:rsidR="009B025A" w:rsidRDefault="009B025A" w:rsidP="00B44C63">
      <w:r>
        <w:t xml:space="preserve">The </w:t>
      </w:r>
      <w:r w:rsidR="00673B14">
        <w:t>s</w:t>
      </w:r>
      <w:r>
        <w:t>ponsor wishes to respond to the Delegate’s request for ACPM advice as follows:</w:t>
      </w:r>
    </w:p>
    <w:p w14:paraId="3DF2CCD7" w14:textId="77777777" w:rsidR="009B025A" w:rsidRPr="00673B14" w:rsidRDefault="009B025A" w:rsidP="006E4508">
      <w:pPr>
        <w:pStyle w:val="Numberbullet0"/>
        <w:numPr>
          <w:ilvl w:val="0"/>
          <w:numId w:val="13"/>
        </w:numPr>
        <w:rPr>
          <w:b/>
          <w:i/>
        </w:rPr>
      </w:pPr>
      <w:r w:rsidRPr="00673B14">
        <w:rPr>
          <w:b/>
          <w:i/>
        </w:rPr>
        <w:t>The adequacy of the supporting dataset for the new alternative rapid (2</w:t>
      </w:r>
      <w:r w:rsidR="00673B14">
        <w:rPr>
          <w:b/>
          <w:i/>
        </w:rPr>
        <w:t xml:space="preserve"> </w:t>
      </w:r>
      <w:r w:rsidRPr="00673B14">
        <w:rPr>
          <w:b/>
          <w:i/>
        </w:rPr>
        <w:t>h) infusion schedule</w:t>
      </w:r>
    </w:p>
    <w:p w14:paraId="26A93AE9" w14:textId="77777777" w:rsidR="009B025A" w:rsidRDefault="009B025A" w:rsidP="00673B14">
      <w:pPr>
        <w:pStyle w:val="Heading6"/>
      </w:pPr>
      <w:r>
        <w:t>Rationale for Use of Historical Controls</w:t>
      </w:r>
    </w:p>
    <w:p w14:paraId="4545B836" w14:textId="77777777" w:rsidR="009B025A" w:rsidRDefault="009B025A" w:rsidP="00B44C63">
      <w:r>
        <w:t>Roche decided to use historical data, comprised of a pooled observed case analysis within the global</w:t>
      </w:r>
      <w:r w:rsidR="00BD699E">
        <w:t xml:space="preserve"> </w:t>
      </w:r>
      <w:r>
        <w:t xml:space="preserve">rituximab RA clinical trial program as an external control for </w:t>
      </w:r>
      <w:r w:rsidR="00673B14">
        <w:t>S</w:t>
      </w:r>
      <w:r>
        <w:t>tudy ML25641. This decision was based</w:t>
      </w:r>
      <w:r w:rsidR="00BD699E">
        <w:t xml:space="preserve"> </w:t>
      </w:r>
      <w:r>
        <w:t xml:space="preserve">on a thorough assessment of study design options prior to initiating </w:t>
      </w:r>
      <w:r w:rsidR="00673B14">
        <w:t>S</w:t>
      </w:r>
      <w:r>
        <w:t>tudy ML25641. A comparator</w:t>
      </w:r>
      <w:r w:rsidR="00BD699E">
        <w:t xml:space="preserve"> </w:t>
      </w:r>
      <w:r>
        <w:t>study was considered not to be operationally feasible because of the complexities involved in managing</w:t>
      </w:r>
      <w:r w:rsidR="00BD699E">
        <w:t xml:space="preserve"> </w:t>
      </w:r>
      <w:r>
        <w:t>the bias of different infusion rates in an open</w:t>
      </w:r>
      <w:r w:rsidR="00673B14">
        <w:t xml:space="preserve"> </w:t>
      </w:r>
      <w:r>
        <w:t>label setting. In addition, a controlled trial testing the</w:t>
      </w:r>
      <w:r w:rsidR="00BD699E">
        <w:t xml:space="preserve"> </w:t>
      </w:r>
      <w:r>
        <w:t>hypothesis whether a 2</w:t>
      </w:r>
      <w:r w:rsidR="00673B14">
        <w:t xml:space="preserve"> </w:t>
      </w:r>
      <w:r>
        <w:t>h infusion time is associated with a non-inferior or worse rate of severe IRRs</w:t>
      </w:r>
      <w:r w:rsidR="00BD699E">
        <w:t xml:space="preserve"> </w:t>
      </w:r>
      <w:r>
        <w:t>compared to the standard 4.25 h infusion time would require far more than 1000 patients*. Such a large</w:t>
      </w:r>
      <w:r w:rsidR="00BD699E">
        <w:t xml:space="preserve"> </w:t>
      </w:r>
      <w:r>
        <w:t>sample size was considered not appropriate and also not feasible.</w:t>
      </w:r>
    </w:p>
    <w:p w14:paraId="1EB8D8F8" w14:textId="77777777" w:rsidR="009B025A" w:rsidRDefault="009B025A" w:rsidP="00673B14">
      <w:pPr>
        <w:ind w:left="567"/>
        <w:rPr>
          <w:sz w:val="20"/>
          <w:szCs w:val="20"/>
        </w:rPr>
      </w:pPr>
      <w:r w:rsidRPr="00673B14">
        <w:rPr>
          <w:sz w:val="20"/>
          <w:szCs w:val="20"/>
        </w:rPr>
        <w:t>*1-sided test of non-inferiority (margin of 0.15) of the 2</w:t>
      </w:r>
      <w:r w:rsidR="00673B14">
        <w:rPr>
          <w:sz w:val="20"/>
          <w:szCs w:val="20"/>
        </w:rPr>
        <w:t xml:space="preserve"> </w:t>
      </w:r>
      <w:r w:rsidRPr="00673B14">
        <w:rPr>
          <w:sz w:val="20"/>
          <w:szCs w:val="20"/>
        </w:rPr>
        <w:t>h</w:t>
      </w:r>
      <w:r w:rsidR="00673B14">
        <w:rPr>
          <w:sz w:val="20"/>
          <w:szCs w:val="20"/>
        </w:rPr>
        <w:t xml:space="preserve"> </w:t>
      </w:r>
      <w:r w:rsidRPr="00673B14">
        <w:rPr>
          <w:sz w:val="20"/>
          <w:szCs w:val="20"/>
        </w:rPr>
        <w:t>infusion duration compared to 3.25</w:t>
      </w:r>
      <w:r w:rsidR="00673B14">
        <w:rPr>
          <w:sz w:val="20"/>
          <w:szCs w:val="20"/>
        </w:rPr>
        <w:t xml:space="preserve"> </w:t>
      </w:r>
      <w:r w:rsidRPr="00673B14">
        <w:rPr>
          <w:sz w:val="20"/>
          <w:szCs w:val="20"/>
        </w:rPr>
        <w:t>h</w:t>
      </w:r>
      <w:r w:rsidR="00673B14">
        <w:rPr>
          <w:sz w:val="20"/>
          <w:szCs w:val="20"/>
        </w:rPr>
        <w:t xml:space="preserve"> </w:t>
      </w:r>
      <w:r w:rsidRPr="00673B14">
        <w:rPr>
          <w:sz w:val="20"/>
          <w:szCs w:val="20"/>
        </w:rPr>
        <w:t>infusion assuming a 1.1%</w:t>
      </w:r>
      <w:r w:rsidR="00673B14" w:rsidRPr="00673B14">
        <w:rPr>
          <w:sz w:val="20"/>
          <w:szCs w:val="20"/>
        </w:rPr>
        <w:t xml:space="preserve"> </w:t>
      </w:r>
      <w:r w:rsidRPr="00673B14">
        <w:rPr>
          <w:sz w:val="20"/>
          <w:szCs w:val="20"/>
        </w:rPr>
        <w:t>severe IRR in the control arm (α = 0.25, 1-β = 0.9, n = 2616).</w:t>
      </w:r>
    </w:p>
    <w:p w14:paraId="34686468" w14:textId="77777777" w:rsidR="009B025A" w:rsidRDefault="009B025A" w:rsidP="00B44C63">
      <w:r>
        <w:t>The use of historical data as a control arm holds the potential for more efficient trials in appropriate</w:t>
      </w:r>
      <w:r w:rsidR="00BD699E">
        <w:t xml:space="preserve"> </w:t>
      </w:r>
      <w:r>
        <w:t>situations. The benefits include the possibility for an increase in the relative amount of on-treatment</w:t>
      </w:r>
      <w:r w:rsidR="00BD699E">
        <w:t xml:space="preserve"> </w:t>
      </w:r>
      <w:r>
        <w:t>safety data available per patient. In clinical practice, expected results are based on the current set of</w:t>
      </w:r>
      <w:r w:rsidR="00BD699E">
        <w:t xml:space="preserve"> </w:t>
      </w:r>
      <w:r>
        <w:t>historical studies and it make</w:t>
      </w:r>
      <w:r w:rsidR="00673B14">
        <w:t>s statistical sense to capitalis</w:t>
      </w:r>
      <w:r>
        <w:t>e on this historical data, when possible.</w:t>
      </w:r>
      <w:r w:rsidR="00673B14">
        <w:rPr>
          <w:rStyle w:val="FootnoteReference"/>
        </w:rPr>
        <w:footnoteReference w:id="3"/>
      </w:r>
    </w:p>
    <w:p w14:paraId="23E0BA1B" w14:textId="77777777" w:rsidR="009B025A" w:rsidRDefault="009B025A" w:rsidP="00B44C63">
      <w:r>
        <w:t>Several factors are significant for ensuring a valid historical control including</w:t>
      </w:r>
      <w:r w:rsidR="00673B14">
        <w:rPr>
          <w:rStyle w:val="FootnoteReference"/>
        </w:rPr>
        <w:footnoteReference w:id="4"/>
      </w:r>
      <w:r>
        <w:t>:</w:t>
      </w:r>
    </w:p>
    <w:p w14:paraId="7F506CDB" w14:textId="77777777" w:rsidR="009B025A" w:rsidRPr="00673B14" w:rsidRDefault="009B025A" w:rsidP="00673B14">
      <w:pPr>
        <w:pStyle w:val="ListBullet"/>
      </w:pPr>
      <w:r w:rsidRPr="00673B14">
        <w:t>A recent study or studies with the same treatment</w:t>
      </w:r>
    </w:p>
    <w:p w14:paraId="4B6CFF99" w14:textId="77777777" w:rsidR="009B025A" w:rsidRPr="00673B14" w:rsidRDefault="009B025A" w:rsidP="00673B14">
      <w:pPr>
        <w:pStyle w:val="ListBullet"/>
      </w:pPr>
      <w:r w:rsidRPr="00673B14">
        <w:t>Same eligibility criteria, workup, and evaluations</w:t>
      </w:r>
    </w:p>
    <w:p w14:paraId="2F967C1B" w14:textId="77777777" w:rsidR="009B025A" w:rsidRPr="00673B14" w:rsidRDefault="009B025A" w:rsidP="00673B14">
      <w:pPr>
        <w:pStyle w:val="ListBullet"/>
      </w:pPr>
      <w:r w:rsidRPr="00673B14">
        <w:t>Prognostic factors completely known and the same in both treatment groups</w:t>
      </w:r>
    </w:p>
    <w:p w14:paraId="3B23E463" w14:textId="77777777" w:rsidR="009B025A" w:rsidRPr="00673B14" w:rsidRDefault="009B025A" w:rsidP="00673B14">
      <w:pPr>
        <w:pStyle w:val="ListBullet"/>
      </w:pPr>
      <w:r w:rsidRPr="00673B14">
        <w:t>No unexplained factors leading one to expect different results</w:t>
      </w:r>
    </w:p>
    <w:p w14:paraId="6AFD75DD" w14:textId="77777777" w:rsidR="009B025A" w:rsidRPr="00673B14" w:rsidRDefault="009B025A" w:rsidP="00673B14">
      <w:pPr>
        <w:pStyle w:val="ListBullet"/>
      </w:pPr>
      <w:r w:rsidRPr="00673B14">
        <w:t>Differences in prognostic factors not explaining observed differences in outcome</w:t>
      </w:r>
    </w:p>
    <w:p w14:paraId="189F9F91" w14:textId="77777777" w:rsidR="009B025A" w:rsidRDefault="009B025A" w:rsidP="00B44C63">
      <w:r>
        <w:t>These factors were part of Roche’s consideration for choosing an appropriate comparator from</w:t>
      </w:r>
      <w:r w:rsidR="00BD699E">
        <w:t xml:space="preserve"> </w:t>
      </w:r>
      <w:r>
        <w:t>historical data for Study ML25641 in order to help reduce selection bias.</w:t>
      </w:r>
    </w:p>
    <w:p w14:paraId="3EB92FF4" w14:textId="77777777" w:rsidR="009B025A" w:rsidRDefault="009B025A" w:rsidP="00673B14">
      <w:pPr>
        <w:pStyle w:val="Heading6"/>
      </w:pPr>
      <w:r>
        <w:t>Historical Control Data in Study ML25641</w:t>
      </w:r>
    </w:p>
    <w:p w14:paraId="617178E8" w14:textId="77777777" w:rsidR="00D23139" w:rsidRDefault="009B025A" w:rsidP="00B44C63">
      <w:r>
        <w:t>For comparative purposes, a weighted historical incidence of infusion-related reactions (IRRs) was</w:t>
      </w:r>
      <w:r w:rsidR="00BD699E">
        <w:t xml:space="preserve"> </w:t>
      </w:r>
      <w:r>
        <w:t>derived from a pooled observed case analysis of safety data from patients with moderate to severe</w:t>
      </w:r>
      <w:r w:rsidR="00BD699E">
        <w:t xml:space="preserve"> </w:t>
      </w:r>
      <w:r>
        <w:t>active RA treated with rituximab plus methotrexate (MTX) within the global RA clinical trial program (8</w:t>
      </w:r>
      <w:r w:rsidR="00BD699E">
        <w:t xml:space="preserve"> </w:t>
      </w:r>
      <w:r>
        <w:t>randomized clinical trials, 2 long-term open-label extensions, and 1 open-label prospective study). This</w:t>
      </w:r>
      <w:r w:rsidR="00BD699E">
        <w:t xml:space="preserve"> </w:t>
      </w:r>
      <w:r>
        <w:t>clinical trial program has been desc</w:t>
      </w:r>
      <w:r w:rsidR="002E619F">
        <w:t>ribed previously</w:t>
      </w:r>
      <w:r>
        <w:t>.</w:t>
      </w:r>
    </w:p>
    <w:p w14:paraId="5938513E" w14:textId="77777777" w:rsidR="009B025A" w:rsidRDefault="009B025A" w:rsidP="00B44C63">
      <w:r>
        <w:t>Within these clinical trials, rituximab was administered according to the administration guidelines in the</w:t>
      </w:r>
      <w:r w:rsidR="00BD699E">
        <w:t xml:space="preserve"> </w:t>
      </w:r>
      <w:r>
        <w:t>approved product labe</w:t>
      </w:r>
      <w:r w:rsidR="00673B14">
        <w:t>l</w:t>
      </w:r>
      <w:r>
        <w:t xml:space="preserve">ling (4.25 </w:t>
      </w:r>
      <w:r w:rsidR="00DC6DD0">
        <w:t>h</w:t>
      </w:r>
      <w:r>
        <w:t xml:space="preserve"> for initial infusion and 3.25 </w:t>
      </w:r>
      <w:r w:rsidR="00DC6DD0">
        <w:t>h</w:t>
      </w:r>
      <w:r>
        <w:t xml:space="preserve"> for </w:t>
      </w:r>
      <w:r>
        <w:lastRenderedPageBreak/>
        <w:t>subsequent infusions). As</w:t>
      </w:r>
      <w:r w:rsidR="00BD699E">
        <w:t xml:space="preserve"> </w:t>
      </w:r>
      <w:r>
        <w:t>of September 2012, there were 3595 patients (All-Exposure population) who received rituximab</w:t>
      </w:r>
      <w:r w:rsidR="00BD699E">
        <w:t xml:space="preserve"> </w:t>
      </w:r>
      <w:r>
        <w:t>infusions at the standard rate in these clinical trials. The All-Exposure population had been treated</w:t>
      </w:r>
      <w:r w:rsidR="00BD699E">
        <w:t xml:space="preserve"> </w:t>
      </w:r>
      <w:r>
        <w:t>over a period of 11 years (14,816 patient-years) with up to 20 courses (one course = 2 infusions) of</w:t>
      </w:r>
      <w:r w:rsidR="00BD699E">
        <w:t xml:space="preserve"> </w:t>
      </w:r>
      <w:r>
        <w:t>rituximab and included those patients who had never received any prior methotrexate (MTX),</w:t>
      </w:r>
      <w:r w:rsidR="00BD699E">
        <w:t xml:space="preserve"> </w:t>
      </w:r>
      <w:r>
        <w:t xml:space="preserve">inadequate responders to </w:t>
      </w:r>
      <w:r w:rsidRPr="002E619F">
        <w:t xml:space="preserve">prior </w:t>
      </w:r>
      <w:r w:rsidR="002E619F" w:rsidRPr="002E619F">
        <w:t>disease-modifying antirheumatic drugs (</w:t>
      </w:r>
      <w:r w:rsidRPr="002E619F">
        <w:t>DMARDs</w:t>
      </w:r>
      <w:r w:rsidR="002E619F" w:rsidRPr="002E619F">
        <w:t>)</w:t>
      </w:r>
      <w:r w:rsidRPr="002E619F">
        <w:t>, and</w:t>
      </w:r>
      <w:r>
        <w:t xml:space="preserve"> inadequate responders to prior tumo</w:t>
      </w:r>
      <w:r w:rsidR="00673B14">
        <w:t>u</w:t>
      </w:r>
      <w:r>
        <w:t>r necrosis factor</w:t>
      </w:r>
      <w:r w:rsidR="00BD699E">
        <w:t xml:space="preserve"> </w:t>
      </w:r>
      <w:r>
        <w:t>inhibitors (TNF-IR) and/or other biologics. TNF-IR and/or other biologic-inadequate responders</w:t>
      </w:r>
      <w:r w:rsidR="00BD699E">
        <w:t xml:space="preserve"> </w:t>
      </w:r>
      <w:r>
        <w:t>contributed to approximately 43% (n=1533) of this heterogeneous population.</w:t>
      </w:r>
    </w:p>
    <w:p w14:paraId="6091A61E" w14:textId="77777777" w:rsidR="009B025A" w:rsidRDefault="009B025A" w:rsidP="00B44C63">
      <w:r>
        <w:t>This robust dataset was considered an appropriate comparator because these patients had the same</w:t>
      </w:r>
      <w:r w:rsidR="00BD699E">
        <w:t xml:space="preserve"> </w:t>
      </w:r>
      <w:r>
        <w:t>RA eligibility criteria, workup and evaluations as patients in Study ML25641. Also, a similar process to</w:t>
      </w:r>
      <w:r w:rsidR="00BD699E">
        <w:t xml:space="preserve"> </w:t>
      </w:r>
      <w:r>
        <w:t>identify IRRs was used for both the historical and Study ML25641 data and across rituximab clinical</w:t>
      </w:r>
      <w:r w:rsidR="00BD699E">
        <w:t xml:space="preserve"> </w:t>
      </w:r>
      <w:r>
        <w:t>studies in RA patients conducted by Roche/Genentech.</w:t>
      </w:r>
    </w:p>
    <w:p w14:paraId="4E9EAAA2" w14:textId="77777777" w:rsidR="009B025A" w:rsidRDefault="009B025A" w:rsidP="00B44C63">
      <w:r>
        <w:t>The applicability of the historical control data to the ML25641 study population has been further</w:t>
      </w:r>
      <w:r w:rsidR="00BD699E">
        <w:t xml:space="preserve"> </w:t>
      </w:r>
      <w:r>
        <w:t>examined by considering the TNF-IR subset of the All-Exposure population. Study populations in two</w:t>
      </w:r>
      <w:r w:rsidR="00BD699E">
        <w:t xml:space="preserve"> </w:t>
      </w:r>
      <w:r>
        <w:t>of the pivotal trials that are representative of the TNF-IR subset of the All-Exposure population, Study</w:t>
      </w:r>
      <w:r w:rsidR="00BD699E">
        <w:t xml:space="preserve"> </w:t>
      </w:r>
      <w:r>
        <w:t>WA17042 (REFLEX)</w:t>
      </w:r>
      <w:bookmarkStart w:id="126" w:name="_Ref425845614"/>
      <w:r w:rsidR="002E619F">
        <w:rPr>
          <w:rStyle w:val="FootnoteReference"/>
        </w:rPr>
        <w:footnoteReference w:id="5"/>
      </w:r>
      <w:bookmarkEnd w:id="126"/>
      <w:r>
        <w:rPr>
          <w:color w:val="0070C1"/>
        </w:rPr>
        <w:t xml:space="preserve"> </w:t>
      </w:r>
      <w:r>
        <w:t>and Study U3384g (SUNRISE)</w:t>
      </w:r>
      <w:bookmarkStart w:id="127" w:name="_Ref425845632"/>
      <w:r w:rsidR="002E619F">
        <w:rPr>
          <w:rStyle w:val="FootnoteReference"/>
        </w:rPr>
        <w:footnoteReference w:id="6"/>
      </w:r>
      <w:bookmarkEnd w:id="127"/>
      <w:r>
        <w:t xml:space="preserve"> were</w:t>
      </w:r>
      <w:r w:rsidR="00BD699E">
        <w:t xml:space="preserve"> </w:t>
      </w:r>
      <w:r>
        <w:t xml:space="preserve">comparable to the patients enrolled in Study ML25641 in terms of baseline patient </w:t>
      </w:r>
      <w:r w:rsidRPr="002E619F">
        <w:t>characteristics (see</w:t>
      </w:r>
      <w:r w:rsidR="00673B14" w:rsidRPr="002E619F">
        <w:t xml:space="preserve"> </w:t>
      </w:r>
      <w:r w:rsidRPr="002E619F">
        <w:t>Table 1</w:t>
      </w:r>
      <w:r w:rsidR="002E619F" w:rsidRPr="002E619F">
        <w:t>2</w:t>
      </w:r>
      <w:r w:rsidRPr="002E619F">
        <w:t>). These studies</w:t>
      </w:r>
      <w:r>
        <w:t xml:space="preserve"> were previously submitted to and reviewed by TGA as part of </w:t>
      </w:r>
      <w:r w:rsidR="00673B14">
        <w:t xml:space="preserve">two previous </w:t>
      </w:r>
      <w:r>
        <w:t>applications.</w:t>
      </w:r>
    </w:p>
    <w:p w14:paraId="3804EB9C" w14:textId="77777777" w:rsidR="009B025A" w:rsidRDefault="00673B14" w:rsidP="006E4508">
      <w:pPr>
        <w:pStyle w:val="Tabletitle0"/>
        <w:rPr>
          <w:b w:val="0"/>
          <w:bCs/>
        </w:rPr>
      </w:pPr>
      <w:proofErr w:type="gramStart"/>
      <w:r>
        <w:t xml:space="preserve">Table </w:t>
      </w:r>
      <w:r w:rsidR="002E619F">
        <w:t>12</w:t>
      </w:r>
      <w:r>
        <w:t>: Demographics and baseline characteristics for patients allocated or rituximab treatment in three RA studies.</w:t>
      </w:r>
      <w:proofErr w:type="gramEnd"/>
      <w:r w:rsidR="009B025A">
        <w:rPr>
          <w:noProof/>
          <w:lang w:eastAsia="en-AU"/>
        </w:rPr>
        <w:drawing>
          <wp:inline distT="0" distB="0" distL="0" distR="0" wp14:anchorId="683164A0" wp14:editId="1A42459D">
            <wp:extent cx="3864691" cy="2448476"/>
            <wp:effectExtent l="0" t="0" r="2540" b="9525"/>
            <wp:docPr id="7" name="Picture 7" descr="Table 12: Demographics and baseline characteristics for patients allocated or rituximab treatment in three R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83" t="10122" b="2228"/>
                    <a:stretch/>
                  </pic:blipFill>
                  <pic:spPr bwMode="auto">
                    <a:xfrm>
                      <a:off x="0" y="0"/>
                      <a:ext cx="3895849" cy="2468216"/>
                    </a:xfrm>
                    <a:prstGeom prst="rect">
                      <a:avLst/>
                    </a:prstGeom>
                    <a:ln>
                      <a:noFill/>
                    </a:ln>
                    <a:extLst>
                      <a:ext uri="{53640926-AAD7-44D8-BBD7-CCE9431645EC}">
                        <a14:shadowObscured xmlns:a14="http://schemas.microsoft.com/office/drawing/2010/main"/>
                      </a:ext>
                    </a:extLst>
                  </pic:spPr>
                </pic:pic>
              </a:graphicData>
            </a:graphic>
          </wp:inline>
        </w:drawing>
      </w:r>
    </w:p>
    <w:p w14:paraId="2FCF8296" w14:textId="77777777" w:rsidR="009B025A" w:rsidRDefault="009B025A" w:rsidP="00B44C63">
      <w:r>
        <w:t>The incidence of IRRs observed in the subset of the All-Exposure population (n = 3595) who had</w:t>
      </w:r>
      <w:r w:rsidR="00BD699E">
        <w:t xml:space="preserve"> </w:t>
      </w:r>
      <w:r>
        <w:t>inadequate response to at least one prior TNF inhibitor (</w:t>
      </w:r>
      <w:r w:rsidR="002E619F">
        <w:t>that is,</w:t>
      </w:r>
      <w:r>
        <w:t xml:space="preserve"> TNF-IR population, n=1533) was similar to</w:t>
      </w:r>
      <w:r w:rsidR="00BD699E">
        <w:t xml:space="preserve"> </w:t>
      </w:r>
      <w:r>
        <w:t xml:space="preserve">that of the larger dataset of the All-Exposure population (Table </w:t>
      </w:r>
      <w:r w:rsidR="002E619F">
        <w:t>13</w:t>
      </w:r>
      <w:r>
        <w:t>) for the first two infusions and for</w:t>
      </w:r>
      <w:r w:rsidR="00BD699E">
        <w:t xml:space="preserve"> </w:t>
      </w:r>
      <w:r>
        <w:t>subsequent courses, when given. Therefore, the more robust All-Exposure population was chosen as</w:t>
      </w:r>
      <w:r w:rsidR="00BD699E">
        <w:t xml:space="preserve"> </w:t>
      </w:r>
      <w:r>
        <w:t>the control for Study ML25641.</w:t>
      </w:r>
    </w:p>
    <w:p w14:paraId="46D16FD6" w14:textId="77777777" w:rsidR="009B025A" w:rsidRDefault="002E619F" w:rsidP="006E4508">
      <w:pPr>
        <w:pStyle w:val="Tabletitle0"/>
        <w:rPr>
          <w:b w:val="0"/>
          <w:bCs/>
        </w:rPr>
      </w:pPr>
      <w:r>
        <w:lastRenderedPageBreak/>
        <w:t>Table 13: Incidence of infusion related reactions associated with rituximab infusion in Study ML25641 versus the Integrated Historical Clinical Data</w:t>
      </w:r>
      <w:r w:rsidR="009B025A">
        <w:rPr>
          <w:noProof/>
          <w:lang w:eastAsia="en-AU"/>
        </w:rPr>
        <w:drawing>
          <wp:inline distT="0" distB="0" distL="0" distR="0" wp14:anchorId="54909196" wp14:editId="492E053A">
            <wp:extent cx="3437814" cy="2335120"/>
            <wp:effectExtent l="0" t="0" r="0" b="8255"/>
            <wp:docPr id="8" name="Picture 8" descr="Table 13: Incidence of infusion related reactions associated with rituximab infusion in Study ML25641 versus the Integrated Historical Clinic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297" t="13465" r="20661" b="1373"/>
                    <a:stretch/>
                  </pic:blipFill>
                  <pic:spPr bwMode="auto">
                    <a:xfrm>
                      <a:off x="0" y="0"/>
                      <a:ext cx="3449557" cy="2343097"/>
                    </a:xfrm>
                    <a:prstGeom prst="rect">
                      <a:avLst/>
                    </a:prstGeom>
                    <a:ln>
                      <a:noFill/>
                    </a:ln>
                    <a:extLst>
                      <a:ext uri="{53640926-AAD7-44D8-BBD7-CCE9431645EC}">
                        <a14:shadowObscured xmlns:a14="http://schemas.microsoft.com/office/drawing/2010/main"/>
                      </a:ext>
                    </a:extLst>
                  </pic:spPr>
                </pic:pic>
              </a:graphicData>
            </a:graphic>
          </wp:inline>
        </w:drawing>
      </w:r>
    </w:p>
    <w:p w14:paraId="6BBC392F" w14:textId="77777777" w:rsidR="009B025A" w:rsidRDefault="009B025A" w:rsidP="002E619F">
      <w:pPr>
        <w:pStyle w:val="Heading6"/>
      </w:pPr>
      <w:r>
        <w:t>Supporting Data</w:t>
      </w:r>
    </w:p>
    <w:p w14:paraId="2EEAB51D" w14:textId="77777777" w:rsidR="009B025A" w:rsidRDefault="009B025A" w:rsidP="00B44C63">
      <w:r>
        <w:t>As indicated in Section 1.2.2 of the Clinical Overview</w:t>
      </w:r>
      <w:r w:rsidR="002E619F">
        <w:t xml:space="preserve"> [not in this AusPAR]</w:t>
      </w:r>
      <w:r>
        <w:t>, multiple physicians were motivated to initiate their</w:t>
      </w:r>
      <w:r w:rsidR="00BD699E">
        <w:t xml:space="preserve"> </w:t>
      </w:r>
      <w:r>
        <w:t>own studies in rheumatology to investigate the safety and feasibility of administering rituximab using</w:t>
      </w:r>
      <w:r w:rsidR="00BD699E">
        <w:t xml:space="preserve"> </w:t>
      </w:r>
      <w:r>
        <w:t>shorter infusion times. Several published studies, which make use of shorter infusion times, were</w:t>
      </w:r>
      <w:r w:rsidR="00BD699E">
        <w:t xml:space="preserve"> </w:t>
      </w:r>
      <w:r>
        <w:t>summarized in the original submission.</w:t>
      </w:r>
    </w:p>
    <w:p w14:paraId="7D32E8E1" w14:textId="77777777" w:rsidR="009B025A" w:rsidRDefault="009B025A" w:rsidP="00B44C63">
      <w:r>
        <w:t>Since the submission, there have been additional supportive publications providing data on the safety</w:t>
      </w:r>
      <w:r w:rsidR="00BD699E">
        <w:t xml:space="preserve"> </w:t>
      </w:r>
      <w:r>
        <w:t>profile of a faster infusion rate for rituximab in patients with RA. The most relevant recent publication</w:t>
      </w:r>
      <w:r w:rsidR="00BD699E">
        <w:t xml:space="preserve"> </w:t>
      </w:r>
      <w:r>
        <w:t xml:space="preserve">evaluating a faster infusion rate with rituximab was a long-term (7 year) comparison study presented </w:t>
      </w:r>
      <w:r w:rsidRPr="002E619F">
        <w:t>by</w:t>
      </w:r>
      <w:r w:rsidR="00BD699E" w:rsidRPr="002E619F">
        <w:t xml:space="preserve"> </w:t>
      </w:r>
      <w:r w:rsidRPr="002E619F">
        <w:t xml:space="preserve">Faraawi et al. at </w:t>
      </w:r>
      <w:r>
        <w:t xml:space="preserve">the European League </w:t>
      </w:r>
      <w:proofErr w:type="gramStart"/>
      <w:r>
        <w:t>Against</w:t>
      </w:r>
      <w:proofErr w:type="gramEnd"/>
      <w:r>
        <w:t xml:space="preserve"> Rheumatism (EULAR) meeting in 2014.</w:t>
      </w:r>
      <w:bookmarkStart w:id="128" w:name="_Ref425845203"/>
      <w:r w:rsidR="002E619F">
        <w:rPr>
          <w:rStyle w:val="FootnoteReference"/>
        </w:rPr>
        <w:footnoteReference w:id="7"/>
      </w:r>
      <w:bookmarkEnd w:id="128"/>
      <w:r>
        <w:t xml:space="preserve"> This data, from a</w:t>
      </w:r>
      <w:r w:rsidR="00BD699E">
        <w:t xml:space="preserve"> </w:t>
      </w:r>
      <w:r>
        <w:t>50</w:t>
      </w:r>
      <w:r w:rsidR="002E619F">
        <w:t xml:space="preserve"> </w:t>
      </w:r>
      <w:r>
        <w:t>patient study comparing the long-term safety data of patients with RA who were treated using a</w:t>
      </w:r>
      <w:r w:rsidR="00BD699E">
        <w:t xml:space="preserve"> </w:t>
      </w:r>
      <w:r>
        <w:t>rapid infusion protocol versus patients with RA treated with a standard infusion, showed no significant</w:t>
      </w:r>
      <w:r w:rsidR="00BD699E">
        <w:t xml:space="preserve"> </w:t>
      </w:r>
      <w:r>
        <w:t xml:space="preserve">difference in the incidence of IRRs between rapid and standard infusions (p </w:t>
      </w:r>
      <w:r>
        <w:rPr>
          <w:rFonts w:ascii="Symbol" w:hAnsi="Symbol" w:cs="Symbol"/>
        </w:rPr>
        <w:t></w:t>
      </w:r>
      <w:r>
        <w:rPr>
          <w:rFonts w:ascii="Symbol" w:hAnsi="Symbol" w:cs="Symbol"/>
        </w:rPr>
        <w:t></w:t>
      </w:r>
      <w:r>
        <w:t>0.97). In both rapid and</w:t>
      </w:r>
      <w:r w:rsidR="00BD699E">
        <w:t xml:space="preserve"> </w:t>
      </w:r>
      <w:r>
        <w:t>standard infusions, no patients discontinued rituximab due to IRRs. Overall, symptoms reported were</w:t>
      </w:r>
      <w:r w:rsidR="00BD699E">
        <w:t xml:space="preserve"> </w:t>
      </w:r>
      <w:r>
        <w:t xml:space="preserve">mild and resolved within 24 </w:t>
      </w:r>
      <w:r w:rsidR="00DC6DD0">
        <w:t>h</w:t>
      </w:r>
      <w:r>
        <w:t xml:space="preserve"> after the infusion with no serious AEs reported in either infusion</w:t>
      </w:r>
      <w:r w:rsidR="00BD699E">
        <w:t xml:space="preserve"> </w:t>
      </w:r>
      <w:r>
        <w:t xml:space="preserve">group. Additionally, the author stated that </w:t>
      </w:r>
      <w:r w:rsidR="002E619F">
        <w:t>‘</w:t>
      </w:r>
      <w:r w:rsidRPr="002E619F">
        <w:rPr>
          <w:i/>
        </w:rPr>
        <w:t>patients reported greater satisfaction with the shorter</w:t>
      </w:r>
      <w:r w:rsidR="00BD699E" w:rsidRPr="002E619F">
        <w:rPr>
          <w:i/>
        </w:rPr>
        <w:t xml:space="preserve"> </w:t>
      </w:r>
      <w:r w:rsidRPr="002E619F">
        <w:rPr>
          <w:i/>
        </w:rPr>
        <w:t>infusion duration</w:t>
      </w:r>
      <w:r w:rsidR="002E619F">
        <w:rPr>
          <w:i/>
        </w:rPr>
        <w:t>’</w:t>
      </w:r>
      <w:r w:rsidR="002E619F" w:rsidRPr="002E619F">
        <w:rPr>
          <w:vertAlign w:val="superscript"/>
        </w:rPr>
        <w:fldChar w:fldCharType="begin"/>
      </w:r>
      <w:r w:rsidR="002E619F" w:rsidRPr="002E619F">
        <w:rPr>
          <w:vertAlign w:val="superscript"/>
        </w:rPr>
        <w:instrText xml:space="preserve"> NOTEREF _Ref425845203 \h  \* MERGEFORMAT </w:instrText>
      </w:r>
      <w:r w:rsidR="002E619F" w:rsidRPr="002E619F">
        <w:rPr>
          <w:vertAlign w:val="superscript"/>
        </w:rPr>
      </w:r>
      <w:r w:rsidR="002E619F" w:rsidRPr="002E619F">
        <w:rPr>
          <w:vertAlign w:val="superscript"/>
        </w:rPr>
        <w:fldChar w:fldCharType="separate"/>
      </w:r>
      <w:r w:rsidR="0028747C">
        <w:rPr>
          <w:vertAlign w:val="superscript"/>
        </w:rPr>
        <w:t>7</w:t>
      </w:r>
      <w:r w:rsidR="002E619F" w:rsidRPr="002E619F">
        <w:rPr>
          <w:vertAlign w:val="superscript"/>
        </w:rPr>
        <w:fldChar w:fldCharType="end"/>
      </w:r>
      <w:r>
        <w:t>. Data from this recent study further supports Roche’s</w:t>
      </w:r>
      <w:r w:rsidR="00BD699E">
        <w:t xml:space="preserve"> </w:t>
      </w:r>
      <w:r>
        <w:t>conclusion that faster infusion of rituximab appears to be well tolerated in patients with RA.</w:t>
      </w:r>
    </w:p>
    <w:p w14:paraId="251D0DA8" w14:textId="77777777" w:rsidR="009B025A" w:rsidRDefault="009B025A" w:rsidP="00B44C63">
      <w:r>
        <w:t>Roche believes that the extensive safety data from previous trials of rituximab in RA, which forms the</w:t>
      </w:r>
      <w:r w:rsidR="00BD699E">
        <w:t xml:space="preserve"> </w:t>
      </w:r>
      <w:r>
        <w:t>basis for the established safety profile of rituximab in RA, serves as an appropriate control for Study</w:t>
      </w:r>
      <w:r w:rsidR="00BD699E">
        <w:t xml:space="preserve"> </w:t>
      </w:r>
      <w:r>
        <w:t>ML25641 data, which allows adequate comparison to the safety of the faster rate infusion. Roche</w:t>
      </w:r>
      <w:r w:rsidR="00BD699E">
        <w:t xml:space="preserve"> </w:t>
      </w:r>
      <w:r>
        <w:t>believes this comparison supports the use of the faster rate infusion. This conclusion is further</w:t>
      </w:r>
      <w:r w:rsidR="00BD699E">
        <w:t xml:space="preserve"> </w:t>
      </w:r>
      <w:r>
        <w:t>substantiated by recent literature reports describing the safe use of the faster rate infusion.</w:t>
      </w:r>
    </w:p>
    <w:p w14:paraId="66A19AB4" w14:textId="77777777" w:rsidR="009B025A" w:rsidRDefault="009B025A" w:rsidP="002E619F">
      <w:pPr>
        <w:pStyle w:val="Heading5"/>
      </w:pPr>
      <w:r>
        <w:t>2) The appropriateness of the consequent proposed changed to the current infusion schedule</w:t>
      </w:r>
    </w:p>
    <w:p w14:paraId="60B8DFD4" w14:textId="77777777" w:rsidR="002E619F" w:rsidRDefault="009B025A" w:rsidP="00B44C63">
      <w:r>
        <w:t>The primary concern related to faster rate infusion is the occurrence of IRRs which might have serious</w:t>
      </w:r>
      <w:r w:rsidR="00BD699E">
        <w:t xml:space="preserve"> </w:t>
      </w:r>
      <w:r>
        <w:t xml:space="preserve">clinical outcomes. Table </w:t>
      </w:r>
      <w:r w:rsidR="002E619F">
        <w:t>13</w:t>
      </w:r>
      <w:r>
        <w:t xml:space="preserve"> showed that there was no increase in the incidence of IRRs reported in study</w:t>
      </w:r>
      <w:r w:rsidR="00BD699E">
        <w:t xml:space="preserve"> </w:t>
      </w:r>
      <w:r>
        <w:t>ML25641 with 2</w:t>
      </w:r>
      <w:r w:rsidR="002E619F">
        <w:t xml:space="preserve"> </w:t>
      </w:r>
      <w:r>
        <w:t>h</w:t>
      </w:r>
      <w:r w:rsidR="002E619F">
        <w:t xml:space="preserve"> </w:t>
      </w:r>
      <w:r>
        <w:t xml:space="preserve">infusion compared to the historical </w:t>
      </w:r>
      <w:r>
        <w:lastRenderedPageBreak/>
        <w:t>data with 4.25</w:t>
      </w:r>
      <w:r w:rsidR="002E619F">
        <w:t xml:space="preserve"> </w:t>
      </w:r>
      <w:r>
        <w:t>h and 3.25</w:t>
      </w:r>
      <w:r w:rsidR="002E619F">
        <w:t xml:space="preserve"> </w:t>
      </w:r>
      <w:r>
        <w:t>h infusion. Treatment</w:t>
      </w:r>
      <w:r w:rsidR="00BD699E">
        <w:t xml:space="preserve"> </w:t>
      </w:r>
      <w:r>
        <w:t>was withdrawn due to IRR (</w:t>
      </w:r>
      <w:r w:rsidR="00E47464">
        <w:t>second</w:t>
      </w:r>
      <w:r>
        <w:rPr>
          <w:sz w:val="16"/>
          <w:szCs w:val="16"/>
        </w:rPr>
        <w:t xml:space="preserve"> </w:t>
      </w:r>
      <w:r>
        <w:t>infusion) in only one patient. Furthermore, neither Grade 4 IRRs nor IRRs</w:t>
      </w:r>
      <w:r w:rsidR="00BD699E">
        <w:t xml:space="preserve"> </w:t>
      </w:r>
      <w:r>
        <w:t>with fatal outcome were reported in study ML25641. Thus, Roche believes that if patients</w:t>
      </w:r>
      <w:r w:rsidR="00BD699E">
        <w:t xml:space="preserve"> </w:t>
      </w:r>
      <w:r>
        <w:t xml:space="preserve">tolerated the </w:t>
      </w:r>
      <w:r w:rsidR="00E47464">
        <w:t>first</w:t>
      </w:r>
      <w:r>
        <w:rPr>
          <w:sz w:val="16"/>
          <w:szCs w:val="16"/>
        </w:rPr>
        <w:t xml:space="preserve"> </w:t>
      </w:r>
      <w:r>
        <w:t>infusion at 4.25</w:t>
      </w:r>
      <w:r w:rsidR="002E619F">
        <w:t xml:space="preserve"> </w:t>
      </w:r>
      <w:r>
        <w:t>h, subsequent 2</w:t>
      </w:r>
      <w:r w:rsidR="002E619F">
        <w:t xml:space="preserve"> </w:t>
      </w:r>
      <w:r>
        <w:t>h infusions have been demonstrated to be safe. Should</w:t>
      </w:r>
      <w:r w:rsidR="00BD699E">
        <w:t xml:space="preserve"> </w:t>
      </w:r>
      <w:r>
        <w:t>an IRR occur during any infusion, irrespective of infusion rate, appropriate measures are adequately</w:t>
      </w:r>
      <w:r w:rsidR="00BD699E">
        <w:t xml:space="preserve"> </w:t>
      </w:r>
      <w:r>
        <w:t>outlined in the Product Information</w:t>
      </w:r>
      <w:r w:rsidR="00FF305A">
        <w:t>?</w:t>
      </w:r>
    </w:p>
    <w:p w14:paraId="2F6FAC32" w14:textId="77777777" w:rsidR="009B025A" w:rsidRDefault="009B025A" w:rsidP="00B44C63">
      <w:r>
        <w:t>Another important and relevant aspect that needs to be considered relating to faster rate infusion is</w:t>
      </w:r>
      <w:r w:rsidR="00BD699E">
        <w:t xml:space="preserve"> </w:t>
      </w:r>
      <w:r>
        <w:t>patient preference. As RA is a chronic debilitating disease which also affect individuals who are fully</w:t>
      </w:r>
      <w:r w:rsidR="00BD699E">
        <w:t xml:space="preserve"> </w:t>
      </w:r>
      <w:r>
        <w:t>employed and/or have young families, convenience of drug administration plays an important role in</w:t>
      </w:r>
      <w:r w:rsidR="00BD699E">
        <w:t xml:space="preserve"> </w:t>
      </w:r>
      <w:r>
        <w:t>drug adherence and therefore subsequent clinical outcome. Poulos et al (2014)</w:t>
      </w:r>
      <w:r w:rsidR="002E619F">
        <w:rPr>
          <w:rStyle w:val="FootnoteReference"/>
        </w:rPr>
        <w:footnoteReference w:id="8"/>
      </w:r>
      <w:r>
        <w:t xml:space="preserve"> conducted an online</w:t>
      </w:r>
      <w:r w:rsidR="00BD699E">
        <w:t xml:space="preserve"> </w:t>
      </w:r>
      <w:r>
        <w:t>discrete choice experiment survey (also known as conjoint-analysis) involving 901 respondents with a</w:t>
      </w:r>
      <w:r w:rsidR="00BD699E">
        <w:t xml:space="preserve"> </w:t>
      </w:r>
      <w:r>
        <w:t>self-reported physician diagnosis of moderate to severe RA. The results indicate that respondents</w:t>
      </w:r>
      <w:r w:rsidR="00BD699E">
        <w:t xml:space="preserve"> </w:t>
      </w:r>
      <w:r>
        <w:t>would accept treatments with lower efficacy and greater safety risks to get lower treatment duration</w:t>
      </w:r>
      <w:r w:rsidR="00BD699E">
        <w:t xml:space="preserve"> </w:t>
      </w:r>
      <w:r>
        <w:t>and frequency. Furthermore, a 1</w:t>
      </w:r>
      <w:r w:rsidR="002E619F">
        <w:t xml:space="preserve"> </w:t>
      </w:r>
      <w:r w:rsidR="00DC6DD0">
        <w:t>h</w:t>
      </w:r>
      <w:r>
        <w:t xml:space="preserve"> reduction in duration is more important than reducing the</w:t>
      </w:r>
      <w:r w:rsidR="00BD699E">
        <w:t xml:space="preserve"> </w:t>
      </w:r>
      <w:r>
        <w:t>frequency by 1 treatment per year.</w:t>
      </w:r>
    </w:p>
    <w:p w14:paraId="6A2DCE62" w14:textId="77777777" w:rsidR="009B025A" w:rsidRDefault="009B025A" w:rsidP="00B44C63">
      <w:r>
        <w:t>Anecdotal feedback from experts in the Australian clinical community also supports the availability of</w:t>
      </w:r>
      <w:r w:rsidR="00BD699E">
        <w:t xml:space="preserve"> </w:t>
      </w:r>
      <w:r>
        <w:t>an alternative faster infusion schedule to provide increased flexibility for both the health care</w:t>
      </w:r>
      <w:r w:rsidR="00BD699E">
        <w:t xml:space="preserve"> </w:t>
      </w:r>
      <w:r>
        <w:t>professional and patient and an increase in capacity at the infusion centre with no impact on treatment</w:t>
      </w:r>
      <w:r w:rsidR="00BD699E">
        <w:t xml:space="preserve"> </w:t>
      </w:r>
      <w:r>
        <w:t>outcomes.</w:t>
      </w:r>
    </w:p>
    <w:p w14:paraId="7A5365BB" w14:textId="77777777" w:rsidR="009B025A" w:rsidRDefault="009B025A" w:rsidP="00B44C63">
      <w:r>
        <w:t>Therefore, Roche considers it appropriate to administer a faster infusion rate (2</w:t>
      </w:r>
      <w:r w:rsidR="002E619F">
        <w:t xml:space="preserve"> </w:t>
      </w:r>
      <w:r>
        <w:t xml:space="preserve">h) in </w:t>
      </w:r>
      <w:r w:rsidR="00E47464">
        <w:t>second</w:t>
      </w:r>
      <w:r>
        <w:rPr>
          <w:sz w:val="16"/>
          <w:szCs w:val="16"/>
        </w:rPr>
        <w:t xml:space="preserve"> </w:t>
      </w:r>
      <w:r>
        <w:t>or subsequent</w:t>
      </w:r>
      <w:r w:rsidR="00BD699E">
        <w:t xml:space="preserve"> </w:t>
      </w:r>
      <w:r>
        <w:t xml:space="preserve">infusions if patients tolerated and did not experience IRRs during the </w:t>
      </w:r>
      <w:r w:rsidR="00E47464">
        <w:t>first</w:t>
      </w:r>
      <w:r>
        <w:rPr>
          <w:sz w:val="16"/>
          <w:szCs w:val="16"/>
        </w:rPr>
        <w:t xml:space="preserve"> </w:t>
      </w:r>
      <w:r>
        <w:t>infusion (4.25</w:t>
      </w:r>
      <w:r w:rsidR="002E619F">
        <w:t xml:space="preserve"> </w:t>
      </w:r>
      <w:r>
        <w:t>h). This proposed</w:t>
      </w:r>
      <w:r w:rsidR="00BD699E">
        <w:t xml:space="preserve"> </w:t>
      </w:r>
      <w:r>
        <w:t>change in infusion schedule is based on the dose regimen used in Study ML25641</w:t>
      </w:r>
      <w:r w:rsidR="002E619F">
        <w:t>, that is,</w:t>
      </w:r>
      <w:r>
        <w:t xml:space="preserve"> 4.25</w:t>
      </w:r>
      <w:r w:rsidR="002E619F">
        <w:t xml:space="preserve"> </w:t>
      </w:r>
      <w:r>
        <w:t>h, 2</w:t>
      </w:r>
      <w:r w:rsidR="002E619F">
        <w:t xml:space="preserve"> </w:t>
      </w:r>
      <w:r>
        <w:t>h, 2</w:t>
      </w:r>
      <w:r w:rsidR="002E619F">
        <w:t xml:space="preserve"> </w:t>
      </w:r>
      <w:r>
        <w:t>h</w:t>
      </w:r>
      <w:r w:rsidR="002E619F">
        <w:t xml:space="preserve"> and</w:t>
      </w:r>
      <w:r w:rsidR="00BD699E">
        <w:t xml:space="preserve"> </w:t>
      </w:r>
      <w:r>
        <w:t>2</w:t>
      </w:r>
      <w:r w:rsidR="002E619F">
        <w:t xml:space="preserve"> </w:t>
      </w:r>
      <w:r>
        <w:t>h.</w:t>
      </w:r>
    </w:p>
    <w:p w14:paraId="6C72B8DB" w14:textId="77777777" w:rsidR="009B025A" w:rsidRDefault="009B025A" w:rsidP="00B44C63">
      <w:r>
        <w:t>The re</w:t>
      </w:r>
      <w:r w:rsidR="00A628E3">
        <w:t>ader is</w:t>
      </w:r>
      <w:r>
        <w:t xml:space="preserve"> referred to the response to the Delegate’s first question to the ACPM for further</w:t>
      </w:r>
      <w:r w:rsidR="00BD699E">
        <w:t xml:space="preserve"> </w:t>
      </w:r>
      <w:r>
        <w:t>information on safety profile of faster rate infusion.</w:t>
      </w:r>
    </w:p>
    <w:p w14:paraId="082AA891" w14:textId="77777777" w:rsidR="009B025A" w:rsidRDefault="009B025A" w:rsidP="00A628E3">
      <w:pPr>
        <w:pStyle w:val="Heading5"/>
      </w:pPr>
      <w:r>
        <w:t>Comments in response to the Delegate’s specific requests</w:t>
      </w:r>
    </w:p>
    <w:p w14:paraId="679171A7" w14:textId="77777777" w:rsidR="009B025A" w:rsidRPr="00A628E3" w:rsidRDefault="009B025A" w:rsidP="006E4508">
      <w:pPr>
        <w:pStyle w:val="Numberbullet0"/>
        <w:numPr>
          <w:ilvl w:val="0"/>
          <w:numId w:val="14"/>
        </w:numPr>
        <w:rPr>
          <w:i/>
        </w:rPr>
      </w:pPr>
      <w:r w:rsidRPr="00A628E3">
        <w:rPr>
          <w:i/>
        </w:rPr>
        <w:t>The infusions 1 and 2 in any course of treatment in the historical dataset are expected to be standard</w:t>
      </w:r>
      <w:r w:rsidR="00BD699E" w:rsidRPr="00A628E3">
        <w:rPr>
          <w:i/>
        </w:rPr>
        <w:t xml:space="preserve"> </w:t>
      </w:r>
      <w:r w:rsidRPr="00A628E3">
        <w:rPr>
          <w:i/>
        </w:rPr>
        <w:t>4</w:t>
      </w:r>
      <w:r w:rsidR="00A628E3" w:rsidRPr="00A628E3">
        <w:rPr>
          <w:i/>
        </w:rPr>
        <w:t xml:space="preserve"> </w:t>
      </w:r>
      <w:r w:rsidRPr="00A628E3">
        <w:rPr>
          <w:i/>
        </w:rPr>
        <w:t>h and 3</w:t>
      </w:r>
      <w:r w:rsidR="00A628E3" w:rsidRPr="00A628E3">
        <w:rPr>
          <w:i/>
        </w:rPr>
        <w:t xml:space="preserve"> </w:t>
      </w:r>
      <w:r w:rsidRPr="00A628E3">
        <w:rPr>
          <w:i/>
        </w:rPr>
        <w:t xml:space="preserve">h infusions respectively, based on the current approval. The </w:t>
      </w:r>
      <w:r w:rsidR="00A628E3" w:rsidRPr="00A628E3">
        <w:rPr>
          <w:i/>
        </w:rPr>
        <w:t>s</w:t>
      </w:r>
      <w:r w:rsidRPr="00A628E3">
        <w:rPr>
          <w:i/>
        </w:rPr>
        <w:t>ponsor is requested to confirm</w:t>
      </w:r>
      <w:r w:rsidR="00BD699E" w:rsidRPr="00A628E3">
        <w:rPr>
          <w:i/>
        </w:rPr>
        <w:t xml:space="preserve"> </w:t>
      </w:r>
      <w:r w:rsidRPr="00A628E3">
        <w:rPr>
          <w:i/>
        </w:rPr>
        <w:t>this in its pre-ACPM response.</w:t>
      </w:r>
    </w:p>
    <w:p w14:paraId="51C20F99" w14:textId="77777777" w:rsidR="009B025A" w:rsidRDefault="00A628E3" w:rsidP="00B44C63">
      <w:r>
        <w:t>The sponsor confirms that I</w:t>
      </w:r>
      <w:r w:rsidR="009B025A">
        <w:t>nfusions 1 and 2 in any course of treatment in the historical dataset are</w:t>
      </w:r>
      <w:r w:rsidR="00BD699E">
        <w:t xml:space="preserve"> </w:t>
      </w:r>
      <w:r w:rsidR="009B025A">
        <w:t>expected to be standard 4.25</w:t>
      </w:r>
      <w:r>
        <w:t xml:space="preserve"> </w:t>
      </w:r>
      <w:r w:rsidR="009B025A">
        <w:t>h and 3.25</w:t>
      </w:r>
      <w:r>
        <w:t xml:space="preserve"> </w:t>
      </w:r>
      <w:r w:rsidR="009B025A">
        <w:t>h infusions respectively. This was specified in the protocols for the pivotal studies, including Study WA17042 (REFLEX</w:t>
      </w:r>
      <w:proofErr w:type="gramStart"/>
      <w:r w:rsidR="009B025A">
        <w:t>)</w:t>
      </w:r>
      <w:proofErr w:type="gramEnd"/>
      <w:r w:rsidRPr="00A628E3">
        <w:rPr>
          <w:vertAlign w:val="superscript"/>
        </w:rPr>
        <w:fldChar w:fldCharType="begin"/>
      </w:r>
      <w:r w:rsidRPr="00A628E3">
        <w:rPr>
          <w:vertAlign w:val="superscript"/>
        </w:rPr>
        <w:instrText xml:space="preserve"> NOTEREF _Ref425845614 \h </w:instrText>
      </w:r>
      <w:r>
        <w:rPr>
          <w:vertAlign w:val="superscript"/>
        </w:rPr>
        <w:instrText xml:space="preserve"> \* MERGEFORMAT </w:instrText>
      </w:r>
      <w:r w:rsidRPr="00A628E3">
        <w:rPr>
          <w:vertAlign w:val="superscript"/>
        </w:rPr>
      </w:r>
      <w:r w:rsidRPr="00A628E3">
        <w:rPr>
          <w:vertAlign w:val="superscript"/>
        </w:rPr>
        <w:fldChar w:fldCharType="separate"/>
      </w:r>
      <w:r w:rsidR="0028747C">
        <w:rPr>
          <w:vertAlign w:val="superscript"/>
        </w:rPr>
        <w:t>5</w:t>
      </w:r>
      <w:r w:rsidRPr="00A628E3">
        <w:rPr>
          <w:vertAlign w:val="superscript"/>
        </w:rPr>
        <w:fldChar w:fldCharType="end"/>
      </w:r>
      <w:r w:rsidR="009B025A">
        <w:t xml:space="preserve"> </w:t>
      </w:r>
      <w:r w:rsidR="009B025A" w:rsidRPr="00A628E3">
        <w:t xml:space="preserve">and </w:t>
      </w:r>
      <w:r w:rsidR="009B025A">
        <w:t>Study U3384g</w:t>
      </w:r>
      <w:r w:rsidR="00BD699E">
        <w:t xml:space="preserve"> </w:t>
      </w:r>
      <w:r w:rsidR="009B025A">
        <w:t>(SUNRISE)</w:t>
      </w:r>
      <w:r w:rsidRPr="00A628E3">
        <w:rPr>
          <w:vertAlign w:val="superscript"/>
        </w:rPr>
        <w:fldChar w:fldCharType="begin"/>
      </w:r>
      <w:r w:rsidRPr="00A628E3">
        <w:rPr>
          <w:vertAlign w:val="superscript"/>
        </w:rPr>
        <w:instrText xml:space="preserve"> NOTEREF _Ref425845632 \h </w:instrText>
      </w:r>
      <w:r>
        <w:rPr>
          <w:vertAlign w:val="superscript"/>
        </w:rPr>
        <w:instrText xml:space="preserve"> \* MERGEFORMAT </w:instrText>
      </w:r>
      <w:r w:rsidRPr="00A628E3">
        <w:rPr>
          <w:vertAlign w:val="superscript"/>
        </w:rPr>
      </w:r>
      <w:r w:rsidRPr="00A628E3">
        <w:rPr>
          <w:vertAlign w:val="superscript"/>
        </w:rPr>
        <w:fldChar w:fldCharType="separate"/>
      </w:r>
      <w:r w:rsidR="0028747C">
        <w:rPr>
          <w:vertAlign w:val="superscript"/>
        </w:rPr>
        <w:t>6</w:t>
      </w:r>
      <w:r w:rsidRPr="00A628E3">
        <w:rPr>
          <w:vertAlign w:val="superscript"/>
        </w:rPr>
        <w:fldChar w:fldCharType="end"/>
      </w:r>
      <w:r w:rsidR="009B025A">
        <w:t xml:space="preserve"> which included repeated dosing and which were included in the All-</w:t>
      </w:r>
      <w:r w:rsidR="00BD699E">
        <w:t xml:space="preserve"> </w:t>
      </w:r>
      <w:r w:rsidR="009B025A">
        <w:t>Exposure population.</w:t>
      </w:r>
    </w:p>
    <w:p w14:paraId="1CDD4B0F" w14:textId="77777777" w:rsidR="009B025A" w:rsidRDefault="009B025A" w:rsidP="00B44C63">
      <w:r>
        <w:t>An analysis of the infusion times reported for the All Exposure population has been conducted. Each</w:t>
      </w:r>
      <w:r w:rsidR="00BD699E">
        <w:t xml:space="preserve"> </w:t>
      </w:r>
      <w:r>
        <w:t>course of rituximab in studies that comprised the historical control for Study ML25641 (RATE-RA)</w:t>
      </w:r>
      <w:r w:rsidR="00BD699E">
        <w:t xml:space="preserve"> </w:t>
      </w:r>
      <w:r>
        <w:t xml:space="preserve">included two infusions to be administered in 4.25 and 3.25 </w:t>
      </w:r>
      <w:r w:rsidR="00DC6DD0">
        <w:t>h</w:t>
      </w:r>
      <w:r>
        <w:t xml:space="preserve"> for the first and second infusion,</w:t>
      </w:r>
      <w:r w:rsidR="00BD699E">
        <w:t xml:space="preserve"> </w:t>
      </w:r>
      <w:r>
        <w:t>respectively. The total infusion duration, including time of interruption for the first two courses in these</w:t>
      </w:r>
      <w:r w:rsidR="00BD699E">
        <w:t xml:space="preserve"> </w:t>
      </w:r>
      <w:r w:rsidR="00A628E3">
        <w:t>studies, was summaris</w:t>
      </w:r>
      <w:r>
        <w:t xml:space="preserve">ed in Table </w:t>
      </w:r>
      <w:r w:rsidR="00A628E3">
        <w:t>14</w:t>
      </w:r>
      <w:r>
        <w:t>. The mean (median) infusion duration for the first two courses was</w:t>
      </w:r>
      <w:r w:rsidR="00BD699E">
        <w:t xml:space="preserve"> </w:t>
      </w:r>
      <w:r>
        <w:t>in the range of 4.29</w:t>
      </w:r>
      <w:r w:rsidR="00A628E3">
        <w:t xml:space="preserve"> to </w:t>
      </w:r>
      <w:r>
        <w:t xml:space="preserve">4.42 </w:t>
      </w:r>
      <w:r w:rsidR="00DC6DD0">
        <w:t>h</w:t>
      </w:r>
      <w:r>
        <w:t xml:space="preserve"> (4.25 </w:t>
      </w:r>
      <w:r w:rsidR="00DC6DD0">
        <w:t>h</w:t>
      </w:r>
      <w:r>
        <w:t>) for the first infusion, and 3.39</w:t>
      </w:r>
      <w:r w:rsidR="00A628E3">
        <w:t xml:space="preserve"> to </w:t>
      </w:r>
      <w:r>
        <w:t xml:space="preserve">3.45 </w:t>
      </w:r>
      <w:r w:rsidR="00DC6DD0">
        <w:t>h</w:t>
      </w:r>
      <w:r>
        <w:t xml:space="preserve"> (3.25 </w:t>
      </w:r>
      <w:r w:rsidR="00DC6DD0">
        <w:t>h</w:t>
      </w:r>
      <w:r>
        <w:t>) for the second infusion.</w:t>
      </w:r>
    </w:p>
    <w:p w14:paraId="70953631" w14:textId="77777777" w:rsidR="009B025A" w:rsidRDefault="00A628E3" w:rsidP="006E4508">
      <w:pPr>
        <w:pStyle w:val="Tabletitle0"/>
        <w:rPr>
          <w:b w:val="0"/>
          <w:bCs/>
        </w:rPr>
      </w:pPr>
      <w:r>
        <w:lastRenderedPageBreak/>
        <w:t>Table 14: Summary of total rituximab infusion duration by Course and Infusion for All Exposure Population</w:t>
      </w:r>
      <w:r w:rsidR="009B025A">
        <w:rPr>
          <w:noProof/>
          <w:lang w:eastAsia="en-AU"/>
        </w:rPr>
        <w:drawing>
          <wp:inline distT="0" distB="0" distL="0" distR="0" wp14:anchorId="058B64D4" wp14:editId="4FA7DBED">
            <wp:extent cx="4541771" cy="2550679"/>
            <wp:effectExtent l="0" t="0" r="0" b="2540"/>
            <wp:docPr id="9" name="Picture 9" descr="Table 14: Summary of total rituximab infusion duration by Course and Infusion for All Exposur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8309" t="10774" r="-8309" b="3041"/>
                    <a:stretch/>
                  </pic:blipFill>
                  <pic:spPr bwMode="auto">
                    <a:xfrm>
                      <a:off x="0" y="0"/>
                      <a:ext cx="4543534" cy="2551669"/>
                    </a:xfrm>
                    <a:prstGeom prst="rect">
                      <a:avLst/>
                    </a:prstGeom>
                    <a:ln>
                      <a:noFill/>
                    </a:ln>
                    <a:extLst>
                      <a:ext uri="{53640926-AAD7-44D8-BBD7-CCE9431645EC}">
                        <a14:shadowObscured xmlns:a14="http://schemas.microsoft.com/office/drawing/2010/main"/>
                      </a:ext>
                    </a:extLst>
                  </pic:spPr>
                </pic:pic>
              </a:graphicData>
            </a:graphic>
          </wp:inline>
        </w:drawing>
      </w:r>
    </w:p>
    <w:p w14:paraId="274CFB66" w14:textId="77777777" w:rsidR="009B025A" w:rsidRPr="00A628E3" w:rsidRDefault="009B025A" w:rsidP="00B44C63">
      <w:pPr>
        <w:pStyle w:val="Numberbullet0"/>
        <w:rPr>
          <w:i/>
        </w:rPr>
      </w:pPr>
      <w:r w:rsidRPr="00A628E3">
        <w:rPr>
          <w:i/>
        </w:rPr>
        <w:t>It also needs to be emphasised that a controlled trial was eminently possible, practical and ethical.</w:t>
      </w:r>
      <w:r w:rsidR="00A628E3">
        <w:rPr>
          <w:i/>
        </w:rPr>
        <w:t xml:space="preserve"> </w:t>
      </w:r>
      <w:r w:rsidRPr="00A628E3">
        <w:rPr>
          <w:i/>
        </w:rPr>
        <w:t>Thus it is not entirely clear why a single arm design was preferred. Note also that no patient in this study</w:t>
      </w:r>
      <w:r w:rsidR="00BD699E" w:rsidRPr="00A628E3">
        <w:rPr>
          <w:i/>
        </w:rPr>
        <w:t xml:space="preserve"> </w:t>
      </w:r>
      <w:r w:rsidRPr="00A628E3">
        <w:rPr>
          <w:i/>
        </w:rPr>
        <w:t>received the currently approved 3 h infusion for which the 2</w:t>
      </w:r>
      <w:r w:rsidR="00A628E3" w:rsidRPr="00A628E3">
        <w:rPr>
          <w:i/>
        </w:rPr>
        <w:t xml:space="preserve"> </w:t>
      </w:r>
      <w:r w:rsidRPr="00A628E3">
        <w:rPr>
          <w:i/>
        </w:rPr>
        <w:t>h infusion is the proposed alternative. The</w:t>
      </w:r>
      <w:r w:rsidR="00BD699E" w:rsidRPr="00A628E3">
        <w:rPr>
          <w:i/>
        </w:rPr>
        <w:t xml:space="preserve"> </w:t>
      </w:r>
      <w:r w:rsidR="00A628E3" w:rsidRPr="00A628E3">
        <w:rPr>
          <w:i/>
        </w:rPr>
        <w:t>s</w:t>
      </w:r>
      <w:r w:rsidRPr="00A628E3">
        <w:rPr>
          <w:i/>
        </w:rPr>
        <w:t>ponsor is requested to comment whether any regulatory advice from any jurisdiction was obtained</w:t>
      </w:r>
      <w:r w:rsidR="00BD699E" w:rsidRPr="00A628E3">
        <w:rPr>
          <w:i/>
        </w:rPr>
        <w:t xml:space="preserve"> </w:t>
      </w:r>
      <w:r w:rsidRPr="00A628E3">
        <w:rPr>
          <w:i/>
        </w:rPr>
        <w:t>during the planning of this study.</w:t>
      </w:r>
    </w:p>
    <w:p w14:paraId="4F554CCC" w14:textId="77777777" w:rsidR="009B025A" w:rsidRDefault="009B025A" w:rsidP="00B44C63">
      <w:r>
        <w:t>The re</w:t>
      </w:r>
      <w:r w:rsidR="00A628E3">
        <w:t>ader is</w:t>
      </w:r>
      <w:r>
        <w:t xml:space="preserve"> referred to Roche’s response to the Delegate’s first question to the ACPM, in which</w:t>
      </w:r>
      <w:r w:rsidR="00BD699E">
        <w:t xml:space="preserve"> </w:t>
      </w:r>
      <w:r>
        <w:t>we provide the rationale for not conducting a controlled study and further information on the validity of</w:t>
      </w:r>
      <w:r w:rsidR="00BD699E">
        <w:t xml:space="preserve"> </w:t>
      </w:r>
      <w:r>
        <w:t xml:space="preserve">our use of the All Exposure population data in the ML25641 </w:t>
      </w:r>
      <w:r w:rsidR="00A628E3">
        <w:t xml:space="preserve">study </w:t>
      </w:r>
      <w:r>
        <w:t xml:space="preserve">report. The </w:t>
      </w:r>
      <w:r w:rsidR="00A628E3">
        <w:t>s</w:t>
      </w:r>
      <w:r>
        <w:t>ponsor confirms that no</w:t>
      </w:r>
      <w:r w:rsidR="00BD699E">
        <w:t xml:space="preserve"> </w:t>
      </w:r>
      <w:r>
        <w:t>regulatory advice relating specifically to the ML256141 study was obtained from any jurisdiction during</w:t>
      </w:r>
      <w:r w:rsidR="00BD699E">
        <w:t xml:space="preserve"> </w:t>
      </w:r>
      <w:r>
        <w:t xml:space="preserve">study planning. In pre-sBLA advice, which occurred once </w:t>
      </w:r>
      <w:r w:rsidR="00A628E3">
        <w:t>S</w:t>
      </w:r>
      <w:r>
        <w:t>tudy ML25641 was completed, the FDA</w:t>
      </w:r>
      <w:r w:rsidR="00BD699E">
        <w:t xml:space="preserve"> </w:t>
      </w:r>
      <w:r>
        <w:t>indicated that an assessment of whether the totality of data is adequate to support the shorter infusion</w:t>
      </w:r>
      <w:r w:rsidR="00A628E3">
        <w:t xml:space="preserve"> would be a review issue once the application was submitted in the USA. Prior to the conduct of ML256141, a study was conducted with rituximab in the oncology setting using </w:t>
      </w:r>
      <w:proofErr w:type="gramStart"/>
      <w:r w:rsidR="00A628E3">
        <w:t>a 90</w:t>
      </w:r>
      <w:proofErr w:type="gramEnd"/>
      <w:r w:rsidR="00A628E3">
        <w:t xml:space="preserve"> min duration of infusion leading to a USA approval of a 90 min infusion in 2012. The study design for ML25641 was similar to the oncology study in that a single treatment arm was used.</w:t>
      </w:r>
    </w:p>
    <w:p w14:paraId="332FE7EA" w14:textId="77777777" w:rsidR="00FC4A5D" w:rsidRDefault="00A628E3" w:rsidP="00B44C63">
      <w:pPr>
        <w:rPr>
          <w:i/>
        </w:rPr>
      </w:pPr>
      <w:r w:rsidRPr="007A3E92">
        <w:rPr>
          <w:i/>
        </w:rPr>
        <w:t>3).The patient population in Study ML 25641 was generally consistent with the approved indication of severe RA patients in Australia. The participants appear to have been given the thir</w:t>
      </w:r>
      <w:r w:rsidR="007A3E92" w:rsidRPr="007A3E92">
        <w:rPr>
          <w:i/>
        </w:rPr>
        <w:t>d</w:t>
      </w:r>
      <w:r w:rsidRPr="007A3E92">
        <w:rPr>
          <w:i/>
        </w:rPr>
        <w:t xml:space="preserve"> and fourth infusions (that is, a second course) without clinical imperative, which would be inconsistent with the current treatment recommendations. The sponsor is requested to clarify this aspect of the study in their pre-ACPM response</w:t>
      </w:r>
      <w:r w:rsidR="00FC4A5D">
        <w:rPr>
          <w:i/>
        </w:rPr>
        <w:t>.</w:t>
      </w:r>
    </w:p>
    <w:p w14:paraId="656ECA1C" w14:textId="73C3A222" w:rsidR="007A3E92" w:rsidRPr="007A3E92" w:rsidRDefault="007A3E92" w:rsidP="00B44C63">
      <w:r>
        <w:t>The Australian label states that the retreatment is based on regular monitoring of the signs and symptoms of the disease. However, the US label specifies that retreatment is every 24 weeks or, based on clinical evaluation, as early as 16 weeks. As Study ML25641 was a US based study the interval of 24 weeks between infusions was chosen as the basis to evaluate the safety of faster infusions of repeat course. Furthermore, the historical safety data used for comparison was reported every 6 months.</w:t>
      </w:r>
    </w:p>
    <w:p w14:paraId="664C6F48" w14:textId="77777777" w:rsidR="008E7846" w:rsidRDefault="008E7846" w:rsidP="008E7846">
      <w:pPr>
        <w:pStyle w:val="Heading4"/>
      </w:pPr>
      <w:r>
        <w:t>Advisory Committee Considerations</w:t>
      </w:r>
    </w:p>
    <w:p w14:paraId="1D561891" w14:textId="77777777" w:rsidR="00431730" w:rsidRPr="00A966A1" w:rsidRDefault="00431730" w:rsidP="00B44C63">
      <w:pPr>
        <w:rPr>
          <w:rFonts w:cs="Arial"/>
        </w:rPr>
      </w:pPr>
      <w:r w:rsidRPr="00A966A1">
        <w:rPr>
          <w:rFonts w:cs="Arial"/>
        </w:rPr>
        <w:t xml:space="preserve">The ACPM resolved to recommend to the TGA delegate of the Minister and Secretary that: </w:t>
      </w:r>
    </w:p>
    <w:p w14:paraId="0AF92C60" w14:textId="77777777" w:rsidR="00431730" w:rsidRPr="00AA2691" w:rsidRDefault="00431730" w:rsidP="00B44C63">
      <w:pPr>
        <w:rPr>
          <w:rFonts w:eastAsia="MS Mincho" w:cs="Calibri"/>
          <w:color w:val="000000"/>
          <w:lang w:eastAsia="ja-JP"/>
        </w:rPr>
      </w:pPr>
      <w:r w:rsidRPr="00A966A1">
        <w:rPr>
          <w:rFonts w:eastAsia="MS Mincho" w:cs="Calibri"/>
          <w:color w:val="000000"/>
          <w:lang w:eastAsia="ja-JP"/>
        </w:rPr>
        <w:lastRenderedPageBreak/>
        <w:t>The ACPM, taking into account the submitted evidence of efficacy</w:t>
      </w:r>
      <w:r>
        <w:rPr>
          <w:rFonts w:eastAsia="MS Mincho" w:cs="Calibri"/>
          <w:color w:val="000000"/>
          <w:lang w:eastAsia="ja-JP"/>
        </w:rPr>
        <w:t xml:space="preserve"> and </w:t>
      </w:r>
      <w:r w:rsidRPr="00A966A1">
        <w:rPr>
          <w:rFonts w:eastAsia="MS Mincho" w:cs="Calibri"/>
          <w:color w:val="000000"/>
          <w:lang w:eastAsia="ja-JP"/>
        </w:rPr>
        <w:t>safety</w:t>
      </w:r>
      <w:r>
        <w:rPr>
          <w:rFonts w:eastAsia="MS Mincho" w:cs="Calibri"/>
          <w:color w:val="000000"/>
          <w:lang w:eastAsia="ja-JP"/>
        </w:rPr>
        <w:t>,</w:t>
      </w:r>
      <w:r w:rsidRPr="00A966A1">
        <w:rPr>
          <w:rFonts w:eastAsia="MS Mincho" w:cs="Calibri"/>
          <w:color w:val="000000"/>
          <w:lang w:eastAsia="ja-JP"/>
        </w:rPr>
        <w:t xml:space="preserve"> considered </w:t>
      </w:r>
      <w:r w:rsidRPr="00A966A1">
        <w:rPr>
          <w:rFonts w:eastAsia="MS Mincho"/>
          <w:lang w:eastAsia="ja-JP"/>
        </w:rPr>
        <w:t>M</w:t>
      </w:r>
      <w:r w:rsidR="007A3E92">
        <w:rPr>
          <w:rFonts w:eastAsia="MS Mincho"/>
          <w:lang w:eastAsia="ja-JP"/>
        </w:rPr>
        <w:t>abThera</w:t>
      </w:r>
      <w:r w:rsidRPr="00A966A1">
        <w:rPr>
          <w:rFonts w:eastAsia="MS Mincho"/>
          <w:lang w:eastAsia="ja-JP"/>
        </w:rPr>
        <w:t xml:space="preserve"> single use vials containing 100 mg/10 mL </w:t>
      </w:r>
      <w:r w:rsidR="007A3E92">
        <w:rPr>
          <w:rFonts w:eastAsia="MS Mincho"/>
          <w:lang w:eastAsia="ja-JP"/>
        </w:rPr>
        <w:t>and</w:t>
      </w:r>
      <w:r w:rsidRPr="00A966A1">
        <w:rPr>
          <w:rFonts w:eastAsia="MS Mincho"/>
          <w:lang w:eastAsia="ja-JP"/>
        </w:rPr>
        <w:t xml:space="preserve"> 500 mg/ 50 mL of rituximab</w:t>
      </w:r>
      <w:r w:rsidRPr="00A966A1">
        <w:rPr>
          <w:rFonts w:eastAsia="MS Mincho"/>
          <w:b/>
          <w:lang w:eastAsia="ja-JP"/>
        </w:rPr>
        <w:t xml:space="preserve"> </w:t>
      </w:r>
      <w:r w:rsidRPr="00A966A1">
        <w:rPr>
          <w:rFonts w:eastAsia="MS Mincho" w:cs="Calibri"/>
          <w:color w:val="000000"/>
          <w:lang w:eastAsia="ja-JP"/>
        </w:rPr>
        <w:t xml:space="preserve">to have an overall </w:t>
      </w:r>
      <w:r>
        <w:rPr>
          <w:rFonts w:eastAsia="MS Mincho" w:cs="Calibri"/>
          <w:color w:val="000000"/>
          <w:lang w:eastAsia="ja-JP"/>
        </w:rPr>
        <w:t xml:space="preserve">acceptable </w:t>
      </w:r>
      <w:r w:rsidRPr="00A966A1">
        <w:rPr>
          <w:rFonts w:eastAsia="MS Mincho" w:cs="Calibri"/>
          <w:color w:val="000000"/>
          <w:lang w:eastAsia="ja-JP"/>
        </w:rPr>
        <w:t xml:space="preserve">benefit–risk profile for </w:t>
      </w:r>
      <w:r w:rsidRPr="00AA2691">
        <w:rPr>
          <w:rFonts w:eastAsia="MS Mincho" w:cs="Calibri"/>
          <w:color w:val="000000"/>
          <w:lang w:eastAsia="ja-JP"/>
        </w:rPr>
        <w:t>the proposed new (2</w:t>
      </w:r>
      <w:r>
        <w:rPr>
          <w:rFonts w:eastAsia="MS Mincho" w:cs="Calibri"/>
          <w:color w:val="000000"/>
          <w:lang w:eastAsia="ja-JP"/>
        </w:rPr>
        <w:t xml:space="preserve"> </w:t>
      </w:r>
      <w:r w:rsidR="00DC6DD0">
        <w:rPr>
          <w:rFonts w:eastAsia="MS Mincho" w:cs="Calibri"/>
          <w:color w:val="000000"/>
          <w:lang w:eastAsia="ja-JP"/>
        </w:rPr>
        <w:t>h</w:t>
      </w:r>
      <w:r w:rsidRPr="00AA2691">
        <w:rPr>
          <w:rFonts w:eastAsia="MS Mincho" w:cs="Calibri"/>
          <w:color w:val="000000"/>
          <w:lang w:eastAsia="ja-JP"/>
        </w:rPr>
        <w:t>) dosing schedule for use in patients with rheumatoid arthritis.</w:t>
      </w:r>
    </w:p>
    <w:p w14:paraId="14280D1C" w14:textId="77777777" w:rsidR="00431730" w:rsidRDefault="00431730" w:rsidP="00B44C63">
      <w:r w:rsidRPr="00A966A1">
        <w:rPr>
          <w:rFonts w:eastAsia="MS Mincho"/>
          <w:lang w:eastAsia="ja-JP"/>
        </w:rPr>
        <w:t xml:space="preserve">The ACPM advised that, despite limited evidence </w:t>
      </w:r>
      <w:r>
        <w:rPr>
          <w:rFonts w:eastAsia="MS Mincho"/>
          <w:lang w:eastAsia="ja-JP"/>
        </w:rPr>
        <w:t xml:space="preserve">(lack of concurrent controls) </w:t>
      </w:r>
      <w:r w:rsidRPr="00A966A1">
        <w:rPr>
          <w:rFonts w:eastAsia="MS Mincho"/>
          <w:lang w:eastAsia="ja-JP"/>
        </w:rPr>
        <w:t xml:space="preserve">in support of the proposed 2 </w:t>
      </w:r>
      <w:r w:rsidR="00DC6DD0">
        <w:rPr>
          <w:rFonts w:eastAsia="MS Mincho"/>
          <w:lang w:eastAsia="ja-JP"/>
        </w:rPr>
        <w:t>h</w:t>
      </w:r>
      <w:r w:rsidRPr="00A966A1">
        <w:rPr>
          <w:rFonts w:eastAsia="MS Mincho"/>
          <w:lang w:eastAsia="ja-JP"/>
        </w:rPr>
        <w:t xml:space="preserve"> infusion rate and the trial using historical controls, there were no reported </w:t>
      </w:r>
      <w:r w:rsidRPr="00A966A1">
        <w:t xml:space="preserve">SIRRs with the 2 </w:t>
      </w:r>
      <w:r w:rsidR="00DC6DD0">
        <w:t>h</w:t>
      </w:r>
      <w:r w:rsidRPr="00A966A1">
        <w:t xml:space="preserve"> infusion in almost 300 patients which was reassuring. However, the committee was of the view that dosage instructions required modification to better reflect the evidence provided.</w:t>
      </w:r>
    </w:p>
    <w:p w14:paraId="5F8BA16B" w14:textId="77777777" w:rsidR="00431730" w:rsidRPr="00A966A1" w:rsidRDefault="00431730" w:rsidP="00B44C63">
      <w:pPr>
        <w:pStyle w:val="Heading5"/>
        <w:rPr>
          <w:rFonts w:eastAsia="MS Mincho"/>
          <w:lang w:eastAsia="ja-JP"/>
        </w:rPr>
      </w:pPr>
      <w:r w:rsidRPr="00A966A1">
        <w:rPr>
          <w:rFonts w:eastAsia="MS Mincho"/>
          <w:lang w:eastAsia="ja-JP"/>
        </w:rPr>
        <w:t>Proposed conditions of registration</w:t>
      </w:r>
    </w:p>
    <w:p w14:paraId="0ABC7332" w14:textId="77777777" w:rsidR="00431730" w:rsidRPr="00A966A1" w:rsidRDefault="00431730" w:rsidP="00B44C63">
      <w:pPr>
        <w:rPr>
          <w:lang w:eastAsia="ja-JP"/>
        </w:rPr>
      </w:pPr>
      <w:r w:rsidRPr="00A966A1">
        <w:rPr>
          <w:lang w:eastAsia="ja-JP"/>
        </w:rPr>
        <w:t xml:space="preserve">The ACPM </w:t>
      </w:r>
      <w:r>
        <w:rPr>
          <w:lang w:eastAsia="ja-JP"/>
        </w:rPr>
        <w:t>noted that the submission was supported by a Risk Management Plan and agreed that monitoring in the post-approval phase will be important.</w:t>
      </w:r>
    </w:p>
    <w:p w14:paraId="7A9BF929" w14:textId="77777777" w:rsidR="00431730" w:rsidRPr="00A966A1" w:rsidRDefault="00431730" w:rsidP="007A3E92">
      <w:pPr>
        <w:pStyle w:val="Heading5"/>
        <w:rPr>
          <w:rFonts w:eastAsia="MS Mincho"/>
          <w:u w:val="single"/>
          <w:lang w:eastAsia="ja-JP"/>
        </w:rPr>
      </w:pPr>
      <w:r w:rsidRPr="00A966A1">
        <w:rPr>
          <w:rFonts w:eastAsia="MS Mincho"/>
          <w:lang w:eastAsia="ja-JP"/>
        </w:rPr>
        <w:t>Proposed Product Information (PI)/Consumer Medicine Information (CMI) amendments</w:t>
      </w:r>
    </w:p>
    <w:p w14:paraId="4CB29C58" w14:textId="77777777" w:rsidR="00431730" w:rsidRPr="00A966A1" w:rsidRDefault="00431730" w:rsidP="00B44C63">
      <w:pPr>
        <w:rPr>
          <w:lang w:eastAsia="ja-JP"/>
        </w:rPr>
      </w:pPr>
      <w:r w:rsidRPr="00A966A1">
        <w:rPr>
          <w:lang w:eastAsia="ja-JP"/>
        </w:rPr>
        <w:t>The ACPM specifically advised on the inclusion of the following</w:t>
      </w:r>
      <w:r w:rsidRPr="00F82DD8">
        <w:rPr>
          <w:lang w:eastAsia="ja-JP"/>
        </w:rPr>
        <w:t xml:space="preserve"> </w:t>
      </w:r>
      <w:r w:rsidRPr="00A966A1">
        <w:rPr>
          <w:lang w:eastAsia="ja-JP"/>
        </w:rPr>
        <w:t xml:space="preserve">amendments to the Product Information (PI) and Consumer Medicine Information (CMI): </w:t>
      </w:r>
    </w:p>
    <w:p w14:paraId="7F72F7C2" w14:textId="77777777" w:rsidR="00FC4A5D" w:rsidRDefault="00431730" w:rsidP="00B44C63">
      <w:pPr>
        <w:pStyle w:val="ListBullet"/>
        <w:rPr>
          <w:lang w:eastAsia="ja-JP"/>
        </w:rPr>
      </w:pPr>
      <w:r w:rsidRPr="00A966A1">
        <w:rPr>
          <w:lang w:eastAsia="ja-JP"/>
        </w:rPr>
        <w:t xml:space="preserve">The </w:t>
      </w:r>
      <w:r>
        <w:rPr>
          <w:lang w:eastAsia="ja-JP"/>
        </w:rPr>
        <w:t xml:space="preserve">proposed </w:t>
      </w:r>
      <w:r w:rsidRPr="00A966A1">
        <w:rPr>
          <w:lang w:eastAsia="ja-JP"/>
        </w:rPr>
        <w:t xml:space="preserve">directions for use in the </w:t>
      </w:r>
      <w:r w:rsidR="007A3E92" w:rsidRPr="00AA2691">
        <w:rPr>
          <w:lang w:eastAsia="ja-JP"/>
        </w:rPr>
        <w:t xml:space="preserve">Dosage </w:t>
      </w:r>
      <w:r w:rsidR="007A3E92">
        <w:rPr>
          <w:lang w:eastAsia="ja-JP"/>
        </w:rPr>
        <w:t>a</w:t>
      </w:r>
      <w:r w:rsidR="007A3E92" w:rsidRPr="00AA2691">
        <w:rPr>
          <w:lang w:eastAsia="ja-JP"/>
        </w:rPr>
        <w:t>nd Administration</w:t>
      </w:r>
      <w:r w:rsidR="007A3E92" w:rsidRPr="00A966A1">
        <w:rPr>
          <w:i/>
          <w:lang w:eastAsia="ja-JP"/>
        </w:rPr>
        <w:t xml:space="preserve"> </w:t>
      </w:r>
      <w:r w:rsidRPr="00A966A1">
        <w:rPr>
          <w:lang w:eastAsia="ja-JP"/>
        </w:rPr>
        <w:t xml:space="preserve">section of the PI </w:t>
      </w:r>
      <w:r>
        <w:rPr>
          <w:lang w:eastAsia="ja-JP"/>
        </w:rPr>
        <w:t>do not apply to patients who are ineligible for the 2</w:t>
      </w:r>
      <w:r w:rsidR="007A3E92">
        <w:rPr>
          <w:lang w:eastAsia="ja-JP"/>
        </w:rPr>
        <w:t xml:space="preserve"> </w:t>
      </w:r>
      <w:r>
        <w:rPr>
          <w:lang w:eastAsia="ja-JP"/>
        </w:rPr>
        <w:t>h infusion and should be appropriately modified to reflect lack of data in this patient population</w:t>
      </w:r>
      <w:r w:rsidR="00FC4A5D">
        <w:rPr>
          <w:lang w:eastAsia="ja-JP"/>
        </w:rPr>
        <w:t>.</w:t>
      </w:r>
    </w:p>
    <w:p w14:paraId="4BBE4818" w14:textId="4FE0D5B2" w:rsidR="00431730" w:rsidRPr="00A966A1" w:rsidRDefault="00431730" w:rsidP="00B44C63">
      <w:pPr>
        <w:pStyle w:val="ListBullet"/>
        <w:rPr>
          <w:lang w:eastAsia="ja-JP"/>
        </w:rPr>
      </w:pPr>
      <w:r>
        <w:rPr>
          <w:lang w:eastAsia="ja-JP"/>
        </w:rPr>
        <w:t xml:space="preserve">The description of the supporting study in the </w:t>
      </w:r>
      <w:r w:rsidR="007A3E92" w:rsidRPr="00AA2691">
        <w:rPr>
          <w:lang w:eastAsia="ja-JP"/>
        </w:rPr>
        <w:t>Clinical Trials</w:t>
      </w:r>
      <w:r w:rsidR="007A3E92">
        <w:rPr>
          <w:lang w:eastAsia="ja-JP"/>
        </w:rPr>
        <w:t xml:space="preserve"> </w:t>
      </w:r>
      <w:r>
        <w:rPr>
          <w:lang w:eastAsia="ja-JP"/>
        </w:rPr>
        <w:t>section should include a comprehensive definition of SIRR.</w:t>
      </w:r>
    </w:p>
    <w:p w14:paraId="5DE09610" w14:textId="77777777" w:rsidR="00431730" w:rsidRPr="00A966A1" w:rsidRDefault="00431730" w:rsidP="00B44C63">
      <w:pPr>
        <w:pStyle w:val="Heading5"/>
        <w:rPr>
          <w:rFonts w:eastAsia="MS Mincho"/>
          <w:highlight w:val="yellow"/>
          <w:lang w:eastAsia="ja-JP"/>
        </w:rPr>
      </w:pPr>
      <w:r w:rsidRPr="00A966A1">
        <w:rPr>
          <w:rFonts w:eastAsia="MS Mincho"/>
          <w:lang w:eastAsia="ja-JP"/>
        </w:rPr>
        <w:t>Specific Advice</w:t>
      </w:r>
    </w:p>
    <w:p w14:paraId="0BE9B962" w14:textId="77777777" w:rsidR="00431730" w:rsidRPr="00A966A1" w:rsidRDefault="00431730" w:rsidP="00B44C63">
      <w:pPr>
        <w:rPr>
          <w:b/>
          <w:bCs/>
          <w:iCs/>
          <w:highlight w:val="yellow"/>
          <w:lang w:eastAsia="ja-JP"/>
        </w:rPr>
      </w:pPr>
      <w:r w:rsidRPr="00A966A1">
        <w:rPr>
          <w:lang w:eastAsia="ja-JP"/>
        </w:rPr>
        <w:t>The ACPM advised the following in response to the delegate’s specific questions on this submission:</w:t>
      </w:r>
    </w:p>
    <w:p w14:paraId="2079A8B7" w14:textId="77777777" w:rsidR="00431730" w:rsidRPr="007A3E92" w:rsidRDefault="00431730" w:rsidP="006E4508">
      <w:pPr>
        <w:pStyle w:val="Numberbullet0"/>
        <w:numPr>
          <w:ilvl w:val="0"/>
          <w:numId w:val="9"/>
        </w:numPr>
        <w:rPr>
          <w:i/>
          <w:lang w:eastAsia="ja-JP"/>
        </w:rPr>
      </w:pPr>
      <w:r w:rsidRPr="007A3E92">
        <w:rPr>
          <w:i/>
          <w:lang w:eastAsia="ja-JP"/>
        </w:rPr>
        <w:t>Does the ACPM accept the validity and robustness of the supporting uncontrolled data as reliable evidence of efficacy and safety for the proposed 2</w:t>
      </w:r>
      <w:r w:rsidR="007A3E92" w:rsidRPr="007A3E92">
        <w:rPr>
          <w:i/>
          <w:lang w:eastAsia="ja-JP"/>
        </w:rPr>
        <w:t xml:space="preserve"> </w:t>
      </w:r>
      <w:r w:rsidRPr="007A3E92">
        <w:rPr>
          <w:i/>
          <w:lang w:eastAsia="ja-JP"/>
        </w:rPr>
        <w:t>h alternative schedule for use in RA patients?</w:t>
      </w:r>
    </w:p>
    <w:p w14:paraId="764A2C39" w14:textId="77777777" w:rsidR="00431730" w:rsidRPr="00A966A1" w:rsidRDefault="00431730" w:rsidP="00B44C63">
      <w:pPr>
        <w:rPr>
          <w:lang w:eastAsia="ja-JP"/>
        </w:rPr>
      </w:pPr>
      <w:r>
        <w:rPr>
          <w:lang w:eastAsia="ja-JP"/>
        </w:rPr>
        <w:t>While not ideal, t</w:t>
      </w:r>
      <w:r w:rsidRPr="00A966A1">
        <w:rPr>
          <w:lang w:eastAsia="ja-JP"/>
        </w:rPr>
        <w:t>he ACPM advised the data can be taken to indicate that the proposed 2 h schedule is safe</w:t>
      </w:r>
      <w:r>
        <w:rPr>
          <w:lang w:eastAsia="ja-JP"/>
        </w:rPr>
        <w:t>, under the restricted conditions proposed</w:t>
      </w:r>
      <w:r w:rsidRPr="00A966A1">
        <w:rPr>
          <w:lang w:eastAsia="ja-JP"/>
        </w:rPr>
        <w:t xml:space="preserve">. </w:t>
      </w:r>
      <w:r>
        <w:rPr>
          <w:lang w:eastAsia="ja-JP"/>
        </w:rPr>
        <w:t>With respect to efficacy, t</w:t>
      </w:r>
      <w:r w:rsidRPr="00A966A1">
        <w:rPr>
          <w:lang w:eastAsia="ja-JP"/>
        </w:rPr>
        <w:t>here are no grounds to suspect M</w:t>
      </w:r>
      <w:r w:rsidR="007A3E92">
        <w:rPr>
          <w:lang w:eastAsia="ja-JP"/>
        </w:rPr>
        <w:t>abThera</w:t>
      </w:r>
      <w:r w:rsidRPr="00A966A1">
        <w:rPr>
          <w:lang w:eastAsia="ja-JP"/>
        </w:rPr>
        <w:t xml:space="preserve"> would not be as effective as </w:t>
      </w:r>
      <w:r>
        <w:rPr>
          <w:color w:val="333333"/>
        </w:rPr>
        <w:t>a slower first infusion or more rapid subsequent infusions</w:t>
      </w:r>
      <w:r w:rsidRPr="00A966A1">
        <w:rPr>
          <w:lang w:eastAsia="ja-JP"/>
        </w:rPr>
        <w:t>.</w:t>
      </w:r>
    </w:p>
    <w:p w14:paraId="168F8C4F" w14:textId="77777777" w:rsidR="00431730" w:rsidRPr="007A3E92" w:rsidRDefault="00431730" w:rsidP="00B44C63">
      <w:pPr>
        <w:pStyle w:val="Numberbullet0"/>
        <w:rPr>
          <w:i/>
          <w:lang w:eastAsia="ja-JP"/>
        </w:rPr>
      </w:pPr>
      <w:r w:rsidRPr="007A3E92">
        <w:rPr>
          <w:i/>
          <w:lang w:eastAsia="ja-JP"/>
        </w:rPr>
        <w:t xml:space="preserve">Does the Committee consider the accompanying changes that will result in a recommendation to use the slower 4h schedule for the </w:t>
      </w:r>
      <w:r w:rsidR="00E47464" w:rsidRPr="007A3E92">
        <w:rPr>
          <w:i/>
          <w:lang w:eastAsia="ja-JP"/>
        </w:rPr>
        <w:t>first</w:t>
      </w:r>
      <w:r w:rsidRPr="007A3E92">
        <w:rPr>
          <w:i/>
          <w:lang w:eastAsia="ja-JP"/>
        </w:rPr>
        <w:t xml:space="preserve"> dose in a patient so that in subsequent courses of treatment either a 3h or a 2h (where no SIRR has occurred in the past) infusion schedule could be used as clinically desirable?</w:t>
      </w:r>
    </w:p>
    <w:p w14:paraId="1C066115" w14:textId="77777777" w:rsidR="00431730" w:rsidRPr="00A966A1" w:rsidRDefault="00431730" w:rsidP="00B44C63">
      <w:pPr>
        <w:rPr>
          <w:lang w:eastAsia="ja-JP"/>
        </w:rPr>
      </w:pPr>
      <w:r>
        <w:rPr>
          <w:lang w:eastAsia="ja-JP"/>
        </w:rPr>
        <w:t xml:space="preserve">The </w:t>
      </w:r>
      <w:r w:rsidRPr="00A966A1">
        <w:rPr>
          <w:lang w:eastAsia="ja-JP"/>
        </w:rPr>
        <w:t xml:space="preserve">2 </w:t>
      </w:r>
      <w:r w:rsidR="00DC6DD0">
        <w:rPr>
          <w:lang w:eastAsia="ja-JP"/>
        </w:rPr>
        <w:t>h</w:t>
      </w:r>
      <w:r w:rsidRPr="00A966A1">
        <w:rPr>
          <w:lang w:eastAsia="ja-JP"/>
        </w:rPr>
        <w:t xml:space="preserve"> infusion as per the RATE-RA study (ML25641) is acceptable (ie in patients who have not had an SIRR). </w:t>
      </w:r>
      <w:r>
        <w:rPr>
          <w:lang w:eastAsia="ja-JP"/>
        </w:rPr>
        <w:t xml:space="preserve">In order to correctly reflect </w:t>
      </w:r>
      <w:r w:rsidRPr="00A966A1">
        <w:rPr>
          <w:lang w:eastAsia="ja-JP"/>
        </w:rPr>
        <w:t xml:space="preserve">patients who are not eligible for 2 </w:t>
      </w:r>
      <w:r w:rsidR="00DC6DD0">
        <w:rPr>
          <w:lang w:eastAsia="ja-JP"/>
        </w:rPr>
        <w:t>h</w:t>
      </w:r>
      <w:r w:rsidRPr="00A966A1">
        <w:rPr>
          <w:lang w:eastAsia="ja-JP"/>
        </w:rPr>
        <w:t xml:space="preserve"> infusions</w:t>
      </w:r>
      <w:r>
        <w:rPr>
          <w:lang w:eastAsia="ja-JP"/>
        </w:rPr>
        <w:t xml:space="preserve"> the recommended dosing instructions are as follows:</w:t>
      </w:r>
      <w:r w:rsidRPr="00A966A1">
        <w:rPr>
          <w:lang w:eastAsia="ja-JP"/>
        </w:rPr>
        <w:t xml:space="preserve"> </w:t>
      </w:r>
    </w:p>
    <w:p w14:paraId="3BC726D0" w14:textId="77777777" w:rsidR="00431730" w:rsidRPr="00B44C63" w:rsidRDefault="00431730" w:rsidP="00B44C63">
      <w:pPr>
        <w:ind w:left="720"/>
        <w:rPr>
          <w:b/>
          <w:i/>
        </w:rPr>
      </w:pPr>
      <w:r w:rsidRPr="00B44C63">
        <w:rPr>
          <w:b/>
          <w:i/>
          <w:lang w:val="en-US"/>
        </w:rPr>
        <w:t>Rheumatoid Arthritis</w:t>
      </w:r>
    </w:p>
    <w:p w14:paraId="6228DEA4" w14:textId="77777777" w:rsidR="00431730" w:rsidRPr="00B44C63" w:rsidRDefault="00431730" w:rsidP="00B44C63">
      <w:pPr>
        <w:ind w:left="720"/>
        <w:rPr>
          <w:i/>
        </w:rPr>
      </w:pPr>
      <w:r w:rsidRPr="00B44C63">
        <w:rPr>
          <w:i/>
          <w:lang w:val="en-US"/>
        </w:rPr>
        <w:t>First infusion of each course: The recommended initial rate for infusion is 50 mg/h; after the first 30 minutes, it can be escalated in 50 mg/h increments every 30 minutes, to a maximum of 400 mg/h.</w:t>
      </w:r>
    </w:p>
    <w:p w14:paraId="54F214B1" w14:textId="77777777" w:rsidR="00431730" w:rsidRPr="00B44C63" w:rsidRDefault="00431730" w:rsidP="00B44C63">
      <w:pPr>
        <w:ind w:left="720"/>
        <w:rPr>
          <w:i/>
        </w:rPr>
      </w:pPr>
      <w:r w:rsidRPr="00B44C63">
        <w:rPr>
          <w:i/>
          <w:lang w:val="en-US"/>
        </w:rPr>
        <w:t>Second infusion of each course: Subsequent doses of MABTHERA can be infused at an initial rate of 100 mg/h, and increased by 100 mg/h increments at 30 minutes intervals, to a maximum of 400 mg/h.</w:t>
      </w:r>
    </w:p>
    <w:p w14:paraId="66109F58" w14:textId="77777777" w:rsidR="00431730" w:rsidRPr="00B44C63" w:rsidRDefault="00431730" w:rsidP="006E4508">
      <w:pPr>
        <w:ind w:left="720"/>
        <w:rPr>
          <w:b/>
          <w:i/>
        </w:rPr>
      </w:pPr>
      <w:r w:rsidRPr="00B44C63">
        <w:rPr>
          <w:b/>
          <w:i/>
          <w:lang w:val="en-US"/>
        </w:rPr>
        <w:lastRenderedPageBreak/>
        <w:t>Rheumatoid Arthritis only: Alternative Subsequent, Faster, Infusion Schedule:</w:t>
      </w:r>
    </w:p>
    <w:p w14:paraId="26BDD307" w14:textId="77777777" w:rsidR="00431730" w:rsidRPr="00B44C63" w:rsidRDefault="00431730" w:rsidP="006E4508">
      <w:pPr>
        <w:ind w:left="720"/>
        <w:rPr>
          <w:i/>
          <w:lang w:val="en-US"/>
        </w:rPr>
      </w:pPr>
      <w:r w:rsidRPr="00B44C63">
        <w:rPr>
          <w:i/>
          <w:lang w:val="en-US"/>
        </w:rPr>
        <w:t>In RA, with a dose of 1000 mg MABTHERA, if there are no infusion related reactions or other reasons to slow or cease the infusion, the standard infusion schedules shown above result in an estimated duration of infusion of 4h 15 minutes for the first infusion in each course and 3h 15 minutes for the subsequent second infusions in each course.</w:t>
      </w:r>
    </w:p>
    <w:p w14:paraId="5B558823" w14:textId="77777777" w:rsidR="00431730" w:rsidRPr="00B44C63" w:rsidRDefault="00431730" w:rsidP="00B44C63">
      <w:pPr>
        <w:ind w:left="720"/>
        <w:rPr>
          <w:i/>
        </w:rPr>
      </w:pPr>
      <w:r w:rsidRPr="00B44C63">
        <w:rPr>
          <w:i/>
          <w:lang w:val="en-US"/>
        </w:rPr>
        <w:t xml:space="preserve">If patients do not experience a serious infusion related reaction with their first or subsequent infusions administered over the standard infusion schedule, a more rapid infusion can be administered for second or subsequent infusions in each course using a concentration of 4 mg/mL in a 250 mL volume. Initiate at a rate of 250 mg/h for the first 30 minutes and then 600 mg/h for the next 90 minutes. With this infusion schedule, the 1000 mg/250 mL infusion will generally be completed in 2 </w:t>
      </w:r>
      <w:r w:rsidR="00DC6DD0">
        <w:rPr>
          <w:i/>
          <w:lang w:val="en-US"/>
        </w:rPr>
        <w:t>h</w:t>
      </w:r>
    </w:p>
    <w:p w14:paraId="7B548353" w14:textId="77777777" w:rsidR="00431730" w:rsidRPr="00B44C63" w:rsidRDefault="00431730" w:rsidP="00B44C63">
      <w:pPr>
        <w:ind w:left="720"/>
        <w:rPr>
          <w:i/>
        </w:rPr>
      </w:pPr>
      <w:r w:rsidRPr="00B44C63">
        <w:rPr>
          <w:i/>
          <w:lang w:val="en-US"/>
        </w:rPr>
        <w:t>Patients who have clinically significant cardiovascular disease, including arrhythmias or previous serious infusion reactions to any prior biologic therapy or to rituximab, should not be administered the more rapid, 2 h, infusion.</w:t>
      </w:r>
    </w:p>
    <w:p w14:paraId="743EF478" w14:textId="77777777" w:rsidR="00431730" w:rsidRPr="00A322B3" w:rsidRDefault="00431730" w:rsidP="00B44C63">
      <w:r w:rsidRPr="00AE4526">
        <w:t>Furthermore, the Committee considered the potential to use the faster infusion in oncology indications as an important risk and supported its inclusion in the RMP/ASA.</w:t>
      </w:r>
    </w:p>
    <w:p w14:paraId="2E35A066" w14:textId="77777777" w:rsidR="008E7846" w:rsidRPr="002E238E" w:rsidRDefault="008E7846" w:rsidP="008E7846">
      <w:pPr>
        <w:pStyle w:val="Heading3"/>
      </w:pPr>
      <w:bookmarkStart w:id="129" w:name="_Toc247691532"/>
      <w:bookmarkStart w:id="130" w:name="_Toc314842516"/>
      <w:bookmarkStart w:id="131" w:name="_Toc430622515"/>
      <w:bookmarkEnd w:id="68"/>
      <w:bookmarkEnd w:id="124"/>
      <w:bookmarkEnd w:id="125"/>
      <w:r>
        <w:t>Outcome</w:t>
      </w:r>
      <w:bookmarkEnd w:id="129"/>
      <w:bookmarkEnd w:id="130"/>
      <w:bookmarkEnd w:id="131"/>
    </w:p>
    <w:p w14:paraId="5A5725D2" w14:textId="77777777" w:rsidR="00D23139" w:rsidRPr="00D23139" w:rsidRDefault="00D23139" w:rsidP="00B44C63">
      <w:bookmarkStart w:id="132" w:name="_Toc247691533"/>
      <w:bookmarkStart w:id="133" w:name="_Toc314842517"/>
      <w:r w:rsidRPr="00D23139">
        <w:t xml:space="preserve">Based on a review of quality, safety and efficacy, TGA approved the registration of </w:t>
      </w:r>
      <w:bookmarkStart w:id="134" w:name="a10"/>
      <w:r w:rsidR="00431730">
        <w:t xml:space="preserve">the amendment to the dosing regimen for </w:t>
      </w:r>
      <w:r w:rsidR="00411AB3">
        <w:t>MabThera</w:t>
      </w:r>
      <w:r w:rsidR="00BD699E">
        <w:t xml:space="preserve"> </w:t>
      </w:r>
      <w:r w:rsidR="00431730">
        <w:t>(rituximab) for the treatment of Rheumatoid Arthritis (RA) patients regarding the alternative faster infusion schedule</w:t>
      </w:r>
      <w:bookmarkEnd w:id="134"/>
      <w:r w:rsidR="00431730">
        <w:t xml:space="preserve"> in the Dosage and Administration section of the Product Information and other amendments to the Product Information document.</w:t>
      </w:r>
    </w:p>
    <w:p w14:paraId="5C52CF0A" w14:textId="77777777" w:rsidR="00D23139" w:rsidRPr="00D23139" w:rsidRDefault="00D23139" w:rsidP="00D23139">
      <w:pPr>
        <w:pStyle w:val="Heading4"/>
      </w:pPr>
      <w:r w:rsidRPr="00D23139">
        <w:t>Specific conditions of registration applying to these goods</w:t>
      </w:r>
    </w:p>
    <w:p w14:paraId="6E5D0386" w14:textId="77777777" w:rsidR="00FC4A5D" w:rsidRDefault="00431730" w:rsidP="00431730">
      <w:pPr>
        <w:spacing w:line="240" w:lineRule="auto"/>
        <w:rPr>
          <w:rFonts w:asciiTheme="minorHAnsi" w:hAnsiTheme="minorHAnsi"/>
        </w:rPr>
      </w:pPr>
      <w:r>
        <w:rPr>
          <w:rFonts w:asciiTheme="minorHAnsi" w:hAnsiTheme="minorHAnsi"/>
        </w:rPr>
        <w:t xml:space="preserve">The </w:t>
      </w:r>
      <w:r w:rsidR="00411AB3">
        <w:t>MabThera</w:t>
      </w:r>
      <w:r w:rsidR="00BD699E">
        <w:rPr>
          <w:rFonts w:asciiTheme="minorHAnsi" w:hAnsiTheme="minorHAnsi"/>
        </w:rPr>
        <w:t xml:space="preserve"> </w:t>
      </w:r>
      <w:r>
        <w:rPr>
          <w:rFonts w:asciiTheme="minorHAnsi" w:hAnsiTheme="minorHAnsi"/>
        </w:rPr>
        <w:t>rituximab European Risk Management Plan (EU-RMP), version 12.0, dated 10 February 2014, as qualified by the Australian Specific Annex (version: 4.3, dated March 2015), included with submission PM-2013-04906-1-4, and any subsequent revisions, as agreed with the TGA will be implemented in Australia</w:t>
      </w:r>
      <w:r w:rsidR="00FC4A5D">
        <w:rPr>
          <w:rFonts w:asciiTheme="minorHAnsi" w:hAnsiTheme="minorHAnsi"/>
        </w:rPr>
        <w:t>.</w:t>
      </w:r>
    </w:p>
    <w:p w14:paraId="2539E367" w14:textId="6B13B6E9" w:rsidR="008E7846" w:rsidRDefault="00A80B5B" w:rsidP="00D23139">
      <w:pPr>
        <w:pStyle w:val="Heading2"/>
      </w:pPr>
      <w:bookmarkStart w:id="135" w:name="_Toc430622516"/>
      <w:proofErr w:type="gramStart"/>
      <w:r>
        <w:t>Attachment 1.</w:t>
      </w:r>
      <w:proofErr w:type="gramEnd"/>
      <w:r>
        <w:t xml:space="preserve"> </w:t>
      </w:r>
      <w:r w:rsidR="008E7846">
        <w:t xml:space="preserve">Product </w:t>
      </w:r>
      <w:r w:rsidR="00AA0ED0">
        <w:t>I</w:t>
      </w:r>
      <w:r w:rsidR="008E7846">
        <w:t>nformation</w:t>
      </w:r>
      <w:bookmarkEnd w:id="132"/>
      <w:bookmarkEnd w:id="133"/>
      <w:bookmarkEnd w:id="135"/>
    </w:p>
    <w:p w14:paraId="6DC85617" w14:textId="77777777" w:rsidR="00FC4A5D" w:rsidRDefault="002B3624" w:rsidP="00C80137">
      <w:r w:rsidRPr="002B3624">
        <w:t xml:space="preserve">The Product Information approved for </w:t>
      </w:r>
      <w:r w:rsidR="00431730">
        <w:t>MabThera</w:t>
      </w:r>
      <w:r w:rsidRPr="002B3624">
        <w:t xml:space="preserve"> at the time this AusPAR was published is at Attachment 1. For the most recent Product Information please refer to the TGA website at &lt;</w:t>
      </w:r>
      <w:hyperlink r:id="rId27" w:history="1">
        <w:r w:rsidR="00383221">
          <w:rPr>
            <w:rStyle w:val="Hyperlink"/>
          </w:rPr>
          <w:t>https://www.tga.gov.au/product-information-pi</w:t>
        </w:r>
      </w:hyperlink>
      <w:r w:rsidRPr="002B3624">
        <w:t>&gt;</w:t>
      </w:r>
      <w:r w:rsidR="00FC4A5D">
        <w:t>.</w:t>
      </w:r>
    </w:p>
    <w:p w14:paraId="76EDA74E" w14:textId="015D27B1" w:rsidR="00C80137" w:rsidRDefault="00C80137" w:rsidP="00C80137">
      <w:pPr>
        <w:pStyle w:val="Heading2"/>
        <w:rPr>
          <w:lang w:eastAsia="en-AU"/>
        </w:rPr>
      </w:pPr>
      <w:bookmarkStart w:id="136" w:name="_Toc430622517"/>
      <w:proofErr w:type="gramStart"/>
      <w:r>
        <w:rPr>
          <w:lang w:eastAsia="en-AU"/>
        </w:rPr>
        <w:t>Attachment 2.</w:t>
      </w:r>
      <w:proofErr w:type="gramEnd"/>
      <w:r w:rsidR="00A80B5B">
        <w:rPr>
          <w:lang w:eastAsia="en-AU"/>
        </w:rPr>
        <w:t xml:space="preserve"> </w:t>
      </w:r>
      <w:r>
        <w:rPr>
          <w:lang w:eastAsia="en-AU"/>
        </w:rPr>
        <w:t>Extract from the Clinical Evaluation Report</w:t>
      </w:r>
      <w:bookmarkEnd w:id="136"/>
    </w:p>
    <w:p w14:paraId="163864AF" w14:textId="77777777" w:rsidR="00291957" w:rsidRDefault="00291957" w:rsidP="00291957">
      <w:pPr>
        <w:rPr>
          <w:lang w:eastAsia="ja-JP"/>
        </w:rPr>
      </w:pPr>
    </w:p>
    <w:p w14:paraId="0C7B3F1B" w14:textId="77777777" w:rsidR="00C80137" w:rsidRPr="001D043B" w:rsidRDefault="00C80137"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82D77ED" w14:textId="77777777" w:rsidTr="00A05FA4">
        <w:trPr>
          <w:trHeight w:hRule="exact" w:val="704"/>
        </w:trPr>
        <w:tc>
          <w:tcPr>
            <w:tcW w:w="9175" w:type="dxa"/>
          </w:tcPr>
          <w:p w14:paraId="6F30A4C1" w14:textId="77777777" w:rsidR="001C32CD" w:rsidRPr="00487162" w:rsidRDefault="001C32CD" w:rsidP="00A05FA4">
            <w:pPr>
              <w:pStyle w:val="TGASignoff"/>
            </w:pPr>
            <w:r w:rsidRPr="00487162">
              <w:lastRenderedPageBreak/>
              <w:t>Therapeutic Goods Administration</w:t>
            </w:r>
          </w:p>
        </w:tc>
      </w:tr>
      <w:tr w:rsidR="001C32CD" w:rsidRPr="004C239D" w14:paraId="33A8BEB4" w14:textId="77777777" w:rsidTr="00A05FA4">
        <w:trPr>
          <w:trHeight w:val="1221"/>
        </w:trPr>
        <w:tc>
          <w:tcPr>
            <w:tcW w:w="9175" w:type="dxa"/>
            <w:tcMar>
              <w:top w:w="28" w:type="dxa"/>
            </w:tcMar>
          </w:tcPr>
          <w:p w14:paraId="435E83A8" w14:textId="77777777" w:rsidR="001C32CD" w:rsidRPr="00487162" w:rsidRDefault="001C32CD" w:rsidP="00A05FA4">
            <w:pPr>
              <w:pStyle w:val="Address"/>
            </w:pPr>
            <w:r w:rsidRPr="00487162">
              <w:t>PO Box 100 Woden ACT 2606 Australia</w:t>
            </w:r>
          </w:p>
          <w:p w14:paraId="1BEDA597" w14:textId="77777777" w:rsidR="001C32CD" w:rsidRPr="00487162" w:rsidRDefault="001C32CD" w:rsidP="00A05FA4">
            <w:pPr>
              <w:pStyle w:val="Address"/>
            </w:pPr>
            <w:r w:rsidRPr="00487162">
              <w:t xml:space="preserve">Email: </w:t>
            </w:r>
            <w:hyperlink r:id="rId32" w:history="1">
              <w:r w:rsidRPr="004C239D">
                <w:rPr>
                  <w:rStyle w:val="Hyperlink"/>
                </w:rPr>
                <w:t>info@tga.gov.au</w:t>
              </w:r>
            </w:hyperlink>
            <w:r w:rsidR="003E57C6">
              <w:t xml:space="preserve"> </w:t>
            </w:r>
            <w:r w:rsidRPr="00487162">
              <w:t>Phone: 1800 020 653</w:t>
            </w:r>
            <w:r w:rsidR="003E57C6">
              <w:t xml:space="preserve"> </w:t>
            </w:r>
            <w:r w:rsidRPr="00487162">
              <w:t>Fax: 02 6232 8605</w:t>
            </w:r>
          </w:p>
          <w:p w14:paraId="06F6585E" w14:textId="77777777" w:rsidR="001C32CD" w:rsidRPr="004C239D" w:rsidRDefault="005332D9" w:rsidP="00A05FA4">
            <w:pPr>
              <w:pStyle w:val="Address"/>
              <w:spacing w:line="260" w:lineRule="atLeast"/>
              <w:rPr>
                <w:b/>
                <w:color w:val="0000FF"/>
                <w:u w:val="single"/>
              </w:rPr>
            </w:pPr>
            <w:hyperlink r:id="rId33" w:history="1">
              <w:r w:rsidR="004F47D6">
                <w:rPr>
                  <w:rStyle w:val="Hyperlink"/>
                  <w:b/>
                </w:rPr>
                <w:t>https://www.tga.gov.au</w:t>
              </w:r>
            </w:hyperlink>
          </w:p>
        </w:tc>
      </w:tr>
    </w:tbl>
    <w:p w14:paraId="6BA8CDD7"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EA21D" w14:textId="77777777" w:rsidR="00921AD7" w:rsidRDefault="00921AD7" w:rsidP="00C40A36">
      <w:pPr>
        <w:spacing w:after="0"/>
      </w:pPr>
      <w:r>
        <w:separator/>
      </w:r>
    </w:p>
  </w:endnote>
  <w:endnote w:type="continuationSeparator" w:id="0">
    <w:p w14:paraId="73C8516F" w14:textId="77777777" w:rsidR="00921AD7" w:rsidRDefault="00921AD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F0000" w:usb2="00000010" w:usb3="00000000" w:csb0="00120001" w:csb1="00000000"/>
  </w:font>
  <w:font w:name="Imago-Book">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21AD7" w:rsidRPr="00487162" w14:paraId="52A0BE81" w14:textId="77777777" w:rsidTr="00DB750B">
      <w:trPr>
        <w:trHeight w:val="269"/>
      </w:trPr>
      <w:tc>
        <w:tcPr>
          <w:tcW w:w="7371" w:type="dxa"/>
          <w:tcMar>
            <w:top w:w="142" w:type="dxa"/>
            <w:bottom w:w="0" w:type="dxa"/>
          </w:tcMar>
        </w:tcPr>
        <w:p w14:paraId="509E551D" w14:textId="77777777" w:rsidR="005332D9" w:rsidRPr="005332D9" w:rsidRDefault="005332D9" w:rsidP="005332D9">
          <w:pPr>
            <w:rPr>
              <w:rFonts w:asciiTheme="minorHAnsi" w:hAnsiTheme="minorHAnsi"/>
              <w:sz w:val="18"/>
              <w:szCs w:val="18"/>
            </w:rPr>
          </w:pPr>
          <w:proofErr w:type="spellStart"/>
          <w:r w:rsidRPr="005332D9">
            <w:rPr>
              <w:rFonts w:asciiTheme="minorHAnsi" w:hAnsiTheme="minorHAnsi"/>
              <w:sz w:val="18"/>
              <w:szCs w:val="18"/>
            </w:rPr>
            <w:t>AusPAR</w:t>
          </w:r>
          <w:proofErr w:type="spellEnd"/>
          <w:r w:rsidRPr="005332D9">
            <w:rPr>
              <w:rFonts w:asciiTheme="minorHAnsi" w:hAnsiTheme="minorHAnsi"/>
              <w:sz w:val="18"/>
              <w:szCs w:val="18"/>
            </w:rPr>
            <w:t xml:space="preserve"> </w:t>
          </w:r>
          <w:proofErr w:type="spellStart"/>
          <w:r w:rsidRPr="005332D9">
            <w:rPr>
              <w:rFonts w:asciiTheme="minorHAnsi" w:hAnsiTheme="minorHAnsi"/>
              <w:sz w:val="18"/>
              <w:szCs w:val="18"/>
            </w:rPr>
            <w:t>MabThera</w:t>
          </w:r>
          <w:proofErr w:type="spellEnd"/>
          <w:r w:rsidRPr="005332D9">
            <w:rPr>
              <w:rFonts w:asciiTheme="minorHAnsi" w:hAnsiTheme="minorHAnsi"/>
              <w:sz w:val="18"/>
              <w:szCs w:val="18"/>
            </w:rPr>
            <w:t xml:space="preserve"> </w:t>
          </w:r>
          <w:r w:rsidRPr="005332D9">
            <w:rPr>
              <w:rFonts w:asciiTheme="minorHAnsi" w:hAnsiTheme="minorHAnsi" w:cs="Calibri"/>
              <w:sz w:val="18"/>
              <w:szCs w:val="18"/>
            </w:rPr>
            <w:t xml:space="preserve">Rituximab Roche Products Pty Ltd </w:t>
          </w:r>
          <w:r w:rsidRPr="005332D9">
            <w:rPr>
              <w:rFonts w:asciiTheme="minorHAnsi" w:hAnsiTheme="minorHAnsi"/>
              <w:sz w:val="18"/>
              <w:szCs w:val="18"/>
            </w:rPr>
            <w:t>PM-2013-04906-1-3 27 August 2015</w:t>
          </w:r>
        </w:p>
        <w:p w14:paraId="0281FE45" w14:textId="4F92DFBE" w:rsidR="00921AD7" w:rsidRPr="0056265A" w:rsidRDefault="00921AD7" w:rsidP="007A3E92">
          <w:pPr>
            <w:rPr>
              <w:sz w:val="18"/>
              <w:szCs w:val="18"/>
            </w:rPr>
          </w:pPr>
        </w:p>
      </w:tc>
      <w:tc>
        <w:tcPr>
          <w:tcW w:w="1490" w:type="dxa"/>
          <w:tcMar>
            <w:top w:w="142" w:type="dxa"/>
            <w:bottom w:w="0" w:type="dxa"/>
          </w:tcMar>
        </w:tcPr>
        <w:p w14:paraId="50045E41" w14:textId="77777777" w:rsidR="00921AD7" w:rsidRPr="00487162" w:rsidRDefault="00921AD7" w:rsidP="00DB750B">
          <w:pPr>
            <w:pStyle w:val="Footer"/>
            <w:jc w:val="right"/>
          </w:pPr>
          <w:r w:rsidRPr="00487162">
            <w:t xml:space="preserve">Page </w:t>
          </w:r>
          <w:r>
            <w:fldChar w:fldCharType="begin"/>
          </w:r>
          <w:r>
            <w:instrText xml:space="preserve"> PAGE  \* Arabic </w:instrText>
          </w:r>
          <w:r>
            <w:fldChar w:fldCharType="separate"/>
          </w:r>
          <w:r w:rsidR="005332D9">
            <w:rPr>
              <w:noProof/>
            </w:rPr>
            <w:t>2</w:t>
          </w:r>
          <w:r>
            <w:fldChar w:fldCharType="end"/>
          </w:r>
          <w:r w:rsidRPr="00487162">
            <w:t xml:space="preserve"> of </w:t>
          </w:r>
          <w:r w:rsidR="009E67A0">
            <w:fldChar w:fldCharType="begin"/>
          </w:r>
          <w:r w:rsidR="009E67A0">
            <w:instrText xml:space="preserve"> NUMPAGES  \* Arabic </w:instrText>
          </w:r>
          <w:r w:rsidR="009E67A0">
            <w:fldChar w:fldCharType="separate"/>
          </w:r>
          <w:r w:rsidR="005332D9">
            <w:rPr>
              <w:noProof/>
            </w:rPr>
            <w:t>33</w:t>
          </w:r>
          <w:r w:rsidR="009E67A0">
            <w:rPr>
              <w:noProof/>
            </w:rPr>
            <w:fldChar w:fldCharType="end"/>
          </w:r>
        </w:p>
      </w:tc>
    </w:tr>
  </w:tbl>
  <w:p w14:paraId="7BB93200" w14:textId="77777777" w:rsidR="00921AD7" w:rsidRDefault="00921AD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21AD7" w:rsidRPr="00487162" w14:paraId="318C9305" w14:textId="77777777" w:rsidTr="00E45619">
      <w:trPr>
        <w:trHeight w:val="269"/>
      </w:trPr>
      <w:tc>
        <w:tcPr>
          <w:tcW w:w="4519" w:type="dxa"/>
          <w:tcBorders>
            <w:top w:val="single" w:sz="4" w:space="0" w:color="auto"/>
          </w:tcBorders>
          <w:tcMar>
            <w:top w:w="142" w:type="dxa"/>
            <w:bottom w:w="0" w:type="dxa"/>
          </w:tcMar>
        </w:tcPr>
        <w:p w14:paraId="2294B6F9" w14:textId="77777777" w:rsidR="00921AD7" w:rsidRPr="00487162" w:rsidRDefault="00921AD7" w:rsidP="00FE1DEE">
          <w:pPr>
            <w:pStyle w:val="Footer"/>
          </w:pPr>
          <w:r w:rsidRPr="00487162">
            <w:t>Document title, Part #, Section # - Section title</w:t>
          </w:r>
        </w:p>
        <w:p w14:paraId="3E3C320B" w14:textId="77777777" w:rsidR="00921AD7" w:rsidRPr="00487162" w:rsidRDefault="00921AD7" w:rsidP="00FE1DEE">
          <w:pPr>
            <w:pStyle w:val="Footer"/>
          </w:pPr>
          <w:r w:rsidRPr="00487162">
            <w:t>V1.0 October 2010</w:t>
          </w:r>
        </w:p>
      </w:tc>
      <w:tc>
        <w:tcPr>
          <w:tcW w:w="4342" w:type="dxa"/>
          <w:tcBorders>
            <w:top w:val="single" w:sz="4" w:space="0" w:color="auto"/>
          </w:tcBorders>
          <w:tcMar>
            <w:top w:w="142" w:type="dxa"/>
            <w:bottom w:w="0" w:type="dxa"/>
          </w:tcMar>
        </w:tcPr>
        <w:p w14:paraId="2658A3B1" w14:textId="38905817" w:rsidR="00921AD7" w:rsidRPr="00487162" w:rsidRDefault="00921AD7" w:rsidP="00E45619">
          <w:pPr>
            <w:pStyle w:val="Footer"/>
            <w:jc w:val="right"/>
          </w:pPr>
          <w:r w:rsidRPr="00487162">
            <w:t xml:space="preserve">Page </w:t>
          </w:r>
          <w:r>
            <w:fldChar w:fldCharType="begin"/>
          </w:r>
          <w:r>
            <w:instrText xml:space="preserve"> PAGE   \* MERGEFORMAT </w:instrText>
          </w:r>
          <w:r>
            <w:fldChar w:fldCharType="separate"/>
          </w:r>
          <w:r>
            <w:rPr>
              <w:noProof/>
            </w:rPr>
            <w:t>24</w:t>
          </w:r>
          <w:r>
            <w:rPr>
              <w:noProof/>
            </w:rPr>
            <w:fldChar w:fldCharType="end"/>
          </w:r>
          <w:r w:rsidRPr="00487162">
            <w:t xml:space="preserve"> of </w:t>
          </w:r>
          <w:r w:rsidR="009E67A0">
            <w:fldChar w:fldCharType="begin"/>
          </w:r>
          <w:r w:rsidR="009E67A0">
            <w:instrText xml:space="preserve"> NUMPAGES  </w:instrText>
          </w:r>
          <w:r w:rsidR="009E67A0">
            <w:fldChar w:fldCharType="separate"/>
          </w:r>
          <w:r w:rsidR="0028747C">
            <w:rPr>
              <w:noProof/>
            </w:rPr>
            <w:t>1</w:t>
          </w:r>
          <w:r w:rsidR="009E67A0">
            <w:rPr>
              <w:noProof/>
            </w:rPr>
            <w:fldChar w:fldCharType="end"/>
          </w:r>
        </w:p>
      </w:tc>
    </w:tr>
  </w:tbl>
  <w:p w14:paraId="78F0F8DC" w14:textId="77777777" w:rsidR="00921AD7" w:rsidRDefault="00921A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03754" w14:textId="77777777" w:rsidR="00921AD7" w:rsidRPr="001C32CD" w:rsidRDefault="00921AD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21AD7" w14:paraId="7B01DD1D" w14:textId="77777777" w:rsidTr="0010601F">
      <w:trPr>
        <w:trHeight w:val="108"/>
      </w:trPr>
      <w:tc>
        <w:tcPr>
          <w:tcW w:w="8875" w:type="dxa"/>
          <w:gridSpan w:val="2"/>
          <w:tcBorders>
            <w:bottom w:val="single" w:sz="4" w:space="0" w:color="auto"/>
          </w:tcBorders>
          <w:tcMar>
            <w:right w:w="284" w:type="dxa"/>
          </w:tcMar>
        </w:tcPr>
        <w:p w14:paraId="2E1FBD59" w14:textId="77777777" w:rsidR="00921AD7" w:rsidRDefault="00921AD7" w:rsidP="006E08B3">
          <w:pPr>
            <w:pStyle w:val="Heading3"/>
          </w:pPr>
          <w:r>
            <w:t>Copyright</w:t>
          </w:r>
        </w:p>
        <w:p w14:paraId="12AFDE45" w14:textId="77777777" w:rsidR="00921AD7" w:rsidRDefault="00921AD7" w:rsidP="006E08B3">
          <w:r>
            <w:rPr>
              <w:rFonts w:cs="Arial"/>
            </w:rPr>
            <w:t>©</w:t>
          </w:r>
          <w:r>
            <w:t xml:space="preserve"> Commonwealth of Australia [add year]</w:t>
          </w:r>
        </w:p>
        <w:p w14:paraId="7FEEB5DC" w14:textId="77777777" w:rsidR="00921AD7" w:rsidRDefault="00921AD7" w:rsidP="006E08B3"/>
        <w:p w14:paraId="03C3ACFD" w14:textId="77777777" w:rsidR="00921AD7" w:rsidRDefault="00921AD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4D02754" w14:textId="77777777" w:rsidR="00921AD7" w:rsidRDefault="00921AD7" w:rsidP="006E08B3"/>
        <w:p w14:paraId="40816495" w14:textId="77777777" w:rsidR="00921AD7" w:rsidRDefault="00921AD7" w:rsidP="006E08B3">
          <w:pPr>
            <w:pStyle w:val="Heading3"/>
          </w:pPr>
          <w:r>
            <w:t>Confidentiality</w:t>
          </w:r>
        </w:p>
        <w:p w14:paraId="3EFC8245" w14:textId="77777777" w:rsidR="00921AD7" w:rsidRDefault="00921AD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81E583F" w14:textId="77777777" w:rsidR="00921AD7" w:rsidRDefault="00921AD7" w:rsidP="006E08B3"/>
        <w:p w14:paraId="3F2C5828" w14:textId="77777777" w:rsidR="00921AD7" w:rsidRDefault="00921AD7" w:rsidP="006E08B3">
          <w:r>
            <w:t>For submission made by individuals, all personal details, other than your name, will be removed from your submission before it is published on the TGA’s Internet site.</w:t>
          </w:r>
        </w:p>
        <w:p w14:paraId="233EC655" w14:textId="77777777" w:rsidR="00921AD7" w:rsidRDefault="00921AD7" w:rsidP="006E08B3"/>
        <w:p w14:paraId="3A4B6F84" w14:textId="77777777" w:rsidR="00921AD7" w:rsidRDefault="00921AD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21AD7" w14:paraId="0B4DD09C" w14:textId="77777777" w:rsidTr="0010601F">
      <w:trPr>
        <w:trHeight w:val="417"/>
      </w:trPr>
      <w:tc>
        <w:tcPr>
          <w:tcW w:w="4519" w:type="dxa"/>
          <w:tcBorders>
            <w:top w:val="single" w:sz="4" w:space="0" w:color="auto"/>
          </w:tcBorders>
          <w:tcMar>
            <w:top w:w="142" w:type="dxa"/>
            <w:bottom w:w="0" w:type="dxa"/>
          </w:tcMar>
        </w:tcPr>
        <w:p w14:paraId="118C8A4A" w14:textId="77777777" w:rsidR="00921AD7" w:rsidRDefault="00921AD7" w:rsidP="006E08B3">
          <w:r>
            <w:t>Document title, Part #, Section # - Section title</w:t>
          </w:r>
        </w:p>
        <w:p w14:paraId="57A1E9F6" w14:textId="77777777" w:rsidR="00921AD7" w:rsidRDefault="00921AD7" w:rsidP="006E08B3">
          <w:r>
            <w:t>V1.0 October 2010</w:t>
          </w:r>
        </w:p>
      </w:tc>
      <w:tc>
        <w:tcPr>
          <w:tcW w:w="4356" w:type="dxa"/>
          <w:tcBorders>
            <w:top w:val="single" w:sz="4" w:space="0" w:color="auto"/>
          </w:tcBorders>
          <w:tcMar>
            <w:top w:w="142" w:type="dxa"/>
            <w:bottom w:w="0" w:type="dxa"/>
          </w:tcMar>
        </w:tcPr>
        <w:p w14:paraId="79995B3B" w14:textId="0AD562CA" w:rsidR="00921AD7" w:rsidRDefault="00921AD7" w:rsidP="006E08B3">
          <w:pPr>
            <w:jc w:val="right"/>
          </w:pPr>
          <w:r>
            <w:t xml:space="preserve">Page </w:t>
          </w:r>
          <w:r>
            <w:fldChar w:fldCharType="begin"/>
          </w:r>
          <w:r>
            <w:instrText xml:space="preserve"> PAGE   \* MERGEFORMAT </w:instrText>
          </w:r>
          <w:r>
            <w:fldChar w:fldCharType="separate"/>
          </w:r>
          <w:r>
            <w:rPr>
              <w:noProof/>
            </w:rPr>
            <w:t>24</w:t>
          </w:r>
          <w:r>
            <w:rPr>
              <w:noProof/>
            </w:rPr>
            <w:fldChar w:fldCharType="end"/>
          </w:r>
          <w:r>
            <w:t xml:space="preserve"> of </w:t>
          </w:r>
          <w:r w:rsidR="009E67A0">
            <w:fldChar w:fldCharType="begin"/>
          </w:r>
          <w:r w:rsidR="009E67A0">
            <w:instrText xml:space="preserve"> NUMPAGES  \* Arabic </w:instrText>
          </w:r>
          <w:r w:rsidR="009E67A0">
            <w:fldChar w:fldCharType="separate"/>
          </w:r>
          <w:r w:rsidR="0028747C">
            <w:rPr>
              <w:noProof/>
            </w:rPr>
            <w:t>1</w:t>
          </w:r>
          <w:r w:rsidR="009E67A0">
            <w:rPr>
              <w:noProof/>
            </w:rPr>
            <w:fldChar w:fldCharType="end"/>
          </w:r>
          <w:r>
            <w:t xml:space="preserve"> </w:t>
          </w:r>
        </w:p>
      </w:tc>
    </w:tr>
  </w:tbl>
  <w:p w14:paraId="4348B2FC" w14:textId="77777777" w:rsidR="00921AD7" w:rsidRDefault="00921A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15D82" w14:textId="77777777" w:rsidR="00921AD7" w:rsidRDefault="00921AD7" w:rsidP="00C40A36">
      <w:pPr>
        <w:spacing w:after="0"/>
      </w:pPr>
      <w:r>
        <w:separator/>
      </w:r>
    </w:p>
  </w:footnote>
  <w:footnote w:type="continuationSeparator" w:id="0">
    <w:p w14:paraId="44B695CF" w14:textId="77777777" w:rsidR="00921AD7" w:rsidRDefault="00921AD7" w:rsidP="00C40A36">
      <w:pPr>
        <w:spacing w:after="0"/>
      </w:pPr>
      <w:r>
        <w:continuationSeparator/>
      </w:r>
    </w:p>
  </w:footnote>
  <w:footnote w:id="1">
    <w:p w14:paraId="00AD1D4D" w14:textId="77777777" w:rsidR="00921AD7" w:rsidRPr="00DC67A1" w:rsidRDefault="00921AD7">
      <w:pPr>
        <w:pStyle w:val="FootnoteText"/>
      </w:pPr>
      <w:r>
        <w:rPr>
          <w:rStyle w:val="FootnoteReference"/>
        </w:rPr>
        <w:footnoteRef/>
      </w:r>
      <w:r>
        <w:t xml:space="preserve"> </w:t>
      </w:r>
      <w:r w:rsidRPr="00DC67A1">
        <w:rPr>
          <w:lang w:val="en"/>
        </w:rPr>
        <w:t xml:space="preserve">The protein has no known natural </w:t>
      </w:r>
      <w:hyperlink r:id="rId1" w:tooltip="Ligand" w:history="1">
        <w:r w:rsidRPr="00DC67A1">
          <w:rPr>
            <w:rStyle w:val="Hyperlink"/>
            <w:color w:val="auto"/>
            <w:u w:val="none"/>
            <w:lang w:val="en"/>
          </w:rPr>
          <w:t>ligand</w:t>
        </w:r>
      </w:hyperlink>
      <w:r w:rsidRPr="00DC67A1">
        <w:rPr>
          <w:lang w:val="en"/>
        </w:rPr>
        <w:t xml:space="preserve"> and its function is to enable optimal B cell immune response, specifically against T-independent antigens.</w:t>
      </w:r>
    </w:p>
  </w:footnote>
  <w:footnote w:id="2">
    <w:p w14:paraId="08268FF7" w14:textId="33F3CE6B" w:rsidR="00921AD7" w:rsidRDefault="00921AD7">
      <w:pPr>
        <w:pStyle w:val="FootnoteText"/>
      </w:pPr>
      <w:r>
        <w:rPr>
          <w:rStyle w:val="FootnoteReference"/>
        </w:rPr>
        <w:footnoteRef/>
      </w:r>
      <w:r>
        <w:t xml:space="preserve"> The sponsor has commented on the methods used to identify IRRS in the historical and Study ML25641 data on page 30 of this </w:t>
      </w:r>
      <w:proofErr w:type="spellStart"/>
      <w:r>
        <w:t>AusPAR</w:t>
      </w:r>
      <w:proofErr w:type="spellEnd"/>
      <w:r>
        <w:t>.</w:t>
      </w:r>
    </w:p>
  </w:footnote>
  <w:footnote w:id="3">
    <w:p w14:paraId="0C49CC4C" w14:textId="77777777" w:rsidR="00921AD7" w:rsidRPr="00673B14" w:rsidRDefault="00921AD7" w:rsidP="00673B14">
      <w:pPr>
        <w:autoSpaceDE w:val="0"/>
        <w:autoSpaceDN w:val="0"/>
        <w:adjustRightInd w:val="0"/>
        <w:spacing w:before="0" w:after="0" w:line="240" w:lineRule="auto"/>
        <w:rPr>
          <w:rFonts w:asciiTheme="minorHAnsi" w:hAnsiTheme="minorHAnsi"/>
          <w:sz w:val="18"/>
          <w:szCs w:val="18"/>
        </w:rPr>
      </w:pPr>
      <w:r w:rsidRPr="00673B14">
        <w:rPr>
          <w:rStyle w:val="FootnoteReference"/>
          <w:rFonts w:asciiTheme="minorHAnsi" w:hAnsiTheme="minorHAnsi"/>
          <w:sz w:val="18"/>
          <w:szCs w:val="18"/>
        </w:rPr>
        <w:footnoteRef/>
      </w:r>
      <w:r w:rsidRPr="00673B14">
        <w:rPr>
          <w:rFonts w:asciiTheme="minorHAnsi" w:hAnsiTheme="minorHAnsi"/>
          <w:sz w:val="18"/>
          <w:szCs w:val="18"/>
        </w:rPr>
        <w:t xml:space="preserve"> </w:t>
      </w:r>
      <w:proofErr w:type="spellStart"/>
      <w:r w:rsidRPr="00673B14">
        <w:rPr>
          <w:rFonts w:asciiTheme="minorHAnsi" w:eastAsiaTheme="minorHAnsi" w:hAnsiTheme="minorHAnsi" w:cs="Imago-Book"/>
          <w:sz w:val="18"/>
          <w:szCs w:val="18"/>
        </w:rPr>
        <w:t>Viele</w:t>
      </w:r>
      <w:proofErr w:type="spellEnd"/>
      <w:r w:rsidRPr="00673B14">
        <w:rPr>
          <w:rFonts w:asciiTheme="minorHAnsi" w:eastAsiaTheme="minorHAnsi" w:hAnsiTheme="minorHAnsi" w:cs="Imago-Book"/>
          <w:sz w:val="18"/>
          <w:szCs w:val="18"/>
        </w:rPr>
        <w:t xml:space="preserve"> K, Berry S, </w:t>
      </w:r>
      <w:proofErr w:type="spellStart"/>
      <w:r w:rsidRPr="00673B14">
        <w:rPr>
          <w:rFonts w:asciiTheme="minorHAnsi" w:eastAsiaTheme="minorHAnsi" w:hAnsiTheme="minorHAnsi" w:cs="Imago-Book"/>
          <w:sz w:val="18"/>
          <w:szCs w:val="18"/>
        </w:rPr>
        <w:t>Neuenschwander</w:t>
      </w:r>
      <w:proofErr w:type="spellEnd"/>
      <w:r w:rsidRPr="00673B14">
        <w:rPr>
          <w:rFonts w:asciiTheme="minorHAnsi" w:eastAsiaTheme="minorHAnsi" w:hAnsiTheme="minorHAnsi" w:cs="Imago-Book"/>
          <w:sz w:val="18"/>
          <w:szCs w:val="18"/>
        </w:rPr>
        <w:t xml:space="preserve"> B, et al. Use of historical control data for assessing treatment effects in clinical trials. Pharmaceut Statist 2014</w:t>
      </w:r>
      <w:proofErr w:type="gramStart"/>
      <w:r w:rsidRPr="00673B14">
        <w:rPr>
          <w:rFonts w:asciiTheme="minorHAnsi" w:eastAsiaTheme="minorHAnsi" w:hAnsiTheme="minorHAnsi" w:cs="Imago-Book"/>
          <w:sz w:val="18"/>
          <w:szCs w:val="18"/>
        </w:rPr>
        <w:t>;13:41</w:t>
      </w:r>
      <w:proofErr w:type="gramEnd"/>
      <w:r w:rsidRPr="00673B14">
        <w:rPr>
          <w:rFonts w:asciiTheme="minorHAnsi" w:eastAsiaTheme="minorHAnsi" w:hAnsiTheme="minorHAnsi" w:cs="Imago-Book"/>
          <w:sz w:val="18"/>
          <w:szCs w:val="18"/>
        </w:rPr>
        <w:t>–54.</w:t>
      </w:r>
    </w:p>
  </w:footnote>
  <w:footnote w:id="4">
    <w:p w14:paraId="062F315E" w14:textId="77777777" w:rsidR="00921AD7" w:rsidRPr="00673B14" w:rsidRDefault="00921AD7" w:rsidP="00673B14">
      <w:pPr>
        <w:autoSpaceDE w:val="0"/>
        <w:autoSpaceDN w:val="0"/>
        <w:adjustRightInd w:val="0"/>
        <w:spacing w:before="0" w:after="0" w:line="240" w:lineRule="auto"/>
        <w:rPr>
          <w:rFonts w:asciiTheme="minorHAnsi" w:hAnsiTheme="minorHAnsi"/>
          <w:sz w:val="18"/>
          <w:szCs w:val="18"/>
        </w:rPr>
      </w:pPr>
      <w:r w:rsidRPr="00673B14">
        <w:rPr>
          <w:rStyle w:val="FootnoteReference"/>
          <w:rFonts w:asciiTheme="minorHAnsi" w:hAnsiTheme="minorHAnsi"/>
          <w:sz w:val="18"/>
          <w:szCs w:val="18"/>
        </w:rPr>
        <w:footnoteRef/>
      </w:r>
      <w:r w:rsidRPr="00673B14">
        <w:rPr>
          <w:rFonts w:asciiTheme="minorHAnsi" w:hAnsiTheme="minorHAnsi"/>
          <w:sz w:val="18"/>
          <w:szCs w:val="18"/>
        </w:rPr>
        <w:t xml:space="preserve"> </w:t>
      </w:r>
      <w:proofErr w:type="spellStart"/>
      <w:r w:rsidRPr="00673B14">
        <w:rPr>
          <w:rFonts w:asciiTheme="minorHAnsi" w:eastAsiaTheme="minorHAnsi" w:hAnsiTheme="minorHAnsi" w:cs="Imago-Book"/>
          <w:sz w:val="18"/>
          <w:szCs w:val="18"/>
        </w:rPr>
        <w:t>Pocock</w:t>
      </w:r>
      <w:proofErr w:type="spellEnd"/>
      <w:r w:rsidRPr="00673B14">
        <w:rPr>
          <w:rFonts w:asciiTheme="minorHAnsi" w:eastAsiaTheme="minorHAnsi" w:hAnsiTheme="minorHAnsi" w:cs="Imago-Book"/>
          <w:sz w:val="18"/>
          <w:szCs w:val="18"/>
        </w:rPr>
        <w:t xml:space="preserve"> S. </w:t>
      </w:r>
      <w:proofErr w:type="gramStart"/>
      <w:r w:rsidRPr="00673B14">
        <w:rPr>
          <w:rFonts w:asciiTheme="minorHAnsi" w:eastAsiaTheme="minorHAnsi" w:hAnsiTheme="minorHAnsi" w:cs="Imago-Book"/>
          <w:sz w:val="18"/>
          <w:szCs w:val="18"/>
        </w:rPr>
        <w:t>The combination of randomized and historical controls in clinical trials.</w:t>
      </w:r>
      <w:proofErr w:type="gramEnd"/>
      <w:r w:rsidRPr="00673B14">
        <w:rPr>
          <w:rFonts w:asciiTheme="minorHAnsi" w:eastAsiaTheme="minorHAnsi" w:hAnsiTheme="minorHAnsi" w:cs="Imago-Book"/>
          <w:sz w:val="18"/>
          <w:szCs w:val="18"/>
        </w:rPr>
        <w:t xml:space="preserve"> J </w:t>
      </w:r>
      <w:proofErr w:type="spellStart"/>
      <w:r w:rsidRPr="00673B14">
        <w:rPr>
          <w:rFonts w:asciiTheme="minorHAnsi" w:eastAsiaTheme="minorHAnsi" w:hAnsiTheme="minorHAnsi" w:cs="Imago-Book"/>
          <w:sz w:val="18"/>
          <w:szCs w:val="18"/>
        </w:rPr>
        <w:t>Chron</w:t>
      </w:r>
      <w:proofErr w:type="spellEnd"/>
      <w:r w:rsidRPr="00673B14">
        <w:rPr>
          <w:rFonts w:asciiTheme="minorHAnsi" w:eastAsiaTheme="minorHAnsi" w:hAnsiTheme="minorHAnsi" w:cs="Imago-Book"/>
          <w:sz w:val="18"/>
          <w:szCs w:val="18"/>
        </w:rPr>
        <w:t xml:space="preserve"> Dis 1976</w:t>
      </w:r>
      <w:proofErr w:type="gramStart"/>
      <w:r w:rsidRPr="00673B14">
        <w:rPr>
          <w:rFonts w:asciiTheme="minorHAnsi" w:eastAsiaTheme="minorHAnsi" w:hAnsiTheme="minorHAnsi" w:cs="Imago-Book"/>
          <w:sz w:val="18"/>
          <w:szCs w:val="18"/>
        </w:rPr>
        <w:t>;29:175</w:t>
      </w:r>
      <w:proofErr w:type="gramEnd"/>
      <w:r w:rsidRPr="00673B14">
        <w:rPr>
          <w:rFonts w:asciiTheme="minorHAnsi" w:eastAsiaTheme="minorHAnsi" w:hAnsiTheme="minorHAnsi" w:cs="Imago-Book"/>
          <w:sz w:val="18"/>
          <w:szCs w:val="18"/>
        </w:rPr>
        <w:t>-188.</w:t>
      </w:r>
    </w:p>
  </w:footnote>
  <w:footnote w:id="5">
    <w:p w14:paraId="5B859323" w14:textId="77777777" w:rsidR="00921AD7" w:rsidRPr="002E619F" w:rsidRDefault="00921AD7" w:rsidP="002E619F">
      <w:pPr>
        <w:autoSpaceDE w:val="0"/>
        <w:autoSpaceDN w:val="0"/>
        <w:adjustRightInd w:val="0"/>
        <w:spacing w:before="0" w:after="0" w:line="240" w:lineRule="auto"/>
        <w:rPr>
          <w:rFonts w:asciiTheme="minorHAnsi" w:hAnsiTheme="minorHAnsi"/>
          <w:sz w:val="18"/>
          <w:szCs w:val="18"/>
        </w:rPr>
      </w:pPr>
      <w:r w:rsidRPr="002E619F">
        <w:rPr>
          <w:rStyle w:val="FootnoteReference"/>
          <w:rFonts w:asciiTheme="minorHAnsi" w:hAnsiTheme="minorHAnsi"/>
          <w:sz w:val="18"/>
          <w:szCs w:val="18"/>
        </w:rPr>
        <w:footnoteRef/>
      </w:r>
      <w:r w:rsidRPr="002E619F">
        <w:rPr>
          <w:rFonts w:asciiTheme="minorHAnsi" w:hAnsiTheme="minorHAnsi"/>
          <w:sz w:val="18"/>
          <w:szCs w:val="18"/>
        </w:rPr>
        <w:t xml:space="preserve"> </w:t>
      </w:r>
      <w:r w:rsidRPr="002E619F">
        <w:rPr>
          <w:rFonts w:asciiTheme="minorHAnsi" w:eastAsiaTheme="minorHAnsi" w:hAnsiTheme="minorHAnsi" w:cs="Imago-Book"/>
          <w:sz w:val="18"/>
          <w:szCs w:val="18"/>
        </w:rPr>
        <w:t xml:space="preserve">Cohen SB, Emery P, </w:t>
      </w:r>
      <w:proofErr w:type="gramStart"/>
      <w:r w:rsidRPr="002E619F">
        <w:rPr>
          <w:rFonts w:asciiTheme="minorHAnsi" w:eastAsiaTheme="minorHAnsi" w:hAnsiTheme="minorHAnsi" w:cs="Imago-Book"/>
          <w:sz w:val="18"/>
          <w:szCs w:val="18"/>
        </w:rPr>
        <w:t>Greenwald</w:t>
      </w:r>
      <w:proofErr w:type="gramEnd"/>
      <w:r w:rsidRPr="002E619F">
        <w:rPr>
          <w:rFonts w:asciiTheme="minorHAnsi" w:eastAsiaTheme="minorHAnsi" w:hAnsiTheme="minorHAnsi" w:cs="Imago-Book"/>
          <w:sz w:val="18"/>
          <w:szCs w:val="18"/>
        </w:rPr>
        <w:t xml:space="preserve"> MW, et al. Rituximab for rheumatoid arthritis refractory to anti-</w:t>
      </w:r>
      <w:proofErr w:type="spellStart"/>
      <w:r w:rsidRPr="002E619F">
        <w:rPr>
          <w:rFonts w:asciiTheme="minorHAnsi" w:eastAsiaTheme="minorHAnsi" w:hAnsiTheme="minorHAnsi" w:cs="Imago-Book"/>
          <w:sz w:val="18"/>
          <w:szCs w:val="18"/>
        </w:rPr>
        <w:t>tumor</w:t>
      </w:r>
      <w:proofErr w:type="spellEnd"/>
      <w:r w:rsidRPr="002E619F">
        <w:rPr>
          <w:rFonts w:asciiTheme="minorHAnsi" w:eastAsiaTheme="minorHAnsi" w:hAnsiTheme="minorHAnsi" w:cs="Imago-Book"/>
          <w:sz w:val="18"/>
          <w:szCs w:val="18"/>
        </w:rPr>
        <w:t xml:space="preserve"> necrosis factor therapy: Results of a </w:t>
      </w:r>
      <w:proofErr w:type="spellStart"/>
      <w:r w:rsidRPr="002E619F">
        <w:rPr>
          <w:rFonts w:asciiTheme="minorHAnsi" w:eastAsiaTheme="minorHAnsi" w:hAnsiTheme="minorHAnsi" w:cs="Imago-Book"/>
          <w:sz w:val="18"/>
          <w:szCs w:val="18"/>
        </w:rPr>
        <w:t>multicenter</w:t>
      </w:r>
      <w:proofErr w:type="spellEnd"/>
      <w:r w:rsidRPr="002E619F">
        <w:rPr>
          <w:rFonts w:asciiTheme="minorHAnsi" w:eastAsiaTheme="minorHAnsi" w:hAnsiTheme="minorHAnsi" w:cs="Imago-Book"/>
          <w:sz w:val="18"/>
          <w:szCs w:val="18"/>
        </w:rPr>
        <w:t>, randomized, double-blind, placebo-controlled, phase III trial evaluating primary efficacy and safety at twenty-four weeks. Arthritis Rheum 2006</w:t>
      </w:r>
      <w:proofErr w:type="gramStart"/>
      <w:r w:rsidRPr="002E619F">
        <w:rPr>
          <w:rFonts w:asciiTheme="minorHAnsi" w:eastAsiaTheme="minorHAnsi" w:hAnsiTheme="minorHAnsi" w:cs="Imago-Book"/>
          <w:sz w:val="18"/>
          <w:szCs w:val="18"/>
        </w:rPr>
        <w:t>;54</w:t>
      </w:r>
      <w:proofErr w:type="gramEnd"/>
      <w:r w:rsidRPr="002E619F">
        <w:rPr>
          <w:rFonts w:asciiTheme="minorHAnsi" w:eastAsiaTheme="minorHAnsi" w:hAnsiTheme="minorHAnsi" w:cs="Imago-Book"/>
          <w:sz w:val="18"/>
          <w:szCs w:val="18"/>
        </w:rPr>
        <w:t>(9)2793- 2806.</w:t>
      </w:r>
    </w:p>
  </w:footnote>
  <w:footnote w:id="6">
    <w:p w14:paraId="2E6A9FD0" w14:textId="76C1818A" w:rsidR="00921AD7" w:rsidRPr="002E619F" w:rsidRDefault="00921AD7" w:rsidP="002E619F">
      <w:pPr>
        <w:autoSpaceDE w:val="0"/>
        <w:autoSpaceDN w:val="0"/>
        <w:adjustRightInd w:val="0"/>
        <w:spacing w:before="0" w:after="0" w:line="240" w:lineRule="auto"/>
        <w:rPr>
          <w:rFonts w:asciiTheme="minorHAnsi" w:hAnsiTheme="minorHAnsi"/>
          <w:sz w:val="18"/>
          <w:szCs w:val="18"/>
        </w:rPr>
      </w:pPr>
      <w:r w:rsidRPr="002E619F">
        <w:rPr>
          <w:rStyle w:val="FootnoteReference"/>
          <w:rFonts w:asciiTheme="minorHAnsi" w:hAnsiTheme="minorHAnsi"/>
          <w:sz w:val="18"/>
          <w:szCs w:val="18"/>
        </w:rPr>
        <w:footnoteRef/>
      </w:r>
      <w:r w:rsidRPr="002E619F">
        <w:rPr>
          <w:rFonts w:asciiTheme="minorHAnsi" w:eastAsiaTheme="minorHAnsi" w:hAnsiTheme="minorHAnsi" w:cs="Imago-Book"/>
          <w:sz w:val="18"/>
          <w:szCs w:val="18"/>
        </w:rPr>
        <w:t xml:space="preserve">Mease PJ, Cohen S, </w:t>
      </w:r>
      <w:proofErr w:type="spellStart"/>
      <w:r w:rsidRPr="002E619F">
        <w:rPr>
          <w:rFonts w:asciiTheme="minorHAnsi" w:eastAsiaTheme="minorHAnsi" w:hAnsiTheme="minorHAnsi" w:cs="Imago-Book"/>
          <w:sz w:val="18"/>
          <w:szCs w:val="18"/>
        </w:rPr>
        <w:t>Gaylis</w:t>
      </w:r>
      <w:proofErr w:type="spellEnd"/>
      <w:r w:rsidRPr="002E619F">
        <w:rPr>
          <w:rFonts w:asciiTheme="minorHAnsi" w:eastAsiaTheme="minorHAnsi" w:hAnsiTheme="minorHAnsi" w:cs="Imago-Book"/>
          <w:sz w:val="18"/>
          <w:szCs w:val="18"/>
        </w:rPr>
        <w:t xml:space="preserve"> NB, et al. Efficacy and safety of retreatment in patients with rheumatoid arthritis with previous inadequate response to </w:t>
      </w:r>
      <w:proofErr w:type="spellStart"/>
      <w:r w:rsidRPr="002E619F">
        <w:rPr>
          <w:rFonts w:asciiTheme="minorHAnsi" w:eastAsiaTheme="minorHAnsi" w:hAnsiTheme="minorHAnsi" w:cs="Imago-Book"/>
          <w:sz w:val="18"/>
          <w:szCs w:val="18"/>
        </w:rPr>
        <w:t>tumor</w:t>
      </w:r>
      <w:proofErr w:type="spellEnd"/>
      <w:r w:rsidRPr="002E619F">
        <w:rPr>
          <w:rFonts w:asciiTheme="minorHAnsi" w:eastAsiaTheme="minorHAnsi" w:hAnsiTheme="minorHAnsi" w:cs="Imago-Book"/>
          <w:sz w:val="18"/>
          <w:szCs w:val="18"/>
        </w:rPr>
        <w:t xml:space="preserve"> necrosis factor inhibitors: Results from the SUNRISE trial. J </w:t>
      </w:r>
      <w:proofErr w:type="spellStart"/>
      <w:r w:rsidRPr="002E619F">
        <w:rPr>
          <w:rFonts w:asciiTheme="minorHAnsi" w:eastAsiaTheme="minorHAnsi" w:hAnsiTheme="minorHAnsi" w:cs="Imago-Book"/>
          <w:sz w:val="18"/>
          <w:szCs w:val="18"/>
        </w:rPr>
        <w:t>Rheumatol</w:t>
      </w:r>
      <w:proofErr w:type="spellEnd"/>
      <w:r w:rsidRPr="002E619F">
        <w:rPr>
          <w:rFonts w:asciiTheme="minorHAnsi" w:eastAsiaTheme="minorHAnsi" w:hAnsiTheme="minorHAnsi" w:cs="Imago-Book"/>
          <w:sz w:val="18"/>
          <w:szCs w:val="18"/>
        </w:rPr>
        <w:t xml:space="preserve"> 2010</w:t>
      </w:r>
      <w:proofErr w:type="gramStart"/>
      <w:r w:rsidRPr="002E619F">
        <w:rPr>
          <w:rFonts w:asciiTheme="minorHAnsi" w:eastAsiaTheme="minorHAnsi" w:hAnsiTheme="minorHAnsi" w:cs="Imago-Book"/>
          <w:sz w:val="18"/>
          <w:szCs w:val="18"/>
        </w:rPr>
        <w:t>;37</w:t>
      </w:r>
      <w:proofErr w:type="gramEnd"/>
      <w:r w:rsidRPr="002E619F">
        <w:rPr>
          <w:rFonts w:asciiTheme="minorHAnsi" w:eastAsiaTheme="minorHAnsi" w:hAnsiTheme="minorHAnsi" w:cs="Imago-Book"/>
          <w:sz w:val="18"/>
          <w:szCs w:val="18"/>
        </w:rPr>
        <w:t>(5):917-27.</w:t>
      </w:r>
    </w:p>
  </w:footnote>
  <w:footnote w:id="7">
    <w:p w14:paraId="4B81B48C" w14:textId="77777777" w:rsidR="00921AD7" w:rsidRPr="002E619F" w:rsidRDefault="00921AD7" w:rsidP="002E619F">
      <w:pPr>
        <w:autoSpaceDE w:val="0"/>
        <w:autoSpaceDN w:val="0"/>
        <w:adjustRightInd w:val="0"/>
        <w:spacing w:before="0" w:after="0" w:line="240" w:lineRule="auto"/>
        <w:rPr>
          <w:rFonts w:asciiTheme="minorHAnsi" w:hAnsiTheme="minorHAnsi"/>
          <w:sz w:val="18"/>
          <w:szCs w:val="18"/>
        </w:rPr>
      </w:pPr>
      <w:r w:rsidRPr="002E619F">
        <w:rPr>
          <w:rStyle w:val="FootnoteReference"/>
          <w:rFonts w:asciiTheme="minorHAnsi" w:hAnsiTheme="minorHAnsi"/>
          <w:sz w:val="18"/>
          <w:szCs w:val="18"/>
        </w:rPr>
        <w:footnoteRef/>
      </w:r>
      <w:r w:rsidRPr="002E619F">
        <w:rPr>
          <w:rFonts w:asciiTheme="minorHAnsi" w:hAnsiTheme="minorHAnsi"/>
          <w:sz w:val="18"/>
          <w:szCs w:val="18"/>
        </w:rPr>
        <w:t xml:space="preserve"> </w:t>
      </w:r>
      <w:proofErr w:type="gramStart"/>
      <w:r w:rsidRPr="002E619F">
        <w:rPr>
          <w:rFonts w:asciiTheme="minorHAnsi" w:eastAsiaTheme="minorHAnsi" w:hAnsiTheme="minorHAnsi" w:cs="Imago-Book"/>
          <w:sz w:val="18"/>
          <w:szCs w:val="18"/>
        </w:rPr>
        <w:t>Faraawi R, Malik S, Roth K. Safety of rapid rituximab infusion in rheumatoid arthritis in a single community practice.</w:t>
      </w:r>
      <w:proofErr w:type="gramEnd"/>
      <w:r w:rsidRPr="002E619F">
        <w:rPr>
          <w:rFonts w:asciiTheme="minorHAnsi" w:eastAsiaTheme="minorHAnsi" w:hAnsiTheme="minorHAnsi" w:cs="Imago-Book"/>
          <w:sz w:val="18"/>
          <w:szCs w:val="18"/>
        </w:rPr>
        <w:t xml:space="preserve"> Ann Rheum Dis 2014</w:t>
      </w:r>
      <w:proofErr w:type="gramStart"/>
      <w:r w:rsidRPr="002E619F">
        <w:rPr>
          <w:rFonts w:asciiTheme="minorHAnsi" w:eastAsiaTheme="minorHAnsi" w:hAnsiTheme="minorHAnsi" w:cs="Imago-Book"/>
          <w:sz w:val="18"/>
          <w:szCs w:val="18"/>
        </w:rPr>
        <w:t>;73</w:t>
      </w:r>
      <w:proofErr w:type="gramEnd"/>
      <w:r w:rsidRPr="002E619F">
        <w:rPr>
          <w:rFonts w:asciiTheme="minorHAnsi" w:eastAsiaTheme="minorHAnsi" w:hAnsiTheme="minorHAnsi" w:cs="Imago-Book"/>
          <w:sz w:val="18"/>
          <w:szCs w:val="18"/>
        </w:rPr>
        <w:t>(</w:t>
      </w:r>
      <w:proofErr w:type="spellStart"/>
      <w:r w:rsidRPr="002E619F">
        <w:rPr>
          <w:rFonts w:asciiTheme="minorHAnsi" w:eastAsiaTheme="minorHAnsi" w:hAnsiTheme="minorHAnsi" w:cs="Imago-Book"/>
          <w:sz w:val="18"/>
          <w:szCs w:val="18"/>
        </w:rPr>
        <w:t>Suppl</w:t>
      </w:r>
      <w:proofErr w:type="spellEnd"/>
      <w:r w:rsidRPr="002E619F">
        <w:rPr>
          <w:rFonts w:asciiTheme="minorHAnsi" w:eastAsiaTheme="minorHAnsi" w:hAnsiTheme="minorHAnsi" w:cs="Imago-Book"/>
          <w:sz w:val="18"/>
          <w:szCs w:val="18"/>
        </w:rPr>
        <w:t xml:space="preserve"> 2).</w:t>
      </w:r>
    </w:p>
  </w:footnote>
  <w:footnote w:id="8">
    <w:p w14:paraId="49F82B5C" w14:textId="77777777" w:rsidR="00921AD7" w:rsidRPr="002E619F" w:rsidRDefault="00921AD7" w:rsidP="002E619F">
      <w:pPr>
        <w:autoSpaceDE w:val="0"/>
        <w:autoSpaceDN w:val="0"/>
        <w:adjustRightInd w:val="0"/>
        <w:spacing w:before="0" w:after="0" w:line="240" w:lineRule="auto"/>
        <w:rPr>
          <w:rFonts w:asciiTheme="minorHAnsi" w:hAnsiTheme="minorHAnsi"/>
          <w:sz w:val="18"/>
          <w:szCs w:val="18"/>
        </w:rPr>
      </w:pPr>
      <w:r w:rsidRPr="002E619F">
        <w:rPr>
          <w:rStyle w:val="FootnoteReference"/>
          <w:rFonts w:asciiTheme="minorHAnsi" w:hAnsiTheme="minorHAnsi"/>
          <w:sz w:val="18"/>
          <w:szCs w:val="18"/>
        </w:rPr>
        <w:footnoteRef/>
      </w:r>
      <w:r w:rsidRPr="002E619F">
        <w:rPr>
          <w:rFonts w:asciiTheme="minorHAnsi" w:hAnsiTheme="minorHAnsi"/>
          <w:sz w:val="18"/>
          <w:szCs w:val="18"/>
        </w:rPr>
        <w:t xml:space="preserve"> </w:t>
      </w:r>
      <w:proofErr w:type="gramStart"/>
      <w:r w:rsidRPr="002E619F">
        <w:rPr>
          <w:rFonts w:asciiTheme="minorHAnsi" w:eastAsiaTheme="minorHAnsi" w:hAnsiTheme="minorHAnsi" w:cs="Imago-Book"/>
          <w:sz w:val="18"/>
          <w:szCs w:val="18"/>
        </w:rPr>
        <w:t xml:space="preserve">Poulos C et al. Patients’ Willingness to </w:t>
      </w:r>
      <w:proofErr w:type="spellStart"/>
      <w:r w:rsidRPr="002E619F">
        <w:rPr>
          <w:rFonts w:asciiTheme="minorHAnsi" w:eastAsiaTheme="minorHAnsi" w:hAnsiTheme="minorHAnsi" w:cs="Imago-Book"/>
          <w:sz w:val="18"/>
          <w:szCs w:val="18"/>
        </w:rPr>
        <w:t>Trade off</w:t>
      </w:r>
      <w:proofErr w:type="spellEnd"/>
      <w:r w:rsidRPr="002E619F">
        <w:rPr>
          <w:rFonts w:asciiTheme="minorHAnsi" w:eastAsiaTheme="minorHAnsi" w:hAnsiTheme="minorHAnsi" w:cs="Imago-Book"/>
          <w:sz w:val="18"/>
          <w:szCs w:val="18"/>
        </w:rPr>
        <w:t xml:space="preserve"> Between the Duration and Frequency of Rheumatoid Arthritis Treatments.</w:t>
      </w:r>
      <w:proofErr w:type="gramEnd"/>
      <w:r w:rsidRPr="002E619F">
        <w:rPr>
          <w:rFonts w:asciiTheme="minorHAnsi" w:eastAsiaTheme="minorHAnsi" w:hAnsiTheme="minorHAnsi" w:cs="Imago-Book"/>
          <w:sz w:val="18"/>
          <w:szCs w:val="18"/>
        </w:rPr>
        <w:t xml:space="preserve"> Arthritis Care and Research 2014 Jul; 66(7):1008-1015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B8E5F" w14:textId="77777777" w:rsidR="00921AD7" w:rsidRDefault="00921AD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CEE4B" w14:textId="77777777" w:rsidR="00921AD7" w:rsidRDefault="00921AD7">
    <w:pPr>
      <w:rPr>
        <w:noProof/>
        <w:lang w:eastAsia="en-AU"/>
      </w:rPr>
    </w:pPr>
    <w:r w:rsidRPr="00347824">
      <w:rPr>
        <w:noProof/>
        <w:lang w:eastAsia="en-AU"/>
      </w:rPr>
      <w:drawing>
        <wp:anchor distT="0" distB="0" distL="114300" distR="114300" simplePos="0" relativeHeight="251659264" behindDoc="1" locked="0" layoutInCell="1" allowOverlap="1" wp14:anchorId="072E287E" wp14:editId="10D42EC9">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B9E5B8E" w14:textId="77777777" w:rsidR="00921AD7" w:rsidRDefault="00921AD7" w:rsidP="00593AD1">
    <w:pPr>
      <w:pStyle w:val="HeaderNoLine"/>
    </w:pPr>
    <w:r>
      <w:rPr>
        <w:noProof/>
        <w:lang w:eastAsia="en-AU"/>
      </w:rPr>
      <w:drawing>
        <wp:inline distT="0" distB="0" distL="0" distR="0" wp14:anchorId="371393A9" wp14:editId="05148E8B">
          <wp:extent cx="5400675" cy="7639050"/>
          <wp:effectExtent l="0" t="0" r="9525" b="0"/>
          <wp:docPr id="6" name="Picture 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5276B" w14:textId="77777777" w:rsidR="00921AD7" w:rsidRDefault="00921A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D40C0" w14:textId="77777777" w:rsidR="00921AD7" w:rsidRDefault="00921AD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A894B" w14:textId="77777777" w:rsidR="00921AD7" w:rsidRDefault="00921AD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7144D" w14:textId="77777777" w:rsidR="00921AD7" w:rsidRDefault="00921AD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EC543" w14:textId="77777777" w:rsidR="00921AD7" w:rsidRDefault="00921AD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E136A" w14:textId="77777777" w:rsidR="00921AD7" w:rsidRDefault="00921AD7" w:rsidP="006E08B3">
    <w:r>
      <w:t>Therapeutic Goods Administration</w:t>
    </w:r>
  </w:p>
  <w:p w14:paraId="463BAF2F" w14:textId="77777777" w:rsidR="00921AD7" w:rsidRDefault="00921AD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A4C2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862B3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FDAB5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21A4E1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E82201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894CCC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1CE61C2E"/>
    <w:lvl w:ilvl="0">
      <w:start w:val="1"/>
      <w:numFmt w:val="decimal"/>
      <w:pStyle w:val="ListNumber"/>
      <w:lvlText w:val="%1."/>
      <w:lvlJc w:val="left"/>
      <w:pPr>
        <w:tabs>
          <w:tab w:val="num" w:pos="360"/>
        </w:tabs>
        <w:ind w:left="360" w:hanging="360"/>
      </w:pPr>
    </w:lvl>
  </w:abstractNum>
  <w:abstractNum w:abstractNumId="7">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FC15D55"/>
    <w:multiLevelType w:val="hybridMultilevel"/>
    <w:tmpl w:val="574C6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2">
    <w:nsid w:val="307D705F"/>
    <w:multiLevelType w:val="hybridMultilevel"/>
    <w:tmpl w:val="192629FC"/>
    <w:lvl w:ilvl="0" w:tplc="0C09000F">
      <w:start w:val="1"/>
      <w:numFmt w:val="decimal"/>
      <w:lvlText w:val="%1."/>
      <w:lvlJc w:val="left"/>
      <w:pPr>
        <w:ind w:left="750" w:hanging="360"/>
      </w:pPr>
    </w:lvl>
    <w:lvl w:ilvl="1" w:tplc="0C090019">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4">
    <w:nsid w:val="3C7D3F50"/>
    <w:multiLevelType w:val="hybridMultilevel"/>
    <w:tmpl w:val="AD7E438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6681BC4"/>
    <w:multiLevelType w:val="hybridMultilevel"/>
    <w:tmpl w:val="688E6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5721DDD"/>
    <w:multiLevelType w:val="hybridMultilevel"/>
    <w:tmpl w:val="BAC46EC0"/>
    <w:lvl w:ilvl="0" w:tplc="A1EA14F2">
      <w:start w:val="1"/>
      <w:numFmt w:val="lowerLetter"/>
      <w:pStyle w:val="ListAlpha"/>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8"/>
  </w:num>
  <w:num w:numId="3">
    <w:abstractNumId w:val="9"/>
  </w:num>
  <w:num w:numId="4">
    <w:abstractNumId w:val="8"/>
  </w:num>
  <w:num w:numId="5">
    <w:abstractNumId w:val="11"/>
  </w:num>
  <w:num w:numId="6">
    <w:abstractNumId w:val="13"/>
  </w:num>
  <w:num w:numId="7">
    <w:abstractNumId w:val="1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0"/>
  </w:num>
  <w:num w:numId="18">
    <w:abstractNumId w:val="15"/>
  </w:num>
  <w:num w:numId="19">
    <w:abstractNumId w:val="7"/>
  </w:num>
  <w:num w:numId="20">
    <w:abstractNumId w:val="5"/>
  </w:num>
  <w:num w:numId="21">
    <w:abstractNumId w:val="4"/>
  </w:num>
  <w:num w:numId="22">
    <w:abstractNumId w:val="6"/>
  </w:num>
  <w:num w:numId="23">
    <w:abstractNumId w:val="3"/>
  </w:num>
  <w:num w:numId="24">
    <w:abstractNumId w:val="2"/>
  </w:num>
  <w:num w:numId="25">
    <w:abstractNumId w:val="1"/>
  </w:num>
  <w:num w:numId="2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65A"/>
    <w:rsid w:val="00002031"/>
    <w:rsid w:val="00004734"/>
    <w:rsid w:val="00006B22"/>
    <w:rsid w:val="00007E16"/>
    <w:rsid w:val="00012483"/>
    <w:rsid w:val="0001276A"/>
    <w:rsid w:val="000246AE"/>
    <w:rsid w:val="00025C67"/>
    <w:rsid w:val="00043198"/>
    <w:rsid w:val="00044772"/>
    <w:rsid w:val="0005559E"/>
    <w:rsid w:val="000604D6"/>
    <w:rsid w:val="00063D4E"/>
    <w:rsid w:val="000734D8"/>
    <w:rsid w:val="00077089"/>
    <w:rsid w:val="00077775"/>
    <w:rsid w:val="00090471"/>
    <w:rsid w:val="00096AA7"/>
    <w:rsid w:val="000A3AED"/>
    <w:rsid w:val="000B3532"/>
    <w:rsid w:val="000B3A75"/>
    <w:rsid w:val="000C00C2"/>
    <w:rsid w:val="000C690F"/>
    <w:rsid w:val="000D1295"/>
    <w:rsid w:val="000D391B"/>
    <w:rsid w:val="000D3D6D"/>
    <w:rsid w:val="000D4FC7"/>
    <w:rsid w:val="000E6196"/>
    <w:rsid w:val="000F4869"/>
    <w:rsid w:val="000F5B42"/>
    <w:rsid w:val="000F6E6F"/>
    <w:rsid w:val="0010601F"/>
    <w:rsid w:val="00107039"/>
    <w:rsid w:val="0010788A"/>
    <w:rsid w:val="00107A31"/>
    <w:rsid w:val="00110EA5"/>
    <w:rsid w:val="00112925"/>
    <w:rsid w:val="00112F56"/>
    <w:rsid w:val="00120863"/>
    <w:rsid w:val="001239C7"/>
    <w:rsid w:val="00125318"/>
    <w:rsid w:val="0013021A"/>
    <w:rsid w:val="001305A2"/>
    <w:rsid w:val="00133238"/>
    <w:rsid w:val="00134779"/>
    <w:rsid w:val="0014197B"/>
    <w:rsid w:val="001447CD"/>
    <w:rsid w:val="001516B1"/>
    <w:rsid w:val="00154EBB"/>
    <w:rsid w:val="00156316"/>
    <w:rsid w:val="00162D14"/>
    <w:rsid w:val="00165389"/>
    <w:rsid w:val="0017693F"/>
    <w:rsid w:val="0018110E"/>
    <w:rsid w:val="00181684"/>
    <w:rsid w:val="001843C6"/>
    <w:rsid w:val="001850E0"/>
    <w:rsid w:val="00187511"/>
    <w:rsid w:val="001A2158"/>
    <w:rsid w:val="001A525F"/>
    <w:rsid w:val="001B09F9"/>
    <w:rsid w:val="001B3E1F"/>
    <w:rsid w:val="001B5C90"/>
    <w:rsid w:val="001B6448"/>
    <w:rsid w:val="001C32CD"/>
    <w:rsid w:val="001D2984"/>
    <w:rsid w:val="001E07CF"/>
    <w:rsid w:val="001E59F1"/>
    <w:rsid w:val="001E629C"/>
    <w:rsid w:val="001E6805"/>
    <w:rsid w:val="001F49EB"/>
    <w:rsid w:val="001F6CBA"/>
    <w:rsid w:val="00200D8D"/>
    <w:rsid w:val="00201D4E"/>
    <w:rsid w:val="002076C9"/>
    <w:rsid w:val="00220B8A"/>
    <w:rsid w:val="002257F3"/>
    <w:rsid w:val="00233456"/>
    <w:rsid w:val="002339A5"/>
    <w:rsid w:val="00251BD9"/>
    <w:rsid w:val="00257848"/>
    <w:rsid w:val="002611CF"/>
    <w:rsid w:val="0027084A"/>
    <w:rsid w:val="00286434"/>
    <w:rsid w:val="00286C59"/>
    <w:rsid w:val="0028747C"/>
    <w:rsid w:val="00291957"/>
    <w:rsid w:val="002942D1"/>
    <w:rsid w:val="0029501A"/>
    <w:rsid w:val="0029724E"/>
    <w:rsid w:val="002A3721"/>
    <w:rsid w:val="002B1638"/>
    <w:rsid w:val="002B3624"/>
    <w:rsid w:val="002D5E9A"/>
    <w:rsid w:val="002D7364"/>
    <w:rsid w:val="002E40B3"/>
    <w:rsid w:val="002E4C9A"/>
    <w:rsid w:val="002E619F"/>
    <w:rsid w:val="002F11F8"/>
    <w:rsid w:val="002F3F56"/>
    <w:rsid w:val="002F44B5"/>
    <w:rsid w:val="00302AAD"/>
    <w:rsid w:val="00311AC0"/>
    <w:rsid w:val="0032583B"/>
    <w:rsid w:val="00327883"/>
    <w:rsid w:val="00335504"/>
    <w:rsid w:val="00337AB9"/>
    <w:rsid w:val="00337FDF"/>
    <w:rsid w:val="00347824"/>
    <w:rsid w:val="00350567"/>
    <w:rsid w:val="00351343"/>
    <w:rsid w:val="003521E8"/>
    <w:rsid w:val="00356803"/>
    <w:rsid w:val="00356850"/>
    <w:rsid w:val="003728F3"/>
    <w:rsid w:val="0037496E"/>
    <w:rsid w:val="0038124C"/>
    <w:rsid w:val="00383221"/>
    <w:rsid w:val="00386150"/>
    <w:rsid w:val="003874CE"/>
    <w:rsid w:val="00390900"/>
    <w:rsid w:val="00395D39"/>
    <w:rsid w:val="003A7F6C"/>
    <w:rsid w:val="003B4D60"/>
    <w:rsid w:val="003B7E39"/>
    <w:rsid w:val="003C58DC"/>
    <w:rsid w:val="003D1E62"/>
    <w:rsid w:val="003E0B99"/>
    <w:rsid w:val="003E2486"/>
    <w:rsid w:val="003E2875"/>
    <w:rsid w:val="003E3208"/>
    <w:rsid w:val="003E57C6"/>
    <w:rsid w:val="003F0B04"/>
    <w:rsid w:val="003F5EE2"/>
    <w:rsid w:val="0040134E"/>
    <w:rsid w:val="00411AB3"/>
    <w:rsid w:val="004311FD"/>
    <w:rsid w:val="00431730"/>
    <w:rsid w:val="004334C7"/>
    <w:rsid w:val="0043439C"/>
    <w:rsid w:val="0043564A"/>
    <w:rsid w:val="00440A2D"/>
    <w:rsid w:val="00445053"/>
    <w:rsid w:val="00455D5D"/>
    <w:rsid w:val="004564A7"/>
    <w:rsid w:val="004617BF"/>
    <w:rsid w:val="00463658"/>
    <w:rsid w:val="004637A0"/>
    <w:rsid w:val="004722CC"/>
    <w:rsid w:val="0048766A"/>
    <w:rsid w:val="004936E4"/>
    <w:rsid w:val="00494E60"/>
    <w:rsid w:val="00497487"/>
    <w:rsid w:val="004A7390"/>
    <w:rsid w:val="004B7B76"/>
    <w:rsid w:val="004C239D"/>
    <w:rsid w:val="004C2DCA"/>
    <w:rsid w:val="004C61D2"/>
    <w:rsid w:val="004F0C4A"/>
    <w:rsid w:val="004F0F38"/>
    <w:rsid w:val="004F47D6"/>
    <w:rsid w:val="00501921"/>
    <w:rsid w:val="00512DF6"/>
    <w:rsid w:val="00530354"/>
    <w:rsid w:val="005332D9"/>
    <w:rsid w:val="005351BF"/>
    <w:rsid w:val="0053625B"/>
    <w:rsid w:val="005419BF"/>
    <w:rsid w:val="005434C6"/>
    <w:rsid w:val="00543B39"/>
    <w:rsid w:val="00546154"/>
    <w:rsid w:val="005473DD"/>
    <w:rsid w:val="00550096"/>
    <w:rsid w:val="005549BB"/>
    <w:rsid w:val="0055502B"/>
    <w:rsid w:val="00555280"/>
    <w:rsid w:val="00557FF9"/>
    <w:rsid w:val="0056265A"/>
    <w:rsid w:val="005711D5"/>
    <w:rsid w:val="00571AD8"/>
    <w:rsid w:val="00576378"/>
    <w:rsid w:val="00577130"/>
    <w:rsid w:val="00577945"/>
    <w:rsid w:val="00577E38"/>
    <w:rsid w:val="00585322"/>
    <w:rsid w:val="005857C6"/>
    <w:rsid w:val="00592F6E"/>
    <w:rsid w:val="00593AD1"/>
    <w:rsid w:val="005A68B6"/>
    <w:rsid w:val="005C4998"/>
    <w:rsid w:val="005C5570"/>
    <w:rsid w:val="005C79A4"/>
    <w:rsid w:val="005D5442"/>
    <w:rsid w:val="00603F32"/>
    <w:rsid w:val="00605AD4"/>
    <w:rsid w:val="006139C0"/>
    <w:rsid w:val="00625A6E"/>
    <w:rsid w:val="00632398"/>
    <w:rsid w:val="0064057D"/>
    <w:rsid w:val="00640FC3"/>
    <w:rsid w:val="00642020"/>
    <w:rsid w:val="0065337B"/>
    <w:rsid w:val="0065419D"/>
    <w:rsid w:val="006604D8"/>
    <w:rsid w:val="0066193C"/>
    <w:rsid w:val="00664A5B"/>
    <w:rsid w:val="0066735C"/>
    <w:rsid w:val="00673B14"/>
    <w:rsid w:val="006763D2"/>
    <w:rsid w:val="00680C08"/>
    <w:rsid w:val="006813D8"/>
    <w:rsid w:val="006931B1"/>
    <w:rsid w:val="006A0D34"/>
    <w:rsid w:val="006A15C0"/>
    <w:rsid w:val="006A685C"/>
    <w:rsid w:val="006C379E"/>
    <w:rsid w:val="006C3E2A"/>
    <w:rsid w:val="006C5E82"/>
    <w:rsid w:val="006C642F"/>
    <w:rsid w:val="006C7100"/>
    <w:rsid w:val="006D03E5"/>
    <w:rsid w:val="006D5D3E"/>
    <w:rsid w:val="006E08B3"/>
    <w:rsid w:val="006E4508"/>
    <w:rsid w:val="006F17AC"/>
    <w:rsid w:val="006F25B8"/>
    <w:rsid w:val="006F572E"/>
    <w:rsid w:val="007046D6"/>
    <w:rsid w:val="00705900"/>
    <w:rsid w:val="00705DB0"/>
    <w:rsid w:val="007139F3"/>
    <w:rsid w:val="00722B57"/>
    <w:rsid w:val="00730F8A"/>
    <w:rsid w:val="00735A8C"/>
    <w:rsid w:val="0074253D"/>
    <w:rsid w:val="0074429B"/>
    <w:rsid w:val="007475A5"/>
    <w:rsid w:val="007615BC"/>
    <w:rsid w:val="00762F05"/>
    <w:rsid w:val="007652FF"/>
    <w:rsid w:val="00770EF1"/>
    <w:rsid w:val="00773EF7"/>
    <w:rsid w:val="00774E1D"/>
    <w:rsid w:val="007765D8"/>
    <w:rsid w:val="0077675A"/>
    <w:rsid w:val="00780355"/>
    <w:rsid w:val="007819FD"/>
    <w:rsid w:val="00785721"/>
    <w:rsid w:val="00793A59"/>
    <w:rsid w:val="00796E92"/>
    <w:rsid w:val="007A3E92"/>
    <w:rsid w:val="007B6132"/>
    <w:rsid w:val="007B6E9F"/>
    <w:rsid w:val="007C1216"/>
    <w:rsid w:val="007C1AF7"/>
    <w:rsid w:val="00805D27"/>
    <w:rsid w:val="00821776"/>
    <w:rsid w:val="008321F5"/>
    <w:rsid w:val="00832369"/>
    <w:rsid w:val="00834660"/>
    <w:rsid w:val="00836BC2"/>
    <w:rsid w:val="00843D86"/>
    <w:rsid w:val="0085156D"/>
    <w:rsid w:val="00855AA3"/>
    <w:rsid w:val="0085641B"/>
    <w:rsid w:val="00857136"/>
    <w:rsid w:val="00857196"/>
    <w:rsid w:val="00861B39"/>
    <w:rsid w:val="008735D7"/>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04705"/>
    <w:rsid w:val="00920330"/>
    <w:rsid w:val="009219D7"/>
    <w:rsid w:val="00921AD7"/>
    <w:rsid w:val="00922D53"/>
    <w:rsid w:val="00923B70"/>
    <w:rsid w:val="00924482"/>
    <w:rsid w:val="00930237"/>
    <w:rsid w:val="00940A89"/>
    <w:rsid w:val="00946EA5"/>
    <w:rsid w:val="00961A63"/>
    <w:rsid w:val="00963C08"/>
    <w:rsid w:val="00982C98"/>
    <w:rsid w:val="0098585A"/>
    <w:rsid w:val="00995DA5"/>
    <w:rsid w:val="009A4CED"/>
    <w:rsid w:val="009A690D"/>
    <w:rsid w:val="009A7557"/>
    <w:rsid w:val="009B025A"/>
    <w:rsid w:val="009B1D12"/>
    <w:rsid w:val="009B416B"/>
    <w:rsid w:val="009B5F98"/>
    <w:rsid w:val="009C4BD5"/>
    <w:rsid w:val="009C7A82"/>
    <w:rsid w:val="009D1931"/>
    <w:rsid w:val="009D7B77"/>
    <w:rsid w:val="009E0616"/>
    <w:rsid w:val="009E0BB0"/>
    <w:rsid w:val="009E3FBB"/>
    <w:rsid w:val="009E67A0"/>
    <w:rsid w:val="00A01F54"/>
    <w:rsid w:val="00A04F85"/>
    <w:rsid w:val="00A05C7E"/>
    <w:rsid w:val="00A05FA4"/>
    <w:rsid w:val="00A102E4"/>
    <w:rsid w:val="00A12C42"/>
    <w:rsid w:val="00A14DF7"/>
    <w:rsid w:val="00A3246D"/>
    <w:rsid w:val="00A36FA7"/>
    <w:rsid w:val="00A44DDB"/>
    <w:rsid w:val="00A475B7"/>
    <w:rsid w:val="00A47AF7"/>
    <w:rsid w:val="00A47C3E"/>
    <w:rsid w:val="00A50226"/>
    <w:rsid w:val="00A60BAD"/>
    <w:rsid w:val="00A628E3"/>
    <w:rsid w:val="00A80B5B"/>
    <w:rsid w:val="00A84E36"/>
    <w:rsid w:val="00A964D1"/>
    <w:rsid w:val="00AA0ED0"/>
    <w:rsid w:val="00AC0726"/>
    <w:rsid w:val="00AC2B40"/>
    <w:rsid w:val="00AC2BB2"/>
    <w:rsid w:val="00AC2C3C"/>
    <w:rsid w:val="00AC48D5"/>
    <w:rsid w:val="00AC512D"/>
    <w:rsid w:val="00AD0083"/>
    <w:rsid w:val="00AD3935"/>
    <w:rsid w:val="00AE65EB"/>
    <w:rsid w:val="00AE67A7"/>
    <w:rsid w:val="00AF1D94"/>
    <w:rsid w:val="00AF60C5"/>
    <w:rsid w:val="00B009C6"/>
    <w:rsid w:val="00B01548"/>
    <w:rsid w:val="00B13EBD"/>
    <w:rsid w:val="00B21D29"/>
    <w:rsid w:val="00B25034"/>
    <w:rsid w:val="00B33588"/>
    <w:rsid w:val="00B33863"/>
    <w:rsid w:val="00B3644C"/>
    <w:rsid w:val="00B37D17"/>
    <w:rsid w:val="00B4175E"/>
    <w:rsid w:val="00B44C63"/>
    <w:rsid w:val="00B452CE"/>
    <w:rsid w:val="00B54C25"/>
    <w:rsid w:val="00B71D5F"/>
    <w:rsid w:val="00B76B91"/>
    <w:rsid w:val="00B77EB1"/>
    <w:rsid w:val="00B811C6"/>
    <w:rsid w:val="00B855B0"/>
    <w:rsid w:val="00B92E08"/>
    <w:rsid w:val="00BA4E28"/>
    <w:rsid w:val="00BB2484"/>
    <w:rsid w:val="00BB2EAC"/>
    <w:rsid w:val="00BC622A"/>
    <w:rsid w:val="00BD699E"/>
    <w:rsid w:val="00BE0A78"/>
    <w:rsid w:val="00BE79F0"/>
    <w:rsid w:val="00BF046D"/>
    <w:rsid w:val="00BF1190"/>
    <w:rsid w:val="00BF5D04"/>
    <w:rsid w:val="00C042C5"/>
    <w:rsid w:val="00C1164D"/>
    <w:rsid w:val="00C16861"/>
    <w:rsid w:val="00C346AB"/>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54E0"/>
    <w:rsid w:val="00C9747E"/>
    <w:rsid w:val="00CA0155"/>
    <w:rsid w:val="00CB6BC0"/>
    <w:rsid w:val="00CB7558"/>
    <w:rsid w:val="00CC1B7C"/>
    <w:rsid w:val="00CC727F"/>
    <w:rsid w:val="00CF15C3"/>
    <w:rsid w:val="00CF2B6F"/>
    <w:rsid w:val="00CF2F3E"/>
    <w:rsid w:val="00CF58B6"/>
    <w:rsid w:val="00D0062D"/>
    <w:rsid w:val="00D017ED"/>
    <w:rsid w:val="00D040D3"/>
    <w:rsid w:val="00D04C65"/>
    <w:rsid w:val="00D108D6"/>
    <w:rsid w:val="00D201D2"/>
    <w:rsid w:val="00D224FE"/>
    <w:rsid w:val="00D23139"/>
    <w:rsid w:val="00D425BB"/>
    <w:rsid w:val="00D621CD"/>
    <w:rsid w:val="00D6493E"/>
    <w:rsid w:val="00D7195D"/>
    <w:rsid w:val="00D7301E"/>
    <w:rsid w:val="00D83AE1"/>
    <w:rsid w:val="00D855D4"/>
    <w:rsid w:val="00D93466"/>
    <w:rsid w:val="00DA1124"/>
    <w:rsid w:val="00DB6124"/>
    <w:rsid w:val="00DB750B"/>
    <w:rsid w:val="00DB75B7"/>
    <w:rsid w:val="00DC67A1"/>
    <w:rsid w:val="00DC6DD0"/>
    <w:rsid w:val="00DC6E02"/>
    <w:rsid w:val="00DE02AE"/>
    <w:rsid w:val="00DF1D7F"/>
    <w:rsid w:val="00DF4BE4"/>
    <w:rsid w:val="00E02FB4"/>
    <w:rsid w:val="00E13FC7"/>
    <w:rsid w:val="00E20571"/>
    <w:rsid w:val="00E235F7"/>
    <w:rsid w:val="00E23659"/>
    <w:rsid w:val="00E239D4"/>
    <w:rsid w:val="00E26130"/>
    <w:rsid w:val="00E364C0"/>
    <w:rsid w:val="00E40B22"/>
    <w:rsid w:val="00E44ED1"/>
    <w:rsid w:val="00E45619"/>
    <w:rsid w:val="00E4588F"/>
    <w:rsid w:val="00E46DA3"/>
    <w:rsid w:val="00E47464"/>
    <w:rsid w:val="00E51BB1"/>
    <w:rsid w:val="00E624A5"/>
    <w:rsid w:val="00E64BA4"/>
    <w:rsid w:val="00E7344E"/>
    <w:rsid w:val="00E76890"/>
    <w:rsid w:val="00E90968"/>
    <w:rsid w:val="00E9361F"/>
    <w:rsid w:val="00E944B9"/>
    <w:rsid w:val="00EA184B"/>
    <w:rsid w:val="00EB0798"/>
    <w:rsid w:val="00EB40AD"/>
    <w:rsid w:val="00EB586E"/>
    <w:rsid w:val="00EB5FC8"/>
    <w:rsid w:val="00EC4CC0"/>
    <w:rsid w:val="00EC7A85"/>
    <w:rsid w:val="00ED3CAD"/>
    <w:rsid w:val="00ED5A41"/>
    <w:rsid w:val="00EE1DE8"/>
    <w:rsid w:val="00EF44ED"/>
    <w:rsid w:val="00F033EC"/>
    <w:rsid w:val="00F04F68"/>
    <w:rsid w:val="00F10B08"/>
    <w:rsid w:val="00F12670"/>
    <w:rsid w:val="00F14B27"/>
    <w:rsid w:val="00F26FF7"/>
    <w:rsid w:val="00F3148D"/>
    <w:rsid w:val="00F325C5"/>
    <w:rsid w:val="00F32FE0"/>
    <w:rsid w:val="00F35298"/>
    <w:rsid w:val="00F47333"/>
    <w:rsid w:val="00F47E37"/>
    <w:rsid w:val="00F53C07"/>
    <w:rsid w:val="00F54B65"/>
    <w:rsid w:val="00F640B6"/>
    <w:rsid w:val="00F80E40"/>
    <w:rsid w:val="00F848D9"/>
    <w:rsid w:val="00F85FA4"/>
    <w:rsid w:val="00FA5B82"/>
    <w:rsid w:val="00FA639E"/>
    <w:rsid w:val="00FC25E4"/>
    <w:rsid w:val="00FC4A5D"/>
    <w:rsid w:val="00FC4EF7"/>
    <w:rsid w:val="00FD0824"/>
    <w:rsid w:val="00FD119B"/>
    <w:rsid w:val="00FD1EDC"/>
    <w:rsid w:val="00FE1DEE"/>
    <w:rsid w:val="00FF2126"/>
    <w:rsid w:val="00FF305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08CB6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A3E9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5332D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32D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56265A"/>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rsid w:val="00B71D5F"/>
    <w:pPr>
      <w:numPr>
        <w:numId w:val="5"/>
      </w:numPr>
      <w:spacing w:after="0" w:line="240" w:lineRule="auto"/>
    </w:pPr>
    <w:rPr>
      <w:rFonts w:eastAsia="Times New Roman"/>
      <w:kern w:val="24"/>
      <w:szCs w:val="24"/>
      <w:lang w:eastAsia="en-AU"/>
    </w:rPr>
  </w:style>
  <w:style w:type="paragraph" w:customStyle="1" w:styleId="Bullet2">
    <w:name w:val="Bullet 2"/>
    <w:basedOn w:val="Bullet1"/>
    <w:rsid w:val="00B71D5F"/>
    <w:pPr>
      <w:numPr>
        <w:numId w:val="6"/>
      </w:numPr>
    </w:pPr>
  </w:style>
  <w:style w:type="character" w:customStyle="1" w:styleId="st1">
    <w:name w:val="st1"/>
    <w:basedOn w:val="DefaultParagraphFont"/>
    <w:rsid w:val="009B025A"/>
  </w:style>
  <w:style w:type="table" w:customStyle="1" w:styleId="TableTGAblue1">
    <w:name w:val="Table TGA blue1"/>
    <w:basedOn w:val="TableNormal"/>
    <w:uiPriority w:val="99"/>
    <w:qFormat/>
    <w:rsid w:val="009B025A"/>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CommentText">
    <w:name w:val="annotation text"/>
    <w:basedOn w:val="Normal"/>
    <w:link w:val="CommentTextChar"/>
    <w:semiHidden/>
    <w:unhideWhenUsed/>
    <w:rsid w:val="00431730"/>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semiHidden/>
    <w:rsid w:val="00431730"/>
    <w:rPr>
      <w:rFonts w:ascii="Cambria" w:eastAsia="MS Mincho" w:hAnsi="Cambria" w:cs="Times New Roman"/>
      <w:sz w:val="20"/>
      <w:szCs w:val="20"/>
      <w:lang w:eastAsia="ja-JP"/>
    </w:rPr>
  </w:style>
  <w:style w:type="character" w:styleId="CommentReference">
    <w:name w:val="annotation reference"/>
    <w:basedOn w:val="DefaultParagraphFont"/>
    <w:semiHidden/>
    <w:unhideWhenUsed/>
    <w:rsid w:val="00431730"/>
    <w:rPr>
      <w:sz w:val="16"/>
      <w:szCs w:val="16"/>
    </w:rPr>
  </w:style>
  <w:style w:type="paragraph" w:customStyle="1" w:styleId="Tabletitle0">
    <w:name w:val="Table title"/>
    <w:basedOn w:val="Normal"/>
    <w:next w:val="Normal"/>
    <w:rsid w:val="003E57C6"/>
    <w:pPr>
      <w:keepNext/>
      <w:spacing w:after="180"/>
      <w:outlineLvl w:val="4"/>
    </w:pPr>
    <w:rPr>
      <w:rFonts w:cstheme="minorBidi"/>
      <w:b/>
    </w:rPr>
  </w:style>
  <w:style w:type="character" w:styleId="Emphasis">
    <w:name w:val="Emphasis"/>
    <w:basedOn w:val="DefaultParagraphFont"/>
    <w:uiPriority w:val="20"/>
    <w:qFormat/>
    <w:rsid w:val="003E57C6"/>
    <w:rPr>
      <w:b/>
      <w:bCs/>
      <w:i w:val="0"/>
      <w:iCs w:val="0"/>
    </w:rPr>
  </w:style>
  <w:style w:type="paragraph" w:styleId="CommentSubject">
    <w:name w:val="annotation subject"/>
    <w:basedOn w:val="CommentText"/>
    <w:next w:val="CommentText"/>
    <w:link w:val="CommentSubjectChar"/>
    <w:uiPriority w:val="99"/>
    <w:semiHidden/>
    <w:unhideWhenUsed/>
    <w:rsid w:val="00E76890"/>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E76890"/>
    <w:rPr>
      <w:rFonts w:ascii="Cambria" w:eastAsia="Cambria" w:hAnsi="Cambria" w:cs="Times New Roman"/>
      <w:b/>
      <w:bCs/>
      <w:sz w:val="20"/>
      <w:szCs w:val="20"/>
      <w:lang w:eastAsia="ja-JP"/>
    </w:rPr>
  </w:style>
  <w:style w:type="paragraph" w:customStyle="1" w:styleId="ListAlpha">
    <w:name w:val="List Alpha"/>
    <w:basedOn w:val="Normal"/>
    <w:rsid w:val="0038124C"/>
    <w:pPr>
      <w:numPr>
        <w:numId w:val="15"/>
      </w:numPr>
      <w:spacing w:before="0" w:after="100" w:line="280" w:lineRule="atLeast"/>
    </w:pPr>
    <w:rPr>
      <w:rFonts w:ascii="Arial" w:eastAsia="SimSun" w:hAnsi="Arial"/>
      <w:szCs w:val="24"/>
      <w:lang w:val="en-US" w:eastAsia="zh-CN"/>
    </w:rPr>
  </w:style>
  <w:style w:type="paragraph" w:customStyle="1" w:styleId="Paragraph">
    <w:name w:val="Paragraph"/>
    <w:basedOn w:val="Normal"/>
    <w:link w:val="ParagraphChar"/>
    <w:rsid w:val="0038124C"/>
    <w:pPr>
      <w:spacing w:before="0" w:after="250" w:line="300" w:lineRule="atLeast"/>
    </w:pPr>
    <w:rPr>
      <w:rFonts w:ascii="Arial" w:eastAsia="SimSun" w:hAnsi="Arial"/>
      <w:szCs w:val="24"/>
      <w:lang w:val="en-US" w:eastAsia="zh-CN"/>
    </w:rPr>
  </w:style>
  <w:style w:type="character" w:customStyle="1" w:styleId="ParagraphChar">
    <w:name w:val="Paragraph Char"/>
    <w:link w:val="Paragraph"/>
    <w:locked/>
    <w:rsid w:val="0038124C"/>
    <w:rPr>
      <w:rFonts w:ascii="Arial" w:eastAsia="SimSun" w:hAnsi="Arial" w:cs="Times New Roman"/>
      <w:szCs w:val="24"/>
      <w:lang w:val="en-US" w:eastAsia="zh-CN"/>
    </w:rPr>
  </w:style>
  <w:style w:type="character" w:customStyle="1" w:styleId="TextBullChar1">
    <w:name w:val="Text:Bull Char1"/>
    <w:link w:val="TextBull"/>
    <w:locked/>
    <w:rsid w:val="00BA4E28"/>
    <w:rPr>
      <w:rFonts w:ascii="Times New Roman" w:eastAsia="Times New Roman" w:hAnsi="Times New Roman"/>
      <w:sz w:val="24"/>
      <w:szCs w:val="24"/>
      <w:lang w:eastAsia="de-DE"/>
    </w:rPr>
  </w:style>
  <w:style w:type="paragraph" w:customStyle="1" w:styleId="TextBull">
    <w:name w:val="Text:Bull"/>
    <w:basedOn w:val="Normal"/>
    <w:link w:val="TextBullChar1"/>
    <w:rsid w:val="00BA4E28"/>
    <w:pPr>
      <w:numPr>
        <w:numId w:val="19"/>
      </w:numPr>
      <w:spacing w:before="0" w:after="0" w:line="280" w:lineRule="atLeast"/>
    </w:pPr>
    <w:rPr>
      <w:rFonts w:ascii="Times New Roman" w:eastAsia="Times New Roman" w:hAnsi="Times New Roman" w:cstheme="minorBidi"/>
      <w:sz w:val="24"/>
      <w:szCs w:val="24"/>
      <w:lang w:eastAsia="de-DE"/>
    </w:rPr>
  </w:style>
  <w:style w:type="paragraph" w:styleId="Revision">
    <w:name w:val="Revision"/>
    <w:hidden/>
    <w:uiPriority w:val="99"/>
    <w:semiHidden/>
    <w:rsid w:val="00012483"/>
    <w:pPr>
      <w:spacing w:after="0" w:line="240" w:lineRule="auto"/>
    </w:pPr>
    <w:rPr>
      <w:rFonts w:ascii="Cambria" w:eastAsia="Cambria" w:hAnsi="Cambria" w:cs="Times New Roman"/>
    </w:rPr>
  </w:style>
  <w:style w:type="paragraph" w:styleId="Bibliography">
    <w:name w:val="Bibliography"/>
    <w:basedOn w:val="Normal"/>
    <w:next w:val="Normal"/>
    <w:uiPriority w:val="37"/>
    <w:semiHidden/>
    <w:unhideWhenUsed/>
    <w:rsid w:val="005332D9"/>
  </w:style>
  <w:style w:type="paragraph" w:styleId="BlockText">
    <w:name w:val="Block Text"/>
    <w:basedOn w:val="Normal"/>
    <w:uiPriority w:val="99"/>
    <w:semiHidden/>
    <w:unhideWhenUsed/>
    <w:rsid w:val="005332D9"/>
    <w:pPr>
      <w:pBdr>
        <w:top w:val="single" w:sz="2" w:space="10" w:color="002C47" w:themeColor="accent1"/>
        <w:left w:val="single" w:sz="2" w:space="10" w:color="002C47" w:themeColor="accent1"/>
        <w:bottom w:val="single" w:sz="2" w:space="10" w:color="002C47" w:themeColor="accent1"/>
        <w:right w:val="single" w:sz="2" w:space="10" w:color="002C47" w:themeColor="accent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5332D9"/>
  </w:style>
  <w:style w:type="character" w:customStyle="1" w:styleId="BodyTextChar">
    <w:name w:val="Body Text Char"/>
    <w:basedOn w:val="DefaultParagraphFont"/>
    <w:link w:val="BodyText"/>
    <w:uiPriority w:val="99"/>
    <w:semiHidden/>
    <w:rsid w:val="005332D9"/>
    <w:rPr>
      <w:rFonts w:ascii="Cambria" w:eastAsia="Cambria" w:hAnsi="Cambria" w:cs="Times New Roman"/>
    </w:rPr>
  </w:style>
  <w:style w:type="paragraph" w:styleId="BodyText2">
    <w:name w:val="Body Text 2"/>
    <w:basedOn w:val="Normal"/>
    <w:link w:val="BodyText2Char"/>
    <w:uiPriority w:val="99"/>
    <w:semiHidden/>
    <w:unhideWhenUsed/>
    <w:rsid w:val="005332D9"/>
    <w:pPr>
      <w:spacing w:line="480" w:lineRule="auto"/>
    </w:pPr>
  </w:style>
  <w:style w:type="character" w:customStyle="1" w:styleId="BodyText2Char">
    <w:name w:val="Body Text 2 Char"/>
    <w:basedOn w:val="DefaultParagraphFont"/>
    <w:link w:val="BodyText2"/>
    <w:uiPriority w:val="99"/>
    <w:semiHidden/>
    <w:rsid w:val="005332D9"/>
    <w:rPr>
      <w:rFonts w:ascii="Cambria" w:eastAsia="Cambria" w:hAnsi="Cambria" w:cs="Times New Roman"/>
    </w:rPr>
  </w:style>
  <w:style w:type="paragraph" w:styleId="BodyText3">
    <w:name w:val="Body Text 3"/>
    <w:basedOn w:val="Normal"/>
    <w:link w:val="BodyText3Char"/>
    <w:uiPriority w:val="99"/>
    <w:semiHidden/>
    <w:unhideWhenUsed/>
    <w:rsid w:val="005332D9"/>
    <w:rPr>
      <w:sz w:val="16"/>
      <w:szCs w:val="16"/>
    </w:rPr>
  </w:style>
  <w:style w:type="character" w:customStyle="1" w:styleId="BodyText3Char">
    <w:name w:val="Body Text 3 Char"/>
    <w:basedOn w:val="DefaultParagraphFont"/>
    <w:link w:val="BodyText3"/>
    <w:uiPriority w:val="99"/>
    <w:semiHidden/>
    <w:rsid w:val="005332D9"/>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5332D9"/>
    <w:pPr>
      <w:ind w:firstLine="360"/>
    </w:pPr>
  </w:style>
  <w:style w:type="character" w:customStyle="1" w:styleId="BodyTextFirstIndentChar">
    <w:name w:val="Body Text First Indent Char"/>
    <w:basedOn w:val="BodyTextChar"/>
    <w:link w:val="BodyTextFirstIndent"/>
    <w:uiPriority w:val="99"/>
    <w:semiHidden/>
    <w:rsid w:val="005332D9"/>
    <w:rPr>
      <w:rFonts w:ascii="Cambria" w:eastAsia="Cambria" w:hAnsi="Cambria" w:cs="Times New Roman"/>
    </w:rPr>
  </w:style>
  <w:style w:type="paragraph" w:styleId="BodyTextIndent">
    <w:name w:val="Body Text Indent"/>
    <w:basedOn w:val="Normal"/>
    <w:link w:val="BodyTextIndentChar"/>
    <w:uiPriority w:val="99"/>
    <w:semiHidden/>
    <w:unhideWhenUsed/>
    <w:rsid w:val="005332D9"/>
    <w:pPr>
      <w:ind w:left="283"/>
    </w:pPr>
  </w:style>
  <w:style w:type="character" w:customStyle="1" w:styleId="BodyTextIndentChar">
    <w:name w:val="Body Text Indent Char"/>
    <w:basedOn w:val="DefaultParagraphFont"/>
    <w:link w:val="BodyTextIndent"/>
    <w:uiPriority w:val="99"/>
    <w:semiHidden/>
    <w:rsid w:val="005332D9"/>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5332D9"/>
    <w:pPr>
      <w:ind w:left="360" w:firstLine="360"/>
    </w:pPr>
  </w:style>
  <w:style w:type="character" w:customStyle="1" w:styleId="BodyTextFirstIndent2Char">
    <w:name w:val="Body Text First Indent 2 Char"/>
    <w:basedOn w:val="BodyTextIndentChar"/>
    <w:link w:val="BodyTextFirstIndent2"/>
    <w:uiPriority w:val="99"/>
    <w:semiHidden/>
    <w:rsid w:val="005332D9"/>
    <w:rPr>
      <w:rFonts w:ascii="Cambria" w:eastAsia="Cambria" w:hAnsi="Cambria" w:cs="Times New Roman"/>
    </w:rPr>
  </w:style>
  <w:style w:type="paragraph" w:styleId="BodyTextIndent2">
    <w:name w:val="Body Text Indent 2"/>
    <w:basedOn w:val="Normal"/>
    <w:link w:val="BodyTextIndent2Char"/>
    <w:uiPriority w:val="99"/>
    <w:semiHidden/>
    <w:unhideWhenUsed/>
    <w:rsid w:val="005332D9"/>
    <w:pPr>
      <w:spacing w:line="480" w:lineRule="auto"/>
      <w:ind w:left="283"/>
    </w:pPr>
  </w:style>
  <w:style w:type="character" w:customStyle="1" w:styleId="BodyTextIndent2Char">
    <w:name w:val="Body Text Indent 2 Char"/>
    <w:basedOn w:val="DefaultParagraphFont"/>
    <w:link w:val="BodyTextIndent2"/>
    <w:uiPriority w:val="99"/>
    <w:semiHidden/>
    <w:rsid w:val="005332D9"/>
    <w:rPr>
      <w:rFonts w:ascii="Cambria" w:eastAsia="Cambria" w:hAnsi="Cambria" w:cs="Times New Roman"/>
    </w:rPr>
  </w:style>
  <w:style w:type="paragraph" w:styleId="BodyTextIndent3">
    <w:name w:val="Body Text Indent 3"/>
    <w:basedOn w:val="Normal"/>
    <w:link w:val="BodyTextIndent3Char"/>
    <w:uiPriority w:val="99"/>
    <w:semiHidden/>
    <w:unhideWhenUsed/>
    <w:rsid w:val="005332D9"/>
    <w:pPr>
      <w:ind w:left="283"/>
    </w:pPr>
    <w:rPr>
      <w:sz w:val="16"/>
      <w:szCs w:val="16"/>
    </w:rPr>
  </w:style>
  <w:style w:type="character" w:customStyle="1" w:styleId="BodyTextIndent3Char">
    <w:name w:val="Body Text Indent 3 Char"/>
    <w:basedOn w:val="DefaultParagraphFont"/>
    <w:link w:val="BodyTextIndent3"/>
    <w:uiPriority w:val="99"/>
    <w:semiHidden/>
    <w:rsid w:val="005332D9"/>
    <w:rPr>
      <w:rFonts w:ascii="Cambria" w:eastAsia="Cambria" w:hAnsi="Cambria" w:cs="Times New Roman"/>
      <w:sz w:val="16"/>
      <w:szCs w:val="16"/>
    </w:rPr>
  </w:style>
  <w:style w:type="paragraph" w:styleId="Closing">
    <w:name w:val="Closing"/>
    <w:basedOn w:val="Normal"/>
    <w:link w:val="ClosingChar"/>
    <w:uiPriority w:val="99"/>
    <w:semiHidden/>
    <w:unhideWhenUsed/>
    <w:rsid w:val="005332D9"/>
    <w:pPr>
      <w:spacing w:before="0" w:after="0" w:line="240" w:lineRule="auto"/>
      <w:ind w:left="4252"/>
    </w:pPr>
  </w:style>
  <w:style w:type="character" w:customStyle="1" w:styleId="ClosingChar">
    <w:name w:val="Closing Char"/>
    <w:basedOn w:val="DefaultParagraphFont"/>
    <w:link w:val="Closing"/>
    <w:uiPriority w:val="99"/>
    <w:semiHidden/>
    <w:rsid w:val="005332D9"/>
    <w:rPr>
      <w:rFonts w:ascii="Cambria" w:eastAsia="Cambria" w:hAnsi="Cambria" w:cs="Times New Roman"/>
    </w:rPr>
  </w:style>
  <w:style w:type="paragraph" w:styleId="DocumentMap">
    <w:name w:val="Document Map"/>
    <w:basedOn w:val="Normal"/>
    <w:link w:val="DocumentMapChar"/>
    <w:uiPriority w:val="99"/>
    <w:semiHidden/>
    <w:unhideWhenUsed/>
    <w:rsid w:val="005332D9"/>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332D9"/>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5332D9"/>
    <w:pPr>
      <w:spacing w:before="0" w:after="0" w:line="240" w:lineRule="auto"/>
    </w:pPr>
  </w:style>
  <w:style w:type="character" w:customStyle="1" w:styleId="E-mailSignatureChar">
    <w:name w:val="E-mail Signature Char"/>
    <w:basedOn w:val="DefaultParagraphFont"/>
    <w:link w:val="E-mailSignature"/>
    <w:uiPriority w:val="99"/>
    <w:semiHidden/>
    <w:rsid w:val="005332D9"/>
    <w:rPr>
      <w:rFonts w:ascii="Cambria" w:eastAsia="Cambria" w:hAnsi="Cambria" w:cs="Times New Roman"/>
    </w:rPr>
  </w:style>
  <w:style w:type="paragraph" w:styleId="EnvelopeAddress">
    <w:name w:val="envelope address"/>
    <w:basedOn w:val="Normal"/>
    <w:uiPriority w:val="99"/>
    <w:semiHidden/>
    <w:unhideWhenUsed/>
    <w:rsid w:val="005332D9"/>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332D9"/>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5332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32D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5332D9"/>
    <w:pPr>
      <w:spacing w:before="0" w:after="0" w:line="240" w:lineRule="auto"/>
    </w:pPr>
    <w:rPr>
      <w:i/>
      <w:iCs/>
    </w:rPr>
  </w:style>
  <w:style w:type="character" w:customStyle="1" w:styleId="HTMLAddressChar">
    <w:name w:val="HTML Address Char"/>
    <w:basedOn w:val="DefaultParagraphFont"/>
    <w:link w:val="HTMLAddress"/>
    <w:uiPriority w:val="99"/>
    <w:semiHidden/>
    <w:rsid w:val="005332D9"/>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5332D9"/>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332D9"/>
    <w:rPr>
      <w:rFonts w:ascii="Consolas" w:eastAsia="Cambria" w:hAnsi="Consolas" w:cs="Consolas"/>
      <w:sz w:val="20"/>
      <w:szCs w:val="20"/>
    </w:rPr>
  </w:style>
  <w:style w:type="paragraph" w:styleId="Index1">
    <w:name w:val="index 1"/>
    <w:basedOn w:val="Normal"/>
    <w:next w:val="Normal"/>
    <w:autoRedefine/>
    <w:uiPriority w:val="99"/>
    <w:semiHidden/>
    <w:unhideWhenUsed/>
    <w:rsid w:val="005332D9"/>
    <w:pPr>
      <w:spacing w:before="0" w:after="0" w:line="240" w:lineRule="auto"/>
      <w:ind w:left="220" w:hanging="220"/>
    </w:pPr>
  </w:style>
  <w:style w:type="paragraph" w:styleId="Index2">
    <w:name w:val="index 2"/>
    <w:basedOn w:val="Normal"/>
    <w:next w:val="Normal"/>
    <w:autoRedefine/>
    <w:uiPriority w:val="99"/>
    <w:semiHidden/>
    <w:unhideWhenUsed/>
    <w:rsid w:val="005332D9"/>
    <w:pPr>
      <w:spacing w:before="0" w:after="0" w:line="240" w:lineRule="auto"/>
      <w:ind w:left="440" w:hanging="220"/>
    </w:pPr>
  </w:style>
  <w:style w:type="paragraph" w:styleId="Index3">
    <w:name w:val="index 3"/>
    <w:basedOn w:val="Normal"/>
    <w:next w:val="Normal"/>
    <w:autoRedefine/>
    <w:uiPriority w:val="99"/>
    <w:semiHidden/>
    <w:unhideWhenUsed/>
    <w:rsid w:val="005332D9"/>
    <w:pPr>
      <w:spacing w:before="0" w:after="0" w:line="240" w:lineRule="auto"/>
      <w:ind w:left="660" w:hanging="220"/>
    </w:pPr>
  </w:style>
  <w:style w:type="paragraph" w:styleId="Index4">
    <w:name w:val="index 4"/>
    <w:basedOn w:val="Normal"/>
    <w:next w:val="Normal"/>
    <w:autoRedefine/>
    <w:uiPriority w:val="99"/>
    <w:semiHidden/>
    <w:unhideWhenUsed/>
    <w:rsid w:val="005332D9"/>
    <w:pPr>
      <w:spacing w:before="0" w:after="0" w:line="240" w:lineRule="auto"/>
      <w:ind w:left="880" w:hanging="220"/>
    </w:pPr>
  </w:style>
  <w:style w:type="paragraph" w:styleId="Index5">
    <w:name w:val="index 5"/>
    <w:basedOn w:val="Normal"/>
    <w:next w:val="Normal"/>
    <w:autoRedefine/>
    <w:uiPriority w:val="99"/>
    <w:semiHidden/>
    <w:unhideWhenUsed/>
    <w:rsid w:val="005332D9"/>
    <w:pPr>
      <w:spacing w:before="0" w:after="0" w:line="240" w:lineRule="auto"/>
      <w:ind w:left="1100" w:hanging="220"/>
    </w:pPr>
  </w:style>
  <w:style w:type="paragraph" w:styleId="Index6">
    <w:name w:val="index 6"/>
    <w:basedOn w:val="Normal"/>
    <w:next w:val="Normal"/>
    <w:autoRedefine/>
    <w:uiPriority w:val="99"/>
    <w:semiHidden/>
    <w:unhideWhenUsed/>
    <w:rsid w:val="005332D9"/>
    <w:pPr>
      <w:spacing w:before="0" w:after="0" w:line="240" w:lineRule="auto"/>
      <w:ind w:left="1320" w:hanging="220"/>
    </w:pPr>
  </w:style>
  <w:style w:type="paragraph" w:styleId="Index7">
    <w:name w:val="index 7"/>
    <w:basedOn w:val="Normal"/>
    <w:next w:val="Normal"/>
    <w:autoRedefine/>
    <w:uiPriority w:val="99"/>
    <w:semiHidden/>
    <w:unhideWhenUsed/>
    <w:rsid w:val="005332D9"/>
    <w:pPr>
      <w:spacing w:before="0" w:after="0" w:line="240" w:lineRule="auto"/>
      <w:ind w:left="1540" w:hanging="220"/>
    </w:pPr>
  </w:style>
  <w:style w:type="paragraph" w:styleId="Index8">
    <w:name w:val="index 8"/>
    <w:basedOn w:val="Normal"/>
    <w:next w:val="Normal"/>
    <w:autoRedefine/>
    <w:uiPriority w:val="99"/>
    <w:semiHidden/>
    <w:unhideWhenUsed/>
    <w:rsid w:val="005332D9"/>
    <w:pPr>
      <w:spacing w:before="0" w:after="0" w:line="240" w:lineRule="auto"/>
      <w:ind w:left="1760" w:hanging="220"/>
    </w:pPr>
  </w:style>
  <w:style w:type="paragraph" w:styleId="Index9">
    <w:name w:val="index 9"/>
    <w:basedOn w:val="Normal"/>
    <w:next w:val="Normal"/>
    <w:autoRedefine/>
    <w:uiPriority w:val="99"/>
    <w:semiHidden/>
    <w:unhideWhenUsed/>
    <w:rsid w:val="005332D9"/>
    <w:pPr>
      <w:spacing w:before="0" w:after="0" w:line="240" w:lineRule="auto"/>
      <w:ind w:left="1980" w:hanging="220"/>
    </w:pPr>
  </w:style>
  <w:style w:type="paragraph" w:styleId="IndexHeading">
    <w:name w:val="index heading"/>
    <w:basedOn w:val="Normal"/>
    <w:next w:val="Index1"/>
    <w:uiPriority w:val="99"/>
    <w:semiHidden/>
    <w:unhideWhenUsed/>
    <w:rsid w:val="005332D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5332D9"/>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5332D9"/>
    <w:rPr>
      <w:rFonts w:ascii="Cambria" w:eastAsia="Cambria" w:hAnsi="Cambria" w:cs="Times New Roman"/>
      <w:b/>
      <w:bCs/>
      <w:i/>
      <w:iCs/>
      <w:color w:val="002C47" w:themeColor="accent1"/>
    </w:rPr>
  </w:style>
  <w:style w:type="paragraph" w:styleId="List">
    <w:name w:val="List"/>
    <w:basedOn w:val="Normal"/>
    <w:uiPriority w:val="99"/>
    <w:semiHidden/>
    <w:unhideWhenUsed/>
    <w:rsid w:val="005332D9"/>
    <w:pPr>
      <w:ind w:left="283" w:hanging="283"/>
      <w:contextualSpacing/>
    </w:pPr>
  </w:style>
  <w:style w:type="paragraph" w:styleId="List2">
    <w:name w:val="List 2"/>
    <w:basedOn w:val="Normal"/>
    <w:uiPriority w:val="99"/>
    <w:semiHidden/>
    <w:unhideWhenUsed/>
    <w:rsid w:val="005332D9"/>
    <w:pPr>
      <w:ind w:left="566" w:hanging="283"/>
      <w:contextualSpacing/>
    </w:pPr>
  </w:style>
  <w:style w:type="paragraph" w:styleId="List3">
    <w:name w:val="List 3"/>
    <w:basedOn w:val="Normal"/>
    <w:uiPriority w:val="99"/>
    <w:semiHidden/>
    <w:unhideWhenUsed/>
    <w:rsid w:val="005332D9"/>
    <w:pPr>
      <w:ind w:left="849" w:hanging="283"/>
      <w:contextualSpacing/>
    </w:pPr>
  </w:style>
  <w:style w:type="paragraph" w:styleId="List4">
    <w:name w:val="List 4"/>
    <w:basedOn w:val="Normal"/>
    <w:uiPriority w:val="99"/>
    <w:semiHidden/>
    <w:unhideWhenUsed/>
    <w:rsid w:val="005332D9"/>
    <w:pPr>
      <w:ind w:left="1132" w:hanging="283"/>
      <w:contextualSpacing/>
    </w:pPr>
  </w:style>
  <w:style w:type="paragraph" w:styleId="List5">
    <w:name w:val="List 5"/>
    <w:basedOn w:val="Normal"/>
    <w:uiPriority w:val="99"/>
    <w:semiHidden/>
    <w:unhideWhenUsed/>
    <w:rsid w:val="005332D9"/>
    <w:pPr>
      <w:ind w:left="1415" w:hanging="283"/>
      <w:contextualSpacing/>
    </w:pPr>
  </w:style>
  <w:style w:type="paragraph" w:styleId="ListBullet4">
    <w:name w:val="List Bullet 4"/>
    <w:basedOn w:val="Normal"/>
    <w:uiPriority w:val="99"/>
    <w:semiHidden/>
    <w:unhideWhenUsed/>
    <w:rsid w:val="005332D9"/>
    <w:pPr>
      <w:numPr>
        <w:numId w:val="20"/>
      </w:numPr>
      <w:contextualSpacing/>
    </w:pPr>
  </w:style>
  <w:style w:type="paragraph" w:styleId="ListBullet5">
    <w:name w:val="List Bullet 5"/>
    <w:basedOn w:val="Normal"/>
    <w:uiPriority w:val="99"/>
    <w:semiHidden/>
    <w:unhideWhenUsed/>
    <w:rsid w:val="005332D9"/>
    <w:pPr>
      <w:numPr>
        <w:numId w:val="21"/>
      </w:numPr>
      <w:contextualSpacing/>
    </w:pPr>
  </w:style>
  <w:style w:type="paragraph" w:styleId="ListContinue">
    <w:name w:val="List Continue"/>
    <w:basedOn w:val="Normal"/>
    <w:uiPriority w:val="99"/>
    <w:semiHidden/>
    <w:unhideWhenUsed/>
    <w:rsid w:val="005332D9"/>
    <w:pPr>
      <w:ind w:left="283"/>
      <w:contextualSpacing/>
    </w:pPr>
  </w:style>
  <w:style w:type="paragraph" w:styleId="ListContinue2">
    <w:name w:val="List Continue 2"/>
    <w:basedOn w:val="Normal"/>
    <w:uiPriority w:val="99"/>
    <w:semiHidden/>
    <w:unhideWhenUsed/>
    <w:rsid w:val="005332D9"/>
    <w:pPr>
      <w:ind w:left="566"/>
      <w:contextualSpacing/>
    </w:pPr>
  </w:style>
  <w:style w:type="paragraph" w:styleId="ListContinue3">
    <w:name w:val="List Continue 3"/>
    <w:basedOn w:val="Normal"/>
    <w:uiPriority w:val="99"/>
    <w:semiHidden/>
    <w:unhideWhenUsed/>
    <w:rsid w:val="005332D9"/>
    <w:pPr>
      <w:ind w:left="849"/>
      <w:contextualSpacing/>
    </w:pPr>
  </w:style>
  <w:style w:type="paragraph" w:styleId="ListContinue4">
    <w:name w:val="List Continue 4"/>
    <w:basedOn w:val="Normal"/>
    <w:uiPriority w:val="99"/>
    <w:semiHidden/>
    <w:unhideWhenUsed/>
    <w:rsid w:val="005332D9"/>
    <w:pPr>
      <w:ind w:left="1132"/>
      <w:contextualSpacing/>
    </w:pPr>
  </w:style>
  <w:style w:type="paragraph" w:styleId="ListContinue5">
    <w:name w:val="List Continue 5"/>
    <w:basedOn w:val="Normal"/>
    <w:uiPriority w:val="99"/>
    <w:semiHidden/>
    <w:unhideWhenUsed/>
    <w:rsid w:val="005332D9"/>
    <w:pPr>
      <w:ind w:left="1415"/>
      <w:contextualSpacing/>
    </w:pPr>
  </w:style>
  <w:style w:type="paragraph" w:styleId="ListNumber">
    <w:name w:val="List Number"/>
    <w:basedOn w:val="Normal"/>
    <w:uiPriority w:val="99"/>
    <w:semiHidden/>
    <w:unhideWhenUsed/>
    <w:rsid w:val="005332D9"/>
    <w:pPr>
      <w:numPr>
        <w:numId w:val="22"/>
      </w:numPr>
      <w:contextualSpacing/>
    </w:pPr>
  </w:style>
  <w:style w:type="paragraph" w:styleId="ListNumber2">
    <w:name w:val="List Number 2"/>
    <w:basedOn w:val="Normal"/>
    <w:uiPriority w:val="99"/>
    <w:semiHidden/>
    <w:unhideWhenUsed/>
    <w:rsid w:val="005332D9"/>
    <w:pPr>
      <w:numPr>
        <w:numId w:val="23"/>
      </w:numPr>
      <w:contextualSpacing/>
    </w:pPr>
  </w:style>
  <w:style w:type="paragraph" w:styleId="ListNumber3">
    <w:name w:val="List Number 3"/>
    <w:basedOn w:val="Normal"/>
    <w:uiPriority w:val="99"/>
    <w:semiHidden/>
    <w:unhideWhenUsed/>
    <w:rsid w:val="005332D9"/>
    <w:pPr>
      <w:numPr>
        <w:numId w:val="24"/>
      </w:numPr>
      <w:contextualSpacing/>
    </w:pPr>
  </w:style>
  <w:style w:type="paragraph" w:styleId="ListNumber4">
    <w:name w:val="List Number 4"/>
    <w:basedOn w:val="Normal"/>
    <w:uiPriority w:val="99"/>
    <w:semiHidden/>
    <w:unhideWhenUsed/>
    <w:rsid w:val="005332D9"/>
    <w:pPr>
      <w:numPr>
        <w:numId w:val="25"/>
      </w:numPr>
      <w:contextualSpacing/>
    </w:pPr>
  </w:style>
  <w:style w:type="paragraph" w:styleId="ListNumber5">
    <w:name w:val="List Number 5"/>
    <w:basedOn w:val="Normal"/>
    <w:uiPriority w:val="99"/>
    <w:semiHidden/>
    <w:unhideWhenUsed/>
    <w:rsid w:val="005332D9"/>
    <w:pPr>
      <w:numPr>
        <w:numId w:val="26"/>
      </w:numPr>
      <w:contextualSpacing/>
    </w:pPr>
  </w:style>
  <w:style w:type="paragraph" w:styleId="MacroText">
    <w:name w:val="macro"/>
    <w:link w:val="MacroTextChar"/>
    <w:uiPriority w:val="99"/>
    <w:semiHidden/>
    <w:unhideWhenUsed/>
    <w:rsid w:val="005332D9"/>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5332D9"/>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5332D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332D9"/>
    <w:rPr>
      <w:rFonts w:asciiTheme="majorHAnsi" w:eastAsiaTheme="majorEastAsia" w:hAnsiTheme="majorHAnsi" w:cstheme="majorBidi"/>
      <w:sz w:val="24"/>
      <w:szCs w:val="24"/>
      <w:shd w:val="pct20" w:color="auto" w:fill="auto"/>
    </w:rPr>
  </w:style>
  <w:style w:type="paragraph" w:styleId="NoSpacing">
    <w:name w:val="No Spacing"/>
    <w:uiPriority w:val="1"/>
    <w:rsid w:val="005332D9"/>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5332D9"/>
    <w:rPr>
      <w:rFonts w:ascii="Times New Roman" w:hAnsi="Times New Roman"/>
      <w:sz w:val="24"/>
      <w:szCs w:val="24"/>
    </w:rPr>
  </w:style>
  <w:style w:type="paragraph" w:styleId="NormalIndent">
    <w:name w:val="Normal Indent"/>
    <w:basedOn w:val="Normal"/>
    <w:uiPriority w:val="99"/>
    <w:semiHidden/>
    <w:unhideWhenUsed/>
    <w:rsid w:val="005332D9"/>
    <w:pPr>
      <w:ind w:left="720"/>
    </w:pPr>
  </w:style>
  <w:style w:type="paragraph" w:styleId="NoteHeading">
    <w:name w:val="Note Heading"/>
    <w:basedOn w:val="Normal"/>
    <w:next w:val="Normal"/>
    <w:link w:val="NoteHeadingChar"/>
    <w:uiPriority w:val="99"/>
    <w:semiHidden/>
    <w:unhideWhenUsed/>
    <w:rsid w:val="005332D9"/>
    <w:pPr>
      <w:spacing w:before="0" w:after="0" w:line="240" w:lineRule="auto"/>
    </w:pPr>
  </w:style>
  <w:style w:type="character" w:customStyle="1" w:styleId="NoteHeadingChar">
    <w:name w:val="Note Heading Char"/>
    <w:basedOn w:val="DefaultParagraphFont"/>
    <w:link w:val="NoteHeading"/>
    <w:uiPriority w:val="99"/>
    <w:semiHidden/>
    <w:rsid w:val="005332D9"/>
    <w:rPr>
      <w:rFonts w:ascii="Cambria" w:eastAsia="Cambria" w:hAnsi="Cambria" w:cs="Times New Roman"/>
    </w:rPr>
  </w:style>
  <w:style w:type="paragraph" w:styleId="PlainText">
    <w:name w:val="Plain Text"/>
    <w:basedOn w:val="Normal"/>
    <w:link w:val="PlainTextChar"/>
    <w:uiPriority w:val="99"/>
    <w:semiHidden/>
    <w:unhideWhenUsed/>
    <w:rsid w:val="005332D9"/>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332D9"/>
    <w:rPr>
      <w:rFonts w:ascii="Consolas" w:eastAsia="Cambria" w:hAnsi="Consolas" w:cs="Consolas"/>
      <w:sz w:val="21"/>
      <w:szCs w:val="21"/>
    </w:rPr>
  </w:style>
  <w:style w:type="paragraph" w:styleId="Quote">
    <w:name w:val="Quote"/>
    <w:basedOn w:val="Normal"/>
    <w:next w:val="Normal"/>
    <w:link w:val="QuoteChar"/>
    <w:uiPriority w:val="29"/>
    <w:rsid w:val="005332D9"/>
    <w:rPr>
      <w:i/>
      <w:iCs/>
      <w:color w:val="000000" w:themeColor="text1"/>
    </w:rPr>
  </w:style>
  <w:style w:type="character" w:customStyle="1" w:styleId="QuoteChar">
    <w:name w:val="Quote Char"/>
    <w:basedOn w:val="DefaultParagraphFont"/>
    <w:link w:val="Quote"/>
    <w:uiPriority w:val="29"/>
    <w:rsid w:val="005332D9"/>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5332D9"/>
  </w:style>
  <w:style w:type="character" w:customStyle="1" w:styleId="SalutationChar">
    <w:name w:val="Salutation Char"/>
    <w:basedOn w:val="DefaultParagraphFont"/>
    <w:link w:val="Salutation"/>
    <w:uiPriority w:val="99"/>
    <w:semiHidden/>
    <w:rsid w:val="005332D9"/>
    <w:rPr>
      <w:rFonts w:ascii="Cambria" w:eastAsia="Cambria" w:hAnsi="Cambria" w:cs="Times New Roman"/>
    </w:rPr>
  </w:style>
  <w:style w:type="paragraph" w:styleId="Signature">
    <w:name w:val="Signature"/>
    <w:basedOn w:val="Normal"/>
    <w:link w:val="SignatureChar"/>
    <w:uiPriority w:val="99"/>
    <w:semiHidden/>
    <w:unhideWhenUsed/>
    <w:rsid w:val="005332D9"/>
    <w:pPr>
      <w:spacing w:before="0" w:after="0" w:line="240" w:lineRule="auto"/>
      <w:ind w:left="4252"/>
    </w:pPr>
  </w:style>
  <w:style w:type="character" w:customStyle="1" w:styleId="SignatureChar">
    <w:name w:val="Signature Char"/>
    <w:basedOn w:val="DefaultParagraphFont"/>
    <w:link w:val="Signature"/>
    <w:uiPriority w:val="99"/>
    <w:semiHidden/>
    <w:rsid w:val="005332D9"/>
    <w:rPr>
      <w:rFonts w:ascii="Cambria" w:eastAsia="Cambria" w:hAnsi="Cambria" w:cs="Times New Roman"/>
    </w:rPr>
  </w:style>
  <w:style w:type="paragraph" w:styleId="TableofAuthorities">
    <w:name w:val="table of authorities"/>
    <w:basedOn w:val="Normal"/>
    <w:next w:val="Normal"/>
    <w:uiPriority w:val="99"/>
    <w:semiHidden/>
    <w:unhideWhenUsed/>
    <w:rsid w:val="005332D9"/>
    <w:pPr>
      <w:spacing w:after="0"/>
      <w:ind w:left="220" w:hanging="220"/>
    </w:pPr>
  </w:style>
  <w:style w:type="paragraph" w:styleId="TableofFigures">
    <w:name w:val="table of figures"/>
    <w:basedOn w:val="Normal"/>
    <w:next w:val="Normal"/>
    <w:uiPriority w:val="99"/>
    <w:semiHidden/>
    <w:unhideWhenUsed/>
    <w:rsid w:val="005332D9"/>
    <w:pPr>
      <w:spacing w:after="0"/>
    </w:pPr>
  </w:style>
  <w:style w:type="paragraph" w:styleId="TOAHeading">
    <w:name w:val="toa heading"/>
    <w:basedOn w:val="Normal"/>
    <w:next w:val="Normal"/>
    <w:uiPriority w:val="99"/>
    <w:semiHidden/>
    <w:unhideWhenUsed/>
    <w:rsid w:val="005332D9"/>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5332D9"/>
    <w:pPr>
      <w:spacing w:after="100"/>
      <w:ind w:left="660"/>
    </w:pPr>
  </w:style>
  <w:style w:type="paragraph" w:styleId="TOC5">
    <w:name w:val="toc 5"/>
    <w:basedOn w:val="Normal"/>
    <w:next w:val="Normal"/>
    <w:autoRedefine/>
    <w:uiPriority w:val="39"/>
    <w:semiHidden/>
    <w:unhideWhenUsed/>
    <w:rsid w:val="005332D9"/>
    <w:pPr>
      <w:spacing w:after="100"/>
      <w:ind w:left="880"/>
    </w:pPr>
  </w:style>
  <w:style w:type="paragraph" w:styleId="TOC6">
    <w:name w:val="toc 6"/>
    <w:basedOn w:val="Normal"/>
    <w:next w:val="Normal"/>
    <w:autoRedefine/>
    <w:uiPriority w:val="39"/>
    <w:semiHidden/>
    <w:unhideWhenUsed/>
    <w:rsid w:val="005332D9"/>
    <w:pPr>
      <w:spacing w:after="100"/>
      <w:ind w:left="1100"/>
    </w:pPr>
  </w:style>
  <w:style w:type="paragraph" w:styleId="TOC7">
    <w:name w:val="toc 7"/>
    <w:basedOn w:val="Normal"/>
    <w:next w:val="Normal"/>
    <w:autoRedefine/>
    <w:uiPriority w:val="39"/>
    <w:semiHidden/>
    <w:unhideWhenUsed/>
    <w:rsid w:val="005332D9"/>
    <w:pPr>
      <w:spacing w:after="100"/>
      <w:ind w:left="1320"/>
    </w:pPr>
  </w:style>
  <w:style w:type="paragraph" w:styleId="TOC8">
    <w:name w:val="toc 8"/>
    <w:basedOn w:val="Normal"/>
    <w:next w:val="Normal"/>
    <w:autoRedefine/>
    <w:uiPriority w:val="39"/>
    <w:semiHidden/>
    <w:unhideWhenUsed/>
    <w:rsid w:val="005332D9"/>
    <w:pPr>
      <w:spacing w:after="100"/>
      <w:ind w:left="1540"/>
    </w:pPr>
  </w:style>
  <w:style w:type="paragraph" w:styleId="TOC9">
    <w:name w:val="toc 9"/>
    <w:basedOn w:val="Normal"/>
    <w:next w:val="Normal"/>
    <w:autoRedefine/>
    <w:uiPriority w:val="39"/>
    <w:semiHidden/>
    <w:unhideWhenUsed/>
    <w:rsid w:val="005332D9"/>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A3E9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5332D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32D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56265A"/>
    <w:pPr>
      <w:adjustRightInd w:val="0"/>
      <w:snapToGrid w:val="0"/>
      <w:spacing w:before="180" w:after="180"/>
      <w:ind w:left="720"/>
      <w:contextualSpacing/>
    </w:pPr>
    <w:rPr>
      <w:rFonts w:eastAsia="MS Mincho"/>
      <w:szCs w:val="20"/>
      <w:lang w:eastAsia="ja-JP"/>
    </w:rPr>
  </w:style>
  <w:style w:type="paragraph" w:customStyle="1" w:styleId="Bullet1">
    <w:name w:val="Bullet 1"/>
    <w:basedOn w:val="Normal"/>
    <w:rsid w:val="00B71D5F"/>
    <w:pPr>
      <w:numPr>
        <w:numId w:val="5"/>
      </w:numPr>
      <w:spacing w:after="0" w:line="240" w:lineRule="auto"/>
    </w:pPr>
    <w:rPr>
      <w:rFonts w:eastAsia="Times New Roman"/>
      <w:kern w:val="24"/>
      <w:szCs w:val="24"/>
      <w:lang w:eastAsia="en-AU"/>
    </w:rPr>
  </w:style>
  <w:style w:type="paragraph" w:customStyle="1" w:styleId="Bullet2">
    <w:name w:val="Bullet 2"/>
    <w:basedOn w:val="Bullet1"/>
    <w:rsid w:val="00B71D5F"/>
    <w:pPr>
      <w:numPr>
        <w:numId w:val="6"/>
      </w:numPr>
    </w:pPr>
  </w:style>
  <w:style w:type="character" w:customStyle="1" w:styleId="st1">
    <w:name w:val="st1"/>
    <w:basedOn w:val="DefaultParagraphFont"/>
    <w:rsid w:val="009B025A"/>
  </w:style>
  <w:style w:type="table" w:customStyle="1" w:styleId="TableTGAblue1">
    <w:name w:val="Table TGA blue1"/>
    <w:basedOn w:val="TableNormal"/>
    <w:uiPriority w:val="99"/>
    <w:qFormat/>
    <w:rsid w:val="009B025A"/>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CommentText">
    <w:name w:val="annotation text"/>
    <w:basedOn w:val="Normal"/>
    <w:link w:val="CommentTextChar"/>
    <w:semiHidden/>
    <w:unhideWhenUsed/>
    <w:rsid w:val="00431730"/>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semiHidden/>
    <w:rsid w:val="00431730"/>
    <w:rPr>
      <w:rFonts w:ascii="Cambria" w:eastAsia="MS Mincho" w:hAnsi="Cambria" w:cs="Times New Roman"/>
      <w:sz w:val="20"/>
      <w:szCs w:val="20"/>
      <w:lang w:eastAsia="ja-JP"/>
    </w:rPr>
  </w:style>
  <w:style w:type="character" w:styleId="CommentReference">
    <w:name w:val="annotation reference"/>
    <w:basedOn w:val="DefaultParagraphFont"/>
    <w:semiHidden/>
    <w:unhideWhenUsed/>
    <w:rsid w:val="00431730"/>
    <w:rPr>
      <w:sz w:val="16"/>
      <w:szCs w:val="16"/>
    </w:rPr>
  </w:style>
  <w:style w:type="paragraph" w:customStyle="1" w:styleId="Tabletitle0">
    <w:name w:val="Table title"/>
    <w:basedOn w:val="Normal"/>
    <w:next w:val="Normal"/>
    <w:rsid w:val="003E57C6"/>
    <w:pPr>
      <w:keepNext/>
      <w:spacing w:after="180"/>
      <w:outlineLvl w:val="4"/>
    </w:pPr>
    <w:rPr>
      <w:rFonts w:cstheme="minorBidi"/>
      <w:b/>
    </w:rPr>
  </w:style>
  <w:style w:type="character" w:styleId="Emphasis">
    <w:name w:val="Emphasis"/>
    <w:basedOn w:val="DefaultParagraphFont"/>
    <w:uiPriority w:val="20"/>
    <w:qFormat/>
    <w:rsid w:val="003E57C6"/>
    <w:rPr>
      <w:b/>
      <w:bCs/>
      <w:i w:val="0"/>
      <w:iCs w:val="0"/>
    </w:rPr>
  </w:style>
  <w:style w:type="paragraph" w:styleId="CommentSubject">
    <w:name w:val="annotation subject"/>
    <w:basedOn w:val="CommentText"/>
    <w:next w:val="CommentText"/>
    <w:link w:val="CommentSubjectChar"/>
    <w:uiPriority w:val="99"/>
    <w:semiHidden/>
    <w:unhideWhenUsed/>
    <w:rsid w:val="00E76890"/>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E76890"/>
    <w:rPr>
      <w:rFonts w:ascii="Cambria" w:eastAsia="Cambria" w:hAnsi="Cambria" w:cs="Times New Roman"/>
      <w:b/>
      <w:bCs/>
      <w:sz w:val="20"/>
      <w:szCs w:val="20"/>
      <w:lang w:eastAsia="ja-JP"/>
    </w:rPr>
  </w:style>
  <w:style w:type="paragraph" w:customStyle="1" w:styleId="ListAlpha">
    <w:name w:val="List Alpha"/>
    <w:basedOn w:val="Normal"/>
    <w:rsid w:val="0038124C"/>
    <w:pPr>
      <w:numPr>
        <w:numId w:val="15"/>
      </w:numPr>
      <w:spacing w:before="0" w:after="100" w:line="280" w:lineRule="atLeast"/>
    </w:pPr>
    <w:rPr>
      <w:rFonts w:ascii="Arial" w:eastAsia="SimSun" w:hAnsi="Arial"/>
      <w:szCs w:val="24"/>
      <w:lang w:val="en-US" w:eastAsia="zh-CN"/>
    </w:rPr>
  </w:style>
  <w:style w:type="paragraph" w:customStyle="1" w:styleId="Paragraph">
    <w:name w:val="Paragraph"/>
    <w:basedOn w:val="Normal"/>
    <w:link w:val="ParagraphChar"/>
    <w:rsid w:val="0038124C"/>
    <w:pPr>
      <w:spacing w:before="0" w:after="250" w:line="300" w:lineRule="atLeast"/>
    </w:pPr>
    <w:rPr>
      <w:rFonts w:ascii="Arial" w:eastAsia="SimSun" w:hAnsi="Arial"/>
      <w:szCs w:val="24"/>
      <w:lang w:val="en-US" w:eastAsia="zh-CN"/>
    </w:rPr>
  </w:style>
  <w:style w:type="character" w:customStyle="1" w:styleId="ParagraphChar">
    <w:name w:val="Paragraph Char"/>
    <w:link w:val="Paragraph"/>
    <w:locked/>
    <w:rsid w:val="0038124C"/>
    <w:rPr>
      <w:rFonts w:ascii="Arial" w:eastAsia="SimSun" w:hAnsi="Arial" w:cs="Times New Roman"/>
      <w:szCs w:val="24"/>
      <w:lang w:val="en-US" w:eastAsia="zh-CN"/>
    </w:rPr>
  </w:style>
  <w:style w:type="character" w:customStyle="1" w:styleId="TextBullChar1">
    <w:name w:val="Text:Bull Char1"/>
    <w:link w:val="TextBull"/>
    <w:locked/>
    <w:rsid w:val="00BA4E28"/>
    <w:rPr>
      <w:rFonts w:ascii="Times New Roman" w:eastAsia="Times New Roman" w:hAnsi="Times New Roman"/>
      <w:sz w:val="24"/>
      <w:szCs w:val="24"/>
      <w:lang w:eastAsia="de-DE"/>
    </w:rPr>
  </w:style>
  <w:style w:type="paragraph" w:customStyle="1" w:styleId="TextBull">
    <w:name w:val="Text:Bull"/>
    <w:basedOn w:val="Normal"/>
    <w:link w:val="TextBullChar1"/>
    <w:rsid w:val="00BA4E28"/>
    <w:pPr>
      <w:numPr>
        <w:numId w:val="19"/>
      </w:numPr>
      <w:spacing w:before="0" w:after="0" w:line="280" w:lineRule="atLeast"/>
    </w:pPr>
    <w:rPr>
      <w:rFonts w:ascii="Times New Roman" w:eastAsia="Times New Roman" w:hAnsi="Times New Roman" w:cstheme="minorBidi"/>
      <w:sz w:val="24"/>
      <w:szCs w:val="24"/>
      <w:lang w:eastAsia="de-DE"/>
    </w:rPr>
  </w:style>
  <w:style w:type="paragraph" w:styleId="Revision">
    <w:name w:val="Revision"/>
    <w:hidden/>
    <w:uiPriority w:val="99"/>
    <w:semiHidden/>
    <w:rsid w:val="00012483"/>
    <w:pPr>
      <w:spacing w:after="0" w:line="240" w:lineRule="auto"/>
    </w:pPr>
    <w:rPr>
      <w:rFonts w:ascii="Cambria" w:eastAsia="Cambria" w:hAnsi="Cambria" w:cs="Times New Roman"/>
    </w:rPr>
  </w:style>
  <w:style w:type="paragraph" w:styleId="Bibliography">
    <w:name w:val="Bibliography"/>
    <w:basedOn w:val="Normal"/>
    <w:next w:val="Normal"/>
    <w:uiPriority w:val="37"/>
    <w:semiHidden/>
    <w:unhideWhenUsed/>
    <w:rsid w:val="005332D9"/>
  </w:style>
  <w:style w:type="paragraph" w:styleId="BlockText">
    <w:name w:val="Block Text"/>
    <w:basedOn w:val="Normal"/>
    <w:uiPriority w:val="99"/>
    <w:semiHidden/>
    <w:unhideWhenUsed/>
    <w:rsid w:val="005332D9"/>
    <w:pPr>
      <w:pBdr>
        <w:top w:val="single" w:sz="2" w:space="10" w:color="002C47" w:themeColor="accent1"/>
        <w:left w:val="single" w:sz="2" w:space="10" w:color="002C47" w:themeColor="accent1"/>
        <w:bottom w:val="single" w:sz="2" w:space="10" w:color="002C47" w:themeColor="accent1"/>
        <w:right w:val="single" w:sz="2" w:space="10" w:color="002C47" w:themeColor="accent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5332D9"/>
  </w:style>
  <w:style w:type="character" w:customStyle="1" w:styleId="BodyTextChar">
    <w:name w:val="Body Text Char"/>
    <w:basedOn w:val="DefaultParagraphFont"/>
    <w:link w:val="BodyText"/>
    <w:uiPriority w:val="99"/>
    <w:semiHidden/>
    <w:rsid w:val="005332D9"/>
    <w:rPr>
      <w:rFonts w:ascii="Cambria" w:eastAsia="Cambria" w:hAnsi="Cambria" w:cs="Times New Roman"/>
    </w:rPr>
  </w:style>
  <w:style w:type="paragraph" w:styleId="BodyText2">
    <w:name w:val="Body Text 2"/>
    <w:basedOn w:val="Normal"/>
    <w:link w:val="BodyText2Char"/>
    <w:uiPriority w:val="99"/>
    <w:semiHidden/>
    <w:unhideWhenUsed/>
    <w:rsid w:val="005332D9"/>
    <w:pPr>
      <w:spacing w:line="480" w:lineRule="auto"/>
    </w:pPr>
  </w:style>
  <w:style w:type="character" w:customStyle="1" w:styleId="BodyText2Char">
    <w:name w:val="Body Text 2 Char"/>
    <w:basedOn w:val="DefaultParagraphFont"/>
    <w:link w:val="BodyText2"/>
    <w:uiPriority w:val="99"/>
    <w:semiHidden/>
    <w:rsid w:val="005332D9"/>
    <w:rPr>
      <w:rFonts w:ascii="Cambria" w:eastAsia="Cambria" w:hAnsi="Cambria" w:cs="Times New Roman"/>
    </w:rPr>
  </w:style>
  <w:style w:type="paragraph" w:styleId="BodyText3">
    <w:name w:val="Body Text 3"/>
    <w:basedOn w:val="Normal"/>
    <w:link w:val="BodyText3Char"/>
    <w:uiPriority w:val="99"/>
    <w:semiHidden/>
    <w:unhideWhenUsed/>
    <w:rsid w:val="005332D9"/>
    <w:rPr>
      <w:sz w:val="16"/>
      <w:szCs w:val="16"/>
    </w:rPr>
  </w:style>
  <w:style w:type="character" w:customStyle="1" w:styleId="BodyText3Char">
    <w:name w:val="Body Text 3 Char"/>
    <w:basedOn w:val="DefaultParagraphFont"/>
    <w:link w:val="BodyText3"/>
    <w:uiPriority w:val="99"/>
    <w:semiHidden/>
    <w:rsid w:val="005332D9"/>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5332D9"/>
    <w:pPr>
      <w:ind w:firstLine="360"/>
    </w:pPr>
  </w:style>
  <w:style w:type="character" w:customStyle="1" w:styleId="BodyTextFirstIndentChar">
    <w:name w:val="Body Text First Indent Char"/>
    <w:basedOn w:val="BodyTextChar"/>
    <w:link w:val="BodyTextFirstIndent"/>
    <w:uiPriority w:val="99"/>
    <w:semiHidden/>
    <w:rsid w:val="005332D9"/>
    <w:rPr>
      <w:rFonts w:ascii="Cambria" w:eastAsia="Cambria" w:hAnsi="Cambria" w:cs="Times New Roman"/>
    </w:rPr>
  </w:style>
  <w:style w:type="paragraph" w:styleId="BodyTextIndent">
    <w:name w:val="Body Text Indent"/>
    <w:basedOn w:val="Normal"/>
    <w:link w:val="BodyTextIndentChar"/>
    <w:uiPriority w:val="99"/>
    <w:semiHidden/>
    <w:unhideWhenUsed/>
    <w:rsid w:val="005332D9"/>
    <w:pPr>
      <w:ind w:left="283"/>
    </w:pPr>
  </w:style>
  <w:style w:type="character" w:customStyle="1" w:styleId="BodyTextIndentChar">
    <w:name w:val="Body Text Indent Char"/>
    <w:basedOn w:val="DefaultParagraphFont"/>
    <w:link w:val="BodyTextIndent"/>
    <w:uiPriority w:val="99"/>
    <w:semiHidden/>
    <w:rsid w:val="005332D9"/>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5332D9"/>
    <w:pPr>
      <w:ind w:left="360" w:firstLine="360"/>
    </w:pPr>
  </w:style>
  <w:style w:type="character" w:customStyle="1" w:styleId="BodyTextFirstIndent2Char">
    <w:name w:val="Body Text First Indent 2 Char"/>
    <w:basedOn w:val="BodyTextIndentChar"/>
    <w:link w:val="BodyTextFirstIndent2"/>
    <w:uiPriority w:val="99"/>
    <w:semiHidden/>
    <w:rsid w:val="005332D9"/>
    <w:rPr>
      <w:rFonts w:ascii="Cambria" w:eastAsia="Cambria" w:hAnsi="Cambria" w:cs="Times New Roman"/>
    </w:rPr>
  </w:style>
  <w:style w:type="paragraph" w:styleId="BodyTextIndent2">
    <w:name w:val="Body Text Indent 2"/>
    <w:basedOn w:val="Normal"/>
    <w:link w:val="BodyTextIndent2Char"/>
    <w:uiPriority w:val="99"/>
    <w:semiHidden/>
    <w:unhideWhenUsed/>
    <w:rsid w:val="005332D9"/>
    <w:pPr>
      <w:spacing w:line="480" w:lineRule="auto"/>
      <w:ind w:left="283"/>
    </w:pPr>
  </w:style>
  <w:style w:type="character" w:customStyle="1" w:styleId="BodyTextIndent2Char">
    <w:name w:val="Body Text Indent 2 Char"/>
    <w:basedOn w:val="DefaultParagraphFont"/>
    <w:link w:val="BodyTextIndent2"/>
    <w:uiPriority w:val="99"/>
    <w:semiHidden/>
    <w:rsid w:val="005332D9"/>
    <w:rPr>
      <w:rFonts w:ascii="Cambria" w:eastAsia="Cambria" w:hAnsi="Cambria" w:cs="Times New Roman"/>
    </w:rPr>
  </w:style>
  <w:style w:type="paragraph" w:styleId="BodyTextIndent3">
    <w:name w:val="Body Text Indent 3"/>
    <w:basedOn w:val="Normal"/>
    <w:link w:val="BodyTextIndent3Char"/>
    <w:uiPriority w:val="99"/>
    <w:semiHidden/>
    <w:unhideWhenUsed/>
    <w:rsid w:val="005332D9"/>
    <w:pPr>
      <w:ind w:left="283"/>
    </w:pPr>
    <w:rPr>
      <w:sz w:val="16"/>
      <w:szCs w:val="16"/>
    </w:rPr>
  </w:style>
  <w:style w:type="character" w:customStyle="1" w:styleId="BodyTextIndent3Char">
    <w:name w:val="Body Text Indent 3 Char"/>
    <w:basedOn w:val="DefaultParagraphFont"/>
    <w:link w:val="BodyTextIndent3"/>
    <w:uiPriority w:val="99"/>
    <w:semiHidden/>
    <w:rsid w:val="005332D9"/>
    <w:rPr>
      <w:rFonts w:ascii="Cambria" w:eastAsia="Cambria" w:hAnsi="Cambria" w:cs="Times New Roman"/>
      <w:sz w:val="16"/>
      <w:szCs w:val="16"/>
    </w:rPr>
  </w:style>
  <w:style w:type="paragraph" w:styleId="Closing">
    <w:name w:val="Closing"/>
    <w:basedOn w:val="Normal"/>
    <w:link w:val="ClosingChar"/>
    <w:uiPriority w:val="99"/>
    <w:semiHidden/>
    <w:unhideWhenUsed/>
    <w:rsid w:val="005332D9"/>
    <w:pPr>
      <w:spacing w:before="0" w:after="0" w:line="240" w:lineRule="auto"/>
      <w:ind w:left="4252"/>
    </w:pPr>
  </w:style>
  <w:style w:type="character" w:customStyle="1" w:styleId="ClosingChar">
    <w:name w:val="Closing Char"/>
    <w:basedOn w:val="DefaultParagraphFont"/>
    <w:link w:val="Closing"/>
    <w:uiPriority w:val="99"/>
    <w:semiHidden/>
    <w:rsid w:val="005332D9"/>
    <w:rPr>
      <w:rFonts w:ascii="Cambria" w:eastAsia="Cambria" w:hAnsi="Cambria" w:cs="Times New Roman"/>
    </w:rPr>
  </w:style>
  <w:style w:type="paragraph" w:styleId="DocumentMap">
    <w:name w:val="Document Map"/>
    <w:basedOn w:val="Normal"/>
    <w:link w:val="DocumentMapChar"/>
    <w:uiPriority w:val="99"/>
    <w:semiHidden/>
    <w:unhideWhenUsed/>
    <w:rsid w:val="005332D9"/>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332D9"/>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5332D9"/>
    <w:pPr>
      <w:spacing w:before="0" w:after="0" w:line="240" w:lineRule="auto"/>
    </w:pPr>
  </w:style>
  <w:style w:type="character" w:customStyle="1" w:styleId="E-mailSignatureChar">
    <w:name w:val="E-mail Signature Char"/>
    <w:basedOn w:val="DefaultParagraphFont"/>
    <w:link w:val="E-mailSignature"/>
    <w:uiPriority w:val="99"/>
    <w:semiHidden/>
    <w:rsid w:val="005332D9"/>
    <w:rPr>
      <w:rFonts w:ascii="Cambria" w:eastAsia="Cambria" w:hAnsi="Cambria" w:cs="Times New Roman"/>
    </w:rPr>
  </w:style>
  <w:style w:type="paragraph" w:styleId="EnvelopeAddress">
    <w:name w:val="envelope address"/>
    <w:basedOn w:val="Normal"/>
    <w:uiPriority w:val="99"/>
    <w:semiHidden/>
    <w:unhideWhenUsed/>
    <w:rsid w:val="005332D9"/>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332D9"/>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5332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32D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5332D9"/>
    <w:pPr>
      <w:spacing w:before="0" w:after="0" w:line="240" w:lineRule="auto"/>
    </w:pPr>
    <w:rPr>
      <w:i/>
      <w:iCs/>
    </w:rPr>
  </w:style>
  <w:style w:type="character" w:customStyle="1" w:styleId="HTMLAddressChar">
    <w:name w:val="HTML Address Char"/>
    <w:basedOn w:val="DefaultParagraphFont"/>
    <w:link w:val="HTMLAddress"/>
    <w:uiPriority w:val="99"/>
    <w:semiHidden/>
    <w:rsid w:val="005332D9"/>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5332D9"/>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332D9"/>
    <w:rPr>
      <w:rFonts w:ascii="Consolas" w:eastAsia="Cambria" w:hAnsi="Consolas" w:cs="Consolas"/>
      <w:sz w:val="20"/>
      <w:szCs w:val="20"/>
    </w:rPr>
  </w:style>
  <w:style w:type="paragraph" w:styleId="Index1">
    <w:name w:val="index 1"/>
    <w:basedOn w:val="Normal"/>
    <w:next w:val="Normal"/>
    <w:autoRedefine/>
    <w:uiPriority w:val="99"/>
    <w:semiHidden/>
    <w:unhideWhenUsed/>
    <w:rsid w:val="005332D9"/>
    <w:pPr>
      <w:spacing w:before="0" w:after="0" w:line="240" w:lineRule="auto"/>
      <w:ind w:left="220" w:hanging="220"/>
    </w:pPr>
  </w:style>
  <w:style w:type="paragraph" w:styleId="Index2">
    <w:name w:val="index 2"/>
    <w:basedOn w:val="Normal"/>
    <w:next w:val="Normal"/>
    <w:autoRedefine/>
    <w:uiPriority w:val="99"/>
    <w:semiHidden/>
    <w:unhideWhenUsed/>
    <w:rsid w:val="005332D9"/>
    <w:pPr>
      <w:spacing w:before="0" w:after="0" w:line="240" w:lineRule="auto"/>
      <w:ind w:left="440" w:hanging="220"/>
    </w:pPr>
  </w:style>
  <w:style w:type="paragraph" w:styleId="Index3">
    <w:name w:val="index 3"/>
    <w:basedOn w:val="Normal"/>
    <w:next w:val="Normal"/>
    <w:autoRedefine/>
    <w:uiPriority w:val="99"/>
    <w:semiHidden/>
    <w:unhideWhenUsed/>
    <w:rsid w:val="005332D9"/>
    <w:pPr>
      <w:spacing w:before="0" w:after="0" w:line="240" w:lineRule="auto"/>
      <w:ind w:left="660" w:hanging="220"/>
    </w:pPr>
  </w:style>
  <w:style w:type="paragraph" w:styleId="Index4">
    <w:name w:val="index 4"/>
    <w:basedOn w:val="Normal"/>
    <w:next w:val="Normal"/>
    <w:autoRedefine/>
    <w:uiPriority w:val="99"/>
    <w:semiHidden/>
    <w:unhideWhenUsed/>
    <w:rsid w:val="005332D9"/>
    <w:pPr>
      <w:spacing w:before="0" w:after="0" w:line="240" w:lineRule="auto"/>
      <w:ind w:left="880" w:hanging="220"/>
    </w:pPr>
  </w:style>
  <w:style w:type="paragraph" w:styleId="Index5">
    <w:name w:val="index 5"/>
    <w:basedOn w:val="Normal"/>
    <w:next w:val="Normal"/>
    <w:autoRedefine/>
    <w:uiPriority w:val="99"/>
    <w:semiHidden/>
    <w:unhideWhenUsed/>
    <w:rsid w:val="005332D9"/>
    <w:pPr>
      <w:spacing w:before="0" w:after="0" w:line="240" w:lineRule="auto"/>
      <w:ind w:left="1100" w:hanging="220"/>
    </w:pPr>
  </w:style>
  <w:style w:type="paragraph" w:styleId="Index6">
    <w:name w:val="index 6"/>
    <w:basedOn w:val="Normal"/>
    <w:next w:val="Normal"/>
    <w:autoRedefine/>
    <w:uiPriority w:val="99"/>
    <w:semiHidden/>
    <w:unhideWhenUsed/>
    <w:rsid w:val="005332D9"/>
    <w:pPr>
      <w:spacing w:before="0" w:after="0" w:line="240" w:lineRule="auto"/>
      <w:ind w:left="1320" w:hanging="220"/>
    </w:pPr>
  </w:style>
  <w:style w:type="paragraph" w:styleId="Index7">
    <w:name w:val="index 7"/>
    <w:basedOn w:val="Normal"/>
    <w:next w:val="Normal"/>
    <w:autoRedefine/>
    <w:uiPriority w:val="99"/>
    <w:semiHidden/>
    <w:unhideWhenUsed/>
    <w:rsid w:val="005332D9"/>
    <w:pPr>
      <w:spacing w:before="0" w:after="0" w:line="240" w:lineRule="auto"/>
      <w:ind w:left="1540" w:hanging="220"/>
    </w:pPr>
  </w:style>
  <w:style w:type="paragraph" w:styleId="Index8">
    <w:name w:val="index 8"/>
    <w:basedOn w:val="Normal"/>
    <w:next w:val="Normal"/>
    <w:autoRedefine/>
    <w:uiPriority w:val="99"/>
    <w:semiHidden/>
    <w:unhideWhenUsed/>
    <w:rsid w:val="005332D9"/>
    <w:pPr>
      <w:spacing w:before="0" w:after="0" w:line="240" w:lineRule="auto"/>
      <w:ind w:left="1760" w:hanging="220"/>
    </w:pPr>
  </w:style>
  <w:style w:type="paragraph" w:styleId="Index9">
    <w:name w:val="index 9"/>
    <w:basedOn w:val="Normal"/>
    <w:next w:val="Normal"/>
    <w:autoRedefine/>
    <w:uiPriority w:val="99"/>
    <w:semiHidden/>
    <w:unhideWhenUsed/>
    <w:rsid w:val="005332D9"/>
    <w:pPr>
      <w:spacing w:before="0" w:after="0" w:line="240" w:lineRule="auto"/>
      <w:ind w:left="1980" w:hanging="220"/>
    </w:pPr>
  </w:style>
  <w:style w:type="paragraph" w:styleId="IndexHeading">
    <w:name w:val="index heading"/>
    <w:basedOn w:val="Normal"/>
    <w:next w:val="Index1"/>
    <w:uiPriority w:val="99"/>
    <w:semiHidden/>
    <w:unhideWhenUsed/>
    <w:rsid w:val="005332D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5332D9"/>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5332D9"/>
    <w:rPr>
      <w:rFonts w:ascii="Cambria" w:eastAsia="Cambria" w:hAnsi="Cambria" w:cs="Times New Roman"/>
      <w:b/>
      <w:bCs/>
      <w:i/>
      <w:iCs/>
      <w:color w:val="002C47" w:themeColor="accent1"/>
    </w:rPr>
  </w:style>
  <w:style w:type="paragraph" w:styleId="List">
    <w:name w:val="List"/>
    <w:basedOn w:val="Normal"/>
    <w:uiPriority w:val="99"/>
    <w:semiHidden/>
    <w:unhideWhenUsed/>
    <w:rsid w:val="005332D9"/>
    <w:pPr>
      <w:ind w:left="283" w:hanging="283"/>
      <w:contextualSpacing/>
    </w:pPr>
  </w:style>
  <w:style w:type="paragraph" w:styleId="List2">
    <w:name w:val="List 2"/>
    <w:basedOn w:val="Normal"/>
    <w:uiPriority w:val="99"/>
    <w:semiHidden/>
    <w:unhideWhenUsed/>
    <w:rsid w:val="005332D9"/>
    <w:pPr>
      <w:ind w:left="566" w:hanging="283"/>
      <w:contextualSpacing/>
    </w:pPr>
  </w:style>
  <w:style w:type="paragraph" w:styleId="List3">
    <w:name w:val="List 3"/>
    <w:basedOn w:val="Normal"/>
    <w:uiPriority w:val="99"/>
    <w:semiHidden/>
    <w:unhideWhenUsed/>
    <w:rsid w:val="005332D9"/>
    <w:pPr>
      <w:ind w:left="849" w:hanging="283"/>
      <w:contextualSpacing/>
    </w:pPr>
  </w:style>
  <w:style w:type="paragraph" w:styleId="List4">
    <w:name w:val="List 4"/>
    <w:basedOn w:val="Normal"/>
    <w:uiPriority w:val="99"/>
    <w:semiHidden/>
    <w:unhideWhenUsed/>
    <w:rsid w:val="005332D9"/>
    <w:pPr>
      <w:ind w:left="1132" w:hanging="283"/>
      <w:contextualSpacing/>
    </w:pPr>
  </w:style>
  <w:style w:type="paragraph" w:styleId="List5">
    <w:name w:val="List 5"/>
    <w:basedOn w:val="Normal"/>
    <w:uiPriority w:val="99"/>
    <w:semiHidden/>
    <w:unhideWhenUsed/>
    <w:rsid w:val="005332D9"/>
    <w:pPr>
      <w:ind w:left="1415" w:hanging="283"/>
      <w:contextualSpacing/>
    </w:pPr>
  </w:style>
  <w:style w:type="paragraph" w:styleId="ListBullet4">
    <w:name w:val="List Bullet 4"/>
    <w:basedOn w:val="Normal"/>
    <w:uiPriority w:val="99"/>
    <w:semiHidden/>
    <w:unhideWhenUsed/>
    <w:rsid w:val="005332D9"/>
    <w:pPr>
      <w:numPr>
        <w:numId w:val="20"/>
      </w:numPr>
      <w:contextualSpacing/>
    </w:pPr>
  </w:style>
  <w:style w:type="paragraph" w:styleId="ListBullet5">
    <w:name w:val="List Bullet 5"/>
    <w:basedOn w:val="Normal"/>
    <w:uiPriority w:val="99"/>
    <w:semiHidden/>
    <w:unhideWhenUsed/>
    <w:rsid w:val="005332D9"/>
    <w:pPr>
      <w:numPr>
        <w:numId w:val="21"/>
      </w:numPr>
      <w:contextualSpacing/>
    </w:pPr>
  </w:style>
  <w:style w:type="paragraph" w:styleId="ListContinue">
    <w:name w:val="List Continue"/>
    <w:basedOn w:val="Normal"/>
    <w:uiPriority w:val="99"/>
    <w:semiHidden/>
    <w:unhideWhenUsed/>
    <w:rsid w:val="005332D9"/>
    <w:pPr>
      <w:ind w:left="283"/>
      <w:contextualSpacing/>
    </w:pPr>
  </w:style>
  <w:style w:type="paragraph" w:styleId="ListContinue2">
    <w:name w:val="List Continue 2"/>
    <w:basedOn w:val="Normal"/>
    <w:uiPriority w:val="99"/>
    <w:semiHidden/>
    <w:unhideWhenUsed/>
    <w:rsid w:val="005332D9"/>
    <w:pPr>
      <w:ind w:left="566"/>
      <w:contextualSpacing/>
    </w:pPr>
  </w:style>
  <w:style w:type="paragraph" w:styleId="ListContinue3">
    <w:name w:val="List Continue 3"/>
    <w:basedOn w:val="Normal"/>
    <w:uiPriority w:val="99"/>
    <w:semiHidden/>
    <w:unhideWhenUsed/>
    <w:rsid w:val="005332D9"/>
    <w:pPr>
      <w:ind w:left="849"/>
      <w:contextualSpacing/>
    </w:pPr>
  </w:style>
  <w:style w:type="paragraph" w:styleId="ListContinue4">
    <w:name w:val="List Continue 4"/>
    <w:basedOn w:val="Normal"/>
    <w:uiPriority w:val="99"/>
    <w:semiHidden/>
    <w:unhideWhenUsed/>
    <w:rsid w:val="005332D9"/>
    <w:pPr>
      <w:ind w:left="1132"/>
      <w:contextualSpacing/>
    </w:pPr>
  </w:style>
  <w:style w:type="paragraph" w:styleId="ListContinue5">
    <w:name w:val="List Continue 5"/>
    <w:basedOn w:val="Normal"/>
    <w:uiPriority w:val="99"/>
    <w:semiHidden/>
    <w:unhideWhenUsed/>
    <w:rsid w:val="005332D9"/>
    <w:pPr>
      <w:ind w:left="1415"/>
      <w:contextualSpacing/>
    </w:pPr>
  </w:style>
  <w:style w:type="paragraph" w:styleId="ListNumber">
    <w:name w:val="List Number"/>
    <w:basedOn w:val="Normal"/>
    <w:uiPriority w:val="99"/>
    <w:semiHidden/>
    <w:unhideWhenUsed/>
    <w:rsid w:val="005332D9"/>
    <w:pPr>
      <w:numPr>
        <w:numId w:val="22"/>
      </w:numPr>
      <w:contextualSpacing/>
    </w:pPr>
  </w:style>
  <w:style w:type="paragraph" w:styleId="ListNumber2">
    <w:name w:val="List Number 2"/>
    <w:basedOn w:val="Normal"/>
    <w:uiPriority w:val="99"/>
    <w:semiHidden/>
    <w:unhideWhenUsed/>
    <w:rsid w:val="005332D9"/>
    <w:pPr>
      <w:numPr>
        <w:numId w:val="23"/>
      </w:numPr>
      <w:contextualSpacing/>
    </w:pPr>
  </w:style>
  <w:style w:type="paragraph" w:styleId="ListNumber3">
    <w:name w:val="List Number 3"/>
    <w:basedOn w:val="Normal"/>
    <w:uiPriority w:val="99"/>
    <w:semiHidden/>
    <w:unhideWhenUsed/>
    <w:rsid w:val="005332D9"/>
    <w:pPr>
      <w:numPr>
        <w:numId w:val="24"/>
      </w:numPr>
      <w:contextualSpacing/>
    </w:pPr>
  </w:style>
  <w:style w:type="paragraph" w:styleId="ListNumber4">
    <w:name w:val="List Number 4"/>
    <w:basedOn w:val="Normal"/>
    <w:uiPriority w:val="99"/>
    <w:semiHidden/>
    <w:unhideWhenUsed/>
    <w:rsid w:val="005332D9"/>
    <w:pPr>
      <w:numPr>
        <w:numId w:val="25"/>
      </w:numPr>
      <w:contextualSpacing/>
    </w:pPr>
  </w:style>
  <w:style w:type="paragraph" w:styleId="ListNumber5">
    <w:name w:val="List Number 5"/>
    <w:basedOn w:val="Normal"/>
    <w:uiPriority w:val="99"/>
    <w:semiHidden/>
    <w:unhideWhenUsed/>
    <w:rsid w:val="005332D9"/>
    <w:pPr>
      <w:numPr>
        <w:numId w:val="26"/>
      </w:numPr>
      <w:contextualSpacing/>
    </w:pPr>
  </w:style>
  <w:style w:type="paragraph" w:styleId="MacroText">
    <w:name w:val="macro"/>
    <w:link w:val="MacroTextChar"/>
    <w:uiPriority w:val="99"/>
    <w:semiHidden/>
    <w:unhideWhenUsed/>
    <w:rsid w:val="005332D9"/>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5332D9"/>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5332D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332D9"/>
    <w:rPr>
      <w:rFonts w:asciiTheme="majorHAnsi" w:eastAsiaTheme="majorEastAsia" w:hAnsiTheme="majorHAnsi" w:cstheme="majorBidi"/>
      <w:sz w:val="24"/>
      <w:szCs w:val="24"/>
      <w:shd w:val="pct20" w:color="auto" w:fill="auto"/>
    </w:rPr>
  </w:style>
  <w:style w:type="paragraph" w:styleId="NoSpacing">
    <w:name w:val="No Spacing"/>
    <w:uiPriority w:val="1"/>
    <w:rsid w:val="005332D9"/>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5332D9"/>
    <w:rPr>
      <w:rFonts w:ascii="Times New Roman" w:hAnsi="Times New Roman"/>
      <w:sz w:val="24"/>
      <w:szCs w:val="24"/>
    </w:rPr>
  </w:style>
  <w:style w:type="paragraph" w:styleId="NormalIndent">
    <w:name w:val="Normal Indent"/>
    <w:basedOn w:val="Normal"/>
    <w:uiPriority w:val="99"/>
    <w:semiHidden/>
    <w:unhideWhenUsed/>
    <w:rsid w:val="005332D9"/>
    <w:pPr>
      <w:ind w:left="720"/>
    </w:pPr>
  </w:style>
  <w:style w:type="paragraph" w:styleId="NoteHeading">
    <w:name w:val="Note Heading"/>
    <w:basedOn w:val="Normal"/>
    <w:next w:val="Normal"/>
    <w:link w:val="NoteHeadingChar"/>
    <w:uiPriority w:val="99"/>
    <w:semiHidden/>
    <w:unhideWhenUsed/>
    <w:rsid w:val="005332D9"/>
    <w:pPr>
      <w:spacing w:before="0" w:after="0" w:line="240" w:lineRule="auto"/>
    </w:pPr>
  </w:style>
  <w:style w:type="character" w:customStyle="1" w:styleId="NoteHeadingChar">
    <w:name w:val="Note Heading Char"/>
    <w:basedOn w:val="DefaultParagraphFont"/>
    <w:link w:val="NoteHeading"/>
    <w:uiPriority w:val="99"/>
    <w:semiHidden/>
    <w:rsid w:val="005332D9"/>
    <w:rPr>
      <w:rFonts w:ascii="Cambria" w:eastAsia="Cambria" w:hAnsi="Cambria" w:cs="Times New Roman"/>
    </w:rPr>
  </w:style>
  <w:style w:type="paragraph" w:styleId="PlainText">
    <w:name w:val="Plain Text"/>
    <w:basedOn w:val="Normal"/>
    <w:link w:val="PlainTextChar"/>
    <w:uiPriority w:val="99"/>
    <w:semiHidden/>
    <w:unhideWhenUsed/>
    <w:rsid w:val="005332D9"/>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5332D9"/>
    <w:rPr>
      <w:rFonts w:ascii="Consolas" w:eastAsia="Cambria" w:hAnsi="Consolas" w:cs="Consolas"/>
      <w:sz w:val="21"/>
      <w:szCs w:val="21"/>
    </w:rPr>
  </w:style>
  <w:style w:type="paragraph" w:styleId="Quote">
    <w:name w:val="Quote"/>
    <w:basedOn w:val="Normal"/>
    <w:next w:val="Normal"/>
    <w:link w:val="QuoteChar"/>
    <w:uiPriority w:val="29"/>
    <w:rsid w:val="005332D9"/>
    <w:rPr>
      <w:i/>
      <w:iCs/>
      <w:color w:val="000000" w:themeColor="text1"/>
    </w:rPr>
  </w:style>
  <w:style w:type="character" w:customStyle="1" w:styleId="QuoteChar">
    <w:name w:val="Quote Char"/>
    <w:basedOn w:val="DefaultParagraphFont"/>
    <w:link w:val="Quote"/>
    <w:uiPriority w:val="29"/>
    <w:rsid w:val="005332D9"/>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5332D9"/>
  </w:style>
  <w:style w:type="character" w:customStyle="1" w:styleId="SalutationChar">
    <w:name w:val="Salutation Char"/>
    <w:basedOn w:val="DefaultParagraphFont"/>
    <w:link w:val="Salutation"/>
    <w:uiPriority w:val="99"/>
    <w:semiHidden/>
    <w:rsid w:val="005332D9"/>
    <w:rPr>
      <w:rFonts w:ascii="Cambria" w:eastAsia="Cambria" w:hAnsi="Cambria" w:cs="Times New Roman"/>
    </w:rPr>
  </w:style>
  <w:style w:type="paragraph" w:styleId="Signature">
    <w:name w:val="Signature"/>
    <w:basedOn w:val="Normal"/>
    <w:link w:val="SignatureChar"/>
    <w:uiPriority w:val="99"/>
    <w:semiHidden/>
    <w:unhideWhenUsed/>
    <w:rsid w:val="005332D9"/>
    <w:pPr>
      <w:spacing w:before="0" w:after="0" w:line="240" w:lineRule="auto"/>
      <w:ind w:left="4252"/>
    </w:pPr>
  </w:style>
  <w:style w:type="character" w:customStyle="1" w:styleId="SignatureChar">
    <w:name w:val="Signature Char"/>
    <w:basedOn w:val="DefaultParagraphFont"/>
    <w:link w:val="Signature"/>
    <w:uiPriority w:val="99"/>
    <w:semiHidden/>
    <w:rsid w:val="005332D9"/>
    <w:rPr>
      <w:rFonts w:ascii="Cambria" w:eastAsia="Cambria" w:hAnsi="Cambria" w:cs="Times New Roman"/>
    </w:rPr>
  </w:style>
  <w:style w:type="paragraph" w:styleId="TableofAuthorities">
    <w:name w:val="table of authorities"/>
    <w:basedOn w:val="Normal"/>
    <w:next w:val="Normal"/>
    <w:uiPriority w:val="99"/>
    <w:semiHidden/>
    <w:unhideWhenUsed/>
    <w:rsid w:val="005332D9"/>
    <w:pPr>
      <w:spacing w:after="0"/>
      <w:ind w:left="220" w:hanging="220"/>
    </w:pPr>
  </w:style>
  <w:style w:type="paragraph" w:styleId="TableofFigures">
    <w:name w:val="table of figures"/>
    <w:basedOn w:val="Normal"/>
    <w:next w:val="Normal"/>
    <w:uiPriority w:val="99"/>
    <w:semiHidden/>
    <w:unhideWhenUsed/>
    <w:rsid w:val="005332D9"/>
    <w:pPr>
      <w:spacing w:after="0"/>
    </w:pPr>
  </w:style>
  <w:style w:type="paragraph" w:styleId="TOAHeading">
    <w:name w:val="toa heading"/>
    <w:basedOn w:val="Normal"/>
    <w:next w:val="Normal"/>
    <w:uiPriority w:val="99"/>
    <w:semiHidden/>
    <w:unhideWhenUsed/>
    <w:rsid w:val="005332D9"/>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5332D9"/>
    <w:pPr>
      <w:spacing w:after="100"/>
      <w:ind w:left="660"/>
    </w:pPr>
  </w:style>
  <w:style w:type="paragraph" w:styleId="TOC5">
    <w:name w:val="toc 5"/>
    <w:basedOn w:val="Normal"/>
    <w:next w:val="Normal"/>
    <w:autoRedefine/>
    <w:uiPriority w:val="39"/>
    <w:semiHidden/>
    <w:unhideWhenUsed/>
    <w:rsid w:val="005332D9"/>
    <w:pPr>
      <w:spacing w:after="100"/>
      <w:ind w:left="880"/>
    </w:pPr>
  </w:style>
  <w:style w:type="paragraph" w:styleId="TOC6">
    <w:name w:val="toc 6"/>
    <w:basedOn w:val="Normal"/>
    <w:next w:val="Normal"/>
    <w:autoRedefine/>
    <w:uiPriority w:val="39"/>
    <w:semiHidden/>
    <w:unhideWhenUsed/>
    <w:rsid w:val="005332D9"/>
    <w:pPr>
      <w:spacing w:after="100"/>
      <w:ind w:left="1100"/>
    </w:pPr>
  </w:style>
  <w:style w:type="paragraph" w:styleId="TOC7">
    <w:name w:val="toc 7"/>
    <w:basedOn w:val="Normal"/>
    <w:next w:val="Normal"/>
    <w:autoRedefine/>
    <w:uiPriority w:val="39"/>
    <w:semiHidden/>
    <w:unhideWhenUsed/>
    <w:rsid w:val="005332D9"/>
    <w:pPr>
      <w:spacing w:after="100"/>
      <w:ind w:left="1320"/>
    </w:pPr>
  </w:style>
  <w:style w:type="paragraph" w:styleId="TOC8">
    <w:name w:val="toc 8"/>
    <w:basedOn w:val="Normal"/>
    <w:next w:val="Normal"/>
    <w:autoRedefine/>
    <w:uiPriority w:val="39"/>
    <w:semiHidden/>
    <w:unhideWhenUsed/>
    <w:rsid w:val="005332D9"/>
    <w:pPr>
      <w:spacing w:after="100"/>
      <w:ind w:left="1540"/>
    </w:pPr>
  </w:style>
  <w:style w:type="paragraph" w:styleId="TOC9">
    <w:name w:val="toc 9"/>
    <w:basedOn w:val="Normal"/>
    <w:next w:val="Normal"/>
    <w:autoRedefine/>
    <w:uiPriority w:val="39"/>
    <w:semiHidden/>
    <w:unhideWhenUsed/>
    <w:rsid w:val="005332D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61284">
      <w:bodyDiv w:val="1"/>
      <w:marLeft w:val="0"/>
      <w:marRight w:val="0"/>
      <w:marTop w:val="0"/>
      <w:marBottom w:val="0"/>
      <w:divBdr>
        <w:top w:val="none" w:sz="0" w:space="0" w:color="auto"/>
        <w:left w:val="none" w:sz="0" w:space="0" w:color="auto"/>
        <w:bottom w:val="none" w:sz="0" w:space="0" w:color="auto"/>
        <w:right w:val="none" w:sz="0" w:space="0" w:color="auto"/>
      </w:divBdr>
    </w:div>
    <w:div w:id="151339796">
      <w:bodyDiv w:val="1"/>
      <w:marLeft w:val="0"/>
      <w:marRight w:val="0"/>
      <w:marTop w:val="0"/>
      <w:marBottom w:val="0"/>
      <w:divBdr>
        <w:top w:val="none" w:sz="0" w:space="0" w:color="auto"/>
        <w:left w:val="none" w:sz="0" w:space="0" w:color="auto"/>
        <w:bottom w:val="none" w:sz="0" w:space="0" w:color="auto"/>
        <w:right w:val="none" w:sz="0" w:space="0" w:color="auto"/>
      </w:divBdr>
    </w:div>
    <w:div w:id="226232973">
      <w:bodyDiv w:val="1"/>
      <w:marLeft w:val="0"/>
      <w:marRight w:val="0"/>
      <w:marTop w:val="0"/>
      <w:marBottom w:val="0"/>
      <w:divBdr>
        <w:top w:val="none" w:sz="0" w:space="0" w:color="auto"/>
        <w:left w:val="none" w:sz="0" w:space="0" w:color="auto"/>
        <w:bottom w:val="none" w:sz="0" w:space="0" w:color="auto"/>
        <w:right w:val="none" w:sz="0" w:space="0" w:color="auto"/>
      </w:divBdr>
    </w:div>
    <w:div w:id="264189188">
      <w:bodyDiv w:val="1"/>
      <w:marLeft w:val="0"/>
      <w:marRight w:val="0"/>
      <w:marTop w:val="0"/>
      <w:marBottom w:val="0"/>
      <w:divBdr>
        <w:top w:val="none" w:sz="0" w:space="0" w:color="auto"/>
        <w:left w:val="none" w:sz="0" w:space="0" w:color="auto"/>
        <w:bottom w:val="none" w:sz="0" w:space="0" w:color="auto"/>
        <w:right w:val="none" w:sz="0" w:space="0" w:color="auto"/>
      </w:divBdr>
    </w:div>
    <w:div w:id="350257107">
      <w:bodyDiv w:val="1"/>
      <w:marLeft w:val="0"/>
      <w:marRight w:val="0"/>
      <w:marTop w:val="0"/>
      <w:marBottom w:val="0"/>
      <w:divBdr>
        <w:top w:val="none" w:sz="0" w:space="0" w:color="auto"/>
        <w:left w:val="none" w:sz="0" w:space="0" w:color="auto"/>
        <w:bottom w:val="none" w:sz="0" w:space="0" w:color="auto"/>
        <w:right w:val="none" w:sz="0" w:space="0" w:color="auto"/>
      </w:divBdr>
    </w:div>
    <w:div w:id="375350551">
      <w:bodyDiv w:val="1"/>
      <w:marLeft w:val="0"/>
      <w:marRight w:val="0"/>
      <w:marTop w:val="0"/>
      <w:marBottom w:val="0"/>
      <w:divBdr>
        <w:top w:val="none" w:sz="0" w:space="0" w:color="auto"/>
        <w:left w:val="none" w:sz="0" w:space="0" w:color="auto"/>
        <w:bottom w:val="none" w:sz="0" w:space="0" w:color="auto"/>
        <w:right w:val="none" w:sz="0" w:space="0" w:color="auto"/>
      </w:divBdr>
    </w:div>
    <w:div w:id="388580703">
      <w:bodyDiv w:val="1"/>
      <w:marLeft w:val="0"/>
      <w:marRight w:val="0"/>
      <w:marTop w:val="0"/>
      <w:marBottom w:val="0"/>
      <w:divBdr>
        <w:top w:val="none" w:sz="0" w:space="0" w:color="auto"/>
        <w:left w:val="none" w:sz="0" w:space="0" w:color="auto"/>
        <w:bottom w:val="none" w:sz="0" w:space="0" w:color="auto"/>
        <w:right w:val="none" w:sz="0" w:space="0" w:color="auto"/>
      </w:divBdr>
    </w:div>
    <w:div w:id="393624286">
      <w:bodyDiv w:val="1"/>
      <w:marLeft w:val="0"/>
      <w:marRight w:val="0"/>
      <w:marTop w:val="0"/>
      <w:marBottom w:val="0"/>
      <w:divBdr>
        <w:top w:val="none" w:sz="0" w:space="0" w:color="auto"/>
        <w:left w:val="none" w:sz="0" w:space="0" w:color="auto"/>
        <w:bottom w:val="none" w:sz="0" w:space="0" w:color="auto"/>
        <w:right w:val="none" w:sz="0" w:space="0" w:color="auto"/>
      </w:divBdr>
    </w:div>
    <w:div w:id="441068626">
      <w:bodyDiv w:val="1"/>
      <w:marLeft w:val="0"/>
      <w:marRight w:val="0"/>
      <w:marTop w:val="0"/>
      <w:marBottom w:val="0"/>
      <w:divBdr>
        <w:top w:val="none" w:sz="0" w:space="0" w:color="auto"/>
        <w:left w:val="none" w:sz="0" w:space="0" w:color="auto"/>
        <w:bottom w:val="none" w:sz="0" w:space="0" w:color="auto"/>
        <w:right w:val="none" w:sz="0" w:space="0" w:color="auto"/>
      </w:divBdr>
    </w:div>
    <w:div w:id="446045244">
      <w:bodyDiv w:val="1"/>
      <w:marLeft w:val="0"/>
      <w:marRight w:val="0"/>
      <w:marTop w:val="0"/>
      <w:marBottom w:val="0"/>
      <w:divBdr>
        <w:top w:val="none" w:sz="0" w:space="0" w:color="auto"/>
        <w:left w:val="none" w:sz="0" w:space="0" w:color="auto"/>
        <w:bottom w:val="none" w:sz="0" w:space="0" w:color="auto"/>
        <w:right w:val="none" w:sz="0" w:space="0" w:color="auto"/>
      </w:divBdr>
    </w:div>
    <w:div w:id="467284486">
      <w:bodyDiv w:val="1"/>
      <w:marLeft w:val="0"/>
      <w:marRight w:val="0"/>
      <w:marTop w:val="0"/>
      <w:marBottom w:val="0"/>
      <w:divBdr>
        <w:top w:val="none" w:sz="0" w:space="0" w:color="auto"/>
        <w:left w:val="none" w:sz="0" w:space="0" w:color="auto"/>
        <w:bottom w:val="none" w:sz="0" w:space="0" w:color="auto"/>
        <w:right w:val="none" w:sz="0" w:space="0" w:color="auto"/>
      </w:divBdr>
    </w:div>
    <w:div w:id="471021424">
      <w:bodyDiv w:val="1"/>
      <w:marLeft w:val="0"/>
      <w:marRight w:val="0"/>
      <w:marTop w:val="0"/>
      <w:marBottom w:val="0"/>
      <w:divBdr>
        <w:top w:val="none" w:sz="0" w:space="0" w:color="auto"/>
        <w:left w:val="none" w:sz="0" w:space="0" w:color="auto"/>
        <w:bottom w:val="none" w:sz="0" w:space="0" w:color="auto"/>
        <w:right w:val="none" w:sz="0" w:space="0" w:color="auto"/>
      </w:divBdr>
    </w:div>
    <w:div w:id="508954233">
      <w:bodyDiv w:val="1"/>
      <w:marLeft w:val="0"/>
      <w:marRight w:val="0"/>
      <w:marTop w:val="0"/>
      <w:marBottom w:val="0"/>
      <w:divBdr>
        <w:top w:val="none" w:sz="0" w:space="0" w:color="auto"/>
        <w:left w:val="none" w:sz="0" w:space="0" w:color="auto"/>
        <w:bottom w:val="none" w:sz="0" w:space="0" w:color="auto"/>
        <w:right w:val="none" w:sz="0" w:space="0" w:color="auto"/>
      </w:divBdr>
    </w:div>
    <w:div w:id="575477505">
      <w:bodyDiv w:val="1"/>
      <w:marLeft w:val="0"/>
      <w:marRight w:val="0"/>
      <w:marTop w:val="0"/>
      <w:marBottom w:val="0"/>
      <w:divBdr>
        <w:top w:val="none" w:sz="0" w:space="0" w:color="auto"/>
        <w:left w:val="none" w:sz="0" w:space="0" w:color="auto"/>
        <w:bottom w:val="none" w:sz="0" w:space="0" w:color="auto"/>
        <w:right w:val="none" w:sz="0" w:space="0" w:color="auto"/>
      </w:divBdr>
    </w:div>
    <w:div w:id="605700331">
      <w:bodyDiv w:val="1"/>
      <w:marLeft w:val="0"/>
      <w:marRight w:val="0"/>
      <w:marTop w:val="0"/>
      <w:marBottom w:val="0"/>
      <w:divBdr>
        <w:top w:val="none" w:sz="0" w:space="0" w:color="auto"/>
        <w:left w:val="none" w:sz="0" w:space="0" w:color="auto"/>
        <w:bottom w:val="none" w:sz="0" w:space="0" w:color="auto"/>
        <w:right w:val="none" w:sz="0" w:space="0" w:color="auto"/>
      </w:divBdr>
    </w:div>
    <w:div w:id="649864667">
      <w:bodyDiv w:val="1"/>
      <w:marLeft w:val="0"/>
      <w:marRight w:val="0"/>
      <w:marTop w:val="0"/>
      <w:marBottom w:val="0"/>
      <w:divBdr>
        <w:top w:val="none" w:sz="0" w:space="0" w:color="auto"/>
        <w:left w:val="none" w:sz="0" w:space="0" w:color="auto"/>
        <w:bottom w:val="none" w:sz="0" w:space="0" w:color="auto"/>
        <w:right w:val="none" w:sz="0" w:space="0" w:color="auto"/>
      </w:divBdr>
    </w:div>
    <w:div w:id="650253405">
      <w:bodyDiv w:val="1"/>
      <w:marLeft w:val="0"/>
      <w:marRight w:val="0"/>
      <w:marTop w:val="0"/>
      <w:marBottom w:val="0"/>
      <w:divBdr>
        <w:top w:val="none" w:sz="0" w:space="0" w:color="auto"/>
        <w:left w:val="none" w:sz="0" w:space="0" w:color="auto"/>
        <w:bottom w:val="none" w:sz="0" w:space="0" w:color="auto"/>
        <w:right w:val="none" w:sz="0" w:space="0" w:color="auto"/>
      </w:divBdr>
    </w:div>
    <w:div w:id="656229840">
      <w:bodyDiv w:val="1"/>
      <w:marLeft w:val="0"/>
      <w:marRight w:val="0"/>
      <w:marTop w:val="0"/>
      <w:marBottom w:val="0"/>
      <w:divBdr>
        <w:top w:val="none" w:sz="0" w:space="0" w:color="auto"/>
        <w:left w:val="none" w:sz="0" w:space="0" w:color="auto"/>
        <w:bottom w:val="none" w:sz="0" w:space="0" w:color="auto"/>
        <w:right w:val="none" w:sz="0" w:space="0" w:color="auto"/>
      </w:divBdr>
    </w:div>
    <w:div w:id="720516056">
      <w:bodyDiv w:val="1"/>
      <w:marLeft w:val="0"/>
      <w:marRight w:val="0"/>
      <w:marTop w:val="0"/>
      <w:marBottom w:val="0"/>
      <w:divBdr>
        <w:top w:val="none" w:sz="0" w:space="0" w:color="auto"/>
        <w:left w:val="none" w:sz="0" w:space="0" w:color="auto"/>
        <w:bottom w:val="none" w:sz="0" w:space="0" w:color="auto"/>
        <w:right w:val="none" w:sz="0" w:space="0" w:color="auto"/>
      </w:divBdr>
    </w:div>
    <w:div w:id="746221954">
      <w:bodyDiv w:val="1"/>
      <w:marLeft w:val="0"/>
      <w:marRight w:val="0"/>
      <w:marTop w:val="0"/>
      <w:marBottom w:val="0"/>
      <w:divBdr>
        <w:top w:val="none" w:sz="0" w:space="0" w:color="auto"/>
        <w:left w:val="none" w:sz="0" w:space="0" w:color="auto"/>
        <w:bottom w:val="none" w:sz="0" w:space="0" w:color="auto"/>
        <w:right w:val="none" w:sz="0" w:space="0" w:color="auto"/>
      </w:divBdr>
    </w:div>
    <w:div w:id="749352246">
      <w:bodyDiv w:val="1"/>
      <w:marLeft w:val="0"/>
      <w:marRight w:val="0"/>
      <w:marTop w:val="0"/>
      <w:marBottom w:val="0"/>
      <w:divBdr>
        <w:top w:val="none" w:sz="0" w:space="0" w:color="auto"/>
        <w:left w:val="none" w:sz="0" w:space="0" w:color="auto"/>
        <w:bottom w:val="none" w:sz="0" w:space="0" w:color="auto"/>
        <w:right w:val="none" w:sz="0" w:space="0" w:color="auto"/>
      </w:divBdr>
    </w:div>
    <w:div w:id="885410889">
      <w:bodyDiv w:val="1"/>
      <w:marLeft w:val="0"/>
      <w:marRight w:val="0"/>
      <w:marTop w:val="0"/>
      <w:marBottom w:val="0"/>
      <w:divBdr>
        <w:top w:val="none" w:sz="0" w:space="0" w:color="auto"/>
        <w:left w:val="none" w:sz="0" w:space="0" w:color="auto"/>
        <w:bottom w:val="none" w:sz="0" w:space="0" w:color="auto"/>
        <w:right w:val="none" w:sz="0" w:space="0" w:color="auto"/>
      </w:divBdr>
    </w:div>
    <w:div w:id="885916274">
      <w:bodyDiv w:val="1"/>
      <w:marLeft w:val="0"/>
      <w:marRight w:val="0"/>
      <w:marTop w:val="0"/>
      <w:marBottom w:val="0"/>
      <w:divBdr>
        <w:top w:val="none" w:sz="0" w:space="0" w:color="auto"/>
        <w:left w:val="none" w:sz="0" w:space="0" w:color="auto"/>
        <w:bottom w:val="none" w:sz="0" w:space="0" w:color="auto"/>
        <w:right w:val="none" w:sz="0" w:space="0" w:color="auto"/>
      </w:divBdr>
    </w:div>
    <w:div w:id="983385971">
      <w:bodyDiv w:val="1"/>
      <w:marLeft w:val="0"/>
      <w:marRight w:val="0"/>
      <w:marTop w:val="0"/>
      <w:marBottom w:val="0"/>
      <w:divBdr>
        <w:top w:val="none" w:sz="0" w:space="0" w:color="auto"/>
        <w:left w:val="none" w:sz="0" w:space="0" w:color="auto"/>
        <w:bottom w:val="none" w:sz="0" w:space="0" w:color="auto"/>
        <w:right w:val="none" w:sz="0" w:space="0" w:color="auto"/>
      </w:divBdr>
    </w:div>
    <w:div w:id="1009480457">
      <w:bodyDiv w:val="1"/>
      <w:marLeft w:val="0"/>
      <w:marRight w:val="0"/>
      <w:marTop w:val="0"/>
      <w:marBottom w:val="0"/>
      <w:divBdr>
        <w:top w:val="none" w:sz="0" w:space="0" w:color="auto"/>
        <w:left w:val="none" w:sz="0" w:space="0" w:color="auto"/>
        <w:bottom w:val="none" w:sz="0" w:space="0" w:color="auto"/>
        <w:right w:val="none" w:sz="0" w:space="0" w:color="auto"/>
      </w:divBdr>
    </w:div>
    <w:div w:id="1010763551">
      <w:bodyDiv w:val="1"/>
      <w:marLeft w:val="0"/>
      <w:marRight w:val="0"/>
      <w:marTop w:val="0"/>
      <w:marBottom w:val="0"/>
      <w:divBdr>
        <w:top w:val="none" w:sz="0" w:space="0" w:color="auto"/>
        <w:left w:val="none" w:sz="0" w:space="0" w:color="auto"/>
        <w:bottom w:val="none" w:sz="0" w:space="0" w:color="auto"/>
        <w:right w:val="none" w:sz="0" w:space="0" w:color="auto"/>
      </w:divBdr>
    </w:div>
    <w:div w:id="1018234553">
      <w:bodyDiv w:val="1"/>
      <w:marLeft w:val="0"/>
      <w:marRight w:val="0"/>
      <w:marTop w:val="0"/>
      <w:marBottom w:val="0"/>
      <w:divBdr>
        <w:top w:val="none" w:sz="0" w:space="0" w:color="auto"/>
        <w:left w:val="none" w:sz="0" w:space="0" w:color="auto"/>
        <w:bottom w:val="none" w:sz="0" w:space="0" w:color="auto"/>
        <w:right w:val="none" w:sz="0" w:space="0" w:color="auto"/>
      </w:divBdr>
    </w:div>
    <w:div w:id="1032921612">
      <w:bodyDiv w:val="1"/>
      <w:marLeft w:val="0"/>
      <w:marRight w:val="0"/>
      <w:marTop w:val="0"/>
      <w:marBottom w:val="0"/>
      <w:divBdr>
        <w:top w:val="none" w:sz="0" w:space="0" w:color="auto"/>
        <w:left w:val="none" w:sz="0" w:space="0" w:color="auto"/>
        <w:bottom w:val="none" w:sz="0" w:space="0" w:color="auto"/>
        <w:right w:val="none" w:sz="0" w:space="0" w:color="auto"/>
      </w:divBdr>
    </w:div>
    <w:div w:id="1126970337">
      <w:bodyDiv w:val="1"/>
      <w:marLeft w:val="0"/>
      <w:marRight w:val="0"/>
      <w:marTop w:val="0"/>
      <w:marBottom w:val="0"/>
      <w:divBdr>
        <w:top w:val="none" w:sz="0" w:space="0" w:color="auto"/>
        <w:left w:val="none" w:sz="0" w:space="0" w:color="auto"/>
        <w:bottom w:val="none" w:sz="0" w:space="0" w:color="auto"/>
        <w:right w:val="none" w:sz="0" w:space="0" w:color="auto"/>
      </w:divBdr>
    </w:div>
    <w:div w:id="1181549481">
      <w:bodyDiv w:val="1"/>
      <w:marLeft w:val="0"/>
      <w:marRight w:val="0"/>
      <w:marTop w:val="0"/>
      <w:marBottom w:val="0"/>
      <w:divBdr>
        <w:top w:val="none" w:sz="0" w:space="0" w:color="auto"/>
        <w:left w:val="none" w:sz="0" w:space="0" w:color="auto"/>
        <w:bottom w:val="none" w:sz="0" w:space="0" w:color="auto"/>
        <w:right w:val="none" w:sz="0" w:space="0" w:color="auto"/>
      </w:divBdr>
    </w:div>
    <w:div w:id="1246838557">
      <w:bodyDiv w:val="1"/>
      <w:marLeft w:val="0"/>
      <w:marRight w:val="0"/>
      <w:marTop w:val="0"/>
      <w:marBottom w:val="0"/>
      <w:divBdr>
        <w:top w:val="none" w:sz="0" w:space="0" w:color="auto"/>
        <w:left w:val="none" w:sz="0" w:space="0" w:color="auto"/>
        <w:bottom w:val="none" w:sz="0" w:space="0" w:color="auto"/>
        <w:right w:val="none" w:sz="0" w:space="0" w:color="auto"/>
      </w:divBdr>
    </w:div>
    <w:div w:id="1269463852">
      <w:bodyDiv w:val="1"/>
      <w:marLeft w:val="0"/>
      <w:marRight w:val="0"/>
      <w:marTop w:val="0"/>
      <w:marBottom w:val="0"/>
      <w:divBdr>
        <w:top w:val="none" w:sz="0" w:space="0" w:color="auto"/>
        <w:left w:val="none" w:sz="0" w:space="0" w:color="auto"/>
        <w:bottom w:val="none" w:sz="0" w:space="0" w:color="auto"/>
        <w:right w:val="none" w:sz="0" w:space="0" w:color="auto"/>
      </w:divBdr>
    </w:div>
    <w:div w:id="1349798625">
      <w:bodyDiv w:val="1"/>
      <w:marLeft w:val="0"/>
      <w:marRight w:val="0"/>
      <w:marTop w:val="0"/>
      <w:marBottom w:val="0"/>
      <w:divBdr>
        <w:top w:val="none" w:sz="0" w:space="0" w:color="auto"/>
        <w:left w:val="none" w:sz="0" w:space="0" w:color="auto"/>
        <w:bottom w:val="none" w:sz="0" w:space="0" w:color="auto"/>
        <w:right w:val="none" w:sz="0" w:space="0" w:color="auto"/>
      </w:divBdr>
    </w:div>
    <w:div w:id="1360204303">
      <w:bodyDiv w:val="1"/>
      <w:marLeft w:val="0"/>
      <w:marRight w:val="0"/>
      <w:marTop w:val="0"/>
      <w:marBottom w:val="0"/>
      <w:divBdr>
        <w:top w:val="none" w:sz="0" w:space="0" w:color="auto"/>
        <w:left w:val="none" w:sz="0" w:space="0" w:color="auto"/>
        <w:bottom w:val="none" w:sz="0" w:space="0" w:color="auto"/>
        <w:right w:val="none" w:sz="0" w:space="0" w:color="auto"/>
      </w:divBdr>
    </w:div>
    <w:div w:id="1385831095">
      <w:bodyDiv w:val="1"/>
      <w:marLeft w:val="0"/>
      <w:marRight w:val="0"/>
      <w:marTop w:val="0"/>
      <w:marBottom w:val="0"/>
      <w:divBdr>
        <w:top w:val="none" w:sz="0" w:space="0" w:color="auto"/>
        <w:left w:val="none" w:sz="0" w:space="0" w:color="auto"/>
        <w:bottom w:val="none" w:sz="0" w:space="0" w:color="auto"/>
        <w:right w:val="none" w:sz="0" w:space="0" w:color="auto"/>
      </w:divBdr>
    </w:div>
    <w:div w:id="1408073612">
      <w:bodyDiv w:val="1"/>
      <w:marLeft w:val="0"/>
      <w:marRight w:val="0"/>
      <w:marTop w:val="0"/>
      <w:marBottom w:val="0"/>
      <w:divBdr>
        <w:top w:val="none" w:sz="0" w:space="0" w:color="auto"/>
        <w:left w:val="none" w:sz="0" w:space="0" w:color="auto"/>
        <w:bottom w:val="none" w:sz="0" w:space="0" w:color="auto"/>
        <w:right w:val="none" w:sz="0" w:space="0" w:color="auto"/>
      </w:divBdr>
    </w:div>
    <w:div w:id="1455834325">
      <w:bodyDiv w:val="1"/>
      <w:marLeft w:val="0"/>
      <w:marRight w:val="0"/>
      <w:marTop w:val="0"/>
      <w:marBottom w:val="0"/>
      <w:divBdr>
        <w:top w:val="none" w:sz="0" w:space="0" w:color="auto"/>
        <w:left w:val="none" w:sz="0" w:space="0" w:color="auto"/>
        <w:bottom w:val="none" w:sz="0" w:space="0" w:color="auto"/>
        <w:right w:val="none" w:sz="0" w:space="0" w:color="auto"/>
      </w:divBdr>
    </w:div>
    <w:div w:id="1479614192">
      <w:bodyDiv w:val="1"/>
      <w:marLeft w:val="0"/>
      <w:marRight w:val="0"/>
      <w:marTop w:val="0"/>
      <w:marBottom w:val="0"/>
      <w:divBdr>
        <w:top w:val="none" w:sz="0" w:space="0" w:color="auto"/>
        <w:left w:val="none" w:sz="0" w:space="0" w:color="auto"/>
        <w:bottom w:val="none" w:sz="0" w:space="0" w:color="auto"/>
        <w:right w:val="none" w:sz="0" w:space="0" w:color="auto"/>
      </w:divBdr>
    </w:div>
    <w:div w:id="1570656052">
      <w:bodyDiv w:val="1"/>
      <w:marLeft w:val="0"/>
      <w:marRight w:val="0"/>
      <w:marTop w:val="0"/>
      <w:marBottom w:val="0"/>
      <w:divBdr>
        <w:top w:val="none" w:sz="0" w:space="0" w:color="auto"/>
        <w:left w:val="none" w:sz="0" w:space="0" w:color="auto"/>
        <w:bottom w:val="none" w:sz="0" w:space="0" w:color="auto"/>
        <w:right w:val="none" w:sz="0" w:space="0" w:color="auto"/>
      </w:divBdr>
    </w:div>
    <w:div w:id="1647972272">
      <w:bodyDiv w:val="1"/>
      <w:marLeft w:val="0"/>
      <w:marRight w:val="0"/>
      <w:marTop w:val="0"/>
      <w:marBottom w:val="0"/>
      <w:divBdr>
        <w:top w:val="none" w:sz="0" w:space="0" w:color="auto"/>
        <w:left w:val="none" w:sz="0" w:space="0" w:color="auto"/>
        <w:bottom w:val="none" w:sz="0" w:space="0" w:color="auto"/>
        <w:right w:val="none" w:sz="0" w:space="0" w:color="auto"/>
      </w:divBdr>
    </w:div>
    <w:div w:id="1726828147">
      <w:bodyDiv w:val="1"/>
      <w:marLeft w:val="0"/>
      <w:marRight w:val="0"/>
      <w:marTop w:val="0"/>
      <w:marBottom w:val="0"/>
      <w:divBdr>
        <w:top w:val="none" w:sz="0" w:space="0" w:color="auto"/>
        <w:left w:val="none" w:sz="0" w:space="0" w:color="auto"/>
        <w:bottom w:val="none" w:sz="0" w:space="0" w:color="auto"/>
        <w:right w:val="none" w:sz="0" w:space="0" w:color="auto"/>
      </w:divBdr>
    </w:div>
    <w:div w:id="1746537037">
      <w:bodyDiv w:val="1"/>
      <w:marLeft w:val="0"/>
      <w:marRight w:val="0"/>
      <w:marTop w:val="0"/>
      <w:marBottom w:val="0"/>
      <w:divBdr>
        <w:top w:val="none" w:sz="0" w:space="0" w:color="auto"/>
        <w:left w:val="none" w:sz="0" w:space="0" w:color="auto"/>
        <w:bottom w:val="none" w:sz="0" w:space="0" w:color="auto"/>
        <w:right w:val="none" w:sz="0" w:space="0" w:color="auto"/>
      </w:divBdr>
    </w:div>
    <w:div w:id="1826704113">
      <w:bodyDiv w:val="1"/>
      <w:marLeft w:val="0"/>
      <w:marRight w:val="0"/>
      <w:marTop w:val="0"/>
      <w:marBottom w:val="0"/>
      <w:divBdr>
        <w:top w:val="none" w:sz="0" w:space="0" w:color="auto"/>
        <w:left w:val="none" w:sz="0" w:space="0" w:color="auto"/>
        <w:bottom w:val="none" w:sz="0" w:space="0" w:color="auto"/>
        <w:right w:val="none" w:sz="0" w:space="0" w:color="auto"/>
      </w:divBdr>
    </w:div>
    <w:div w:id="1847599053">
      <w:bodyDiv w:val="1"/>
      <w:marLeft w:val="0"/>
      <w:marRight w:val="0"/>
      <w:marTop w:val="0"/>
      <w:marBottom w:val="0"/>
      <w:divBdr>
        <w:top w:val="none" w:sz="0" w:space="0" w:color="auto"/>
        <w:left w:val="none" w:sz="0" w:space="0" w:color="auto"/>
        <w:bottom w:val="none" w:sz="0" w:space="0" w:color="auto"/>
        <w:right w:val="none" w:sz="0" w:space="0" w:color="auto"/>
      </w:divBdr>
    </w:div>
    <w:div w:id="1976715908">
      <w:bodyDiv w:val="1"/>
      <w:marLeft w:val="0"/>
      <w:marRight w:val="0"/>
      <w:marTop w:val="0"/>
      <w:marBottom w:val="0"/>
      <w:divBdr>
        <w:top w:val="none" w:sz="0" w:space="0" w:color="auto"/>
        <w:left w:val="none" w:sz="0" w:space="0" w:color="auto"/>
        <w:bottom w:val="none" w:sz="0" w:space="0" w:color="auto"/>
        <w:right w:val="none" w:sz="0" w:space="0" w:color="auto"/>
      </w:divBdr>
    </w:div>
    <w:div w:id="2055495171">
      <w:bodyDiv w:val="1"/>
      <w:marLeft w:val="0"/>
      <w:marRight w:val="0"/>
      <w:marTop w:val="0"/>
      <w:marBottom w:val="0"/>
      <w:divBdr>
        <w:top w:val="none" w:sz="0" w:space="0" w:color="auto"/>
        <w:left w:val="none" w:sz="0" w:space="0" w:color="auto"/>
        <w:bottom w:val="none" w:sz="0" w:space="0" w:color="auto"/>
        <w:right w:val="none" w:sz="0" w:space="0" w:color="auto"/>
      </w:divBdr>
    </w:div>
    <w:div w:id="2126806679">
      <w:bodyDiv w:val="1"/>
      <w:marLeft w:val="0"/>
      <w:marRight w:val="0"/>
      <w:marTop w:val="0"/>
      <w:marBottom w:val="0"/>
      <w:divBdr>
        <w:top w:val="none" w:sz="0" w:space="0" w:color="auto"/>
        <w:left w:val="none" w:sz="0" w:space="0" w:color="auto"/>
        <w:bottom w:val="none" w:sz="0" w:space="0" w:color="auto"/>
        <w:right w:val="none" w:sz="0" w:space="0" w:color="auto"/>
      </w:divBdr>
    </w:div>
    <w:div w:id="213794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image" Target="media/image9.emf"/><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hyperlink" Target="file:///I:\apps\OMA\AusPARs\ACPM%20agenda%20docs\ACPM%20302%20Item%202%20Feb%202015\2.04%20MABTHERA\Word%20documents\M5%20Clinical%20evaluation%20report.DOCX"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hyperlink" Target="https://www.tga.gov.au/product-information-pi" TargetMode="External"/><Relationship Id="rId30" Type="http://schemas.openxmlformats.org/officeDocument/2006/relationships/header" Target="head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Ligan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88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21984-286B-4155-8825-0A770D50A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19</TotalTime>
  <Pages>33</Pages>
  <Words>10769</Words>
  <Characters>61065</Characters>
  <Application>Microsoft Office Word</Application>
  <DocSecurity>0</DocSecurity>
  <Lines>1696</Lines>
  <Paragraphs>816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71018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Rituximab</dc:title>
  <dc:subject>Prescription medicines</dc:subject>
  <dc:creator>Therapeutic Goods Administration</dc:creator>
  <cp:keywords>AusPARs</cp:keywords>
  <cp:lastModifiedBy>Schilg, Cassie</cp:lastModifiedBy>
  <cp:revision>5</cp:revision>
  <cp:lastPrinted>2015-08-11T03:54:00Z</cp:lastPrinted>
  <dcterms:created xsi:type="dcterms:W3CDTF">2015-08-27T02:10:00Z</dcterms:created>
  <dcterms:modified xsi:type="dcterms:W3CDTF">2015-09-22T00:12:00Z</dcterms:modified>
  <cp:category/>
</cp:coreProperties>
</file>