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0D0D84" w:rsidP="00DB47D8">
            <w:pPr>
              <w:ind w:left="720"/>
              <w:rPr>
                <w:rFonts w:ascii="Arial" w:hAnsi="Arial" w:cs="Arial"/>
                <w:b/>
                <w:color w:val="002C47"/>
                <w:sz w:val="36"/>
                <w:szCs w:val="36"/>
              </w:rPr>
            </w:pPr>
            <w:r>
              <w:rPr>
                <w:rFonts w:ascii="Arial" w:hAnsi="Arial" w:cs="Arial"/>
                <w:b/>
                <w:color w:val="002C47"/>
                <w:sz w:val="36"/>
                <w:szCs w:val="36"/>
              </w:rPr>
              <w:t>10 August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0D0D84">
            <w:pPr>
              <w:pStyle w:val="Title"/>
              <w:rPr>
                <w:color w:val="FFFFFF" w:themeColor="background1"/>
              </w:rPr>
            </w:pPr>
            <w:r>
              <w:rPr>
                <w:color w:val="FFFFFF" w:themeColor="background1"/>
              </w:rPr>
              <w:t>Extract from the Clinical Evaluation Report</w:t>
            </w:r>
            <w:r w:rsidRPr="00A964D1">
              <w:rPr>
                <w:color w:val="FFFFFF" w:themeColor="background1"/>
              </w:rPr>
              <w:t xml:space="preserve"> </w:t>
            </w:r>
            <w:r w:rsidRPr="000D0D84">
              <w:rPr>
                <w:color w:val="FFFFFF" w:themeColor="background1"/>
              </w:rPr>
              <w:t xml:space="preserve">for </w:t>
            </w:r>
            <w:r w:rsidR="000D0D84" w:rsidRPr="000D0D84">
              <w:rPr>
                <w:rFonts w:cs="Arial"/>
                <w:color w:val="FFFFFF" w:themeColor="background1"/>
              </w:rPr>
              <w:t>Rituximab</w:t>
            </w:r>
          </w:p>
        </w:tc>
      </w:tr>
      <w:tr w:rsidR="00E07F15" w:rsidRPr="00B64760" w:rsidTr="00E07F15">
        <w:tc>
          <w:tcPr>
            <w:tcW w:w="9079" w:type="dxa"/>
          </w:tcPr>
          <w:p w:rsidR="00E07F15" w:rsidRPr="008E7846" w:rsidRDefault="00E07F15" w:rsidP="000D0D84">
            <w:pPr>
              <w:pStyle w:val="Subtitle"/>
              <w:rPr>
                <w:color w:val="FFFFFF" w:themeColor="background1"/>
              </w:rPr>
            </w:pPr>
            <w:r w:rsidRPr="008E7846">
              <w:rPr>
                <w:color w:val="FFFFFF" w:themeColor="background1"/>
              </w:rPr>
              <w:t xml:space="preserve">Proprietary Product Name: </w:t>
            </w:r>
            <w:r w:rsidR="000D0D84">
              <w:rPr>
                <w:color w:val="FFFFFF" w:themeColor="background1"/>
              </w:rPr>
              <w:t>MabThera</w:t>
            </w:r>
          </w:p>
        </w:tc>
      </w:tr>
      <w:tr w:rsidR="00E07F15" w:rsidRPr="00B64760" w:rsidTr="00E07F15">
        <w:trPr>
          <w:trHeight w:val="486"/>
        </w:trPr>
        <w:tc>
          <w:tcPr>
            <w:tcW w:w="9079" w:type="dxa"/>
          </w:tcPr>
          <w:p w:rsidR="00E07F15" w:rsidRPr="008E7846" w:rsidRDefault="00E07F15" w:rsidP="000D0D84">
            <w:pPr>
              <w:pStyle w:val="Subtitle"/>
              <w:rPr>
                <w:color w:val="FFFFFF" w:themeColor="background1"/>
              </w:rPr>
            </w:pPr>
            <w:r w:rsidRPr="008E7846">
              <w:rPr>
                <w:color w:val="FFFFFF" w:themeColor="background1"/>
              </w:rPr>
              <w:t xml:space="preserve">Sponsor: </w:t>
            </w:r>
            <w:r w:rsidR="000D0D84">
              <w:rPr>
                <w:color w:val="FFFFFF" w:themeColor="background1"/>
              </w:rPr>
              <w:t>Roche Products Pty Ltd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F67C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8440214" w:history="1">
            <w:r w:rsidR="00DF67C6" w:rsidRPr="00B61AD8">
              <w:rPr>
                <w:rStyle w:val="Hyperlink"/>
                <w:noProof/>
              </w:rPr>
              <w:t>List of abbreviations</w:t>
            </w:r>
            <w:r w:rsidR="00DF67C6">
              <w:rPr>
                <w:noProof/>
                <w:webHidden/>
              </w:rPr>
              <w:tab/>
            </w:r>
            <w:r w:rsidR="00DF67C6">
              <w:rPr>
                <w:noProof/>
                <w:webHidden/>
              </w:rPr>
              <w:fldChar w:fldCharType="begin"/>
            </w:r>
            <w:r w:rsidR="00DF67C6">
              <w:rPr>
                <w:noProof/>
                <w:webHidden/>
              </w:rPr>
              <w:instrText xml:space="preserve"> PAGEREF _Toc428440214 \h </w:instrText>
            </w:r>
            <w:r w:rsidR="00DF67C6">
              <w:rPr>
                <w:noProof/>
                <w:webHidden/>
              </w:rPr>
            </w:r>
            <w:r w:rsidR="00DF67C6">
              <w:rPr>
                <w:noProof/>
                <w:webHidden/>
              </w:rPr>
              <w:fldChar w:fldCharType="separate"/>
            </w:r>
            <w:r w:rsidR="00DF67C6">
              <w:rPr>
                <w:noProof/>
                <w:webHidden/>
              </w:rPr>
              <w:t>5</w:t>
            </w:r>
            <w:r w:rsidR="00DF67C6">
              <w:rPr>
                <w:noProof/>
                <w:webHidden/>
              </w:rPr>
              <w:fldChar w:fldCharType="end"/>
            </w:r>
          </w:hyperlink>
        </w:p>
        <w:p w:rsidR="00DF67C6" w:rsidRDefault="00EA5514">
          <w:pPr>
            <w:pStyle w:val="TOC2"/>
            <w:tabs>
              <w:tab w:val="left" w:pos="1100"/>
            </w:tabs>
            <w:rPr>
              <w:rFonts w:asciiTheme="minorHAnsi" w:eastAsiaTheme="minorEastAsia" w:hAnsiTheme="minorHAnsi" w:cstheme="minorBidi"/>
              <w:b w:val="0"/>
              <w:noProof/>
              <w:sz w:val="22"/>
              <w:lang w:eastAsia="en-AU"/>
            </w:rPr>
          </w:pPr>
          <w:hyperlink w:anchor="_Toc428440215" w:history="1">
            <w:r w:rsidR="00DF67C6" w:rsidRPr="00B61AD8">
              <w:rPr>
                <w:rStyle w:val="Hyperlink"/>
                <w:noProof/>
                <w:lang w:eastAsia="en-AU"/>
              </w:rPr>
              <w:t>1.</w:t>
            </w:r>
            <w:r w:rsidR="00DF67C6">
              <w:rPr>
                <w:rFonts w:asciiTheme="minorHAnsi" w:eastAsiaTheme="minorEastAsia" w:hAnsiTheme="minorHAnsi" w:cstheme="minorBidi"/>
                <w:b w:val="0"/>
                <w:noProof/>
                <w:sz w:val="22"/>
                <w:lang w:eastAsia="en-AU"/>
              </w:rPr>
              <w:tab/>
            </w:r>
            <w:r w:rsidR="00DF67C6" w:rsidRPr="00B61AD8">
              <w:rPr>
                <w:rStyle w:val="Hyperlink"/>
                <w:noProof/>
                <w:lang w:eastAsia="en-AU"/>
              </w:rPr>
              <w:t>Clinical rationale</w:t>
            </w:r>
            <w:r w:rsidR="00DF67C6">
              <w:rPr>
                <w:noProof/>
                <w:webHidden/>
              </w:rPr>
              <w:tab/>
            </w:r>
            <w:r w:rsidR="00DF67C6">
              <w:rPr>
                <w:noProof/>
                <w:webHidden/>
              </w:rPr>
              <w:fldChar w:fldCharType="begin"/>
            </w:r>
            <w:r w:rsidR="00DF67C6">
              <w:rPr>
                <w:noProof/>
                <w:webHidden/>
              </w:rPr>
              <w:instrText xml:space="preserve"> PAGEREF _Toc428440215 \h </w:instrText>
            </w:r>
            <w:r w:rsidR="00DF67C6">
              <w:rPr>
                <w:noProof/>
                <w:webHidden/>
              </w:rPr>
            </w:r>
            <w:r w:rsidR="00DF67C6">
              <w:rPr>
                <w:noProof/>
                <w:webHidden/>
              </w:rPr>
              <w:fldChar w:fldCharType="separate"/>
            </w:r>
            <w:r w:rsidR="00DF67C6">
              <w:rPr>
                <w:noProof/>
                <w:webHidden/>
              </w:rPr>
              <w:t>7</w:t>
            </w:r>
            <w:r w:rsidR="00DF67C6">
              <w:rPr>
                <w:noProof/>
                <w:webHidden/>
              </w:rPr>
              <w:fldChar w:fldCharType="end"/>
            </w:r>
          </w:hyperlink>
        </w:p>
        <w:p w:rsidR="00DF67C6" w:rsidRDefault="00EA5514">
          <w:pPr>
            <w:pStyle w:val="TOC2"/>
            <w:tabs>
              <w:tab w:val="left" w:pos="1100"/>
            </w:tabs>
            <w:rPr>
              <w:rFonts w:asciiTheme="minorHAnsi" w:eastAsiaTheme="minorEastAsia" w:hAnsiTheme="minorHAnsi" w:cstheme="minorBidi"/>
              <w:b w:val="0"/>
              <w:noProof/>
              <w:sz w:val="22"/>
              <w:lang w:eastAsia="en-AU"/>
            </w:rPr>
          </w:pPr>
          <w:hyperlink w:anchor="_Toc428440216" w:history="1">
            <w:r w:rsidR="00DF67C6" w:rsidRPr="00B61AD8">
              <w:rPr>
                <w:rStyle w:val="Hyperlink"/>
                <w:noProof/>
                <w:lang w:eastAsia="en-AU"/>
              </w:rPr>
              <w:t>2.</w:t>
            </w:r>
            <w:r w:rsidR="00DF67C6">
              <w:rPr>
                <w:rFonts w:asciiTheme="minorHAnsi" w:eastAsiaTheme="minorEastAsia" w:hAnsiTheme="minorHAnsi" w:cstheme="minorBidi"/>
                <w:b w:val="0"/>
                <w:noProof/>
                <w:sz w:val="22"/>
                <w:lang w:eastAsia="en-AU"/>
              </w:rPr>
              <w:tab/>
            </w:r>
            <w:r w:rsidR="00DF67C6" w:rsidRPr="00B61AD8">
              <w:rPr>
                <w:rStyle w:val="Hyperlink"/>
                <w:noProof/>
                <w:lang w:eastAsia="en-AU"/>
              </w:rPr>
              <w:t>Contents of the clinical dossier</w:t>
            </w:r>
            <w:r w:rsidR="00DF67C6">
              <w:rPr>
                <w:noProof/>
                <w:webHidden/>
              </w:rPr>
              <w:tab/>
            </w:r>
            <w:r w:rsidR="00DF67C6">
              <w:rPr>
                <w:noProof/>
                <w:webHidden/>
              </w:rPr>
              <w:fldChar w:fldCharType="begin"/>
            </w:r>
            <w:r w:rsidR="00DF67C6">
              <w:rPr>
                <w:noProof/>
                <w:webHidden/>
              </w:rPr>
              <w:instrText xml:space="preserve"> PAGEREF _Toc428440216 \h </w:instrText>
            </w:r>
            <w:r w:rsidR="00DF67C6">
              <w:rPr>
                <w:noProof/>
                <w:webHidden/>
              </w:rPr>
            </w:r>
            <w:r w:rsidR="00DF67C6">
              <w:rPr>
                <w:noProof/>
                <w:webHidden/>
              </w:rPr>
              <w:fldChar w:fldCharType="separate"/>
            </w:r>
            <w:r w:rsidR="00DF67C6">
              <w:rPr>
                <w:noProof/>
                <w:webHidden/>
              </w:rPr>
              <w:t>7</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17" w:history="1">
            <w:r w:rsidR="00DF67C6" w:rsidRPr="00B61AD8">
              <w:rPr>
                <w:rStyle w:val="Hyperlink"/>
                <w:noProof/>
              </w:rPr>
              <w:t>2.1.</w:t>
            </w:r>
            <w:r w:rsidR="00DF67C6">
              <w:rPr>
                <w:rFonts w:asciiTheme="minorHAnsi" w:eastAsiaTheme="minorEastAsia" w:hAnsiTheme="minorHAnsi" w:cstheme="minorBidi"/>
                <w:noProof/>
                <w:lang w:eastAsia="en-AU"/>
              </w:rPr>
              <w:tab/>
            </w:r>
            <w:r w:rsidR="00DF67C6" w:rsidRPr="00B61AD8">
              <w:rPr>
                <w:rStyle w:val="Hyperlink"/>
                <w:noProof/>
              </w:rPr>
              <w:t>Scope of the clinical dossier</w:t>
            </w:r>
            <w:r w:rsidR="00DF67C6">
              <w:rPr>
                <w:noProof/>
                <w:webHidden/>
              </w:rPr>
              <w:tab/>
            </w:r>
            <w:r w:rsidR="00DF67C6">
              <w:rPr>
                <w:noProof/>
                <w:webHidden/>
              </w:rPr>
              <w:fldChar w:fldCharType="begin"/>
            </w:r>
            <w:r w:rsidR="00DF67C6">
              <w:rPr>
                <w:noProof/>
                <w:webHidden/>
              </w:rPr>
              <w:instrText xml:space="preserve"> PAGEREF _Toc428440217 \h </w:instrText>
            </w:r>
            <w:r w:rsidR="00DF67C6">
              <w:rPr>
                <w:noProof/>
                <w:webHidden/>
              </w:rPr>
            </w:r>
            <w:r w:rsidR="00DF67C6">
              <w:rPr>
                <w:noProof/>
                <w:webHidden/>
              </w:rPr>
              <w:fldChar w:fldCharType="separate"/>
            </w:r>
            <w:r w:rsidR="00DF67C6">
              <w:rPr>
                <w:noProof/>
                <w:webHidden/>
              </w:rPr>
              <w:t>7</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18" w:history="1">
            <w:r w:rsidR="00DF67C6" w:rsidRPr="00B61AD8">
              <w:rPr>
                <w:rStyle w:val="Hyperlink"/>
                <w:noProof/>
              </w:rPr>
              <w:t>2.2.</w:t>
            </w:r>
            <w:r w:rsidR="00DF67C6">
              <w:rPr>
                <w:rFonts w:asciiTheme="minorHAnsi" w:eastAsiaTheme="minorEastAsia" w:hAnsiTheme="minorHAnsi" w:cstheme="minorBidi"/>
                <w:noProof/>
                <w:lang w:eastAsia="en-AU"/>
              </w:rPr>
              <w:tab/>
            </w:r>
            <w:r w:rsidR="00DF67C6" w:rsidRPr="00B61AD8">
              <w:rPr>
                <w:rStyle w:val="Hyperlink"/>
                <w:noProof/>
              </w:rPr>
              <w:t>Paediatric data</w:t>
            </w:r>
            <w:r w:rsidR="00DF67C6">
              <w:rPr>
                <w:noProof/>
                <w:webHidden/>
              </w:rPr>
              <w:tab/>
            </w:r>
            <w:r w:rsidR="00DF67C6">
              <w:rPr>
                <w:noProof/>
                <w:webHidden/>
              </w:rPr>
              <w:fldChar w:fldCharType="begin"/>
            </w:r>
            <w:r w:rsidR="00DF67C6">
              <w:rPr>
                <w:noProof/>
                <w:webHidden/>
              </w:rPr>
              <w:instrText xml:space="preserve"> PAGEREF _Toc428440218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19" w:history="1">
            <w:r w:rsidR="00DF67C6" w:rsidRPr="00B61AD8">
              <w:rPr>
                <w:rStyle w:val="Hyperlink"/>
                <w:noProof/>
              </w:rPr>
              <w:t>2.3.</w:t>
            </w:r>
            <w:r w:rsidR="00DF67C6">
              <w:rPr>
                <w:rFonts w:asciiTheme="minorHAnsi" w:eastAsiaTheme="minorEastAsia" w:hAnsiTheme="minorHAnsi" w:cstheme="minorBidi"/>
                <w:noProof/>
                <w:lang w:eastAsia="en-AU"/>
              </w:rPr>
              <w:tab/>
            </w:r>
            <w:r w:rsidR="00DF67C6" w:rsidRPr="00B61AD8">
              <w:rPr>
                <w:rStyle w:val="Hyperlink"/>
                <w:noProof/>
              </w:rPr>
              <w:t>Good clinical practice</w:t>
            </w:r>
            <w:r w:rsidR="00DF67C6">
              <w:rPr>
                <w:noProof/>
                <w:webHidden/>
              </w:rPr>
              <w:tab/>
            </w:r>
            <w:r w:rsidR="00DF67C6">
              <w:rPr>
                <w:noProof/>
                <w:webHidden/>
              </w:rPr>
              <w:fldChar w:fldCharType="begin"/>
            </w:r>
            <w:r w:rsidR="00DF67C6">
              <w:rPr>
                <w:noProof/>
                <w:webHidden/>
              </w:rPr>
              <w:instrText xml:space="preserve"> PAGEREF _Toc428440219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2"/>
            <w:tabs>
              <w:tab w:val="left" w:pos="1100"/>
            </w:tabs>
            <w:rPr>
              <w:rFonts w:asciiTheme="minorHAnsi" w:eastAsiaTheme="minorEastAsia" w:hAnsiTheme="minorHAnsi" w:cstheme="minorBidi"/>
              <w:b w:val="0"/>
              <w:noProof/>
              <w:sz w:val="22"/>
              <w:lang w:eastAsia="en-AU"/>
            </w:rPr>
          </w:pPr>
          <w:hyperlink w:anchor="_Toc428440220" w:history="1">
            <w:r w:rsidR="00DF67C6" w:rsidRPr="00B61AD8">
              <w:rPr>
                <w:rStyle w:val="Hyperlink"/>
                <w:noProof/>
              </w:rPr>
              <w:t>3.</w:t>
            </w:r>
            <w:r w:rsidR="00DF67C6">
              <w:rPr>
                <w:rFonts w:asciiTheme="minorHAnsi" w:eastAsiaTheme="minorEastAsia" w:hAnsiTheme="minorHAnsi" w:cstheme="minorBidi"/>
                <w:b w:val="0"/>
                <w:noProof/>
                <w:sz w:val="22"/>
                <w:lang w:eastAsia="en-AU"/>
              </w:rPr>
              <w:tab/>
            </w:r>
            <w:r w:rsidR="00DF67C6" w:rsidRPr="00B61AD8">
              <w:rPr>
                <w:rStyle w:val="Hyperlink"/>
                <w:noProof/>
              </w:rPr>
              <w:t>Pharmacokinetics</w:t>
            </w:r>
            <w:r w:rsidR="00DF67C6">
              <w:rPr>
                <w:noProof/>
                <w:webHidden/>
              </w:rPr>
              <w:tab/>
            </w:r>
            <w:r w:rsidR="00DF67C6">
              <w:rPr>
                <w:noProof/>
                <w:webHidden/>
              </w:rPr>
              <w:fldChar w:fldCharType="begin"/>
            </w:r>
            <w:r w:rsidR="00DF67C6">
              <w:rPr>
                <w:noProof/>
                <w:webHidden/>
              </w:rPr>
              <w:instrText xml:space="preserve"> PAGEREF _Toc428440220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21" w:history="1">
            <w:r w:rsidR="00DF67C6" w:rsidRPr="00B61AD8">
              <w:rPr>
                <w:rStyle w:val="Hyperlink"/>
                <w:noProof/>
              </w:rPr>
              <w:t>3.1.</w:t>
            </w:r>
            <w:r w:rsidR="00DF67C6">
              <w:rPr>
                <w:rFonts w:asciiTheme="minorHAnsi" w:eastAsiaTheme="minorEastAsia" w:hAnsiTheme="minorHAnsi" w:cstheme="minorBidi"/>
                <w:noProof/>
                <w:lang w:eastAsia="en-AU"/>
              </w:rPr>
              <w:tab/>
            </w:r>
            <w:r w:rsidR="00DF67C6" w:rsidRPr="00B61AD8">
              <w:rPr>
                <w:rStyle w:val="Hyperlink"/>
                <w:noProof/>
              </w:rPr>
              <w:t>Studies providing pharmacokinetic data</w:t>
            </w:r>
            <w:r w:rsidR="00DF67C6">
              <w:rPr>
                <w:noProof/>
                <w:webHidden/>
              </w:rPr>
              <w:tab/>
            </w:r>
            <w:r w:rsidR="00DF67C6">
              <w:rPr>
                <w:noProof/>
                <w:webHidden/>
              </w:rPr>
              <w:fldChar w:fldCharType="begin"/>
            </w:r>
            <w:r w:rsidR="00DF67C6">
              <w:rPr>
                <w:noProof/>
                <w:webHidden/>
              </w:rPr>
              <w:instrText xml:space="preserve"> PAGEREF _Toc428440221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2"/>
            <w:tabs>
              <w:tab w:val="left" w:pos="1100"/>
            </w:tabs>
            <w:rPr>
              <w:rFonts w:asciiTheme="minorHAnsi" w:eastAsiaTheme="minorEastAsia" w:hAnsiTheme="minorHAnsi" w:cstheme="minorBidi"/>
              <w:b w:val="0"/>
              <w:noProof/>
              <w:sz w:val="22"/>
              <w:lang w:eastAsia="en-AU"/>
            </w:rPr>
          </w:pPr>
          <w:hyperlink w:anchor="_Toc428440222" w:history="1">
            <w:r w:rsidR="00DF67C6" w:rsidRPr="00B61AD8">
              <w:rPr>
                <w:rStyle w:val="Hyperlink"/>
                <w:noProof/>
              </w:rPr>
              <w:t>4.</w:t>
            </w:r>
            <w:r w:rsidR="00DF67C6">
              <w:rPr>
                <w:rFonts w:asciiTheme="minorHAnsi" w:eastAsiaTheme="minorEastAsia" w:hAnsiTheme="minorHAnsi" w:cstheme="minorBidi"/>
                <w:b w:val="0"/>
                <w:noProof/>
                <w:sz w:val="22"/>
                <w:lang w:eastAsia="en-AU"/>
              </w:rPr>
              <w:tab/>
            </w:r>
            <w:r w:rsidR="00DF67C6" w:rsidRPr="00B61AD8">
              <w:rPr>
                <w:rStyle w:val="Hyperlink"/>
                <w:noProof/>
              </w:rPr>
              <w:t>Pharmacodynamics</w:t>
            </w:r>
            <w:r w:rsidR="00DF67C6">
              <w:rPr>
                <w:noProof/>
                <w:webHidden/>
              </w:rPr>
              <w:tab/>
            </w:r>
            <w:r w:rsidR="00DF67C6">
              <w:rPr>
                <w:noProof/>
                <w:webHidden/>
              </w:rPr>
              <w:fldChar w:fldCharType="begin"/>
            </w:r>
            <w:r w:rsidR="00DF67C6">
              <w:rPr>
                <w:noProof/>
                <w:webHidden/>
              </w:rPr>
              <w:instrText xml:space="preserve"> PAGEREF _Toc428440222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23" w:history="1">
            <w:r w:rsidR="00DF67C6" w:rsidRPr="00B61AD8">
              <w:rPr>
                <w:rStyle w:val="Hyperlink"/>
                <w:noProof/>
              </w:rPr>
              <w:t>4.1.</w:t>
            </w:r>
            <w:r w:rsidR="00DF67C6">
              <w:rPr>
                <w:rFonts w:asciiTheme="minorHAnsi" w:eastAsiaTheme="minorEastAsia" w:hAnsiTheme="minorHAnsi" w:cstheme="minorBidi"/>
                <w:noProof/>
                <w:lang w:eastAsia="en-AU"/>
              </w:rPr>
              <w:tab/>
            </w:r>
            <w:r w:rsidR="00DF67C6" w:rsidRPr="00B61AD8">
              <w:rPr>
                <w:rStyle w:val="Hyperlink"/>
                <w:noProof/>
              </w:rPr>
              <w:t>Studies providing pharmacodynamic data</w:t>
            </w:r>
            <w:r w:rsidR="00DF67C6">
              <w:rPr>
                <w:noProof/>
                <w:webHidden/>
              </w:rPr>
              <w:tab/>
            </w:r>
            <w:r w:rsidR="00DF67C6">
              <w:rPr>
                <w:noProof/>
                <w:webHidden/>
              </w:rPr>
              <w:fldChar w:fldCharType="begin"/>
            </w:r>
            <w:r w:rsidR="00DF67C6">
              <w:rPr>
                <w:noProof/>
                <w:webHidden/>
              </w:rPr>
              <w:instrText xml:space="preserve"> PAGEREF _Toc428440223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2"/>
            <w:tabs>
              <w:tab w:val="left" w:pos="1100"/>
            </w:tabs>
            <w:rPr>
              <w:rFonts w:asciiTheme="minorHAnsi" w:eastAsiaTheme="minorEastAsia" w:hAnsiTheme="minorHAnsi" w:cstheme="minorBidi"/>
              <w:b w:val="0"/>
              <w:noProof/>
              <w:sz w:val="22"/>
              <w:lang w:eastAsia="en-AU"/>
            </w:rPr>
          </w:pPr>
          <w:hyperlink w:anchor="_Toc428440224" w:history="1">
            <w:r w:rsidR="00DF67C6" w:rsidRPr="00B61AD8">
              <w:rPr>
                <w:rStyle w:val="Hyperlink"/>
                <w:noProof/>
              </w:rPr>
              <w:t>5.</w:t>
            </w:r>
            <w:r w:rsidR="00DF67C6">
              <w:rPr>
                <w:rFonts w:asciiTheme="minorHAnsi" w:eastAsiaTheme="minorEastAsia" w:hAnsiTheme="minorHAnsi" w:cstheme="minorBidi"/>
                <w:b w:val="0"/>
                <w:noProof/>
                <w:sz w:val="22"/>
                <w:lang w:eastAsia="en-AU"/>
              </w:rPr>
              <w:tab/>
            </w:r>
            <w:r w:rsidR="00DF67C6" w:rsidRPr="00B61AD8">
              <w:rPr>
                <w:rStyle w:val="Hyperlink"/>
                <w:noProof/>
              </w:rPr>
              <w:t>Dosage selection for the pivotal studies</w:t>
            </w:r>
            <w:r w:rsidR="00DF67C6">
              <w:rPr>
                <w:noProof/>
                <w:webHidden/>
              </w:rPr>
              <w:tab/>
            </w:r>
            <w:r w:rsidR="00DF67C6">
              <w:rPr>
                <w:noProof/>
                <w:webHidden/>
              </w:rPr>
              <w:fldChar w:fldCharType="begin"/>
            </w:r>
            <w:r w:rsidR="00DF67C6">
              <w:rPr>
                <w:noProof/>
                <w:webHidden/>
              </w:rPr>
              <w:instrText xml:space="preserve"> PAGEREF _Toc428440224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2"/>
            <w:tabs>
              <w:tab w:val="left" w:pos="1100"/>
            </w:tabs>
            <w:rPr>
              <w:rFonts w:asciiTheme="minorHAnsi" w:eastAsiaTheme="minorEastAsia" w:hAnsiTheme="minorHAnsi" w:cstheme="minorBidi"/>
              <w:b w:val="0"/>
              <w:noProof/>
              <w:sz w:val="22"/>
              <w:lang w:eastAsia="en-AU"/>
            </w:rPr>
          </w:pPr>
          <w:hyperlink w:anchor="_Toc428440225" w:history="1">
            <w:r w:rsidR="00DF67C6" w:rsidRPr="00B61AD8">
              <w:rPr>
                <w:rStyle w:val="Hyperlink"/>
                <w:noProof/>
              </w:rPr>
              <w:t>6.</w:t>
            </w:r>
            <w:r w:rsidR="00DF67C6">
              <w:rPr>
                <w:rFonts w:asciiTheme="minorHAnsi" w:eastAsiaTheme="minorEastAsia" w:hAnsiTheme="minorHAnsi" w:cstheme="minorBidi"/>
                <w:b w:val="0"/>
                <w:noProof/>
                <w:sz w:val="22"/>
                <w:lang w:eastAsia="en-AU"/>
              </w:rPr>
              <w:tab/>
            </w:r>
            <w:r w:rsidR="00DF67C6" w:rsidRPr="00B61AD8">
              <w:rPr>
                <w:rStyle w:val="Hyperlink"/>
                <w:noProof/>
              </w:rPr>
              <w:t>Clinical efficacy</w:t>
            </w:r>
            <w:r w:rsidR="00DF67C6">
              <w:rPr>
                <w:noProof/>
                <w:webHidden/>
              </w:rPr>
              <w:tab/>
            </w:r>
            <w:r w:rsidR="00DF67C6">
              <w:rPr>
                <w:noProof/>
                <w:webHidden/>
              </w:rPr>
              <w:fldChar w:fldCharType="begin"/>
            </w:r>
            <w:r w:rsidR="00DF67C6">
              <w:rPr>
                <w:noProof/>
                <w:webHidden/>
              </w:rPr>
              <w:instrText xml:space="preserve"> PAGEREF _Toc428440225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2"/>
            <w:tabs>
              <w:tab w:val="left" w:pos="1100"/>
            </w:tabs>
            <w:rPr>
              <w:rFonts w:asciiTheme="minorHAnsi" w:eastAsiaTheme="minorEastAsia" w:hAnsiTheme="minorHAnsi" w:cstheme="minorBidi"/>
              <w:b w:val="0"/>
              <w:noProof/>
              <w:sz w:val="22"/>
              <w:lang w:eastAsia="en-AU"/>
            </w:rPr>
          </w:pPr>
          <w:hyperlink w:anchor="_Toc428440226" w:history="1">
            <w:r w:rsidR="00DF67C6" w:rsidRPr="00B61AD8">
              <w:rPr>
                <w:rStyle w:val="Hyperlink"/>
                <w:noProof/>
              </w:rPr>
              <w:t>7.</w:t>
            </w:r>
            <w:r w:rsidR="00DF67C6">
              <w:rPr>
                <w:rFonts w:asciiTheme="minorHAnsi" w:eastAsiaTheme="minorEastAsia" w:hAnsiTheme="minorHAnsi" w:cstheme="minorBidi"/>
                <w:b w:val="0"/>
                <w:noProof/>
                <w:sz w:val="22"/>
                <w:lang w:eastAsia="en-AU"/>
              </w:rPr>
              <w:tab/>
            </w:r>
            <w:r w:rsidR="00DF67C6" w:rsidRPr="00B61AD8">
              <w:rPr>
                <w:rStyle w:val="Hyperlink"/>
                <w:noProof/>
              </w:rPr>
              <w:t>Clinical safety</w:t>
            </w:r>
            <w:r w:rsidR="00DF67C6">
              <w:rPr>
                <w:noProof/>
                <w:webHidden/>
              </w:rPr>
              <w:tab/>
            </w:r>
            <w:r w:rsidR="00DF67C6">
              <w:rPr>
                <w:noProof/>
                <w:webHidden/>
              </w:rPr>
              <w:fldChar w:fldCharType="begin"/>
            </w:r>
            <w:r w:rsidR="00DF67C6">
              <w:rPr>
                <w:noProof/>
                <w:webHidden/>
              </w:rPr>
              <w:instrText xml:space="preserve"> PAGEREF _Toc428440226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27" w:history="1">
            <w:r w:rsidR="00DF67C6" w:rsidRPr="00B61AD8">
              <w:rPr>
                <w:rStyle w:val="Hyperlink"/>
                <w:noProof/>
              </w:rPr>
              <w:t>7.1.</w:t>
            </w:r>
            <w:r w:rsidR="00DF67C6">
              <w:rPr>
                <w:rFonts w:asciiTheme="minorHAnsi" w:eastAsiaTheme="minorEastAsia" w:hAnsiTheme="minorHAnsi" w:cstheme="minorBidi"/>
                <w:noProof/>
                <w:lang w:eastAsia="en-AU"/>
              </w:rPr>
              <w:tab/>
            </w:r>
            <w:r w:rsidR="00DF67C6" w:rsidRPr="00B61AD8">
              <w:rPr>
                <w:rStyle w:val="Hyperlink"/>
                <w:noProof/>
              </w:rPr>
              <w:t>Studies providing evaluable safety data</w:t>
            </w:r>
            <w:r w:rsidR="00DF67C6">
              <w:rPr>
                <w:noProof/>
                <w:webHidden/>
              </w:rPr>
              <w:tab/>
            </w:r>
            <w:r w:rsidR="00DF67C6">
              <w:rPr>
                <w:noProof/>
                <w:webHidden/>
              </w:rPr>
              <w:fldChar w:fldCharType="begin"/>
            </w:r>
            <w:r w:rsidR="00DF67C6">
              <w:rPr>
                <w:noProof/>
                <w:webHidden/>
              </w:rPr>
              <w:instrText xml:space="preserve"> PAGEREF _Toc428440227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28" w:history="1">
            <w:r w:rsidR="00DF67C6" w:rsidRPr="00B61AD8">
              <w:rPr>
                <w:rStyle w:val="Hyperlink"/>
                <w:noProof/>
              </w:rPr>
              <w:t>7.2.</w:t>
            </w:r>
            <w:r w:rsidR="00DF67C6">
              <w:rPr>
                <w:rFonts w:asciiTheme="minorHAnsi" w:eastAsiaTheme="minorEastAsia" w:hAnsiTheme="minorHAnsi" w:cstheme="minorBidi"/>
                <w:noProof/>
                <w:lang w:eastAsia="en-AU"/>
              </w:rPr>
              <w:tab/>
            </w:r>
            <w:r w:rsidR="00DF67C6" w:rsidRPr="00B61AD8">
              <w:rPr>
                <w:rStyle w:val="Hyperlink"/>
                <w:noProof/>
              </w:rPr>
              <w:t>Pivotal studies that assessed safety as a primary outcome</w:t>
            </w:r>
            <w:r w:rsidR="00DF67C6">
              <w:rPr>
                <w:noProof/>
                <w:webHidden/>
              </w:rPr>
              <w:tab/>
            </w:r>
            <w:r w:rsidR="00DF67C6">
              <w:rPr>
                <w:noProof/>
                <w:webHidden/>
              </w:rPr>
              <w:fldChar w:fldCharType="begin"/>
            </w:r>
            <w:r w:rsidR="00DF67C6">
              <w:rPr>
                <w:noProof/>
                <w:webHidden/>
              </w:rPr>
              <w:instrText xml:space="preserve"> PAGEREF _Toc428440228 \h </w:instrText>
            </w:r>
            <w:r w:rsidR="00DF67C6">
              <w:rPr>
                <w:noProof/>
                <w:webHidden/>
              </w:rPr>
            </w:r>
            <w:r w:rsidR="00DF67C6">
              <w:rPr>
                <w:noProof/>
                <w:webHidden/>
              </w:rPr>
              <w:fldChar w:fldCharType="separate"/>
            </w:r>
            <w:r w:rsidR="00DF67C6">
              <w:rPr>
                <w:noProof/>
                <w:webHidden/>
              </w:rPr>
              <w:t>8</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29" w:history="1">
            <w:r w:rsidR="00DF67C6" w:rsidRPr="00B61AD8">
              <w:rPr>
                <w:rStyle w:val="Hyperlink"/>
                <w:noProof/>
              </w:rPr>
              <w:t>7.3.</w:t>
            </w:r>
            <w:r w:rsidR="00DF67C6">
              <w:rPr>
                <w:rFonts w:asciiTheme="minorHAnsi" w:eastAsiaTheme="minorEastAsia" w:hAnsiTheme="minorHAnsi" w:cstheme="minorBidi"/>
                <w:noProof/>
                <w:lang w:eastAsia="en-AU"/>
              </w:rPr>
              <w:tab/>
            </w:r>
            <w:r w:rsidR="00DF67C6" w:rsidRPr="00B61AD8">
              <w:rPr>
                <w:rStyle w:val="Hyperlink"/>
                <w:noProof/>
              </w:rPr>
              <w:t>Patient exposure</w:t>
            </w:r>
            <w:r w:rsidR="00DF67C6">
              <w:rPr>
                <w:noProof/>
                <w:webHidden/>
              </w:rPr>
              <w:tab/>
            </w:r>
            <w:r w:rsidR="00DF67C6">
              <w:rPr>
                <w:noProof/>
                <w:webHidden/>
              </w:rPr>
              <w:fldChar w:fldCharType="begin"/>
            </w:r>
            <w:r w:rsidR="00DF67C6">
              <w:rPr>
                <w:noProof/>
                <w:webHidden/>
              </w:rPr>
              <w:instrText xml:space="preserve"> PAGEREF _Toc428440229 \h </w:instrText>
            </w:r>
            <w:r w:rsidR="00DF67C6">
              <w:rPr>
                <w:noProof/>
                <w:webHidden/>
              </w:rPr>
            </w:r>
            <w:r w:rsidR="00DF67C6">
              <w:rPr>
                <w:noProof/>
                <w:webHidden/>
              </w:rPr>
              <w:fldChar w:fldCharType="separate"/>
            </w:r>
            <w:r w:rsidR="00DF67C6">
              <w:rPr>
                <w:noProof/>
                <w:webHidden/>
              </w:rPr>
              <w:t>26</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30" w:history="1">
            <w:r w:rsidR="00DF67C6" w:rsidRPr="00B61AD8">
              <w:rPr>
                <w:rStyle w:val="Hyperlink"/>
                <w:noProof/>
              </w:rPr>
              <w:t>7.4.</w:t>
            </w:r>
            <w:r w:rsidR="00DF67C6">
              <w:rPr>
                <w:rFonts w:asciiTheme="minorHAnsi" w:eastAsiaTheme="minorEastAsia" w:hAnsiTheme="minorHAnsi" w:cstheme="minorBidi"/>
                <w:noProof/>
                <w:lang w:eastAsia="en-AU"/>
              </w:rPr>
              <w:tab/>
            </w:r>
            <w:r w:rsidR="00DF67C6" w:rsidRPr="00B61AD8">
              <w:rPr>
                <w:rStyle w:val="Hyperlink"/>
                <w:noProof/>
              </w:rPr>
              <w:t>Adverse events</w:t>
            </w:r>
            <w:r w:rsidR="00DF67C6">
              <w:rPr>
                <w:noProof/>
                <w:webHidden/>
              </w:rPr>
              <w:tab/>
            </w:r>
            <w:r w:rsidR="00DF67C6">
              <w:rPr>
                <w:noProof/>
                <w:webHidden/>
              </w:rPr>
              <w:fldChar w:fldCharType="begin"/>
            </w:r>
            <w:r w:rsidR="00DF67C6">
              <w:rPr>
                <w:noProof/>
                <w:webHidden/>
              </w:rPr>
              <w:instrText xml:space="preserve"> PAGEREF _Toc428440230 \h </w:instrText>
            </w:r>
            <w:r w:rsidR="00DF67C6">
              <w:rPr>
                <w:noProof/>
                <w:webHidden/>
              </w:rPr>
            </w:r>
            <w:r w:rsidR="00DF67C6">
              <w:rPr>
                <w:noProof/>
                <w:webHidden/>
              </w:rPr>
              <w:fldChar w:fldCharType="separate"/>
            </w:r>
            <w:r w:rsidR="00DF67C6">
              <w:rPr>
                <w:noProof/>
                <w:webHidden/>
              </w:rPr>
              <w:t>26</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31" w:history="1">
            <w:r w:rsidR="00DF67C6" w:rsidRPr="00B61AD8">
              <w:rPr>
                <w:rStyle w:val="Hyperlink"/>
                <w:rFonts w:ascii="Times New Roman" w:hAnsi="Times New Roman"/>
                <w:noProof/>
              </w:rPr>
              <w:t>7.4.2.</w:t>
            </w:r>
            <w:r w:rsidR="00DF67C6">
              <w:rPr>
                <w:rFonts w:asciiTheme="minorHAnsi" w:eastAsiaTheme="minorEastAsia" w:hAnsiTheme="minorHAnsi" w:cstheme="minorBidi"/>
                <w:noProof/>
                <w:lang w:eastAsia="en-AU"/>
              </w:rPr>
              <w:tab/>
            </w:r>
            <w:r w:rsidR="00DF67C6" w:rsidRPr="00B61AD8">
              <w:rPr>
                <w:rStyle w:val="Hyperlink"/>
                <w:rFonts w:ascii="Times New Roman" w:hAnsi="Times New Roman"/>
                <w:noProof/>
              </w:rPr>
              <w:t>Deaths and other serious adverse events</w:t>
            </w:r>
            <w:r w:rsidR="00DF67C6">
              <w:rPr>
                <w:noProof/>
                <w:webHidden/>
              </w:rPr>
              <w:tab/>
            </w:r>
            <w:r w:rsidR="00DF67C6">
              <w:rPr>
                <w:noProof/>
                <w:webHidden/>
              </w:rPr>
              <w:fldChar w:fldCharType="begin"/>
            </w:r>
            <w:r w:rsidR="00DF67C6">
              <w:rPr>
                <w:noProof/>
                <w:webHidden/>
              </w:rPr>
              <w:instrText xml:space="preserve"> PAGEREF _Toc428440231 \h </w:instrText>
            </w:r>
            <w:r w:rsidR="00DF67C6">
              <w:rPr>
                <w:noProof/>
                <w:webHidden/>
              </w:rPr>
            </w:r>
            <w:r w:rsidR="00DF67C6">
              <w:rPr>
                <w:noProof/>
                <w:webHidden/>
              </w:rPr>
              <w:fldChar w:fldCharType="separate"/>
            </w:r>
            <w:r w:rsidR="00DF67C6">
              <w:rPr>
                <w:noProof/>
                <w:webHidden/>
              </w:rPr>
              <w:t>26</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32" w:history="1">
            <w:r w:rsidR="00DF67C6" w:rsidRPr="00B61AD8">
              <w:rPr>
                <w:rStyle w:val="Hyperlink"/>
                <w:noProof/>
              </w:rPr>
              <w:t>7.5.</w:t>
            </w:r>
            <w:r w:rsidR="00DF67C6">
              <w:rPr>
                <w:rFonts w:asciiTheme="minorHAnsi" w:eastAsiaTheme="minorEastAsia" w:hAnsiTheme="minorHAnsi" w:cstheme="minorBidi"/>
                <w:noProof/>
                <w:lang w:eastAsia="en-AU"/>
              </w:rPr>
              <w:tab/>
            </w:r>
            <w:r w:rsidR="00DF67C6" w:rsidRPr="00B61AD8">
              <w:rPr>
                <w:rStyle w:val="Hyperlink"/>
                <w:noProof/>
              </w:rPr>
              <w:t>Laboratory tests</w:t>
            </w:r>
            <w:r w:rsidR="00DF67C6">
              <w:rPr>
                <w:noProof/>
                <w:webHidden/>
              </w:rPr>
              <w:tab/>
            </w:r>
            <w:r w:rsidR="00DF67C6">
              <w:rPr>
                <w:noProof/>
                <w:webHidden/>
              </w:rPr>
              <w:fldChar w:fldCharType="begin"/>
            </w:r>
            <w:r w:rsidR="00DF67C6">
              <w:rPr>
                <w:noProof/>
                <w:webHidden/>
              </w:rPr>
              <w:instrText xml:space="preserve"> PAGEREF _Toc428440232 \h </w:instrText>
            </w:r>
            <w:r w:rsidR="00DF67C6">
              <w:rPr>
                <w:noProof/>
                <w:webHidden/>
              </w:rPr>
            </w:r>
            <w:r w:rsidR="00DF67C6">
              <w:rPr>
                <w:noProof/>
                <w:webHidden/>
              </w:rPr>
              <w:fldChar w:fldCharType="separate"/>
            </w:r>
            <w:r w:rsidR="00DF67C6">
              <w:rPr>
                <w:noProof/>
                <w:webHidden/>
              </w:rPr>
              <w:t>27</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33" w:history="1">
            <w:r w:rsidR="00DF67C6" w:rsidRPr="00B61AD8">
              <w:rPr>
                <w:rStyle w:val="Hyperlink"/>
                <w:noProof/>
              </w:rPr>
              <w:t>7.6.</w:t>
            </w:r>
            <w:r w:rsidR="00DF67C6">
              <w:rPr>
                <w:rFonts w:asciiTheme="minorHAnsi" w:eastAsiaTheme="minorEastAsia" w:hAnsiTheme="minorHAnsi" w:cstheme="minorBidi"/>
                <w:noProof/>
                <w:lang w:eastAsia="en-AU"/>
              </w:rPr>
              <w:tab/>
            </w:r>
            <w:r w:rsidR="00DF67C6" w:rsidRPr="00B61AD8">
              <w:rPr>
                <w:rStyle w:val="Hyperlink"/>
                <w:noProof/>
              </w:rPr>
              <w:t>Post-marketing experience</w:t>
            </w:r>
            <w:r w:rsidR="00DF67C6">
              <w:rPr>
                <w:noProof/>
                <w:webHidden/>
              </w:rPr>
              <w:tab/>
            </w:r>
            <w:r w:rsidR="00DF67C6">
              <w:rPr>
                <w:noProof/>
                <w:webHidden/>
              </w:rPr>
              <w:fldChar w:fldCharType="begin"/>
            </w:r>
            <w:r w:rsidR="00DF67C6">
              <w:rPr>
                <w:noProof/>
                <w:webHidden/>
              </w:rPr>
              <w:instrText xml:space="preserve"> PAGEREF _Toc428440233 \h </w:instrText>
            </w:r>
            <w:r w:rsidR="00DF67C6">
              <w:rPr>
                <w:noProof/>
                <w:webHidden/>
              </w:rPr>
            </w:r>
            <w:r w:rsidR="00DF67C6">
              <w:rPr>
                <w:noProof/>
                <w:webHidden/>
              </w:rPr>
              <w:fldChar w:fldCharType="separate"/>
            </w:r>
            <w:r w:rsidR="00DF67C6">
              <w:rPr>
                <w:noProof/>
                <w:webHidden/>
              </w:rPr>
              <w:t>29</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34" w:history="1">
            <w:r w:rsidR="00DF67C6" w:rsidRPr="00B61AD8">
              <w:rPr>
                <w:rStyle w:val="Hyperlink"/>
                <w:noProof/>
              </w:rPr>
              <w:t>7.7.</w:t>
            </w:r>
            <w:r w:rsidR="00DF67C6">
              <w:rPr>
                <w:rFonts w:asciiTheme="minorHAnsi" w:eastAsiaTheme="minorEastAsia" w:hAnsiTheme="minorHAnsi" w:cstheme="minorBidi"/>
                <w:noProof/>
                <w:lang w:eastAsia="en-AU"/>
              </w:rPr>
              <w:tab/>
            </w:r>
            <w:r w:rsidR="00DF67C6" w:rsidRPr="00B61AD8">
              <w:rPr>
                <w:rStyle w:val="Hyperlink"/>
                <w:noProof/>
              </w:rPr>
              <w:t>Safety issues with the potential for major regulatory impact</w:t>
            </w:r>
            <w:r w:rsidR="00DF67C6">
              <w:rPr>
                <w:noProof/>
                <w:webHidden/>
              </w:rPr>
              <w:tab/>
            </w:r>
            <w:r w:rsidR="00DF67C6">
              <w:rPr>
                <w:noProof/>
                <w:webHidden/>
              </w:rPr>
              <w:fldChar w:fldCharType="begin"/>
            </w:r>
            <w:r w:rsidR="00DF67C6">
              <w:rPr>
                <w:noProof/>
                <w:webHidden/>
              </w:rPr>
              <w:instrText xml:space="preserve"> PAGEREF _Toc428440234 \h </w:instrText>
            </w:r>
            <w:r w:rsidR="00DF67C6">
              <w:rPr>
                <w:noProof/>
                <w:webHidden/>
              </w:rPr>
            </w:r>
            <w:r w:rsidR="00DF67C6">
              <w:rPr>
                <w:noProof/>
                <w:webHidden/>
              </w:rPr>
              <w:fldChar w:fldCharType="separate"/>
            </w:r>
            <w:r w:rsidR="00DF67C6">
              <w:rPr>
                <w:noProof/>
                <w:webHidden/>
              </w:rPr>
              <w:t>30</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35" w:history="1">
            <w:r w:rsidR="00DF67C6" w:rsidRPr="00B61AD8">
              <w:rPr>
                <w:rStyle w:val="Hyperlink"/>
                <w:noProof/>
              </w:rPr>
              <w:t>7.8.</w:t>
            </w:r>
            <w:r w:rsidR="00DF67C6">
              <w:rPr>
                <w:rFonts w:asciiTheme="minorHAnsi" w:eastAsiaTheme="minorEastAsia" w:hAnsiTheme="minorHAnsi" w:cstheme="minorBidi"/>
                <w:noProof/>
                <w:lang w:eastAsia="en-AU"/>
              </w:rPr>
              <w:tab/>
            </w:r>
            <w:r w:rsidR="00DF67C6" w:rsidRPr="00B61AD8">
              <w:rPr>
                <w:rStyle w:val="Hyperlink"/>
                <w:noProof/>
              </w:rPr>
              <w:t>Evaluator’s overall conclusions on clinical safety</w:t>
            </w:r>
            <w:r w:rsidR="00DF67C6">
              <w:rPr>
                <w:noProof/>
                <w:webHidden/>
              </w:rPr>
              <w:tab/>
            </w:r>
            <w:r w:rsidR="00DF67C6">
              <w:rPr>
                <w:noProof/>
                <w:webHidden/>
              </w:rPr>
              <w:fldChar w:fldCharType="begin"/>
            </w:r>
            <w:r w:rsidR="00DF67C6">
              <w:rPr>
                <w:noProof/>
                <w:webHidden/>
              </w:rPr>
              <w:instrText xml:space="preserve"> PAGEREF _Toc428440235 \h </w:instrText>
            </w:r>
            <w:r w:rsidR="00DF67C6">
              <w:rPr>
                <w:noProof/>
                <w:webHidden/>
              </w:rPr>
            </w:r>
            <w:r w:rsidR="00DF67C6">
              <w:rPr>
                <w:noProof/>
                <w:webHidden/>
              </w:rPr>
              <w:fldChar w:fldCharType="separate"/>
            </w:r>
            <w:r w:rsidR="00DF67C6">
              <w:rPr>
                <w:noProof/>
                <w:webHidden/>
              </w:rPr>
              <w:t>30</w:t>
            </w:r>
            <w:r w:rsidR="00DF67C6">
              <w:rPr>
                <w:noProof/>
                <w:webHidden/>
              </w:rPr>
              <w:fldChar w:fldCharType="end"/>
            </w:r>
          </w:hyperlink>
        </w:p>
        <w:p w:rsidR="00DF67C6" w:rsidRDefault="00EA5514">
          <w:pPr>
            <w:pStyle w:val="TOC2"/>
            <w:tabs>
              <w:tab w:val="left" w:pos="1100"/>
            </w:tabs>
            <w:rPr>
              <w:rFonts w:asciiTheme="minorHAnsi" w:eastAsiaTheme="minorEastAsia" w:hAnsiTheme="minorHAnsi" w:cstheme="minorBidi"/>
              <w:b w:val="0"/>
              <w:noProof/>
              <w:sz w:val="22"/>
              <w:lang w:eastAsia="en-AU"/>
            </w:rPr>
          </w:pPr>
          <w:hyperlink w:anchor="_Toc428440236" w:history="1">
            <w:r w:rsidR="00DF67C6" w:rsidRPr="00B61AD8">
              <w:rPr>
                <w:rStyle w:val="Hyperlink"/>
                <w:noProof/>
              </w:rPr>
              <w:t>8.</w:t>
            </w:r>
            <w:r w:rsidR="00DF67C6">
              <w:rPr>
                <w:rFonts w:asciiTheme="minorHAnsi" w:eastAsiaTheme="minorEastAsia" w:hAnsiTheme="minorHAnsi" w:cstheme="minorBidi"/>
                <w:b w:val="0"/>
                <w:noProof/>
                <w:sz w:val="22"/>
                <w:lang w:eastAsia="en-AU"/>
              </w:rPr>
              <w:tab/>
            </w:r>
            <w:r w:rsidR="00DF67C6" w:rsidRPr="00B61AD8">
              <w:rPr>
                <w:rStyle w:val="Hyperlink"/>
                <w:noProof/>
              </w:rPr>
              <w:t>First round benefit-risk assessment</w:t>
            </w:r>
            <w:r w:rsidR="00DF67C6">
              <w:rPr>
                <w:noProof/>
                <w:webHidden/>
              </w:rPr>
              <w:tab/>
            </w:r>
            <w:r w:rsidR="00DF67C6">
              <w:rPr>
                <w:noProof/>
                <w:webHidden/>
              </w:rPr>
              <w:fldChar w:fldCharType="begin"/>
            </w:r>
            <w:r w:rsidR="00DF67C6">
              <w:rPr>
                <w:noProof/>
                <w:webHidden/>
              </w:rPr>
              <w:instrText xml:space="preserve"> PAGEREF _Toc428440236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37" w:history="1">
            <w:r w:rsidR="00DF67C6" w:rsidRPr="00B61AD8">
              <w:rPr>
                <w:rStyle w:val="Hyperlink"/>
                <w:noProof/>
              </w:rPr>
              <w:t>8.1.</w:t>
            </w:r>
            <w:r w:rsidR="00DF67C6">
              <w:rPr>
                <w:rFonts w:asciiTheme="minorHAnsi" w:eastAsiaTheme="minorEastAsia" w:hAnsiTheme="minorHAnsi" w:cstheme="minorBidi"/>
                <w:noProof/>
                <w:lang w:eastAsia="en-AU"/>
              </w:rPr>
              <w:tab/>
            </w:r>
            <w:r w:rsidR="00DF67C6" w:rsidRPr="00B61AD8">
              <w:rPr>
                <w:rStyle w:val="Hyperlink"/>
                <w:noProof/>
              </w:rPr>
              <w:t>First round assessment of benefits</w:t>
            </w:r>
            <w:r w:rsidR="00DF67C6">
              <w:rPr>
                <w:noProof/>
                <w:webHidden/>
              </w:rPr>
              <w:tab/>
            </w:r>
            <w:r w:rsidR="00DF67C6">
              <w:rPr>
                <w:noProof/>
                <w:webHidden/>
              </w:rPr>
              <w:fldChar w:fldCharType="begin"/>
            </w:r>
            <w:r w:rsidR="00DF67C6">
              <w:rPr>
                <w:noProof/>
                <w:webHidden/>
              </w:rPr>
              <w:instrText xml:space="preserve"> PAGEREF _Toc428440237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38" w:history="1">
            <w:r w:rsidR="00DF67C6" w:rsidRPr="00B61AD8">
              <w:rPr>
                <w:rStyle w:val="Hyperlink"/>
                <w:noProof/>
              </w:rPr>
              <w:t>8.2.</w:t>
            </w:r>
            <w:r w:rsidR="00DF67C6">
              <w:rPr>
                <w:rFonts w:asciiTheme="minorHAnsi" w:eastAsiaTheme="minorEastAsia" w:hAnsiTheme="minorHAnsi" w:cstheme="minorBidi"/>
                <w:noProof/>
                <w:lang w:eastAsia="en-AU"/>
              </w:rPr>
              <w:tab/>
            </w:r>
            <w:r w:rsidR="00DF67C6" w:rsidRPr="00B61AD8">
              <w:rPr>
                <w:rStyle w:val="Hyperlink"/>
                <w:noProof/>
              </w:rPr>
              <w:t>First round assessment of risks</w:t>
            </w:r>
            <w:r w:rsidR="00DF67C6">
              <w:rPr>
                <w:noProof/>
                <w:webHidden/>
              </w:rPr>
              <w:tab/>
            </w:r>
            <w:r w:rsidR="00DF67C6">
              <w:rPr>
                <w:noProof/>
                <w:webHidden/>
              </w:rPr>
              <w:fldChar w:fldCharType="begin"/>
            </w:r>
            <w:r w:rsidR="00DF67C6">
              <w:rPr>
                <w:noProof/>
                <w:webHidden/>
              </w:rPr>
              <w:instrText xml:space="preserve"> PAGEREF _Toc428440238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39" w:history="1">
            <w:r w:rsidR="00DF67C6" w:rsidRPr="00B61AD8">
              <w:rPr>
                <w:rStyle w:val="Hyperlink"/>
                <w:noProof/>
              </w:rPr>
              <w:t>8.3.</w:t>
            </w:r>
            <w:r w:rsidR="00DF67C6">
              <w:rPr>
                <w:rFonts w:asciiTheme="minorHAnsi" w:eastAsiaTheme="minorEastAsia" w:hAnsiTheme="minorHAnsi" w:cstheme="minorBidi"/>
                <w:noProof/>
                <w:lang w:eastAsia="en-AU"/>
              </w:rPr>
              <w:tab/>
            </w:r>
            <w:r w:rsidR="00DF67C6" w:rsidRPr="00B61AD8">
              <w:rPr>
                <w:rStyle w:val="Hyperlink"/>
                <w:noProof/>
              </w:rPr>
              <w:t>First round assessment of benefit-risk balance</w:t>
            </w:r>
            <w:r w:rsidR="00DF67C6">
              <w:rPr>
                <w:noProof/>
                <w:webHidden/>
              </w:rPr>
              <w:tab/>
            </w:r>
            <w:r w:rsidR="00DF67C6">
              <w:rPr>
                <w:noProof/>
                <w:webHidden/>
              </w:rPr>
              <w:fldChar w:fldCharType="begin"/>
            </w:r>
            <w:r w:rsidR="00DF67C6">
              <w:rPr>
                <w:noProof/>
                <w:webHidden/>
              </w:rPr>
              <w:instrText xml:space="preserve"> PAGEREF _Toc428440239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2"/>
            <w:tabs>
              <w:tab w:val="left" w:pos="1100"/>
            </w:tabs>
            <w:rPr>
              <w:rFonts w:asciiTheme="minorHAnsi" w:eastAsiaTheme="minorEastAsia" w:hAnsiTheme="minorHAnsi" w:cstheme="minorBidi"/>
              <w:b w:val="0"/>
              <w:noProof/>
              <w:sz w:val="22"/>
              <w:lang w:eastAsia="en-AU"/>
            </w:rPr>
          </w:pPr>
          <w:hyperlink w:anchor="_Toc428440240" w:history="1">
            <w:r w:rsidR="00DF67C6" w:rsidRPr="00B61AD8">
              <w:rPr>
                <w:rStyle w:val="Hyperlink"/>
                <w:noProof/>
              </w:rPr>
              <w:t>9.</w:t>
            </w:r>
            <w:r w:rsidR="00DF67C6">
              <w:rPr>
                <w:rFonts w:asciiTheme="minorHAnsi" w:eastAsiaTheme="minorEastAsia" w:hAnsiTheme="minorHAnsi" w:cstheme="minorBidi"/>
                <w:b w:val="0"/>
                <w:noProof/>
                <w:sz w:val="22"/>
                <w:lang w:eastAsia="en-AU"/>
              </w:rPr>
              <w:tab/>
            </w:r>
            <w:r w:rsidR="00DF67C6" w:rsidRPr="00B61AD8">
              <w:rPr>
                <w:rStyle w:val="Hyperlink"/>
                <w:noProof/>
              </w:rPr>
              <w:t>First round recommendation regarding authorisation</w:t>
            </w:r>
            <w:r w:rsidR="00DF67C6">
              <w:rPr>
                <w:noProof/>
                <w:webHidden/>
              </w:rPr>
              <w:tab/>
            </w:r>
            <w:r w:rsidR="00DF67C6">
              <w:rPr>
                <w:noProof/>
                <w:webHidden/>
              </w:rPr>
              <w:fldChar w:fldCharType="begin"/>
            </w:r>
            <w:r w:rsidR="00DF67C6">
              <w:rPr>
                <w:noProof/>
                <w:webHidden/>
              </w:rPr>
              <w:instrText xml:space="preserve"> PAGEREF _Toc428440240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2"/>
            <w:tabs>
              <w:tab w:val="left" w:pos="1320"/>
            </w:tabs>
            <w:rPr>
              <w:rFonts w:asciiTheme="minorHAnsi" w:eastAsiaTheme="minorEastAsia" w:hAnsiTheme="minorHAnsi" w:cstheme="minorBidi"/>
              <w:b w:val="0"/>
              <w:noProof/>
              <w:sz w:val="22"/>
              <w:lang w:eastAsia="en-AU"/>
            </w:rPr>
          </w:pPr>
          <w:hyperlink w:anchor="_Toc428440241" w:history="1">
            <w:r w:rsidR="00DF67C6" w:rsidRPr="00B61AD8">
              <w:rPr>
                <w:rStyle w:val="Hyperlink"/>
                <w:noProof/>
              </w:rPr>
              <w:t>10.</w:t>
            </w:r>
            <w:r w:rsidR="00DF67C6">
              <w:rPr>
                <w:rFonts w:asciiTheme="minorHAnsi" w:eastAsiaTheme="minorEastAsia" w:hAnsiTheme="minorHAnsi" w:cstheme="minorBidi"/>
                <w:b w:val="0"/>
                <w:noProof/>
                <w:sz w:val="22"/>
                <w:lang w:eastAsia="en-AU"/>
              </w:rPr>
              <w:tab/>
            </w:r>
            <w:r w:rsidR="00DF67C6" w:rsidRPr="00B61AD8">
              <w:rPr>
                <w:rStyle w:val="Hyperlink"/>
                <w:noProof/>
              </w:rPr>
              <w:t>Clinical questions</w:t>
            </w:r>
            <w:r w:rsidR="00DF67C6">
              <w:rPr>
                <w:noProof/>
                <w:webHidden/>
              </w:rPr>
              <w:tab/>
            </w:r>
            <w:r w:rsidR="00DF67C6">
              <w:rPr>
                <w:noProof/>
                <w:webHidden/>
              </w:rPr>
              <w:fldChar w:fldCharType="begin"/>
            </w:r>
            <w:r w:rsidR="00DF67C6">
              <w:rPr>
                <w:noProof/>
                <w:webHidden/>
              </w:rPr>
              <w:instrText xml:space="preserve"> PAGEREF _Toc428440241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42" w:history="1">
            <w:r w:rsidR="00DF67C6" w:rsidRPr="00B61AD8">
              <w:rPr>
                <w:rStyle w:val="Hyperlink"/>
                <w:noProof/>
              </w:rPr>
              <w:t>10.1.</w:t>
            </w:r>
            <w:r w:rsidR="00DF67C6">
              <w:rPr>
                <w:rFonts w:asciiTheme="minorHAnsi" w:eastAsiaTheme="minorEastAsia" w:hAnsiTheme="minorHAnsi" w:cstheme="minorBidi"/>
                <w:noProof/>
                <w:lang w:eastAsia="en-AU"/>
              </w:rPr>
              <w:tab/>
            </w:r>
            <w:r w:rsidR="00DF67C6" w:rsidRPr="00B61AD8">
              <w:rPr>
                <w:rStyle w:val="Hyperlink"/>
                <w:noProof/>
              </w:rPr>
              <w:t>Pharmacokinetics</w:t>
            </w:r>
            <w:r w:rsidR="00DF67C6">
              <w:rPr>
                <w:noProof/>
                <w:webHidden/>
              </w:rPr>
              <w:tab/>
            </w:r>
            <w:r w:rsidR="00DF67C6">
              <w:rPr>
                <w:noProof/>
                <w:webHidden/>
              </w:rPr>
              <w:fldChar w:fldCharType="begin"/>
            </w:r>
            <w:r w:rsidR="00DF67C6">
              <w:rPr>
                <w:noProof/>
                <w:webHidden/>
              </w:rPr>
              <w:instrText xml:space="preserve"> PAGEREF _Toc428440242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43" w:history="1">
            <w:r w:rsidR="00DF67C6" w:rsidRPr="00B61AD8">
              <w:rPr>
                <w:rStyle w:val="Hyperlink"/>
                <w:noProof/>
              </w:rPr>
              <w:t>10.2.</w:t>
            </w:r>
            <w:r w:rsidR="00DF67C6">
              <w:rPr>
                <w:rFonts w:asciiTheme="minorHAnsi" w:eastAsiaTheme="minorEastAsia" w:hAnsiTheme="minorHAnsi" w:cstheme="minorBidi"/>
                <w:noProof/>
                <w:lang w:eastAsia="en-AU"/>
              </w:rPr>
              <w:tab/>
            </w:r>
            <w:r w:rsidR="00DF67C6" w:rsidRPr="00B61AD8">
              <w:rPr>
                <w:rStyle w:val="Hyperlink"/>
                <w:noProof/>
              </w:rPr>
              <w:t>Pharmacodynamics</w:t>
            </w:r>
            <w:r w:rsidR="00DF67C6">
              <w:rPr>
                <w:noProof/>
                <w:webHidden/>
              </w:rPr>
              <w:tab/>
            </w:r>
            <w:r w:rsidR="00DF67C6">
              <w:rPr>
                <w:noProof/>
                <w:webHidden/>
              </w:rPr>
              <w:fldChar w:fldCharType="begin"/>
            </w:r>
            <w:r w:rsidR="00DF67C6">
              <w:rPr>
                <w:noProof/>
                <w:webHidden/>
              </w:rPr>
              <w:instrText xml:space="preserve"> PAGEREF _Toc428440243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44" w:history="1">
            <w:r w:rsidR="00DF67C6" w:rsidRPr="00B61AD8">
              <w:rPr>
                <w:rStyle w:val="Hyperlink"/>
                <w:noProof/>
              </w:rPr>
              <w:t>10.3.</w:t>
            </w:r>
            <w:r w:rsidR="00DF67C6">
              <w:rPr>
                <w:rFonts w:asciiTheme="minorHAnsi" w:eastAsiaTheme="minorEastAsia" w:hAnsiTheme="minorHAnsi" w:cstheme="minorBidi"/>
                <w:noProof/>
                <w:lang w:eastAsia="en-AU"/>
              </w:rPr>
              <w:tab/>
            </w:r>
            <w:r w:rsidR="00DF67C6" w:rsidRPr="00B61AD8">
              <w:rPr>
                <w:rStyle w:val="Hyperlink"/>
                <w:noProof/>
              </w:rPr>
              <w:t>Efficacy</w:t>
            </w:r>
            <w:r w:rsidR="00DF67C6">
              <w:rPr>
                <w:noProof/>
                <w:webHidden/>
              </w:rPr>
              <w:tab/>
            </w:r>
            <w:r w:rsidR="00DF67C6">
              <w:rPr>
                <w:noProof/>
                <w:webHidden/>
              </w:rPr>
              <w:fldChar w:fldCharType="begin"/>
            </w:r>
            <w:r w:rsidR="00DF67C6">
              <w:rPr>
                <w:noProof/>
                <w:webHidden/>
              </w:rPr>
              <w:instrText xml:space="preserve"> PAGEREF _Toc428440244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3"/>
            <w:tabs>
              <w:tab w:val="left" w:pos="1760"/>
            </w:tabs>
            <w:rPr>
              <w:rFonts w:asciiTheme="minorHAnsi" w:eastAsiaTheme="minorEastAsia" w:hAnsiTheme="minorHAnsi" w:cstheme="minorBidi"/>
              <w:noProof/>
              <w:lang w:eastAsia="en-AU"/>
            </w:rPr>
          </w:pPr>
          <w:hyperlink w:anchor="_Toc428440245" w:history="1">
            <w:r w:rsidR="00DF67C6" w:rsidRPr="00B61AD8">
              <w:rPr>
                <w:rStyle w:val="Hyperlink"/>
                <w:noProof/>
              </w:rPr>
              <w:t>10.4.</w:t>
            </w:r>
            <w:r w:rsidR="00DF67C6">
              <w:rPr>
                <w:rFonts w:asciiTheme="minorHAnsi" w:eastAsiaTheme="minorEastAsia" w:hAnsiTheme="minorHAnsi" w:cstheme="minorBidi"/>
                <w:noProof/>
                <w:lang w:eastAsia="en-AU"/>
              </w:rPr>
              <w:tab/>
            </w:r>
            <w:r w:rsidR="00DF67C6" w:rsidRPr="00B61AD8">
              <w:rPr>
                <w:rStyle w:val="Hyperlink"/>
                <w:noProof/>
              </w:rPr>
              <w:t>Safety</w:t>
            </w:r>
            <w:r w:rsidR="00DF67C6">
              <w:rPr>
                <w:noProof/>
                <w:webHidden/>
              </w:rPr>
              <w:tab/>
            </w:r>
            <w:r w:rsidR="00DF67C6">
              <w:rPr>
                <w:noProof/>
                <w:webHidden/>
              </w:rPr>
              <w:fldChar w:fldCharType="begin"/>
            </w:r>
            <w:r w:rsidR="00DF67C6">
              <w:rPr>
                <w:noProof/>
                <w:webHidden/>
              </w:rPr>
              <w:instrText xml:space="preserve"> PAGEREF _Toc428440245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2"/>
            <w:tabs>
              <w:tab w:val="left" w:pos="1320"/>
            </w:tabs>
            <w:rPr>
              <w:rFonts w:asciiTheme="minorHAnsi" w:eastAsiaTheme="minorEastAsia" w:hAnsiTheme="minorHAnsi" w:cstheme="minorBidi"/>
              <w:b w:val="0"/>
              <w:noProof/>
              <w:sz w:val="22"/>
              <w:lang w:eastAsia="en-AU"/>
            </w:rPr>
          </w:pPr>
          <w:hyperlink w:anchor="_Toc428440246" w:history="1">
            <w:r w:rsidR="00DF67C6" w:rsidRPr="00B61AD8">
              <w:rPr>
                <w:rStyle w:val="Hyperlink"/>
                <w:noProof/>
              </w:rPr>
              <w:t>11.</w:t>
            </w:r>
            <w:r w:rsidR="00DF67C6">
              <w:rPr>
                <w:rFonts w:asciiTheme="minorHAnsi" w:eastAsiaTheme="minorEastAsia" w:hAnsiTheme="minorHAnsi" w:cstheme="minorBidi"/>
                <w:b w:val="0"/>
                <w:noProof/>
                <w:sz w:val="22"/>
                <w:lang w:eastAsia="en-AU"/>
              </w:rPr>
              <w:tab/>
            </w:r>
            <w:r w:rsidR="00DF67C6" w:rsidRPr="00B61AD8">
              <w:rPr>
                <w:rStyle w:val="Hyperlink"/>
                <w:noProof/>
              </w:rPr>
              <w:t>Second round evaluation of clinical data submitted in response to questions</w:t>
            </w:r>
            <w:r w:rsidR="00DF67C6">
              <w:rPr>
                <w:noProof/>
                <w:webHidden/>
              </w:rPr>
              <w:tab/>
            </w:r>
            <w:r w:rsidR="00DF67C6">
              <w:rPr>
                <w:noProof/>
                <w:webHidden/>
              </w:rPr>
              <w:fldChar w:fldCharType="begin"/>
            </w:r>
            <w:r w:rsidR="00DF67C6">
              <w:rPr>
                <w:noProof/>
                <w:webHidden/>
              </w:rPr>
              <w:instrText xml:space="preserve"> PAGEREF _Toc428440246 \h </w:instrText>
            </w:r>
            <w:r w:rsidR="00DF67C6">
              <w:rPr>
                <w:noProof/>
                <w:webHidden/>
              </w:rPr>
            </w:r>
            <w:r w:rsidR="00DF67C6">
              <w:rPr>
                <w:noProof/>
                <w:webHidden/>
              </w:rPr>
              <w:fldChar w:fldCharType="separate"/>
            </w:r>
            <w:r w:rsidR="00DF67C6">
              <w:rPr>
                <w:noProof/>
                <w:webHidden/>
              </w:rPr>
              <w:t>32</w:t>
            </w:r>
            <w:r w:rsidR="00DF67C6">
              <w:rPr>
                <w:noProof/>
                <w:webHidden/>
              </w:rPr>
              <w:fldChar w:fldCharType="end"/>
            </w:r>
          </w:hyperlink>
        </w:p>
        <w:p w:rsidR="00DF67C6" w:rsidRDefault="00EA5514">
          <w:pPr>
            <w:pStyle w:val="TOC2"/>
            <w:tabs>
              <w:tab w:val="left" w:pos="1320"/>
            </w:tabs>
            <w:rPr>
              <w:rFonts w:asciiTheme="minorHAnsi" w:eastAsiaTheme="minorEastAsia" w:hAnsiTheme="minorHAnsi" w:cstheme="minorBidi"/>
              <w:b w:val="0"/>
              <w:noProof/>
              <w:sz w:val="22"/>
              <w:lang w:eastAsia="en-AU"/>
            </w:rPr>
          </w:pPr>
          <w:hyperlink w:anchor="_Toc428440247" w:history="1">
            <w:r w:rsidR="00DF67C6" w:rsidRPr="00B61AD8">
              <w:rPr>
                <w:rStyle w:val="Hyperlink"/>
                <w:noProof/>
              </w:rPr>
              <w:t>12.</w:t>
            </w:r>
            <w:r w:rsidR="00DF67C6">
              <w:rPr>
                <w:rFonts w:asciiTheme="minorHAnsi" w:eastAsiaTheme="minorEastAsia" w:hAnsiTheme="minorHAnsi" w:cstheme="minorBidi"/>
                <w:b w:val="0"/>
                <w:noProof/>
                <w:sz w:val="22"/>
                <w:lang w:eastAsia="en-AU"/>
              </w:rPr>
              <w:tab/>
            </w:r>
            <w:r w:rsidR="00DF67C6" w:rsidRPr="00B61AD8">
              <w:rPr>
                <w:rStyle w:val="Hyperlink"/>
                <w:noProof/>
              </w:rPr>
              <w:t>References</w:t>
            </w:r>
            <w:r w:rsidR="00DF67C6">
              <w:rPr>
                <w:noProof/>
                <w:webHidden/>
              </w:rPr>
              <w:tab/>
            </w:r>
            <w:r w:rsidR="00DF67C6">
              <w:rPr>
                <w:noProof/>
                <w:webHidden/>
              </w:rPr>
              <w:fldChar w:fldCharType="begin"/>
            </w:r>
            <w:r w:rsidR="00DF67C6">
              <w:rPr>
                <w:noProof/>
                <w:webHidden/>
              </w:rPr>
              <w:instrText xml:space="preserve"> PAGEREF _Toc428440247 \h </w:instrText>
            </w:r>
            <w:r w:rsidR="00DF67C6">
              <w:rPr>
                <w:noProof/>
                <w:webHidden/>
              </w:rPr>
            </w:r>
            <w:r w:rsidR="00DF67C6">
              <w:rPr>
                <w:noProof/>
                <w:webHidden/>
              </w:rPr>
              <w:fldChar w:fldCharType="separate"/>
            </w:r>
            <w:r w:rsidR="00DF67C6">
              <w:rPr>
                <w:noProof/>
                <w:webHidden/>
              </w:rPr>
              <w:t>33</w:t>
            </w:r>
            <w:r w:rsidR="00DF67C6">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553FEC" w:rsidRDefault="00553FEC">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428440214"/>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902C46" w:rsidTr="00902C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szCs w:val="22"/>
              </w:rPr>
            </w:pPr>
            <w:r w:rsidRPr="00B71D5F">
              <w:rPr>
                <w:rFonts w:asciiTheme="minorHAnsi" w:hAnsiTheme="minorHAnsi"/>
                <w:szCs w:val="22"/>
              </w:rPr>
              <w:t>Abbreviation</w:t>
            </w:r>
          </w:p>
        </w:tc>
        <w:tc>
          <w:tcPr>
            <w:tcW w:w="6911" w:type="dxa"/>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B71D5F">
              <w:rPr>
                <w:rFonts w:asciiTheme="minorHAnsi" w:hAnsiTheme="minorHAnsi"/>
                <w:szCs w:val="22"/>
              </w:rPr>
              <w:t>Meaning</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ACR</w:t>
            </w:r>
          </w:p>
        </w:tc>
        <w:tc>
          <w:tcPr>
            <w:tcW w:w="6911" w:type="dxa"/>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American College of Rheumatology</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AE</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Adverse event</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ALP</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Alkaline phosphatase</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ALT [SGPT]</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Alanine aminotransferase</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AST [SGOT]</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Aspartate aminotransferase</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BUN</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Blood urea nitrogen</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CFR</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Code of Federal Regulations</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CI</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Confidence interval</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CRF</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Case report form</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CTCAE v4.0</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Common Terminology Criteria for Adverse Events version 4.0</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DBP</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Diastolic blood pressure</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DMARD</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Disease-modifying antirheumatic drug</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ECG</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Electrocardiogram</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proofErr w:type="spellStart"/>
            <w:r w:rsidRPr="00B71D5F">
              <w:rPr>
                <w:rFonts w:asciiTheme="minorHAnsi" w:hAnsiTheme="minorHAnsi"/>
                <w:szCs w:val="22"/>
              </w:rPr>
              <w:t>eform</w:t>
            </w:r>
            <w:proofErr w:type="spellEnd"/>
            <w:r w:rsidRPr="00B71D5F">
              <w:rPr>
                <w:rFonts w:asciiTheme="minorHAnsi" w:hAnsiTheme="minorHAnsi"/>
                <w:szCs w:val="22"/>
              </w:rPr>
              <w:t xml:space="preserve"> </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Electronic form (page)</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ESF</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Eligibility screening form</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FDA</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Food and Drug Administration</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proofErr w:type="spellStart"/>
            <w:r w:rsidRPr="00B71D5F">
              <w:rPr>
                <w:rFonts w:asciiTheme="minorHAnsi" w:hAnsiTheme="minorHAnsi"/>
                <w:szCs w:val="22"/>
              </w:rPr>
              <w:t>HBcAb</w:t>
            </w:r>
            <w:proofErr w:type="spellEnd"/>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Hepatitis B core antibody</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HBsAg</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Hepatitis B surface antigen</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GCP</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Good Clinical Practice</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ICF</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Informed consent form</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ICH</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International Conference on Harmonisation</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IMP</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Investigational medicinal product</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IRB</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Institutional review board</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lastRenderedPageBreak/>
              <w:t>IRR</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Infusion-related reaction</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IV</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Intravenous</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IxRS</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Interactive voice and web response system</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LDH</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Lactate dehydrogenase</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MedDRA</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Medical Dictionary for Regulatory Activities</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MTX</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Methotrexate</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NCI</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National Cancer Institute</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NSAID</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Nonsteroidal anti-inflammatory drug</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RA</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Rheumatoid arthritis</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RBC</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Red blood cell</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RF</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Rheumatoid factor</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RTX</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Rituximab</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SAE</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Serious adverse event</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Cs w:val="22"/>
              </w:rPr>
            </w:pPr>
            <w:r w:rsidRPr="00B71D5F">
              <w:rPr>
                <w:rFonts w:asciiTheme="minorHAnsi" w:hAnsiTheme="minorHAnsi"/>
                <w:szCs w:val="22"/>
              </w:rPr>
              <w:t>SBP</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Systolic blood pressure</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Cs w:val="22"/>
              </w:rPr>
            </w:pPr>
            <w:r w:rsidRPr="00B71D5F">
              <w:rPr>
                <w:rFonts w:asciiTheme="minorHAnsi" w:hAnsiTheme="minorHAnsi"/>
                <w:szCs w:val="22"/>
              </w:rPr>
              <w:t>SIRR</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Serious infusion-related reaction</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SIE</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Serious infection event</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SSR</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SUSAR Report</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SUSAR</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Suspected unexpected serious adverse reaction</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TNF</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Tumor necrosis factor</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Cs w:val="22"/>
              </w:rPr>
            </w:pPr>
            <w:r w:rsidRPr="00B71D5F">
              <w:rPr>
                <w:rFonts w:asciiTheme="minorHAnsi" w:hAnsiTheme="minorHAnsi"/>
                <w:szCs w:val="22"/>
              </w:rPr>
              <w:t>ULN</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Upper limit of normal</w:t>
            </w:r>
          </w:p>
        </w:tc>
      </w:tr>
      <w:tr w:rsidR="00902C46" w:rsidTr="00902C46">
        <w:tc>
          <w:tcPr>
            <w:cnfStyle w:val="001000000000" w:firstRow="0" w:lastRow="0" w:firstColumn="1" w:lastColumn="0" w:oddVBand="0" w:evenVBand="0" w:oddHBand="0" w:evenHBand="0" w:firstRowFirstColumn="0" w:firstRowLastColumn="0" w:lastRowFirstColumn="0" w:lastRowLastColumn="0"/>
            <w:tcW w:w="1890"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Cs w:val="22"/>
              </w:rPr>
            </w:pPr>
            <w:r w:rsidRPr="00B71D5F">
              <w:rPr>
                <w:rFonts w:asciiTheme="minorHAnsi" w:hAnsiTheme="minorHAnsi"/>
                <w:szCs w:val="22"/>
              </w:rPr>
              <w:t>WBC</w:t>
            </w:r>
          </w:p>
        </w:tc>
        <w:tc>
          <w:tcPr>
            <w:tcW w:w="6911" w:type="dxa"/>
            <w:hideMark/>
          </w:tcPr>
          <w:p w:rsidR="00902C46" w:rsidRPr="00B71D5F" w:rsidRDefault="00902C46" w:rsidP="00902C4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rPr>
            </w:pPr>
            <w:r w:rsidRPr="00B71D5F">
              <w:rPr>
                <w:rFonts w:asciiTheme="minorHAnsi" w:hAnsiTheme="minorHAnsi"/>
                <w:szCs w:val="22"/>
              </w:rPr>
              <w:t>White blood cell</w:t>
            </w:r>
          </w:p>
        </w:tc>
      </w:tr>
    </w:tbl>
    <w:p w:rsidR="00586F98" w:rsidRDefault="00586F98" w:rsidP="00CD484B">
      <w:pPr>
        <w:pStyle w:val="Heading2"/>
        <w:pageBreakBefore/>
        <w:spacing w:before="120"/>
        <w:rPr>
          <w:lang w:eastAsia="en-AU"/>
        </w:rPr>
      </w:pPr>
      <w:bookmarkStart w:id="7" w:name="_Toc428440215"/>
      <w:bookmarkStart w:id="8" w:name="_Toc351718900"/>
      <w:bookmarkStart w:id="9" w:name="_Toc355338635"/>
      <w:r>
        <w:rPr>
          <w:lang w:eastAsia="en-AU"/>
        </w:rPr>
        <w:lastRenderedPageBreak/>
        <w:t>Clinical rationale</w:t>
      </w:r>
      <w:bookmarkEnd w:id="7"/>
    </w:p>
    <w:p w:rsidR="000D0D84" w:rsidRDefault="000D0D84" w:rsidP="000D0D84">
      <w:r>
        <w:t xml:space="preserve">This is a Category 1, Type F application to register an alternative, faster infusion schedule of </w:t>
      </w:r>
      <w:r w:rsidR="00902C46">
        <w:t>MabThera</w:t>
      </w:r>
      <w:r>
        <w:t xml:space="preserve"> for rheumatoid arthritis.</w:t>
      </w:r>
    </w:p>
    <w:p w:rsidR="000D0D84" w:rsidRDefault="000D0D84" w:rsidP="000D0D84">
      <w:pPr>
        <w:rPr>
          <w:szCs w:val="24"/>
        </w:rPr>
      </w:pPr>
      <w:r>
        <w:t>Currently a patient visit for the second, or subsequent, infusion in RA takes 4-5 hours, including the time for premedication and post-infusion observation.</w:t>
      </w:r>
      <w:r w:rsidR="002D7220">
        <w:t xml:space="preserve"> </w:t>
      </w:r>
      <w:r>
        <w:t>With a faster infusion rate this time would be reduced to approximately 3 hours, thereby reducing the burden of time per treatment.</w:t>
      </w:r>
    </w:p>
    <w:p w:rsidR="00655C16" w:rsidRDefault="000D0D84" w:rsidP="000D0D84">
      <w:pPr>
        <w:rPr>
          <w:lang w:val="en-US"/>
        </w:rPr>
      </w:pPr>
      <w:r>
        <w:rPr>
          <w:lang w:val="en-US"/>
        </w:rPr>
        <w:t>The only infusion regimen studied throughout the RA development program was largely based on the protocol used to treat patients with NHL.</w:t>
      </w:r>
      <w:r w:rsidR="002D7220">
        <w:rPr>
          <w:lang w:val="en-US"/>
        </w:rPr>
        <w:t xml:space="preserve"> </w:t>
      </w:r>
      <w:r>
        <w:rPr>
          <w:lang w:val="en-US"/>
        </w:rPr>
        <w:t>Patients with RA do not have an expanded pool of B cells compared with B-cell NHL or CLL patients.</w:t>
      </w:r>
      <w:r w:rsidR="002D7220">
        <w:rPr>
          <w:lang w:val="en-US"/>
        </w:rPr>
        <w:t xml:space="preserve"> </w:t>
      </w:r>
      <w:r>
        <w:rPr>
          <w:lang w:val="en-US"/>
        </w:rPr>
        <w:t>This may partially explain why the rate of IRRs reported in patients with RA is lower than those with oncology indications in which a large pool of B cells are rapidly depleted with the first infusion</w:t>
      </w:r>
      <w:r w:rsidR="00655C16">
        <w:rPr>
          <w:lang w:val="en-US"/>
        </w:rPr>
        <w:t>.</w:t>
      </w:r>
    </w:p>
    <w:p w:rsidR="000D0D84" w:rsidRDefault="000D0D84" w:rsidP="000D0D84">
      <w:r>
        <w:t xml:space="preserve">The </w:t>
      </w:r>
      <w:r w:rsidR="00FA6F8E">
        <w:t>s</w:t>
      </w:r>
      <w:r>
        <w:t>ponsor has identified five Investigator sponsored, published studies that explored accelerated administration regimens (</w:t>
      </w:r>
      <w:r w:rsidR="002D7220">
        <w:t>Table 1</w:t>
      </w:r>
      <w:r>
        <w:t>).</w:t>
      </w:r>
      <w:r w:rsidR="002D7220">
        <w:t xml:space="preserve"> </w:t>
      </w:r>
      <w:r>
        <w:t xml:space="preserve">However, due to the limitations of the published studies (primarily the identification and definition of IRRs) </w:t>
      </w:r>
      <w:r w:rsidR="00E24862">
        <w:t>the sponsor</w:t>
      </w:r>
      <w:r>
        <w:t xml:space="preserve"> considers these data to be supportive only.</w:t>
      </w:r>
      <w:r w:rsidR="002D7220">
        <w:t xml:space="preserve"> </w:t>
      </w:r>
      <w:r>
        <w:t xml:space="preserve">Hence, </w:t>
      </w:r>
      <w:r w:rsidR="00E24862">
        <w:t>the sponsor</w:t>
      </w:r>
      <w:r>
        <w:t xml:space="preserve"> has initiated its own study to demonstrate the safety of an accelerated administration regimen in patients with RA.</w:t>
      </w:r>
      <w:r w:rsidR="002D7220">
        <w:t xml:space="preserve"> </w:t>
      </w:r>
      <w:r>
        <w:t xml:space="preserve">These studies are discussed in more detail </w:t>
      </w:r>
      <w:r w:rsidR="002D7220">
        <w:t>under</w:t>
      </w:r>
      <w:r>
        <w:t xml:space="preserve"> </w:t>
      </w:r>
      <w:r w:rsidR="002D7220" w:rsidRPr="002D7220">
        <w:rPr>
          <w:i/>
        </w:rPr>
        <w:t>Safety</w:t>
      </w:r>
      <w:r w:rsidR="002D7220">
        <w:t xml:space="preserve"> below</w:t>
      </w:r>
      <w:r>
        <w:t>.</w:t>
      </w:r>
    </w:p>
    <w:p w:rsidR="002D7220" w:rsidRPr="002D7220" w:rsidRDefault="002D7220" w:rsidP="00655C16">
      <w:pPr>
        <w:pStyle w:val="Tabletitle"/>
      </w:pPr>
      <w:r>
        <w:t xml:space="preserve">Table 1: </w:t>
      </w:r>
      <w:r w:rsidRPr="007E7BFB">
        <w:t xml:space="preserve">Summary of Published Studies with Faster-Infusions of Rituximab in Patients with Rheumatoid Arthritis </w:t>
      </w:r>
      <w:r>
        <w:t>and Other Autoimmune Disorders</w:t>
      </w:r>
      <w:r>
        <w:rPr>
          <w:noProof/>
          <w:lang w:eastAsia="en-AU"/>
        </w:rPr>
        <w:drawing>
          <wp:inline distT="0" distB="0" distL="0" distR="0" wp14:anchorId="71B4BCC6" wp14:editId="3DBAF79C">
            <wp:extent cx="4309673" cy="3226516"/>
            <wp:effectExtent l="0" t="0" r="0" b="0"/>
            <wp:docPr id="6" name="Picture 6" descr="Table 1: Summary of Published Studies with Faster-Infusions of Rituximab in Patients with Rheumatoid Arthritis and Other Autoimmune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t="2075"/>
                    <a:stretch/>
                  </pic:blipFill>
                  <pic:spPr bwMode="auto">
                    <a:xfrm>
                      <a:off x="0" y="0"/>
                      <a:ext cx="4309673" cy="3226516"/>
                    </a:xfrm>
                    <a:prstGeom prst="rect">
                      <a:avLst/>
                    </a:prstGeom>
                    <a:ln>
                      <a:noFill/>
                    </a:ln>
                    <a:extLst>
                      <a:ext uri="{53640926-AAD7-44D8-BBD7-CCE9431645EC}">
                        <a14:shadowObscured xmlns:a14="http://schemas.microsoft.com/office/drawing/2010/main"/>
                      </a:ext>
                    </a:extLst>
                  </pic:spPr>
                </pic:pic>
              </a:graphicData>
            </a:graphic>
          </wp:inline>
        </w:drawing>
      </w:r>
    </w:p>
    <w:p w:rsidR="00586F98" w:rsidRDefault="00586F98" w:rsidP="00586F98">
      <w:pPr>
        <w:pStyle w:val="Heading2"/>
        <w:rPr>
          <w:lang w:eastAsia="en-AU"/>
        </w:rPr>
      </w:pPr>
      <w:bookmarkStart w:id="10" w:name="_Toc428440216"/>
      <w:r>
        <w:rPr>
          <w:lang w:eastAsia="en-AU"/>
        </w:rPr>
        <w:t>Contents of the clinical dossier</w:t>
      </w:r>
      <w:bookmarkEnd w:id="8"/>
      <w:bookmarkEnd w:id="9"/>
      <w:bookmarkEnd w:id="10"/>
    </w:p>
    <w:p w:rsidR="00586F98" w:rsidRDefault="00586F98" w:rsidP="00586F98">
      <w:pPr>
        <w:pStyle w:val="Heading3"/>
      </w:pPr>
      <w:bookmarkStart w:id="11" w:name="_Toc428440217"/>
      <w:r>
        <w:t>Scope of the clinical dossier</w:t>
      </w:r>
      <w:bookmarkEnd w:id="11"/>
    </w:p>
    <w:p w:rsidR="000D0D84" w:rsidRDefault="000D0D84" w:rsidP="000D0D84">
      <w:pPr>
        <w:rPr>
          <w:szCs w:val="24"/>
        </w:rPr>
      </w:pPr>
      <w:r>
        <w:t>The submission contained the following clinical information:</w:t>
      </w:r>
    </w:p>
    <w:p w:rsidR="000D0D84" w:rsidRDefault="000D0D84" w:rsidP="000D0D84">
      <w:pPr>
        <w:pStyle w:val="ListBullet"/>
      </w:pPr>
      <w:r>
        <w:lastRenderedPageBreak/>
        <w:t>One pivotal safety study: Study ML25641.</w:t>
      </w:r>
    </w:p>
    <w:p w:rsidR="00586F98" w:rsidRDefault="00586F98" w:rsidP="00586F98">
      <w:pPr>
        <w:pStyle w:val="Heading3"/>
      </w:pPr>
      <w:bookmarkStart w:id="12" w:name="_Toc428440218"/>
      <w:r>
        <w:t>Paediatric data</w:t>
      </w:r>
      <w:bookmarkEnd w:id="12"/>
    </w:p>
    <w:p w:rsidR="000D0D84" w:rsidRDefault="000D0D84" w:rsidP="000D0D84">
      <w:pPr>
        <w:rPr>
          <w:szCs w:val="24"/>
        </w:rPr>
      </w:pPr>
      <w:r>
        <w:t>The submission did not include paediatric data.</w:t>
      </w:r>
    </w:p>
    <w:p w:rsidR="00586F98" w:rsidRDefault="00586F98" w:rsidP="00586F98">
      <w:pPr>
        <w:pStyle w:val="Heading3"/>
      </w:pPr>
      <w:bookmarkStart w:id="13" w:name="_Toc428440219"/>
      <w:r>
        <w:t>Good clinical practice</w:t>
      </w:r>
      <w:bookmarkEnd w:id="13"/>
    </w:p>
    <w:p w:rsidR="000D0D84" w:rsidRDefault="000D0D84" w:rsidP="00902C46">
      <w:pPr>
        <w:rPr>
          <w:szCs w:val="24"/>
        </w:rPr>
      </w:pPr>
      <w:bookmarkStart w:id="14" w:name="_Toc241374282"/>
      <w:bookmarkStart w:id="15" w:name="_Toc355338639"/>
      <w:r>
        <w:t>Study ML25641 appears to have been conducted according to GCP.</w:t>
      </w:r>
      <w:bookmarkEnd w:id="14"/>
    </w:p>
    <w:p w:rsidR="00586F98" w:rsidRDefault="00586F98" w:rsidP="00586F98">
      <w:pPr>
        <w:pStyle w:val="Heading2"/>
      </w:pPr>
      <w:bookmarkStart w:id="16" w:name="_Toc428440220"/>
      <w:r>
        <w:t>Pharmacokinetics</w:t>
      </w:r>
      <w:bookmarkEnd w:id="15"/>
      <w:bookmarkEnd w:id="16"/>
      <w:r>
        <w:t xml:space="preserve"> </w:t>
      </w:r>
    </w:p>
    <w:p w:rsidR="000D0D84" w:rsidRDefault="000D0D84" w:rsidP="000D0D84">
      <w:pPr>
        <w:pStyle w:val="Heading3"/>
      </w:pPr>
      <w:bookmarkStart w:id="17" w:name="_Ref271018934"/>
      <w:bookmarkStart w:id="18" w:name="_Ref271018924"/>
      <w:bookmarkStart w:id="19" w:name="_Ref271017296"/>
      <w:bookmarkStart w:id="20" w:name="_Toc395285742"/>
      <w:bookmarkStart w:id="21" w:name="_Toc290846238"/>
      <w:bookmarkStart w:id="22" w:name="_Toc272414614"/>
      <w:bookmarkStart w:id="23" w:name="_Toc428440221"/>
      <w:r>
        <w:t>Studies</w:t>
      </w:r>
      <w:bookmarkEnd w:id="17"/>
      <w:bookmarkEnd w:id="18"/>
      <w:bookmarkEnd w:id="19"/>
      <w:r>
        <w:t xml:space="preserve"> providing pharmacokinetic data</w:t>
      </w:r>
      <w:bookmarkEnd w:id="20"/>
      <w:bookmarkEnd w:id="21"/>
      <w:bookmarkEnd w:id="22"/>
      <w:bookmarkEnd w:id="23"/>
    </w:p>
    <w:p w:rsidR="000D0D84" w:rsidRDefault="000D0D84" w:rsidP="00902C46">
      <w:pPr>
        <w:rPr>
          <w:szCs w:val="24"/>
        </w:rPr>
      </w:pPr>
      <w:r>
        <w:t>No new pharmacokinetic data were included in the submission.</w:t>
      </w:r>
    </w:p>
    <w:p w:rsidR="00586F98" w:rsidRDefault="00586F98" w:rsidP="00586F98">
      <w:pPr>
        <w:pStyle w:val="Heading2"/>
      </w:pPr>
      <w:bookmarkStart w:id="24" w:name="_Toc428440222"/>
      <w:r>
        <w:t>Pharmacodynamics</w:t>
      </w:r>
      <w:bookmarkEnd w:id="24"/>
    </w:p>
    <w:p w:rsidR="00902C46" w:rsidRDefault="00902C46" w:rsidP="00902C46">
      <w:pPr>
        <w:pStyle w:val="Heading3"/>
      </w:pPr>
      <w:bookmarkStart w:id="25" w:name="_Toc395285744"/>
      <w:bookmarkStart w:id="26" w:name="_Toc290846260"/>
      <w:bookmarkStart w:id="27" w:name="_Toc272414637"/>
      <w:bookmarkStart w:id="28" w:name="_Toc428440223"/>
      <w:r>
        <w:t>Studies providing pharmacodynamic data</w:t>
      </w:r>
      <w:bookmarkEnd w:id="25"/>
      <w:bookmarkEnd w:id="26"/>
      <w:bookmarkEnd w:id="27"/>
      <w:bookmarkEnd w:id="28"/>
    </w:p>
    <w:p w:rsidR="00902C46" w:rsidRDefault="00902C46" w:rsidP="00902C46">
      <w:pPr>
        <w:rPr>
          <w:szCs w:val="24"/>
        </w:rPr>
      </w:pPr>
      <w:r>
        <w:t>No new pharmacodynamic data were included in the submission.</w:t>
      </w:r>
    </w:p>
    <w:p w:rsidR="00586F98" w:rsidRDefault="00C22678" w:rsidP="00586F98">
      <w:pPr>
        <w:pStyle w:val="Heading2"/>
      </w:pPr>
      <w:bookmarkStart w:id="29" w:name="_Toc428440224"/>
      <w:r>
        <w:t>Dosage selection for the pivotal studies</w:t>
      </w:r>
      <w:bookmarkEnd w:id="29"/>
    </w:p>
    <w:p w:rsidR="00902C46" w:rsidRDefault="00902C46" w:rsidP="00902C46">
      <w:r>
        <w:t>The dosage selection was based on the currently approved dose, with a new rate of delivery.</w:t>
      </w:r>
    </w:p>
    <w:p w:rsidR="00C22678" w:rsidRDefault="00C22678" w:rsidP="00C22678">
      <w:pPr>
        <w:pStyle w:val="Heading2"/>
      </w:pPr>
      <w:bookmarkStart w:id="30" w:name="_Toc428440225"/>
      <w:r>
        <w:t>Clinical efficacy</w:t>
      </w:r>
      <w:bookmarkEnd w:id="30"/>
    </w:p>
    <w:p w:rsidR="00902C46" w:rsidRDefault="00902C46" w:rsidP="00902C46">
      <w:r>
        <w:t>No new efficacy data were included in the submission.</w:t>
      </w:r>
    </w:p>
    <w:p w:rsidR="00C22678" w:rsidRDefault="00C22678" w:rsidP="00C22678">
      <w:pPr>
        <w:pStyle w:val="Heading2"/>
      </w:pPr>
      <w:bookmarkStart w:id="31" w:name="_Toc428440226"/>
      <w:r>
        <w:t>Clinical safety</w:t>
      </w:r>
      <w:bookmarkEnd w:id="31"/>
    </w:p>
    <w:p w:rsidR="00902C46" w:rsidRDefault="00902C46" w:rsidP="002D7220">
      <w:pPr>
        <w:pStyle w:val="Heading3"/>
      </w:pPr>
      <w:bookmarkStart w:id="32" w:name="_Toc395285748"/>
      <w:bookmarkStart w:id="33" w:name="_Toc290846284"/>
      <w:bookmarkStart w:id="34" w:name="_Toc272414659"/>
      <w:bookmarkStart w:id="35" w:name="_Toc428440227"/>
      <w:r>
        <w:t>Studies providing evaluable safety data</w:t>
      </w:r>
      <w:bookmarkEnd w:id="32"/>
      <w:bookmarkEnd w:id="33"/>
      <w:bookmarkEnd w:id="34"/>
      <w:bookmarkEnd w:id="35"/>
    </w:p>
    <w:p w:rsidR="00902C46" w:rsidRDefault="00F72551" w:rsidP="00902C46">
      <w:pPr>
        <w:rPr>
          <w:szCs w:val="24"/>
        </w:rPr>
      </w:pPr>
      <w:bookmarkStart w:id="36" w:name="_Ref268776745"/>
      <w:r>
        <w:t>The following pivotal</w:t>
      </w:r>
      <w:r w:rsidR="00902C46">
        <w:t xml:space="preserve"> study provided evaluable safety data: Study ML25641.</w:t>
      </w:r>
    </w:p>
    <w:p w:rsidR="00902C46" w:rsidRDefault="00902C46" w:rsidP="002D7220">
      <w:pPr>
        <w:pStyle w:val="Heading3"/>
        <w:rPr>
          <w:sz w:val="24"/>
        </w:rPr>
      </w:pPr>
      <w:bookmarkStart w:id="37" w:name="_Ref269204367"/>
      <w:bookmarkStart w:id="38" w:name="_Toc395285749"/>
      <w:bookmarkStart w:id="39" w:name="_Toc290846285"/>
      <w:bookmarkStart w:id="40" w:name="_Toc272414660"/>
      <w:bookmarkStart w:id="41" w:name="_Ref271195841"/>
      <w:bookmarkStart w:id="42" w:name="_Ref271195835"/>
      <w:bookmarkStart w:id="43" w:name="_Toc428440228"/>
      <w:bookmarkEnd w:id="36"/>
      <w:r>
        <w:t>Pivotal studies that assessed safety as a primary outcome</w:t>
      </w:r>
      <w:bookmarkEnd w:id="37"/>
      <w:bookmarkEnd w:id="38"/>
      <w:bookmarkEnd w:id="39"/>
      <w:bookmarkEnd w:id="40"/>
      <w:bookmarkEnd w:id="41"/>
      <w:bookmarkEnd w:id="42"/>
      <w:bookmarkEnd w:id="43"/>
    </w:p>
    <w:p w:rsidR="00902C46" w:rsidRDefault="00902C46" w:rsidP="002D7220">
      <w:pPr>
        <w:pStyle w:val="Heading4"/>
      </w:pPr>
      <w:bookmarkStart w:id="44" w:name="_Toc395285750"/>
      <w:bookmarkStart w:id="45" w:name="_Toc290846286"/>
      <w:bookmarkStart w:id="46" w:name="_Ref290844188"/>
      <w:r>
        <w:t>Study ML25641</w:t>
      </w:r>
      <w:bookmarkEnd w:id="44"/>
      <w:bookmarkEnd w:id="45"/>
      <w:bookmarkEnd w:id="46"/>
    </w:p>
    <w:p w:rsidR="00902C46" w:rsidRDefault="00902C46" w:rsidP="002D7220">
      <w:pPr>
        <w:pStyle w:val="Heading5"/>
      </w:pPr>
      <w:bookmarkStart w:id="47" w:name="_Study_design,_objectives,"/>
      <w:bookmarkStart w:id="48" w:name="_Toc290846287"/>
      <w:bookmarkStart w:id="49" w:name="_Toc395285751"/>
      <w:bookmarkEnd w:id="47"/>
      <w:r>
        <w:t>Study design, objectives, locations and dates</w:t>
      </w:r>
      <w:bookmarkEnd w:id="48"/>
      <w:bookmarkEnd w:id="49"/>
    </w:p>
    <w:p w:rsidR="00655C16" w:rsidRDefault="00902C46" w:rsidP="00902C46">
      <w:r>
        <w:t>Study ML25641 was a multicentre, open label, single arm study to evaluate the safety of administering rituximab at a more rapid infusion rate in patients with rheumatoid arthritis.</w:t>
      </w:r>
      <w:r w:rsidR="002D7220">
        <w:t xml:space="preserve"> </w:t>
      </w:r>
      <w:r>
        <w:t xml:space="preserve">The study was conducted at 74 sites in the </w:t>
      </w:r>
      <w:smartTag w:uri="urn:schemas-microsoft-com:office:smarttags" w:element="country-region">
        <w:smartTag w:uri="urn:schemas-microsoft-com:office:smarttags" w:element="place">
          <w:r>
            <w:t>US</w:t>
          </w:r>
        </w:smartTag>
      </w:smartTag>
      <w:r>
        <w:t xml:space="preserve"> from July 2011 to February 2013</w:t>
      </w:r>
      <w:r w:rsidR="00655C16">
        <w:t>.</w:t>
      </w:r>
    </w:p>
    <w:p w:rsidR="00902C46" w:rsidRDefault="00902C46" w:rsidP="002D7220">
      <w:pPr>
        <w:pStyle w:val="Heading6"/>
      </w:pPr>
      <w:bookmarkStart w:id="50" w:name="_Toc395285752"/>
      <w:bookmarkStart w:id="51" w:name="_Toc290846288"/>
      <w:r>
        <w:lastRenderedPageBreak/>
        <w:t>Inclusion and exclusion criteria</w:t>
      </w:r>
      <w:bookmarkEnd w:id="50"/>
      <w:bookmarkEnd w:id="51"/>
    </w:p>
    <w:p w:rsidR="00902C46" w:rsidRDefault="00902C46" w:rsidP="00902C46">
      <w:pPr>
        <w:rPr>
          <w:szCs w:val="24"/>
        </w:rPr>
      </w:pPr>
      <w:r>
        <w:t>The inclusion criteria included:</w:t>
      </w:r>
    </w:p>
    <w:p w:rsidR="00902C46" w:rsidRDefault="00902C46" w:rsidP="00902C46">
      <w:pPr>
        <w:pStyle w:val="ListBullet"/>
      </w:pPr>
      <w:r>
        <w:t xml:space="preserve">Patients with RA of </w:t>
      </w:r>
      <w:r>
        <w:rPr>
          <w:rFonts w:eastAsia="MS Mincho"/>
        </w:rPr>
        <w:t>≥</w:t>
      </w:r>
      <w:r w:rsidR="00FA6F8E">
        <w:t>6 month</w:t>
      </w:r>
      <w:r>
        <w:t xml:space="preserve"> duration diagnosed according to the revised 1987 American College of Rheumatology</w:t>
      </w:r>
      <w:r w:rsidR="002D7220">
        <w:t>.</w:t>
      </w:r>
    </w:p>
    <w:p w:rsidR="00902C46" w:rsidRDefault="00902C46" w:rsidP="00902C46">
      <w:pPr>
        <w:pStyle w:val="ListBullet"/>
      </w:pPr>
      <w:r>
        <w:t>Received treatment on an outpatient basis</w:t>
      </w:r>
      <w:r w:rsidR="002D7220">
        <w:t>.</w:t>
      </w:r>
    </w:p>
    <w:p w:rsidR="00902C46" w:rsidRDefault="00902C46" w:rsidP="00902C46">
      <w:pPr>
        <w:pStyle w:val="ListBullet"/>
      </w:pPr>
      <w:r>
        <w:t xml:space="preserve">Age </w:t>
      </w:r>
      <w:r>
        <w:rPr>
          <w:rFonts w:eastAsia="SymbolMT"/>
        </w:rPr>
        <w:t xml:space="preserve">≥ </w:t>
      </w:r>
      <w:r>
        <w:t>18 years</w:t>
      </w:r>
      <w:r w:rsidR="002D7220">
        <w:t>.</w:t>
      </w:r>
    </w:p>
    <w:p w:rsidR="00902C46" w:rsidRDefault="00902C46" w:rsidP="00902C46">
      <w:pPr>
        <w:pStyle w:val="ListBullet"/>
      </w:pPr>
      <w:r>
        <w:t>Patients who had experienced an inadequate response due to inefficacy of treatment or intolerance with at least one approved anti-TNF agent (</w:t>
      </w:r>
      <w:r w:rsidR="00E24862">
        <w:t>for example</w:t>
      </w:r>
      <w:r>
        <w:t>, adalimumab, etanercept, infliximab, golimumab, certolizumab)</w:t>
      </w:r>
      <w:r w:rsidR="002D7220">
        <w:t>.</w:t>
      </w:r>
    </w:p>
    <w:p w:rsidR="00902C46" w:rsidRDefault="00902C46" w:rsidP="00902C46">
      <w:pPr>
        <w:pStyle w:val="ListBullet"/>
      </w:pPr>
      <w:r>
        <w:t>Patients who had received 1 to 2 prior c</w:t>
      </w:r>
      <w:r w:rsidR="00FA6F8E">
        <w:t>ourses of rituximab could enrol</w:t>
      </w:r>
      <w:r>
        <w:t xml:space="preserve"> provided their most recent course of rituximab occurred greater than 6 months, but not more than 9 months, prior to baseline.</w:t>
      </w:r>
      <w:r w:rsidR="002D7220">
        <w:t xml:space="preserve"> </w:t>
      </w:r>
      <w:r>
        <w:t xml:space="preserve">The rituximab dosage must have been two 1000 mg infusions per course administered at the </w:t>
      </w:r>
      <w:r w:rsidR="00FA6F8E">
        <w:t>labelled</w:t>
      </w:r>
      <w:r>
        <w:t xml:space="preserve"> infusion rates.</w:t>
      </w:r>
    </w:p>
    <w:p w:rsidR="00902C46" w:rsidRDefault="00902C46" w:rsidP="00902C46">
      <w:pPr>
        <w:pStyle w:val="ListBullet"/>
      </w:pPr>
      <w:r>
        <w:t>Had received MTX between 10 and 25 mg/week (oral or parenteral) for at least 8 weeks immediately prior to baseline</w:t>
      </w:r>
      <w:r w:rsidR="002D7220">
        <w:t>.</w:t>
      </w:r>
    </w:p>
    <w:p w:rsidR="00655C16" w:rsidRDefault="00902C46" w:rsidP="00902C46">
      <w:pPr>
        <w:pStyle w:val="ListBullet"/>
      </w:pPr>
      <w:r>
        <w:t>Females of childbearing potential and males with female partners of childbearing potential could participate in this trial only if using a reliable means of contraception</w:t>
      </w:r>
      <w:r w:rsidR="00655C16">
        <w:t>.</w:t>
      </w:r>
    </w:p>
    <w:p w:rsidR="00902C46" w:rsidRDefault="00902C46" w:rsidP="00902C46">
      <w:pPr>
        <w:pStyle w:val="ListBullet"/>
      </w:pPr>
      <w:r>
        <w:t>Female patients of childbearing potential had to have a negative serum pregnancy test at screening and a negative urine pregnancy test at baseline to be eligible for the study.</w:t>
      </w:r>
    </w:p>
    <w:p w:rsidR="00902C46" w:rsidRDefault="00902C46" w:rsidP="00902C46">
      <w:r>
        <w:t>The exclusion criteria included:</w:t>
      </w:r>
    </w:p>
    <w:p w:rsidR="00902C46" w:rsidRDefault="00902C46" w:rsidP="00902C46">
      <w:r>
        <w:t>General criteria:</w:t>
      </w:r>
    </w:p>
    <w:p w:rsidR="00902C46" w:rsidRDefault="00902C46" w:rsidP="00902C46">
      <w:pPr>
        <w:pStyle w:val="ListBullet"/>
      </w:pPr>
      <w:r>
        <w:t>Major surgery (including joint surgery) within 8 weeks prior to screening or planned surgery within 6 months following baseline</w:t>
      </w:r>
      <w:r w:rsidR="002D7220">
        <w:t>.</w:t>
      </w:r>
    </w:p>
    <w:p w:rsidR="00902C46" w:rsidRDefault="00902C46" w:rsidP="00902C46">
      <w:pPr>
        <w:pStyle w:val="ListBullet"/>
      </w:pPr>
      <w:r>
        <w:t>Rheumatic autoimmune disease other than RA, including systemic lupus erythematosus, mixed connective tissue disease, scleroderma, polymyositis, or significant systemic involvement secondary to RA (</w:t>
      </w:r>
      <w:r w:rsidR="00E24862">
        <w:t>for example,</w:t>
      </w:r>
      <w:r>
        <w:t>, vasculitis, pulmonary fibrosis or Felty’s syndrome).</w:t>
      </w:r>
      <w:r w:rsidR="002D7220">
        <w:t xml:space="preserve"> </w:t>
      </w:r>
      <w:r>
        <w:t>Sjögren’s Syndrome with RA was allowed.</w:t>
      </w:r>
    </w:p>
    <w:p w:rsidR="00902C46" w:rsidRDefault="00902C46" w:rsidP="00902C46">
      <w:pPr>
        <w:pStyle w:val="ListBullet"/>
      </w:pPr>
      <w:r>
        <w:t>Functional class IV as defined by the American College of Rheumatology (ACR) Criteria for Classification of Functional Status in Rheumatoid Arthritis</w:t>
      </w:r>
      <w:r w:rsidR="002D7220">
        <w:t>.</w:t>
      </w:r>
    </w:p>
    <w:p w:rsidR="00902C46" w:rsidRDefault="00902C46" w:rsidP="00902C46">
      <w:pPr>
        <w:pStyle w:val="ListBullet"/>
      </w:pPr>
      <w:r>
        <w:t>Prior history of or current inflammatory joint disease other than RA (</w:t>
      </w:r>
      <w:r w:rsidR="00E24862">
        <w:t>for example</w:t>
      </w:r>
      <w:r>
        <w:t>, gout, reactive arthritis, psoriatic arthritis, seronegative spondyloarthropathy, Lyme disease)</w:t>
      </w:r>
      <w:r w:rsidR="002D7220">
        <w:t>.</w:t>
      </w:r>
    </w:p>
    <w:p w:rsidR="00902C46" w:rsidRDefault="00902C46" w:rsidP="00902C46">
      <w:pPr>
        <w:pStyle w:val="ListBullet"/>
      </w:pPr>
      <w:r>
        <w:t>History of severe allergic or anaphylactic reactions to human, humanized, or murine monoclonal antibodies</w:t>
      </w:r>
      <w:r w:rsidR="002D7220">
        <w:t>.</w:t>
      </w:r>
    </w:p>
    <w:p w:rsidR="00902C46" w:rsidRDefault="00902C46" w:rsidP="00902C46">
      <w:pPr>
        <w:pStyle w:val="ListBullet"/>
      </w:pPr>
      <w:r>
        <w:t>Previous serious infusion reaction to any prior biologic therapy, including rituximab, adalimumab, etanercept, infliximab, golimumab, certolizumab, abatacept, and tocilizumab</w:t>
      </w:r>
      <w:r w:rsidR="002D7220">
        <w:t>.</w:t>
      </w:r>
    </w:p>
    <w:p w:rsidR="00902C46" w:rsidRDefault="00902C46" w:rsidP="00902C46">
      <w:pPr>
        <w:pStyle w:val="ListBullet"/>
      </w:pPr>
      <w:r>
        <w:t>Greater than two prior courses of rituximab.</w:t>
      </w:r>
      <w:r w:rsidR="002D7220">
        <w:t xml:space="preserve"> </w:t>
      </w:r>
      <w:r>
        <w:t xml:space="preserve">Patients were excluded if their most recent course of rituximab occurred within 6 months or greater than 9 months of baseline, or if the rituximab dosage was not two 1000 mg infusions per course administered at the </w:t>
      </w:r>
      <w:r w:rsidR="00FA6F8E">
        <w:t>labelled</w:t>
      </w:r>
      <w:r>
        <w:t xml:space="preserve"> infusion rates.</w:t>
      </w:r>
    </w:p>
    <w:p w:rsidR="00902C46" w:rsidRDefault="00902C46" w:rsidP="00902C46">
      <w:pPr>
        <w:pStyle w:val="ListBullet"/>
      </w:pPr>
      <w:r>
        <w:lastRenderedPageBreak/>
        <w:t>Evidence of serious uncontrolled concomitant cardiovascular (including hypertension), nervous system, pulmonary (including obstructive pulmonary disease), renal, hepatic, endocrine (including uncontrolled diabetes mellitus), hepatic, or gastrointestinal disease</w:t>
      </w:r>
      <w:r w:rsidR="002D7220">
        <w:t>.</w:t>
      </w:r>
    </w:p>
    <w:p w:rsidR="00902C46" w:rsidRDefault="00902C46" w:rsidP="00902C46">
      <w:pPr>
        <w:pStyle w:val="ListBullet"/>
      </w:pPr>
      <w:r>
        <w:t>History of or significant cardiac arrhythmias including atrial fibrillation and atrial flutter</w:t>
      </w:r>
      <w:r w:rsidR="002D7220">
        <w:t>.</w:t>
      </w:r>
    </w:p>
    <w:p w:rsidR="00902C46" w:rsidRDefault="00902C46" w:rsidP="00902C46">
      <w:pPr>
        <w:pStyle w:val="ListBullet"/>
      </w:pPr>
      <w:r>
        <w:t>Uncontrolled disease, such as asthma, psoriasis, or inflammatory bowel disease where flares are commonly treated with oral or parenteral corticosteroids</w:t>
      </w:r>
      <w:r w:rsidR="002D7220">
        <w:t>.</w:t>
      </w:r>
    </w:p>
    <w:p w:rsidR="00902C46" w:rsidRDefault="00902C46" w:rsidP="00902C46">
      <w:pPr>
        <w:pStyle w:val="ListBullet"/>
      </w:pPr>
      <w:r>
        <w:t>Known active current or history of recurrent bacterial, viral, fungal, mycobacterial, or other infections (including but not limited to tuberculosis and atypical mycobacterial disease, clinically significant abnormalities on chest x-ray as determined by the investigator, hepatitis B and C, and herpes zoster, but excluding fungal infections of nail beds) or any major episode of infection requiring hospitalization or treatment with IV antibiotics within 4 weeks of screening or oral antibiotics within 2 weeks prior to screening</w:t>
      </w:r>
      <w:r w:rsidR="002D7220">
        <w:t>.</w:t>
      </w:r>
    </w:p>
    <w:p w:rsidR="00902C46" w:rsidRDefault="00902C46" w:rsidP="00902C46">
      <w:pPr>
        <w:pStyle w:val="ListBullet"/>
      </w:pPr>
      <w:r>
        <w:t>Evidence of chronic active hepatitis B or C infection</w:t>
      </w:r>
      <w:r w:rsidR="002D7220">
        <w:t>.</w:t>
      </w:r>
    </w:p>
    <w:p w:rsidR="00902C46" w:rsidRDefault="00902C46" w:rsidP="00902C46">
      <w:pPr>
        <w:pStyle w:val="ListBullet"/>
      </w:pPr>
      <w:r>
        <w:t>Primary or secondary immunodeficiency (history of or currently active)</w:t>
      </w:r>
      <w:r w:rsidR="002D7220">
        <w:t>.</w:t>
      </w:r>
    </w:p>
    <w:p w:rsidR="00902C46" w:rsidRDefault="00902C46" w:rsidP="00902C46">
      <w:pPr>
        <w:pStyle w:val="ListBullet"/>
      </w:pPr>
      <w:r>
        <w:t>Evidence of active malignant disease, malignancies diagnosed or treated within the previous 10 years including haematologic malignancies and solid tumors (except basal cell carcinoma of the skin that has been excised and cured), or breast cancer diagnosed or treated within the previous 20 years</w:t>
      </w:r>
      <w:r w:rsidR="002D7220">
        <w:t>.</w:t>
      </w:r>
    </w:p>
    <w:p w:rsidR="00902C46" w:rsidRDefault="00902C46" w:rsidP="00902C46">
      <w:pPr>
        <w:pStyle w:val="ListBullet"/>
      </w:pPr>
      <w:r>
        <w:t>Pregnant women or nursing (breastfeeding) mothers</w:t>
      </w:r>
      <w:r w:rsidR="002D7220">
        <w:t>.</w:t>
      </w:r>
    </w:p>
    <w:p w:rsidR="00902C46" w:rsidRDefault="00902C46" w:rsidP="00902C46">
      <w:pPr>
        <w:pStyle w:val="ListBullet"/>
      </w:pPr>
      <w:r>
        <w:t>History of alcohol, drug, or chemical abuse within the 6 months prior to screening</w:t>
      </w:r>
      <w:r w:rsidR="002D7220">
        <w:t>.</w:t>
      </w:r>
    </w:p>
    <w:p w:rsidR="00902C46" w:rsidRDefault="00902C46" w:rsidP="00902C46">
      <w:pPr>
        <w:pStyle w:val="ListBullet"/>
      </w:pPr>
      <w:r>
        <w:t>Patients with lack of peripheral venous access</w:t>
      </w:r>
      <w:r w:rsidR="002D7220">
        <w:t>.</w:t>
      </w:r>
    </w:p>
    <w:p w:rsidR="00902C46" w:rsidRDefault="00902C46" w:rsidP="00902C46">
      <w:r>
        <w:t>Laboratory criteria (at screening):</w:t>
      </w:r>
    </w:p>
    <w:p w:rsidR="00902C46" w:rsidRDefault="00902C46" w:rsidP="00902C46">
      <w:pPr>
        <w:pStyle w:val="ListBullet"/>
      </w:pPr>
      <w:r>
        <w:t xml:space="preserve">Serum creatinine </w:t>
      </w:r>
      <w:r>
        <w:rPr>
          <w:rFonts w:eastAsia="SymbolMT"/>
        </w:rPr>
        <w:t>&gt;</w:t>
      </w:r>
      <w:r>
        <w:t xml:space="preserve">124 μmol/L in female patients and </w:t>
      </w:r>
      <w:r>
        <w:rPr>
          <w:rFonts w:eastAsia="SymbolMT"/>
        </w:rPr>
        <w:t>&gt;</w:t>
      </w:r>
      <w:r>
        <w:t>141 μmol/L in male patients</w:t>
      </w:r>
    </w:p>
    <w:p w:rsidR="00902C46" w:rsidRDefault="00902C46" w:rsidP="00902C46">
      <w:pPr>
        <w:pStyle w:val="ListBullet"/>
      </w:pPr>
      <w:r>
        <w:t xml:space="preserve">ALT or AST </w:t>
      </w:r>
      <w:r>
        <w:rPr>
          <w:rFonts w:eastAsia="SymbolMT"/>
        </w:rPr>
        <w:t>&gt;</w:t>
      </w:r>
      <w:r>
        <w:t>1.5xULN</w:t>
      </w:r>
    </w:p>
    <w:p w:rsidR="00902C46" w:rsidRDefault="00902C46" w:rsidP="00902C46">
      <w:pPr>
        <w:pStyle w:val="ListBullet"/>
      </w:pPr>
      <w:r>
        <w:t xml:space="preserve">Platelet count </w:t>
      </w:r>
      <w:r>
        <w:rPr>
          <w:rFonts w:eastAsia="SymbolMT"/>
        </w:rPr>
        <w:t>&lt;</w:t>
      </w:r>
      <w:r>
        <w:t>100x10</w:t>
      </w:r>
      <w:r>
        <w:rPr>
          <w:vertAlign w:val="superscript"/>
        </w:rPr>
        <w:t>9</w:t>
      </w:r>
      <w:r>
        <w:t>/L</w:t>
      </w:r>
    </w:p>
    <w:p w:rsidR="00902C46" w:rsidRDefault="00902C46" w:rsidP="00902C46">
      <w:pPr>
        <w:pStyle w:val="ListBullet"/>
      </w:pPr>
      <w:r>
        <w:t xml:space="preserve">Haemoglobin </w:t>
      </w:r>
      <w:r>
        <w:rPr>
          <w:rFonts w:eastAsia="SymbolMT"/>
        </w:rPr>
        <w:t>&lt;</w:t>
      </w:r>
      <w:r>
        <w:t xml:space="preserve">85 g/L </w:t>
      </w:r>
    </w:p>
    <w:p w:rsidR="00902C46" w:rsidRDefault="00902C46" w:rsidP="00902C46">
      <w:pPr>
        <w:pStyle w:val="ListBullet"/>
      </w:pPr>
      <w:r>
        <w:t xml:space="preserve">White blood cells count </w:t>
      </w:r>
      <w:r>
        <w:rPr>
          <w:rFonts w:eastAsia="SymbolMT"/>
        </w:rPr>
        <w:t>&lt;</w:t>
      </w:r>
      <w:r>
        <w:t>3x10</w:t>
      </w:r>
      <w:r>
        <w:rPr>
          <w:vertAlign w:val="superscript"/>
        </w:rPr>
        <w:t>9</w:t>
      </w:r>
      <w:r>
        <w:t xml:space="preserve">/L </w:t>
      </w:r>
    </w:p>
    <w:p w:rsidR="00902C46" w:rsidRDefault="00902C46" w:rsidP="00902C46">
      <w:pPr>
        <w:pStyle w:val="ListBullet"/>
      </w:pPr>
      <w:r>
        <w:t xml:space="preserve">Absolute neutrophil count </w:t>
      </w:r>
      <w:r>
        <w:rPr>
          <w:rFonts w:eastAsia="SymbolMT"/>
        </w:rPr>
        <w:t>&lt;</w:t>
      </w:r>
      <w:r>
        <w:t>2x10</w:t>
      </w:r>
      <w:r>
        <w:rPr>
          <w:vertAlign w:val="superscript"/>
        </w:rPr>
        <w:t>9</w:t>
      </w:r>
      <w:r>
        <w:t>/L</w:t>
      </w:r>
    </w:p>
    <w:p w:rsidR="00902C46" w:rsidRDefault="00902C46" w:rsidP="00902C46">
      <w:pPr>
        <w:pStyle w:val="ListBullet"/>
      </w:pPr>
      <w:r>
        <w:t xml:space="preserve">Absolute lymphocyte count </w:t>
      </w:r>
      <w:r>
        <w:rPr>
          <w:rFonts w:eastAsia="SymbolMT"/>
        </w:rPr>
        <w:t>&lt;</w:t>
      </w:r>
      <w:r>
        <w:t>0.5x10</w:t>
      </w:r>
      <w:r>
        <w:rPr>
          <w:vertAlign w:val="superscript"/>
        </w:rPr>
        <w:t>9</w:t>
      </w:r>
      <w:r>
        <w:t>/L</w:t>
      </w:r>
    </w:p>
    <w:p w:rsidR="00902C46" w:rsidRDefault="00902C46" w:rsidP="00902C46">
      <w:pPr>
        <w:pStyle w:val="ListBullet"/>
      </w:pPr>
      <w:r>
        <w:t>Positive hepatitis B surface antigen (HBsAg), hepatitis B core antibody (</w:t>
      </w:r>
      <w:proofErr w:type="spellStart"/>
      <w:r>
        <w:t>HBcAb</w:t>
      </w:r>
      <w:proofErr w:type="spellEnd"/>
      <w:r>
        <w:t>), or hepatitis C antibody</w:t>
      </w:r>
    </w:p>
    <w:p w:rsidR="00902C46" w:rsidRDefault="00902C46" w:rsidP="00902C46">
      <w:r>
        <w:t>Previous or Concomitant Therapy:</w:t>
      </w:r>
    </w:p>
    <w:p w:rsidR="00902C46" w:rsidRDefault="00902C46" w:rsidP="00902C46">
      <w:pPr>
        <w:pStyle w:val="ListBullet"/>
      </w:pPr>
      <w:r>
        <w:t>Previous treatment with any cell depleting therapies, including investigational agents (</w:t>
      </w:r>
      <w:r w:rsidR="00E24862">
        <w:t>for example</w:t>
      </w:r>
      <w:r>
        <w:t>, CAMPATH, anti-CD4, anti-CD5, anti-CD3, anti-CD19, belimumab, anti-CD20 [excluding rituximab])</w:t>
      </w:r>
      <w:r w:rsidR="002D7220">
        <w:t>.</w:t>
      </w:r>
    </w:p>
    <w:p w:rsidR="00902C46" w:rsidRDefault="00902C46" w:rsidP="00902C46">
      <w:pPr>
        <w:pStyle w:val="ListBullet"/>
      </w:pPr>
      <w:r>
        <w:lastRenderedPageBreak/>
        <w:t>Treatment with IV gamma globulin, plasmapheresis, or Prosorba column within 6 months of baseline</w:t>
      </w:r>
      <w:r w:rsidR="002D7220">
        <w:t>.</w:t>
      </w:r>
    </w:p>
    <w:p w:rsidR="00902C46" w:rsidRDefault="00902C46" w:rsidP="00902C46">
      <w:pPr>
        <w:pStyle w:val="ListBullet"/>
      </w:pPr>
      <w:r>
        <w:t>Treatment with anti-TNF therapy or any other biologic disease-modifying anti-rheumatic drug (DMARD) at any time during the study</w:t>
      </w:r>
      <w:r w:rsidR="002D7220">
        <w:t>.</w:t>
      </w:r>
    </w:p>
    <w:p w:rsidR="00902C46" w:rsidRDefault="00902C46" w:rsidP="00902C46">
      <w:pPr>
        <w:pStyle w:val="ListBullet"/>
      </w:pPr>
      <w:r>
        <w:t>Treatment with leflunomide or azathioprine within 4 weeks prior to baseline or at any time during the study</w:t>
      </w:r>
      <w:r w:rsidR="002D7220">
        <w:t>.</w:t>
      </w:r>
    </w:p>
    <w:p w:rsidR="00902C46" w:rsidRDefault="00902C46" w:rsidP="00902C46">
      <w:pPr>
        <w:pStyle w:val="ListBullet"/>
      </w:pPr>
      <w:r>
        <w:t>Immunization with a live/attenuated vaccine within 4 weeks prior to baseline</w:t>
      </w:r>
      <w:r w:rsidR="002D7220">
        <w:t>.</w:t>
      </w:r>
    </w:p>
    <w:p w:rsidR="00902C46" w:rsidRDefault="00902C46" w:rsidP="002D7220">
      <w:pPr>
        <w:pStyle w:val="Heading6"/>
      </w:pPr>
      <w:bookmarkStart w:id="52" w:name="_Toc395285753"/>
      <w:bookmarkStart w:id="53" w:name="_Toc290846289"/>
      <w:r>
        <w:t>Study treatments</w:t>
      </w:r>
      <w:bookmarkEnd w:id="52"/>
      <w:bookmarkEnd w:id="53"/>
    </w:p>
    <w:p w:rsidR="002D7220" w:rsidRDefault="00902C46" w:rsidP="00902C46">
      <w:r>
        <w:t>All subjects enrolled in the study were to receive the same dosing regimen.</w:t>
      </w:r>
      <w:r w:rsidR="002D7220">
        <w:t xml:space="preserve"> </w:t>
      </w:r>
      <w:r>
        <w:t>Rituximab was dosed on up to four occasions.</w:t>
      </w:r>
      <w:r w:rsidR="002D7220">
        <w:t xml:space="preserve"> </w:t>
      </w:r>
      <w:r>
        <w:t>Each administered dose was 1000 mg and was infused through a dedicated line.</w:t>
      </w:r>
      <w:r w:rsidR="002D7220">
        <w:t xml:space="preserve"> </w:t>
      </w:r>
      <w:r>
        <w:t xml:space="preserve">The dosing schedule for the first infusion for the first course </w:t>
      </w:r>
      <w:r w:rsidR="002D7220">
        <w:t>is shown in Table 2.</w:t>
      </w:r>
    </w:p>
    <w:p w:rsidR="00902C46" w:rsidRDefault="002D7220" w:rsidP="00655C16">
      <w:pPr>
        <w:pStyle w:val="Tabletitle"/>
        <w:rPr>
          <w:rFonts w:ascii="Times New Roman" w:hAnsi="Times New Roman"/>
          <w:sz w:val="24"/>
        </w:rPr>
      </w:pPr>
      <w:r>
        <w:t>Table 2</w:t>
      </w:r>
      <w:r w:rsidR="00902C46">
        <w:t>:</w:t>
      </w:r>
      <w:r>
        <w:t xml:space="preserve"> Dosing schedule</w:t>
      </w:r>
      <w:r w:rsidR="00902C46">
        <w:t xml:space="preserve"> </w:t>
      </w:r>
      <w:r w:rsidR="00BE57A2">
        <w:t>for the first infusion of the first course</w:t>
      </w:r>
      <w:r w:rsidR="00902C46">
        <w:rPr>
          <w:rFonts w:ascii="Times New Roman" w:hAnsi="Times New Roman"/>
          <w:noProof/>
          <w:sz w:val="24"/>
          <w:lang w:eastAsia="en-AU"/>
        </w:rPr>
        <w:drawing>
          <wp:inline distT="0" distB="0" distL="0" distR="0" wp14:anchorId="48B9E2EE" wp14:editId="1E439456">
            <wp:extent cx="3987384" cy="1756499"/>
            <wp:effectExtent l="0" t="0" r="0" b="0"/>
            <wp:docPr id="3" name="Picture 3" descr="Table 2: Dosing schedule for the first infusion of the first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3997529" cy="1760968"/>
                    </a:xfrm>
                    <a:prstGeom prst="rect">
                      <a:avLst/>
                    </a:prstGeom>
                    <a:noFill/>
                    <a:ln>
                      <a:noFill/>
                    </a:ln>
                  </pic:spPr>
                </pic:pic>
              </a:graphicData>
            </a:graphic>
          </wp:inline>
        </w:drawing>
      </w:r>
    </w:p>
    <w:p w:rsidR="00902C46" w:rsidRDefault="00902C46" w:rsidP="00902C46">
      <w:pPr>
        <w:rPr>
          <w:kern w:val="16"/>
          <w:lang w:eastAsia="en-AU"/>
        </w:rPr>
      </w:pPr>
      <w:r>
        <w:rPr>
          <w:lang w:val="en-US"/>
        </w:rPr>
        <w:t>In the event that the patient experienced an infusion-related reaction, the infusion rate was to be reduced to half that rate (</w:t>
      </w:r>
      <w:r w:rsidR="00E24862">
        <w:rPr>
          <w:lang w:val="en-US"/>
        </w:rPr>
        <w:t>for example</w:t>
      </w:r>
      <w:r w:rsidR="00FA6F8E">
        <w:rPr>
          <w:lang w:val="en-US"/>
        </w:rPr>
        <w:t>,</w:t>
      </w:r>
      <w:r>
        <w:rPr>
          <w:lang w:val="en-US"/>
        </w:rPr>
        <w:t xml:space="preserve"> from 100 mg/hour to 50 mg/hour).</w:t>
      </w:r>
      <w:r w:rsidR="002D7220">
        <w:rPr>
          <w:lang w:val="en-US"/>
        </w:rPr>
        <w:t xml:space="preserve"> </w:t>
      </w:r>
      <w:r>
        <w:rPr>
          <w:lang w:val="en-US"/>
        </w:rPr>
        <w:t>Once the AE had resolved, the investigator was to wait an additional 30 minutes while delivering the infusion at the reduced rate.</w:t>
      </w:r>
      <w:r w:rsidR="002D7220">
        <w:rPr>
          <w:lang w:val="en-US"/>
        </w:rPr>
        <w:t xml:space="preserve"> </w:t>
      </w:r>
      <w:r>
        <w:rPr>
          <w:lang w:val="en-US"/>
        </w:rPr>
        <w:t>If tolerated, the rate was to be increased to the next closest rate on the patient’s infusion schedule.</w:t>
      </w:r>
      <w:r w:rsidR="002D7220">
        <w:rPr>
          <w:lang w:val="en-US"/>
        </w:rPr>
        <w:t xml:space="preserve"> </w:t>
      </w:r>
      <w:r>
        <w:rPr>
          <w:lang w:val="en-US"/>
        </w:rPr>
        <w:t>The minimum infusion duration was 4.25 hours.</w:t>
      </w:r>
    </w:p>
    <w:p w:rsidR="00902C46" w:rsidRDefault="00902C46" w:rsidP="00902C46">
      <w:r>
        <w:rPr>
          <w:lang w:val="en-US"/>
        </w:rPr>
        <w:t>Patients who experienced a moderate-to-severe infusion-related reaction (</w:t>
      </w:r>
      <w:r w:rsidR="00E24862">
        <w:rPr>
          <w:lang w:val="en-US"/>
        </w:rPr>
        <w:t>for example</w:t>
      </w:r>
      <w:r w:rsidR="00FA6F8E">
        <w:rPr>
          <w:lang w:val="en-US"/>
        </w:rPr>
        <w:t>,</w:t>
      </w:r>
      <w:r>
        <w:rPr>
          <w:lang w:val="en-US"/>
        </w:rPr>
        <w:t xml:space="preserve"> fever, chills, hypotension) were to have their infusion interrupted immediately and to receive symptomatic treatment.</w:t>
      </w:r>
      <w:r w:rsidR="002D7220">
        <w:rPr>
          <w:lang w:val="en-US"/>
        </w:rPr>
        <w:t xml:space="preserve"> </w:t>
      </w:r>
      <w:r>
        <w:rPr>
          <w:lang w:val="en-US"/>
        </w:rPr>
        <w:t>The infusion was not to be restarted until all of the symptoms had disappeared.</w:t>
      </w:r>
      <w:r w:rsidR="002D7220">
        <w:rPr>
          <w:lang w:val="en-US"/>
        </w:rPr>
        <w:t xml:space="preserve"> </w:t>
      </w:r>
      <w:r>
        <w:rPr>
          <w:lang w:val="en-US"/>
        </w:rPr>
        <w:t>The infusion was to be restarted at half the rate.</w:t>
      </w:r>
      <w:r w:rsidR="002D7220">
        <w:rPr>
          <w:lang w:val="en-US"/>
        </w:rPr>
        <w:t xml:space="preserve"> </w:t>
      </w:r>
      <w:r>
        <w:rPr>
          <w:lang w:val="en-US"/>
        </w:rPr>
        <w:t>If the patient tolerated the reduced rate for 30 minutes, the infusion rate was to be increased to the next closest rate following the infusion schedule.</w:t>
      </w:r>
      <w:r w:rsidR="002D7220">
        <w:rPr>
          <w:lang w:val="en-US"/>
        </w:rPr>
        <w:t xml:space="preserve"> </w:t>
      </w:r>
      <w:r>
        <w:rPr>
          <w:lang w:val="en-US"/>
        </w:rPr>
        <w:t>If the symptoms did not resolve with treatment, the subject was to be withdrawn from the treatment period of the study.</w:t>
      </w:r>
      <w:r w:rsidR="002D7220">
        <w:rPr>
          <w:lang w:val="en-US"/>
        </w:rPr>
        <w:t xml:space="preserve"> </w:t>
      </w:r>
      <w:r>
        <w:rPr>
          <w:lang w:val="en-US"/>
        </w:rPr>
        <w:t>Any patient experiencing a serious infusion-related reaction was to be withdrawn from the study.</w:t>
      </w:r>
    </w:p>
    <w:p w:rsidR="00BE57A2" w:rsidRDefault="00902C46" w:rsidP="00902C46">
      <w:pPr>
        <w:rPr>
          <w:bCs/>
          <w:lang w:val="en-US"/>
        </w:rPr>
      </w:pPr>
      <w:r>
        <w:rPr>
          <w:bCs/>
          <w:lang w:val="en-US"/>
        </w:rPr>
        <w:t xml:space="preserve">For the second Infusion of the first course (Day 15) and both first and second infusions of the second course (Day 168 and 182) the dosing regimen </w:t>
      </w:r>
      <w:r w:rsidR="00BE57A2">
        <w:rPr>
          <w:bCs/>
          <w:lang w:val="en-US"/>
        </w:rPr>
        <w:t>was as shown in Table 3 below.</w:t>
      </w:r>
    </w:p>
    <w:p w:rsidR="00902C46" w:rsidRDefault="00BE57A2" w:rsidP="00CD484B">
      <w:pPr>
        <w:pStyle w:val="Tabletitle"/>
        <w:rPr>
          <w:rFonts w:ascii="Times New Roman" w:hAnsi="Times New Roman"/>
          <w:kern w:val="16"/>
          <w:sz w:val="24"/>
          <w:lang w:val="en-US" w:eastAsia="en-AU"/>
        </w:rPr>
      </w:pPr>
      <w:r>
        <w:rPr>
          <w:lang w:val="en-US"/>
        </w:rPr>
        <w:lastRenderedPageBreak/>
        <w:t>Table 3</w:t>
      </w:r>
      <w:r w:rsidR="00902C46">
        <w:rPr>
          <w:lang w:val="en-US"/>
        </w:rPr>
        <w:t>:</w:t>
      </w:r>
      <w:r>
        <w:rPr>
          <w:lang w:val="en-US"/>
        </w:rPr>
        <w:t xml:space="preserve"> Dosing regimen for second infusion of first course and second course</w:t>
      </w:r>
      <w:r w:rsidR="00902C46">
        <w:rPr>
          <w:rFonts w:ascii="Times New Roman" w:hAnsi="Times New Roman"/>
          <w:noProof/>
          <w:sz w:val="24"/>
          <w:lang w:eastAsia="en-AU"/>
        </w:rPr>
        <w:drawing>
          <wp:inline distT="0" distB="0" distL="0" distR="0" wp14:anchorId="219E72D9" wp14:editId="56A8ACDF">
            <wp:extent cx="4347148" cy="1209094"/>
            <wp:effectExtent l="0" t="0" r="0" b="0"/>
            <wp:docPr id="1" name="Picture 1" descr="Table 3: Dosing regimen for second infusion of first course and second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4351139" cy="1210204"/>
                    </a:xfrm>
                    <a:prstGeom prst="rect">
                      <a:avLst/>
                    </a:prstGeom>
                    <a:noFill/>
                    <a:ln>
                      <a:noFill/>
                    </a:ln>
                  </pic:spPr>
                </pic:pic>
              </a:graphicData>
            </a:graphic>
          </wp:inline>
        </w:drawing>
      </w:r>
    </w:p>
    <w:p w:rsidR="00902C46" w:rsidRDefault="00902C46" w:rsidP="00902C46">
      <w:pPr>
        <w:rPr>
          <w:lang w:val="en-US"/>
        </w:rPr>
      </w:pPr>
      <w:r>
        <w:rPr>
          <w:lang w:val="en-US"/>
        </w:rPr>
        <w:t>Patients who experienced a moderate-to-severe infusion-related reaction (</w:t>
      </w:r>
      <w:r w:rsidR="00E24862">
        <w:rPr>
          <w:lang w:val="en-US"/>
        </w:rPr>
        <w:t>for example</w:t>
      </w:r>
      <w:r w:rsidR="00FA6F8E">
        <w:rPr>
          <w:lang w:val="en-US"/>
        </w:rPr>
        <w:t>,</w:t>
      </w:r>
      <w:r>
        <w:rPr>
          <w:lang w:val="en-US"/>
        </w:rPr>
        <w:t xml:space="preserve"> fever, chills, or hypotension) were to have their infusion interrupted immediately and to receive symptomatic treatment.</w:t>
      </w:r>
      <w:r w:rsidR="002D7220">
        <w:rPr>
          <w:lang w:val="en-US"/>
        </w:rPr>
        <w:t xml:space="preserve"> </w:t>
      </w:r>
      <w:r>
        <w:rPr>
          <w:lang w:val="en-US"/>
        </w:rPr>
        <w:t>The infusion was not to be restarted until all of the symptoms had disappeared.</w:t>
      </w:r>
      <w:r w:rsidR="002D7220">
        <w:rPr>
          <w:lang w:val="en-US"/>
        </w:rPr>
        <w:t xml:space="preserve"> </w:t>
      </w:r>
      <w:r>
        <w:rPr>
          <w:lang w:val="en-US"/>
        </w:rPr>
        <w:t>The infusion was to be restarted at half the rate.</w:t>
      </w:r>
      <w:r w:rsidR="002D7220">
        <w:rPr>
          <w:lang w:val="en-US"/>
        </w:rPr>
        <w:t xml:space="preserve"> </w:t>
      </w:r>
      <w:r>
        <w:rPr>
          <w:lang w:val="en-US"/>
        </w:rPr>
        <w:t>If the patient tolerated the reduced rate for 30 minutes, the infusion rate was to be increased to the next closest rate following the infusion schedule.</w:t>
      </w:r>
      <w:r w:rsidR="002D7220">
        <w:rPr>
          <w:lang w:val="en-US"/>
        </w:rPr>
        <w:t xml:space="preserve"> </w:t>
      </w:r>
      <w:r>
        <w:rPr>
          <w:lang w:val="en-US"/>
        </w:rPr>
        <w:t>If the symptoms did not resolve with treatment, the subject was to be withdrawn from the treatment period of the study.</w:t>
      </w:r>
      <w:r w:rsidR="002D7220">
        <w:rPr>
          <w:lang w:val="en-US"/>
        </w:rPr>
        <w:t xml:space="preserve"> </w:t>
      </w:r>
      <w:r>
        <w:rPr>
          <w:lang w:val="en-US"/>
        </w:rPr>
        <w:t>Any patient experiencing a serious infusion-related reaction was to be withdrawn from the study.</w:t>
      </w:r>
    </w:p>
    <w:p w:rsidR="00902C46" w:rsidRDefault="00902C46" w:rsidP="00BE57A2">
      <w:pPr>
        <w:rPr>
          <w:lang w:val="en-US"/>
        </w:rPr>
      </w:pPr>
      <w:r>
        <w:rPr>
          <w:lang w:val="en-US"/>
        </w:rPr>
        <w:t>All subjects received the following pre-medication before each infusion:</w:t>
      </w:r>
    </w:p>
    <w:p w:rsidR="00902C46" w:rsidRDefault="00902C46" w:rsidP="00902C46">
      <w:pPr>
        <w:pStyle w:val="Numberbullet0"/>
        <w:rPr>
          <w:lang w:val="en-US"/>
        </w:rPr>
      </w:pPr>
      <w:r>
        <w:rPr>
          <w:lang w:val="en-US"/>
        </w:rPr>
        <w:t>Methylprednisolone 100 mg by slow intravenous infusion (over 10 to 15 minutes) administered at least 30 minutes prior to each infusion.</w:t>
      </w:r>
    </w:p>
    <w:p w:rsidR="00902C46" w:rsidRDefault="00902C46" w:rsidP="00902C46">
      <w:pPr>
        <w:pStyle w:val="Numberbullet0"/>
        <w:rPr>
          <w:lang w:val="en-US"/>
        </w:rPr>
      </w:pPr>
      <w:r>
        <w:rPr>
          <w:lang w:val="en-US"/>
        </w:rPr>
        <w:t>Acetaminophen 1 g administered orally 30 to 60 minutes prior to each infusion.</w:t>
      </w:r>
    </w:p>
    <w:p w:rsidR="00902C46" w:rsidRDefault="00902C46" w:rsidP="00902C46">
      <w:pPr>
        <w:pStyle w:val="Numberbullet0"/>
        <w:rPr>
          <w:kern w:val="16"/>
          <w:lang w:val="en-US" w:eastAsia="en-AU"/>
        </w:rPr>
      </w:pPr>
      <w:r>
        <w:rPr>
          <w:lang w:val="en-US"/>
        </w:rPr>
        <w:t>An antihistamine (diphenhydramine HC</w:t>
      </w:r>
      <w:r w:rsidR="00BE57A2">
        <w:rPr>
          <w:lang w:val="en-US"/>
        </w:rPr>
        <w:t>l</w:t>
      </w:r>
      <w:r>
        <w:rPr>
          <w:lang w:val="en-US"/>
        </w:rPr>
        <w:t xml:space="preserve"> 50 mg or equivalent dose of alternate) administered orally 30 to 60 minutes prior to each infusion.</w:t>
      </w:r>
    </w:p>
    <w:p w:rsidR="00902C46" w:rsidRDefault="00902C46" w:rsidP="00902C46">
      <w:pPr>
        <w:rPr>
          <w:lang w:val="en-US"/>
        </w:rPr>
      </w:pPr>
      <w:r>
        <w:rPr>
          <w:lang w:val="en-US"/>
        </w:rPr>
        <w:t>All patients continued to receive MTX 10 to 25 mg/week (oral or parenteral), as prescribed by their treating physician.</w:t>
      </w:r>
      <w:r w:rsidR="002D7220">
        <w:rPr>
          <w:lang w:val="en-US"/>
        </w:rPr>
        <w:t xml:space="preserve"> </w:t>
      </w:r>
      <w:r>
        <w:rPr>
          <w:lang w:val="en-US"/>
        </w:rPr>
        <w:t xml:space="preserve">Patients were required to be treated with MTX for </w:t>
      </w:r>
      <w:r>
        <w:rPr>
          <w:rFonts w:eastAsia="SymbolMT"/>
          <w:lang w:val="en-US"/>
        </w:rPr>
        <w:t xml:space="preserve">≥ </w:t>
      </w:r>
      <w:r>
        <w:rPr>
          <w:lang w:val="en-US"/>
        </w:rPr>
        <w:t>8 weeks prior to baseline.</w:t>
      </w:r>
      <w:r w:rsidR="002D7220">
        <w:rPr>
          <w:lang w:val="en-US"/>
        </w:rPr>
        <w:t xml:space="preserve"> </w:t>
      </w:r>
      <w:r>
        <w:rPr>
          <w:lang w:val="en-US"/>
        </w:rPr>
        <w:t>Changes in MTX dose were allowed as long as the patient remained on a dose of 10 to 25 mg/week.</w:t>
      </w:r>
      <w:r w:rsidR="002D7220">
        <w:rPr>
          <w:lang w:val="en-US"/>
        </w:rPr>
        <w:t xml:space="preserve"> </w:t>
      </w:r>
      <w:r>
        <w:rPr>
          <w:lang w:val="en-US"/>
        </w:rPr>
        <w:t>All patients also received folic acid (</w:t>
      </w:r>
      <w:r>
        <w:rPr>
          <w:rFonts w:eastAsia="SymbolMT"/>
          <w:lang w:val="en-US"/>
        </w:rPr>
        <w:t xml:space="preserve">≥ </w:t>
      </w:r>
      <w:r>
        <w:rPr>
          <w:lang w:val="en-US"/>
        </w:rPr>
        <w:t>5 mg/week) given as either a single weekly dose or as a divided daily dose at the discretion of the investigator.</w:t>
      </w:r>
    </w:p>
    <w:p w:rsidR="00902C46" w:rsidRDefault="00902C46" w:rsidP="00BE57A2">
      <w:pPr>
        <w:pStyle w:val="Heading6"/>
      </w:pPr>
      <w:bookmarkStart w:id="54" w:name="_Toc395285754"/>
      <w:bookmarkStart w:id="55" w:name="_Toc290846290"/>
      <w:r>
        <w:t>Safety variables and outcomes</w:t>
      </w:r>
      <w:bookmarkEnd w:id="54"/>
      <w:bookmarkEnd w:id="55"/>
    </w:p>
    <w:p w:rsidR="00902C46" w:rsidRDefault="00902C46" w:rsidP="00902C46">
      <w:pPr>
        <w:rPr>
          <w:szCs w:val="24"/>
        </w:rPr>
      </w:pPr>
      <w:r>
        <w:t xml:space="preserve">The primary safety outcome measure was </w:t>
      </w:r>
      <w:r>
        <w:rPr>
          <w:lang w:val="en-US"/>
        </w:rPr>
        <w:t>the incidence of IRRs associated with the second rituximab infusion.</w:t>
      </w:r>
      <w:r w:rsidR="002D7220">
        <w:rPr>
          <w:lang w:val="en-US"/>
        </w:rPr>
        <w:t xml:space="preserve"> </w:t>
      </w:r>
      <w:r>
        <w:rPr>
          <w:lang w:val="en-US"/>
        </w:rPr>
        <w:t>The secondary safety outcome measures were:</w:t>
      </w:r>
    </w:p>
    <w:p w:rsidR="00902C46" w:rsidRDefault="00902C46" w:rsidP="00902C46">
      <w:pPr>
        <w:pStyle w:val="ListBullet"/>
      </w:pPr>
      <w:r>
        <w:rPr>
          <w:lang w:val="en-US"/>
        </w:rPr>
        <w:t>Incidence of SIRRs associated with the second rituximab infusion</w:t>
      </w:r>
      <w:r w:rsidR="00BE57A2">
        <w:rPr>
          <w:lang w:val="en-US"/>
        </w:rPr>
        <w:t>.</w:t>
      </w:r>
    </w:p>
    <w:p w:rsidR="00902C46" w:rsidRDefault="00902C46" w:rsidP="00902C46">
      <w:pPr>
        <w:pStyle w:val="ListBullet"/>
        <w:rPr>
          <w:lang w:val="en-US"/>
        </w:rPr>
      </w:pPr>
      <w:r>
        <w:rPr>
          <w:lang w:val="en-US"/>
        </w:rPr>
        <w:t>Incidence of IRRs and SIRRs associated with the third rituximab infusion</w:t>
      </w:r>
      <w:r w:rsidR="00BE57A2">
        <w:rPr>
          <w:lang w:val="en-US"/>
        </w:rPr>
        <w:t>.</w:t>
      </w:r>
    </w:p>
    <w:p w:rsidR="00902C46" w:rsidRDefault="00902C46" w:rsidP="00902C46">
      <w:pPr>
        <w:pStyle w:val="ListBullet"/>
        <w:rPr>
          <w:lang w:val="en-US"/>
        </w:rPr>
      </w:pPr>
      <w:r>
        <w:rPr>
          <w:lang w:val="en-US"/>
        </w:rPr>
        <w:t>Incidence of Common Toxicity Criteria (CTC) Grade 3 or 4 AEs occurring during or within 24 hours following the second rituximab infusion</w:t>
      </w:r>
      <w:r w:rsidR="00BE57A2">
        <w:rPr>
          <w:lang w:val="en-US"/>
        </w:rPr>
        <w:t>.</w:t>
      </w:r>
    </w:p>
    <w:p w:rsidR="00902C46" w:rsidRDefault="00902C46" w:rsidP="00902C46">
      <w:pPr>
        <w:pStyle w:val="ListBullet"/>
        <w:rPr>
          <w:lang w:val="en-US"/>
        </w:rPr>
      </w:pPr>
      <w:r>
        <w:rPr>
          <w:lang w:val="en-US"/>
        </w:rPr>
        <w:t>Incidence of stopping/slowing/interrupting the second rituximab infusion</w:t>
      </w:r>
      <w:r w:rsidR="00BE57A2">
        <w:rPr>
          <w:lang w:val="en-US"/>
        </w:rPr>
        <w:t>.</w:t>
      </w:r>
    </w:p>
    <w:p w:rsidR="00902C46" w:rsidRDefault="00902C46" w:rsidP="00902C46">
      <w:pPr>
        <w:pStyle w:val="ListBullet"/>
        <w:rPr>
          <w:lang w:val="en-US"/>
        </w:rPr>
      </w:pPr>
      <w:r>
        <w:rPr>
          <w:lang w:val="en-US"/>
        </w:rPr>
        <w:t>Incidence of CTC Grade 3 or 4 AEs occurring during or within 24 hours following the third rituximab infusion</w:t>
      </w:r>
      <w:r w:rsidR="00BE57A2">
        <w:rPr>
          <w:lang w:val="en-US"/>
        </w:rPr>
        <w:t>.</w:t>
      </w:r>
    </w:p>
    <w:p w:rsidR="00902C46" w:rsidRDefault="00902C46" w:rsidP="00902C46">
      <w:pPr>
        <w:pStyle w:val="ListBullet"/>
        <w:rPr>
          <w:lang w:val="en-US"/>
        </w:rPr>
      </w:pPr>
      <w:r>
        <w:rPr>
          <w:lang w:val="en-US"/>
        </w:rPr>
        <w:t>Incidence of stopping/slowing/interrupting the third rituximab infusion</w:t>
      </w:r>
      <w:r w:rsidR="00BE57A2">
        <w:rPr>
          <w:lang w:val="en-US"/>
        </w:rPr>
        <w:t>.</w:t>
      </w:r>
    </w:p>
    <w:p w:rsidR="00902C46" w:rsidRDefault="00902C46" w:rsidP="00BE57A2">
      <w:pPr>
        <w:rPr>
          <w:lang w:val="en-US"/>
        </w:rPr>
      </w:pPr>
      <w:r>
        <w:rPr>
          <w:lang w:val="en-US"/>
        </w:rPr>
        <w:t>The data were also analyzed by the subgroups of rituximab-naïve and rituximab-experienced subjects.</w:t>
      </w:r>
    </w:p>
    <w:p w:rsidR="00902C46" w:rsidRDefault="00902C46" w:rsidP="00BE57A2">
      <w:pPr>
        <w:pStyle w:val="Heading6"/>
      </w:pPr>
      <w:bookmarkStart w:id="56" w:name="_Toc395285755"/>
      <w:bookmarkStart w:id="57" w:name="_Toc290846291"/>
      <w:r>
        <w:lastRenderedPageBreak/>
        <w:t>Randomisation and blinding methods</w:t>
      </w:r>
      <w:bookmarkEnd w:id="56"/>
      <w:bookmarkEnd w:id="57"/>
    </w:p>
    <w:p w:rsidR="00902C46" w:rsidRDefault="00902C46" w:rsidP="00902C46">
      <w:pPr>
        <w:rPr>
          <w:szCs w:val="24"/>
        </w:rPr>
      </w:pPr>
      <w:r>
        <w:t>The study was a single arm, open label study.</w:t>
      </w:r>
    </w:p>
    <w:p w:rsidR="00902C46" w:rsidRDefault="00902C46" w:rsidP="00BE57A2">
      <w:pPr>
        <w:pStyle w:val="Heading6"/>
      </w:pPr>
      <w:bookmarkStart w:id="58" w:name="_Toc395285756"/>
      <w:bookmarkStart w:id="59" w:name="_Toc290846292"/>
      <w:r>
        <w:t>Analysis populations</w:t>
      </w:r>
      <w:bookmarkEnd w:id="58"/>
      <w:bookmarkEnd w:id="59"/>
    </w:p>
    <w:p w:rsidR="00902C46" w:rsidRDefault="00902C46" w:rsidP="00902C46">
      <w:pPr>
        <w:rPr>
          <w:szCs w:val="24"/>
        </w:rPr>
      </w:pPr>
      <w:r>
        <w:rPr>
          <w:lang w:val="en-US"/>
        </w:rPr>
        <w:t>The safety evaluable population included all patients who received rituximab during the study and had at least one safety assessment during or after the rituximab infusion.</w:t>
      </w:r>
    </w:p>
    <w:p w:rsidR="00902C46" w:rsidRDefault="00902C46" w:rsidP="00BE57A2">
      <w:pPr>
        <w:pStyle w:val="Heading6"/>
      </w:pPr>
      <w:bookmarkStart w:id="60" w:name="_Toc290846294"/>
      <w:bookmarkStart w:id="61" w:name="_Toc395285757"/>
      <w:r>
        <w:t>Statistical methods</w:t>
      </w:r>
      <w:bookmarkEnd w:id="60"/>
      <w:bookmarkEnd w:id="61"/>
    </w:p>
    <w:p w:rsidR="00902C46" w:rsidRDefault="00902C46" w:rsidP="00902C46">
      <w:pPr>
        <w:rPr>
          <w:szCs w:val="24"/>
        </w:rPr>
      </w:pPr>
      <w:r>
        <w:t>The data were summarized as incidence rates with 95% CIs.</w:t>
      </w:r>
    </w:p>
    <w:p w:rsidR="00902C46" w:rsidRDefault="00902C46" w:rsidP="00BE57A2">
      <w:pPr>
        <w:pStyle w:val="Heading6"/>
      </w:pPr>
      <w:bookmarkStart w:id="62" w:name="_Participant_flow"/>
      <w:bookmarkStart w:id="63" w:name="_Toc290846295"/>
      <w:bookmarkStart w:id="64" w:name="_Toc395285758"/>
      <w:bookmarkEnd w:id="62"/>
      <w:r>
        <w:t>Participant flow</w:t>
      </w:r>
      <w:bookmarkEnd w:id="63"/>
      <w:bookmarkEnd w:id="64"/>
    </w:p>
    <w:p w:rsidR="00902C46" w:rsidRDefault="00902C46" w:rsidP="00BE57A2">
      <w:r>
        <w:t>There were 351 subjects who received Infusion</w:t>
      </w:r>
      <w:r w:rsidR="00F72551">
        <w:t xml:space="preserve"> one</w:t>
      </w:r>
      <w:r>
        <w:t xml:space="preserve">, 341 (97.2%) who received Infusion </w:t>
      </w:r>
      <w:r w:rsidR="00F72551">
        <w:t>two</w:t>
      </w:r>
      <w:r>
        <w:t xml:space="preserve">, 290 (82.6%) who received Infusion </w:t>
      </w:r>
      <w:r w:rsidR="00F72551">
        <w:t>three</w:t>
      </w:r>
      <w:r>
        <w:t xml:space="preserve"> and 278 (79.2%) who received Infusion </w:t>
      </w:r>
      <w:r w:rsidR="00F72551">
        <w:t>four</w:t>
      </w:r>
      <w:r>
        <w:t xml:space="preserve"> (</w:t>
      </w:r>
      <w:r w:rsidR="00BE57A2">
        <w:t>Table 4</w:t>
      </w:r>
      <w:r>
        <w:t>).</w:t>
      </w:r>
      <w:r w:rsidR="002D7220">
        <w:t xml:space="preserve"> </w:t>
      </w:r>
      <w:r>
        <w:t>A total of 73 (20.8%) subjects discontinued before Week 30: 19 (5.4%) because of AE, 20 (5.7%) due to protocol violation and 23 (6.6%) because of the Subject’s decision.</w:t>
      </w:r>
      <w:r w:rsidR="002D7220">
        <w:t xml:space="preserve"> </w:t>
      </w:r>
      <w:r>
        <w:t xml:space="preserve">Not all of the subjects received the intended faster infusion rate for the second and subsequent infusions: 337 (98.8%) of the subjects that received Infusion </w:t>
      </w:r>
      <w:r w:rsidR="00F72551">
        <w:t>two</w:t>
      </w:r>
      <w:r>
        <w:t xml:space="preserve">, 289 (99.7%) at Infusion </w:t>
      </w:r>
      <w:r w:rsidR="00F72551">
        <w:t>three</w:t>
      </w:r>
      <w:r>
        <w:t xml:space="preserve"> and 278 (100%) at Infusion </w:t>
      </w:r>
      <w:r w:rsidR="00F72551">
        <w:t>four.</w:t>
      </w:r>
    </w:p>
    <w:bookmarkStart w:id="65" w:name="Table_8_2_1_1"/>
    <w:p w:rsidR="00BE57A2" w:rsidRPr="00C63039" w:rsidRDefault="00BE57A2" w:rsidP="00655C16">
      <w:pPr>
        <w:pStyle w:val="Tabletitle"/>
        <w:rPr>
          <w:rFonts w:ascii="Times New Roman" w:hAnsi="Times New Roman"/>
          <w:sz w:val="24"/>
        </w:rPr>
      </w:pPr>
      <w:r w:rsidRPr="00BE57A2">
        <w:lastRenderedPageBreak/>
        <w:fldChar w:fldCharType="begin"/>
      </w:r>
      <w:r w:rsidRPr="00BE57A2">
        <w:instrText xml:space="preserve"> HYPERLINK  \l "_Participant_flow" </w:instrText>
      </w:r>
      <w:r w:rsidRPr="00BE57A2">
        <w:fldChar w:fldCharType="separate"/>
      </w:r>
      <w:r w:rsidRPr="00BE57A2">
        <w:rPr>
          <w:rStyle w:val="Hyperlink"/>
          <w:color w:val="auto"/>
          <w:u w:val="none"/>
        </w:rPr>
        <w:t>Table 4:</w:t>
      </w:r>
      <w:bookmarkEnd w:id="65"/>
      <w:r w:rsidRPr="00BE57A2">
        <w:fldChar w:fldCharType="end"/>
      </w:r>
      <w:r w:rsidRPr="00BE57A2">
        <w:t xml:space="preserve"> Patient Disposition by Infusion for Study ML25641 </w:t>
      </w:r>
      <w:r>
        <w:rPr>
          <w:rFonts w:ascii="Times New Roman" w:hAnsi="Times New Roman"/>
          <w:noProof/>
          <w:sz w:val="24"/>
          <w:lang w:eastAsia="en-AU"/>
        </w:rPr>
        <w:drawing>
          <wp:inline distT="0" distB="0" distL="0" distR="0" wp14:anchorId="1FFCD023" wp14:editId="40C9A27C">
            <wp:extent cx="3890777" cy="5254283"/>
            <wp:effectExtent l="0" t="0" r="0" b="3810"/>
            <wp:docPr id="7" name="Picture 7" descr="Table 4: Patient Disposition by Infusion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3893270" cy="5257649"/>
                    </a:xfrm>
                    <a:prstGeom prst="rect">
                      <a:avLst/>
                    </a:prstGeom>
                    <a:noFill/>
                    <a:ln>
                      <a:noFill/>
                    </a:ln>
                  </pic:spPr>
                </pic:pic>
              </a:graphicData>
            </a:graphic>
          </wp:inline>
        </w:drawing>
      </w:r>
    </w:p>
    <w:p w:rsidR="00902C46" w:rsidRDefault="00902C46" w:rsidP="00BE57A2">
      <w:pPr>
        <w:pStyle w:val="Heading6"/>
      </w:pPr>
      <w:bookmarkStart w:id="66" w:name="_Toc395285759"/>
      <w:bookmarkStart w:id="67" w:name="_Toc290846296"/>
      <w:r>
        <w:t>Major protocol violations/deviations</w:t>
      </w:r>
      <w:bookmarkEnd w:id="66"/>
      <w:bookmarkEnd w:id="67"/>
    </w:p>
    <w:p w:rsidR="00902C46" w:rsidRDefault="00902C46" w:rsidP="00902C46">
      <w:pPr>
        <w:rPr>
          <w:szCs w:val="24"/>
        </w:rPr>
      </w:pPr>
      <w:r>
        <w:t xml:space="preserve">There were no listed protocol violations of Inclusion Criteria 2 (Patients with RA of </w:t>
      </w:r>
      <w:r>
        <w:rPr>
          <w:rFonts w:eastAsia="MS Mincho"/>
        </w:rPr>
        <w:t>≥</w:t>
      </w:r>
      <w:r>
        <w:t>6 months duration diagnosed according to the revised 1987 American College of Rheumatology) or Exclusion Criteria 2 (Rheumatic autoimmune disease other than RA, including systemic lupus erythematosus, mixed connective tissue disease, scleroderma, polymyositis, or significant systemic involvement secondary to RA (</w:t>
      </w:r>
      <w:r w:rsidR="00E24862">
        <w:t>for example,</w:t>
      </w:r>
      <w:r>
        <w:t>, vasculitis, pulmonary fibrosis or Felty’s syndrome).</w:t>
      </w:r>
      <w:r w:rsidR="002D7220">
        <w:t xml:space="preserve"> </w:t>
      </w:r>
      <w:r>
        <w:t>Sjögren’s Syndrome with RA was allowed.</w:t>
      </w:r>
      <w:r w:rsidR="002D7220">
        <w:t xml:space="preserve"> </w:t>
      </w:r>
      <w:r>
        <w:t>Hence all the study population appear to have had RA, and no other autoimmune diseases.</w:t>
      </w:r>
    </w:p>
    <w:p w:rsidR="00902C46" w:rsidRDefault="00902C46" w:rsidP="00902C46">
      <w:r>
        <w:rPr>
          <w:lang w:val="en-US"/>
        </w:rPr>
        <w:t>Twelve (3.4%) subjects did not meet at least one of the inclusion/exclusion criteria, including four (1.1%) who did not have records indicating that they had experienced an inadequate response with at least one anti-TNF agent.</w:t>
      </w:r>
    </w:p>
    <w:p w:rsidR="00902C46" w:rsidRDefault="00902C46" w:rsidP="00BE57A2">
      <w:pPr>
        <w:pStyle w:val="Heading6"/>
      </w:pPr>
      <w:bookmarkStart w:id="68" w:name="_Baseline_data"/>
      <w:bookmarkStart w:id="69" w:name="_Toc290846297"/>
      <w:bookmarkStart w:id="70" w:name="_Toc395285760"/>
      <w:bookmarkEnd w:id="68"/>
      <w:r>
        <w:t>Baseline data</w:t>
      </w:r>
      <w:bookmarkEnd w:id="69"/>
      <w:bookmarkEnd w:id="70"/>
    </w:p>
    <w:p w:rsidR="00655C16" w:rsidRDefault="00902C46" w:rsidP="00BE57A2">
      <w:r>
        <w:t>There were 268 (79.5%) females, 69 (20.5%) males and the age range was 23 to 88 years (</w:t>
      </w:r>
      <w:r w:rsidR="00BE57A2">
        <w:t>Table 5</w:t>
      </w:r>
      <w:r>
        <w:t>)</w:t>
      </w:r>
      <w:r w:rsidR="00655C16">
        <w:t>.</w:t>
      </w:r>
    </w:p>
    <w:bookmarkStart w:id="71" w:name="Table_8_2_1_2"/>
    <w:p w:rsidR="00BE57A2" w:rsidRPr="00C63039" w:rsidRDefault="00BE57A2" w:rsidP="00BE57A2">
      <w:pPr>
        <w:pStyle w:val="Tabletitle"/>
        <w:rPr>
          <w:rFonts w:ascii="Times New Roman" w:hAnsi="Times New Roman"/>
          <w:sz w:val="24"/>
        </w:rPr>
      </w:pPr>
      <w:r w:rsidRPr="00BE57A2">
        <w:lastRenderedPageBreak/>
        <w:fldChar w:fldCharType="begin"/>
      </w:r>
      <w:r w:rsidRPr="00BE57A2">
        <w:instrText xml:space="preserve"> HYPERLINK  \l "_Baseline_data" </w:instrText>
      </w:r>
      <w:r w:rsidRPr="00BE57A2">
        <w:fldChar w:fldCharType="separate"/>
      </w:r>
      <w:r w:rsidRPr="00BE57A2">
        <w:t>Table 5:</w:t>
      </w:r>
      <w:bookmarkEnd w:id="71"/>
      <w:r w:rsidRPr="00BE57A2">
        <w:fldChar w:fldCharType="end"/>
      </w:r>
      <w:r w:rsidRPr="00BE57A2">
        <w:t xml:space="preserve"> Demographics and Ba</w:t>
      </w:r>
      <w:r w:rsidRPr="00C63039">
        <w:t xml:space="preserve">seline Characteristics </w:t>
      </w:r>
      <w:r w:rsidRPr="00C63039">
        <w:rPr>
          <w:bCs/>
        </w:rPr>
        <w:t xml:space="preserve">for </w:t>
      </w:r>
      <w:r w:rsidRPr="00C63039">
        <w:t>Study ML25641</w:t>
      </w:r>
      <w:r w:rsidRPr="00C63039">
        <w:rPr>
          <w:bCs/>
        </w:rPr>
        <w:t xml:space="preserve"> </w:t>
      </w:r>
      <w:r>
        <w:rPr>
          <w:rFonts w:ascii="Times New Roman" w:hAnsi="Times New Roman"/>
          <w:noProof/>
          <w:sz w:val="24"/>
          <w:lang w:eastAsia="en-AU"/>
        </w:rPr>
        <w:drawing>
          <wp:inline distT="0" distB="0" distL="0" distR="0" wp14:anchorId="126B4BBC" wp14:editId="39453939">
            <wp:extent cx="4217503" cy="5201587"/>
            <wp:effectExtent l="0" t="0" r="0" b="0"/>
            <wp:docPr id="8" name="Picture 8" descr="Table 5: Demographics and Baseline Characteristics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4222538" cy="5207797"/>
                    </a:xfrm>
                    <a:prstGeom prst="rect">
                      <a:avLst/>
                    </a:prstGeom>
                    <a:noFill/>
                    <a:ln>
                      <a:noFill/>
                    </a:ln>
                  </pic:spPr>
                </pic:pic>
              </a:graphicData>
            </a:graphic>
          </wp:inline>
        </w:drawing>
      </w:r>
    </w:p>
    <w:p w:rsidR="00655C16" w:rsidRDefault="00902C46" w:rsidP="00BE57A2">
      <w:r>
        <w:t>There were 306 (87.2%) subjects with no prior rituximab exposure, 24 (6.8%) with one prior rituximab course and 21 (6.0%) with two prior rituximab courses (</w:t>
      </w:r>
      <w:r w:rsidR="00BE57A2">
        <w:t>Table 6</w:t>
      </w:r>
      <w:r>
        <w:t>)</w:t>
      </w:r>
      <w:r w:rsidR="00655C16">
        <w:t>.</w:t>
      </w:r>
    </w:p>
    <w:p w:rsidR="00BE57A2" w:rsidRDefault="00BE57A2" w:rsidP="00655C16">
      <w:pPr>
        <w:pStyle w:val="Tabletitle"/>
      </w:pPr>
      <w:bookmarkStart w:id="72" w:name="Table_8_2_1_3"/>
      <w:r>
        <w:lastRenderedPageBreak/>
        <w:t>Table 6:</w:t>
      </w:r>
      <w:bookmarkEnd w:id="72"/>
      <w:r>
        <w:t xml:space="preserve"> </w:t>
      </w:r>
      <w:r w:rsidRPr="00C63039">
        <w:t xml:space="preserve">Disease Duration, Prior and Baseline Treatments for RA for Study ML25641 </w:t>
      </w:r>
    </w:p>
    <w:p w:rsidR="00BE57A2" w:rsidRPr="00BE57A2" w:rsidRDefault="00BE57A2" w:rsidP="00BE57A2">
      <w:r>
        <w:rPr>
          <w:noProof/>
          <w:lang w:eastAsia="en-AU"/>
        </w:rPr>
        <w:drawing>
          <wp:inline distT="0" distB="0" distL="0" distR="0" wp14:anchorId="2FB115F3" wp14:editId="37A3E7BD">
            <wp:extent cx="3934918" cy="5571918"/>
            <wp:effectExtent l="0" t="0" r="0" b="0"/>
            <wp:docPr id="11" name="Picture 11" descr="Table 6: Disease Duration, Prior and Baseline Treatments for RA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t="1379"/>
                    <a:stretch/>
                  </pic:blipFill>
                  <pic:spPr bwMode="auto">
                    <a:xfrm>
                      <a:off x="0" y="0"/>
                      <a:ext cx="3932766" cy="5568871"/>
                    </a:xfrm>
                    <a:prstGeom prst="rect">
                      <a:avLst/>
                    </a:prstGeom>
                    <a:ln>
                      <a:noFill/>
                    </a:ln>
                    <a:extLst>
                      <a:ext uri="{53640926-AAD7-44D8-BBD7-CCE9431645EC}">
                        <a14:shadowObscured xmlns:a14="http://schemas.microsoft.com/office/drawing/2010/main"/>
                      </a:ext>
                    </a:extLst>
                  </pic:spPr>
                </pic:pic>
              </a:graphicData>
            </a:graphic>
          </wp:inline>
        </w:drawing>
      </w:r>
    </w:p>
    <w:p w:rsidR="00902C46" w:rsidRDefault="00902C46" w:rsidP="00BE57A2">
      <w:r>
        <w:t>Mean (SD) duration of RA was 12.6 (9.7) years.</w:t>
      </w:r>
      <w:r w:rsidR="002D7220">
        <w:t xml:space="preserve"> </w:t>
      </w:r>
      <w:r>
        <w:t>All subjects were treated with concomitant MTX, dose range 7.5 mg/week to 25 mg/week.</w:t>
      </w:r>
      <w:r w:rsidR="002D7220">
        <w:t xml:space="preserve"> </w:t>
      </w:r>
      <w:r>
        <w:t>There were 185 (52.7%) subjects with a history of gastrointestinal conditions and 181 (51.6%) with a history of vascular disorders (</w:t>
      </w:r>
      <w:r w:rsidR="00073A30">
        <w:t>Table 7</w:t>
      </w:r>
      <w:r>
        <w:t>).</w:t>
      </w:r>
      <w:r w:rsidR="002D7220">
        <w:t xml:space="preserve"> </w:t>
      </w:r>
      <w:r>
        <w:t>There were 198 (56.4%) subjects treated with concomitant glucocorticoids (</w:t>
      </w:r>
      <w:r w:rsidR="00073A30">
        <w:t>Table 8</w:t>
      </w:r>
      <w:r>
        <w:t>).</w:t>
      </w:r>
    </w:p>
    <w:p w:rsidR="00073A30" w:rsidRPr="00C63039" w:rsidRDefault="00073A30" w:rsidP="00655C16">
      <w:pPr>
        <w:pStyle w:val="Tabletitle"/>
      </w:pPr>
      <w:bookmarkStart w:id="73" w:name="Table_8_2_1_4"/>
      <w:r>
        <w:t>Table 7</w:t>
      </w:r>
      <w:bookmarkEnd w:id="73"/>
      <w:r>
        <w:t xml:space="preserve">: </w:t>
      </w:r>
      <w:r w:rsidRPr="00C63039">
        <w:t xml:space="preserve">Medical and Surgical History-Conditions for Study ML25641 </w:t>
      </w:r>
    </w:p>
    <w:p w:rsidR="00073A30" w:rsidRPr="00C63039" w:rsidRDefault="00073A30" w:rsidP="00073A30">
      <w:pPr>
        <w:rPr>
          <w:rFonts w:ascii="Times New Roman" w:hAnsi="Times New Roman"/>
          <w:sz w:val="24"/>
        </w:rPr>
      </w:pPr>
      <w:r>
        <w:rPr>
          <w:rFonts w:ascii="Times New Roman" w:hAnsi="Times New Roman"/>
          <w:noProof/>
          <w:sz w:val="24"/>
          <w:lang w:eastAsia="en-AU"/>
        </w:rPr>
        <w:drawing>
          <wp:inline distT="0" distB="0" distL="0" distR="0" wp14:anchorId="25FE1D0C" wp14:editId="20AD119B">
            <wp:extent cx="4322165" cy="5186597"/>
            <wp:effectExtent l="0" t="0" r="2540" b="0"/>
            <wp:docPr id="13" name="Picture 13" descr="Table 7: Medical and Surgical History-Conditions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4324830" cy="5189794"/>
                    </a:xfrm>
                    <a:prstGeom prst="rect">
                      <a:avLst/>
                    </a:prstGeom>
                    <a:noFill/>
                    <a:ln>
                      <a:noFill/>
                    </a:ln>
                  </pic:spPr>
                </pic:pic>
              </a:graphicData>
            </a:graphic>
          </wp:inline>
        </w:drawing>
      </w:r>
    </w:p>
    <w:p w:rsidR="00073A30" w:rsidRPr="00C63039" w:rsidRDefault="00073A30" w:rsidP="00655C16">
      <w:pPr>
        <w:pStyle w:val="Tabletitle"/>
      </w:pPr>
      <w:bookmarkStart w:id="74" w:name="Table_8_2_1_5"/>
      <w:r w:rsidRPr="00C63039">
        <w:lastRenderedPageBreak/>
        <w:t xml:space="preserve">Table </w:t>
      </w:r>
      <w:r>
        <w:t>8:</w:t>
      </w:r>
      <w:bookmarkEnd w:id="74"/>
      <w:r>
        <w:t xml:space="preserve"> C</w:t>
      </w:r>
      <w:r w:rsidRPr="00C63039">
        <w:t xml:space="preserve">oncomitant Medications at Screening and during the Study for Study ML25641 </w:t>
      </w:r>
    </w:p>
    <w:p w:rsidR="00073A30" w:rsidRDefault="00073A30" w:rsidP="00073A30">
      <w:pPr>
        <w:rPr>
          <w:szCs w:val="24"/>
        </w:rPr>
      </w:pPr>
      <w:r>
        <w:rPr>
          <w:rFonts w:ascii="Times New Roman" w:hAnsi="Times New Roman"/>
          <w:noProof/>
          <w:sz w:val="24"/>
          <w:lang w:eastAsia="en-AU"/>
        </w:rPr>
        <w:drawing>
          <wp:inline distT="0" distB="0" distL="0" distR="0" wp14:anchorId="2A891C49" wp14:editId="690EE01A">
            <wp:extent cx="3934918" cy="4777465"/>
            <wp:effectExtent l="0" t="0" r="8890" b="4445"/>
            <wp:docPr id="12" name="Picture 12" descr="Table 8: Concomitant Medications at Screening and during the Study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3936462" cy="4779339"/>
                    </a:xfrm>
                    <a:prstGeom prst="rect">
                      <a:avLst/>
                    </a:prstGeom>
                    <a:noFill/>
                    <a:ln>
                      <a:noFill/>
                    </a:ln>
                  </pic:spPr>
                </pic:pic>
              </a:graphicData>
            </a:graphic>
          </wp:inline>
        </w:drawing>
      </w:r>
    </w:p>
    <w:p w:rsidR="00902C46" w:rsidRDefault="00902C46" w:rsidP="00073A30">
      <w:pPr>
        <w:pStyle w:val="Heading5"/>
      </w:pPr>
      <w:bookmarkStart w:id="75" w:name="_Results_for_the"/>
      <w:bookmarkStart w:id="76" w:name="_Toc290846298"/>
      <w:bookmarkStart w:id="77" w:name="_Toc395285761"/>
      <w:bookmarkEnd w:id="75"/>
      <w:r>
        <w:t>Results for the primary safety outcome</w:t>
      </w:r>
      <w:bookmarkEnd w:id="76"/>
      <w:bookmarkEnd w:id="77"/>
    </w:p>
    <w:p w:rsidR="00902C46" w:rsidRDefault="00902C46" w:rsidP="00073A30">
      <w:pPr>
        <w:rPr>
          <w:lang w:val="en-US"/>
        </w:rPr>
      </w:pPr>
      <w:r>
        <w:rPr>
          <w:lang w:val="en-US"/>
        </w:rPr>
        <w:t>The incidence (95% CI) of IRRs during or within 24 hours of the second rituximab infusion was 6.5% (4.1% to 9.7%) (</w:t>
      </w:r>
      <w:r w:rsidR="00073A30">
        <w:rPr>
          <w:lang w:val="en-US"/>
        </w:rPr>
        <w:t>Table 9</w:t>
      </w:r>
      <w:r>
        <w:rPr>
          <w:lang w:val="en-US"/>
        </w:rPr>
        <w:t>).</w:t>
      </w:r>
      <w:r w:rsidR="002D7220">
        <w:rPr>
          <w:lang w:val="en-US"/>
        </w:rPr>
        <w:t xml:space="preserve"> </w:t>
      </w:r>
      <w:r>
        <w:rPr>
          <w:lang w:val="en-US"/>
        </w:rPr>
        <w:t>There were 22 IRRs recorded for the 337 subjects who received the second rituximab infusion at the faster rate.</w:t>
      </w:r>
    </w:p>
    <w:bookmarkStart w:id="78" w:name="Table_8_2_1_6"/>
    <w:p w:rsidR="00073A30" w:rsidRPr="00C63039" w:rsidRDefault="00073A30" w:rsidP="00CD484B">
      <w:pPr>
        <w:pStyle w:val="Tabletitle"/>
        <w:rPr>
          <w:rFonts w:ascii="Times New Roman" w:hAnsi="Times New Roman"/>
          <w:sz w:val="24"/>
        </w:rPr>
      </w:pPr>
      <w:r w:rsidRPr="00073A30">
        <w:lastRenderedPageBreak/>
        <w:fldChar w:fldCharType="begin"/>
      </w:r>
      <w:r w:rsidRPr="00073A30">
        <w:instrText xml:space="preserve"> HYPERLINK  \l "_Results_for_the" </w:instrText>
      </w:r>
      <w:r w:rsidRPr="00073A30">
        <w:fldChar w:fldCharType="separate"/>
      </w:r>
      <w:r w:rsidRPr="00073A30">
        <w:t>Table 9:</w:t>
      </w:r>
      <w:bookmarkEnd w:id="78"/>
      <w:r w:rsidRPr="00073A30">
        <w:fldChar w:fldCharType="end"/>
      </w:r>
      <w:r w:rsidRPr="00073A30">
        <w:t xml:space="preserve"> Adverse Events during or within 24 Hours of the Second, Third, and Fourth Rituximab Infusions (Ad</w:t>
      </w:r>
      <w:r w:rsidRPr="00C63039">
        <w:t xml:space="preserve">ministered at the Faster Rate) for Study ML25641 </w:t>
      </w:r>
      <w:r>
        <w:rPr>
          <w:rFonts w:ascii="Times New Roman" w:hAnsi="Times New Roman"/>
          <w:noProof/>
          <w:sz w:val="24"/>
          <w:lang w:eastAsia="en-AU"/>
        </w:rPr>
        <w:drawing>
          <wp:inline distT="0" distB="0" distL="0" distR="0" wp14:anchorId="7AB83F80" wp14:editId="09690D96">
            <wp:extent cx="4188847" cy="3425252"/>
            <wp:effectExtent l="0" t="0" r="2540" b="3810"/>
            <wp:docPr id="14" name="Picture 14" descr="Table 9: Adverse Events during or within 24 Hours of the Second, Third, and Fourth Rituximab Infusions (Administered at the Faster Rate)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4213522" cy="3445429"/>
                    </a:xfrm>
                    <a:prstGeom prst="rect">
                      <a:avLst/>
                    </a:prstGeom>
                    <a:noFill/>
                    <a:ln>
                      <a:noFill/>
                    </a:ln>
                  </pic:spPr>
                </pic:pic>
              </a:graphicData>
            </a:graphic>
          </wp:inline>
        </w:drawing>
      </w:r>
    </w:p>
    <w:p w:rsidR="00902C46" w:rsidRDefault="00902C46" w:rsidP="00073A30">
      <w:pPr>
        <w:pStyle w:val="Heading5"/>
      </w:pPr>
      <w:bookmarkStart w:id="79" w:name="_Results_for_other"/>
      <w:bookmarkStart w:id="80" w:name="_Toc290846299"/>
      <w:bookmarkStart w:id="81" w:name="_Toc395285762"/>
      <w:bookmarkEnd w:id="79"/>
      <w:r>
        <w:t>Results for other safety outcomes</w:t>
      </w:r>
      <w:bookmarkEnd w:id="80"/>
      <w:bookmarkEnd w:id="81"/>
    </w:p>
    <w:p w:rsidR="00902C46" w:rsidRDefault="00902C46" w:rsidP="00902C46">
      <w:pPr>
        <w:pStyle w:val="ListBullet"/>
        <w:rPr>
          <w:szCs w:val="24"/>
          <w:lang w:val="en-US"/>
        </w:rPr>
      </w:pPr>
      <w:r>
        <w:rPr>
          <w:lang w:val="en-US"/>
        </w:rPr>
        <w:t>The incidence (95% CI) of SIRRs during or within 24 hours of the second rituximab infusion was 0 (- to 0.9%).</w:t>
      </w:r>
      <w:r w:rsidR="002D7220">
        <w:rPr>
          <w:lang w:val="en-US"/>
        </w:rPr>
        <w:t xml:space="preserve"> </w:t>
      </w:r>
      <w:r>
        <w:rPr>
          <w:lang w:val="en-US"/>
        </w:rPr>
        <w:t xml:space="preserve">There were no SIRRs during or within 24 hours of the second rituximab infusion (Table </w:t>
      </w:r>
      <w:r w:rsidR="00E846AE">
        <w:rPr>
          <w:lang w:val="en-US"/>
        </w:rPr>
        <w:t>9</w:t>
      </w:r>
      <w:r>
        <w:rPr>
          <w:lang w:val="en-US"/>
        </w:rPr>
        <w:t>).</w:t>
      </w:r>
    </w:p>
    <w:p w:rsidR="00902C46" w:rsidRDefault="00902C46" w:rsidP="00902C46">
      <w:pPr>
        <w:pStyle w:val="ListBullet"/>
        <w:rPr>
          <w:rFonts w:eastAsia="Times New Roman"/>
          <w:kern w:val="16"/>
          <w:lang w:eastAsia="en-AU"/>
        </w:rPr>
      </w:pPr>
      <w:r>
        <w:rPr>
          <w:lang w:val="en-US"/>
        </w:rPr>
        <w:t>The incidence (95% CI) of IRRs during or within 24 hours of the third rituximab infusion was 5.9% (3.5% to 9.3%).</w:t>
      </w:r>
      <w:r w:rsidR="002D7220">
        <w:rPr>
          <w:lang w:val="en-US"/>
        </w:rPr>
        <w:t xml:space="preserve"> </w:t>
      </w:r>
      <w:r>
        <w:rPr>
          <w:lang w:val="en-US"/>
        </w:rPr>
        <w:t xml:space="preserve">There were 17 IRRs during or within 24 hours of the third rituximab infusion (Table </w:t>
      </w:r>
      <w:r w:rsidR="00E846AE">
        <w:rPr>
          <w:lang w:val="en-US"/>
        </w:rPr>
        <w:t>9</w:t>
      </w:r>
      <w:r>
        <w:rPr>
          <w:lang w:val="en-US"/>
        </w:rPr>
        <w:t>).</w:t>
      </w:r>
    </w:p>
    <w:p w:rsidR="00902C46" w:rsidRPr="00FA6F8E" w:rsidRDefault="00902C46" w:rsidP="00902C46">
      <w:pPr>
        <w:pStyle w:val="ListBullet"/>
      </w:pPr>
      <w:r>
        <w:rPr>
          <w:lang w:val="en-US"/>
        </w:rPr>
        <w:t>The incidence (95% CI) of SIRRs during or within 24 hours of the third rituximab infusion was 0 (- to 1.0%).</w:t>
      </w:r>
      <w:r w:rsidR="002D7220">
        <w:rPr>
          <w:lang w:val="en-US"/>
        </w:rPr>
        <w:t xml:space="preserve"> </w:t>
      </w:r>
      <w:r>
        <w:rPr>
          <w:lang w:val="en-US"/>
        </w:rPr>
        <w:t xml:space="preserve">There were no SIRRs during or within 24 hours of the second third infusion (Table </w:t>
      </w:r>
      <w:r w:rsidR="00E846AE">
        <w:rPr>
          <w:lang w:val="en-US"/>
        </w:rPr>
        <w:t>9</w:t>
      </w:r>
      <w:r>
        <w:rPr>
          <w:lang w:val="en-US"/>
        </w:rPr>
        <w:t>).</w:t>
      </w:r>
    </w:p>
    <w:p w:rsidR="00FA6F8E" w:rsidRDefault="00FA6F8E" w:rsidP="00FA6F8E">
      <w:pPr>
        <w:pStyle w:val="ListBullet"/>
        <w:rPr>
          <w:lang w:val="en-US"/>
        </w:rPr>
      </w:pPr>
      <w:r>
        <w:t>The i</w:t>
      </w:r>
      <w:r>
        <w:rPr>
          <w:lang w:val="en-US"/>
        </w:rPr>
        <w:t>ncidence (95% CI) of Common Toxicity Criteria (CTC) Grade 3 or 4 AEs occurring during or within 24 hours following the second rituximab infusion was 0.</w:t>
      </w:r>
      <w:r w:rsidR="004C3950">
        <w:rPr>
          <w:lang w:val="en-US"/>
        </w:rPr>
        <w:t>6</w:t>
      </w:r>
      <w:r>
        <w:rPr>
          <w:lang w:val="en-US"/>
        </w:rPr>
        <w:t>% (0.</w:t>
      </w:r>
      <w:r w:rsidR="004C3950">
        <w:rPr>
          <w:lang w:val="en-US"/>
        </w:rPr>
        <w:t>1</w:t>
      </w:r>
      <w:r>
        <w:rPr>
          <w:lang w:val="en-US"/>
        </w:rPr>
        <w:t xml:space="preserve">% to </w:t>
      </w:r>
      <w:r w:rsidR="004C3950">
        <w:rPr>
          <w:lang w:val="en-US"/>
        </w:rPr>
        <w:t>2.1</w:t>
      </w:r>
      <w:r>
        <w:rPr>
          <w:lang w:val="en-US"/>
        </w:rPr>
        <w:t>%). There was one CTC Grade 3 or 4 AE reported during the second infusion (Table 1</w:t>
      </w:r>
      <w:r w:rsidR="00E846AE">
        <w:rPr>
          <w:lang w:val="en-US"/>
        </w:rPr>
        <w:t>0</w:t>
      </w:r>
      <w:r>
        <w:rPr>
          <w:lang w:val="en-US"/>
        </w:rPr>
        <w:t>).</w:t>
      </w:r>
    </w:p>
    <w:p w:rsidR="00FA6F8E" w:rsidRDefault="00553FEC" w:rsidP="00655C16">
      <w:pPr>
        <w:pStyle w:val="Tabletitle"/>
      </w:pPr>
      <w:bookmarkStart w:id="82" w:name="Table_8_2_1_7"/>
      <w:r w:rsidRPr="00C63039">
        <w:lastRenderedPageBreak/>
        <w:t xml:space="preserve">Table </w:t>
      </w:r>
      <w:r>
        <w:t>1</w:t>
      </w:r>
      <w:r w:rsidR="00E846AE">
        <w:t>0</w:t>
      </w:r>
      <w:r>
        <w:t>:</w:t>
      </w:r>
      <w:bookmarkEnd w:id="82"/>
      <w:r>
        <w:t xml:space="preserve"> </w:t>
      </w:r>
      <w:r w:rsidRPr="00C63039">
        <w:t xml:space="preserve">Adverse Events Occurring during the Rituximab Infusions for Study ML25641 </w:t>
      </w:r>
    </w:p>
    <w:p w:rsidR="00553FEC" w:rsidRDefault="00553FEC" w:rsidP="00FA6F8E">
      <w:pPr>
        <w:pStyle w:val="Tabletitle"/>
        <w:spacing w:before="0" w:after="0"/>
        <w:rPr>
          <w:lang w:val="en-US"/>
        </w:rPr>
      </w:pPr>
      <w:r>
        <w:rPr>
          <w:noProof/>
          <w:lang w:eastAsia="en-AU"/>
        </w:rPr>
        <w:drawing>
          <wp:inline distT="0" distB="0" distL="0" distR="0" wp14:anchorId="1E3ADF2E" wp14:editId="53909737">
            <wp:extent cx="4128152" cy="3350301"/>
            <wp:effectExtent l="0" t="0" r="5715" b="2540"/>
            <wp:docPr id="15" name="Picture 15" descr="Table 10: Adverse Events Occurring during the Rituximab Infusions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4138196" cy="3358452"/>
                    </a:xfrm>
                    <a:prstGeom prst="rect">
                      <a:avLst/>
                    </a:prstGeom>
                    <a:noFill/>
                    <a:ln>
                      <a:noFill/>
                    </a:ln>
                  </pic:spPr>
                </pic:pic>
              </a:graphicData>
            </a:graphic>
          </wp:inline>
        </w:drawing>
      </w:r>
    </w:p>
    <w:p w:rsidR="00902C46" w:rsidRDefault="00902C46" w:rsidP="00902C46">
      <w:pPr>
        <w:pStyle w:val="ListBullet"/>
        <w:rPr>
          <w:lang w:val="en-US"/>
        </w:rPr>
      </w:pPr>
      <w:r>
        <w:rPr>
          <w:lang w:val="en-US"/>
        </w:rPr>
        <w:t>The incidence (95% CI) of CTC Grade 3 or 4 AEs occurring during or within 24 hours following the third rituximab infusion was 0 (- to 1.0%).</w:t>
      </w:r>
      <w:r w:rsidR="002D7220">
        <w:rPr>
          <w:lang w:val="en-US"/>
        </w:rPr>
        <w:t xml:space="preserve"> </w:t>
      </w:r>
      <w:r>
        <w:rPr>
          <w:lang w:val="en-US"/>
        </w:rPr>
        <w:t>There were no CTC Grade 3 or 4 AEs reported during the third infusion.</w:t>
      </w:r>
    </w:p>
    <w:p w:rsidR="00902C46" w:rsidRDefault="00902C46" w:rsidP="00902C46">
      <w:pPr>
        <w:pStyle w:val="ListBullet"/>
        <w:rPr>
          <w:lang w:val="en-US"/>
        </w:rPr>
      </w:pPr>
      <w:r>
        <w:rPr>
          <w:lang w:val="en-US"/>
        </w:rPr>
        <w:t>The incidence (95% CI) of stopping/slowing/interrupting the second rituximab infusion was 3.9% (2.1% to 6.5%).</w:t>
      </w:r>
      <w:r w:rsidR="002D7220">
        <w:rPr>
          <w:lang w:val="en-US"/>
        </w:rPr>
        <w:t xml:space="preserve"> </w:t>
      </w:r>
      <w:r>
        <w:rPr>
          <w:lang w:val="en-US"/>
        </w:rPr>
        <w:t xml:space="preserve">There were 13 subjects that had their second infusion stopped (Table </w:t>
      </w:r>
      <w:r w:rsidR="00FF4AE5">
        <w:rPr>
          <w:lang w:val="en-US"/>
        </w:rPr>
        <w:t>1</w:t>
      </w:r>
      <w:r w:rsidR="00E846AE">
        <w:rPr>
          <w:lang w:val="en-US"/>
        </w:rPr>
        <w:t>1</w:t>
      </w:r>
      <w:r>
        <w:rPr>
          <w:lang w:val="en-US"/>
        </w:rPr>
        <w:t>).</w:t>
      </w:r>
    </w:p>
    <w:p w:rsidR="00902C46" w:rsidRDefault="00902C46" w:rsidP="00902C46">
      <w:pPr>
        <w:pStyle w:val="ListBullet"/>
        <w:rPr>
          <w:lang w:val="en-US"/>
        </w:rPr>
      </w:pPr>
      <w:r>
        <w:rPr>
          <w:lang w:val="en-US"/>
        </w:rPr>
        <w:t>The incidence (95% CI) of stopping/slowing/interrupting the third rituximab infusion was 6.6% (4.0% to 10.1%).</w:t>
      </w:r>
      <w:r w:rsidR="002D7220">
        <w:rPr>
          <w:lang w:val="en-US"/>
        </w:rPr>
        <w:t xml:space="preserve"> </w:t>
      </w:r>
      <w:r>
        <w:rPr>
          <w:lang w:val="en-US"/>
        </w:rPr>
        <w:t xml:space="preserve">There were 19 subjects that had their third infusion stopped (Table </w:t>
      </w:r>
      <w:r w:rsidR="00FF4AE5">
        <w:rPr>
          <w:lang w:val="en-US"/>
        </w:rPr>
        <w:t>1</w:t>
      </w:r>
      <w:r w:rsidR="00E846AE">
        <w:rPr>
          <w:lang w:val="en-US"/>
        </w:rPr>
        <w:t>1</w:t>
      </w:r>
      <w:r>
        <w:rPr>
          <w:lang w:val="en-US"/>
        </w:rPr>
        <w:t>).</w:t>
      </w:r>
    </w:p>
    <w:p w:rsidR="00FF4AE5" w:rsidRDefault="00FF4AE5" w:rsidP="00073A30">
      <w:pPr>
        <w:sectPr w:rsidR="00FF4AE5" w:rsidSect="00FF4AE5">
          <w:pgSz w:w="12240" w:h="15840"/>
          <w:pgMar w:top="1440" w:right="1797" w:bottom="1440" w:left="1797" w:header="709" w:footer="709" w:gutter="0"/>
          <w:cols w:space="708"/>
          <w:docGrid w:linePitch="360"/>
        </w:sectPr>
      </w:pPr>
    </w:p>
    <w:p w:rsidR="00FA6F8E" w:rsidRDefault="00FF4AE5" w:rsidP="00655C16">
      <w:pPr>
        <w:pStyle w:val="Tabletitle"/>
        <w:rPr>
          <w:bCs/>
        </w:rPr>
      </w:pPr>
      <w:r w:rsidRPr="00C63039">
        <w:lastRenderedPageBreak/>
        <w:t xml:space="preserve">Table </w:t>
      </w:r>
      <w:r>
        <w:t>1</w:t>
      </w:r>
      <w:r w:rsidR="00E846AE">
        <w:t>1</w:t>
      </w:r>
      <w:r>
        <w:t xml:space="preserve">: </w:t>
      </w:r>
      <w:r w:rsidRPr="00C63039">
        <w:t xml:space="preserve">Summary of Events during or within 24 Hours after Rituximab Infusion by Infusion Safety-Evaluable Population </w:t>
      </w:r>
      <w:r w:rsidRPr="00C63039">
        <w:rPr>
          <w:bCs/>
        </w:rPr>
        <w:t xml:space="preserve">for </w:t>
      </w:r>
      <w:r w:rsidRPr="00C63039">
        <w:t>Study ML25641</w:t>
      </w:r>
      <w:r w:rsidRPr="00C63039">
        <w:rPr>
          <w:bCs/>
        </w:rPr>
        <w:t xml:space="preserve"> </w:t>
      </w:r>
    </w:p>
    <w:p w:rsidR="00FF4AE5" w:rsidRPr="00C63039" w:rsidRDefault="00FF4AE5" w:rsidP="00FA6F8E">
      <w:pPr>
        <w:pStyle w:val="Tabletitle"/>
        <w:keepNext w:val="0"/>
        <w:rPr>
          <w:rFonts w:ascii="Times New Roman" w:hAnsi="Times New Roman"/>
          <w:sz w:val="24"/>
        </w:rPr>
      </w:pPr>
      <w:r>
        <w:rPr>
          <w:rFonts w:ascii="Times New Roman" w:hAnsi="Times New Roman"/>
          <w:noProof/>
          <w:sz w:val="24"/>
          <w:lang w:eastAsia="en-AU"/>
        </w:rPr>
        <w:drawing>
          <wp:inline distT="0" distB="0" distL="0" distR="0" wp14:anchorId="6D05F8F6" wp14:editId="192CE95C">
            <wp:extent cx="8439462" cy="3827713"/>
            <wp:effectExtent l="0" t="0" r="0" b="1905"/>
            <wp:docPr id="30" name="Picture 30" descr="Table 11: Summary of Events during or within 24 Hours after Rituximab Infusion by Infusion Safety-Evaluable Population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8456097" cy="3835258"/>
                    </a:xfrm>
                    <a:prstGeom prst="rect">
                      <a:avLst/>
                    </a:prstGeom>
                    <a:noFill/>
                    <a:ln>
                      <a:noFill/>
                    </a:ln>
                  </pic:spPr>
                </pic:pic>
              </a:graphicData>
            </a:graphic>
          </wp:inline>
        </w:drawing>
      </w:r>
    </w:p>
    <w:p w:rsidR="00FF4AE5" w:rsidRPr="00C63039" w:rsidRDefault="00FF4AE5" w:rsidP="00FA6F8E">
      <w:pPr>
        <w:pStyle w:val="Tabletitle"/>
        <w:rPr>
          <w:rFonts w:ascii="Times New Roman" w:hAnsi="Times New Roman"/>
          <w:sz w:val="24"/>
        </w:rPr>
      </w:pPr>
      <w:r w:rsidRPr="00FF4AE5">
        <w:lastRenderedPageBreak/>
        <w:t>Table 1</w:t>
      </w:r>
      <w:r w:rsidR="00E846AE">
        <w:t>1</w:t>
      </w:r>
      <w:r w:rsidRPr="00FF4AE5">
        <w:t xml:space="preserve"> continued: Summary of Events during or within 24 Hours after Rituximab Infusion by Infusion Safety-Evaluable Population for Study ML25641</w:t>
      </w:r>
      <w:r>
        <w:rPr>
          <w:rFonts w:ascii="Times New Roman" w:hAnsi="Times New Roman"/>
          <w:noProof/>
          <w:sz w:val="24"/>
          <w:lang w:eastAsia="en-AU"/>
        </w:rPr>
        <w:drawing>
          <wp:inline distT="0" distB="0" distL="0" distR="0" wp14:anchorId="6B0128CA" wp14:editId="2686BA55">
            <wp:extent cx="8312046" cy="3773418"/>
            <wp:effectExtent l="0" t="0" r="0" b="0"/>
            <wp:docPr id="29" name="Picture 29" descr="Table 11 continued: Summary of Events during or within 24 Hours after Rituximab Infusion by Infusion Safety-Evaluable Population for Study ML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8318223" cy="3776222"/>
                    </a:xfrm>
                    <a:prstGeom prst="rect">
                      <a:avLst/>
                    </a:prstGeom>
                    <a:noFill/>
                    <a:ln>
                      <a:noFill/>
                    </a:ln>
                  </pic:spPr>
                </pic:pic>
              </a:graphicData>
            </a:graphic>
          </wp:inline>
        </w:drawing>
      </w:r>
    </w:p>
    <w:p w:rsidR="00FF4AE5" w:rsidRDefault="00FF4AE5" w:rsidP="00FA6F8E">
      <w:pPr>
        <w:keepNext/>
        <w:rPr>
          <w:rFonts w:ascii="Times New Roman" w:hAnsi="Times New Roman"/>
          <w:sz w:val="24"/>
        </w:rPr>
        <w:sectPr w:rsidR="00FF4AE5" w:rsidSect="00FF4AE5">
          <w:pgSz w:w="15840" w:h="12240" w:orient="landscape"/>
          <w:pgMar w:top="1797" w:right="1440" w:bottom="1797" w:left="1440" w:header="709" w:footer="709" w:gutter="0"/>
          <w:cols w:space="708"/>
          <w:docGrid w:linePitch="360"/>
        </w:sectPr>
      </w:pPr>
    </w:p>
    <w:p w:rsidR="00902C46" w:rsidRDefault="00902C46" w:rsidP="00902C46">
      <w:pPr>
        <w:rPr>
          <w:rFonts w:eastAsia="Times New Roman"/>
          <w:kern w:val="16"/>
          <w:lang w:eastAsia="en-AU"/>
        </w:rPr>
      </w:pPr>
      <w:r>
        <w:rPr>
          <w:lang w:val="en-US"/>
        </w:rPr>
        <w:lastRenderedPageBreak/>
        <w:t>Thirteen of 351 patients who received the Day 1 rituximab infusion (4.25-hour) did not complete the infusion (1000 mg) due to non-serious AEs (7 patients), medication error (1 patient), other reason (1 patient), and no detailed volume recorded to determine the infusion rate (4 patients).</w:t>
      </w:r>
      <w:r w:rsidR="002D7220">
        <w:rPr>
          <w:lang w:val="en-US"/>
        </w:rPr>
        <w:t xml:space="preserve"> </w:t>
      </w:r>
      <w:r>
        <w:rPr>
          <w:lang w:val="en-US"/>
        </w:rPr>
        <w:t>On Day 15, four of the 337 patients who received the rituximab infusion at a faster rate did not complete the 1000 mg infusion due to non-serious AEs (3 patients) and other reasons (1 patient).</w:t>
      </w:r>
    </w:p>
    <w:p w:rsidR="00902C46" w:rsidRDefault="00902C46" w:rsidP="00902C46">
      <w:r>
        <w:t>For Infusion 4, for those subject who were administered rituximab at the faster rate, there were two IRRs, incidence rate (95% CI) 0.7% (0.1% to 2.6%); no SIRRs, and no CTC Grade 3 or 4 AEs.</w:t>
      </w:r>
      <w:r w:rsidR="002D7220">
        <w:t xml:space="preserve"> </w:t>
      </w:r>
      <w:r>
        <w:t>During the infusion, there were 10 IRRs during Infusion 2, incidence rate (95% CI) 3.0% (1.4% to 5.4%); 15 during Infusion 3, 5.2% (2.9% to 8.4%); and one during Infusion 4, 0.4% (0.0% to 2.0%).</w:t>
      </w:r>
    </w:p>
    <w:p w:rsidR="00CD484B" w:rsidRDefault="00902C46" w:rsidP="00CD484B">
      <w:r>
        <w:t xml:space="preserve">There were too few subjects in the rituximab-experienced group for meaningful comparisons of event rates with the rituximab naïve group, but there appeared to be similar risks of events for rituximab-experienced and rituximab-naïve subjects (Table </w:t>
      </w:r>
      <w:r w:rsidR="00073A30">
        <w:t>1</w:t>
      </w:r>
      <w:r w:rsidR="00CD484B">
        <w:t>2</w:t>
      </w:r>
      <w:bookmarkStart w:id="83" w:name="_Toc395285763"/>
      <w:r w:rsidR="00CD484B">
        <w:t>).</w:t>
      </w:r>
    </w:p>
    <w:p w:rsidR="00902C46" w:rsidRDefault="00902C46" w:rsidP="00CD484B">
      <w:pPr>
        <w:pStyle w:val="Heading4"/>
      </w:pPr>
      <w:r>
        <w:t>Historical comparison data</w:t>
      </w:r>
      <w:bookmarkEnd w:id="83"/>
    </w:p>
    <w:p w:rsidR="00902C46" w:rsidRDefault="00902C46" w:rsidP="001E3C98">
      <w:pPr>
        <w:pStyle w:val="Heading5"/>
        <w:rPr>
          <w:szCs w:val="24"/>
        </w:rPr>
      </w:pPr>
      <w:bookmarkStart w:id="84" w:name="_Studies_providing_the"/>
      <w:bookmarkEnd w:id="84"/>
      <w:r>
        <w:t xml:space="preserve">Studies providing the historical comparison </w:t>
      </w:r>
      <w:r w:rsidRPr="001E3C98">
        <w:t>data</w:t>
      </w:r>
    </w:p>
    <w:p w:rsidR="00902C46" w:rsidRDefault="00902C46" w:rsidP="00234CDE">
      <w:pPr>
        <w:rPr>
          <w:color w:val="000000"/>
          <w:lang w:val="en-US"/>
        </w:rPr>
      </w:pPr>
      <w:r>
        <w:t xml:space="preserve">The previously conducted studies in the RA population are summarised in </w:t>
      </w:r>
      <w:r w:rsidR="00234CDE">
        <w:t>Table 1</w:t>
      </w:r>
      <w:r w:rsidR="00E846AE">
        <w:t>2</w:t>
      </w:r>
      <w:r>
        <w:t>.</w:t>
      </w:r>
      <w:r w:rsidR="002D7220">
        <w:t xml:space="preserve"> </w:t>
      </w:r>
      <w:r>
        <w:t xml:space="preserve">The overall exposure was 3595 subjects, all of whom received rituximab infusions administered in the manner currently recommended in the Product Information document </w:t>
      </w:r>
      <w:r>
        <w:rPr>
          <w:color w:val="000000"/>
          <w:lang w:val="en-US"/>
        </w:rPr>
        <w:t>(4.25 hours for initial infusion and 3.25 hours for subsequent infusions)</w:t>
      </w:r>
      <w:r>
        <w:t>.</w:t>
      </w:r>
      <w:r w:rsidR="002D7220">
        <w:t xml:space="preserve"> </w:t>
      </w:r>
      <w:r>
        <w:t>The studies included eight</w:t>
      </w:r>
      <w:r>
        <w:rPr>
          <w:color w:val="000000"/>
          <w:lang w:val="en-US"/>
        </w:rPr>
        <w:t xml:space="preserve"> randomized clinical trials (</w:t>
      </w:r>
      <w:proofErr w:type="gramStart"/>
      <w:r>
        <w:rPr>
          <w:color w:val="000000"/>
          <w:lang w:val="en-US"/>
        </w:rPr>
        <w:t xml:space="preserve">six </w:t>
      </w:r>
      <w:r w:rsidR="00553FEC">
        <w:rPr>
          <w:color w:val="000000"/>
          <w:lang w:val="en-US"/>
        </w:rPr>
        <w:t>Phase III</w:t>
      </w:r>
      <w:proofErr w:type="gramEnd"/>
      <w:r>
        <w:rPr>
          <w:color w:val="000000"/>
          <w:lang w:val="en-US"/>
        </w:rPr>
        <w:t xml:space="preserve">, two </w:t>
      </w:r>
      <w:r w:rsidR="00553FEC">
        <w:rPr>
          <w:color w:val="000000"/>
          <w:lang w:val="en-US"/>
        </w:rPr>
        <w:t>Phase II</w:t>
      </w:r>
      <w:r>
        <w:rPr>
          <w:color w:val="000000"/>
          <w:lang w:val="en-US"/>
        </w:rPr>
        <w:t>), two long-term open-label extensions, and one open-label prospective study.</w:t>
      </w:r>
    </w:p>
    <w:p w:rsidR="00073A30" w:rsidRDefault="00073A30" w:rsidP="00655C16">
      <w:pPr>
        <w:pStyle w:val="Tabletitle"/>
      </w:pPr>
      <w:bookmarkStart w:id="85" w:name="Table_1_1_2"/>
      <w:r>
        <w:t xml:space="preserve">Table </w:t>
      </w:r>
      <w:bookmarkEnd w:id="85"/>
      <w:r w:rsidR="00E846AE">
        <w:t>12</w:t>
      </w:r>
      <w:r>
        <w:t xml:space="preserve">: Studies providing historical data </w:t>
      </w:r>
    </w:p>
    <w:p w:rsidR="00553FEC" w:rsidRPr="00553FEC" w:rsidRDefault="00553FEC" w:rsidP="00553FEC">
      <w:r>
        <w:rPr>
          <w:noProof/>
          <w:lang w:eastAsia="en-AU"/>
        </w:rPr>
        <w:drawing>
          <wp:inline distT="0" distB="0" distL="0" distR="0" wp14:anchorId="19A70667" wp14:editId="37AD67BF">
            <wp:extent cx="4549515" cy="4454247"/>
            <wp:effectExtent l="0" t="0" r="3810" b="3810"/>
            <wp:docPr id="32" name="Picture 32" descr="Table 12: Studies providing historical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4551730" cy="4456416"/>
                    </a:xfrm>
                    <a:prstGeom prst="rect">
                      <a:avLst/>
                    </a:prstGeom>
                  </pic:spPr>
                </pic:pic>
              </a:graphicData>
            </a:graphic>
          </wp:inline>
        </w:drawing>
      </w:r>
    </w:p>
    <w:p w:rsidR="00553FEC" w:rsidRDefault="00073A30" w:rsidP="00655C16">
      <w:pPr>
        <w:pStyle w:val="Tabletitle"/>
      </w:pPr>
      <w:r>
        <w:lastRenderedPageBreak/>
        <w:t>Table 1</w:t>
      </w:r>
      <w:r w:rsidR="00E846AE">
        <w:t>2</w:t>
      </w:r>
      <w:r>
        <w:t xml:space="preserve"> continued</w:t>
      </w:r>
      <w:r w:rsidR="00553FEC">
        <w:t xml:space="preserve">: Studies providing historical data </w:t>
      </w:r>
      <w:r w:rsidR="00553FEC">
        <w:rPr>
          <w:noProof/>
          <w:lang w:eastAsia="en-AU"/>
        </w:rPr>
        <w:drawing>
          <wp:inline distT="0" distB="0" distL="0" distR="0" wp14:anchorId="1271EB6C" wp14:editId="37614A54">
            <wp:extent cx="4444584" cy="3552326"/>
            <wp:effectExtent l="0" t="0" r="0" b="0"/>
            <wp:docPr id="34" name="Picture 34" descr="Table 12 continued: Studies providing historical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l="785" t="2416" r="-1"/>
                    <a:stretch/>
                  </pic:blipFill>
                  <pic:spPr bwMode="auto">
                    <a:xfrm>
                      <a:off x="0" y="0"/>
                      <a:ext cx="4448843" cy="3555730"/>
                    </a:xfrm>
                    <a:prstGeom prst="rect">
                      <a:avLst/>
                    </a:prstGeom>
                    <a:ln>
                      <a:noFill/>
                    </a:ln>
                    <a:extLst>
                      <a:ext uri="{53640926-AAD7-44D8-BBD7-CCE9431645EC}">
                        <a14:shadowObscured xmlns:a14="http://schemas.microsoft.com/office/drawing/2010/main"/>
                      </a:ext>
                    </a:extLst>
                  </pic:spPr>
                </pic:pic>
              </a:graphicData>
            </a:graphic>
          </wp:inline>
        </w:drawing>
      </w:r>
    </w:p>
    <w:p w:rsidR="00902C46" w:rsidRDefault="00902C46" w:rsidP="001E3C98">
      <w:pPr>
        <w:pStyle w:val="Heading5"/>
      </w:pPr>
      <w:bookmarkStart w:id="86" w:name="_Historical_rates_of"/>
      <w:bookmarkEnd w:id="86"/>
      <w:r>
        <w:t xml:space="preserve">Historical rates of infusion related reactions </w:t>
      </w:r>
      <w:r w:rsidRPr="001E3C98">
        <w:t>provided</w:t>
      </w:r>
      <w:r>
        <w:t xml:space="preserve"> by </w:t>
      </w:r>
      <w:r w:rsidR="00E24862">
        <w:t>the sponsor</w:t>
      </w:r>
    </w:p>
    <w:p w:rsidR="00902C46" w:rsidRDefault="00902C46" w:rsidP="00902C46">
      <w:pPr>
        <w:rPr>
          <w:lang w:val="en-US"/>
        </w:rPr>
      </w:pPr>
      <w:r>
        <w:t xml:space="preserve">In the report for Study ML25641 </w:t>
      </w:r>
      <w:r w:rsidR="00E24862">
        <w:t>the sponsor</w:t>
      </w:r>
      <w:r>
        <w:t xml:space="preserve"> provided the following data relating to historical rates of IRRs.</w:t>
      </w:r>
      <w:r w:rsidR="002D7220">
        <w:t xml:space="preserve"> </w:t>
      </w:r>
      <w:r>
        <w:t xml:space="preserve">The Sponsor performed some adjustment of the data in the following manner: </w:t>
      </w:r>
      <w:r>
        <w:rPr>
          <w:lang w:val="en-US"/>
        </w:rPr>
        <w:t xml:space="preserve">To account for Study ML25641 also recruiting subjects with prior rituximab exposure, </w:t>
      </w:r>
      <w:r w:rsidR="00E24862">
        <w:rPr>
          <w:lang w:val="en-US"/>
        </w:rPr>
        <w:t>the sponsor</w:t>
      </w:r>
      <w:r>
        <w:rPr>
          <w:lang w:val="en-US"/>
        </w:rPr>
        <w:t xml:space="preserve"> used the weighted average of incidences reported in the historical data as the expected control incidence.</w:t>
      </w:r>
      <w:r w:rsidR="002D7220">
        <w:rPr>
          <w:lang w:val="en-US"/>
        </w:rPr>
        <w:t xml:space="preserve"> </w:t>
      </w:r>
      <w:r>
        <w:rPr>
          <w:lang w:val="en-US"/>
        </w:rPr>
        <w:t>IRRs in the historical studies (except for three) were identified by filtering the Preferred Terms of AEs that occurred during or within 24 hours of the rituximab infusion per a list of MedDRA terms that was used to analyze IRRs across rituximab studies in RA patients conducted by Roche/Genentech.</w:t>
      </w:r>
      <w:r w:rsidR="002D7220">
        <w:rPr>
          <w:lang w:val="en-US"/>
        </w:rPr>
        <w:t xml:space="preserve"> </w:t>
      </w:r>
      <w:r>
        <w:rPr>
          <w:lang w:val="en-US"/>
        </w:rPr>
        <w:t>The eCRFs for Studies WA17044/U2974s, WA17045/U2973g, and WA17047/U3373g included the IRR page, so this search strategy was not required.</w:t>
      </w:r>
    </w:p>
    <w:p w:rsidR="00655C16" w:rsidRDefault="00902C46" w:rsidP="00902C46">
      <w:pPr>
        <w:rPr>
          <w:lang w:val="en-US"/>
        </w:rPr>
      </w:pPr>
      <w:r>
        <w:rPr>
          <w:lang w:val="en-US"/>
        </w:rPr>
        <w:t xml:space="preserve">The historical incidence (95% CI) of IRRs during or within 24 hours of the second rituximab infusion was 8.6% (7.7% to 9.6%) </w:t>
      </w:r>
      <w:proofErr w:type="gramStart"/>
      <w:r>
        <w:rPr>
          <w:lang w:val="en-US"/>
        </w:rPr>
        <w:t>(</w:t>
      </w:r>
      <w:r w:rsidR="00234CDE">
        <w:rPr>
          <w:lang w:val="en-US"/>
        </w:rPr>
        <w:t>Table 1</w:t>
      </w:r>
      <w:r w:rsidR="00E846AE">
        <w:rPr>
          <w:lang w:val="en-US"/>
        </w:rPr>
        <w:t>3</w:t>
      </w:r>
      <w:r>
        <w:rPr>
          <w:lang w:val="en-US"/>
        </w:rPr>
        <w:t>).</w:t>
      </w:r>
      <w:proofErr w:type="gramEnd"/>
      <w:r w:rsidR="002D7220">
        <w:rPr>
          <w:lang w:val="en-US"/>
        </w:rPr>
        <w:t xml:space="preserve"> </w:t>
      </w:r>
      <w:r>
        <w:rPr>
          <w:lang w:val="en-US"/>
        </w:rPr>
        <w:t>The weighted historical incidence (95% CI) of IRRs associated with the second rituximab infusion was 8.1% (7.2% to 9.1%)</w:t>
      </w:r>
      <w:r w:rsidR="00655C16">
        <w:rPr>
          <w:lang w:val="en-US"/>
        </w:rPr>
        <w:t>.</w:t>
      </w:r>
    </w:p>
    <w:p w:rsidR="00655C16" w:rsidRDefault="00902C46" w:rsidP="00902C46">
      <w:pPr>
        <w:rPr>
          <w:lang w:val="en-US"/>
        </w:rPr>
      </w:pPr>
      <w:r>
        <w:rPr>
          <w:lang w:val="en-US"/>
        </w:rPr>
        <w:t xml:space="preserve">The historical incidence (95% CI) of IRRs during or within 24 hours of the third rituximab infusion was 11.9% (10.7% to 13.2%) </w:t>
      </w:r>
      <w:proofErr w:type="gramStart"/>
      <w:r>
        <w:rPr>
          <w:lang w:val="en-US"/>
        </w:rPr>
        <w:t>(</w:t>
      </w:r>
      <w:r w:rsidR="00234CDE">
        <w:rPr>
          <w:lang w:val="en-US"/>
        </w:rPr>
        <w:t xml:space="preserve">Table </w:t>
      </w:r>
      <w:r w:rsidR="00E846AE">
        <w:rPr>
          <w:lang w:val="en-US"/>
        </w:rPr>
        <w:t>13</w:t>
      </w:r>
      <w:r>
        <w:rPr>
          <w:lang w:val="en-US"/>
        </w:rPr>
        <w:t>).</w:t>
      </w:r>
      <w:proofErr w:type="gramEnd"/>
      <w:r w:rsidR="002D7220">
        <w:rPr>
          <w:lang w:val="en-US"/>
        </w:rPr>
        <w:t xml:space="preserve"> </w:t>
      </w:r>
      <w:r>
        <w:rPr>
          <w:lang w:val="en-US"/>
        </w:rPr>
        <w:t>The weighted historical incidence (95% CI) of IRRs associated with the third rituximab infusion was 11.5% (10.3% to 12.8%)</w:t>
      </w:r>
      <w:r w:rsidR="00655C16">
        <w:rPr>
          <w:lang w:val="en-US"/>
        </w:rPr>
        <w:t>.</w:t>
      </w:r>
    </w:p>
    <w:p w:rsidR="00902C46" w:rsidRDefault="00902C46" w:rsidP="00902C46">
      <w:pPr>
        <w:rPr>
          <w:rFonts w:eastAsia="SymbolMT"/>
          <w:lang w:val="en-US"/>
        </w:rPr>
      </w:pPr>
      <w:r>
        <w:t xml:space="preserve">Data with regard to </w:t>
      </w:r>
      <w:r>
        <w:rPr>
          <w:rFonts w:eastAsia="SymbolMT"/>
          <w:lang w:val="en-US"/>
        </w:rPr>
        <w:t>SIRRs, CTC Grade 3 or 4 AEs and stopping/slowing/interrupting were not provided by infusion number.</w:t>
      </w:r>
    </w:p>
    <w:p w:rsidR="00234CDE" w:rsidRPr="009172A2" w:rsidRDefault="00234CDE" w:rsidP="00655C16">
      <w:pPr>
        <w:pStyle w:val="Tabletitle"/>
        <w:rPr>
          <w:rFonts w:ascii="Times New Roman" w:hAnsi="Times New Roman"/>
          <w:sz w:val="24"/>
        </w:rPr>
      </w:pPr>
      <w:bookmarkStart w:id="87" w:name="Table_8_2_1_9"/>
      <w:r>
        <w:lastRenderedPageBreak/>
        <w:t xml:space="preserve">Table </w:t>
      </w:r>
      <w:bookmarkEnd w:id="87"/>
      <w:r w:rsidR="00E846AE">
        <w:t>13</w:t>
      </w:r>
      <w:r>
        <w:t xml:space="preserve">: </w:t>
      </w:r>
      <w:r w:rsidRPr="009172A2">
        <w:t>Expected Control Incidence of Infusion-Related Reactions for</w:t>
      </w:r>
      <w:r>
        <w:t xml:space="preserve"> </w:t>
      </w:r>
      <w:r w:rsidRPr="009172A2">
        <w:t>Rituximab Administered at the Label</w:t>
      </w:r>
      <w:r>
        <w:t>l</w:t>
      </w:r>
      <w:r w:rsidRPr="009172A2">
        <w:t xml:space="preserve">ed Rates </w:t>
      </w:r>
      <w:r>
        <w:rPr>
          <w:rFonts w:ascii="Times New Roman" w:hAnsi="Times New Roman"/>
          <w:noProof/>
          <w:sz w:val="24"/>
          <w:lang w:eastAsia="en-AU"/>
        </w:rPr>
        <w:drawing>
          <wp:inline distT="0" distB="0" distL="0" distR="0" wp14:anchorId="2A6D45EB" wp14:editId="3D201433">
            <wp:extent cx="4228156" cy="1379096"/>
            <wp:effectExtent l="0" t="0" r="1270" b="0"/>
            <wp:docPr id="22" name="Picture 22" descr="Table 13: Expected Control Incidence of Infusion-Related Reactions for Rituximab Administered at the Labelled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3">
                      <a:lum bright="-20000" contrast="40000"/>
                      <a:extLst>
                        <a:ext uri="{28A0092B-C50C-407E-A947-70E740481C1C}">
                          <a14:useLocalDpi xmlns:a14="http://schemas.microsoft.com/office/drawing/2010/main" val="0"/>
                        </a:ext>
                      </a:extLst>
                    </a:blip>
                    <a:srcRect b="3158"/>
                    <a:stretch/>
                  </pic:blipFill>
                  <pic:spPr bwMode="auto">
                    <a:xfrm>
                      <a:off x="0" y="0"/>
                      <a:ext cx="4234721" cy="1381237"/>
                    </a:xfrm>
                    <a:prstGeom prst="rect">
                      <a:avLst/>
                    </a:prstGeom>
                    <a:noFill/>
                    <a:ln>
                      <a:noFill/>
                    </a:ln>
                    <a:extLst>
                      <a:ext uri="{53640926-AAD7-44D8-BBD7-CCE9431645EC}">
                        <a14:shadowObscured xmlns:a14="http://schemas.microsoft.com/office/drawing/2010/main"/>
                      </a:ext>
                    </a:extLst>
                  </pic:spPr>
                </pic:pic>
              </a:graphicData>
            </a:graphic>
          </wp:inline>
        </w:drawing>
      </w:r>
    </w:p>
    <w:p w:rsidR="00902C46" w:rsidRDefault="00902C46" w:rsidP="00234CDE">
      <w:pPr>
        <w:pStyle w:val="Heading5"/>
      </w:pPr>
      <w:bookmarkStart w:id="88" w:name="_Historical_rates_of_1"/>
      <w:bookmarkEnd w:id="88"/>
      <w:r w:rsidRPr="00FA6F8E">
        <w:t>Historical</w:t>
      </w:r>
      <w:r>
        <w:t xml:space="preserve"> rates of infusion related reactions from Study WA17047 IMAGE and Study WA17045 SERENE.</w:t>
      </w:r>
    </w:p>
    <w:p w:rsidR="00902C46" w:rsidRPr="00234CDE" w:rsidRDefault="00902C46" w:rsidP="00234CDE">
      <w:pPr>
        <w:pStyle w:val="ListBullet"/>
      </w:pPr>
      <w:r w:rsidRPr="00234CDE">
        <w:t>In Study WA17047 IMAGE, the rate of IRRs during or within 24 hours of the 1000 mg dose regimen was 4.9% with the second infusion and 8.5% with the third infusion (</w:t>
      </w:r>
      <w:hyperlink r:id="rId34" w:anchor="Table_8_2_1_10" w:history="1">
        <w:r w:rsidR="00E846AE" w:rsidRPr="00234CDE">
          <w:rPr>
            <w:rStyle w:val="Hyperlink"/>
            <w:color w:val="auto"/>
            <w:u w:val="none"/>
          </w:rPr>
          <w:t xml:space="preserve">Table </w:t>
        </w:r>
        <w:r w:rsidR="00E846AE">
          <w:rPr>
            <w:rStyle w:val="Hyperlink"/>
            <w:color w:val="auto"/>
            <w:u w:val="none"/>
          </w:rPr>
          <w:t>1</w:t>
        </w:r>
      </w:hyperlink>
      <w:r w:rsidR="00E846AE">
        <w:rPr>
          <w:rStyle w:val="Hyperlink"/>
          <w:color w:val="auto"/>
          <w:u w:val="none"/>
        </w:rPr>
        <w:t>4</w:t>
      </w:r>
      <w:r w:rsidRPr="00234CDE">
        <w:t>).</w:t>
      </w:r>
    </w:p>
    <w:p w:rsidR="00902C46" w:rsidRPr="00234CDE" w:rsidRDefault="00902C46" w:rsidP="00234CDE">
      <w:pPr>
        <w:pStyle w:val="ListBullet"/>
      </w:pPr>
      <w:r w:rsidRPr="00234CDE">
        <w:t>In Study WA17045 SERENE, the rate of IRRs during or within 24 hours of the 1000 mg dose regimen was 6% with the second infusion and 10% with the third infusion (</w:t>
      </w:r>
      <w:hyperlink r:id="rId35" w:anchor="Table_8_2_1_11" w:history="1">
        <w:r w:rsidR="00E846AE" w:rsidRPr="00234CDE">
          <w:rPr>
            <w:rStyle w:val="Hyperlink"/>
            <w:color w:val="auto"/>
            <w:u w:val="none"/>
          </w:rPr>
          <w:t xml:space="preserve">Table </w:t>
        </w:r>
        <w:r w:rsidR="00E846AE">
          <w:rPr>
            <w:rStyle w:val="Hyperlink"/>
            <w:color w:val="auto"/>
            <w:u w:val="none"/>
          </w:rPr>
          <w:t>1</w:t>
        </w:r>
      </w:hyperlink>
      <w:r w:rsidR="00E846AE">
        <w:rPr>
          <w:rStyle w:val="Hyperlink"/>
          <w:color w:val="auto"/>
          <w:u w:val="none"/>
        </w:rPr>
        <w:t>5</w:t>
      </w:r>
      <w:r w:rsidRPr="00234CDE">
        <w:t>).</w:t>
      </w:r>
    </w:p>
    <w:p w:rsidR="00902C46" w:rsidRDefault="00902C46" w:rsidP="00234CDE">
      <w:r>
        <w:t>Combining the results of these two studies, there were 22 subjects with IRRs of the 413 subjects receiving a second infusion, and 35 subjects with IRRs of the 381 receiving a third infusion.</w:t>
      </w:r>
      <w:r w:rsidR="002D7220">
        <w:t xml:space="preserve"> </w:t>
      </w:r>
      <w:r>
        <w:t>Using Stata</w:t>
      </w:r>
      <w:r>
        <w:sym w:font="Symbol" w:char="F0D2"/>
      </w:r>
      <w:r>
        <w:t xml:space="preserve"> version 9.0 to calculate incidence rates and Poisson 95% CIs, the incidence (95% CI) of IRRs for the second infusion was 5.3% (3.4% to 8.0%) and for the third infusion was 9.2% (6.5% to 12.5%).</w:t>
      </w:r>
    </w:p>
    <w:p w:rsidR="00234CDE" w:rsidRPr="009172A2" w:rsidRDefault="00234CDE" w:rsidP="00655C16">
      <w:pPr>
        <w:pStyle w:val="Tabletitle"/>
      </w:pPr>
      <w:bookmarkStart w:id="89" w:name="Table_8_2_1_10"/>
      <w:r>
        <w:t xml:space="preserve">Table </w:t>
      </w:r>
      <w:bookmarkEnd w:id="89"/>
      <w:r w:rsidR="00E846AE">
        <w:t>14</w:t>
      </w:r>
      <w:r>
        <w:t xml:space="preserve">: </w:t>
      </w:r>
      <w:r w:rsidRPr="009172A2">
        <w:t>Summary of Infusion Related Reactions with Ti</w:t>
      </w:r>
      <w:r>
        <w:t>ming of Event for Study WA17047</w:t>
      </w:r>
    </w:p>
    <w:p w:rsidR="00234CDE" w:rsidRDefault="00234CDE" w:rsidP="00234CDE">
      <w:pPr>
        <w:spacing w:before="0" w:after="0"/>
        <w:rPr>
          <w:rFonts w:ascii="Times New Roman" w:hAnsi="Times New Roman"/>
          <w:sz w:val="24"/>
        </w:rPr>
      </w:pPr>
      <w:r>
        <w:rPr>
          <w:rFonts w:ascii="Times New Roman" w:hAnsi="Times New Roman"/>
          <w:noProof/>
          <w:sz w:val="24"/>
          <w:lang w:eastAsia="en-AU"/>
        </w:rPr>
        <w:drawing>
          <wp:inline distT="0" distB="0" distL="0" distR="0" wp14:anchorId="12B3BB7A" wp14:editId="142BEDB9">
            <wp:extent cx="4517861" cy="3770027"/>
            <wp:effectExtent l="0" t="0" r="0" b="1905"/>
            <wp:docPr id="24" name="Picture 24" descr="Table 14: Summary of Infusion Related Reactions with Timing of Event for Study WA1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6">
                      <a:lum bright="-20000" contrast="40000"/>
                      <a:extLst>
                        <a:ext uri="{28A0092B-C50C-407E-A947-70E740481C1C}">
                          <a14:useLocalDpi xmlns:a14="http://schemas.microsoft.com/office/drawing/2010/main" val="0"/>
                        </a:ext>
                      </a:extLst>
                    </a:blip>
                    <a:srcRect l="1445"/>
                    <a:stretch/>
                  </pic:blipFill>
                  <pic:spPr bwMode="auto">
                    <a:xfrm>
                      <a:off x="0" y="0"/>
                      <a:ext cx="4521009" cy="3772654"/>
                    </a:xfrm>
                    <a:prstGeom prst="rect">
                      <a:avLst/>
                    </a:prstGeom>
                    <a:noFill/>
                    <a:ln>
                      <a:noFill/>
                    </a:ln>
                    <a:extLst>
                      <a:ext uri="{53640926-AAD7-44D8-BBD7-CCE9431645EC}">
                        <a14:shadowObscured xmlns:a14="http://schemas.microsoft.com/office/drawing/2010/main"/>
                      </a:ext>
                    </a:extLst>
                  </pic:spPr>
                </pic:pic>
              </a:graphicData>
            </a:graphic>
          </wp:inline>
        </w:drawing>
      </w:r>
      <w:bookmarkStart w:id="90" w:name="Table_8_2_1_11"/>
    </w:p>
    <w:p w:rsidR="00234CDE" w:rsidRPr="009172A2" w:rsidRDefault="00234CDE" w:rsidP="00234CDE">
      <w:pPr>
        <w:pStyle w:val="Tabletitle"/>
      </w:pPr>
      <w:r>
        <w:lastRenderedPageBreak/>
        <w:t xml:space="preserve">Table </w:t>
      </w:r>
      <w:r w:rsidR="00E846AE">
        <w:t>15</w:t>
      </w:r>
      <w:r>
        <w:t>:</w:t>
      </w:r>
      <w:bookmarkEnd w:id="90"/>
      <w:r>
        <w:t xml:space="preserve"> </w:t>
      </w:r>
      <w:r w:rsidRPr="009172A2">
        <w:t>Summary of Infusion Related Reactions with Timing of Event (Safety Pop</w:t>
      </w:r>
      <w:r>
        <w:t>ulation) for Study WA17045</w:t>
      </w:r>
    </w:p>
    <w:p w:rsidR="00234CDE" w:rsidRDefault="00234CDE" w:rsidP="00234CDE">
      <w:r>
        <w:rPr>
          <w:b/>
          <w:noProof/>
          <w:sz w:val="40"/>
          <w:szCs w:val="40"/>
          <w:lang w:eastAsia="en-AU"/>
        </w:rPr>
        <w:drawing>
          <wp:inline distT="0" distB="0" distL="0" distR="0" wp14:anchorId="744B80BC" wp14:editId="0F96A4C9">
            <wp:extent cx="4399613" cy="1891079"/>
            <wp:effectExtent l="0" t="0" r="1270" b="0"/>
            <wp:docPr id="23" name="Picture 23" descr="Table 15: Summary of Infusion Related Reactions with Timing of Event (Safety Population) for Study WA1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7">
                      <a:lum bright="-20000" contrast="40000"/>
                      <a:extLst>
                        <a:ext uri="{28A0092B-C50C-407E-A947-70E740481C1C}">
                          <a14:useLocalDpi xmlns:a14="http://schemas.microsoft.com/office/drawing/2010/main" val="0"/>
                        </a:ext>
                      </a:extLst>
                    </a:blip>
                    <a:srcRect l="1810"/>
                    <a:stretch/>
                  </pic:blipFill>
                  <pic:spPr bwMode="auto">
                    <a:xfrm>
                      <a:off x="0" y="0"/>
                      <a:ext cx="4402700" cy="1892406"/>
                    </a:xfrm>
                    <a:prstGeom prst="rect">
                      <a:avLst/>
                    </a:prstGeom>
                    <a:noFill/>
                    <a:ln>
                      <a:noFill/>
                    </a:ln>
                    <a:extLst>
                      <a:ext uri="{53640926-AAD7-44D8-BBD7-CCE9431645EC}">
                        <a14:shadowObscured xmlns:a14="http://schemas.microsoft.com/office/drawing/2010/main"/>
                      </a:ext>
                    </a:extLst>
                  </pic:spPr>
                </pic:pic>
              </a:graphicData>
            </a:graphic>
          </wp:inline>
        </w:drawing>
      </w:r>
    </w:p>
    <w:p w:rsidR="00902C46" w:rsidRDefault="00902C46" w:rsidP="00234CDE">
      <w:pPr>
        <w:pStyle w:val="Heading3"/>
        <w:rPr>
          <w:sz w:val="24"/>
        </w:rPr>
      </w:pPr>
      <w:bookmarkStart w:id="91" w:name="_Toc395285764"/>
      <w:bookmarkStart w:id="92" w:name="_Toc290846300"/>
      <w:bookmarkStart w:id="93" w:name="_Toc272414662"/>
      <w:bookmarkStart w:id="94" w:name="_Ref271196630"/>
      <w:bookmarkStart w:id="95" w:name="_Toc241374318"/>
      <w:bookmarkStart w:id="96" w:name="_Toc428440229"/>
      <w:r>
        <w:t>Patient exposure</w:t>
      </w:r>
      <w:bookmarkEnd w:id="91"/>
      <w:bookmarkEnd w:id="92"/>
      <w:bookmarkEnd w:id="93"/>
      <w:bookmarkEnd w:id="94"/>
      <w:bookmarkEnd w:id="95"/>
      <w:bookmarkEnd w:id="96"/>
    </w:p>
    <w:p w:rsidR="00902C46" w:rsidRDefault="00902C46" w:rsidP="00234CDE">
      <w:pPr>
        <w:rPr>
          <w:szCs w:val="24"/>
        </w:rPr>
      </w:pPr>
      <w:r>
        <w:t xml:space="preserve">As per </w:t>
      </w:r>
      <w:r w:rsidR="00FA6F8E">
        <w:t>s</w:t>
      </w:r>
      <w:r>
        <w:t xml:space="preserve">ection </w:t>
      </w:r>
      <w:r w:rsidR="00234CDE" w:rsidRPr="00234CDE">
        <w:rPr>
          <w:i/>
        </w:rPr>
        <w:t>Participant flow</w:t>
      </w:r>
      <w:r w:rsidR="00234CDE">
        <w:t xml:space="preserve"> above</w:t>
      </w:r>
      <w:r>
        <w:t>.</w:t>
      </w:r>
    </w:p>
    <w:p w:rsidR="00902C46" w:rsidRDefault="00902C46" w:rsidP="00234CDE">
      <w:pPr>
        <w:pStyle w:val="Heading3"/>
        <w:rPr>
          <w:sz w:val="24"/>
        </w:rPr>
      </w:pPr>
      <w:bookmarkStart w:id="97" w:name="_Toc395285765"/>
      <w:bookmarkStart w:id="98" w:name="_Toc290846301"/>
      <w:bookmarkStart w:id="99" w:name="_Toc272414663"/>
      <w:bookmarkStart w:id="100" w:name="_Ref271044764"/>
      <w:bookmarkStart w:id="101" w:name="_Toc241374319"/>
      <w:bookmarkStart w:id="102" w:name="_Toc428440230"/>
      <w:r>
        <w:t>Adverse events</w:t>
      </w:r>
      <w:bookmarkEnd w:id="97"/>
      <w:bookmarkEnd w:id="98"/>
      <w:bookmarkEnd w:id="99"/>
      <w:bookmarkEnd w:id="100"/>
      <w:bookmarkEnd w:id="101"/>
      <w:bookmarkEnd w:id="102"/>
    </w:p>
    <w:p w:rsidR="00902C46" w:rsidRDefault="00902C46" w:rsidP="00234CDE">
      <w:pPr>
        <w:pStyle w:val="Heading4"/>
      </w:pPr>
      <w:bookmarkStart w:id="103" w:name="_Toc395285766"/>
      <w:bookmarkStart w:id="104" w:name="_Toc290846302"/>
      <w:bookmarkStart w:id="105" w:name="_Toc272414664"/>
      <w:bookmarkStart w:id="106" w:name="_Ref272333565"/>
      <w:bookmarkStart w:id="107" w:name="_Ref272317284"/>
      <w:r>
        <w:t>All adverse events (irrespective of relationship to study treatment)</w:t>
      </w:r>
      <w:bookmarkEnd w:id="103"/>
      <w:bookmarkEnd w:id="104"/>
      <w:bookmarkEnd w:id="105"/>
      <w:bookmarkEnd w:id="106"/>
      <w:bookmarkEnd w:id="107"/>
    </w:p>
    <w:p w:rsidR="00902C46" w:rsidRDefault="00902C46" w:rsidP="00234CDE">
      <w:pPr>
        <w:pStyle w:val="Heading5"/>
        <w:rPr>
          <w:szCs w:val="24"/>
        </w:rPr>
      </w:pPr>
      <w:bookmarkStart w:id="108" w:name="_Pivotal_studies"/>
      <w:bookmarkEnd w:id="108"/>
      <w:r>
        <w:t>Pivotal studies</w:t>
      </w:r>
    </w:p>
    <w:p w:rsidR="00902C46" w:rsidRPr="00234CDE" w:rsidRDefault="00902C46" w:rsidP="00234CDE">
      <w:r w:rsidRPr="00234CDE">
        <w:t>In Study ML25641 TEAEs were reported in 221 (63%) subjects during the study.</w:t>
      </w:r>
      <w:r w:rsidR="002D7220" w:rsidRPr="00234CDE">
        <w:t xml:space="preserve"> </w:t>
      </w:r>
      <w:r w:rsidRPr="00234CDE">
        <w:t>The most frequently reported TEAEs were: headache (5.7%), upper respiratory tract infection (5.4%), worsening RA (5.1%), pruritus (4.3%), sinusitis (4.0%), urinary tract infection (3.7%), throat irritation (3.4%), arthralgia (3.1%), nausea (3.1%), flushing (2.6%), cough (2.3%), dizziness (2.3%), ear pruritus (2.3%), and rash (2.3%).</w:t>
      </w:r>
    </w:p>
    <w:p w:rsidR="00902C46" w:rsidRPr="00234CDE" w:rsidRDefault="00902C46" w:rsidP="00234CDE">
      <w:r w:rsidRPr="00234CDE">
        <w:t>There were 151 infections in 99 (28.2%) subjects, ten serious infections in 10 (2.8%) subjects and 12 serious infections / events treated with intravenous antibiotics in ten (2.8%) subjects.</w:t>
      </w:r>
      <w:r w:rsidR="002D7220" w:rsidRPr="00234CDE">
        <w:t xml:space="preserve"> </w:t>
      </w:r>
      <w:r w:rsidRPr="00234CDE">
        <w:t>The event rate (95% CI) for infections was 73.01 (62.25 to 85.64) per 100 patient years, for serious infections was 4.84 (2.60 to 8.99) per 100 patient years and for serious infections / events treated with intravenous antibiotics was 5.80 (3.30 to 10.22) per 100 patient years.</w:t>
      </w:r>
    </w:p>
    <w:p w:rsidR="00902C46" w:rsidRDefault="00902C46" w:rsidP="00902C46">
      <w:pPr>
        <w:pStyle w:val="Heading3"/>
        <w:keepLines w:val="0"/>
        <w:numPr>
          <w:ilvl w:val="2"/>
          <w:numId w:val="31"/>
        </w:numPr>
        <w:adjustRightInd/>
        <w:snapToGrid/>
        <w:spacing w:before="0" w:line="240" w:lineRule="auto"/>
        <w:ind w:hanging="1134"/>
        <w:rPr>
          <w:rFonts w:ascii="Times New Roman" w:hAnsi="Times New Roman"/>
          <w:sz w:val="24"/>
          <w:szCs w:val="24"/>
        </w:rPr>
      </w:pPr>
      <w:bookmarkStart w:id="109" w:name="_Toc395285767"/>
      <w:bookmarkStart w:id="110" w:name="_Toc290846304"/>
      <w:bookmarkStart w:id="111" w:name="_Toc272414666"/>
      <w:bookmarkStart w:id="112" w:name="_Ref272333507"/>
      <w:bookmarkStart w:id="113" w:name="_Toc241374320"/>
      <w:bookmarkStart w:id="114" w:name="_Toc428440231"/>
      <w:r>
        <w:rPr>
          <w:rFonts w:ascii="Times New Roman" w:hAnsi="Times New Roman"/>
          <w:szCs w:val="24"/>
        </w:rPr>
        <w:t>Deaths and other serious adverse events</w:t>
      </w:r>
      <w:bookmarkEnd w:id="109"/>
      <w:bookmarkEnd w:id="110"/>
      <w:bookmarkEnd w:id="111"/>
      <w:bookmarkEnd w:id="112"/>
      <w:bookmarkEnd w:id="113"/>
      <w:bookmarkEnd w:id="114"/>
    </w:p>
    <w:p w:rsidR="00902C46" w:rsidRDefault="00902C46" w:rsidP="00553FEC">
      <w:pPr>
        <w:pStyle w:val="Heading5"/>
        <w:rPr>
          <w:szCs w:val="24"/>
        </w:rPr>
      </w:pPr>
      <w:r>
        <w:t>Pivotal studies</w:t>
      </w:r>
    </w:p>
    <w:p w:rsidR="00902C46" w:rsidRDefault="00902C46" w:rsidP="00F95C6D">
      <w:r>
        <w:t>In Study ML25641 there were no deaths.</w:t>
      </w:r>
      <w:r w:rsidR="002D7220">
        <w:t xml:space="preserve"> </w:t>
      </w:r>
      <w:r>
        <w:t>There were 33 SAEs in 30 (8.5%) subjects.</w:t>
      </w:r>
      <w:r w:rsidR="002D7220">
        <w:t xml:space="preserve"> </w:t>
      </w:r>
      <w:r>
        <w:t>The common</w:t>
      </w:r>
      <w:r w:rsidR="00F95C6D">
        <w:t>est</w:t>
      </w:r>
      <w:r>
        <w:t xml:space="preserve"> SAE was pneumonia, occurring in four (1.1%) subjects.</w:t>
      </w:r>
      <w:r w:rsidR="002D7220">
        <w:t xml:space="preserve"> </w:t>
      </w:r>
      <w:r>
        <w:t>The rate (95% CI) of SAEs was 16.0 (11.3 to 22.4) per 100 patient years.</w:t>
      </w:r>
    </w:p>
    <w:p w:rsidR="00902C46" w:rsidRDefault="00902C46" w:rsidP="00F95C6D">
      <w:pPr>
        <w:pStyle w:val="Heading4"/>
        <w:rPr>
          <w:sz w:val="24"/>
        </w:rPr>
      </w:pPr>
      <w:bookmarkStart w:id="115" w:name="_Toc395285768"/>
      <w:bookmarkStart w:id="116" w:name="_Toc290846305"/>
      <w:bookmarkStart w:id="117" w:name="_Toc272414667"/>
      <w:bookmarkStart w:id="118" w:name="_Ref272333477"/>
      <w:bookmarkStart w:id="119" w:name="_Toc241374325"/>
      <w:r w:rsidRPr="00F95C6D">
        <w:t>Discontinuation</w:t>
      </w:r>
      <w:r>
        <w:t xml:space="preserve"> due to adverse events</w:t>
      </w:r>
      <w:bookmarkEnd w:id="115"/>
      <w:bookmarkEnd w:id="116"/>
      <w:bookmarkEnd w:id="117"/>
      <w:bookmarkEnd w:id="118"/>
      <w:bookmarkEnd w:id="119"/>
    </w:p>
    <w:p w:rsidR="00902C46" w:rsidRDefault="00902C46" w:rsidP="00F95C6D">
      <w:pPr>
        <w:pStyle w:val="Heading5"/>
        <w:rPr>
          <w:szCs w:val="24"/>
        </w:rPr>
      </w:pPr>
      <w:bookmarkStart w:id="120" w:name="_Pivotal_studies_1"/>
      <w:bookmarkEnd w:id="120"/>
      <w:r>
        <w:t>Pivotal studies</w:t>
      </w:r>
    </w:p>
    <w:p w:rsidR="00902C46" w:rsidRPr="00F95C6D" w:rsidRDefault="00902C46" w:rsidP="00F95C6D">
      <w:r w:rsidRPr="00F95C6D">
        <w:t>In Study ML25641 19 subjects discontinued because of AEs.</w:t>
      </w:r>
      <w:r w:rsidR="002D7220" w:rsidRPr="00F95C6D">
        <w:t xml:space="preserve"> </w:t>
      </w:r>
      <w:r w:rsidRPr="00F95C6D">
        <w:t>The commonest DAE was throat irritation, occurring in two (0.6%) subjects.</w:t>
      </w:r>
    </w:p>
    <w:p w:rsidR="00902C46" w:rsidRDefault="00902C46" w:rsidP="00F95C6D">
      <w:pPr>
        <w:pStyle w:val="Heading3"/>
        <w:rPr>
          <w:sz w:val="24"/>
        </w:rPr>
      </w:pPr>
      <w:bookmarkStart w:id="121" w:name="_Toc395285769"/>
      <w:bookmarkStart w:id="122" w:name="_Toc290846306"/>
      <w:bookmarkStart w:id="123" w:name="_Toc272414668"/>
      <w:bookmarkStart w:id="124" w:name="_Ref272333085"/>
      <w:bookmarkStart w:id="125" w:name="_Ref271196640"/>
      <w:bookmarkStart w:id="126" w:name="_Ref271044780"/>
      <w:bookmarkStart w:id="127" w:name="_Toc241374321"/>
      <w:bookmarkStart w:id="128" w:name="_Toc428440232"/>
      <w:r>
        <w:lastRenderedPageBreak/>
        <w:t>Laboratory tests</w:t>
      </w:r>
      <w:bookmarkEnd w:id="121"/>
      <w:bookmarkEnd w:id="122"/>
      <w:bookmarkEnd w:id="123"/>
      <w:bookmarkEnd w:id="124"/>
      <w:bookmarkEnd w:id="125"/>
      <w:bookmarkEnd w:id="126"/>
      <w:bookmarkEnd w:id="127"/>
      <w:bookmarkEnd w:id="128"/>
    </w:p>
    <w:p w:rsidR="00902C46" w:rsidRDefault="00902C46" w:rsidP="00F95C6D">
      <w:pPr>
        <w:pStyle w:val="Heading4"/>
      </w:pPr>
      <w:bookmarkStart w:id="129" w:name="_Toc395285770"/>
      <w:bookmarkStart w:id="130" w:name="_Toc290846307"/>
      <w:bookmarkStart w:id="131" w:name="_Toc272414669"/>
      <w:r>
        <w:t>Liver function</w:t>
      </w:r>
      <w:bookmarkEnd w:id="129"/>
      <w:bookmarkEnd w:id="130"/>
      <w:bookmarkEnd w:id="131"/>
    </w:p>
    <w:p w:rsidR="00902C46" w:rsidRDefault="00902C46" w:rsidP="00F95C6D">
      <w:pPr>
        <w:pStyle w:val="Heading5"/>
        <w:rPr>
          <w:szCs w:val="24"/>
        </w:rPr>
      </w:pPr>
      <w:bookmarkStart w:id="132" w:name="_Pivotal_studies_2"/>
      <w:bookmarkEnd w:id="132"/>
      <w:r>
        <w:t>Pivotal studies</w:t>
      </w:r>
    </w:p>
    <w:p w:rsidR="00902C46" w:rsidRDefault="00902C46" w:rsidP="00FF4AE5">
      <w:r>
        <w:t xml:space="preserve">In Study ML25641 there were 54 (16.8%) subjects with ALT </w:t>
      </w:r>
      <w:r>
        <w:rPr>
          <w:rFonts w:eastAsia="MS Mincho"/>
        </w:rPr>
        <w:t>&gt;</w:t>
      </w:r>
      <w:r>
        <w:t xml:space="preserve">ULN and 35 (10.5%) with AST </w:t>
      </w:r>
      <w:r>
        <w:rPr>
          <w:rFonts w:eastAsia="MS Mincho"/>
        </w:rPr>
        <w:t>&gt;</w:t>
      </w:r>
      <w:r>
        <w:t>ULN (</w:t>
      </w:r>
      <w:r w:rsidR="00F95C6D">
        <w:t>Table 1</w:t>
      </w:r>
      <w:r w:rsidR="00E846AE">
        <w:t>6</w:t>
      </w:r>
      <w:r>
        <w:t>).</w:t>
      </w:r>
    </w:p>
    <w:p w:rsidR="00F95C6D" w:rsidRPr="00C63039" w:rsidRDefault="00F95C6D" w:rsidP="00F95C6D">
      <w:pPr>
        <w:pStyle w:val="Tabletitle"/>
      </w:pPr>
      <w:bookmarkStart w:id="133" w:name="Table_8_5_1_1_1_1"/>
      <w:r>
        <w:t>Table 1</w:t>
      </w:r>
      <w:bookmarkEnd w:id="133"/>
      <w:r w:rsidR="00E846AE">
        <w:t>6</w:t>
      </w:r>
      <w:r>
        <w:t xml:space="preserve">: </w:t>
      </w:r>
      <w:r w:rsidRPr="00C63039">
        <w:t xml:space="preserve">Laboratory Abnormalities Outside of Upper/Lower Limit of Normal during Study for Study ML25641 </w:t>
      </w:r>
    </w:p>
    <w:p w:rsidR="00F95C6D" w:rsidRPr="00C63039" w:rsidRDefault="00F95C6D" w:rsidP="00F95C6D">
      <w:pPr>
        <w:rPr>
          <w:rFonts w:ascii="Times New Roman" w:hAnsi="Times New Roman"/>
          <w:sz w:val="24"/>
        </w:rPr>
      </w:pPr>
      <w:r>
        <w:rPr>
          <w:rFonts w:ascii="Times New Roman" w:hAnsi="Times New Roman"/>
          <w:noProof/>
          <w:sz w:val="24"/>
          <w:lang w:eastAsia="en-AU"/>
        </w:rPr>
        <w:drawing>
          <wp:inline distT="0" distB="0" distL="0" distR="0" wp14:anchorId="213C697F" wp14:editId="25A7E2A3">
            <wp:extent cx="3970536" cy="4676931"/>
            <wp:effectExtent l="0" t="0" r="0" b="0"/>
            <wp:docPr id="26" name="Picture 26" descr="Table 16: Laboratory Abnormalities Outside of Upper/Lower Limit of Normal during Study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3972319" cy="4679032"/>
                    </a:xfrm>
                    <a:prstGeom prst="rect">
                      <a:avLst/>
                    </a:prstGeom>
                    <a:noFill/>
                    <a:ln>
                      <a:noFill/>
                    </a:ln>
                  </pic:spPr>
                </pic:pic>
              </a:graphicData>
            </a:graphic>
          </wp:inline>
        </w:drawing>
      </w:r>
    </w:p>
    <w:p w:rsidR="00F95C6D" w:rsidRPr="00C63039" w:rsidRDefault="00F95C6D" w:rsidP="00655C16">
      <w:pPr>
        <w:pStyle w:val="Tabletitle"/>
      </w:pPr>
      <w:r>
        <w:lastRenderedPageBreak/>
        <w:t>Table 1</w:t>
      </w:r>
      <w:r w:rsidR="00E846AE">
        <w:t>6</w:t>
      </w:r>
      <w:r w:rsidRPr="00F95C6D">
        <w:t xml:space="preserve"> </w:t>
      </w:r>
      <w:r>
        <w:t xml:space="preserve">continued: </w:t>
      </w:r>
      <w:r w:rsidRPr="00C63039">
        <w:t xml:space="preserve">Laboratory Abnormalities Outside of Upper/Lower Limit of Normal during Study for Study ML25641 </w:t>
      </w:r>
    </w:p>
    <w:p w:rsidR="00F95C6D" w:rsidRPr="00C63039" w:rsidRDefault="00F95C6D" w:rsidP="00F95C6D">
      <w:pPr>
        <w:rPr>
          <w:rFonts w:ascii="Times New Roman" w:hAnsi="Times New Roman"/>
          <w:sz w:val="24"/>
        </w:rPr>
      </w:pPr>
      <w:r>
        <w:rPr>
          <w:rFonts w:ascii="Times New Roman" w:hAnsi="Times New Roman"/>
          <w:noProof/>
          <w:sz w:val="24"/>
          <w:lang w:eastAsia="en-AU"/>
        </w:rPr>
        <w:drawing>
          <wp:inline distT="0" distB="0" distL="0" distR="0" wp14:anchorId="34AE5537" wp14:editId="1F07FC32">
            <wp:extent cx="4223682" cy="4969240"/>
            <wp:effectExtent l="0" t="0" r="5715" b="3175"/>
            <wp:docPr id="25" name="Picture 25" descr="Table 16 continued: Laboratory Abnormalities Outside of Upper/Lower Limit of Normal during Study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4226785" cy="4972890"/>
                    </a:xfrm>
                    <a:prstGeom prst="rect">
                      <a:avLst/>
                    </a:prstGeom>
                    <a:noFill/>
                    <a:ln>
                      <a:noFill/>
                    </a:ln>
                  </pic:spPr>
                </pic:pic>
              </a:graphicData>
            </a:graphic>
          </wp:inline>
        </w:drawing>
      </w:r>
    </w:p>
    <w:p w:rsidR="00902C46" w:rsidRDefault="00902C46" w:rsidP="00F95C6D">
      <w:pPr>
        <w:pStyle w:val="Heading4"/>
        <w:rPr>
          <w:sz w:val="24"/>
        </w:rPr>
      </w:pPr>
      <w:bookmarkStart w:id="134" w:name="_Toc395285771"/>
      <w:bookmarkStart w:id="135" w:name="_Toc290846308"/>
      <w:bookmarkStart w:id="136" w:name="_Toc272414670"/>
      <w:r>
        <w:t>Kidney function</w:t>
      </w:r>
      <w:bookmarkEnd w:id="134"/>
      <w:bookmarkEnd w:id="135"/>
      <w:bookmarkEnd w:id="136"/>
    </w:p>
    <w:p w:rsidR="00902C46" w:rsidRDefault="00902C46" w:rsidP="00F95C6D">
      <w:pPr>
        <w:pStyle w:val="Heading5"/>
        <w:rPr>
          <w:szCs w:val="24"/>
        </w:rPr>
      </w:pPr>
      <w:r>
        <w:t xml:space="preserve">Pivotal </w:t>
      </w:r>
      <w:r w:rsidRPr="00F95C6D">
        <w:t>studies</w:t>
      </w:r>
    </w:p>
    <w:p w:rsidR="00902C46" w:rsidRDefault="00902C46" w:rsidP="00F95C6D">
      <w:r>
        <w:t>In Study ML25641 nine (2.7%) subjects had serum creatinine reported &gt;ULN.</w:t>
      </w:r>
    </w:p>
    <w:p w:rsidR="00902C46" w:rsidRDefault="00902C46" w:rsidP="00F95C6D">
      <w:pPr>
        <w:pStyle w:val="Heading4"/>
        <w:rPr>
          <w:sz w:val="24"/>
        </w:rPr>
      </w:pPr>
      <w:bookmarkStart w:id="137" w:name="_Toc395285772"/>
      <w:bookmarkStart w:id="138" w:name="_Toc290846309"/>
      <w:bookmarkStart w:id="139" w:name="_Toc272414671"/>
      <w:r>
        <w:t>Other clinical chemistry</w:t>
      </w:r>
      <w:bookmarkEnd w:id="137"/>
      <w:bookmarkEnd w:id="138"/>
      <w:bookmarkEnd w:id="139"/>
    </w:p>
    <w:p w:rsidR="00902C46" w:rsidRDefault="00902C46" w:rsidP="00F95C6D">
      <w:pPr>
        <w:pStyle w:val="Heading5"/>
        <w:rPr>
          <w:szCs w:val="24"/>
        </w:rPr>
      </w:pPr>
      <w:r>
        <w:t>Pivotal studies</w:t>
      </w:r>
    </w:p>
    <w:p w:rsidR="00902C46" w:rsidRDefault="00902C46" w:rsidP="00F95C6D">
      <w:r>
        <w:t>In Study ML25641 there were no other clinically significant abnormalities in clinical chemistry.</w:t>
      </w:r>
    </w:p>
    <w:p w:rsidR="00902C46" w:rsidRDefault="00902C46" w:rsidP="00F95C6D">
      <w:pPr>
        <w:pStyle w:val="Heading4"/>
        <w:rPr>
          <w:sz w:val="24"/>
        </w:rPr>
      </w:pPr>
      <w:bookmarkStart w:id="140" w:name="_Toc395285773"/>
      <w:bookmarkStart w:id="141" w:name="_Toc290846310"/>
      <w:bookmarkStart w:id="142" w:name="_Toc272414672"/>
      <w:r>
        <w:t>Haematology</w:t>
      </w:r>
      <w:bookmarkEnd w:id="140"/>
      <w:bookmarkEnd w:id="141"/>
      <w:bookmarkEnd w:id="142"/>
    </w:p>
    <w:p w:rsidR="00902C46" w:rsidRDefault="00902C46" w:rsidP="00F95C6D">
      <w:pPr>
        <w:pStyle w:val="Heading5"/>
        <w:rPr>
          <w:szCs w:val="24"/>
        </w:rPr>
      </w:pPr>
      <w:r>
        <w:t>Pivotal studies</w:t>
      </w:r>
    </w:p>
    <w:p w:rsidR="00902C46" w:rsidRDefault="00902C46" w:rsidP="00F95C6D">
      <w:r>
        <w:t>There were 47 (15.5%) subjects with haemoglobin &lt;LLN and 65 (20.1%) with lymphocyte count &lt;LLN during the study.</w:t>
      </w:r>
    </w:p>
    <w:p w:rsidR="00902C46" w:rsidRDefault="00902C46" w:rsidP="00F95C6D">
      <w:pPr>
        <w:pStyle w:val="Heading4"/>
        <w:rPr>
          <w:sz w:val="24"/>
        </w:rPr>
      </w:pPr>
      <w:bookmarkStart w:id="143" w:name="_Toc395285774"/>
      <w:r>
        <w:t>Lymphocyte count</w:t>
      </w:r>
      <w:bookmarkEnd w:id="143"/>
    </w:p>
    <w:p w:rsidR="00902C46" w:rsidRDefault="00902C46" w:rsidP="00F95C6D">
      <w:pPr>
        <w:pStyle w:val="Heading5"/>
        <w:rPr>
          <w:szCs w:val="24"/>
        </w:rPr>
      </w:pPr>
      <w:bookmarkStart w:id="144" w:name="_Pivotal_studies_3"/>
      <w:bookmarkEnd w:id="144"/>
      <w:r>
        <w:t>Pivotal studies</w:t>
      </w:r>
    </w:p>
    <w:p w:rsidR="00902C46" w:rsidRDefault="00902C46" w:rsidP="00F95C6D">
      <w:r>
        <w:t>At baseline, the subjects previously treated with rituximab had reduced CD19 counts compared with those who were rituximab naïve (</w:t>
      </w:r>
      <w:r w:rsidR="00F95C6D">
        <w:t>Table 1</w:t>
      </w:r>
      <w:r w:rsidR="00E846AE">
        <w:t>7</w:t>
      </w:r>
      <w:r>
        <w:t>).</w:t>
      </w:r>
    </w:p>
    <w:p w:rsidR="00F95C6D" w:rsidRPr="00C63039" w:rsidRDefault="00F95C6D" w:rsidP="00655C16">
      <w:pPr>
        <w:pStyle w:val="Tabletitle"/>
        <w:rPr>
          <w:rFonts w:ascii="Times New Roman" w:hAnsi="Times New Roman"/>
          <w:sz w:val="24"/>
        </w:rPr>
      </w:pPr>
      <w:bookmarkStart w:id="145" w:name="Table_8_5_5_1_1_1"/>
      <w:r>
        <w:lastRenderedPageBreak/>
        <w:t>Table 1</w:t>
      </w:r>
      <w:bookmarkEnd w:id="145"/>
      <w:r w:rsidR="00E846AE">
        <w:t>7</w:t>
      </w:r>
      <w:r>
        <w:t xml:space="preserve">: </w:t>
      </w:r>
      <w:r w:rsidRPr="00C63039">
        <w:t xml:space="preserve">Lymphocyte Counts (cells/μL) at Screening for Study ML25641 </w:t>
      </w:r>
      <w:r>
        <w:rPr>
          <w:rFonts w:ascii="Times New Roman" w:hAnsi="Times New Roman"/>
          <w:noProof/>
          <w:sz w:val="24"/>
          <w:lang w:eastAsia="en-AU"/>
        </w:rPr>
        <w:drawing>
          <wp:inline distT="0" distB="0" distL="0" distR="0" wp14:anchorId="1062BC25" wp14:editId="36D890D6">
            <wp:extent cx="3597639" cy="2477124"/>
            <wp:effectExtent l="0" t="0" r="3175" b="0"/>
            <wp:docPr id="27" name="Picture 27" descr="Table 17: Lymphocyte Counts (cells/μL) at Screening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3600363" cy="2479000"/>
                    </a:xfrm>
                    <a:prstGeom prst="rect">
                      <a:avLst/>
                    </a:prstGeom>
                    <a:noFill/>
                    <a:ln>
                      <a:noFill/>
                    </a:ln>
                  </pic:spPr>
                </pic:pic>
              </a:graphicData>
            </a:graphic>
          </wp:inline>
        </w:drawing>
      </w:r>
    </w:p>
    <w:p w:rsidR="00902C46" w:rsidRDefault="00902C46" w:rsidP="00F95C6D">
      <w:pPr>
        <w:pStyle w:val="Heading4"/>
        <w:rPr>
          <w:sz w:val="24"/>
        </w:rPr>
      </w:pPr>
      <w:bookmarkStart w:id="146" w:name="_Toc395285775"/>
      <w:bookmarkStart w:id="147" w:name="_Toc290846314"/>
      <w:bookmarkStart w:id="148" w:name="_Toc272414676"/>
      <w:r>
        <w:t>Vital signs</w:t>
      </w:r>
      <w:bookmarkEnd w:id="146"/>
      <w:bookmarkEnd w:id="147"/>
      <w:bookmarkEnd w:id="148"/>
    </w:p>
    <w:p w:rsidR="00902C46" w:rsidRDefault="00902C46" w:rsidP="00F95C6D">
      <w:pPr>
        <w:pStyle w:val="Heading5"/>
        <w:rPr>
          <w:szCs w:val="24"/>
        </w:rPr>
      </w:pPr>
      <w:r>
        <w:t>Pivotal studies</w:t>
      </w:r>
    </w:p>
    <w:p w:rsidR="00902C46" w:rsidRDefault="00902C46" w:rsidP="00F95C6D">
      <w:r>
        <w:t>There were no significant differences between the treatment days in mean values for vital signs: temperature, DBP, SBP and pulse.</w:t>
      </w:r>
    </w:p>
    <w:p w:rsidR="00902C46" w:rsidRDefault="00902C46" w:rsidP="00902C46">
      <w:pPr>
        <w:pStyle w:val="Heading3"/>
        <w:rPr>
          <w:sz w:val="24"/>
        </w:rPr>
      </w:pPr>
      <w:bookmarkStart w:id="149" w:name="_Toc395285776"/>
      <w:bookmarkStart w:id="150" w:name="_Toc290846317"/>
      <w:bookmarkStart w:id="151" w:name="_Toc272414679"/>
      <w:bookmarkStart w:id="152" w:name="_Ref272333048"/>
      <w:bookmarkStart w:id="153" w:name="_Toc241374326"/>
      <w:bookmarkStart w:id="154" w:name="_Toc428440233"/>
      <w:r>
        <w:t>Post-marketing experience</w:t>
      </w:r>
      <w:bookmarkEnd w:id="149"/>
      <w:bookmarkEnd w:id="150"/>
      <w:bookmarkEnd w:id="151"/>
      <w:bookmarkEnd w:id="152"/>
      <w:bookmarkEnd w:id="153"/>
      <w:bookmarkEnd w:id="154"/>
    </w:p>
    <w:p w:rsidR="00902C46" w:rsidRDefault="00902C46" w:rsidP="00F95C6D">
      <w:pPr>
        <w:pStyle w:val="Heading4"/>
      </w:pPr>
      <w:bookmarkStart w:id="155" w:name="_Post-marketing_data"/>
      <w:bookmarkStart w:id="156" w:name="_Toc395285777"/>
      <w:bookmarkEnd w:id="155"/>
      <w:r>
        <w:t>Post-marketing data</w:t>
      </w:r>
      <w:bookmarkEnd w:id="156"/>
    </w:p>
    <w:p w:rsidR="00902C46" w:rsidRDefault="00902C46" w:rsidP="00902C46">
      <w:pPr>
        <w:rPr>
          <w:szCs w:val="24"/>
          <w:lang w:val="en-US"/>
        </w:rPr>
      </w:pPr>
      <w:r>
        <w:rPr>
          <w:lang w:val="en-US"/>
        </w:rPr>
        <w:t>MabThera has been licensed and is marketed in over 100 countries including the US, all EU member states, Norway, Iceland, Japan, Australia, New Zealand, Canada and Switzerland.</w:t>
      </w:r>
      <w:r w:rsidR="002D7220">
        <w:rPr>
          <w:lang w:val="en-US"/>
        </w:rPr>
        <w:t xml:space="preserve"> </w:t>
      </w:r>
      <w:r>
        <w:rPr>
          <w:lang w:val="en-US"/>
        </w:rPr>
        <w:t>An estimated 402,372 RA patients have been treated with rituximab via commercially obtained drug and through clinical trials.</w:t>
      </w:r>
    </w:p>
    <w:p w:rsidR="00902C46" w:rsidRDefault="00902C46" w:rsidP="00902C46">
      <w:pPr>
        <w:rPr>
          <w:kern w:val="16"/>
          <w:lang w:eastAsia="en-AU"/>
        </w:rPr>
      </w:pPr>
      <w:r>
        <w:rPr>
          <w:lang w:val="en-US"/>
        </w:rPr>
        <w:t xml:space="preserve">The data submitted in </w:t>
      </w:r>
      <w:r>
        <w:t xml:space="preserve">Study ML25641 were the only post-marketing data submitted by </w:t>
      </w:r>
      <w:r w:rsidR="00E24862">
        <w:t>the sponsor</w:t>
      </w:r>
      <w:r>
        <w:t xml:space="preserve"> relating to the rapid infusion rate.</w:t>
      </w:r>
    </w:p>
    <w:p w:rsidR="00902C46" w:rsidRDefault="00902C46" w:rsidP="00902C46">
      <w:r>
        <w:t xml:space="preserve">The Sponsor had also identified through a literature search five studies that described subjects with RA that had received rapid infusions of rituximab but </w:t>
      </w:r>
      <w:r w:rsidR="00E24862">
        <w:t>the sponsor</w:t>
      </w:r>
      <w:r>
        <w:t xml:space="preserve"> rejected these data because of the poor quality of the studies and reports.</w:t>
      </w:r>
      <w:r w:rsidR="00B82669">
        <w:rPr>
          <w:rStyle w:val="FootnoteReference"/>
        </w:rPr>
        <w:footnoteReference w:id="1"/>
      </w:r>
      <w:r w:rsidR="002D7220">
        <w:t xml:space="preserve"> </w:t>
      </w:r>
      <w:r>
        <w:t xml:space="preserve">These studies are described in </w:t>
      </w:r>
      <w:r w:rsidR="00E24862">
        <w:t>Table 1</w:t>
      </w:r>
      <w:r>
        <w:t xml:space="preserve"> and were:</w:t>
      </w:r>
    </w:p>
    <w:p w:rsidR="00655C16" w:rsidRDefault="00902C46" w:rsidP="00E24862">
      <w:pPr>
        <w:pStyle w:val="ListBullet"/>
      </w:pPr>
      <w:r w:rsidRPr="00E24862">
        <w:t>Faraawi and Roth 2010 was a publication in abstract for describing 10 subjects with RA who between them received 36 infusions of which 26 were rapid infusions of rituximab.</w:t>
      </w:r>
      <w:r w:rsidR="002D7220" w:rsidRPr="00E24862">
        <w:t xml:space="preserve"> </w:t>
      </w:r>
      <w:r w:rsidRPr="00E24862">
        <w:t>One subject experienced an episode of headache, chest tightness and shortness of breath which resolved during the infusion</w:t>
      </w:r>
      <w:r w:rsidR="00655C16">
        <w:t>.</w:t>
      </w:r>
    </w:p>
    <w:p w:rsidR="00902C46" w:rsidRPr="00E24862" w:rsidRDefault="00902C46" w:rsidP="00E24862">
      <w:pPr>
        <w:pStyle w:val="ListBullet"/>
      </w:pPr>
      <w:r w:rsidRPr="00E24862">
        <w:t xml:space="preserve">Larsen and </w:t>
      </w:r>
      <w:proofErr w:type="spellStart"/>
      <w:r w:rsidRPr="00E24862">
        <w:t>Jocabsen</w:t>
      </w:r>
      <w:proofErr w:type="spellEnd"/>
      <w:r w:rsidRPr="00E24862">
        <w:t xml:space="preserve"> 2013 describe 54 subjects who received rapid infusions of rituximab.</w:t>
      </w:r>
      <w:r w:rsidR="002D7220" w:rsidRPr="00E24862">
        <w:t xml:space="preserve"> </w:t>
      </w:r>
      <w:r w:rsidRPr="00E24862">
        <w:t>There were 16 subjects with RA.</w:t>
      </w:r>
      <w:r w:rsidR="002D7220" w:rsidRPr="00E24862">
        <w:t xml:space="preserve"> </w:t>
      </w:r>
      <w:r w:rsidRPr="00E24862">
        <w:t>Ten (18.5%) subjects experienced IRRs: three (5.5%) with both infusions, eight (14.8%) on the first and five (9.2%) on the second.</w:t>
      </w:r>
      <w:r w:rsidR="002D7220" w:rsidRPr="00E24862">
        <w:t xml:space="preserve"> </w:t>
      </w:r>
      <w:r w:rsidRPr="00E24862">
        <w:t>The highest prevalence of IRRs was stated to be in the RA group at 9.2% but this does not correspond to a plausible number of subjects (1.5 subjects).</w:t>
      </w:r>
    </w:p>
    <w:p w:rsidR="00902C46" w:rsidRPr="00E24862" w:rsidRDefault="00902C46" w:rsidP="00E24862">
      <w:pPr>
        <w:pStyle w:val="ListBullet"/>
      </w:pPr>
      <w:r w:rsidRPr="00E24862">
        <w:lastRenderedPageBreak/>
        <w:t>Schoeffel et al 2008 was a report in abstract form of a cohort of subjects with RA that were treated with a rapid infusion of rituximab (range 37 to 150 minutes).</w:t>
      </w:r>
      <w:r w:rsidR="002D7220" w:rsidRPr="00E24862">
        <w:t xml:space="preserve"> </w:t>
      </w:r>
      <w:r w:rsidRPr="00E24862">
        <w:t>The methods for identifying and classifying IRRs were not reported.</w:t>
      </w:r>
      <w:r w:rsidR="002D7220" w:rsidRPr="00E24862">
        <w:t xml:space="preserve"> </w:t>
      </w:r>
      <w:r w:rsidRPr="00E24862">
        <w:t>No IRRs were reported.</w:t>
      </w:r>
    </w:p>
    <w:p w:rsidR="00902C46" w:rsidRPr="00E24862" w:rsidRDefault="00902C46" w:rsidP="00E24862">
      <w:pPr>
        <w:pStyle w:val="ListBullet"/>
      </w:pPr>
      <w:r w:rsidRPr="00E24862">
        <w:t>Bukh et al was a conference presentation published in abstract form and presented as a poster.</w:t>
      </w:r>
      <w:r w:rsidR="002D7220" w:rsidRPr="00E24862">
        <w:t xml:space="preserve"> </w:t>
      </w:r>
      <w:r w:rsidRPr="00E24862">
        <w:t>It described 13 subjects, 12 with RA that were treated with a rapid infusion of rituximab for their second infusion (1000 mg over 1.5 hours).</w:t>
      </w:r>
      <w:r w:rsidR="002D7220" w:rsidRPr="00E24862">
        <w:t xml:space="preserve"> </w:t>
      </w:r>
      <w:r w:rsidRPr="00E24862">
        <w:t>The methods for eliciting and categorising IRRs were not described.</w:t>
      </w:r>
      <w:r w:rsidR="002D7220" w:rsidRPr="00E24862">
        <w:t xml:space="preserve"> </w:t>
      </w:r>
      <w:r w:rsidRPr="00E24862">
        <w:t>One subject experienced mild hypotension.</w:t>
      </w:r>
      <w:r w:rsidR="002D7220" w:rsidRPr="00E24862">
        <w:t xml:space="preserve"> </w:t>
      </w:r>
      <w:r w:rsidRPr="00E24862">
        <w:t>One subject had the infusion stopped temporarily due to sweating, feeling uncomfortable, temperature of 37.9°C and paraesthesiae in the arms.</w:t>
      </w:r>
    </w:p>
    <w:p w:rsidR="00902C46" w:rsidRPr="00E24862" w:rsidRDefault="00902C46" w:rsidP="00E24862">
      <w:pPr>
        <w:pStyle w:val="ListBullet"/>
      </w:pPr>
      <w:r w:rsidRPr="00E24862">
        <w:t>Can et al 2012 describes a cohort of 68 subjects, 60 of whom had RA.</w:t>
      </w:r>
      <w:r w:rsidR="002D7220" w:rsidRPr="00E24862">
        <w:t xml:space="preserve"> </w:t>
      </w:r>
      <w:r w:rsidRPr="00E24862">
        <w:t>There were 71 rapid infusions (1000 mg over 2 hours) administered in the RA group.</w:t>
      </w:r>
      <w:r w:rsidR="002D7220" w:rsidRPr="00E24862">
        <w:t xml:space="preserve"> </w:t>
      </w:r>
      <w:r w:rsidRPr="00E24862">
        <w:t>There were three (5.9%) subjects with IRRs on the second infusion.</w:t>
      </w:r>
      <w:r w:rsidR="002D7220" w:rsidRPr="00E24862">
        <w:t xml:space="preserve"> </w:t>
      </w:r>
      <w:r w:rsidRPr="00E24862">
        <w:t>The symptoms experienced were pharyngeal discomfort, vertigo, hypotension and cough.</w:t>
      </w:r>
    </w:p>
    <w:p w:rsidR="00902C46" w:rsidRDefault="00902C46" w:rsidP="00902C46">
      <w:r>
        <w:t xml:space="preserve">The Evaluator agrees with </w:t>
      </w:r>
      <w:r w:rsidR="00E24862">
        <w:t>the sponsor</w:t>
      </w:r>
      <w:r>
        <w:t>’s assessment of the quality of the studies and that these studies did not provide sufficient demonstration of safety to support the proposed new rapid dosing regimen.</w:t>
      </w:r>
      <w:r w:rsidR="002D7220">
        <w:t xml:space="preserve"> </w:t>
      </w:r>
      <w:r>
        <w:t>The Evaluator also considers that these studies do not raise any additional safety concerns with regard the proposed new rapid infusion dosing regimen.</w:t>
      </w:r>
    </w:p>
    <w:p w:rsidR="00902C46" w:rsidRDefault="00902C46" w:rsidP="00902C46">
      <w:pPr>
        <w:pStyle w:val="Heading3"/>
      </w:pPr>
      <w:bookmarkStart w:id="157" w:name="_Toc272414680"/>
      <w:bookmarkStart w:id="158" w:name="_Ref272333005"/>
      <w:bookmarkStart w:id="159" w:name="_Toc395285779"/>
      <w:bookmarkStart w:id="160" w:name="_Toc290846318"/>
      <w:bookmarkStart w:id="161" w:name="_Toc428440234"/>
      <w:r>
        <w:t>Safety issues with the potential for major regulatory imp</w:t>
      </w:r>
      <w:bookmarkEnd w:id="157"/>
      <w:bookmarkEnd w:id="158"/>
      <w:r>
        <w:t>act</w:t>
      </w:r>
      <w:bookmarkEnd w:id="159"/>
      <w:bookmarkEnd w:id="160"/>
      <w:bookmarkEnd w:id="161"/>
    </w:p>
    <w:p w:rsidR="00902C46" w:rsidRDefault="00902C46" w:rsidP="00902C46">
      <w:r>
        <w:t xml:space="preserve">The issue of infusion related reactions is discussed in Section </w:t>
      </w:r>
      <w:r w:rsidR="00E24862" w:rsidRPr="00E24862">
        <w:rPr>
          <w:i/>
        </w:rPr>
        <w:t>Pivotal studies that assessed safety as a primary outcome</w:t>
      </w:r>
      <w:r w:rsidR="00E24862">
        <w:t xml:space="preserve"> above</w:t>
      </w:r>
      <w:r>
        <w:t>.</w:t>
      </w:r>
    </w:p>
    <w:p w:rsidR="00902C46" w:rsidRDefault="00902C46" w:rsidP="00902C46">
      <w:pPr>
        <w:pStyle w:val="Heading3"/>
      </w:pPr>
      <w:bookmarkStart w:id="162" w:name="_Toc395285780"/>
      <w:bookmarkStart w:id="163" w:name="_Toc290846329"/>
      <w:bookmarkStart w:id="164" w:name="_Toc272414691"/>
      <w:bookmarkStart w:id="165" w:name="_Toc241374328"/>
      <w:bookmarkStart w:id="166" w:name="_Toc428440235"/>
      <w:r>
        <w:t>Evaluator’s overall conclusions on clinical safety</w:t>
      </w:r>
      <w:bookmarkEnd w:id="162"/>
      <w:bookmarkEnd w:id="163"/>
      <w:bookmarkEnd w:id="164"/>
      <w:bookmarkEnd w:id="165"/>
      <w:bookmarkEnd w:id="166"/>
    </w:p>
    <w:p w:rsidR="00902C46" w:rsidRDefault="00902C46" w:rsidP="00902C46">
      <w:pPr>
        <w:rPr>
          <w:szCs w:val="24"/>
        </w:rPr>
      </w:pPr>
      <w:r>
        <w:t>The data primarily address the issue of infusion related reactions (IRRs), which are the primary concern arising from a more rapid administration rate of intravenous rituximab.</w:t>
      </w:r>
      <w:r w:rsidR="002D7220">
        <w:t xml:space="preserve"> </w:t>
      </w:r>
      <w:r>
        <w:t>The rates of IRRs with the proposed new rapid infusion rate are similar to those observed in previous studies conducted in the RA population.</w:t>
      </w:r>
      <w:r w:rsidR="002D7220">
        <w:t xml:space="preserve"> </w:t>
      </w:r>
      <w:r>
        <w:t>The incidence (95% CI) of IRRs associated with the rapid infusion rate at the time of the second rituximab infusion was 6.5% (4.1% to 9.7%).</w:t>
      </w:r>
      <w:r w:rsidR="002D7220">
        <w:t xml:space="preserve"> </w:t>
      </w:r>
      <w:r>
        <w:t>The Sponsor provided a weighted historical incidence (95% CI) of IRRs associated with the second rituximab infusion of 8.1% (7.2% to 9.1%).</w:t>
      </w:r>
      <w:r w:rsidR="002D7220">
        <w:t xml:space="preserve"> </w:t>
      </w:r>
      <w:r>
        <w:t>The rate of IRRs (95% CI) from Study WA17047 IMAGE and Study WA17045 SERENE was 5.3% (3.4% to 8.0%) for the second infusion.</w:t>
      </w:r>
    </w:p>
    <w:p w:rsidR="00902C46" w:rsidRDefault="00902C46" w:rsidP="00902C46">
      <w:pPr>
        <w:rPr>
          <w:kern w:val="16"/>
          <w:lang w:eastAsia="en-AU"/>
        </w:rPr>
      </w:pPr>
      <w:r>
        <w:rPr>
          <w:lang w:val="en-US"/>
        </w:rPr>
        <w:t>The i</w:t>
      </w:r>
      <w:r>
        <w:rPr>
          <w:rFonts w:eastAsia="SymbolMT"/>
          <w:lang w:val="en-US"/>
        </w:rPr>
        <w:t xml:space="preserve">ncidence (95% CI) of IRRs associated </w:t>
      </w:r>
      <w:r>
        <w:t xml:space="preserve">associated with the rapid infusion rate at the time of the third rituximab infusion </w:t>
      </w:r>
      <w:r>
        <w:rPr>
          <w:rFonts w:eastAsia="SymbolMT"/>
          <w:lang w:val="en-US"/>
        </w:rPr>
        <w:t>was 5.9% (3.5% to 9.3%).</w:t>
      </w:r>
      <w:r w:rsidR="002D7220">
        <w:rPr>
          <w:rFonts w:eastAsia="SymbolMT"/>
          <w:lang w:val="en-US"/>
        </w:rPr>
        <w:t xml:space="preserve"> </w:t>
      </w:r>
      <w:r>
        <w:rPr>
          <w:lang w:val="en-US"/>
        </w:rPr>
        <w:t>The weighted historical incidence (95% CI) of IRRs associated with the third rituximab infusion was 11.5% (10.3% to 12.8%).</w:t>
      </w:r>
      <w:r w:rsidR="002D7220">
        <w:rPr>
          <w:lang w:val="en-US"/>
        </w:rPr>
        <w:t xml:space="preserve"> </w:t>
      </w:r>
      <w:r>
        <w:t>The rate of IRRs (95% CI) from Study WA17047 IMAGE and Study WA17045 SERENE was 9.2% (6.5% to 12.5%) for the third infusion.</w:t>
      </w:r>
    </w:p>
    <w:p w:rsidR="00902C46" w:rsidRDefault="00902C46" w:rsidP="00902C46">
      <w:pPr>
        <w:rPr>
          <w:rFonts w:eastAsia="SymbolMT"/>
          <w:lang w:val="en-US"/>
        </w:rPr>
      </w:pPr>
      <w:r>
        <w:t xml:space="preserve">In Study ML25641 there were no </w:t>
      </w:r>
      <w:r>
        <w:rPr>
          <w:rFonts w:eastAsia="SymbolMT"/>
          <w:lang w:val="en-US"/>
        </w:rPr>
        <w:t>SIRRs associated with the rapid infusion rate.</w:t>
      </w:r>
      <w:r w:rsidR="002D7220">
        <w:rPr>
          <w:rFonts w:eastAsia="SymbolMT"/>
          <w:lang w:val="en-US"/>
        </w:rPr>
        <w:t xml:space="preserve"> </w:t>
      </w:r>
      <w:r>
        <w:rPr>
          <w:rFonts w:eastAsia="SymbolMT"/>
        </w:rPr>
        <w:t>There</w:t>
      </w:r>
      <w:r w:rsidR="00655C16">
        <w:rPr>
          <w:rFonts w:eastAsia="SymbolMT"/>
        </w:rPr>
        <w:t xml:space="preserve"> </w:t>
      </w:r>
      <w:r w:rsidR="00C712EE">
        <w:rPr>
          <w:rFonts w:eastAsia="SymbolMT"/>
          <w:lang w:val="en-US"/>
        </w:rPr>
        <w:t xml:space="preserve">were </w:t>
      </w:r>
      <w:proofErr w:type="gramStart"/>
      <w:r w:rsidR="00C712EE">
        <w:rPr>
          <w:rFonts w:eastAsia="SymbolMT"/>
          <w:lang w:val="en-US"/>
        </w:rPr>
        <w:t>two</w:t>
      </w:r>
      <w:r>
        <w:rPr>
          <w:rFonts w:eastAsia="SymbolMT"/>
          <w:lang w:val="en-US"/>
        </w:rPr>
        <w:t xml:space="preserve"> CTC Grade 3</w:t>
      </w:r>
      <w:proofErr w:type="gramEnd"/>
      <w:r>
        <w:rPr>
          <w:rFonts w:eastAsia="SymbolMT"/>
          <w:lang w:val="en-US"/>
        </w:rPr>
        <w:t xml:space="preserve"> or 4 AE reported </w:t>
      </w:r>
      <w:r w:rsidR="0016691E">
        <w:rPr>
          <w:rFonts w:eastAsia="SymbolMT"/>
          <w:lang w:val="en-US"/>
        </w:rPr>
        <w:t>f</w:t>
      </w:r>
      <w:r>
        <w:rPr>
          <w:rFonts w:eastAsia="SymbolMT"/>
          <w:lang w:val="en-US"/>
        </w:rPr>
        <w:t>ollowing the second infusion and none following the third.</w:t>
      </w:r>
      <w:r w:rsidR="00DB47D8">
        <w:rPr>
          <w:rStyle w:val="FootnoteReference"/>
          <w:rFonts w:eastAsia="SymbolMT"/>
          <w:lang w:val="en-US"/>
        </w:rPr>
        <w:footnoteReference w:id="2"/>
      </w:r>
      <w:r w:rsidR="002D7220">
        <w:rPr>
          <w:rFonts w:eastAsia="SymbolMT"/>
          <w:lang w:val="en-US"/>
        </w:rPr>
        <w:t xml:space="preserve"> </w:t>
      </w:r>
      <w:r>
        <w:rPr>
          <w:rFonts w:eastAsia="SymbolMT"/>
          <w:lang w:val="en-US"/>
        </w:rPr>
        <w:t>The incidence (95% CI) of stopping/slowing/interrupting the second rituximab infusion was 3.9% (2.1% to 6.5%) and the third rituximab infusion was 6.6% (4.0% to 10.1%).</w:t>
      </w:r>
      <w:r w:rsidR="002D7220">
        <w:rPr>
          <w:rFonts w:eastAsia="SymbolMT"/>
          <w:lang w:val="en-US"/>
        </w:rPr>
        <w:t xml:space="preserve"> </w:t>
      </w:r>
      <w:r>
        <w:rPr>
          <w:rFonts w:eastAsia="SymbolMT"/>
          <w:lang w:val="en-US"/>
        </w:rPr>
        <w:t>The adverse event profile reported in the study is consistent with the known AE profile of rituximab.</w:t>
      </w:r>
    </w:p>
    <w:p w:rsidR="00655C16" w:rsidRDefault="00902C46" w:rsidP="00902C46">
      <w:r>
        <w:t>The proposed new rapid infusion rate dosing regimen in the PI document is the same as that used in</w:t>
      </w:r>
      <w:r>
        <w:rPr>
          <w:lang w:val="en-US"/>
        </w:rPr>
        <w:t xml:space="preserve"> </w:t>
      </w:r>
      <w:r>
        <w:t>Study ML25641</w:t>
      </w:r>
      <w:r w:rsidR="00655C16">
        <w:t>.</w:t>
      </w:r>
    </w:p>
    <w:p w:rsidR="00902C46" w:rsidRDefault="00902C46" w:rsidP="00902C46">
      <w:r>
        <w:t>All subjects in Study ML25641 were treated with methotrexate.</w:t>
      </w:r>
      <w:r w:rsidR="002D7220">
        <w:t xml:space="preserve"> </w:t>
      </w:r>
      <w:r>
        <w:t>Hence, the study results are not generalisable to patients who are not treated with methotrexate.</w:t>
      </w:r>
      <w:r w:rsidR="002D7220">
        <w:t xml:space="preserve"> </w:t>
      </w:r>
      <w:r>
        <w:t xml:space="preserve">However, this is consistent </w:t>
      </w:r>
      <w:r>
        <w:lastRenderedPageBreak/>
        <w:t xml:space="preserve">with the indication, </w:t>
      </w:r>
      <w:r w:rsidR="00C712EE">
        <w:t>which</w:t>
      </w:r>
      <w:r>
        <w:t xml:space="preserve"> includes only those patients with RA who are</w:t>
      </w:r>
      <w:r w:rsidR="00655C16">
        <w:t xml:space="preserve"> </w:t>
      </w:r>
      <w:r w:rsidR="00C712EE">
        <w:t>receiving concomitant treatment</w:t>
      </w:r>
      <w:r>
        <w:t xml:space="preserve"> with methotrexate.</w:t>
      </w:r>
    </w:p>
    <w:p w:rsidR="00902C46" w:rsidRDefault="00902C46" w:rsidP="00902C46">
      <w:pPr>
        <w:rPr>
          <w:lang w:val="en-US"/>
        </w:rPr>
      </w:pPr>
      <w:r>
        <w:rPr>
          <w:lang w:val="en-US"/>
        </w:rPr>
        <w:t xml:space="preserve">All subjects in </w:t>
      </w:r>
      <w:r>
        <w:t xml:space="preserve">Study ML25641 </w:t>
      </w:r>
      <w:r>
        <w:rPr>
          <w:lang w:val="en-US"/>
        </w:rPr>
        <w:t>received the following pre-medication before each rapid rate infusion:</w:t>
      </w:r>
    </w:p>
    <w:p w:rsidR="00902C46" w:rsidRPr="00E24862" w:rsidRDefault="00902C46" w:rsidP="00E24862">
      <w:pPr>
        <w:pStyle w:val="Numberbullet0"/>
        <w:numPr>
          <w:ilvl w:val="0"/>
          <w:numId w:val="42"/>
        </w:numPr>
      </w:pPr>
      <w:r w:rsidRPr="00E24862">
        <w:t>Methylprednisolone 100 mg by slow intravenous infusion (over 10 to 15 minutes) administered at least 30 minutes prior to each infusion.</w:t>
      </w:r>
    </w:p>
    <w:p w:rsidR="00902C46" w:rsidRPr="00E24862" w:rsidRDefault="00902C46" w:rsidP="00E24862">
      <w:pPr>
        <w:pStyle w:val="Numberbullet0"/>
        <w:numPr>
          <w:ilvl w:val="0"/>
          <w:numId w:val="42"/>
        </w:numPr>
      </w:pPr>
      <w:r w:rsidRPr="00E24862">
        <w:t>Acetaminophen 1 g administered orally 30 to 60 minutes prior to each infusion.</w:t>
      </w:r>
    </w:p>
    <w:p w:rsidR="00902C46" w:rsidRPr="00E24862" w:rsidRDefault="00902C46" w:rsidP="00E24862">
      <w:pPr>
        <w:pStyle w:val="Numberbullet0"/>
        <w:numPr>
          <w:ilvl w:val="0"/>
          <w:numId w:val="42"/>
        </w:numPr>
      </w:pPr>
      <w:r w:rsidRPr="00E24862">
        <w:t>An antihistamine (diphenhydramine HCL 50 mg or equivalent dose of alternate) administered orally 30 to 60 minutes prior to each infusion.</w:t>
      </w:r>
    </w:p>
    <w:p w:rsidR="00902C46" w:rsidRDefault="00902C46" w:rsidP="00902C46">
      <w:pPr>
        <w:rPr>
          <w:lang w:val="en-US"/>
        </w:rPr>
      </w:pPr>
      <w:r>
        <w:rPr>
          <w:lang w:val="en-US"/>
        </w:rPr>
        <w:t xml:space="preserve">The administration of methylprednisolone 100 mg, paracetamol and antihistamine is also recommended in the dosing instructions, according to the same regimen as in </w:t>
      </w:r>
      <w:r>
        <w:t>Study ML25641</w:t>
      </w:r>
      <w:r>
        <w:rPr>
          <w:lang w:val="en-US"/>
        </w:rPr>
        <w:t>.</w:t>
      </w:r>
    </w:p>
    <w:p w:rsidR="00902C46" w:rsidRDefault="00902C46" w:rsidP="00902C46">
      <w:pPr>
        <w:rPr>
          <w:lang w:val="en-US"/>
        </w:rPr>
      </w:pPr>
      <w:r>
        <w:rPr>
          <w:lang w:val="en-US"/>
        </w:rPr>
        <w:t xml:space="preserve">In </w:t>
      </w:r>
      <w:r>
        <w:t>Study ML25641 there were 198 (56.4%) subjects treated with concomitant glucocorticoids.</w:t>
      </w:r>
      <w:r w:rsidR="002D7220">
        <w:t xml:space="preserve"> </w:t>
      </w:r>
      <w:r>
        <w:t>However, this would be typical of the RA population and does not impact upon the dosing recommendations.</w:t>
      </w:r>
    </w:p>
    <w:p w:rsidR="00902C46" w:rsidRDefault="00902C46" w:rsidP="00902C46">
      <w:r>
        <w:t>The study population in Study ML25641 was subjects with RA</w:t>
      </w:r>
      <w:r w:rsidR="00DB47D8">
        <w:rPr>
          <w:rStyle w:val="FootnoteReference"/>
        </w:rPr>
        <w:footnoteReference w:id="3"/>
      </w:r>
      <w:r>
        <w:t>, treated with methotrexate, who had an inadequate response to a TNF inhibitor.</w:t>
      </w:r>
      <w:r w:rsidR="002D7220">
        <w:t xml:space="preserve"> </w:t>
      </w:r>
      <w:r>
        <w:t>However, the indication in Australia is restricted to patients with severe, active RA:</w:t>
      </w:r>
    </w:p>
    <w:p w:rsidR="00902C46" w:rsidRDefault="00902C46" w:rsidP="00E24862">
      <w:pPr>
        <w:ind w:left="720"/>
        <w:rPr>
          <w:i/>
          <w:lang w:val="en-US"/>
        </w:rPr>
      </w:pPr>
      <w:r>
        <w:rPr>
          <w:i/>
          <w:lang w:val="en-US"/>
        </w:rPr>
        <w:t>MabThera (rituximab) in combination with methotrexate is indicated for the treatment of adult patients with severe, active rheumatoid arthritis who have had an inadequate response or intolerance to at least one tumour necrosis factor (TNF) inhibitor therapy.</w:t>
      </w:r>
    </w:p>
    <w:p w:rsidR="00902C46" w:rsidRDefault="00902C46" w:rsidP="00902C46">
      <w:pPr>
        <w:rPr>
          <w:kern w:val="16"/>
          <w:lang w:eastAsia="en-AU"/>
        </w:rPr>
      </w:pPr>
      <w:r>
        <w:rPr>
          <w:lang w:val="en-US"/>
        </w:rPr>
        <w:t xml:space="preserve">However, in the opinion of </w:t>
      </w:r>
      <w:r w:rsidR="00E24862">
        <w:rPr>
          <w:lang w:val="en-US"/>
        </w:rPr>
        <w:t>the evaluator</w:t>
      </w:r>
      <w:r>
        <w:rPr>
          <w:lang w:val="en-US"/>
        </w:rPr>
        <w:t xml:space="preserve">, the results of </w:t>
      </w:r>
      <w:r>
        <w:t>Study ML25641, conducted in a general population of subjects with RA are applicable to a population of patients with severe, active RA.</w:t>
      </w:r>
    </w:p>
    <w:p w:rsidR="00902C46" w:rsidRDefault="00902C46" w:rsidP="00902C46">
      <w:pPr>
        <w:rPr>
          <w:lang w:val="en-US"/>
        </w:rPr>
      </w:pPr>
      <w:r>
        <w:t>The results of Study ML25641 are only generalisable to patients with RA, and not to any other medical conditions.</w:t>
      </w:r>
      <w:r w:rsidR="002D7220">
        <w:t xml:space="preserve"> </w:t>
      </w:r>
      <w:r>
        <w:t>Only subjects with RA were included in Study ML25641.</w:t>
      </w:r>
    </w:p>
    <w:p w:rsidR="00902C46" w:rsidRDefault="00902C46" w:rsidP="00902C46">
      <w:pPr>
        <w:rPr>
          <w:lang w:val="en-US"/>
        </w:rPr>
      </w:pPr>
      <w:r>
        <w:rPr>
          <w:lang w:val="en-US"/>
        </w:rPr>
        <w:t>The study design (single arm, no comparator and using historical data for comparison) was acceptable for evaluation of the safety of the proposed new rapid infusion.</w:t>
      </w:r>
      <w:r w:rsidR="002D7220">
        <w:rPr>
          <w:lang w:val="en-US"/>
        </w:rPr>
        <w:t xml:space="preserve"> </w:t>
      </w:r>
      <w:r>
        <w:rPr>
          <w:lang w:val="en-US"/>
        </w:rPr>
        <w:t>The study design would not have been appropriate for the evaluation of efficacy.</w:t>
      </w:r>
      <w:r w:rsidR="002D7220">
        <w:rPr>
          <w:lang w:val="en-US"/>
        </w:rPr>
        <w:t xml:space="preserve"> </w:t>
      </w:r>
      <w:r>
        <w:rPr>
          <w:lang w:val="en-US"/>
        </w:rPr>
        <w:t xml:space="preserve">There were 337 subjects who received the rapid infusion regimen which, in the opinion of </w:t>
      </w:r>
      <w:r w:rsidR="00E24862">
        <w:rPr>
          <w:lang w:val="en-US"/>
        </w:rPr>
        <w:t>the evaluator</w:t>
      </w:r>
      <w:r>
        <w:rPr>
          <w:lang w:val="en-US"/>
        </w:rPr>
        <w:t xml:space="preserve"> represents a sufficient number of subjects included in the study.</w:t>
      </w:r>
      <w:r w:rsidR="002D7220">
        <w:rPr>
          <w:lang w:val="en-US"/>
        </w:rPr>
        <w:t xml:space="preserve"> </w:t>
      </w:r>
      <w:r>
        <w:rPr>
          <w:lang w:val="en-US"/>
        </w:rPr>
        <w:t>The open nature of the trial may have resulted in measurement bias.</w:t>
      </w:r>
      <w:r w:rsidR="002D7220">
        <w:rPr>
          <w:lang w:val="en-US"/>
        </w:rPr>
        <w:t xml:space="preserve"> </w:t>
      </w:r>
      <w:r>
        <w:rPr>
          <w:lang w:val="en-US"/>
        </w:rPr>
        <w:t>However, the primary outcome measure (IRRs) should have been sufficiently objective and robust to overcome this deficiency.</w:t>
      </w:r>
      <w:r w:rsidR="002D7220">
        <w:rPr>
          <w:lang w:val="en-US"/>
        </w:rPr>
        <w:t xml:space="preserve"> </w:t>
      </w:r>
      <w:r>
        <w:rPr>
          <w:lang w:val="en-US"/>
        </w:rPr>
        <w:t xml:space="preserve">The </w:t>
      </w:r>
      <w:r>
        <w:t xml:space="preserve">historical incidence (95% CI) of IRRs associated with the second rituximab infusion was 8.1% (7.2% to 9.1%), but the prospective data provided by </w:t>
      </w:r>
      <w:r w:rsidR="00E24862">
        <w:t>the sponsor</w:t>
      </w:r>
      <w:r>
        <w:t xml:space="preserve"> was a rate of IRRs (95% CI) from Study WA17047 IMAGE and Study WA17045 SERENE of 5.3% (3.4% to 8.0%) for the second infusion.</w:t>
      </w:r>
      <w:r w:rsidR="002D7220">
        <w:t xml:space="preserve"> </w:t>
      </w:r>
      <w:r>
        <w:t>This would suggest bias in the elicitation of IRRs for the historical data rather than bias in Study ML25641.</w:t>
      </w:r>
      <w:r w:rsidR="002D7220">
        <w:t xml:space="preserve"> </w:t>
      </w:r>
      <w:r>
        <w:t>The methods used for identifying IRRs from the historical data were different to those for identifying IRRs prospectively</w:t>
      </w:r>
      <w:r w:rsidR="00DB47D8">
        <w:rPr>
          <w:rStyle w:val="FootnoteReference"/>
        </w:rPr>
        <w:footnoteReference w:id="4"/>
      </w:r>
      <w:r>
        <w:t>.</w:t>
      </w:r>
      <w:r w:rsidR="002D7220">
        <w:t xml:space="preserve"> </w:t>
      </w:r>
      <w:r>
        <w:t xml:space="preserve">Overall </w:t>
      </w:r>
      <w:r w:rsidR="00E24862">
        <w:t>the evaluator</w:t>
      </w:r>
      <w:r>
        <w:t xml:space="preserve"> was satisfied with the design and conduct of Study ML25641.</w:t>
      </w:r>
    </w:p>
    <w:p w:rsidR="00C22678" w:rsidRDefault="00C22678" w:rsidP="00FF4AE5">
      <w:pPr>
        <w:pStyle w:val="Heading2"/>
      </w:pPr>
      <w:bookmarkStart w:id="167" w:name="_Toc428440236"/>
      <w:r>
        <w:lastRenderedPageBreak/>
        <w:t xml:space="preserve">First round benefit-risk </w:t>
      </w:r>
      <w:r w:rsidRPr="00FF4AE5">
        <w:t>assessment</w:t>
      </w:r>
      <w:bookmarkEnd w:id="167"/>
    </w:p>
    <w:p w:rsidR="00902C46" w:rsidRDefault="00902C46" w:rsidP="00FF4AE5">
      <w:pPr>
        <w:pStyle w:val="Heading3"/>
      </w:pPr>
      <w:bookmarkStart w:id="168" w:name="_Toc395285782"/>
      <w:bookmarkStart w:id="169" w:name="_Toc290846331"/>
      <w:bookmarkStart w:id="170" w:name="_Toc272414693"/>
      <w:bookmarkStart w:id="171" w:name="_Ref272160836"/>
      <w:bookmarkStart w:id="172" w:name="_Toc241374331"/>
      <w:bookmarkStart w:id="173" w:name="_Toc236802592"/>
      <w:bookmarkStart w:id="174" w:name="_Toc428440237"/>
      <w:r>
        <w:t>First round assessment of benefits</w:t>
      </w:r>
      <w:bookmarkEnd w:id="168"/>
      <w:bookmarkEnd w:id="169"/>
      <w:bookmarkEnd w:id="170"/>
      <w:bookmarkEnd w:id="171"/>
      <w:bookmarkEnd w:id="172"/>
      <w:bookmarkEnd w:id="173"/>
      <w:bookmarkEnd w:id="174"/>
    </w:p>
    <w:p w:rsidR="00655C16" w:rsidRDefault="00902C46" w:rsidP="00FF4AE5">
      <w:r>
        <w:t>Efficacy was not addressed in the present application, but the proposed new rapid administration would be expected to reduce treatment costs and be more convenient to patients</w:t>
      </w:r>
      <w:r w:rsidR="00655C16">
        <w:t>.</w:t>
      </w:r>
    </w:p>
    <w:p w:rsidR="00902C46" w:rsidRDefault="00902C46" w:rsidP="00FF4AE5">
      <w:pPr>
        <w:pStyle w:val="Heading3"/>
        <w:rPr>
          <w:sz w:val="24"/>
        </w:rPr>
      </w:pPr>
      <w:bookmarkStart w:id="175" w:name="_Toc395285783"/>
      <w:bookmarkStart w:id="176" w:name="_Toc290846332"/>
      <w:bookmarkStart w:id="177" w:name="_Toc272414694"/>
      <w:bookmarkStart w:id="178" w:name="_Ref272160964"/>
      <w:bookmarkStart w:id="179" w:name="_Toc241374334"/>
      <w:bookmarkStart w:id="180" w:name="_Toc236802596"/>
      <w:bookmarkStart w:id="181" w:name="_Toc428440238"/>
      <w:r>
        <w:t xml:space="preserve">First </w:t>
      </w:r>
      <w:r w:rsidRPr="00FF4AE5">
        <w:t>round</w:t>
      </w:r>
      <w:r>
        <w:t xml:space="preserve"> assessment of risks</w:t>
      </w:r>
      <w:bookmarkEnd w:id="175"/>
      <w:bookmarkEnd w:id="176"/>
      <w:bookmarkEnd w:id="177"/>
      <w:bookmarkEnd w:id="178"/>
      <w:bookmarkEnd w:id="179"/>
      <w:bookmarkEnd w:id="180"/>
      <w:bookmarkEnd w:id="181"/>
    </w:p>
    <w:p w:rsidR="00902C46" w:rsidRDefault="00902C46" w:rsidP="00FF4AE5">
      <w:pPr>
        <w:rPr>
          <w:szCs w:val="24"/>
        </w:rPr>
      </w:pPr>
      <w:r>
        <w:t>The proposed alternative, faster infusion schedule of MabThera for rheumatoid arthritis has a similar risk for IRRs as the currently approved administration regimen.</w:t>
      </w:r>
      <w:r w:rsidR="002D7220">
        <w:t xml:space="preserve"> </w:t>
      </w:r>
      <w:r>
        <w:t>There were no other risks identified with the proposed alternative, faster infusion schedule of MabThera.</w:t>
      </w:r>
    </w:p>
    <w:p w:rsidR="00902C46" w:rsidRDefault="00902C46" w:rsidP="00FF4AE5">
      <w:r>
        <w:t xml:space="preserve">In the opinion of </w:t>
      </w:r>
      <w:r w:rsidR="00E24862">
        <w:t>the evaluator</w:t>
      </w:r>
      <w:r>
        <w:t>, off-label use of the new rapid infusion is also an Important Potential Risk that should be addressed in the RMP.</w:t>
      </w:r>
    </w:p>
    <w:p w:rsidR="00902C46" w:rsidRDefault="00902C46" w:rsidP="00FF4AE5">
      <w:pPr>
        <w:pStyle w:val="Heading3"/>
        <w:rPr>
          <w:sz w:val="24"/>
        </w:rPr>
      </w:pPr>
      <w:bookmarkStart w:id="182" w:name="_Toc395285784"/>
      <w:bookmarkStart w:id="183" w:name="_Toc290846333"/>
      <w:bookmarkStart w:id="184" w:name="_Toc272414695"/>
      <w:bookmarkStart w:id="185" w:name="_Toc241374335"/>
      <w:bookmarkStart w:id="186" w:name="_Toc236802597"/>
      <w:bookmarkStart w:id="187" w:name="_Toc428440239"/>
      <w:r>
        <w:t>First round assessment of benefit-risk balance</w:t>
      </w:r>
      <w:bookmarkEnd w:id="182"/>
      <w:bookmarkEnd w:id="183"/>
      <w:bookmarkEnd w:id="184"/>
      <w:bookmarkEnd w:id="185"/>
      <w:bookmarkEnd w:id="186"/>
      <w:bookmarkEnd w:id="187"/>
    </w:p>
    <w:p w:rsidR="00902C46" w:rsidRDefault="00902C46" w:rsidP="00FF4AE5">
      <w:pPr>
        <w:rPr>
          <w:szCs w:val="24"/>
        </w:rPr>
      </w:pPr>
      <w:r>
        <w:t>The benefit-risk balance of the alternative, faster infusion schedule of MabThera for rheumatoid arthritis, given the proposed usage, is favourable.</w:t>
      </w:r>
    </w:p>
    <w:p w:rsidR="00C22678" w:rsidRDefault="00C22678" w:rsidP="00FF4AE5">
      <w:pPr>
        <w:pStyle w:val="Heading2"/>
      </w:pPr>
      <w:bookmarkStart w:id="188" w:name="_Toc428440240"/>
      <w:r>
        <w:t xml:space="preserve">First round recommendation regarding </w:t>
      </w:r>
      <w:r w:rsidRPr="00902C46">
        <w:t>authorisation</w:t>
      </w:r>
      <w:bookmarkEnd w:id="188"/>
    </w:p>
    <w:p w:rsidR="00902C46" w:rsidRDefault="00FF4AE5" w:rsidP="00FF4AE5">
      <w:r>
        <w:t>The e</w:t>
      </w:r>
      <w:r w:rsidR="00902C46">
        <w:t>valuator has no objection to the approval of the alternative, faster infusion schedule of MabThera for rheumatoid arthritis.</w:t>
      </w:r>
    </w:p>
    <w:p w:rsidR="00C22678" w:rsidRDefault="00C22678" w:rsidP="00C22678">
      <w:pPr>
        <w:pStyle w:val="Heading2"/>
      </w:pPr>
      <w:bookmarkStart w:id="189" w:name="_Toc428440241"/>
      <w:r>
        <w:t>Clinical questions</w:t>
      </w:r>
      <w:bookmarkEnd w:id="189"/>
    </w:p>
    <w:p w:rsidR="00902C46" w:rsidRDefault="00902C46" w:rsidP="00FF4AE5">
      <w:pPr>
        <w:pStyle w:val="Heading3"/>
      </w:pPr>
      <w:bookmarkStart w:id="190" w:name="_Toc395285793"/>
      <w:bookmarkStart w:id="191" w:name="_Toc290846342"/>
      <w:bookmarkStart w:id="192" w:name="_Toc272414702"/>
      <w:bookmarkStart w:id="193" w:name="_Toc428440242"/>
      <w:r w:rsidRPr="00902C46">
        <w:t>Pharmacokinetics</w:t>
      </w:r>
      <w:bookmarkEnd w:id="190"/>
      <w:bookmarkEnd w:id="191"/>
      <w:bookmarkEnd w:id="192"/>
      <w:bookmarkEnd w:id="193"/>
    </w:p>
    <w:p w:rsidR="00902C46" w:rsidRDefault="00902C46" w:rsidP="00FF4AE5">
      <w:pPr>
        <w:rPr>
          <w:szCs w:val="24"/>
        </w:rPr>
      </w:pPr>
      <w:r>
        <w:t xml:space="preserve">The </w:t>
      </w:r>
      <w:r w:rsidR="00FF4AE5">
        <w:t>e</w:t>
      </w:r>
      <w:r>
        <w:t>valuator does not have any questions relating to pharmacokinetics.</w:t>
      </w:r>
    </w:p>
    <w:p w:rsidR="00902C46" w:rsidRDefault="00902C46" w:rsidP="00FF4AE5">
      <w:pPr>
        <w:pStyle w:val="Heading3"/>
        <w:rPr>
          <w:sz w:val="24"/>
        </w:rPr>
      </w:pPr>
      <w:bookmarkStart w:id="194" w:name="_Toc395285794"/>
      <w:bookmarkStart w:id="195" w:name="_Toc290846343"/>
      <w:bookmarkStart w:id="196" w:name="_Toc272414703"/>
      <w:bookmarkStart w:id="197" w:name="_Toc428440243"/>
      <w:r w:rsidRPr="00FF4AE5">
        <w:t>Pharmacodynamics</w:t>
      </w:r>
      <w:bookmarkEnd w:id="194"/>
      <w:bookmarkEnd w:id="195"/>
      <w:bookmarkEnd w:id="196"/>
      <w:bookmarkEnd w:id="197"/>
    </w:p>
    <w:p w:rsidR="00902C46" w:rsidRDefault="00902C46" w:rsidP="00FF4AE5">
      <w:pPr>
        <w:rPr>
          <w:szCs w:val="24"/>
        </w:rPr>
      </w:pPr>
      <w:r>
        <w:t xml:space="preserve">The </w:t>
      </w:r>
      <w:r w:rsidR="00FF4AE5">
        <w:t>e</w:t>
      </w:r>
      <w:r>
        <w:t>valuator does not have any questions relating to pharmacodynamics.</w:t>
      </w:r>
    </w:p>
    <w:p w:rsidR="00902C46" w:rsidRDefault="00902C46" w:rsidP="00FF4AE5">
      <w:pPr>
        <w:pStyle w:val="Heading3"/>
        <w:rPr>
          <w:sz w:val="24"/>
        </w:rPr>
      </w:pPr>
      <w:bookmarkStart w:id="198" w:name="_Toc395285795"/>
      <w:bookmarkStart w:id="199" w:name="_Toc290846344"/>
      <w:bookmarkStart w:id="200" w:name="_Toc272414704"/>
      <w:bookmarkStart w:id="201" w:name="_Toc428440244"/>
      <w:r>
        <w:t>Efficacy</w:t>
      </w:r>
      <w:bookmarkEnd w:id="198"/>
      <w:bookmarkEnd w:id="199"/>
      <w:bookmarkEnd w:id="200"/>
      <w:bookmarkEnd w:id="201"/>
    </w:p>
    <w:p w:rsidR="00902C46" w:rsidRDefault="00FF4AE5" w:rsidP="00FF4AE5">
      <w:pPr>
        <w:rPr>
          <w:szCs w:val="24"/>
        </w:rPr>
      </w:pPr>
      <w:r>
        <w:t>The e</w:t>
      </w:r>
      <w:r w:rsidR="00902C46">
        <w:t>valuator does not have any questions relating to efficacy.</w:t>
      </w:r>
    </w:p>
    <w:p w:rsidR="00902C46" w:rsidRDefault="00902C46" w:rsidP="00FF4AE5">
      <w:pPr>
        <w:pStyle w:val="Heading3"/>
        <w:rPr>
          <w:sz w:val="24"/>
        </w:rPr>
      </w:pPr>
      <w:bookmarkStart w:id="202" w:name="_Toc395285796"/>
      <w:bookmarkStart w:id="203" w:name="_Toc290846345"/>
      <w:bookmarkStart w:id="204" w:name="_Toc272414705"/>
      <w:bookmarkStart w:id="205" w:name="_Toc428440245"/>
      <w:r>
        <w:t>Safety</w:t>
      </w:r>
      <w:bookmarkEnd w:id="202"/>
      <w:bookmarkEnd w:id="203"/>
      <w:bookmarkEnd w:id="204"/>
      <w:bookmarkEnd w:id="205"/>
    </w:p>
    <w:p w:rsidR="00902C46" w:rsidRDefault="00FF4AE5" w:rsidP="00FF4AE5">
      <w:pPr>
        <w:rPr>
          <w:szCs w:val="24"/>
        </w:rPr>
      </w:pPr>
      <w:r>
        <w:t>The e</w:t>
      </w:r>
      <w:r w:rsidR="00902C46">
        <w:t>valuator does not have any questions relating to safety.</w:t>
      </w:r>
    </w:p>
    <w:p w:rsidR="00C618F7" w:rsidRDefault="00C618F7" w:rsidP="00FF4AE5">
      <w:pPr>
        <w:pStyle w:val="Heading2"/>
      </w:pPr>
      <w:bookmarkStart w:id="206" w:name="_Toc428440246"/>
      <w:r w:rsidRPr="00FF4AE5">
        <w:t>Second</w:t>
      </w:r>
      <w:r>
        <w:t xml:space="preserve"> round evaluation of clinical data submitted in response to questions</w:t>
      </w:r>
      <w:bookmarkEnd w:id="206"/>
    </w:p>
    <w:p w:rsidR="00C618F7" w:rsidRPr="00586F98" w:rsidRDefault="00902C46" w:rsidP="00FF4AE5">
      <w:pPr>
        <w:rPr>
          <w:lang w:eastAsia="ja-JP"/>
        </w:rPr>
      </w:pPr>
      <w:r>
        <w:rPr>
          <w:lang w:eastAsia="ja-JP"/>
        </w:rPr>
        <w:t>There was no second round evaluation conducted.</w:t>
      </w:r>
      <w:bookmarkStart w:id="207" w:name="_GoBack"/>
      <w:bookmarkEnd w:id="207"/>
    </w:p>
    <w:p w:rsidR="00C618F7" w:rsidRDefault="00C618F7" w:rsidP="00FF4AE5">
      <w:pPr>
        <w:pStyle w:val="Heading2"/>
      </w:pPr>
      <w:bookmarkStart w:id="208" w:name="_Toc428440247"/>
      <w:r w:rsidRPr="00FF4AE5">
        <w:lastRenderedPageBreak/>
        <w:t>References</w:t>
      </w:r>
      <w:bookmarkEnd w:id="208"/>
    </w:p>
    <w:p w:rsidR="003D1E62" w:rsidRPr="001D043B" w:rsidRDefault="00902C46" w:rsidP="002666AC">
      <w:pPr>
        <w:rPr>
          <w:lang w:eastAsia="ja-JP"/>
        </w:rPr>
        <w:sectPr w:rsidR="003D1E62" w:rsidRPr="001D043B" w:rsidSect="00FF4AE5">
          <w:headerReference w:type="even" r:id="rId41"/>
          <w:headerReference w:type="default" r:id="rId42"/>
          <w:headerReference w:type="first" r:id="rId43"/>
          <w:footerReference w:type="first" r:id="rId44"/>
          <w:pgSz w:w="11906" w:h="16838" w:code="9"/>
          <w:pgMar w:top="1440" w:right="1440" w:bottom="1440" w:left="1440" w:header="907" w:footer="216" w:gutter="0"/>
          <w:cols w:space="708"/>
          <w:docGrid w:linePitch="360"/>
        </w:sectPr>
      </w:pPr>
      <w:proofErr w:type="gramStart"/>
      <w:r>
        <w:rPr>
          <w:lang w:eastAsia="ja-JP"/>
        </w:rPr>
        <w:t>Nil</w:t>
      </w:r>
      <w:bookmarkEnd w:id="2"/>
      <w:bookmarkEnd w:id="1"/>
      <w:bookmarkEnd w:id="0"/>
      <w:r w:rsidR="00655C16">
        <w:rPr>
          <w:lang w:eastAsia="ja-JP"/>
        </w:rPr>
        <w:t>.</w:t>
      </w:r>
      <w:proofErr w:type="gramEnd"/>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02C46">
        <w:trPr>
          <w:trHeight w:hRule="exact" w:val="564"/>
        </w:trPr>
        <w:tc>
          <w:tcPr>
            <w:tcW w:w="9175" w:type="dxa"/>
          </w:tcPr>
          <w:p w:rsidR="00B3567E" w:rsidRPr="00487162" w:rsidRDefault="00B3567E" w:rsidP="00902C46">
            <w:pPr>
              <w:pStyle w:val="TGASignoff"/>
            </w:pPr>
            <w:r w:rsidRPr="00487162">
              <w:lastRenderedPageBreak/>
              <w:t>Therapeutic Goods Administration</w:t>
            </w:r>
          </w:p>
        </w:tc>
      </w:tr>
      <w:tr w:rsidR="00B3567E" w:rsidRPr="00487162" w:rsidTr="00902C46">
        <w:trPr>
          <w:trHeight w:val="1221"/>
        </w:trPr>
        <w:tc>
          <w:tcPr>
            <w:tcW w:w="9175" w:type="dxa"/>
            <w:tcMar>
              <w:top w:w="28" w:type="dxa"/>
            </w:tcMar>
          </w:tcPr>
          <w:p w:rsidR="00B3567E" w:rsidRPr="00487162" w:rsidRDefault="00B3567E" w:rsidP="00902C46">
            <w:pPr>
              <w:pStyle w:val="Address"/>
            </w:pPr>
            <w:r w:rsidRPr="00487162">
              <w:t>PO Box 100 Woden ACT 2606 Australia</w:t>
            </w:r>
          </w:p>
          <w:p w:rsidR="00B3567E" w:rsidRPr="00487162" w:rsidRDefault="00B3567E" w:rsidP="00902C46">
            <w:pPr>
              <w:pStyle w:val="Address"/>
            </w:pPr>
            <w:r w:rsidRPr="00487162">
              <w:t xml:space="preserve">Email: </w:t>
            </w:r>
            <w:hyperlink r:id="rId45" w:history="1">
              <w:r w:rsidR="00E24862" w:rsidRPr="00931EBD">
                <w:rPr>
                  <w:rStyle w:val="Hyperlink"/>
                </w:rPr>
                <w:t>info@tga.gov.au</w:t>
              </w:r>
            </w:hyperlink>
            <w:r w:rsidR="002D7220">
              <w:t xml:space="preserve"> </w:t>
            </w:r>
            <w:r w:rsidRPr="00487162">
              <w:t>Phone: 1800 020 653</w:t>
            </w:r>
            <w:r w:rsidR="002D7220">
              <w:t xml:space="preserve"> </w:t>
            </w:r>
            <w:r w:rsidRPr="00487162">
              <w:t>Fax: 02 6232 8605</w:t>
            </w:r>
          </w:p>
          <w:p w:rsidR="00B3567E" w:rsidRPr="008D770F" w:rsidRDefault="00EA5514" w:rsidP="00902C46">
            <w:pPr>
              <w:pStyle w:val="Address"/>
              <w:spacing w:line="260" w:lineRule="atLeast"/>
              <w:rPr>
                <w:b/>
                <w:color w:val="0000FF"/>
                <w:u w:val="single"/>
              </w:rPr>
            </w:pPr>
            <w:hyperlink r:id="rId4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7"/>
      <w:headerReference w:type="default" r:id="rId48"/>
      <w:footerReference w:type="default" r:id="rId49"/>
      <w:headerReference w:type="first" r:id="rId50"/>
      <w:footerReference w:type="first" r:id="rId5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669" w:rsidRDefault="00B82669" w:rsidP="00C40A36">
      <w:pPr>
        <w:spacing w:after="0"/>
      </w:pPr>
      <w:r>
        <w:separator/>
      </w:r>
    </w:p>
  </w:endnote>
  <w:endnote w:type="continuationSeparator" w:id="0">
    <w:p w:rsidR="00B82669" w:rsidRDefault="00B8266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MT">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B82669" w:rsidRPr="00487162" w:rsidTr="00BE57A2">
      <w:trPr>
        <w:trHeight w:val="274"/>
      </w:trPr>
      <w:tc>
        <w:tcPr>
          <w:tcW w:w="7797" w:type="dxa"/>
          <w:tcMar>
            <w:top w:w="142" w:type="dxa"/>
            <w:bottom w:w="0" w:type="dxa"/>
          </w:tcMar>
        </w:tcPr>
        <w:p w:rsidR="00B82669" w:rsidRPr="00487162" w:rsidRDefault="00B82669" w:rsidP="00CB302E">
          <w:pPr>
            <w:pStyle w:val="Footer"/>
          </w:pPr>
          <w:r>
            <w:t>Submission</w:t>
          </w:r>
          <w:r w:rsidRPr="00487162">
            <w:t xml:space="preserve"> PM-20</w:t>
          </w:r>
          <w:r>
            <w:t>13</w:t>
          </w:r>
          <w:r w:rsidRPr="00487162">
            <w:t>-</w:t>
          </w:r>
          <w:r>
            <w:t>04906-1-3 Extract from the Clinical Evaluation Report for MabThera [Rituximab]</w:t>
          </w:r>
        </w:p>
      </w:tc>
      <w:tc>
        <w:tcPr>
          <w:tcW w:w="1064" w:type="dxa"/>
          <w:tcMar>
            <w:top w:w="142" w:type="dxa"/>
            <w:bottom w:w="0" w:type="dxa"/>
          </w:tcMar>
        </w:tcPr>
        <w:p w:rsidR="00B82669" w:rsidRPr="00981D66" w:rsidRDefault="00B82669"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EA5514">
            <w:rPr>
              <w:noProof/>
            </w:rPr>
            <w:t>2</w:t>
          </w:r>
          <w:r w:rsidRPr="00981D66">
            <w:fldChar w:fldCharType="end"/>
          </w:r>
          <w:r w:rsidRPr="00981D66">
            <w:t xml:space="preserve"> of </w:t>
          </w:r>
          <w:r w:rsidR="00EA5514">
            <w:fldChar w:fldCharType="begin"/>
          </w:r>
          <w:r w:rsidR="00EA5514">
            <w:instrText xml:space="preserve"> NUMPAGES  \* Arabic  \* MERGEFORMAT </w:instrText>
          </w:r>
          <w:r w:rsidR="00EA5514">
            <w:fldChar w:fldCharType="separate"/>
          </w:r>
          <w:r w:rsidR="00EA5514">
            <w:rPr>
              <w:noProof/>
            </w:rPr>
            <w:t>34</w:t>
          </w:r>
          <w:r w:rsidR="00EA5514">
            <w:rPr>
              <w:noProof/>
            </w:rPr>
            <w:fldChar w:fldCharType="end"/>
          </w:r>
        </w:p>
      </w:tc>
    </w:tr>
  </w:tbl>
  <w:p w:rsidR="00B82669" w:rsidRDefault="00B8266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82669" w:rsidRPr="00487162" w:rsidTr="00E45619">
      <w:trPr>
        <w:trHeight w:val="269"/>
      </w:trPr>
      <w:tc>
        <w:tcPr>
          <w:tcW w:w="4519" w:type="dxa"/>
          <w:tcBorders>
            <w:top w:val="single" w:sz="4" w:space="0" w:color="auto"/>
          </w:tcBorders>
          <w:tcMar>
            <w:top w:w="142" w:type="dxa"/>
            <w:bottom w:w="0" w:type="dxa"/>
          </w:tcMar>
        </w:tcPr>
        <w:p w:rsidR="00B82669" w:rsidRPr="00487162" w:rsidRDefault="00B82669" w:rsidP="00FE1DEE">
          <w:pPr>
            <w:pStyle w:val="Footer"/>
          </w:pPr>
          <w:r w:rsidRPr="00487162">
            <w:t>Document title, Part #, Section # - Section title</w:t>
          </w:r>
        </w:p>
        <w:p w:rsidR="00B82669" w:rsidRPr="00487162" w:rsidRDefault="00B82669" w:rsidP="00FE1DEE">
          <w:pPr>
            <w:pStyle w:val="Footer"/>
          </w:pPr>
          <w:r w:rsidRPr="00487162">
            <w:t>V1.0 October 2010</w:t>
          </w:r>
        </w:p>
      </w:tc>
      <w:tc>
        <w:tcPr>
          <w:tcW w:w="4342" w:type="dxa"/>
          <w:tcBorders>
            <w:top w:val="single" w:sz="4" w:space="0" w:color="auto"/>
          </w:tcBorders>
          <w:tcMar>
            <w:top w:w="142" w:type="dxa"/>
            <w:bottom w:w="0" w:type="dxa"/>
          </w:tcMar>
        </w:tcPr>
        <w:p w:rsidR="00B82669" w:rsidRPr="00487162" w:rsidRDefault="00B8266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EA5514">
            <w:fldChar w:fldCharType="begin"/>
          </w:r>
          <w:r w:rsidR="00EA5514">
            <w:instrText xml:space="preserve"> NUMPAGES  </w:instrText>
          </w:r>
          <w:r w:rsidR="00EA5514">
            <w:fldChar w:fldCharType="separate"/>
          </w:r>
          <w:r w:rsidR="00DF67C6">
            <w:rPr>
              <w:noProof/>
            </w:rPr>
            <w:t>1</w:t>
          </w:r>
          <w:r w:rsidR="00EA5514">
            <w:rPr>
              <w:noProof/>
            </w:rPr>
            <w:fldChar w:fldCharType="end"/>
          </w:r>
        </w:p>
      </w:tc>
    </w:tr>
  </w:tbl>
  <w:p w:rsidR="00B82669" w:rsidRDefault="00B826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69" w:rsidRDefault="00B8266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82669" w:rsidTr="0010601F">
      <w:trPr>
        <w:trHeight w:val="108"/>
      </w:trPr>
      <w:tc>
        <w:tcPr>
          <w:tcW w:w="8875" w:type="dxa"/>
          <w:gridSpan w:val="2"/>
          <w:tcBorders>
            <w:bottom w:val="single" w:sz="4" w:space="0" w:color="auto"/>
          </w:tcBorders>
          <w:tcMar>
            <w:right w:w="284" w:type="dxa"/>
          </w:tcMar>
        </w:tcPr>
        <w:p w:rsidR="00B82669" w:rsidRDefault="00B82669" w:rsidP="006E08B3">
          <w:pPr>
            <w:pStyle w:val="Heading3"/>
          </w:pPr>
          <w:r>
            <w:t>Copyright</w:t>
          </w:r>
        </w:p>
        <w:p w:rsidR="00B82669" w:rsidRDefault="00B82669" w:rsidP="006E08B3">
          <w:r>
            <w:rPr>
              <w:rFonts w:cs="Arial"/>
            </w:rPr>
            <w:t>©</w:t>
          </w:r>
          <w:r>
            <w:t xml:space="preserve"> Commonwealth of Australia [add year]</w:t>
          </w:r>
        </w:p>
        <w:p w:rsidR="00B82669" w:rsidRDefault="00B82669" w:rsidP="006E08B3"/>
        <w:p w:rsidR="00B82669" w:rsidRDefault="00B8266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82669" w:rsidRDefault="00B82669" w:rsidP="006E08B3"/>
        <w:p w:rsidR="00B82669" w:rsidRDefault="00B82669" w:rsidP="006E08B3">
          <w:pPr>
            <w:pStyle w:val="Heading3"/>
          </w:pPr>
          <w:r>
            <w:t>Confidentiality</w:t>
          </w:r>
        </w:p>
        <w:p w:rsidR="00B82669" w:rsidRDefault="00B8266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82669" w:rsidRDefault="00B82669" w:rsidP="006E08B3"/>
        <w:p w:rsidR="00B82669" w:rsidRDefault="00B82669" w:rsidP="006E08B3">
          <w:r>
            <w:t>For submission made by individuals, all personal details, other than your name, will be removed from your submission before it is published on the TGA’s Internet site.</w:t>
          </w:r>
        </w:p>
        <w:p w:rsidR="00B82669" w:rsidRDefault="00B82669" w:rsidP="006E08B3"/>
        <w:p w:rsidR="00B82669" w:rsidRDefault="00B8266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82669" w:rsidTr="0010601F">
      <w:trPr>
        <w:trHeight w:val="417"/>
      </w:trPr>
      <w:tc>
        <w:tcPr>
          <w:tcW w:w="4519" w:type="dxa"/>
          <w:tcBorders>
            <w:top w:val="single" w:sz="4" w:space="0" w:color="auto"/>
          </w:tcBorders>
          <w:tcMar>
            <w:top w:w="142" w:type="dxa"/>
            <w:bottom w:w="0" w:type="dxa"/>
          </w:tcMar>
        </w:tcPr>
        <w:p w:rsidR="00B82669" w:rsidRDefault="00B82669" w:rsidP="006E08B3">
          <w:r>
            <w:t>Document title, Part #, Section # - Section title</w:t>
          </w:r>
        </w:p>
        <w:p w:rsidR="00B82669" w:rsidRDefault="00B82669" w:rsidP="006E08B3">
          <w:r>
            <w:t>V1.0 October 2010</w:t>
          </w:r>
        </w:p>
      </w:tc>
      <w:tc>
        <w:tcPr>
          <w:tcW w:w="4356" w:type="dxa"/>
          <w:tcBorders>
            <w:top w:val="single" w:sz="4" w:space="0" w:color="auto"/>
          </w:tcBorders>
          <w:tcMar>
            <w:top w:w="142" w:type="dxa"/>
            <w:bottom w:w="0" w:type="dxa"/>
          </w:tcMar>
        </w:tcPr>
        <w:p w:rsidR="00B82669" w:rsidRDefault="00B8266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EA5514">
            <w:fldChar w:fldCharType="begin"/>
          </w:r>
          <w:r w:rsidR="00EA5514">
            <w:instrText xml:space="preserve"> NUMPAGES  \* Arabic </w:instrText>
          </w:r>
          <w:r w:rsidR="00EA5514">
            <w:fldChar w:fldCharType="separate"/>
          </w:r>
          <w:r w:rsidR="00DF67C6">
            <w:rPr>
              <w:noProof/>
            </w:rPr>
            <w:t>1</w:t>
          </w:r>
          <w:r w:rsidR="00EA5514">
            <w:rPr>
              <w:noProof/>
            </w:rPr>
            <w:fldChar w:fldCharType="end"/>
          </w:r>
          <w:r>
            <w:t xml:space="preserve"> </w:t>
          </w:r>
        </w:p>
      </w:tc>
    </w:tr>
  </w:tbl>
  <w:p w:rsidR="00B82669" w:rsidRDefault="00B826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669" w:rsidRDefault="00B82669" w:rsidP="00C40A36">
      <w:pPr>
        <w:spacing w:after="0"/>
      </w:pPr>
      <w:r>
        <w:separator/>
      </w:r>
    </w:p>
  </w:footnote>
  <w:footnote w:type="continuationSeparator" w:id="0">
    <w:p w:rsidR="00B82669" w:rsidRDefault="00B82669" w:rsidP="00C40A36">
      <w:pPr>
        <w:spacing w:after="0"/>
      </w:pPr>
      <w:r>
        <w:continuationSeparator/>
      </w:r>
    </w:p>
  </w:footnote>
  <w:footnote w:id="1">
    <w:p w:rsidR="00B82669" w:rsidRDefault="00B82669">
      <w:pPr>
        <w:pStyle w:val="FootnoteText"/>
      </w:pPr>
      <w:r>
        <w:rPr>
          <w:rStyle w:val="FootnoteReference"/>
        </w:rPr>
        <w:footnoteRef/>
      </w:r>
      <w:r>
        <w:t xml:space="preserve"> Sponsor clarification: ‘The sponsor considers these data to be only supportive because of the poor quality of the studies and reports.’</w:t>
      </w:r>
    </w:p>
  </w:footnote>
  <w:footnote w:id="2">
    <w:p w:rsidR="00DB47D8" w:rsidRDefault="00DB47D8">
      <w:pPr>
        <w:pStyle w:val="FootnoteText"/>
      </w:pPr>
      <w:r>
        <w:rPr>
          <w:rStyle w:val="FootnoteReference"/>
        </w:rPr>
        <w:footnoteRef/>
      </w:r>
      <w:r>
        <w:t>Sponsor clarification: ‘</w:t>
      </w:r>
      <w:r>
        <w:rPr>
          <w:rFonts w:eastAsia="SymbolMT"/>
        </w:rPr>
        <w:t xml:space="preserve">There </w:t>
      </w:r>
      <w:r>
        <w:rPr>
          <w:rFonts w:eastAsia="SymbolMT"/>
          <w:lang w:val="en-US"/>
        </w:rPr>
        <w:t xml:space="preserve">were </w:t>
      </w:r>
      <w:proofErr w:type="gramStart"/>
      <w:r>
        <w:rPr>
          <w:rFonts w:eastAsia="SymbolMT"/>
          <w:lang w:val="en-US"/>
        </w:rPr>
        <w:t>two CTC Grade 3</w:t>
      </w:r>
      <w:proofErr w:type="gramEnd"/>
      <w:r>
        <w:rPr>
          <w:rFonts w:eastAsia="SymbolMT"/>
          <w:lang w:val="en-US"/>
        </w:rPr>
        <w:t xml:space="preserve"> or 4 AE reported </w:t>
      </w:r>
      <w:r w:rsidRPr="00DB47D8">
        <w:rPr>
          <w:rFonts w:eastAsia="SymbolMT"/>
          <w:i/>
          <w:lang w:val="en-US"/>
        </w:rPr>
        <w:t>during or within 24 hours</w:t>
      </w:r>
      <w:r>
        <w:rPr>
          <w:rFonts w:eastAsia="SymbolMT"/>
          <w:lang w:val="en-US"/>
        </w:rPr>
        <w:t xml:space="preserve"> of</w:t>
      </w:r>
      <w:r w:rsidR="00655C16">
        <w:rPr>
          <w:rFonts w:eastAsia="SymbolMT"/>
          <w:lang w:val="en-US"/>
        </w:rPr>
        <w:t xml:space="preserve"> </w:t>
      </w:r>
      <w:r>
        <w:rPr>
          <w:rFonts w:eastAsia="SymbolMT"/>
          <w:lang w:val="en-US"/>
        </w:rPr>
        <w:t xml:space="preserve">the second infusion and none </w:t>
      </w:r>
      <w:r w:rsidRPr="00DB47D8">
        <w:rPr>
          <w:rFonts w:eastAsia="SymbolMT"/>
          <w:i/>
          <w:lang w:val="en-US"/>
        </w:rPr>
        <w:t>during or within 24 hours</w:t>
      </w:r>
      <w:r>
        <w:rPr>
          <w:rFonts w:eastAsia="SymbolMT"/>
          <w:lang w:val="en-US"/>
        </w:rPr>
        <w:t xml:space="preserve"> of the third.’ </w:t>
      </w:r>
    </w:p>
  </w:footnote>
  <w:footnote w:id="3">
    <w:p w:rsidR="00DB47D8" w:rsidRDefault="00DB47D8">
      <w:pPr>
        <w:pStyle w:val="FootnoteText"/>
      </w:pPr>
      <w:r>
        <w:rPr>
          <w:rStyle w:val="FootnoteReference"/>
        </w:rPr>
        <w:footnoteRef/>
      </w:r>
      <w:r>
        <w:t xml:space="preserve"> Sponsor clarification: ‘Subjects with RA of ≥ 6 months duration.’</w:t>
      </w:r>
    </w:p>
  </w:footnote>
  <w:footnote w:id="4">
    <w:p w:rsidR="00DB47D8" w:rsidRDefault="00DB47D8">
      <w:pPr>
        <w:pStyle w:val="FootnoteText"/>
      </w:pPr>
      <w:r>
        <w:rPr>
          <w:rStyle w:val="FootnoteReference"/>
        </w:rPr>
        <w:footnoteRef/>
      </w:r>
      <w:r>
        <w:t xml:space="preserve"> The sponsor has commented on the methods used to identify IRRS in the historical and Study ML25641 data on page 30 of the AusPAR.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69" w:rsidRDefault="00B8266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69" w:rsidRDefault="00B82669">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82669" w:rsidRDefault="00B82669" w:rsidP="00593AD1">
    <w:pPr>
      <w:pStyle w:val="HeaderNoLine"/>
    </w:pPr>
    <w:r>
      <w:rPr>
        <w:noProof/>
        <w:lang w:eastAsia="en-AU"/>
      </w:rPr>
      <w:drawing>
        <wp:inline distT="0" distB="0" distL="0" distR="0">
          <wp:extent cx="5400675" cy="7639050"/>
          <wp:effectExtent l="0" t="0" r="9525" b="0"/>
          <wp:docPr id="4"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69" w:rsidRDefault="00B826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69" w:rsidRDefault="00B8266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69" w:rsidRDefault="00B8266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69" w:rsidRDefault="00B8266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69" w:rsidRDefault="00B8266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69" w:rsidRDefault="00B82669" w:rsidP="006E08B3">
    <w:r>
      <w:t>Therapeutic Goods Administration</w:t>
    </w:r>
  </w:p>
  <w:p w:rsidR="00B82669" w:rsidRDefault="00B8266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82EAEC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2253B91"/>
    <w:multiLevelType w:val="hybridMultilevel"/>
    <w:tmpl w:val="E5DE1F5E"/>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8787B45"/>
    <w:multiLevelType w:val="hybridMultilevel"/>
    <w:tmpl w:val="A0A4472A"/>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BAF6AB6"/>
    <w:multiLevelType w:val="hybridMultilevel"/>
    <w:tmpl w:val="237E00DA"/>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F416AB1"/>
    <w:multiLevelType w:val="hybridMultilevel"/>
    <w:tmpl w:val="9BBE4668"/>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CE3211F"/>
    <w:multiLevelType w:val="hybridMultilevel"/>
    <w:tmpl w:val="D5EE8864"/>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nsid w:val="742156EE"/>
    <w:multiLevelType w:val="hybridMultilevel"/>
    <w:tmpl w:val="75DE6286"/>
    <w:lvl w:ilvl="0" w:tplc="A56A6382">
      <w:start w:val="1"/>
      <w:numFmt w:val="bullet"/>
      <w:lvlText w:val=""/>
      <w:lvlJc w:val="left"/>
      <w:pPr>
        <w:tabs>
          <w:tab w:val="num" w:pos="360"/>
        </w:tabs>
        <w:ind w:left="360" w:hanging="360"/>
      </w:pPr>
      <w:rPr>
        <w:rFonts w:ascii="Symbol" w:hAnsi="Symbol" w:hint="default"/>
        <w:sz w:val="24"/>
        <w:szCs w:val="24"/>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3"/>
  </w:num>
  <w:num w:numId="27">
    <w:abstractNumId w:val="14"/>
  </w:num>
  <w:num w:numId="28">
    <w:abstractNumId w:val="15"/>
  </w:num>
  <w:num w:numId="29">
    <w:abstractNumId w:val="17"/>
  </w:num>
  <w:num w:numId="30">
    <w:abstractNumId w:val="17"/>
  </w:num>
  <w:num w:numId="31">
    <w:abstractNumId w:val="17"/>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8"/>
  </w:num>
  <w:num w:numId="34">
    <w:abstractNumId w:val="9"/>
  </w:num>
  <w:num w:numId="35">
    <w:abstractNumId w:val="10"/>
  </w:num>
  <w:num w:numId="36">
    <w:abstractNumId w:val="5"/>
  </w:num>
  <w:num w:numId="37">
    <w:abstractNumId w:val="12"/>
  </w:num>
  <w:num w:numId="38">
    <w:abstractNumId w:val="7"/>
  </w:num>
  <w:num w:numId="39">
    <w:abstractNumId w:val="16"/>
  </w:num>
  <w:num w:numId="40">
    <w:abstractNumId w:val="18"/>
  </w:num>
  <w:num w:numId="41">
    <w:abstractNumId w:val="8"/>
  </w:num>
  <w:num w:numId="4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D84"/>
    <w:rsid w:val="00002031"/>
    <w:rsid w:val="00004734"/>
    <w:rsid w:val="00006B22"/>
    <w:rsid w:val="0001276A"/>
    <w:rsid w:val="000246AE"/>
    <w:rsid w:val="00025C67"/>
    <w:rsid w:val="00040ACB"/>
    <w:rsid w:val="0005559E"/>
    <w:rsid w:val="00073424"/>
    <w:rsid w:val="00073A30"/>
    <w:rsid w:val="00077775"/>
    <w:rsid w:val="00090471"/>
    <w:rsid w:val="000A3AED"/>
    <w:rsid w:val="000A63AF"/>
    <w:rsid w:val="000B3532"/>
    <w:rsid w:val="000B3A75"/>
    <w:rsid w:val="000C690F"/>
    <w:rsid w:val="000D0D84"/>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6691E"/>
    <w:rsid w:val="0017078F"/>
    <w:rsid w:val="0017693F"/>
    <w:rsid w:val="0018110E"/>
    <w:rsid w:val="00181684"/>
    <w:rsid w:val="001843C6"/>
    <w:rsid w:val="001850E0"/>
    <w:rsid w:val="001A2158"/>
    <w:rsid w:val="001A525F"/>
    <w:rsid w:val="001B09F9"/>
    <w:rsid w:val="001B5D98"/>
    <w:rsid w:val="001B6448"/>
    <w:rsid w:val="001E07CF"/>
    <w:rsid w:val="001E3C98"/>
    <w:rsid w:val="001E40CB"/>
    <w:rsid w:val="001E59F1"/>
    <w:rsid w:val="001F49EB"/>
    <w:rsid w:val="001F6CBA"/>
    <w:rsid w:val="00201D4E"/>
    <w:rsid w:val="002074D5"/>
    <w:rsid w:val="002076C9"/>
    <w:rsid w:val="00220B8A"/>
    <w:rsid w:val="002257F3"/>
    <w:rsid w:val="00233456"/>
    <w:rsid w:val="002339A5"/>
    <w:rsid w:val="00234CDE"/>
    <w:rsid w:val="00257848"/>
    <w:rsid w:val="002666AC"/>
    <w:rsid w:val="0027084A"/>
    <w:rsid w:val="00286434"/>
    <w:rsid w:val="00286C59"/>
    <w:rsid w:val="00292113"/>
    <w:rsid w:val="002942D1"/>
    <w:rsid w:val="0029501A"/>
    <w:rsid w:val="002B1638"/>
    <w:rsid w:val="002C63ED"/>
    <w:rsid w:val="002D545C"/>
    <w:rsid w:val="002D6161"/>
    <w:rsid w:val="002D7220"/>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869FC"/>
    <w:rsid w:val="004936E4"/>
    <w:rsid w:val="00494E60"/>
    <w:rsid w:val="00497487"/>
    <w:rsid w:val="004A7E13"/>
    <w:rsid w:val="004B7B76"/>
    <w:rsid w:val="004C2DCA"/>
    <w:rsid w:val="004C3950"/>
    <w:rsid w:val="004F0F38"/>
    <w:rsid w:val="004F4AF5"/>
    <w:rsid w:val="00501921"/>
    <w:rsid w:val="00530354"/>
    <w:rsid w:val="0053625B"/>
    <w:rsid w:val="005434C6"/>
    <w:rsid w:val="00543B39"/>
    <w:rsid w:val="00550096"/>
    <w:rsid w:val="00553FEC"/>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20406"/>
    <w:rsid w:val="00632398"/>
    <w:rsid w:val="00640FC3"/>
    <w:rsid w:val="00642020"/>
    <w:rsid w:val="00646206"/>
    <w:rsid w:val="0065337B"/>
    <w:rsid w:val="0065419D"/>
    <w:rsid w:val="00655C16"/>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6D0"/>
    <w:rsid w:val="006F2796"/>
    <w:rsid w:val="006F572E"/>
    <w:rsid w:val="007046D6"/>
    <w:rsid w:val="00705DB0"/>
    <w:rsid w:val="00712A3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02C46"/>
    <w:rsid w:val="00920330"/>
    <w:rsid w:val="009219D7"/>
    <w:rsid w:val="00922D53"/>
    <w:rsid w:val="00923B70"/>
    <w:rsid w:val="00924482"/>
    <w:rsid w:val="00930237"/>
    <w:rsid w:val="009438E8"/>
    <w:rsid w:val="00946EA5"/>
    <w:rsid w:val="0095160F"/>
    <w:rsid w:val="00963C08"/>
    <w:rsid w:val="00981D66"/>
    <w:rsid w:val="0098585A"/>
    <w:rsid w:val="0098669D"/>
    <w:rsid w:val="00994799"/>
    <w:rsid w:val="00994C95"/>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57C2F"/>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76B91"/>
    <w:rsid w:val="00B77EB1"/>
    <w:rsid w:val="00B811C6"/>
    <w:rsid w:val="00B82669"/>
    <w:rsid w:val="00B85A87"/>
    <w:rsid w:val="00B92E08"/>
    <w:rsid w:val="00B96EBE"/>
    <w:rsid w:val="00BC622A"/>
    <w:rsid w:val="00BD45E3"/>
    <w:rsid w:val="00BE0A78"/>
    <w:rsid w:val="00BE32A6"/>
    <w:rsid w:val="00BE57A2"/>
    <w:rsid w:val="00BE6252"/>
    <w:rsid w:val="00BE79F0"/>
    <w:rsid w:val="00BF046D"/>
    <w:rsid w:val="00BF1190"/>
    <w:rsid w:val="00BF5D04"/>
    <w:rsid w:val="00C1164D"/>
    <w:rsid w:val="00C16861"/>
    <w:rsid w:val="00C22678"/>
    <w:rsid w:val="00C404A6"/>
    <w:rsid w:val="00C40A36"/>
    <w:rsid w:val="00C44419"/>
    <w:rsid w:val="00C45E7B"/>
    <w:rsid w:val="00C4625F"/>
    <w:rsid w:val="00C471B1"/>
    <w:rsid w:val="00C618F7"/>
    <w:rsid w:val="00C6316B"/>
    <w:rsid w:val="00C634A9"/>
    <w:rsid w:val="00C64586"/>
    <w:rsid w:val="00C70D53"/>
    <w:rsid w:val="00C712EE"/>
    <w:rsid w:val="00C73D0B"/>
    <w:rsid w:val="00C772FF"/>
    <w:rsid w:val="00C801AF"/>
    <w:rsid w:val="00C80256"/>
    <w:rsid w:val="00C811C0"/>
    <w:rsid w:val="00CA0FD5"/>
    <w:rsid w:val="00CB302E"/>
    <w:rsid w:val="00CB6BC0"/>
    <w:rsid w:val="00CC1B7C"/>
    <w:rsid w:val="00CC727F"/>
    <w:rsid w:val="00CD484B"/>
    <w:rsid w:val="00CF15C3"/>
    <w:rsid w:val="00CF2B6F"/>
    <w:rsid w:val="00CF58B6"/>
    <w:rsid w:val="00D017ED"/>
    <w:rsid w:val="00D040D3"/>
    <w:rsid w:val="00D04C65"/>
    <w:rsid w:val="00D224FE"/>
    <w:rsid w:val="00D53A31"/>
    <w:rsid w:val="00D6493E"/>
    <w:rsid w:val="00D7301E"/>
    <w:rsid w:val="00D83AE1"/>
    <w:rsid w:val="00D855D4"/>
    <w:rsid w:val="00D87961"/>
    <w:rsid w:val="00D93466"/>
    <w:rsid w:val="00DA1124"/>
    <w:rsid w:val="00DB47D8"/>
    <w:rsid w:val="00DB75B7"/>
    <w:rsid w:val="00DC6E02"/>
    <w:rsid w:val="00DE02AE"/>
    <w:rsid w:val="00DF1D7F"/>
    <w:rsid w:val="00DF4BE4"/>
    <w:rsid w:val="00DF67C6"/>
    <w:rsid w:val="00E02FB4"/>
    <w:rsid w:val="00E07F15"/>
    <w:rsid w:val="00E20571"/>
    <w:rsid w:val="00E235F7"/>
    <w:rsid w:val="00E23659"/>
    <w:rsid w:val="00E239D4"/>
    <w:rsid w:val="00E24862"/>
    <w:rsid w:val="00E26130"/>
    <w:rsid w:val="00E2741C"/>
    <w:rsid w:val="00E40B22"/>
    <w:rsid w:val="00E45619"/>
    <w:rsid w:val="00E4588F"/>
    <w:rsid w:val="00E46DA3"/>
    <w:rsid w:val="00E51BB1"/>
    <w:rsid w:val="00E624A5"/>
    <w:rsid w:val="00E7344E"/>
    <w:rsid w:val="00E846AE"/>
    <w:rsid w:val="00E936E3"/>
    <w:rsid w:val="00E979F4"/>
    <w:rsid w:val="00EA551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72551"/>
    <w:rsid w:val="00F80E40"/>
    <w:rsid w:val="00F848D9"/>
    <w:rsid w:val="00F95C6D"/>
    <w:rsid w:val="00FA5B82"/>
    <w:rsid w:val="00FA639E"/>
    <w:rsid w:val="00FA6F8E"/>
    <w:rsid w:val="00FC25E4"/>
    <w:rsid w:val="00FC4EF7"/>
    <w:rsid w:val="00FE1DEE"/>
    <w:rsid w:val="00FF2126"/>
    <w:rsid w:val="00FF4AE5"/>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55C1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rsid w:val="000D0D84"/>
    <w:pPr>
      <w:numPr>
        <w:numId w:val="33"/>
      </w:numPr>
      <w:spacing w:after="0" w:line="240" w:lineRule="auto"/>
    </w:pPr>
    <w:rPr>
      <w:rFonts w:eastAsia="Times New Roman"/>
      <w:kern w:val="24"/>
      <w:szCs w:val="24"/>
      <w:lang w:eastAsia="en-AU"/>
    </w:rPr>
  </w:style>
  <w:style w:type="paragraph" w:customStyle="1" w:styleId="Bullet2">
    <w:name w:val="Bullet 2"/>
    <w:basedOn w:val="Bullet1"/>
    <w:rsid w:val="000D0D84"/>
    <w:pPr>
      <w:numPr>
        <w:numId w:val="34"/>
      </w:numPr>
    </w:pPr>
  </w:style>
  <w:style w:type="character" w:styleId="CommentReference">
    <w:name w:val="annotation reference"/>
    <w:basedOn w:val="DefaultParagraphFont"/>
    <w:uiPriority w:val="99"/>
    <w:semiHidden/>
    <w:unhideWhenUsed/>
    <w:rsid w:val="00F72551"/>
    <w:rPr>
      <w:sz w:val="16"/>
      <w:szCs w:val="16"/>
    </w:rPr>
  </w:style>
  <w:style w:type="paragraph" w:styleId="CommentText">
    <w:name w:val="annotation text"/>
    <w:basedOn w:val="Normal"/>
    <w:link w:val="CommentTextChar"/>
    <w:uiPriority w:val="99"/>
    <w:semiHidden/>
    <w:unhideWhenUsed/>
    <w:rsid w:val="00F72551"/>
    <w:pPr>
      <w:spacing w:line="240" w:lineRule="auto"/>
    </w:pPr>
    <w:rPr>
      <w:sz w:val="20"/>
      <w:szCs w:val="20"/>
    </w:rPr>
  </w:style>
  <w:style w:type="character" w:customStyle="1" w:styleId="CommentTextChar">
    <w:name w:val="Comment Text Char"/>
    <w:basedOn w:val="DefaultParagraphFont"/>
    <w:link w:val="CommentText"/>
    <w:uiPriority w:val="99"/>
    <w:semiHidden/>
    <w:rsid w:val="00F72551"/>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72551"/>
    <w:rPr>
      <w:b/>
      <w:bCs/>
    </w:rPr>
  </w:style>
  <w:style w:type="character" w:customStyle="1" w:styleId="CommentSubjectChar">
    <w:name w:val="Comment Subject Char"/>
    <w:basedOn w:val="CommentTextChar"/>
    <w:link w:val="CommentSubject"/>
    <w:uiPriority w:val="99"/>
    <w:semiHidden/>
    <w:rsid w:val="00F72551"/>
    <w:rPr>
      <w:rFonts w:ascii="Cambria" w:eastAsia="Cambria" w:hAnsi="Cambria" w:cs="Times New Roman"/>
      <w:b/>
      <w:bCs/>
      <w:sz w:val="20"/>
      <w:szCs w:val="20"/>
    </w:rPr>
  </w:style>
  <w:style w:type="paragraph" w:styleId="FootnoteText">
    <w:name w:val="footnote text"/>
    <w:basedOn w:val="Normal"/>
    <w:link w:val="FootnoteTextChar"/>
    <w:uiPriority w:val="99"/>
    <w:semiHidden/>
    <w:unhideWhenUsed/>
    <w:rsid w:val="00B8266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82669"/>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B8266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55C1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rsid w:val="000D0D84"/>
    <w:pPr>
      <w:numPr>
        <w:numId w:val="33"/>
      </w:numPr>
      <w:spacing w:after="0" w:line="240" w:lineRule="auto"/>
    </w:pPr>
    <w:rPr>
      <w:rFonts w:eastAsia="Times New Roman"/>
      <w:kern w:val="24"/>
      <w:szCs w:val="24"/>
      <w:lang w:eastAsia="en-AU"/>
    </w:rPr>
  </w:style>
  <w:style w:type="paragraph" w:customStyle="1" w:styleId="Bullet2">
    <w:name w:val="Bullet 2"/>
    <w:basedOn w:val="Bullet1"/>
    <w:rsid w:val="000D0D84"/>
    <w:pPr>
      <w:numPr>
        <w:numId w:val="34"/>
      </w:numPr>
    </w:pPr>
  </w:style>
  <w:style w:type="character" w:styleId="CommentReference">
    <w:name w:val="annotation reference"/>
    <w:basedOn w:val="DefaultParagraphFont"/>
    <w:uiPriority w:val="99"/>
    <w:semiHidden/>
    <w:unhideWhenUsed/>
    <w:rsid w:val="00F72551"/>
    <w:rPr>
      <w:sz w:val="16"/>
      <w:szCs w:val="16"/>
    </w:rPr>
  </w:style>
  <w:style w:type="paragraph" w:styleId="CommentText">
    <w:name w:val="annotation text"/>
    <w:basedOn w:val="Normal"/>
    <w:link w:val="CommentTextChar"/>
    <w:uiPriority w:val="99"/>
    <w:semiHidden/>
    <w:unhideWhenUsed/>
    <w:rsid w:val="00F72551"/>
    <w:pPr>
      <w:spacing w:line="240" w:lineRule="auto"/>
    </w:pPr>
    <w:rPr>
      <w:sz w:val="20"/>
      <w:szCs w:val="20"/>
    </w:rPr>
  </w:style>
  <w:style w:type="character" w:customStyle="1" w:styleId="CommentTextChar">
    <w:name w:val="Comment Text Char"/>
    <w:basedOn w:val="DefaultParagraphFont"/>
    <w:link w:val="CommentText"/>
    <w:uiPriority w:val="99"/>
    <w:semiHidden/>
    <w:rsid w:val="00F72551"/>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72551"/>
    <w:rPr>
      <w:b/>
      <w:bCs/>
    </w:rPr>
  </w:style>
  <w:style w:type="character" w:customStyle="1" w:styleId="CommentSubjectChar">
    <w:name w:val="Comment Subject Char"/>
    <w:basedOn w:val="CommentTextChar"/>
    <w:link w:val="CommentSubject"/>
    <w:uiPriority w:val="99"/>
    <w:semiHidden/>
    <w:rsid w:val="00F72551"/>
    <w:rPr>
      <w:rFonts w:ascii="Cambria" w:eastAsia="Cambria" w:hAnsi="Cambria" w:cs="Times New Roman"/>
      <w:b/>
      <w:bCs/>
      <w:sz w:val="20"/>
      <w:szCs w:val="20"/>
    </w:rPr>
  </w:style>
  <w:style w:type="paragraph" w:styleId="FootnoteText">
    <w:name w:val="footnote text"/>
    <w:basedOn w:val="Normal"/>
    <w:link w:val="FootnoteTextChar"/>
    <w:uiPriority w:val="99"/>
    <w:semiHidden/>
    <w:unhideWhenUsed/>
    <w:rsid w:val="00B8266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82669"/>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B826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88428">
      <w:bodyDiv w:val="1"/>
      <w:marLeft w:val="0"/>
      <w:marRight w:val="0"/>
      <w:marTop w:val="0"/>
      <w:marBottom w:val="0"/>
      <w:divBdr>
        <w:top w:val="none" w:sz="0" w:space="0" w:color="auto"/>
        <w:left w:val="none" w:sz="0" w:space="0" w:color="auto"/>
        <w:bottom w:val="none" w:sz="0" w:space="0" w:color="auto"/>
        <w:right w:val="none" w:sz="0" w:space="0" w:color="auto"/>
      </w:divBdr>
    </w:div>
    <w:div w:id="160314735">
      <w:bodyDiv w:val="1"/>
      <w:marLeft w:val="0"/>
      <w:marRight w:val="0"/>
      <w:marTop w:val="0"/>
      <w:marBottom w:val="0"/>
      <w:divBdr>
        <w:top w:val="none" w:sz="0" w:space="0" w:color="auto"/>
        <w:left w:val="none" w:sz="0" w:space="0" w:color="auto"/>
        <w:bottom w:val="none" w:sz="0" w:space="0" w:color="auto"/>
        <w:right w:val="none" w:sz="0" w:space="0" w:color="auto"/>
      </w:divBdr>
    </w:div>
    <w:div w:id="318077784">
      <w:bodyDiv w:val="1"/>
      <w:marLeft w:val="0"/>
      <w:marRight w:val="0"/>
      <w:marTop w:val="0"/>
      <w:marBottom w:val="0"/>
      <w:divBdr>
        <w:top w:val="none" w:sz="0" w:space="0" w:color="auto"/>
        <w:left w:val="none" w:sz="0" w:space="0" w:color="auto"/>
        <w:bottom w:val="none" w:sz="0" w:space="0" w:color="auto"/>
        <w:right w:val="none" w:sz="0" w:space="0" w:color="auto"/>
      </w:divBdr>
    </w:div>
    <w:div w:id="411128208">
      <w:bodyDiv w:val="1"/>
      <w:marLeft w:val="0"/>
      <w:marRight w:val="0"/>
      <w:marTop w:val="0"/>
      <w:marBottom w:val="0"/>
      <w:divBdr>
        <w:top w:val="none" w:sz="0" w:space="0" w:color="auto"/>
        <w:left w:val="none" w:sz="0" w:space="0" w:color="auto"/>
        <w:bottom w:val="none" w:sz="0" w:space="0" w:color="auto"/>
        <w:right w:val="none" w:sz="0" w:space="0" w:color="auto"/>
      </w:divBdr>
    </w:div>
    <w:div w:id="465005757">
      <w:bodyDiv w:val="1"/>
      <w:marLeft w:val="0"/>
      <w:marRight w:val="0"/>
      <w:marTop w:val="0"/>
      <w:marBottom w:val="0"/>
      <w:divBdr>
        <w:top w:val="none" w:sz="0" w:space="0" w:color="auto"/>
        <w:left w:val="none" w:sz="0" w:space="0" w:color="auto"/>
        <w:bottom w:val="none" w:sz="0" w:space="0" w:color="auto"/>
        <w:right w:val="none" w:sz="0" w:space="0" w:color="auto"/>
      </w:divBdr>
    </w:div>
    <w:div w:id="474957063">
      <w:bodyDiv w:val="1"/>
      <w:marLeft w:val="0"/>
      <w:marRight w:val="0"/>
      <w:marTop w:val="0"/>
      <w:marBottom w:val="0"/>
      <w:divBdr>
        <w:top w:val="none" w:sz="0" w:space="0" w:color="auto"/>
        <w:left w:val="none" w:sz="0" w:space="0" w:color="auto"/>
        <w:bottom w:val="none" w:sz="0" w:space="0" w:color="auto"/>
        <w:right w:val="none" w:sz="0" w:space="0" w:color="auto"/>
      </w:divBdr>
    </w:div>
    <w:div w:id="669988312">
      <w:bodyDiv w:val="1"/>
      <w:marLeft w:val="0"/>
      <w:marRight w:val="0"/>
      <w:marTop w:val="0"/>
      <w:marBottom w:val="0"/>
      <w:divBdr>
        <w:top w:val="none" w:sz="0" w:space="0" w:color="auto"/>
        <w:left w:val="none" w:sz="0" w:space="0" w:color="auto"/>
        <w:bottom w:val="none" w:sz="0" w:space="0" w:color="auto"/>
        <w:right w:val="none" w:sz="0" w:space="0" w:color="auto"/>
      </w:divBdr>
    </w:div>
    <w:div w:id="1029796996">
      <w:bodyDiv w:val="1"/>
      <w:marLeft w:val="0"/>
      <w:marRight w:val="0"/>
      <w:marTop w:val="0"/>
      <w:marBottom w:val="0"/>
      <w:divBdr>
        <w:top w:val="none" w:sz="0" w:space="0" w:color="auto"/>
        <w:left w:val="none" w:sz="0" w:space="0" w:color="auto"/>
        <w:bottom w:val="none" w:sz="0" w:space="0" w:color="auto"/>
        <w:right w:val="none" w:sz="0" w:space="0" w:color="auto"/>
      </w:divBdr>
    </w:div>
    <w:div w:id="1054768895">
      <w:bodyDiv w:val="1"/>
      <w:marLeft w:val="0"/>
      <w:marRight w:val="0"/>
      <w:marTop w:val="0"/>
      <w:marBottom w:val="0"/>
      <w:divBdr>
        <w:top w:val="none" w:sz="0" w:space="0" w:color="auto"/>
        <w:left w:val="none" w:sz="0" w:space="0" w:color="auto"/>
        <w:bottom w:val="none" w:sz="0" w:space="0" w:color="auto"/>
        <w:right w:val="none" w:sz="0" w:space="0" w:color="auto"/>
      </w:divBdr>
    </w:div>
    <w:div w:id="1066682532">
      <w:bodyDiv w:val="1"/>
      <w:marLeft w:val="0"/>
      <w:marRight w:val="0"/>
      <w:marTop w:val="0"/>
      <w:marBottom w:val="0"/>
      <w:divBdr>
        <w:top w:val="none" w:sz="0" w:space="0" w:color="auto"/>
        <w:left w:val="none" w:sz="0" w:space="0" w:color="auto"/>
        <w:bottom w:val="none" w:sz="0" w:space="0" w:color="auto"/>
        <w:right w:val="none" w:sz="0" w:space="0" w:color="auto"/>
      </w:divBdr>
    </w:div>
    <w:div w:id="1364212768">
      <w:bodyDiv w:val="1"/>
      <w:marLeft w:val="0"/>
      <w:marRight w:val="0"/>
      <w:marTop w:val="0"/>
      <w:marBottom w:val="0"/>
      <w:divBdr>
        <w:top w:val="none" w:sz="0" w:space="0" w:color="auto"/>
        <w:left w:val="none" w:sz="0" w:space="0" w:color="auto"/>
        <w:bottom w:val="none" w:sz="0" w:space="0" w:color="auto"/>
        <w:right w:val="none" w:sz="0" w:space="0" w:color="auto"/>
      </w:divBdr>
    </w:div>
    <w:div w:id="1475681579">
      <w:bodyDiv w:val="1"/>
      <w:marLeft w:val="0"/>
      <w:marRight w:val="0"/>
      <w:marTop w:val="0"/>
      <w:marBottom w:val="0"/>
      <w:divBdr>
        <w:top w:val="none" w:sz="0" w:space="0" w:color="auto"/>
        <w:left w:val="none" w:sz="0" w:space="0" w:color="auto"/>
        <w:bottom w:val="none" w:sz="0" w:space="0" w:color="auto"/>
        <w:right w:val="none" w:sz="0" w:space="0" w:color="auto"/>
      </w:divBdr>
    </w:div>
    <w:div w:id="1476408442">
      <w:bodyDiv w:val="1"/>
      <w:marLeft w:val="0"/>
      <w:marRight w:val="0"/>
      <w:marTop w:val="0"/>
      <w:marBottom w:val="0"/>
      <w:divBdr>
        <w:top w:val="none" w:sz="0" w:space="0" w:color="auto"/>
        <w:left w:val="none" w:sz="0" w:space="0" w:color="auto"/>
        <w:bottom w:val="none" w:sz="0" w:space="0" w:color="auto"/>
        <w:right w:val="none" w:sz="0" w:space="0" w:color="auto"/>
      </w:divBdr>
    </w:div>
    <w:div w:id="1598293664">
      <w:bodyDiv w:val="1"/>
      <w:marLeft w:val="0"/>
      <w:marRight w:val="0"/>
      <w:marTop w:val="0"/>
      <w:marBottom w:val="0"/>
      <w:divBdr>
        <w:top w:val="none" w:sz="0" w:space="0" w:color="auto"/>
        <w:left w:val="none" w:sz="0" w:space="0" w:color="auto"/>
        <w:bottom w:val="none" w:sz="0" w:space="0" w:color="auto"/>
        <w:right w:val="none" w:sz="0" w:space="0" w:color="auto"/>
      </w:divBdr>
    </w:div>
    <w:div w:id="1623803198">
      <w:bodyDiv w:val="1"/>
      <w:marLeft w:val="0"/>
      <w:marRight w:val="0"/>
      <w:marTop w:val="0"/>
      <w:marBottom w:val="0"/>
      <w:divBdr>
        <w:top w:val="none" w:sz="0" w:space="0" w:color="auto"/>
        <w:left w:val="none" w:sz="0" w:space="0" w:color="auto"/>
        <w:bottom w:val="none" w:sz="0" w:space="0" w:color="auto"/>
        <w:right w:val="none" w:sz="0" w:space="0" w:color="auto"/>
      </w:divBdr>
    </w:div>
    <w:div w:id="2054234843">
      <w:bodyDiv w:val="1"/>
      <w:marLeft w:val="0"/>
      <w:marRight w:val="0"/>
      <w:marTop w:val="0"/>
      <w:marBottom w:val="0"/>
      <w:divBdr>
        <w:top w:val="none" w:sz="0" w:space="0" w:color="auto"/>
        <w:left w:val="none" w:sz="0" w:space="0" w:color="auto"/>
        <w:bottom w:val="none" w:sz="0" w:space="0" w:color="auto"/>
        <w:right w:val="none" w:sz="0" w:space="0" w:color="auto"/>
      </w:divBdr>
    </w:div>
    <w:div w:id="212869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file:///I:\apps\OMA\AusPARs\ACPM%20agenda%20docs\ACPM%20302%20Item%202%20Feb%202015\2.04%20MABTHERA\Word%20documents\M5%20Clinical%20evaluation%20report.DOCX" TargetMode="External"/><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image" Target="media/image20.emf"/><Relationship Id="rId46" Type="http://schemas.openxmlformats.org/officeDocument/2006/relationships/hyperlink" Target="https://www.tga.gov.au"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emf"/><Relationship Id="rId29" Type="http://schemas.openxmlformats.org/officeDocument/2006/relationships/image" Target="media/image1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0.emf"/><Relationship Id="rId32" Type="http://schemas.microsoft.com/office/2007/relationships/hdphoto" Target="media/hdphoto4.wdp"/><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yperlink" Target="mailto:info@tga.gov.a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footer" Target="footer3.xml"/><Relationship Id="rId10" Type="http://schemas.openxmlformats.org/officeDocument/2006/relationships/hyperlink" Target="https://www.tga.gov.au/product-information-pi" TargetMode="External"/><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footer" Target="footer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image" Target="media/image13.emf"/><Relationship Id="rId30" Type="http://schemas.microsoft.com/office/2007/relationships/hdphoto" Target="media/hdphoto3.wdp"/><Relationship Id="rId35" Type="http://schemas.openxmlformats.org/officeDocument/2006/relationships/hyperlink" Target="file:///I:\apps\OMA\AusPARs\ACPM%20agenda%20docs\ACPM%20302%20Item%202%20Feb%202015\2.04%20MABTHERA\Word%20documents\M5%20Clinical%20evaluation%20report.DOCX" TargetMode="External"/><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80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49E13-7B6C-4B1B-AC77-4C5C5CAB9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9</TotalTime>
  <Pages>34</Pages>
  <Words>6618</Words>
  <Characters>35940</Characters>
  <Application>Microsoft Office Word</Application>
  <DocSecurity>0</DocSecurity>
  <Lines>798</Lines>
  <Paragraphs>417</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42141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Rituximab</dc:title>
  <dc:subject>Prescription medicines</dc:subject>
  <dc:creator>Therapeutic Goods Administration</dc:creator>
  <cp:keywords>AusPARs</cp:keywords>
  <cp:lastModifiedBy>Schilg, Cassie</cp:lastModifiedBy>
  <cp:revision>4</cp:revision>
  <cp:lastPrinted>2010-12-20T22:59:00Z</cp:lastPrinted>
  <dcterms:created xsi:type="dcterms:W3CDTF">2015-08-27T02:11:00Z</dcterms:created>
  <dcterms:modified xsi:type="dcterms:W3CDTF">2015-09-21T08:23:00Z</dcterms:modified>
</cp:coreProperties>
</file>