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17078F" w:rsidRDefault="00E35B49" w:rsidP="0017078F">
            <w:pPr>
              <w:rPr>
                <w:rFonts w:ascii="Arial" w:hAnsi="Arial" w:cs="Arial"/>
                <w:b/>
                <w:color w:val="002C47"/>
                <w:sz w:val="36"/>
                <w:szCs w:val="36"/>
              </w:rPr>
            </w:pPr>
            <w:r>
              <w:rPr>
                <w:rFonts w:ascii="Arial" w:hAnsi="Arial" w:cs="Arial"/>
                <w:b/>
                <w:color w:val="002C47"/>
                <w:sz w:val="36"/>
                <w:szCs w:val="36"/>
              </w:rPr>
              <w:t>28 June</w:t>
            </w:r>
            <w:r w:rsidR="00CF36B0">
              <w:rPr>
                <w:rFonts w:ascii="Arial" w:hAnsi="Arial" w:cs="Arial"/>
                <w:b/>
                <w:color w:val="002C47"/>
                <w:sz w:val="36"/>
                <w:szCs w:val="36"/>
              </w:rPr>
              <w:t xml:space="preserve"> 2013</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r>
              <w:rPr>
                <w:color w:val="FFFFFF" w:themeColor="background1"/>
              </w:rPr>
              <w:t>AusPAR Attachment 2</w:t>
            </w:r>
          </w:p>
        </w:tc>
      </w:tr>
      <w:tr w:rsidR="00E07F15" w:rsidRPr="00A964D1" w:rsidTr="00E07F15">
        <w:trPr>
          <w:trHeight w:val="868"/>
        </w:trPr>
        <w:tc>
          <w:tcPr>
            <w:tcW w:w="9079" w:type="dxa"/>
          </w:tcPr>
          <w:p w:rsidR="00E07F15" w:rsidRPr="00A964D1" w:rsidRDefault="00E07F15" w:rsidP="008D4C87">
            <w:pPr>
              <w:pStyle w:val="Title"/>
              <w:rPr>
                <w:color w:val="FFFFFF" w:themeColor="background1"/>
              </w:rPr>
            </w:pPr>
            <w:r>
              <w:rPr>
                <w:color w:val="FFFFFF" w:themeColor="background1"/>
              </w:rPr>
              <w:t>Extract from the Clinical Evaluation Report</w:t>
            </w:r>
            <w:r w:rsidRPr="00A964D1">
              <w:rPr>
                <w:color w:val="FFFFFF" w:themeColor="background1"/>
              </w:rPr>
              <w:t xml:space="preserve"> for </w:t>
            </w:r>
            <w:r w:rsidR="008D4C87" w:rsidRPr="008D4C87">
              <w:rPr>
                <w:color w:val="FFFFFF" w:themeColor="background1"/>
              </w:rPr>
              <w:t>Rituximab</w:t>
            </w:r>
          </w:p>
        </w:tc>
      </w:tr>
      <w:tr w:rsidR="00E07F15" w:rsidRPr="00B64760" w:rsidTr="00E07F15">
        <w:tc>
          <w:tcPr>
            <w:tcW w:w="9079" w:type="dxa"/>
          </w:tcPr>
          <w:p w:rsidR="00E07F15" w:rsidRPr="008E7846" w:rsidRDefault="00E07F15" w:rsidP="00596BEA">
            <w:pPr>
              <w:pStyle w:val="Subtitle"/>
              <w:rPr>
                <w:color w:val="FFFFFF" w:themeColor="background1"/>
              </w:rPr>
            </w:pPr>
            <w:r w:rsidRPr="008E7846">
              <w:rPr>
                <w:color w:val="FFFFFF" w:themeColor="background1"/>
              </w:rPr>
              <w:t xml:space="preserve">Proprietary Product Name: </w:t>
            </w:r>
            <w:proofErr w:type="spellStart"/>
            <w:r w:rsidR="008D4C87" w:rsidRPr="008D4C87">
              <w:rPr>
                <w:color w:val="FFFFFF" w:themeColor="background1"/>
              </w:rPr>
              <w:t>Mab</w:t>
            </w:r>
            <w:r w:rsidR="00596BEA">
              <w:rPr>
                <w:color w:val="FFFFFF" w:themeColor="background1"/>
              </w:rPr>
              <w:t>T</w:t>
            </w:r>
            <w:r w:rsidR="008D4C87" w:rsidRPr="008D4C87">
              <w:rPr>
                <w:color w:val="FFFFFF" w:themeColor="background1"/>
              </w:rPr>
              <w:t>hera</w:t>
            </w:r>
            <w:proofErr w:type="spellEnd"/>
            <w:r w:rsidR="00766AFA">
              <w:rPr>
                <w:color w:val="FFFFFF" w:themeColor="background1"/>
              </w:rPr>
              <w:t xml:space="preserve"> </w:t>
            </w:r>
            <w:r w:rsidR="00D72403">
              <w:rPr>
                <w:color w:val="FFFFFF" w:themeColor="background1"/>
              </w:rPr>
              <w:t>SC</w:t>
            </w:r>
          </w:p>
        </w:tc>
      </w:tr>
      <w:tr w:rsidR="00E07F15" w:rsidRPr="00B64760" w:rsidTr="00E07F15">
        <w:trPr>
          <w:trHeight w:val="486"/>
        </w:trPr>
        <w:tc>
          <w:tcPr>
            <w:tcW w:w="9079" w:type="dxa"/>
          </w:tcPr>
          <w:p w:rsidR="00E07F15" w:rsidRPr="008E7846" w:rsidRDefault="00E07F15" w:rsidP="00E07F15">
            <w:pPr>
              <w:pStyle w:val="Subtitle"/>
              <w:rPr>
                <w:color w:val="FFFFFF" w:themeColor="background1"/>
              </w:rPr>
            </w:pPr>
            <w:r w:rsidRPr="008E7846">
              <w:rPr>
                <w:color w:val="FFFFFF" w:themeColor="background1"/>
              </w:rPr>
              <w:t>Sponsor:</w:t>
            </w:r>
            <w:r w:rsidR="00766AFA">
              <w:rPr>
                <w:color w:val="FFFFFF" w:themeColor="background1"/>
              </w:rPr>
              <w:t xml:space="preserve"> </w:t>
            </w:r>
            <w:r w:rsidR="008D4C87" w:rsidRPr="008D4C87">
              <w:rPr>
                <w:color w:val="FFFFFF" w:themeColor="background1"/>
              </w:rPr>
              <w:t>Roche Products Pty Limited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9" w:history="1">
        <w:r w:rsidR="007E6E27" w:rsidRPr="00607888">
          <w:rPr>
            <w:rStyle w:val="Hyperlink"/>
          </w:rPr>
          <w:t>http://www.tga.gov.au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B1425E" w:rsidRPr="00B1425E">
          <w:rPr>
            <w:rStyle w:val="Hyperlink"/>
          </w:rPr>
          <w:t>http://www.tga.gov.au/hp/information-medicines-pi.htm</w:t>
        </w:r>
      </w:hyperlink>
      <w:r w:rsidR="0017078F">
        <w:t>&gt;.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6C7B48">
        <w:rPr>
          <w:rFonts w:cs="Arial"/>
          <w:lang w:val="en-GB"/>
        </w:rPr>
        <w:t>3</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1"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0" w:name="_Toc196046425" w:displacedByCustomXml="next"/>
    <w:bookmarkStart w:id="1"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A6057D"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99501528" w:history="1">
            <w:r w:rsidR="00A6057D" w:rsidRPr="00DB1998">
              <w:rPr>
                <w:rStyle w:val="Hyperlink"/>
                <w:noProof/>
              </w:rPr>
              <w:t>List of common abbreviations</w:t>
            </w:r>
            <w:r w:rsidR="00A6057D">
              <w:rPr>
                <w:noProof/>
                <w:webHidden/>
              </w:rPr>
              <w:tab/>
            </w:r>
            <w:r w:rsidR="00A6057D">
              <w:rPr>
                <w:noProof/>
                <w:webHidden/>
              </w:rPr>
              <w:fldChar w:fldCharType="begin"/>
            </w:r>
            <w:r w:rsidR="00A6057D">
              <w:rPr>
                <w:noProof/>
                <w:webHidden/>
              </w:rPr>
              <w:instrText xml:space="preserve"> PAGEREF _Toc399501528 \h </w:instrText>
            </w:r>
            <w:r w:rsidR="00A6057D">
              <w:rPr>
                <w:noProof/>
                <w:webHidden/>
              </w:rPr>
            </w:r>
            <w:r w:rsidR="00A6057D">
              <w:rPr>
                <w:noProof/>
                <w:webHidden/>
              </w:rPr>
              <w:fldChar w:fldCharType="separate"/>
            </w:r>
            <w:r w:rsidR="00A6057D">
              <w:rPr>
                <w:noProof/>
                <w:webHidden/>
              </w:rPr>
              <w:t>5</w:t>
            </w:r>
            <w:r w:rsidR="00A6057D">
              <w:rPr>
                <w:noProof/>
                <w:webHidden/>
              </w:rPr>
              <w:fldChar w:fldCharType="end"/>
            </w:r>
          </w:hyperlink>
        </w:p>
        <w:p w:rsidR="00A6057D" w:rsidRDefault="00A6057D">
          <w:pPr>
            <w:pStyle w:val="TOC2"/>
            <w:tabs>
              <w:tab w:val="left" w:pos="1100"/>
            </w:tabs>
            <w:rPr>
              <w:rFonts w:asciiTheme="minorHAnsi" w:eastAsiaTheme="minorEastAsia" w:hAnsiTheme="minorHAnsi" w:cstheme="minorBidi"/>
              <w:b w:val="0"/>
              <w:noProof/>
              <w:sz w:val="22"/>
              <w:lang w:eastAsia="en-AU"/>
            </w:rPr>
          </w:pPr>
          <w:hyperlink w:anchor="_Toc399501529" w:history="1">
            <w:r w:rsidRPr="00DB1998">
              <w:rPr>
                <w:rStyle w:val="Hyperlink"/>
                <w:noProof/>
                <w:lang w:eastAsia="en-AU"/>
              </w:rPr>
              <w:t>1.</w:t>
            </w:r>
            <w:r>
              <w:rPr>
                <w:rFonts w:asciiTheme="minorHAnsi" w:eastAsiaTheme="minorEastAsia" w:hAnsiTheme="minorHAnsi" w:cstheme="minorBidi"/>
                <w:b w:val="0"/>
                <w:noProof/>
                <w:sz w:val="22"/>
                <w:lang w:eastAsia="en-AU"/>
              </w:rPr>
              <w:tab/>
            </w:r>
            <w:r w:rsidRPr="00DB1998">
              <w:rPr>
                <w:rStyle w:val="Hyperlink"/>
                <w:noProof/>
                <w:lang w:eastAsia="en-AU"/>
              </w:rPr>
              <w:t>Clinical rationale</w:t>
            </w:r>
            <w:r>
              <w:rPr>
                <w:noProof/>
                <w:webHidden/>
              </w:rPr>
              <w:tab/>
            </w:r>
            <w:r>
              <w:rPr>
                <w:noProof/>
                <w:webHidden/>
              </w:rPr>
              <w:fldChar w:fldCharType="begin"/>
            </w:r>
            <w:r>
              <w:rPr>
                <w:noProof/>
                <w:webHidden/>
              </w:rPr>
              <w:instrText xml:space="preserve"> PAGEREF _Toc399501529 \h </w:instrText>
            </w:r>
            <w:r>
              <w:rPr>
                <w:noProof/>
                <w:webHidden/>
              </w:rPr>
            </w:r>
            <w:r>
              <w:rPr>
                <w:noProof/>
                <w:webHidden/>
              </w:rPr>
              <w:fldChar w:fldCharType="separate"/>
            </w:r>
            <w:r>
              <w:rPr>
                <w:noProof/>
                <w:webHidden/>
              </w:rPr>
              <w:t>6</w:t>
            </w:r>
            <w:r>
              <w:rPr>
                <w:noProof/>
                <w:webHidden/>
              </w:rPr>
              <w:fldChar w:fldCharType="end"/>
            </w:r>
          </w:hyperlink>
        </w:p>
        <w:p w:rsidR="00A6057D" w:rsidRDefault="00A6057D">
          <w:pPr>
            <w:pStyle w:val="TOC3"/>
            <w:tabs>
              <w:tab w:val="left" w:pos="1760"/>
            </w:tabs>
            <w:rPr>
              <w:rFonts w:asciiTheme="minorHAnsi" w:eastAsiaTheme="minorEastAsia" w:hAnsiTheme="minorHAnsi" w:cstheme="minorBidi"/>
              <w:noProof/>
              <w:lang w:eastAsia="en-AU"/>
            </w:rPr>
          </w:pPr>
          <w:hyperlink w:anchor="_Toc399501530" w:history="1">
            <w:r w:rsidRPr="00DB1998">
              <w:rPr>
                <w:rStyle w:val="Hyperlink"/>
                <w:noProof/>
              </w:rPr>
              <w:t>1.1.</w:t>
            </w:r>
            <w:r>
              <w:rPr>
                <w:rFonts w:asciiTheme="minorHAnsi" w:eastAsiaTheme="minorEastAsia" w:hAnsiTheme="minorHAnsi" w:cstheme="minorBidi"/>
                <w:noProof/>
                <w:lang w:eastAsia="en-AU"/>
              </w:rPr>
              <w:tab/>
            </w:r>
            <w:r w:rsidRPr="00DB1998">
              <w:rPr>
                <w:rStyle w:val="Hyperlink"/>
                <w:noProof/>
              </w:rPr>
              <w:t>Guidance</w:t>
            </w:r>
            <w:r>
              <w:rPr>
                <w:noProof/>
                <w:webHidden/>
              </w:rPr>
              <w:tab/>
            </w:r>
            <w:r>
              <w:rPr>
                <w:noProof/>
                <w:webHidden/>
              </w:rPr>
              <w:fldChar w:fldCharType="begin"/>
            </w:r>
            <w:r>
              <w:rPr>
                <w:noProof/>
                <w:webHidden/>
              </w:rPr>
              <w:instrText xml:space="preserve"> PAGEREF _Toc399501530 \h </w:instrText>
            </w:r>
            <w:r>
              <w:rPr>
                <w:noProof/>
                <w:webHidden/>
              </w:rPr>
            </w:r>
            <w:r>
              <w:rPr>
                <w:noProof/>
                <w:webHidden/>
              </w:rPr>
              <w:fldChar w:fldCharType="separate"/>
            </w:r>
            <w:r>
              <w:rPr>
                <w:noProof/>
                <w:webHidden/>
              </w:rPr>
              <w:t>6</w:t>
            </w:r>
            <w:r>
              <w:rPr>
                <w:noProof/>
                <w:webHidden/>
              </w:rPr>
              <w:fldChar w:fldCharType="end"/>
            </w:r>
          </w:hyperlink>
        </w:p>
        <w:p w:rsidR="00A6057D" w:rsidRDefault="00A6057D">
          <w:pPr>
            <w:pStyle w:val="TOC2"/>
            <w:tabs>
              <w:tab w:val="left" w:pos="1100"/>
            </w:tabs>
            <w:rPr>
              <w:rFonts w:asciiTheme="minorHAnsi" w:eastAsiaTheme="minorEastAsia" w:hAnsiTheme="minorHAnsi" w:cstheme="minorBidi"/>
              <w:b w:val="0"/>
              <w:noProof/>
              <w:sz w:val="22"/>
              <w:lang w:eastAsia="en-AU"/>
            </w:rPr>
          </w:pPr>
          <w:hyperlink w:anchor="_Toc399501531" w:history="1">
            <w:r w:rsidRPr="00DB1998">
              <w:rPr>
                <w:rStyle w:val="Hyperlink"/>
                <w:noProof/>
                <w:lang w:eastAsia="en-AU"/>
              </w:rPr>
              <w:t>2.</w:t>
            </w:r>
            <w:r>
              <w:rPr>
                <w:rFonts w:asciiTheme="minorHAnsi" w:eastAsiaTheme="minorEastAsia" w:hAnsiTheme="minorHAnsi" w:cstheme="minorBidi"/>
                <w:b w:val="0"/>
                <w:noProof/>
                <w:sz w:val="22"/>
                <w:lang w:eastAsia="en-AU"/>
              </w:rPr>
              <w:tab/>
            </w:r>
            <w:r w:rsidRPr="00DB1998">
              <w:rPr>
                <w:rStyle w:val="Hyperlink"/>
                <w:noProof/>
                <w:lang w:eastAsia="en-AU"/>
              </w:rPr>
              <w:t>Contents of the clinical dossier</w:t>
            </w:r>
            <w:r>
              <w:rPr>
                <w:noProof/>
                <w:webHidden/>
              </w:rPr>
              <w:tab/>
            </w:r>
            <w:r>
              <w:rPr>
                <w:noProof/>
                <w:webHidden/>
              </w:rPr>
              <w:fldChar w:fldCharType="begin"/>
            </w:r>
            <w:r>
              <w:rPr>
                <w:noProof/>
                <w:webHidden/>
              </w:rPr>
              <w:instrText xml:space="preserve"> PAGEREF _Toc399501531 \h </w:instrText>
            </w:r>
            <w:r>
              <w:rPr>
                <w:noProof/>
                <w:webHidden/>
              </w:rPr>
            </w:r>
            <w:r>
              <w:rPr>
                <w:noProof/>
                <w:webHidden/>
              </w:rPr>
              <w:fldChar w:fldCharType="separate"/>
            </w:r>
            <w:r>
              <w:rPr>
                <w:noProof/>
                <w:webHidden/>
              </w:rPr>
              <w:t>6</w:t>
            </w:r>
            <w:r>
              <w:rPr>
                <w:noProof/>
                <w:webHidden/>
              </w:rPr>
              <w:fldChar w:fldCharType="end"/>
            </w:r>
          </w:hyperlink>
        </w:p>
        <w:p w:rsidR="00A6057D" w:rsidRDefault="00A6057D">
          <w:pPr>
            <w:pStyle w:val="TOC3"/>
            <w:tabs>
              <w:tab w:val="left" w:pos="1760"/>
            </w:tabs>
            <w:rPr>
              <w:rFonts w:asciiTheme="minorHAnsi" w:eastAsiaTheme="minorEastAsia" w:hAnsiTheme="minorHAnsi" w:cstheme="minorBidi"/>
              <w:noProof/>
              <w:lang w:eastAsia="en-AU"/>
            </w:rPr>
          </w:pPr>
          <w:hyperlink w:anchor="_Toc399501532" w:history="1">
            <w:r w:rsidRPr="00DB1998">
              <w:rPr>
                <w:rStyle w:val="Hyperlink"/>
                <w:noProof/>
              </w:rPr>
              <w:t>2.1.</w:t>
            </w:r>
            <w:r>
              <w:rPr>
                <w:rFonts w:asciiTheme="minorHAnsi" w:eastAsiaTheme="minorEastAsia" w:hAnsiTheme="minorHAnsi" w:cstheme="minorBidi"/>
                <w:noProof/>
                <w:lang w:eastAsia="en-AU"/>
              </w:rPr>
              <w:tab/>
            </w:r>
            <w:r w:rsidRPr="00DB1998">
              <w:rPr>
                <w:rStyle w:val="Hyperlink"/>
                <w:noProof/>
              </w:rPr>
              <w:t>Scope of the clinical dossier</w:t>
            </w:r>
            <w:r>
              <w:rPr>
                <w:noProof/>
                <w:webHidden/>
              </w:rPr>
              <w:tab/>
            </w:r>
            <w:r>
              <w:rPr>
                <w:noProof/>
                <w:webHidden/>
              </w:rPr>
              <w:fldChar w:fldCharType="begin"/>
            </w:r>
            <w:r>
              <w:rPr>
                <w:noProof/>
                <w:webHidden/>
              </w:rPr>
              <w:instrText xml:space="preserve"> PAGEREF _Toc399501532 \h </w:instrText>
            </w:r>
            <w:r>
              <w:rPr>
                <w:noProof/>
                <w:webHidden/>
              </w:rPr>
            </w:r>
            <w:r>
              <w:rPr>
                <w:noProof/>
                <w:webHidden/>
              </w:rPr>
              <w:fldChar w:fldCharType="separate"/>
            </w:r>
            <w:r>
              <w:rPr>
                <w:noProof/>
                <w:webHidden/>
              </w:rPr>
              <w:t>6</w:t>
            </w:r>
            <w:r>
              <w:rPr>
                <w:noProof/>
                <w:webHidden/>
              </w:rPr>
              <w:fldChar w:fldCharType="end"/>
            </w:r>
          </w:hyperlink>
        </w:p>
        <w:p w:rsidR="00A6057D" w:rsidRDefault="00A6057D">
          <w:pPr>
            <w:pStyle w:val="TOC3"/>
            <w:tabs>
              <w:tab w:val="left" w:pos="1760"/>
            </w:tabs>
            <w:rPr>
              <w:rFonts w:asciiTheme="minorHAnsi" w:eastAsiaTheme="minorEastAsia" w:hAnsiTheme="minorHAnsi" w:cstheme="minorBidi"/>
              <w:noProof/>
              <w:lang w:eastAsia="en-AU"/>
            </w:rPr>
          </w:pPr>
          <w:hyperlink w:anchor="_Toc399501533" w:history="1">
            <w:r w:rsidRPr="00DB1998">
              <w:rPr>
                <w:rStyle w:val="Hyperlink"/>
                <w:noProof/>
              </w:rPr>
              <w:t>2.2.</w:t>
            </w:r>
            <w:r>
              <w:rPr>
                <w:rFonts w:asciiTheme="minorHAnsi" w:eastAsiaTheme="minorEastAsia" w:hAnsiTheme="minorHAnsi" w:cstheme="minorBidi"/>
                <w:noProof/>
                <w:lang w:eastAsia="en-AU"/>
              </w:rPr>
              <w:tab/>
            </w:r>
            <w:r w:rsidRPr="00DB1998">
              <w:rPr>
                <w:rStyle w:val="Hyperlink"/>
                <w:noProof/>
              </w:rPr>
              <w:t>Paediatric data</w:t>
            </w:r>
            <w:r>
              <w:rPr>
                <w:noProof/>
                <w:webHidden/>
              </w:rPr>
              <w:tab/>
            </w:r>
            <w:r>
              <w:rPr>
                <w:noProof/>
                <w:webHidden/>
              </w:rPr>
              <w:fldChar w:fldCharType="begin"/>
            </w:r>
            <w:r>
              <w:rPr>
                <w:noProof/>
                <w:webHidden/>
              </w:rPr>
              <w:instrText xml:space="preserve"> PAGEREF _Toc399501533 \h </w:instrText>
            </w:r>
            <w:r>
              <w:rPr>
                <w:noProof/>
                <w:webHidden/>
              </w:rPr>
            </w:r>
            <w:r>
              <w:rPr>
                <w:noProof/>
                <w:webHidden/>
              </w:rPr>
              <w:fldChar w:fldCharType="separate"/>
            </w:r>
            <w:r>
              <w:rPr>
                <w:noProof/>
                <w:webHidden/>
              </w:rPr>
              <w:t>7</w:t>
            </w:r>
            <w:r>
              <w:rPr>
                <w:noProof/>
                <w:webHidden/>
              </w:rPr>
              <w:fldChar w:fldCharType="end"/>
            </w:r>
          </w:hyperlink>
        </w:p>
        <w:p w:rsidR="00A6057D" w:rsidRDefault="00A6057D">
          <w:pPr>
            <w:pStyle w:val="TOC3"/>
            <w:tabs>
              <w:tab w:val="left" w:pos="1760"/>
            </w:tabs>
            <w:rPr>
              <w:rFonts w:asciiTheme="minorHAnsi" w:eastAsiaTheme="minorEastAsia" w:hAnsiTheme="minorHAnsi" w:cstheme="minorBidi"/>
              <w:noProof/>
              <w:lang w:eastAsia="en-AU"/>
            </w:rPr>
          </w:pPr>
          <w:hyperlink w:anchor="_Toc399501534" w:history="1">
            <w:r w:rsidRPr="00DB1998">
              <w:rPr>
                <w:rStyle w:val="Hyperlink"/>
                <w:noProof/>
              </w:rPr>
              <w:t>2.3.</w:t>
            </w:r>
            <w:r>
              <w:rPr>
                <w:rFonts w:asciiTheme="minorHAnsi" w:eastAsiaTheme="minorEastAsia" w:hAnsiTheme="minorHAnsi" w:cstheme="minorBidi"/>
                <w:noProof/>
                <w:lang w:eastAsia="en-AU"/>
              </w:rPr>
              <w:tab/>
            </w:r>
            <w:r w:rsidRPr="00DB1998">
              <w:rPr>
                <w:rStyle w:val="Hyperlink"/>
                <w:noProof/>
              </w:rPr>
              <w:t>Good clinical practice</w:t>
            </w:r>
            <w:r>
              <w:rPr>
                <w:noProof/>
                <w:webHidden/>
              </w:rPr>
              <w:tab/>
            </w:r>
            <w:r>
              <w:rPr>
                <w:noProof/>
                <w:webHidden/>
              </w:rPr>
              <w:fldChar w:fldCharType="begin"/>
            </w:r>
            <w:r>
              <w:rPr>
                <w:noProof/>
                <w:webHidden/>
              </w:rPr>
              <w:instrText xml:space="preserve"> PAGEREF _Toc399501534 \h </w:instrText>
            </w:r>
            <w:r>
              <w:rPr>
                <w:noProof/>
                <w:webHidden/>
              </w:rPr>
            </w:r>
            <w:r>
              <w:rPr>
                <w:noProof/>
                <w:webHidden/>
              </w:rPr>
              <w:fldChar w:fldCharType="separate"/>
            </w:r>
            <w:r>
              <w:rPr>
                <w:noProof/>
                <w:webHidden/>
              </w:rPr>
              <w:t>7</w:t>
            </w:r>
            <w:r>
              <w:rPr>
                <w:noProof/>
                <w:webHidden/>
              </w:rPr>
              <w:fldChar w:fldCharType="end"/>
            </w:r>
          </w:hyperlink>
        </w:p>
        <w:p w:rsidR="00A6057D" w:rsidRDefault="00A6057D">
          <w:pPr>
            <w:pStyle w:val="TOC2"/>
            <w:tabs>
              <w:tab w:val="left" w:pos="1100"/>
            </w:tabs>
            <w:rPr>
              <w:rFonts w:asciiTheme="minorHAnsi" w:eastAsiaTheme="minorEastAsia" w:hAnsiTheme="minorHAnsi" w:cstheme="minorBidi"/>
              <w:b w:val="0"/>
              <w:noProof/>
              <w:sz w:val="22"/>
              <w:lang w:eastAsia="en-AU"/>
            </w:rPr>
          </w:pPr>
          <w:hyperlink w:anchor="_Toc399501535" w:history="1">
            <w:r w:rsidRPr="00DB1998">
              <w:rPr>
                <w:rStyle w:val="Hyperlink"/>
                <w:noProof/>
              </w:rPr>
              <w:t>3.</w:t>
            </w:r>
            <w:r>
              <w:rPr>
                <w:rFonts w:asciiTheme="minorHAnsi" w:eastAsiaTheme="minorEastAsia" w:hAnsiTheme="minorHAnsi" w:cstheme="minorBidi"/>
                <w:b w:val="0"/>
                <w:noProof/>
                <w:sz w:val="22"/>
                <w:lang w:eastAsia="en-AU"/>
              </w:rPr>
              <w:tab/>
            </w:r>
            <w:r w:rsidRPr="00DB1998">
              <w:rPr>
                <w:rStyle w:val="Hyperlink"/>
                <w:noProof/>
              </w:rPr>
              <w:t>Pharmacokinetics</w:t>
            </w:r>
            <w:r>
              <w:rPr>
                <w:noProof/>
                <w:webHidden/>
              </w:rPr>
              <w:tab/>
            </w:r>
            <w:r>
              <w:rPr>
                <w:noProof/>
                <w:webHidden/>
              </w:rPr>
              <w:fldChar w:fldCharType="begin"/>
            </w:r>
            <w:r>
              <w:rPr>
                <w:noProof/>
                <w:webHidden/>
              </w:rPr>
              <w:instrText xml:space="preserve"> PAGEREF _Toc399501535 \h </w:instrText>
            </w:r>
            <w:r>
              <w:rPr>
                <w:noProof/>
                <w:webHidden/>
              </w:rPr>
            </w:r>
            <w:r>
              <w:rPr>
                <w:noProof/>
                <w:webHidden/>
              </w:rPr>
              <w:fldChar w:fldCharType="separate"/>
            </w:r>
            <w:r>
              <w:rPr>
                <w:noProof/>
                <w:webHidden/>
              </w:rPr>
              <w:t>7</w:t>
            </w:r>
            <w:r>
              <w:rPr>
                <w:noProof/>
                <w:webHidden/>
              </w:rPr>
              <w:fldChar w:fldCharType="end"/>
            </w:r>
          </w:hyperlink>
        </w:p>
        <w:p w:rsidR="00A6057D" w:rsidRDefault="00A6057D">
          <w:pPr>
            <w:pStyle w:val="TOC3"/>
            <w:tabs>
              <w:tab w:val="left" w:pos="1760"/>
            </w:tabs>
            <w:rPr>
              <w:rFonts w:asciiTheme="minorHAnsi" w:eastAsiaTheme="minorEastAsia" w:hAnsiTheme="minorHAnsi" w:cstheme="minorBidi"/>
              <w:noProof/>
              <w:lang w:eastAsia="en-AU"/>
            </w:rPr>
          </w:pPr>
          <w:hyperlink w:anchor="_Toc399501536" w:history="1">
            <w:r w:rsidRPr="00DB1998">
              <w:rPr>
                <w:rStyle w:val="Hyperlink"/>
                <w:noProof/>
              </w:rPr>
              <w:t>3.1.</w:t>
            </w:r>
            <w:r>
              <w:rPr>
                <w:rFonts w:asciiTheme="minorHAnsi" w:eastAsiaTheme="minorEastAsia" w:hAnsiTheme="minorHAnsi" w:cstheme="minorBidi"/>
                <w:noProof/>
                <w:lang w:eastAsia="en-AU"/>
              </w:rPr>
              <w:tab/>
            </w:r>
            <w:r w:rsidRPr="00DB1998">
              <w:rPr>
                <w:rStyle w:val="Hyperlink"/>
                <w:noProof/>
              </w:rPr>
              <w:t>Studies providing pharmacokinetic data</w:t>
            </w:r>
            <w:r>
              <w:rPr>
                <w:noProof/>
                <w:webHidden/>
              </w:rPr>
              <w:tab/>
            </w:r>
            <w:r>
              <w:rPr>
                <w:noProof/>
                <w:webHidden/>
              </w:rPr>
              <w:fldChar w:fldCharType="begin"/>
            </w:r>
            <w:r>
              <w:rPr>
                <w:noProof/>
                <w:webHidden/>
              </w:rPr>
              <w:instrText xml:space="preserve"> PAGEREF _Toc399501536 \h </w:instrText>
            </w:r>
            <w:r>
              <w:rPr>
                <w:noProof/>
                <w:webHidden/>
              </w:rPr>
            </w:r>
            <w:r>
              <w:rPr>
                <w:noProof/>
                <w:webHidden/>
              </w:rPr>
              <w:fldChar w:fldCharType="separate"/>
            </w:r>
            <w:r>
              <w:rPr>
                <w:noProof/>
                <w:webHidden/>
              </w:rPr>
              <w:t>7</w:t>
            </w:r>
            <w:r>
              <w:rPr>
                <w:noProof/>
                <w:webHidden/>
              </w:rPr>
              <w:fldChar w:fldCharType="end"/>
            </w:r>
          </w:hyperlink>
        </w:p>
        <w:p w:rsidR="00A6057D" w:rsidRDefault="00A6057D">
          <w:pPr>
            <w:pStyle w:val="TOC3"/>
            <w:tabs>
              <w:tab w:val="left" w:pos="1760"/>
            </w:tabs>
            <w:rPr>
              <w:rFonts w:asciiTheme="minorHAnsi" w:eastAsiaTheme="minorEastAsia" w:hAnsiTheme="minorHAnsi" w:cstheme="minorBidi"/>
              <w:noProof/>
              <w:lang w:eastAsia="en-AU"/>
            </w:rPr>
          </w:pPr>
          <w:hyperlink w:anchor="_Toc399501537" w:history="1">
            <w:r w:rsidRPr="00DB1998">
              <w:rPr>
                <w:rStyle w:val="Hyperlink"/>
                <w:noProof/>
              </w:rPr>
              <w:t>3.2.</w:t>
            </w:r>
            <w:r>
              <w:rPr>
                <w:rFonts w:asciiTheme="minorHAnsi" w:eastAsiaTheme="minorEastAsia" w:hAnsiTheme="minorHAnsi" w:cstheme="minorBidi"/>
                <w:noProof/>
                <w:lang w:eastAsia="en-AU"/>
              </w:rPr>
              <w:tab/>
            </w:r>
            <w:r w:rsidRPr="00DB1998">
              <w:rPr>
                <w:rStyle w:val="Hyperlink"/>
                <w:noProof/>
              </w:rPr>
              <w:t>Summary of pharmacokinetics</w:t>
            </w:r>
            <w:r>
              <w:rPr>
                <w:noProof/>
                <w:webHidden/>
              </w:rPr>
              <w:tab/>
            </w:r>
            <w:r>
              <w:rPr>
                <w:noProof/>
                <w:webHidden/>
              </w:rPr>
              <w:fldChar w:fldCharType="begin"/>
            </w:r>
            <w:r>
              <w:rPr>
                <w:noProof/>
                <w:webHidden/>
              </w:rPr>
              <w:instrText xml:space="preserve"> PAGEREF _Toc399501537 \h </w:instrText>
            </w:r>
            <w:r>
              <w:rPr>
                <w:noProof/>
                <w:webHidden/>
              </w:rPr>
            </w:r>
            <w:r>
              <w:rPr>
                <w:noProof/>
                <w:webHidden/>
              </w:rPr>
              <w:fldChar w:fldCharType="separate"/>
            </w:r>
            <w:r>
              <w:rPr>
                <w:noProof/>
                <w:webHidden/>
              </w:rPr>
              <w:t>8</w:t>
            </w:r>
            <w:r>
              <w:rPr>
                <w:noProof/>
                <w:webHidden/>
              </w:rPr>
              <w:fldChar w:fldCharType="end"/>
            </w:r>
          </w:hyperlink>
        </w:p>
        <w:p w:rsidR="00A6057D" w:rsidRDefault="00A6057D">
          <w:pPr>
            <w:pStyle w:val="TOC2"/>
            <w:tabs>
              <w:tab w:val="left" w:pos="1100"/>
            </w:tabs>
            <w:rPr>
              <w:rFonts w:asciiTheme="minorHAnsi" w:eastAsiaTheme="minorEastAsia" w:hAnsiTheme="minorHAnsi" w:cstheme="minorBidi"/>
              <w:b w:val="0"/>
              <w:noProof/>
              <w:sz w:val="22"/>
              <w:lang w:eastAsia="en-AU"/>
            </w:rPr>
          </w:pPr>
          <w:hyperlink w:anchor="_Toc399501538" w:history="1">
            <w:r w:rsidRPr="00DB1998">
              <w:rPr>
                <w:rStyle w:val="Hyperlink"/>
                <w:noProof/>
              </w:rPr>
              <w:t>4.</w:t>
            </w:r>
            <w:r>
              <w:rPr>
                <w:rFonts w:asciiTheme="minorHAnsi" w:eastAsiaTheme="minorEastAsia" w:hAnsiTheme="minorHAnsi" w:cstheme="minorBidi"/>
                <w:b w:val="0"/>
                <w:noProof/>
                <w:sz w:val="22"/>
                <w:lang w:eastAsia="en-AU"/>
              </w:rPr>
              <w:tab/>
            </w:r>
            <w:r w:rsidRPr="00DB1998">
              <w:rPr>
                <w:rStyle w:val="Hyperlink"/>
                <w:noProof/>
              </w:rPr>
              <w:t>Pharmacodynamics</w:t>
            </w:r>
            <w:r>
              <w:rPr>
                <w:noProof/>
                <w:webHidden/>
              </w:rPr>
              <w:tab/>
            </w:r>
            <w:r>
              <w:rPr>
                <w:noProof/>
                <w:webHidden/>
              </w:rPr>
              <w:fldChar w:fldCharType="begin"/>
            </w:r>
            <w:r>
              <w:rPr>
                <w:noProof/>
                <w:webHidden/>
              </w:rPr>
              <w:instrText xml:space="preserve"> PAGEREF _Toc399501538 \h </w:instrText>
            </w:r>
            <w:r>
              <w:rPr>
                <w:noProof/>
                <w:webHidden/>
              </w:rPr>
            </w:r>
            <w:r>
              <w:rPr>
                <w:noProof/>
                <w:webHidden/>
              </w:rPr>
              <w:fldChar w:fldCharType="separate"/>
            </w:r>
            <w:r>
              <w:rPr>
                <w:noProof/>
                <w:webHidden/>
              </w:rPr>
              <w:t>8</w:t>
            </w:r>
            <w:r>
              <w:rPr>
                <w:noProof/>
                <w:webHidden/>
              </w:rPr>
              <w:fldChar w:fldCharType="end"/>
            </w:r>
          </w:hyperlink>
        </w:p>
        <w:p w:rsidR="00A6057D" w:rsidRDefault="00A6057D">
          <w:pPr>
            <w:pStyle w:val="TOC3"/>
            <w:tabs>
              <w:tab w:val="left" w:pos="1760"/>
            </w:tabs>
            <w:rPr>
              <w:rFonts w:asciiTheme="minorHAnsi" w:eastAsiaTheme="minorEastAsia" w:hAnsiTheme="minorHAnsi" w:cstheme="minorBidi"/>
              <w:noProof/>
              <w:lang w:eastAsia="en-AU"/>
            </w:rPr>
          </w:pPr>
          <w:hyperlink w:anchor="_Toc399501539" w:history="1">
            <w:r w:rsidRPr="00DB1998">
              <w:rPr>
                <w:rStyle w:val="Hyperlink"/>
                <w:noProof/>
              </w:rPr>
              <w:t>4.1.</w:t>
            </w:r>
            <w:r>
              <w:rPr>
                <w:rFonts w:asciiTheme="minorHAnsi" w:eastAsiaTheme="minorEastAsia" w:hAnsiTheme="minorHAnsi" w:cstheme="minorBidi"/>
                <w:noProof/>
                <w:lang w:eastAsia="en-AU"/>
              </w:rPr>
              <w:tab/>
            </w:r>
            <w:r w:rsidRPr="00DB1998">
              <w:rPr>
                <w:rStyle w:val="Hyperlink"/>
                <w:noProof/>
              </w:rPr>
              <w:t>Studies providing pharmacodynamic data</w:t>
            </w:r>
            <w:r>
              <w:rPr>
                <w:noProof/>
                <w:webHidden/>
              </w:rPr>
              <w:tab/>
            </w:r>
            <w:r>
              <w:rPr>
                <w:noProof/>
                <w:webHidden/>
              </w:rPr>
              <w:fldChar w:fldCharType="begin"/>
            </w:r>
            <w:r>
              <w:rPr>
                <w:noProof/>
                <w:webHidden/>
              </w:rPr>
              <w:instrText xml:space="preserve"> PAGEREF _Toc399501539 \h </w:instrText>
            </w:r>
            <w:r>
              <w:rPr>
                <w:noProof/>
                <w:webHidden/>
              </w:rPr>
            </w:r>
            <w:r>
              <w:rPr>
                <w:noProof/>
                <w:webHidden/>
              </w:rPr>
              <w:fldChar w:fldCharType="separate"/>
            </w:r>
            <w:r>
              <w:rPr>
                <w:noProof/>
                <w:webHidden/>
              </w:rPr>
              <w:t>8</w:t>
            </w:r>
            <w:r>
              <w:rPr>
                <w:noProof/>
                <w:webHidden/>
              </w:rPr>
              <w:fldChar w:fldCharType="end"/>
            </w:r>
          </w:hyperlink>
        </w:p>
        <w:p w:rsidR="00A6057D" w:rsidRDefault="00A6057D">
          <w:pPr>
            <w:pStyle w:val="TOC2"/>
            <w:tabs>
              <w:tab w:val="left" w:pos="1100"/>
            </w:tabs>
            <w:rPr>
              <w:rFonts w:asciiTheme="minorHAnsi" w:eastAsiaTheme="minorEastAsia" w:hAnsiTheme="minorHAnsi" w:cstheme="minorBidi"/>
              <w:b w:val="0"/>
              <w:noProof/>
              <w:sz w:val="22"/>
              <w:lang w:eastAsia="en-AU"/>
            </w:rPr>
          </w:pPr>
          <w:hyperlink w:anchor="_Toc399501540" w:history="1">
            <w:r w:rsidRPr="00DB1998">
              <w:rPr>
                <w:rStyle w:val="Hyperlink"/>
                <w:noProof/>
              </w:rPr>
              <w:t>5.</w:t>
            </w:r>
            <w:r>
              <w:rPr>
                <w:rFonts w:asciiTheme="minorHAnsi" w:eastAsiaTheme="minorEastAsia" w:hAnsiTheme="minorHAnsi" w:cstheme="minorBidi"/>
                <w:b w:val="0"/>
                <w:noProof/>
                <w:sz w:val="22"/>
                <w:lang w:eastAsia="en-AU"/>
              </w:rPr>
              <w:tab/>
            </w:r>
            <w:r w:rsidRPr="00DB1998">
              <w:rPr>
                <w:rStyle w:val="Hyperlink"/>
                <w:noProof/>
              </w:rPr>
              <w:t>Dosage selection for the pivotal studies</w:t>
            </w:r>
            <w:r>
              <w:rPr>
                <w:noProof/>
                <w:webHidden/>
              </w:rPr>
              <w:tab/>
            </w:r>
            <w:r>
              <w:rPr>
                <w:noProof/>
                <w:webHidden/>
              </w:rPr>
              <w:fldChar w:fldCharType="begin"/>
            </w:r>
            <w:r>
              <w:rPr>
                <w:noProof/>
                <w:webHidden/>
              </w:rPr>
              <w:instrText xml:space="preserve"> PAGEREF _Toc399501540 \h </w:instrText>
            </w:r>
            <w:r>
              <w:rPr>
                <w:noProof/>
                <w:webHidden/>
              </w:rPr>
            </w:r>
            <w:r>
              <w:rPr>
                <w:noProof/>
                <w:webHidden/>
              </w:rPr>
              <w:fldChar w:fldCharType="separate"/>
            </w:r>
            <w:r>
              <w:rPr>
                <w:noProof/>
                <w:webHidden/>
              </w:rPr>
              <w:t>9</w:t>
            </w:r>
            <w:r>
              <w:rPr>
                <w:noProof/>
                <w:webHidden/>
              </w:rPr>
              <w:fldChar w:fldCharType="end"/>
            </w:r>
          </w:hyperlink>
        </w:p>
        <w:p w:rsidR="00A6057D" w:rsidRDefault="00A6057D">
          <w:pPr>
            <w:pStyle w:val="TOC2"/>
            <w:tabs>
              <w:tab w:val="left" w:pos="1100"/>
            </w:tabs>
            <w:rPr>
              <w:rFonts w:asciiTheme="minorHAnsi" w:eastAsiaTheme="minorEastAsia" w:hAnsiTheme="minorHAnsi" w:cstheme="minorBidi"/>
              <w:b w:val="0"/>
              <w:noProof/>
              <w:sz w:val="22"/>
              <w:lang w:eastAsia="en-AU"/>
            </w:rPr>
          </w:pPr>
          <w:hyperlink w:anchor="_Toc399501541" w:history="1">
            <w:r w:rsidRPr="00DB1998">
              <w:rPr>
                <w:rStyle w:val="Hyperlink"/>
                <w:noProof/>
              </w:rPr>
              <w:t>6.</w:t>
            </w:r>
            <w:r>
              <w:rPr>
                <w:rFonts w:asciiTheme="minorHAnsi" w:eastAsiaTheme="minorEastAsia" w:hAnsiTheme="minorHAnsi" w:cstheme="minorBidi"/>
                <w:b w:val="0"/>
                <w:noProof/>
                <w:sz w:val="22"/>
                <w:lang w:eastAsia="en-AU"/>
              </w:rPr>
              <w:tab/>
            </w:r>
            <w:r w:rsidRPr="00DB1998">
              <w:rPr>
                <w:rStyle w:val="Hyperlink"/>
                <w:noProof/>
              </w:rPr>
              <w:t>Clinical efficacy</w:t>
            </w:r>
            <w:r>
              <w:rPr>
                <w:noProof/>
                <w:webHidden/>
              </w:rPr>
              <w:tab/>
            </w:r>
            <w:r>
              <w:rPr>
                <w:noProof/>
                <w:webHidden/>
              </w:rPr>
              <w:fldChar w:fldCharType="begin"/>
            </w:r>
            <w:r>
              <w:rPr>
                <w:noProof/>
                <w:webHidden/>
              </w:rPr>
              <w:instrText xml:space="preserve"> PAGEREF _Toc399501541 \h </w:instrText>
            </w:r>
            <w:r>
              <w:rPr>
                <w:noProof/>
                <w:webHidden/>
              </w:rPr>
            </w:r>
            <w:r>
              <w:rPr>
                <w:noProof/>
                <w:webHidden/>
              </w:rPr>
              <w:fldChar w:fldCharType="separate"/>
            </w:r>
            <w:r>
              <w:rPr>
                <w:noProof/>
                <w:webHidden/>
              </w:rPr>
              <w:t>9</w:t>
            </w:r>
            <w:r>
              <w:rPr>
                <w:noProof/>
                <w:webHidden/>
              </w:rPr>
              <w:fldChar w:fldCharType="end"/>
            </w:r>
          </w:hyperlink>
        </w:p>
        <w:p w:rsidR="00A6057D" w:rsidRDefault="00A6057D">
          <w:pPr>
            <w:pStyle w:val="TOC3"/>
            <w:tabs>
              <w:tab w:val="left" w:pos="1760"/>
            </w:tabs>
            <w:rPr>
              <w:rFonts w:asciiTheme="minorHAnsi" w:eastAsiaTheme="minorEastAsia" w:hAnsiTheme="minorHAnsi" w:cstheme="minorBidi"/>
              <w:noProof/>
              <w:lang w:eastAsia="en-AU"/>
            </w:rPr>
          </w:pPr>
          <w:hyperlink w:anchor="_Toc399501542" w:history="1">
            <w:r w:rsidRPr="00DB1998">
              <w:rPr>
                <w:rStyle w:val="Hyperlink"/>
                <w:noProof/>
              </w:rPr>
              <w:t>6.1.</w:t>
            </w:r>
            <w:r>
              <w:rPr>
                <w:rFonts w:asciiTheme="minorHAnsi" w:eastAsiaTheme="minorEastAsia" w:hAnsiTheme="minorHAnsi" w:cstheme="minorBidi"/>
                <w:noProof/>
                <w:lang w:eastAsia="en-AU"/>
              </w:rPr>
              <w:tab/>
            </w:r>
            <w:r w:rsidRPr="00DB1998">
              <w:rPr>
                <w:rStyle w:val="Hyperlink"/>
                <w:noProof/>
              </w:rPr>
              <w:t>Studies providing efficacy data</w:t>
            </w:r>
            <w:r>
              <w:rPr>
                <w:noProof/>
                <w:webHidden/>
              </w:rPr>
              <w:tab/>
            </w:r>
            <w:r>
              <w:rPr>
                <w:noProof/>
                <w:webHidden/>
              </w:rPr>
              <w:fldChar w:fldCharType="begin"/>
            </w:r>
            <w:r>
              <w:rPr>
                <w:noProof/>
                <w:webHidden/>
              </w:rPr>
              <w:instrText xml:space="preserve"> PAGEREF _Toc399501542 \h </w:instrText>
            </w:r>
            <w:r>
              <w:rPr>
                <w:noProof/>
                <w:webHidden/>
              </w:rPr>
            </w:r>
            <w:r>
              <w:rPr>
                <w:noProof/>
                <w:webHidden/>
              </w:rPr>
              <w:fldChar w:fldCharType="separate"/>
            </w:r>
            <w:r>
              <w:rPr>
                <w:noProof/>
                <w:webHidden/>
              </w:rPr>
              <w:t>9</w:t>
            </w:r>
            <w:r>
              <w:rPr>
                <w:noProof/>
                <w:webHidden/>
              </w:rPr>
              <w:fldChar w:fldCharType="end"/>
            </w:r>
          </w:hyperlink>
        </w:p>
        <w:p w:rsidR="00A6057D" w:rsidRDefault="00A6057D">
          <w:pPr>
            <w:pStyle w:val="TOC3"/>
            <w:tabs>
              <w:tab w:val="left" w:pos="1760"/>
            </w:tabs>
            <w:rPr>
              <w:rFonts w:asciiTheme="minorHAnsi" w:eastAsiaTheme="minorEastAsia" w:hAnsiTheme="minorHAnsi" w:cstheme="minorBidi"/>
              <w:noProof/>
              <w:lang w:eastAsia="en-AU"/>
            </w:rPr>
          </w:pPr>
          <w:hyperlink w:anchor="_Toc399501543" w:history="1">
            <w:r w:rsidRPr="00DB1998">
              <w:rPr>
                <w:rStyle w:val="Hyperlink"/>
                <w:noProof/>
              </w:rPr>
              <w:t>6.2.</w:t>
            </w:r>
            <w:r>
              <w:rPr>
                <w:rFonts w:asciiTheme="minorHAnsi" w:eastAsiaTheme="minorEastAsia" w:hAnsiTheme="minorHAnsi" w:cstheme="minorBidi"/>
                <w:noProof/>
                <w:lang w:eastAsia="en-AU"/>
              </w:rPr>
              <w:tab/>
            </w:r>
            <w:r w:rsidRPr="00DB1998">
              <w:rPr>
                <w:rStyle w:val="Hyperlink"/>
                <w:noProof/>
              </w:rPr>
              <w:t>Study BO 22334 stage 1</w:t>
            </w:r>
            <w:r>
              <w:rPr>
                <w:noProof/>
                <w:webHidden/>
              </w:rPr>
              <w:tab/>
            </w:r>
            <w:r>
              <w:rPr>
                <w:noProof/>
                <w:webHidden/>
              </w:rPr>
              <w:fldChar w:fldCharType="begin"/>
            </w:r>
            <w:r>
              <w:rPr>
                <w:noProof/>
                <w:webHidden/>
              </w:rPr>
              <w:instrText xml:space="preserve"> PAGEREF _Toc399501543 \h </w:instrText>
            </w:r>
            <w:r>
              <w:rPr>
                <w:noProof/>
                <w:webHidden/>
              </w:rPr>
            </w:r>
            <w:r>
              <w:rPr>
                <w:noProof/>
                <w:webHidden/>
              </w:rPr>
              <w:fldChar w:fldCharType="separate"/>
            </w:r>
            <w:r>
              <w:rPr>
                <w:noProof/>
                <w:webHidden/>
              </w:rPr>
              <w:t>9</w:t>
            </w:r>
            <w:r>
              <w:rPr>
                <w:noProof/>
                <w:webHidden/>
              </w:rPr>
              <w:fldChar w:fldCharType="end"/>
            </w:r>
          </w:hyperlink>
        </w:p>
        <w:p w:rsidR="00A6057D" w:rsidRDefault="00A6057D">
          <w:pPr>
            <w:pStyle w:val="TOC3"/>
            <w:tabs>
              <w:tab w:val="left" w:pos="1760"/>
            </w:tabs>
            <w:rPr>
              <w:rFonts w:asciiTheme="minorHAnsi" w:eastAsiaTheme="minorEastAsia" w:hAnsiTheme="minorHAnsi" w:cstheme="minorBidi"/>
              <w:noProof/>
              <w:lang w:eastAsia="en-AU"/>
            </w:rPr>
          </w:pPr>
          <w:hyperlink w:anchor="_Toc399501544" w:history="1">
            <w:r w:rsidRPr="00DB1998">
              <w:rPr>
                <w:rStyle w:val="Hyperlink"/>
                <w:noProof/>
              </w:rPr>
              <w:t>6.3.</w:t>
            </w:r>
            <w:r>
              <w:rPr>
                <w:rFonts w:asciiTheme="minorHAnsi" w:eastAsiaTheme="minorEastAsia" w:hAnsiTheme="minorHAnsi" w:cstheme="minorBidi"/>
                <w:noProof/>
                <w:lang w:eastAsia="en-AU"/>
              </w:rPr>
              <w:tab/>
            </w:r>
            <w:r w:rsidRPr="00DB1998">
              <w:rPr>
                <w:rStyle w:val="Hyperlink"/>
                <w:noProof/>
              </w:rPr>
              <w:t>Analyses performed across trials (pooled analyses and meta-analyses)</w:t>
            </w:r>
            <w:r>
              <w:rPr>
                <w:noProof/>
                <w:webHidden/>
              </w:rPr>
              <w:tab/>
            </w:r>
            <w:r>
              <w:rPr>
                <w:noProof/>
                <w:webHidden/>
              </w:rPr>
              <w:fldChar w:fldCharType="begin"/>
            </w:r>
            <w:r>
              <w:rPr>
                <w:noProof/>
                <w:webHidden/>
              </w:rPr>
              <w:instrText xml:space="preserve"> PAGEREF _Toc399501544 \h </w:instrText>
            </w:r>
            <w:r>
              <w:rPr>
                <w:noProof/>
                <w:webHidden/>
              </w:rPr>
            </w:r>
            <w:r>
              <w:rPr>
                <w:noProof/>
                <w:webHidden/>
              </w:rPr>
              <w:fldChar w:fldCharType="separate"/>
            </w:r>
            <w:r>
              <w:rPr>
                <w:noProof/>
                <w:webHidden/>
              </w:rPr>
              <w:t>18</w:t>
            </w:r>
            <w:r>
              <w:rPr>
                <w:noProof/>
                <w:webHidden/>
              </w:rPr>
              <w:fldChar w:fldCharType="end"/>
            </w:r>
          </w:hyperlink>
        </w:p>
        <w:p w:rsidR="00A6057D" w:rsidRDefault="00A6057D">
          <w:pPr>
            <w:pStyle w:val="TOC3"/>
            <w:tabs>
              <w:tab w:val="left" w:pos="1760"/>
            </w:tabs>
            <w:rPr>
              <w:rFonts w:asciiTheme="minorHAnsi" w:eastAsiaTheme="minorEastAsia" w:hAnsiTheme="minorHAnsi" w:cstheme="minorBidi"/>
              <w:noProof/>
              <w:lang w:eastAsia="en-AU"/>
            </w:rPr>
          </w:pPr>
          <w:hyperlink w:anchor="_Toc399501545" w:history="1">
            <w:r w:rsidRPr="00DB1998">
              <w:rPr>
                <w:rStyle w:val="Hyperlink"/>
                <w:noProof/>
              </w:rPr>
              <w:t>6.4.</w:t>
            </w:r>
            <w:r>
              <w:rPr>
                <w:rFonts w:asciiTheme="minorHAnsi" w:eastAsiaTheme="minorEastAsia" w:hAnsiTheme="minorHAnsi" w:cstheme="minorBidi"/>
                <w:noProof/>
                <w:lang w:eastAsia="en-AU"/>
              </w:rPr>
              <w:tab/>
            </w:r>
            <w:r w:rsidRPr="00DB1998">
              <w:rPr>
                <w:rStyle w:val="Hyperlink"/>
                <w:noProof/>
              </w:rPr>
              <w:t>Evaluator’s conclusions on efficacy</w:t>
            </w:r>
            <w:r>
              <w:rPr>
                <w:noProof/>
                <w:webHidden/>
              </w:rPr>
              <w:tab/>
            </w:r>
            <w:r>
              <w:rPr>
                <w:noProof/>
                <w:webHidden/>
              </w:rPr>
              <w:fldChar w:fldCharType="begin"/>
            </w:r>
            <w:r>
              <w:rPr>
                <w:noProof/>
                <w:webHidden/>
              </w:rPr>
              <w:instrText xml:space="preserve"> PAGEREF _Toc399501545 \h </w:instrText>
            </w:r>
            <w:r>
              <w:rPr>
                <w:noProof/>
                <w:webHidden/>
              </w:rPr>
            </w:r>
            <w:r>
              <w:rPr>
                <w:noProof/>
                <w:webHidden/>
              </w:rPr>
              <w:fldChar w:fldCharType="separate"/>
            </w:r>
            <w:r>
              <w:rPr>
                <w:noProof/>
                <w:webHidden/>
              </w:rPr>
              <w:t>18</w:t>
            </w:r>
            <w:r>
              <w:rPr>
                <w:noProof/>
                <w:webHidden/>
              </w:rPr>
              <w:fldChar w:fldCharType="end"/>
            </w:r>
          </w:hyperlink>
        </w:p>
        <w:p w:rsidR="00A6057D" w:rsidRDefault="00A6057D">
          <w:pPr>
            <w:pStyle w:val="TOC2"/>
            <w:tabs>
              <w:tab w:val="left" w:pos="1100"/>
            </w:tabs>
            <w:rPr>
              <w:rFonts w:asciiTheme="minorHAnsi" w:eastAsiaTheme="minorEastAsia" w:hAnsiTheme="minorHAnsi" w:cstheme="minorBidi"/>
              <w:b w:val="0"/>
              <w:noProof/>
              <w:sz w:val="22"/>
              <w:lang w:eastAsia="en-AU"/>
            </w:rPr>
          </w:pPr>
          <w:hyperlink w:anchor="_Toc399501546" w:history="1">
            <w:r w:rsidRPr="00DB1998">
              <w:rPr>
                <w:rStyle w:val="Hyperlink"/>
                <w:noProof/>
              </w:rPr>
              <w:t>7.</w:t>
            </w:r>
            <w:r>
              <w:rPr>
                <w:rFonts w:asciiTheme="minorHAnsi" w:eastAsiaTheme="minorEastAsia" w:hAnsiTheme="minorHAnsi" w:cstheme="minorBidi"/>
                <w:b w:val="0"/>
                <w:noProof/>
                <w:sz w:val="22"/>
                <w:lang w:eastAsia="en-AU"/>
              </w:rPr>
              <w:tab/>
            </w:r>
            <w:r w:rsidRPr="00DB1998">
              <w:rPr>
                <w:rStyle w:val="Hyperlink"/>
                <w:noProof/>
              </w:rPr>
              <w:t>Clinical safety</w:t>
            </w:r>
            <w:r>
              <w:rPr>
                <w:noProof/>
                <w:webHidden/>
              </w:rPr>
              <w:tab/>
            </w:r>
            <w:r>
              <w:rPr>
                <w:noProof/>
                <w:webHidden/>
              </w:rPr>
              <w:fldChar w:fldCharType="begin"/>
            </w:r>
            <w:r>
              <w:rPr>
                <w:noProof/>
                <w:webHidden/>
              </w:rPr>
              <w:instrText xml:space="preserve"> PAGEREF _Toc399501546 \h </w:instrText>
            </w:r>
            <w:r>
              <w:rPr>
                <w:noProof/>
                <w:webHidden/>
              </w:rPr>
            </w:r>
            <w:r>
              <w:rPr>
                <w:noProof/>
                <w:webHidden/>
              </w:rPr>
              <w:fldChar w:fldCharType="separate"/>
            </w:r>
            <w:r>
              <w:rPr>
                <w:noProof/>
                <w:webHidden/>
              </w:rPr>
              <w:t>18</w:t>
            </w:r>
            <w:r>
              <w:rPr>
                <w:noProof/>
                <w:webHidden/>
              </w:rPr>
              <w:fldChar w:fldCharType="end"/>
            </w:r>
          </w:hyperlink>
        </w:p>
        <w:p w:rsidR="00A6057D" w:rsidRDefault="00A6057D">
          <w:pPr>
            <w:pStyle w:val="TOC3"/>
            <w:tabs>
              <w:tab w:val="left" w:pos="1760"/>
            </w:tabs>
            <w:rPr>
              <w:rFonts w:asciiTheme="minorHAnsi" w:eastAsiaTheme="minorEastAsia" w:hAnsiTheme="minorHAnsi" w:cstheme="minorBidi"/>
              <w:noProof/>
              <w:lang w:eastAsia="en-AU"/>
            </w:rPr>
          </w:pPr>
          <w:hyperlink w:anchor="_Toc399501547" w:history="1">
            <w:r w:rsidRPr="00DB1998">
              <w:rPr>
                <w:rStyle w:val="Hyperlink"/>
                <w:noProof/>
              </w:rPr>
              <w:t>7.1.</w:t>
            </w:r>
            <w:r>
              <w:rPr>
                <w:rFonts w:asciiTheme="minorHAnsi" w:eastAsiaTheme="minorEastAsia" w:hAnsiTheme="minorHAnsi" w:cstheme="minorBidi"/>
                <w:noProof/>
                <w:lang w:eastAsia="en-AU"/>
              </w:rPr>
              <w:tab/>
            </w:r>
            <w:r w:rsidRPr="00DB1998">
              <w:rPr>
                <w:rStyle w:val="Hyperlink"/>
                <w:noProof/>
              </w:rPr>
              <w:t>Studies providing safety data</w:t>
            </w:r>
            <w:r>
              <w:rPr>
                <w:noProof/>
                <w:webHidden/>
              </w:rPr>
              <w:tab/>
            </w:r>
            <w:r>
              <w:rPr>
                <w:noProof/>
                <w:webHidden/>
              </w:rPr>
              <w:fldChar w:fldCharType="begin"/>
            </w:r>
            <w:r>
              <w:rPr>
                <w:noProof/>
                <w:webHidden/>
              </w:rPr>
              <w:instrText xml:space="preserve"> PAGEREF _Toc399501547 \h </w:instrText>
            </w:r>
            <w:r>
              <w:rPr>
                <w:noProof/>
                <w:webHidden/>
              </w:rPr>
            </w:r>
            <w:r>
              <w:rPr>
                <w:noProof/>
                <w:webHidden/>
              </w:rPr>
              <w:fldChar w:fldCharType="separate"/>
            </w:r>
            <w:r>
              <w:rPr>
                <w:noProof/>
                <w:webHidden/>
              </w:rPr>
              <w:t>18</w:t>
            </w:r>
            <w:r>
              <w:rPr>
                <w:noProof/>
                <w:webHidden/>
              </w:rPr>
              <w:fldChar w:fldCharType="end"/>
            </w:r>
          </w:hyperlink>
        </w:p>
        <w:p w:rsidR="00A6057D" w:rsidRDefault="00A6057D">
          <w:pPr>
            <w:pStyle w:val="TOC3"/>
            <w:tabs>
              <w:tab w:val="left" w:pos="1760"/>
            </w:tabs>
            <w:rPr>
              <w:rFonts w:asciiTheme="minorHAnsi" w:eastAsiaTheme="minorEastAsia" w:hAnsiTheme="minorHAnsi" w:cstheme="minorBidi"/>
              <w:noProof/>
              <w:lang w:eastAsia="en-AU"/>
            </w:rPr>
          </w:pPr>
          <w:hyperlink w:anchor="_Toc399501548" w:history="1">
            <w:r w:rsidRPr="00DB1998">
              <w:rPr>
                <w:rStyle w:val="Hyperlink"/>
                <w:noProof/>
              </w:rPr>
              <w:t>7.2.</w:t>
            </w:r>
            <w:r>
              <w:rPr>
                <w:rFonts w:asciiTheme="minorHAnsi" w:eastAsiaTheme="minorEastAsia" w:hAnsiTheme="minorHAnsi" w:cstheme="minorBidi"/>
                <w:noProof/>
                <w:lang w:eastAsia="en-AU"/>
              </w:rPr>
              <w:tab/>
            </w:r>
            <w:r w:rsidRPr="00DB1998">
              <w:rPr>
                <w:rStyle w:val="Hyperlink"/>
                <w:noProof/>
              </w:rPr>
              <w:t>Study BO 25341</w:t>
            </w:r>
            <w:r>
              <w:rPr>
                <w:noProof/>
                <w:webHidden/>
              </w:rPr>
              <w:tab/>
            </w:r>
            <w:r>
              <w:rPr>
                <w:noProof/>
                <w:webHidden/>
              </w:rPr>
              <w:fldChar w:fldCharType="begin"/>
            </w:r>
            <w:r>
              <w:rPr>
                <w:noProof/>
                <w:webHidden/>
              </w:rPr>
              <w:instrText xml:space="preserve"> PAGEREF _Toc399501548 \h </w:instrText>
            </w:r>
            <w:r>
              <w:rPr>
                <w:noProof/>
                <w:webHidden/>
              </w:rPr>
            </w:r>
            <w:r>
              <w:rPr>
                <w:noProof/>
                <w:webHidden/>
              </w:rPr>
              <w:fldChar w:fldCharType="separate"/>
            </w:r>
            <w:r>
              <w:rPr>
                <w:noProof/>
                <w:webHidden/>
              </w:rPr>
              <w:t>19</w:t>
            </w:r>
            <w:r>
              <w:rPr>
                <w:noProof/>
                <w:webHidden/>
              </w:rPr>
              <w:fldChar w:fldCharType="end"/>
            </w:r>
          </w:hyperlink>
        </w:p>
        <w:p w:rsidR="00A6057D" w:rsidRDefault="00A6057D">
          <w:pPr>
            <w:pStyle w:val="TOC3"/>
            <w:tabs>
              <w:tab w:val="left" w:pos="1760"/>
            </w:tabs>
            <w:rPr>
              <w:rFonts w:asciiTheme="minorHAnsi" w:eastAsiaTheme="minorEastAsia" w:hAnsiTheme="minorHAnsi" w:cstheme="minorBidi"/>
              <w:noProof/>
              <w:lang w:eastAsia="en-AU"/>
            </w:rPr>
          </w:pPr>
          <w:hyperlink w:anchor="_Toc399501549" w:history="1">
            <w:r w:rsidRPr="00DB1998">
              <w:rPr>
                <w:rStyle w:val="Hyperlink"/>
                <w:noProof/>
              </w:rPr>
              <w:t>7.3.</w:t>
            </w:r>
            <w:r>
              <w:rPr>
                <w:rFonts w:asciiTheme="minorHAnsi" w:eastAsiaTheme="minorEastAsia" w:hAnsiTheme="minorHAnsi" w:cstheme="minorBidi"/>
                <w:noProof/>
                <w:lang w:eastAsia="en-AU"/>
              </w:rPr>
              <w:tab/>
            </w:r>
            <w:r w:rsidRPr="00DB1998">
              <w:rPr>
                <w:rStyle w:val="Hyperlink"/>
                <w:noProof/>
              </w:rPr>
              <w:t>Patient exposure</w:t>
            </w:r>
            <w:r>
              <w:rPr>
                <w:noProof/>
                <w:webHidden/>
              </w:rPr>
              <w:tab/>
            </w:r>
            <w:r>
              <w:rPr>
                <w:noProof/>
                <w:webHidden/>
              </w:rPr>
              <w:fldChar w:fldCharType="begin"/>
            </w:r>
            <w:r>
              <w:rPr>
                <w:noProof/>
                <w:webHidden/>
              </w:rPr>
              <w:instrText xml:space="preserve"> PAGEREF _Toc399501549 \h </w:instrText>
            </w:r>
            <w:r>
              <w:rPr>
                <w:noProof/>
                <w:webHidden/>
              </w:rPr>
            </w:r>
            <w:r>
              <w:rPr>
                <w:noProof/>
                <w:webHidden/>
              </w:rPr>
              <w:fldChar w:fldCharType="separate"/>
            </w:r>
            <w:r>
              <w:rPr>
                <w:noProof/>
                <w:webHidden/>
              </w:rPr>
              <w:t>21</w:t>
            </w:r>
            <w:r>
              <w:rPr>
                <w:noProof/>
                <w:webHidden/>
              </w:rPr>
              <w:fldChar w:fldCharType="end"/>
            </w:r>
          </w:hyperlink>
        </w:p>
        <w:p w:rsidR="00A6057D" w:rsidRDefault="00A6057D">
          <w:pPr>
            <w:pStyle w:val="TOC3"/>
            <w:tabs>
              <w:tab w:val="left" w:pos="1760"/>
            </w:tabs>
            <w:rPr>
              <w:rFonts w:asciiTheme="minorHAnsi" w:eastAsiaTheme="minorEastAsia" w:hAnsiTheme="minorHAnsi" w:cstheme="minorBidi"/>
              <w:noProof/>
              <w:lang w:eastAsia="en-AU"/>
            </w:rPr>
          </w:pPr>
          <w:hyperlink w:anchor="_Toc399501550" w:history="1">
            <w:r w:rsidRPr="00DB1998">
              <w:rPr>
                <w:rStyle w:val="Hyperlink"/>
                <w:noProof/>
              </w:rPr>
              <w:t>7.4.</w:t>
            </w:r>
            <w:r>
              <w:rPr>
                <w:rFonts w:asciiTheme="minorHAnsi" w:eastAsiaTheme="minorEastAsia" w:hAnsiTheme="minorHAnsi" w:cstheme="minorBidi"/>
                <w:noProof/>
                <w:lang w:eastAsia="en-AU"/>
              </w:rPr>
              <w:tab/>
            </w:r>
            <w:r w:rsidRPr="00DB1998">
              <w:rPr>
                <w:rStyle w:val="Hyperlink"/>
                <w:noProof/>
              </w:rPr>
              <w:t>Adverse events</w:t>
            </w:r>
            <w:r>
              <w:rPr>
                <w:noProof/>
                <w:webHidden/>
              </w:rPr>
              <w:tab/>
            </w:r>
            <w:r>
              <w:rPr>
                <w:noProof/>
                <w:webHidden/>
              </w:rPr>
              <w:fldChar w:fldCharType="begin"/>
            </w:r>
            <w:r>
              <w:rPr>
                <w:noProof/>
                <w:webHidden/>
              </w:rPr>
              <w:instrText xml:space="preserve"> PAGEREF _Toc399501550 \h </w:instrText>
            </w:r>
            <w:r>
              <w:rPr>
                <w:noProof/>
                <w:webHidden/>
              </w:rPr>
            </w:r>
            <w:r>
              <w:rPr>
                <w:noProof/>
                <w:webHidden/>
              </w:rPr>
              <w:fldChar w:fldCharType="separate"/>
            </w:r>
            <w:r>
              <w:rPr>
                <w:noProof/>
                <w:webHidden/>
              </w:rPr>
              <w:t>23</w:t>
            </w:r>
            <w:r>
              <w:rPr>
                <w:noProof/>
                <w:webHidden/>
              </w:rPr>
              <w:fldChar w:fldCharType="end"/>
            </w:r>
          </w:hyperlink>
        </w:p>
        <w:p w:rsidR="00A6057D" w:rsidRDefault="00A6057D">
          <w:pPr>
            <w:pStyle w:val="TOC3"/>
            <w:tabs>
              <w:tab w:val="left" w:pos="1760"/>
            </w:tabs>
            <w:rPr>
              <w:rFonts w:asciiTheme="minorHAnsi" w:eastAsiaTheme="minorEastAsia" w:hAnsiTheme="minorHAnsi" w:cstheme="minorBidi"/>
              <w:noProof/>
              <w:lang w:eastAsia="en-AU"/>
            </w:rPr>
          </w:pPr>
          <w:hyperlink w:anchor="_Toc399501551" w:history="1">
            <w:r w:rsidRPr="00DB1998">
              <w:rPr>
                <w:rStyle w:val="Hyperlink"/>
                <w:noProof/>
              </w:rPr>
              <w:t>7.5.</w:t>
            </w:r>
            <w:r>
              <w:rPr>
                <w:rFonts w:asciiTheme="minorHAnsi" w:eastAsiaTheme="minorEastAsia" w:hAnsiTheme="minorHAnsi" w:cstheme="minorBidi"/>
                <w:noProof/>
                <w:lang w:eastAsia="en-AU"/>
              </w:rPr>
              <w:tab/>
            </w:r>
            <w:r w:rsidRPr="00DB1998">
              <w:rPr>
                <w:rStyle w:val="Hyperlink"/>
                <w:noProof/>
              </w:rPr>
              <w:t>Laboratory tests</w:t>
            </w:r>
            <w:r>
              <w:rPr>
                <w:noProof/>
                <w:webHidden/>
              </w:rPr>
              <w:tab/>
            </w:r>
            <w:r>
              <w:rPr>
                <w:noProof/>
                <w:webHidden/>
              </w:rPr>
              <w:fldChar w:fldCharType="begin"/>
            </w:r>
            <w:r>
              <w:rPr>
                <w:noProof/>
                <w:webHidden/>
              </w:rPr>
              <w:instrText xml:space="preserve"> PAGEREF _Toc399501551 \h </w:instrText>
            </w:r>
            <w:r>
              <w:rPr>
                <w:noProof/>
                <w:webHidden/>
              </w:rPr>
            </w:r>
            <w:r>
              <w:rPr>
                <w:noProof/>
                <w:webHidden/>
              </w:rPr>
              <w:fldChar w:fldCharType="separate"/>
            </w:r>
            <w:r>
              <w:rPr>
                <w:noProof/>
                <w:webHidden/>
              </w:rPr>
              <w:t>29</w:t>
            </w:r>
            <w:r>
              <w:rPr>
                <w:noProof/>
                <w:webHidden/>
              </w:rPr>
              <w:fldChar w:fldCharType="end"/>
            </w:r>
          </w:hyperlink>
        </w:p>
        <w:p w:rsidR="00A6057D" w:rsidRDefault="00A6057D">
          <w:pPr>
            <w:pStyle w:val="TOC3"/>
            <w:tabs>
              <w:tab w:val="left" w:pos="1760"/>
            </w:tabs>
            <w:rPr>
              <w:rFonts w:asciiTheme="minorHAnsi" w:eastAsiaTheme="minorEastAsia" w:hAnsiTheme="minorHAnsi" w:cstheme="minorBidi"/>
              <w:noProof/>
              <w:lang w:eastAsia="en-AU"/>
            </w:rPr>
          </w:pPr>
          <w:hyperlink w:anchor="_Toc399501552" w:history="1">
            <w:r w:rsidRPr="00DB1998">
              <w:rPr>
                <w:rStyle w:val="Hyperlink"/>
                <w:noProof/>
              </w:rPr>
              <w:t>7.6.</w:t>
            </w:r>
            <w:r>
              <w:rPr>
                <w:rFonts w:asciiTheme="minorHAnsi" w:eastAsiaTheme="minorEastAsia" w:hAnsiTheme="minorHAnsi" w:cstheme="minorBidi"/>
                <w:noProof/>
                <w:lang w:eastAsia="en-AU"/>
              </w:rPr>
              <w:tab/>
            </w:r>
            <w:r w:rsidRPr="00DB1998">
              <w:rPr>
                <w:rStyle w:val="Hyperlink"/>
                <w:noProof/>
              </w:rPr>
              <w:t>Postmarketing experience</w:t>
            </w:r>
            <w:r>
              <w:rPr>
                <w:noProof/>
                <w:webHidden/>
              </w:rPr>
              <w:tab/>
            </w:r>
            <w:r>
              <w:rPr>
                <w:noProof/>
                <w:webHidden/>
              </w:rPr>
              <w:fldChar w:fldCharType="begin"/>
            </w:r>
            <w:r>
              <w:rPr>
                <w:noProof/>
                <w:webHidden/>
              </w:rPr>
              <w:instrText xml:space="preserve"> PAGEREF _Toc399501552 \h </w:instrText>
            </w:r>
            <w:r>
              <w:rPr>
                <w:noProof/>
                <w:webHidden/>
              </w:rPr>
            </w:r>
            <w:r>
              <w:rPr>
                <w:noProof/>
                <w:webHidden/>
              </w:rPr>
              <w:fldChar w:fldCharType="separate"/>
            </w:r>
            <w:r>
              <w:rPr>
                <w:noProof/>
                <w:webHidden/>
              </w:rPr>
              <w:t>32</w:t>
            </w:r>
            <w:r>
              <w:rPr>
                <w:noProof/>
                <w:webHidden/>
              </w:rPr>
              <w:fldChar w:fldCharType="end"/>
            </w:r>
          </w:hyperlink>
        </w:p>
        <w:p w:rsidR="00A6057D" w:rsidRDefault="00A6057D">
          <w:pPr>
            <w:pStyle w:val="TOC3"/>
            <w:tabs>
              <w:tab w:val="left" w:pos="1760"/>
            </w:tabs>
            <w:rPr>
              <w:rFonts w:asciiTheme="minorHAnsi" w:eastAsiaTheme="minorEastAsia" w:hAnsiTheme="minorHAnsi" w:cstheme="minorBidi"/>
              <w:noProof/>
              <w:lang w:eastAsia="en-AU"/>
            </w:rPr>
          </w:pPr>
          <w:hyperlink w:anchor="_Toc399501553" w:history="1">
            <w:r w:rsidRPr="00DB1998">
              <w:rPr>
                <w:rStyle w:val="Hyperlink"/>
                <w:noProof/>
              </w:rPr>
              <w:t>7.7.</w:t>
            </w:r>
            <w:r>
              <w:rPr>
                <w:rFonts w:asciiTheme="minorHAnsi" w:eastAsiaTheme="minorEastAsia" w:hAnsiTheme="minorHAnsi" w:cstheme="minorBidi"/>
                <w:noProof/>
                <w:lang w:eastAsia="en-AU"/>
              </w:rPr>
              <w:tab/>
            </w:r>
            <w:r w:rsidRPr="00DB1998">
              <w:rPr>
                <w:rStyle w:val="Hyperlink"/>
                <w:noProof/>
              </w:rPr>
              <w:t>Safety issues with the potential for major regulatory impact</w:t>
            </w:r>
            <w:r>
              <w:rPr>
                <w:noProof/>
                <w:webHidden/>
              </w:rPr>
              <w:tab/>
            </w:r>
            <w:r>
              <w:rPr>
                <w:noProof/>
                <w:webHidden/>
              </w:rPr>
              <w:fldChar w:fldCharType="begin"/>
            </w:r>
            <w:r>
              <w:rPr>
                <w:noProof/>
                <w:webHidden/>
              </w:rPr>
              <w:instrText xml:space="preserve"> PAGEREF _Toc399501553 \h </w:instrText>
            </w:r>
            <w:r>
              <w:rPr>
                <w:noProof/>
                <w:webHidden/>
              </w:rPr>
            </w:r>
            <w:r>
              <w:rPr>
                <w:noProof/>
                <w:webHidden/>
              </w:rPr>
              <w:fldChar w:fldCharType="separate"/>
            </w:r>
            <w:r>
              <w:rPr>
                <w:noProof/>
                <w:webHidden/>
              </w:rPr>
              <w:t>32</w:t>
            </w:r>
            <w:r>
              <w:rPr>
                <w:noProof/>
                <w:webHidden/>
              </w:rPr>
              <w:fldChar w:fldCharType="end"/>
            </w:r>
          </w:hyperlink>
        </w:p>
        <w:p w:rsidR="00A6057D" w:rsidRDefault="00A6057D">
          <w:pPr>
            <w:pStyle w:val="TOC3"/>
            <w:tabs>
              <w:tab w:val="left" w:pos="1760"/>
            </w:tabs>
            <w:rPr>
              <w:rFonts w:asciiTheme="minorHAnsi" w:eastAsiaTheme="minorEastAsia" w:hAnsiTheme="minorHAnsi" w:cstheme="minorBidi"/>
              <w:noProof/>
              <w:lang w:eastAsia="en-AU"/>
            </w:rPr>
          </w:pPr>
          <w:hyperlink w:anchor="_Toc399501554" w:history="1">
            <w:r w:rsidRPr="00DB1998">
              <w:rPr>
                <w:rStyle w:val="Hyperlink"/>
                <w:noProof/>
              </w:rPr>
              <w:t>7.8.</w:t>
            </w:r>
            <w:r>
              <w:rPr>
                <w:rFonts w:asciiTheme="minorHAnsi" w:eastAsiaTheme="minorEastAsia" w:hAnsiTheme="minorHAnsi" w:cstheme="minorBidi"/>
                <w:noProof/>
                <w:lang w:eastAsia="en-AU"/>
              </w:rPr>
              <w:tab/>
            </w:r>
            <w:r w:rsidRPr="00DB1998">
              <w:rPr>
                <w:rStyle w:val="Hyperlink"/>
                <w:noProof/>
              </w:rPr>
              <w:t>Other safety issues</w:t>
            </w:r>
            <w:r>
              <w:rPr>
                <w:noProof/>
                <w:webHidden/>
              </w:rPr>
              <w:tab/>
            </w:r>
            <w:r>
              <w:rPr>
                <w:noProof/>
                <w:webHidden/>
              </w:rPr>
              <w:fldChar w:fldCharType="begin"/>
            </w:r>
            <w:r>
              <w:rPr>
                <w:noProof/>
                <w:webHidden/>
              </w:rPr>
              <w:instrText xml:space="preserve"> PAGEREF _Toc399501554 \h </w:instrText>
            </w:r>
            <w:r>
              <w:rPr>
                <w:noProof/>
                <w:webHidden/>
              </w:rPr>
            </w:r>
            <w:r>
              <w:rPr>
                <w:noProof/>
                <w:webHidden/>
              </w:rPr>
              <w:fldChar w:fldCharType="separate"/>
            </w:r>
            <w:r>
              <w:rPr>
                <w:noProof/>
                <w:webHidden/>
              </w:rPr>
              <w:t>32</w:t>
            </w:r>
            <w:r>
              <w:rPr>
                <w:noProof/>
                <w:webHidden/>
              </w:rPr>
              <w:fldChar w:fldCharType="end"/>
            </w:r>
          </w:hyperlink>
        </w:p>
        <w:p w:rsidR="00A6057D" w:rsidRDefault="00A6057D">
          <w:pPr>
            <w:pStyle w:val="TOC3"/>
            <w:tabs>
              <w:tab w:val="left" w:pos="1760"/>
            </w:tabs>
            <w:rPr>
              <w:rFonts w:asciiTheme="minorHAnsi" w:eastAsiaTheme="minorEastAsia" w:hAnsiTheme="minorHAnsi" w:cstheme="minorBidi"/>
              <w:noProof/>
              <w:lang w:eastAsia="en-AU"/>
            </w:rPr>
          </w:pPr>
          <w:hyperlink w:anchor="_Toc399501555" w:history="1">
            <w:r w:rsidRPr="00DB1998">
              <w:rPr>
                <w:rStyle w:val="Hyperlink"/>
                <w:noProof/>
              </w:rPr>
              <w:t>7.9.</w:t>
            </w:r>
            <w:r>
              <w:rPr>
                <w:rFonts w:asciiTheme="minorHAnsi" w:eastAsiaTheme="minorEastAsia" w:hAnsiTheme="minorHAnsi" w:cstheme="minorBidi"/>
                <w:noProof/>
                <w:lang w:eastAsia="en-AU"/>
              </w:rPr>
              <w:tab/>
            </w:r>
            <w:r w:rsidRPr="00DB1998">
              <w:rPr>
                <w:rStyle w:val="Hyperlink"/>
                <w:noProof/>
              </w:rPr>
              <w:t>Evaluator’s conclusions on safety</w:t>
            </w:r>
            <w:r>
              <w:rPr>
                <w:noProof/>
                <w:webHidden/>
              </w:rPr>
              <w:tab/>
            </w:r>
            <w:r>
              <w:rPr>
                <w:noProof/>
                <w:webHidden/>
              </w:rPr>
              <w:fldChar w:fldCharType="begin"/>
            </w:r>
            <w:r>
              <w:rPr>
                <w:noProof/>
                <w:webHidden/>
              </w:rPr>
              <w:instrText xml:space="preserve"> PAGEREF _Toc399501555 \h </w:instrText>
            </w:r>
            <w:r>
              <w:rPr>
                <w:noProof/>
                <w:webHidden/>
              </w:rPr>
            </w:r>
            <w:r>
              <w:rPr>
                <w:noProof/>
                <w:webHidden/>
              </w:rPr>
              <w:fldChar w:fldCharType="separate"/>
            </w:r>
            <w:r>
              <w:rPr>
                <w:noProof/>
                <w:webHidden/>
              </w:rPr>
              <w:t>33</w:t>
            </w:r>
            <w:r>
              <w:rPr>
                <w:noProof/>
                <w:webHidden/>
              </w:rPr>
              <w:fldChar w:fldCharType="end"/>
            </w:r>
          </w:hyperlink>
        </w:p>
        <w:p w:rsidR="00A6057D" w:rsidRDefault="00A6057D">
          <w:pPr>
            <w:pStyle w:val="TOC2"/>
            <w:tabs>
              <w:tab w:val="left" w:pos="1100"/>
            </w:tabs>
            <w:rPr>
              <w:rFonts w:asciiTheme="minorHAnsi" w:eastAsiaTheme="minorEastAsia" w:hAnsiTheme="minorHAnsi" w:cstheme="minorBidi"/>
              <w:b w:val="0"/>
              <w:noProof/>
              <w:sz w:val="22"/>
              <w:lang w:eastAsia="en-AU"/>
            </w:rPr>
          </w:pPr>
          <w:hyperlink w:anchor="_Toc399501556" w:history="1">
            <w:r w:rsidRPr="00DB1998">
              <w:rPr>
                <w:rStyle w:val="Hyperlink"/>
                <w:noProof/>
              </w:rPr>
              <w:t>8.</w:t>
            </w:r>
            <w:r>
              <w:rPr>
                <w:rFonts w:asciiTheme="minorHAnsi" w:eastAsiaTheme="minorEastAsia" w:hAnsiTheme="minorHAnsi" w:cstheme="minorBidi"/>
                <w:b w:val="0"/>
                <w:noProof/>
                <w:sz w:val="22"/>
                <w:lang w:eastAsia="en-AU"/>
              </w:rPr>
              <w:tab/>
            </w:r>
            <w:r w:rsidRPr="00DB1998">
              <w:rPr>
                <w:rStyle w:val="Hyperlink"/>
                <w:noProof/>
              </w:rPr>
              <w:t>First round benefit-risk assessment</w:t>
            </w:r>
            <w:r>
              <w:rPr>
                <w:noProof/>
                <w:webHidden/>
              </w:rPr>
              <w:tab/>
            </w:r>
            <w:r>
              <w:rPr>
                <w:noProof/>
                <w:webHidden/>
              </w:rPr>
              <w:fldChar w:fldCharType="begin"/>
            </w:r>
            <w:r>
              <w:rPr>
                <w:noProof/>
                <w:webHidden/>
              </w:rPr>
              <w:instrText xml:space="preserve"> PAGEREF _Toc399501556 \h </w:instrText>
            </w:r>
            <w:r>
              <w:rPr>
                <w:noProof/>
                <w:webHidden/>
              </w:rPr>
            </w:r>
            <w:r>
              <w:rPr>
                <w:noProof/>
                <w:webHidden/>
              </w:rPr>
              <w:fldChar w:fldCharType="separate"/>
            </w:r>
            <w:r>
              <w:rPr>
                <w:noProof/>
                <w:webHidden/>
              </w:rPr>
              <w:t>34</w:t>
            </w:r>
            <w:r>
              <w:rPr>
                <w:noProof/>
                <w:webHidden/>
              </w:rPr>
              <w:fldChar w:fldCharType="end"/>
            </w:r>
          </w:hyperlink>
        </w:p>
        <w:p w:rsidR="00A6057D" w:rsidRDefault="00A6057D">
          <w:pPr>
            <w:pStyle w:val="TOC3"/>
            <w:tabs>
              <w:tab w:val="left" w:pos="1760"/>
            </w:tabs>
            <w:rPr>
              <w:rFonts w:asciiTheme="minorHAnsi" w:eastAsiaTheme="minorEastAsia" w:hAnsiTheme="minorHAnsi" w:cstheme="minorBidi"/>
              <w:noProof/>
              <w:lang w:eastAsia="en-AU"/>
            </w:rPr>
          </w:pPr>
          <w:hyperlink w:anchor="_Toc399501557" w:history="1">
            <w:r w:rsidRPr="00DB1998">
              <w:rPr>
                <w:rStyle w:val="Hyperlink"/>
                <w:noProof/>
              </w:rPr>
              <w:t>8.1.</w:t>
            </w:r>
            <w:r>
              <w:rPr>
                <w:rFonts w:asciiTheme="minorHAnsi" w:eastAsiaTheme="minorEastAsia" w:hAnsiTheme="minorHAnsi" w:cstheme="minorBidi"/>
                <w:noProof/>
                <w:lang w:eastAsia="en-AU"/>
              </w:rPr>
              <w:tab/>
            </w:r>
            <w:r w:rsidRPr="00DB1998">
              <w:rPr>
                <w:rStyle w:val="Hyperlink"/>
                <w:noProof/>
              </w:rPr>
              <w:t>First round assessment of benefits</w:t>
            </w:r>
            <w:r>
              <w:rPr>
                <w:noProof/>
                <w:webHidden/>
              </w:rPr>
              <w:tab/>
            </w:r>
            <w:r>
              <w:rPr>
                <w:noProof/>
                <w:webHidden/>
              </w:rPr>
              <w:fldChar w:fldCharType="begin"/>
            </w:r>
            <w:r>
              <w:rPr>
                <w:noProof/>
                <w:webHidden/>
              </w:rPr>
              <w:instrText xml:space="preserve"> PAGEREF _Toc399501557 \h </w:instrText>
            </w:r>
            <w:r>
              <w:rPr>
                <w:noProof/>
                <w:webHidden/>
              </w:rPr>
            </w:r>
            <w:r>
              <w:rPr>
                <w:noProof/>
                <w:webHidden/>
              </w:rPr>
              <w:fldChar w:fldCharType="separate"/>
            </w:r>
            <w:r>
              <w:rPr>
                <w:noProof/>
                <w:webHidden/>
              </w:rPr>
              <w:t>34</w:t>
            </w:r>
            <w:r>
              <w:rPr>
                <w:noProof/>
                <w:webHidden/>
              </w:rPr>
              <w:fldChar w:fldCharType="end"/>
            </w:r>
          </w:hyperlink>
        </w:p>
        <w:p w:rsidR="00A6057D" w:rsidRDefault="00A6057D">
          <w:pPr>
            <w:pStyle w:val="TOC2"/>
            <w:tabs>
              <w:tab w:val="left" w:pos="1100"/>
            </w:tabs>
            <w:rPr>
              <w:rFonts w:asciiTheme="minorHAnsi" w:eastAsiaTheme="minorEastAsia" w:hAnsiTheme="minorHAnsi" w:cstheme="minorBidi"/>
              <w:b w:val="0"/>
              <w:noProof/>
              <w:sz w:val="22"/>
              <w:lang w:eastAsia="en-AU"/>
            </w:rPr>
          </w:pPr>
          <w:hyperlink w:anchor="_Toc399501558" w:history="1">
            <w:r w:rsidRPr="00DB1998">
              <w:rPr>
                <w:rStyle w:val="Hyperlink"/>
                <w:noProof/>
              </w:rPr>
              <w:t>9.</w:t>
            </w:r>
            <w:r>
              <w:rPr>
                <w:rFonts w:asciiTheme="minorHAnsi" w:eastAsiaTheme="minorEastAsia" w:hAnsiTheme="minorHAnsi" w:cstheme="minorBidi"/>
                <w:b w:val="0"/>
                <w:noProof/>
                <w:sz w:val="22"/>
                <w:lang w:eastAsia="en-AU"/>
              </w:rPr>
              <w:tab/>
            </w:r>
            <w:r w:rsidRPr="00DB1998">
              <w:rPr>
                <w:rStyle w:val="Hyperlink"/>
                <w:noProof/>
              </w:rPr>
              <w:t>First round recommendation regarding authorisation</w:t>
            </w:r>
            <w:r>
              <w:rPr>
                <w:noProof/>
                <w:webHidden/>
              </w:rPr>
              <w:tab/>
            </w:r>
            <w:r>
              <w:rPr>
                <w:noProof/>
                <w:webHidden/>
              </w:rPr>
              <w:fldChar w:fldCharType="begin"/>
            </w:r>
            <w:r>
              <w:rPr>
                <w:noProof/>
                <w:webHidden/>
              </w:rPr>
              <w:instrText xml:space="preserve"> PAGEREF _Toc399501558 \h </w:instrText>
            </w:r>
            <w:r>
              <w:rPr>
                <w:noProof/>
                <w:webHidden/>
              </w:rPr>
            </w:r>
            <w:r>
              <w:rPr>
                <w:noProof/>
                <w:webHidden/>
              </w:rPr>
              <w:fldChar w:fldCharType="separate"/>
            </w:r>
            <w:r>
              <w:rPr>
                <w:noProof/>
                <w:webHidden/>
              </w:rPr>
              <w:t>35</w:t>
            </w:r>
            <w:r>
              <w:rPr>
                <w:noProof/>
                <w:webHidden/>
              </w:rPr>
              <w:fldChar w:fldCharType="end"/>
            </w:r>
          </w:hyperlink>
        </w:p>
        <w:p w:rsidR="00A6057D" w:rsidRDefault="00A6057D">
          <w:pPr>
            <w:pStyle w:val="TOC2"/>
            <w:tabs>
              <w:tab w:val="left" w:pos="1320"/>
            </w:tabs>
            <w:rPr>
              <w:rFonts w:asciiTheme="minorHAnsi" w:eastAsiaTheme="minorEastAsia" w:hAnsiTheme="minorHAnsi" w:cstheme="minorBidi"/>
              <w:b w:val="0"/>
              <w:noProof/>
              <w:sz w:val="22"/>
              <w:lang w:eastAsia="en-AU"/>
            </w:rPr>
          </w:pPr>
          <w:hyperlink w:anchor="_Toc399501559" w:history="1">
            <w:r w:rsidRPr="00DB1998">
              <w:rPr>
                <w:rStyle w:val="Hyperlink"/>
                <w:noProof/>
              </w:rPr>
              <w:t>10.</w:t>
            </w:r>
            <w:r>
              <w:rPr>
                <w:rFonts w:asciiTheme="minorHAnsi" w:eastAsiaTheme="minorEastAsia" w:hAnsiTheme="minorHAnsi" w:cstheme="minorBidi"/>
                <w:b w:val="0"/>
                <w:noProof/>
                <w:sz w:val="22"/>
                <w:lang w:eastAsia="en-AU"/>
              </w:rPr>
              <w:tab/>
            </w:r>
            <w:r w:rsidRPr="00DB1998">
              <w:rPr>
                <w:rStyle w:val="Hyperlink"/>
                <w:noProof/>
              </w:rPr>
              <w:t>Clinical questions</w:t>
            </w:r>
            <w:r>
              <w:rPr>
                <w:noProof/>
                <w:webHidden/>
              </w:rPr>
              <w:tab/>
            </w:r>
            <w:r>
              <w:rPr>
                <w:noProof/>
                <w:webHidden/>
              </w:rPr>
              <w:fldChar w:fldCharType="begin"/>
            </w:r>
            <w:r>
              <w:rPr>
                <w:noProof/>
                <w:webHidden/>
              </w:rPr>
              <w:instrText xml:space="preserve"> PAGEREF _Toc399501559 \h </w:instrText>
            </w:r>
            <w:r>
              <w:rPr>
                <w:noProof/>
                <w:webHidden/>
              </w:rPr>
            </w:r>
            <w:r>
              <w:rPr>
                <w:noProof/>
                <w:webHidden/>
              </w:rPr>
              <w:fldChar w:fldCharType="separate"/>
            </w:r>
            <w:r>
              <w:rPr>
                <w:noProof/>
                <w:webHidden/>
              </w:rPr>
              <w:t>35</w:t>
            </w:r>
            <w:r>
              <w:rPr>
                <w:noProof/>
                <w:webHidden/>
              </w:rPr>
              <w:fldChar w:fldCharType="end"/>
            </w:r>
          </w:hyperlink>
        </w:p>
        <w:p w:rsidR="00A6057D" w:rsidRDefault="00A6057D">
          <w:pPr>
            <w:pStyle w:val="TOC3"/>
            <w:tabs>
              <w:tab w:val="left" w:pos="1760"/>
            </w:tabs>
            <w:rPr>
              <w:rFonts w:asciiTheme="minorHAnsi" w:eastAsiaTheme="minorEastAsia" w:hAnsiTheme="minorHAnsi" w:cstheme="minorBidi"/>
              <w:noProof/>
              <w:lang w:eastAsia="en-AU"/>
            </w:rPr>
          </w:pPr>
          <w:hyperlink w:anchor="_Toc399501560" w:history="1">
            <w:r w:rsidRPr="00DB1998">
              <w:rPr>
                <w:rStyle w:val="Hyperlink"/>
                <w:noProof/>
              </w:rPr>
              <w:t>10.1.</w:t>
            </w:r>
            <w:r>
              <w:rPr>
                <w:rFonts w:asciiTheme="minorHAnsi" w:eastAsiaTheme="minorEastAsia" w:hAnsiTheme="minorHAnsi" w:cstheme="minorBidi"/>
                <w:noProof/>
                <w:lang w:eastAsia="en-AU"/>
              </w:rPr>
              <w:tab/>
            </w:r>
            <w:r w:rsidRPr="00DB1998">
              <w:rPr>
                <w:rStyle w:val="Hyperlink"/>
                <w:noProof/>
              </w:rPr>
              <w:t>Pharmacokinetics</w:t>
            </w:r>
            <w:r>
              <w:rPr>
                <w:noProof/>
                <w:webHidden/>
              </w:rPr>
              <w:tab/>
            </w:r>
            <w:r>
              <w:rPr>
                <w:noProof/>
                <w:webHidden/>
              </w:rPr>
              <w:fldChar w:fldCharType="begin"/>
            </w:r>
            <w:r>
              <w:rPr>
                <w:noProof/>
                <w:webHidden/>
              </w:rPr>
              <w:instrText xml:space="preserve"> PAGEREF _Toc399501560 \h </w:instrText>
            </w:r>
            <w:r>
              <w:rPr>
                <w:noProof/>
                <w:webHidden/>
              </w:rPr>
            </w:r>
            <w:r>
              <w:rPr>
                <w:noProof/>
                <w:webHidden/>
              </w:rPr>
              <w:fldChar w:fldCharType="separate"/>
            </w:r>
            <w:r>
              <w:rPr>
                <w:noProof/>
                <w:webHidden/>
              </w:rPr>
              <w:t>35</w:t>
            </w:r>
            <w:r>
              <w:rPr>
                <w:noProof/>
                <w:webHidden/>
              </w:rPr>
              <w:fldChar w:fldCharType="end"/>
            </w:r>
          </w:hyperlink>
        </w:p>
        <w:p w:rsidR="00A6057D" w:rsidRDefault="00A6057D">
          <w:pPr>
            <w:pStyle w:val="TOC3"/>
            <w:tabs>
              <w:tab w:val="left" w:pos="1760"/>
            </w:tabs>
            <w:rPr>
              <w:rFonts w:asciiTheme="minorHAnsi" w:eastAsiaTheme="minorEastAsia" w:hAnsiTheme="minorHAnsi" w:cstheme="minorBidi"/>
              <w:noProof/>
              <w:lang w:eastAsia="en-AU"/>
            </w:rPr>
          </w:pPr>
          <w:hyperlink w:anchor="_Toc399501561" w:history="1">
            <w:r w:rsidRPr="00DB1998">
              <w:rPr>
                <w:rStyle w:val="Hyperlink"/>
                <w:noProof/>
              </w:rPr>
              <w:t>10.2.</w:t>
            </w:r>
            <w:r>
              <w:rPr>
                <w:rFonts w:asciiTheme="minorHAnsi" w:eastAsiaTheme="minorEastAsia" w:hAnsiTheme="minorHAnsi" w:cstheme="minorBidi"/>
                <w:noProof/>
                <w:lang w:eastAsia="en-AU"/>
              </w:rPr>
              <w:tab/>
            </w:r>
            <w:r w:rsidRPr="00DB1998">
              <w:rPr>
                <w:rStyle w:val="Hyperlink"/>
                <w:noProof/>
              </w:rPr>
              <w:t>Pharmacodynamics</w:t>
            </w:r>
            <w:r>
              <w:rPr>
                <w:noProof/>
                <w:webHidden/>
              </w:rPr>
              <w:tab/>
            </w:r>
            <w:r>
              <w:rPr>
                <w:noProof/>
                <w:webHidden/>
              </w:rPr>
              <w:fldChar w:fldCharType="begin"/>
            </w:r>
            <w:r>
              <w:rPr>
                <w:noProof/>
                <w:webHidden/>
              </w:rPr>
              <w:instrText xml:space="preserve"> PAGEREF _Toc399501561 \h </w:instrText>
            </w:r>
            <w:r>
              <w:rPr>
                <w:noProof/>
                <w:webHidden/>
              </w:rPr>
            </w:r>
            <w:r>
              <w:rPr>
                <w:noProof/>
                <w:webHidden/>
              </w:rPr>
              <w:fldChar w:fldCharType="separate"/>
            </w:r>
            <w:r>
              <w:rPr>
                <w:noProof/>
                <w:webHidden/>
              </w:rPr>
              <w:t>35</w:t>
            </w:r>
            <w:r>
              <w:rPr>
                <w:noProof/>
                <w:webHidden/>
              </w:rPr>
              <w:fldChar w:fldCharType="end"/>
            </w:r>
          </w:hyperlink>
        </w:p>
        <w:p w:rsidR="00A6057D" w:rsidRDefault="00A6057D">
          <w:pPr>
            <w:pStyle w:val="TOC3"/>
            <w:tabs>
              <w:tab w:val="left" w:pos="1760"/>
            </w:tabs>
            <w:rPr>
              <w:rFonts w:asciiTheme="minorHAnsi" w:eastAsiaTheme="minorEastAsia" w:hAnsiTheme="minorHAnsi" w:cstheme="minorBidi"/>
              <w:noProof/>
              <w:lang w:eastAsia="en-AU"/>
            </w:rPr>
          </w:pPr>
          <w:hyperlink w:anchor="_Toc399501562" w:history="1">
            <w:r w:rsidRPr="00DB1998">
              <w:rPr>
                <w:rStyle w:val="Hyperlink"/>
                <w:noProof/>
              </w:rPr>
              <w:t>10.3.</w:t>
            </w:r>
            <w:r>
              <w:rPr>
                <w:rFonts w:asciiTheme="minorHAnsi" w:eastAsiaTheme="minorEastAsia" w:hAnsiTheme="minorHAnsi" w:cstheme="minorBidi"/>
                <w:noProof/>
                <w:lang w:eastAsia="en-AU"/>
              </w:rPr>
              <w:tab/>
            </w:r>
            <w:r w:rsidRPr="00DB1998">
              <w:rPr>
                <w:rStyle w:val="Hyperlink"/>
                <w:noProof/>
              </w:rPr>
              <w:t>Efficacy and safety</w:t>
            </w:r>
            <w:r>
              <w:rPr>
                <w:noProof/>
                <w:webHidden/>
              </w:rPr>
              <w:tab/>
            </w:r>
            <w:r>
              <w:rPr>
                <w:noProof/>
                <w:webHidden/>
              </w:rPr>
              <w:fldChar w:fldCharType="begin"/>
            </w:r>
            <w:r>
              <w:rPr>
                <w:noProof/>
                <w:webHidden/>
              </w:rPr>
              <w:instrText xml:space="preserve"> PAGEREF _Toc399501562 \h </w:instrText>
            </w:r>
            <w:r>
              <w:rPr>
                <w:noProof/>
                <w:webHidden/>
              </w:rPr>
            </w:r>
            <w:r>
              <w:rPr>
                <w:noProof/>
                <w:webHidden/>
              </w:rPr>
              <w:fldChar w:fldCharType="separate"/>
            </w:r>
            <w:r>
              <w:rPr>
                <w:noProof/>
                <w:webHidden/>
              </w:rPr>
              <w:t>35</w:t>
            </w:r>
            <w:r>
              <w:rPr>
                <w:noProof/>
                <w:webHidden/>
              </w:rPr>
              <w:fldChar w:fldCharType="end"/>
            </w:r>
          </w:hyperlink>
        </w:p>
        <w:p w:rsidR="003A7F6C" w:rsidRPr="00B811C6" w:rsidRDefault="00A6057D" w:rsidP="00A6057D">
          <w:pPr>
            <w:pStyle w:val="TOC2"/>
            <w:tabs>
              <w:tab w:val="left" w:pos="1320"/>
            </w:tabs>
          </w:pPr>
          <w:hyperlink w:anchor="_Toc399501563" w:history="1">
            <w:r w:rsidRPr="00DB1998">
              <w:rPr>
                <w:rStyle w:val="Hyperlink"/>
                <w:noProof/>
              </w:rPr>
              <w:t>11.</w:t>
            </w:r>
            <w:r>
              <w:rPr>
                <w:rFonts w:asciiTheme="minorHAnsi" w:eastAsiaTheme="minorEastAsia" w:hAnsiTheme="minorHAnsi" w:cstheme="minorBidi"/>
                <w:b w:val="0"/>
                <w:noProof/>
                <w:sz w:val="22"/>
                <w:lang w:eastAsia="en-AU"/>
              </w:rPr>
              <w:tab/>
            </w:r>
            <w:r w:rsidRPr="00DB1998">
              <w:rPr>
                <w:rStyle w:val="Hyperlink"/>
                <w:noProof/>
              </w:rPr>
              <w:t>References</w:t>
            </w:r>
            <w:r>
              <w:rPr>
                <w:noProof/>
                <w:webHidden/>
              </w:rPr>
              <w:tab/>
            </w:r>
            <w:r>
              <w:rPr>
                <w:noProof/>
                <w:webHidden/>
              </w:rPr>
              <w:fldChar w:fldCharType="begin"/>
            </w:r>
            <w:r>
              <w:rPr>
                <w:noProof/>
                <w:webHidden/>
              </w:rPr>
              <w:instrText xml:space="preserve"> PAGEREF _Toc399501563 \h </w:instrText>
            </w:r>
            <w:r>
              <w:rPr>
                <w:noProof/>
                <w:webHidden/>
              </w:rPr>
            </w:r>
            <w:r>
              <w:rPr>
                <w:noProof/>
                <w:webHidden/>
              </w:rPr>
              <w:fldChar w:fldCharType="separate"/>
            </w:r>
            <w:r>
              <w:rPr>
                <w:noProof/>
                <w:webHidden/>
              </w:rPr>
              <w:t>35</w:t>
            </w:r>
            <w:r>
              <w:rPr>
                <w:noProof/>
                <w:webHidden/>
              </w:rPr>
              <w:fldChar w:fldCharType="end"/>
            </w:r>
          </w:hyperlink>
          <w:r w:rsidR="004F4AF5">
            <w:fldChar w:fldCharType="end"/>
          </w:r>
        </w:p>
        <w:bookmarkStart w:id="2" w:name="_GoBack" w:displacedByCustomXml="next"/>
        <w:bookmarkEnd w:id="2" w:displacedByCustomXml="next"/>
      </w:sdtContent>
    </w:sdt>
    <w:bookmarkStart w:id="3" w:name="_Toc314842482" w:displacedByCustomXml="prev"/>
    <w:p w:rsidR="00141EB2" w:rsidRDefault="00141EB2">
      <w:pPr>
        <w:spacing w:before="0" w:after="200" w:line="0" w:lineRule="auto"/>
        <w:rPr>
          <w:rFonts w:ascii="Arial" w:eastAsia="Times New Roman" w:hAnsi="Arial"/>
          <w:b/>
          <w:bCs/>
          <w:sz w:val="32"/>
          <w:szCs w:val="26"/>
          <w:lang w:eastAsia="ja-JP"/>
        </w:rPr>
      </w:pPr>
      <w:bookmarkStart w:id="4" w:name="_Toc351716269"/>
      <w:bookmarkStart w:id="5" w:name="_Toc351718881"/>
      <w:bookmarkStart w:id="6" w:name="_Toc355338616"/>
      <w:r>
        <w:br w:type="page"/>
      </w:r>
    </w:p>
    <w:p w:rsidR="00586F98" w:rsidRDefault="00586F98" w:rsidP="006C7B48">
      <w:pPr>
        <w:pStyle w:val="Heading2"/>
        <w:numPr>
          <w:ilvl w:val="0"/>
          <w:numId w:val="0"/>
        </w:numPr>
        <w:ind w:left="567" w:hanging="567"/>
      </w:pPr>
      <w:bookmarkStart w:id="7" w:name="_Toc399501528"/>
      <w:r>
        <w:lastRenderedPageBreak/>
        <w:t xml:space="preserve">List of </w:t>
      </w:r>
      <w:r w:rsidR="008D4C87">
        <w:t xml:space="preserve">common </w:t>
      </w:r>
      <w:r>
        <w:t>abbreviations</w:t>
      </w:r>
      <w:bookmarkEnd w:id="4"/>
      <w:bookmarkEnd w:id="5"/>
      <w:bookmarkEnd w:id="6"/>
      <w:bookmarkEnd w:id="7"/>
    </w:p>
    <w:tbl>
      <w:tblPr>
        <w:tblStyle w:val="TableTGAblue"/>
        <w:tblW w:w="0" w:type="auto"/>
        <w:tblLook w:val="04A0" w:firstRow="1" w:lastRow="0" w:firstColumn="1" w:lastColumn="0" w:noHBand="0" w:noVBand="1"/>
      </w:tblPr>
      <w:tblGrid>
        <w:gridCol w:w="1890"/>
        <w:gridCol w:w="6911"/>
      </w:tblGrid>
      <w:tr w:rsidR="008D4C87" w:rsidRPr="00B459D7" w:rsidTr="006C7B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0" w:type="dxa"/>
          </w:tcPr>
          <w:p w:rsidR="008D4C87" w:rsidRPr="008D4C87" w:rsidRDefault="008D4C87" w:rsidP="006C7B48">
            <w:pPr>
              <w:ind w:left="0"/>
            </w:pPr>
            <w:r>
              <w:t>Abbreviation</w:t>
            </w:r>
          </w:p>
        </w:tc>
        <w:tc>
          <w:tcPr>
            <w:tcW w:w="6911" w:type="dxa"/>
          </w:tcPr>
          <w:p w:rsidR="008D4C87" w:rsidRPr="008D4C87" w:rsidRDefault="008D4C87" w:rsidP="006C7B48">
            <w:pPr>
              <w:ind w:left="0"/>
              <w:cnfStyle w:val="100000000000" w:firstRow="1" w:lastRow="0" w:firstColumn="0" w:lastColumn="0" w:oddVBand="0" w:evenVBand="0" w:oddHBand="0" w:evenHBand="0" w:firstRowFirstColumn="0" w:firstRowLastColumn="0" w:lastRowFirstColumn="0" w:lastRowLastColumn="0"/>
            </w:pPr>
            <w:r>
              <w:t>Meaning</w:t>
            </w:r>
          </w:p>
        </w:tc>
      </w:tr>
      <w:tr w:rsidR="008D4C87" w:rsidRPr="00B459D7" w:rsidTr="008D4C87">
        <w:tc>
          <w:tcPr>
            <w:cnfStyle w:val="001000000000" w:firstRow="0" w:lastRow="0" w:firstColumn="1" w:lastColumn="0" w:oddVBand="0" w:evenVBand="0" w:oddHBand="0" w:evenHBand="0" w:firstRowFirstColumn="0" w:firstRowLastColumn="0" w:lastRowFirstColumn="0" w:lastRowLastColumn="0"/>
            <w:tcW w:w="1890" w:type="dxa"/>
          </w:tcPr>
          <w:p w:rsidR="008D4C87" w:rsidRPr="008D4C87" w:rsidRDefault="008D4C87" w:rsidP="006C7B48">
            <w:pPr>
              <w:ind w:left="0"/>
            </w:pPr>
            <w:r w:rsidRPr="008D4C87">
              <w:t>AE</w:t>
            </w:r>
          </w:p>
        </w:tc>
        <w:tc>
          <w:tcPr>
            <w:tcW w:w="6911" w:type="dxa"/>
          </w:tcPr>
          <w:p w:rsidR="008D4C87" w:rsidRPr="008D4C87" w:rsidRDefault="008D4C87" w:rsidP="006C7B48">
            <w:pPr>
              <w:ind w:left="0"/>
              <w:cnfStyle w:val="000000000000" w:firstRow="0" w:lastRow="0" w:firstColumn="0" w:lastColumn="0" w:oddVBand="0" w:evenVBand="0" w:oddHBand="0" w:evenHBand="0" w:firstRowFirstColumn="0" w:firstRowLastColumn="0" w:lastRowFirstColumn="0" w:lastRowLastColumn="0"/>
            </w:pPr>
            <w:r w:rsidRPr="008D4C87">
              <w:t>Adverse Event</w:t>
            </w:r>
          </w:p>
        </w:tc>
      </w:tr>
      <w:tr w:rsidR="008D4C87" w:rsidRPr="00B459D7" w:rsidTr="002A6059">
        <w:trPr>
          <w:trHeight w:val="226"/>
        </w:trPr>
        <w:tc>
          <w:tcPr>
            <w:cnfStyle w:val="001000000000" w:firstRow="0" w:lastRow="0" w:firstColumn="1" w:lastColumn="0" w:oddVBand="0" w:evenVBand="0" w:oddHBand="0" w:evenHBand="0" w:firstRowFirstColumn="0" w:firstRowLastColumn="0" w:lastRowFirstColumn="0" w:lastRowLastColumn="0"/>
            <w:tcW w:w="1890" w:type="dxa"/>
          </w:tcPr>
          <w:p w:rsidR="008D4C87" w:rsidRPr="008D4C87" w:rsidRDefault="008D4C87" w:rsidP="006C7B48">
            <w:pPr>
              <w:ind w:left="0"/>
            </w:pPr>
            <w:r w:rsidRPr="008D4C87">
              <w:t>ALT</w:t>
            </w:r>
          </w:p>
        </w:tc>
        <w:tc>
          <w:tcPr>
            <w:tcW w:w="6911" w:type="dxa"/>
          </w:tcPr>
          <w:p w:rsidR="008D4C87" w:rsidRPr="008D4C87" w:rsidRDefault="008D4C87" w:rsidP="006C7B48">
            <w:pPr>
              <w:ind w:left="0"/>
              <w:cnfStyle w:val="000000000000" w:firstRow="0" w:lastRow="0" w:firstColumn="0" w:lastColumn="0" w:oddVBand="0" w:evenVBand="0" w:oddHBand="0" w:evenHBand="0" w:firstRowFirstColumn="0" w:firstRowLastColumn="0" w:lastRowFirstColumn="0" w:lastRowLastColumn="0"/>
            </w:pPr>
            <w:r w:rsidRPr="008D4C87">
              <w:t xml:space="preserve">Alanine </w:t>
            </w:r>
            <w:r w:rsidR="002A6059">
              <w:t>aminotransferas</w:t>
            </w:r>
            <w:r w:rsidRPr="008D4C87">
              <w:t>e</w:t>
            </w:r>
          </w:p>
        </w:tc>
      </w:tr>
      <w:tr w:rsidR="002A6059" w:rsidRPr="00B459D7" w:rsidTr="008D4C87">
        <w:tc>
          <w:tcPr>
            <w:cnfStyle w:val="001000000000" w:firstRow="0" w:lastRow="0" w:firstColumn="1" w:lastColumn="0" w:oddVBand="0" w:evenVBand="0" w:oddHBand="0" w:evenHBand="0" w:firstRowFirstColumn="0" w:firstRowLastColumn="0" w:lastRowFirstColumn="0" w:lastRowLastColumn="0"/>
            <w:tcW w:w="1890" w:type="dxa"/>
          </w:tcPr>
          <w:p w:rsidR="002A6059" w:rsidRPr="008D4C87" w:rsidRDefault="002A6059" w:rsidP="006C7B48">
            <w:pPr>
              <w:ind w:left="0"/>
            </w:pPr>
            <w:r>
              <w:t>ARR</w:t>
            </w:r>
          </w:p>
        </w:tc>
        <w:tc>
          <w:tcPr>
            <w:tcW w:w="6911" w:type="dxa"/>
          </w:tcPr>
          <w:p w:rsidR="002A6059" w:rsidRPr="002A6059" w:rsidRDefault="002A6059" w:rsidP="006C7B48">
            <w:pPr>
              <w:ind w:left="0"/>
              <w:cnfStyle w:val="000000000000" w:firstRow="0" w:lastRow="0" w:firstColumn="0" w:lastColumn="0" w:oddVBand="0" w:evenVBand="0" w:oddHBand="0" w:evenHBand="0" w:firstRowFirstColumn="0" w:firstRowLastColumn="0" w:lastRowFirstColumn="0" w:lastRowLastColumn="0"/>
            </w:pPr>
            <w:r w:rsidRPr="002A6059">
              <w:t>Administration-related events</w:t>
            </w:r>
          </w:p>
        </w:tc>
      </w:tr>
      <w:tr w:rsidR="008D4C87" w:rsidRPr="00B459D7" w:rsidTr="008D4C87">
        <w:tc>
          <w:tcPr>
            <w:cnfStyle w:val="001000000000" w:firstRow="0" w:lastRow="0" w:firstColumn="1" w:lastColumn="0" w:oddVBand="0" w:evenVBand="0" w:oddHBand="0" w:evenHBand="0" w:firstRowFirstColumn="0" w:firstRowLastColumn="0" w:lastRowFirstColumn="0" w:lastRowLastColumn="0"/>
            <w:tcW w:w="1890" w:type="dxa"/>
          </w:tcPr>
          <w:p w:rsidR="008D4C87" w:rsidRPr="008D4C87" w:rsidRDefault="008D4C87" w:rsidP="006C7B48">
            <w:pPr>
              <w:ind w:left="0"/>
            </w:pPr>
            <w:r w:rsidRPr="008D4C87">
              <w:t>AST</w:t>
            </w:r>
          </w:p>
        </w:tc>
        <w:tc>
          <w:tcPr>
            <w:tcW w:w="6911" w:type="dxa"/>
          </w:tcPr>
          <w:p w:rsidR="008D4C87" w:rsidRPr="008D4C87" w:rsidRDefault="008D4C87" w:rsidP="006C7B48">
            <w:pPr>
              <w:ind w:left="0"/>
              <w:cnfStyle w:val="000000000000" w:firstRow="0" w:lastRow="0" w:firstColumn="0" w:lastColumn="0" w:oddVBand="0" w:evenVBand="0" w:oddHBand="0" w:evenHBand="0" w:firstRowFirstColumn="0" w:firstRowLastColumn="0" w:lastRowFirstColumn="0" w:lastRowLastColumn="0"/>
            </w:pPr>
            <w:r w:rsidRPr="008D4C87">
              <w:t xml:space="preserve">Aspartate </w:t>
            </w:r>
            <w:r w:rsidR="002A6059">
              <w:t>aminotransferase</w:t>
            </w:r>
          </w:p>
        </w:tc>
      </w:tr>
      <w:tr w:rsidR="008D4C87" w:rsidRPr="00B459D7" w:rsidTr="008D4C87">
        <w:tc>
          <w:tcPr>
            <w:cnfStyle w:val="001000000000" w:firstRow="0" w:lastRow="0" w:firstColumn="1" w:lastColumn="0" w:oddVBand="0" w:evenVBand="0" w:oddHBand="0" w:evenHBand="0" w:firstRowFirstColumn="0" w:firstRowLastColumn="0" w:lastRowFirstColumn="0" w:lastRowLastColumn="0"/>
            <w:tcW w:w="1890" w:type="dxa"/>
          </w:tcPr>
          <w:p w:rsidR="008D4C87" w:rsidRPr="008D4C87" w:rsidRDefault="008D4C87" w:rsidP="006C7B48">
            <w:pPr>
              <w:ind w:left="0"/>
            </w:pPr>
            <w:r w:rsidRPr="008D4C87">
              <w:t>BSA</w:t>
            </w:r>
          </w:p>
        </w:tc>
        <w:tc>
          <w:tcPr>
            <w:tcW w:w="6911" w:type="dxa"/>
          </w:tcPr>
          <w:p w:rsidR="008D4C87" w:rsidRPr="008D4C87" w:rsidRDefault="008D4C87" w:rsidP="006C7B48">
            <w:pPr>
              <w:ind w:left="0"/>
              <w:cnfStyle w:val="000000000000" w:firstRow="0" w:lastRow="0" w:firstColumn="0" w:lastColumn="0" w:oddVBand="0" w:evenVBand="0" w:oddHBand="0" w:evenHBand="0" w:firstRowFirstColumn="0" w:firstRowLastColumn="0" w:lastRowFirstColumn="0" w:lastRowLastColumn="0"/>
            </w:pPr>
            <w:r w:rsidRPr="008D4C87">
              <w:t>Body Surface Area</w:t>
            </w:r>
          </w:p>
        </w:tc>
      </w:tr>
      <w:tr w:rsidR="008D4C87" w:rsidRPr="00B459D7" w:rsidTr="008D4C87">
        <w:tc>
          <w:tcPr>
            <w:cnfStyle w:val="001000000000" w:firstRow="0" w:lastRow="0" w:firstColumn="1" w:lastColumn="0" w:oddVBand="0" w:evenVBand="0" w:oddHBand="0" w:evenHBand="0" w:firstRowFirstColumn="0" w:firstRowLastColumn="0" w:lastRowFirstColumn="0" w:lastRowLastColumn="0"/>
            <w:tcW w:w="1890" w:type="dxa"/>
          </w:tcPr>
          <w:p w:rsidR="008D4C87" w:rsidRPr="008D4C87" w:rsidRDefault="008D4C87" w:rsidP="006C7B48">
            <w:pPr>
              <w:ind w:left="0"/>
            </w:pPr>
            <w:r w:rsidRPr="008D4C87">
              <w:t>AUC</w:t>
            </w:r>
          </w:p>
        </w:tc>
        <w:tc>
          <w:tcPr>
            <w:tcW w:w="6911" w:type="dxa"/>
          </w:tcPr>
          <w:p w:rsidR="008D4C87" w:rsidRPr="008D4C87" w:rsidRDefault="008D4C87" w:rsidP="006C7B48">
            <w:pPr>
              <w:ind w:left="0"/>
              <w:cnfStyle w:val="000000000000" w:firstRow="0" w:lastRow="0" w:firstColumn="0" w:lastColumn="0" w:oddVBand="0" w:evenVBand="0" w:oddHBand="0" w:evenHBand="0" w:firstRowFirstColumn="0" w:firstRowLastColumn="0" w:lastRowFirstColumn="0" w:lastRowLastColumn="0"/>
            </w:pPr>
            <w:r w:rsidRPr="008D4C87">
              <w:t xml:space="preserve">Area under concentration </w:t>
            </w:r>
            <w:r w:rsidR="00AB2DB9">
              <w:t>versus</w:t>
            </w:r>
            <w:r w:rsidRPr="008D4C87">
              <w:t xml:space="preserve"> time curve</w:t>
            </w:r>
          </w:p>
        </w:tc>
      </w:tr>
      <w:tr w:rsidR="00A4228F" w:rsidRPr="00B459D7" w:rsidTr="008D4C87">
        <w:tc>
          <w:tcPr>
            <w:cnfStyle w:val="001000000000" w:firstRow="0" w:lastRow="0" w:firstColumn="1" w:lastColumn="0" w:oddVBand="0" w:evenVBand="0" w:oddHBand="0" w:evenHBand="0" w:firstRowFirstColumn="0" w:firstRowLastColumn="0" w:lastRowFirstColumn="0" w:lastRowLastColumn="0"/>
            <w:tcW w:w="1890" w:type="dxa"/>
          </w:tcPr>
          <w:p w:rsidR="00A4228F" w:rsidRPr="008D4C87" w:rsidRDefault="00A4228F" w:rsidP="006C7B48">
            <w:pPr>
              <w:ind w:left="0"/>
            </w:pPr>
            <w:r>
              <w:t>CHOP</w:t>
            </w:r>
          </w:p>
        </w:tc>
        <w:tc>
          <w:tcPr>
            <w:tcW w:w="6911" w:type="dxa"/>
          </w:tcPr>
          <w:p w:rsidR="00A4228F" w:rsidRPr="008D4C87" w:rsidRDefault="00A4228F" w:rsidP="006C7B48">
            <w:pPr>
              <w:ind w:left="0"/>
              <w:cnfStyle w:val="000000000000" w:firstRow="0" w:lastRow="0" w:firstColumn="0" w:lastColumn="0" w:oddVBand="0" w:evenVBand="0" w:oddHBand="0" w:evenHBand="0" w:firstRowFirstColumn="0" w:firstRowLastColumn="0" w:lastRowFirstColumn="0" w:lastRowLastColumn="0"/>
            </w:pPr>
            <w:r>
              <w:t>C</w:t>
            </w:r>
            <w:r w:rsidRPr="00A4228F">
              <w:t>yclophosphamide, doxorubicin, vincristine and prednisone</w:t>
            </w:r>
          </w:p>
        </w:tc>
      </w:tr>
      <w:tr w:rsidR="008D4C87" w:rsidRPr="00B459D7" w:rsidTr="008D4C87">
        <w:tc>
          <w:tcPr>
            <w:cnfStyle w:val="001000000000" w:firstRow="0" w:lastRow="0" w:firstColumn="1" w:lastColumn="0" w:oddVBand="0" w:evenVBand="0" w:oddHBand="0" w:evenHBand="0" w:firstRowFirstColumn="0" w:firstRowLastColumn="0" w:lastRowFirstColumn="0" w:lastRowLastColumn="0"/>
            <w:tcW w:w="1890" w:type="dxa"/>
          </w:tcPr>
          <w:p w:rsidR="008D4C87" w:rsidRPr="008D4C87" w:rsidRDefault="008D4C87" w:rsidP="006C7B48">
            <w:pPr>
              <w:ind w:left="0"/>
            </w:pPr>
            <w:r w:rsidRPr="008D4C87">
              <w:t>CI</w:t>
            </w:r>
          </w:p>
        </w:tc>
        <w:tc>
          <w:tcPr>
            <w:tcW w:w="6911" w:type="dxa"/>
          </w:tcPr>
          <w:p w:rsidR="008D4C87" w:rsidRPr="008D4C87" w:rsidRDefault="008D4C87" w:rsidP="006C7B48">
            <w:pPr>
              <w:ind w:left="0"/>
              <w:cnfStyle w:val="000000000000" w:firstRow="0" w:lastRow="0" w:firstColumn="0" w:lastColumn="0" w:oddVBand="0" w:evenVBand="0" w:oddHBand="0" w:evenHBand="0" w:firstRowFirstColumn="0" w:firstRowLastColumn="0" w:lastRowFirstColumn="0" w:lastRowLastColumn="0"/>
            </w:pPr>
            <w:r w:rsidRPr="008D4C87">
              <w:t>Confidence Interval</w:t>
            </w:r>
          </w:p>
        </w:tc>
      </w:tr>
      <w:tr w:rsidR="008D4C87" w:rsidRPr="00B459D7" w:rsidTr="008D4C87">
        <w:tc>
          <w:tcPr>
            <w:cnfStyle w:val="001000000000" w:firstRow="0" w:lastRow="0" w:firstColumn="1" w:lastColumn="0" w:oddVBand="0" w:evenVBand="0" w:oddHBand="0" w:evenHBand="0" w:firstRowFirstColumn="0" w:firstRowLastColumn="0" w:lastRowFirstColumn="0" w:lastRowLastColumn="0"/>
            <w:tcW w:w="1890" w:type="dxa"/>
          </w:tcPr>
          <w:p w:rsidR="008D4C87" w:rsidRPr="008D4C87" w:rsidRDefault="008D4C87" w:rsidP="006C7B48">
            <w:pPr>
              <w:ind w:left="0"/>
            </w:pPr>
            <w:r w:rsidRPr="008D4C87">
              <w:t>CL</w:t>
            </w:r>
          </w:p>
        </w:tc>
        <w:tc>
          <w:tcPr>
            <w:tcW w:w="6911" w:type="dxa"/>
          </w:tcPr>
          <w:p w:rsidR="008D4C87" w:rsidRPr="008D4C87" w:rsidRDefault="008D4C87" w:rsidP="006C7B48">
            <w:pPr>
              <w:ind w:left="0"/>
              <w:cnfStyle w:val="000000000000" w:firstRow="0" w:lastRow="0" w:firstColumn="0" w:lastColumn="0" w:oddVBand="0" w:evenVBand="0" w:oddHBand="0" w:evenHBand="0" w:firstRowFirstColumn="0" w:firstRowLastColumn="0" w:lastRowFirstColumn="0" w:lastRowLastColumn="0"/>
            </w:pPr>
            <w:r w:rsidRPr="008D4C87">
              <w:t>Clearance</w:t>
            </w:r>
          </w:p>
        </w:tc>
      </w:tr>
      <w:tr w:rsidR="008D4C87" w:rsidRPr="00B459D7" w:rsidTr="008D4C87">
        <w:tc>
          <w:tcPr>
            <w:cnfStyle w:val="001000000000" w:firstRow="0" w:lastRow="0" w:firstColumn="1" w:lastColumn="0" w:oddVBand="0" w:evenVBand="0" w:oddHBand="0" w:evenHBand="0" w:firstRowFirstColumn="0" w:firstRowLastColumn="0" w:lastRowFirstColumn="0" w:lastRowLastColumn="0"/>
            <w:tcW w:w="1890" w:type="dxa"/>
          </w:tcPr>
          <w:p w:rsidR="008D4C87" w:rsidRPr="008D4C87" w:rsidRDefault="008D4C87" w:rsidP="006C7B48">
            <w:pPr>
              <w:ind w:left="0"/>
            </w:pPr>
            <w:r w:rsidRPr="008D4C87">
              <w:t>CLL</w:t>
            </w:r>
          </w:p>
        </w:tc>
        <w:tc>
          <w:tcPr>
            <w:tcW w:w="6911" w:type="dxa"/>
          </w:tcPr>
          <w:p w:rsidR="008D4C87" w:rsidRPr="008D4C87" w:rsidRDefault="008D4C87" w:rsidP="006C7B48">
            <w:pPr>
              <w:ind w:left="0"/>
              <w:cnfStyle w:val="000000000000" w:firstRow="0" w:lastRow="0" w:firstColumn="0" w:lastColumn="0" w:oddVBand="0" w:evenVBand="0" w:oddHBand="0" w:evenHBand="0" w:firstRowFirstColumn="0" w:firstRowLastColumn="0" w:lastRowFirstColumn="0" w:lastRowLastColumn="0"/>
            </w:pPr>
            <w:r w:rsidRPr="008D4C87">
              <w:t>Chronic Lymphocytic Leukaemia</w:t>
            </w:r>
          </w:p>
        </w:tc>
      </w:tr>
      <w:tr w:rsidR="008D4C87" w:rsidRPr="00B459D7" w:rsidTr="008D4C87">
        <w:tc>
          <w:tcPr>
            <w:cnfStyle w:val="001000000000" w:firstRow="0" w:lastRow="0" w:firstColumn="1" w:lastColumn="0" w:oddVBand="0" w:evenVBand="0" w:oddHBand="0" w:evenHBand="0" w:firstRowFirstColumn="0" w:firstRowLastColumn="0" w:lastRowFirstColumn="0" w:lastRowLastColumn="0"/>
            <w:tcW w:w="1890" w:type="dxa"/>
          </w:tcPr>
          <w:p w:rsidR="008D4C87" w:rsidRPr="008D4C87" w:rsidRDefault="008D4C87" w:rsidP="006C7B48">
            <w:pPr>
              <w:ind w:left="0"/>
            </w:pPr>
            <w:r w:rsidRPr="008D4C87">
              <w:t>C</w:t>
            </w:r>
            <w:r w:rsidRPr="008D4C87">
              <w:rPr>
                <w:vertAlign w:val="subscript"/>
              </w:rPr>
              <w:t>max</w:t>
            </w:r>
          </w:p>
        </w:tc>
        <w:tc>
          <w:tcPr>
            <w:tcW w:w="6911" w:type="dxa"/>
          </w:tcPr>
          <w:p w:rsidR="008D4C87" w:rsidRPr="008D4C87" w:rsidRDefault="008D4C87" w:rsidP="006C7B48">
            <w:pPr>
              <w:ind w:left="0"/>
              <w:cnfStyle w:val="000000000000" w:firstRow="0" w:lastRow="0" w:firstColumn="0" w:lastColumn="0" w:oddVBand="0" w:evenVBand="0" w:oddHBand="0" w:evenHBand="0" w:firstRowFirstColumn="0" w:firstRowLastColumn="0" w:lastRowFirstColumn="0" w:lastRowLastColumn="0"/>
            </w:pPr>
            <w:r w:rsidRPr="008D4C87">
              <w:t>Maximum concentration</w:t>
            </w:r>
          </w:p>
        </w:tc>
      </w:tr>
      <w:tr w:rsidR="008D4C87" w:rsidRPr="00B459D7" w:rsidTr="008D4C87">
        <w:tc>
          <w:tcPr>
            <w:cnfStyle w:val="001000000000" w:firstRow="0" w:lastRow="0" w:firstColumn="1" w:lastColumn="0" w:oddVBand="0" w:evenVBand="0" w:oddHBand="0" w:evenHBand="0" w:firstRowFirstColumn="0" w:firstRowLastColumn="0" w:lastRowFirstColumn="0" w:lastRowLastColumn="0"/>
            <w:tcW w:w="1890" w:type="dxa"/>
          </w:tcPr>
          <w:p w:rsidR="008D4C87" w:rsidRPr="008D4C87" w:rsidRDefault="008D4C87" w:rsidP="006C7B48">
            <w:pPr>
              <w:ind w:left="0"/>
            </w:pPr>
            <w:r w:rsidRPr="008D4C87">
              <w:t>CMI</w:t>
            </w:r>
          </w:p>
        </w:tc>
        <w:tc>
          <w:tcPr>
            <w:tcW w:w="6911" w:type="dxa"/>
          </w:tcPr>
          <w:p w:rsidR="008D4C87" w:rsidRPr="008D4C87" w:rsidRDefault="008D4C87" w:rsidP="006C7B48">
            <w:pPr>
              <w:ind w:left="0"/>
              <w:cnfStyle w:val="000000000000" w:firstRow="0" w:lastRow="0" w:firstColumn="0" w:lastColumn="0" w:oddVBand="0" w:evenVBand="0" w:oddHBand="0" w:evenHBand="0" w:firstRowFirstColumn="0" w:firstRowLastColumn="0" w:lastRowFirstColumn="0" w:lastRowLastColumn="0"/>
            </w:pPr>
            <w:r w:rsidRPr="008D4C87">
              <w:t>Consumer Medicines Information</w:t>
            </w:r>
          </w:p>
        </w:tc>
      </w:tr>
      <w:tr w:rsidR="008D4C87" w:rsidRPr="00B459D7" w:rsidTr="008D4C87">
        <w:tc>
          <w:tcPr>
            <w:cnfStyle w:val="001000000000" w:firstRow="0" w:lastRow="0" w:firstColumn="1" w:lastColumn="0" w:oddVBand="0" w:evenVBand="0" w:oddHBand="0" w:evenHBand="0" w:firstRowFirstColumn="0" w:firstRowLastColumn="0" w:lastRowFirstColumn="0" w:lastRowLastColumn="0"/>
            <w:tcW w:w="1890" w:type="dxa"/>
          </w:tcPr>
          <w:p w:rsidR="008D4C87" w:rsidRPr="008D4C87" w:rsidRDefault="008D4C87" w:rsidP="006C7B48">
            <w:pPr>
              <w:ind w:left="0"/>
            </w:pPr>
            <w:r w:rsidRPr="008D4C87">
              <w:t>CR</w:t>
            </w:r>
          </w:p>
        </w:tc>
        <w:tc>
          <w:tcPr>
            <w:tcW w:w="6911" w:type="dxa"/>
          </w:tcPr>
          <w:p w:rsidR="008D4C87" w:rsidRPr="008D4C87" w:rsidRDefault="008D4C87" w:rsidP="006C7B48">
            <w:pPr>
              <w:ind w:left="0"/>
              <w:cnfStyle w:val="000000000000" w:firstRow="0" w:lastRow="0" w:firstColumn="0" w:lastColumn="0" w:oddVBand="0" w:evenVBand="0" w:oddHBand="0" w:evenHBand="0" w:firstRowFirstColumn="0" w:firstRowLastColumn="0" w:lastRowFirstColumn="0" w:lastRowLastColumn="0"/>
            </w:pPr>
            <w:r w:rsidRPr="008D4C87">
              <w:t>Complete Response</w:t>
            </w:r>
          </w:p>
        </w:tc>
      </w:tr>
      <w:tr w:rsidR="008D4C87" w:rsidRPr="00B459D7" w:rsidTr="008D4C87">
        <w:tc>
          <w:tcPr>
            <w:cnfStyle w:val="001000000000" w:firstRow="0" w:lastRow="0" w:firstColumn="1" w:lastColumn="0" w:oddVBand="0" w:evenVBand="0" w:oddHBand="0" w:evenHBand="0" w:firstRowFirstColumn="0" w:firstRowLastColumn="0" w:lastRowFirstColumn="0" w:lastRowLastColumn="0"/>
            <w:tcW w:w="1890" w:type="dxa"/>
          </w:tcPr>
          <w:p w:rsidR="008D4C87" w:rsidRPr="008D4C87" w:rsidRDefault="008D4C87" w:rsidP="006C7B48">
            <w:pPr>
              <w:ind w:left="0"/>
            </w:pPr>
            <w:r w:rsidRPr="008D4C87">
              <w:t>CRR</w:t>
            </w:r>
          </w:p>
        </w:tc>
        <w:tc>
          <w:tcPr>
            <w:tcW w:w="6911" w:type="dxa"/>
          </w:tcPr>
          <w:p w:rsidR="008D4C87" w:rsidRPr="008D4C87" w:rsidRDefault="008D4C87" w:rsidP="006C7B48">
            <w:pPr>
              <w:ind w:left="0"/>
              <w:cnfStyle w:val="000000000000" w:firstRow="0" w:lastRow="0" w:firstColumn="0" w:lastColumn="0" w:oddVBand="0" w:evenVBand="0" w:oddHBand="0" w:evenHBand="0" w:firstRowFirstColumn="0" w:firstRowLastColumn="0" w:lastRowFirstColumn="0" w:lastRowLastColumn="0"/>
            </w:pPr>
            <w:r w:rsidRPr="008D4C87">
              <w:t>Complete Response Rate</w:t>
            </w:r>
          </w:p>
        </w:tc>
      </w:tr>
      <w:tr w:rsidR="008D4C87" w:rsidRPr="00B459D7" w:rsidTr="008D4C87">
        <w:tc>
          <w:tcPr>
            <w:cnfStyle w:val="001000000000" w:firstRow="0" w:lastRow="0" w:firstColumn="1" w:lastColumn="0" w:oddVBand="0" w:evenVBand="0" w:oddHBand="0" w:evenHBand="0" w:firstRowFirstColumn="0" w:firstRowLastColumn="0" w:lastRowFirstColumn="0" w:lastRowLastColumn="0"/>
            <w:tcW w:w="1890" w:type="dxa"/>
          </w:tcPr>
          <w:p w:rsidR="008D4C87" w:rsidRPr="008D4C87" w:rsidRDefault="008D4C87" w:rsidP="006C7B48">
            <w:pPr>
              <w:ind w:left="0"/>
              <w:rPr>
                <w:lang w:val="en-US"/>
              </w:rPr>
            </w:pPr>
            <w:r w:rsidRPr="008D4C87">
              <w:t>CT</w:t>
            </w:r>
            <w:r w:rsidRPr="008D4C87">
              <w:rPr>
                <w:lang w:val="en-US"/>
              </w:rPr>
              <w:t xml:space="preserve"> </w:t>
            </w:r>
          </w:p>
        </w:tc>
        <w:tc>
          <w:tcPr>
            <w:tcW w:w="6911" w:type="dxa"/>
          </w:tcPr>
          <w:p w:rsidR="008D4C87" w:rsidRPr="008D4C87" w:rsidRDefault="008D4C87" w:rsidP="006C7B48">
            <w:pPr>
              <w:ind w:left="0"/>
              <w:cnfStyle w:val="000000000000" w:firstRow="0" w:lastRow="0" w:firstColumn="0" w:lastColumn="0" w:oddVBand="0" w:evenVBand="0" w:oddHBand="0" w:evenHBand="0" w:firstRowFirstColumn="0" w:firstRowLastColumn="0" w:lastRowFirstColumn="0" w:lastRowLastColumn="0"/>
            </w:pPr>
            <w:r w:rsidRPr="008D4C87">
              <w:rPr>
                <w:lang w:val="en-US"/>
              </w:rPr>
              <w:t>X-Ray Computed Tomography</w:t>
            </w:r>
          </w:p>
        </w:tc>
      </w:tr>
      <w:tr w:rsidR="00A4228F" w:rsidRPr="00B459D7" w:rsidTr="008D4C87">
        <w:tc>
          <w:tcPr>
            <w:cnfStyle w:val="001000000000" w:firstRow="0" w:lastRow="0" w:firstColumn="1" w:lastColumn="0" w:oddVBand="0" w:evenVBand="0" w:oddHBand="0" w:evenHBand="0" w:firstRowFirstColumn="0" w:firstRowLastColumn="0" w:lastRowFirstColumn="0" w:lastRowLastColumn="0"/>
            <w:tcW w:w="1890" w:type="dxa"/>
          </w:tcPr>
          <w:p w:rsidR="00A4228F" w:rsidRPr="008D4C87" w:rsidRDefault="00A4228F" w:rsidP="006C7B48">
            <w:pPr>
              <w:ind w:left="0"/>
            </w:pPr>
            <w:r>
              <w:t>CVP</w:t>
            </w:r>
          </w:p>
        </w:tc>
        <w:tc>
          <w:tcPr>
            <w:tcW w:w="6911" w:type="dxa"/>
          </w:tcPr>
          <w:p w:rsidR="00A4228F" w:rsidRPr="008D4C87" w:rsidRDefault="00A4228F" w:rsidP="006C7B48">
            <w:pPr>
              <w:ind w:left="0"/>
              <w:cnfStyle w:val="000000000000" w:firstRow="0" w:lastRow="0" w:firstColumn="0" w:lastColumn="0" w:oddVBand="0" w:evenVBand="0" w:oddHBand="0" w:evenHBand="0" w:firstRowFirstColumn="0" w:firstRowLastColumn="0" w:lastRowFirstColumn="0" w:lastRowLastColumn="0"/>
            </w:pPr>
            <w:r>
              <w:t>C</w:t>
            </w:r>
            <w:r w:rsidRPr="00A4228F">
              <w:t>yclophosphamide, vincristine and prednisone</w:t>
            </w:r>
          </w:p>
        </w:tc>
      </w:tr>
      <w:tr w:rsidR="008D4C87" w:rsidRPr="00B459D7" w:rsidTr="008D4C87">
        <w:tc>
          <w:tcPr>
            <w:cnfStyle w:val="001000000000" w:firstRow="0" w:lastRow="0" w:firstColumn="1" w:lastColumn="0" w:oddVBand="0" w:evenVBand="0" w:oddHBand="0" w:evenHBand="0" w:firstRowFirstColumn="0" w:firstRowLastColumn="0" w:lastRowFirstColumn="0" w:lastRowLastColumn="0"/>
            <w:tcW w:w="1890" w:type="dxa"/>
          </w:tcPr>
          <w:p w:rsidR="008D4C87" w:rsidRPr="008D4C87" w:rsidRDefault="008D4C87" w:rsidP="006C7B48">
            <w:pPr>
              <w:ind w:left="0"/>
            </w:pPr>
            <w:r w:rsidRPr="008D4C87">
              <w:t>C</w:t>
            </w:r>
            <w:r w:rsidRPr="008D4C87">
              <w:rPr>
                <w:vertAlign w:val="subscript"/>
              </w:rPr>
              <w:t>trough</w:t>
            </w:r>
          </w:p>
        </w:tc>
        <w:tc>
          <w:tcPr>
            <w:tcW w:w="6911" w:type="dxa"/>
          </w:tcPr>
          <w:p w:rsidR="008D4C87" w:rsidRPr="008D4C87" w:rsidRDefault="008D4C87" w:rsidP="006C7B48">
            <w:pPr>
              <w:ind w:left="0"/>
              <w:cnfStyle w:val="000000000000" w:firstRow="0" w:lastRow="0" w:firstColumn="0" w:lastColumn="0" w:oddVBand="0" w:evenVBand="0" w:oddHBand="0" w:evenHBand="0" w:firstRowFirstColumn="0" w:firstRowLastColumn="0" w:lastRowFirstColumn="0" w:lastRowLastColumn="0"/>
            </w:pPr>
            <w:r w:rsidRPr="008D4C87">
              <w:t>Trough concentration</w:t>
            </w:r>
          </w:p>
        </w:tc>
      </w:tr>
      <w:tr w:rsidR="008D4C87" w:rsidRPr="00B459D7" w:rsidTr="008D4C87">
        <w:tc>
          <w:tcPr>
            <w:cnfStyle w:val="001000000000" w:firstRow="0" w:lastRow="0" w:firstColumn="1" w:lastColumn="0" w:oddVBand="0" w:evenVBand="0" w:oddHBand="0" w:evenHBand="0" w:firstRowFirstColumn="0" w:firstRowLastColumn="0" w:lastRowFirstColumn="0" w:lastRowLastColumn="0"/>
            <w:tcW w:w="1890" w:type="dxa"/>
          </w:tcPr>
          <w:p w:rsidR="008D4C87" w:rsidRPr="008D4C87" w:rsidRDefault="008D4C87" w:rsidP="006C7B48">
            <w:pPr>
              <w:ind w:left="0"/>
            </w:pPr>
            <w:r w:rsidRPr="008D4C87">
              <w:t>ECG</w:t>
            </w:r>
          </w:p>
        </w:tc>
        <w:tc>
          <w:tcPr>
            <w:tcW w:w="6911" w:type="dxa"/>
          </w:tcPr>
          <w:p w:rsidR="008D4C87" w:rsidRPr="008D4C87" w:rsidRDefault="008D4C87" w:rsidP="006C7B48">
            <w:pPr>
              <w:ind w:left="0"/>
              <w:cnfStyle w:val="000000000000" w:firstRow="0" w:lastRow="0" w:firstColumn="0" w:lastColumn="0" w:oddVBand="0" w:evenVBand="0" w:oddHBand="0" w:evenHBand="0" w:firstRowFirstColumn="0" w:firstRowLastColumn="0" w:lastRowFirstColumn="0" w:lastRowLastColumn="0"/>
            </w:pPr>
            <w:r w:rsidRPr="008D4C87">
              <w:t>Electrocardiograph</w:t>
            </w:r>
          </w:p>
        </w:tc>
      </w:tr>
      <w:tr w:rsidR="008D4C87" w:rsidRPr="00B459D7" w:rsidTr="008D4C87">
        <w:tc>
          <w:tcPr>
            <w:cnfStyle w:val="001000000000" w:firstRow="0" w:lastRow="0" w:firstColumn="1" w:lastColumn="0" w:oddVBand="0" w:evenVBand="0" w:oddHBand="0" w:evenHBand="0" w:firstRowFirstColumn="0" w:firstRowLastColumn="0" w:lastRowFirstColumn="0" w:lastRowLastColumn="0"/>
            <w:tcW w:w="1890" w:type="dxa"/>
          </w:tcPr>
          <w:p w:rsidR="008D4C87" w:rsidRPr="008D4C87" w:rsidRDefault="008D4C87" w:rsidP="006C7B48">
            <w:pPr>
              <w:ind w:left="0"/>
            </w:pPr>
            <w:r w:rsidRPr="008D4C87">
              <w:t>ECOG</w:t>
            </w:r>
          </w:p>
        </w:tc>
        <w:tc>
          <w:tcPr>
            <w:tcW w:w="6911" w:type="dxa"/>
          </w:tcPr>
          <w:p w:rsidR="008D4C87" w:rsidRPr="008D4C87" w:rsidRDefault="008D4C87" w:rsidP="006C7B48">
            <w:pPr>
              <w:ind w:left="0"/>
              <w:cnfStyle w:val="000000000000" w:firstRow="0" w:lastRow="0" w:firstColumn="0" w:lastColumn="0" w:oddVBand="0" w:evenVBand="0" w:oddHBand="0" w:evenHBand="0" w:firstRowFirstColumn="0" w:firstRowLastColumn="0" w:lastRowFirstColumn="0" w:lastRowLastColumn="0"/>
            </w:pPr>
            <w:r w:rsidRPr="008D4C87">
              <w:t>Eastern Cooperative Oncology Group</w:t>
            </w:r>
          </w:p>
        </w:tc>
      </w:tr>
      <w:tr w:rsidR="008D4C87" w:rsidRPr="00B459D7" w:rsidTr="008D4C87">
        <w:tc>
          <w:tcPr>
            <w:cnfStyle w:val="001000000000" w:firstRow="0" w:lastRow="0" w:firstColumn="1" w:lastColumn="0" w:oddVBand="0" w:evenVBand="0" w:oddHBand="0" w:evenHBand="0" w:firstRowFirstColumn="0" w:firstRowLastColumn="0" w:lastRowFirstColumn="0" w:lastRowLastColumn="0"/>
            <w:tcW w:w="1890" w:type="dxa"/>
          </w:tcPr>
          <w:p w:rsidR="008D4C87" w:rsidRPr="008D4C87" w:rsidRDefault="008D4C87" w:rsidP="006C7B48">
            <w:pPr>
              <w:ind w:left="0"/>
            </w:pPr>
            <w:r w:rsidRPr="008D4C87">
              <w:t>EMA</w:t>
            </w:r>
          </w:p>
        </w:tc>
        <w:tc>
          <w:tcPr>
            <w:tcW w:w="6911" w:type="dxa"/>
          </w:tcPr>
          <w:p w:rsidR="008D4C87" w:rsidRPr="008D4C87" w:rsidRDefault="008D4C87" w:rsidP="006C7B48">
            <w:pPr>
              <w:ind w:left="0"/>
              <w:cnfStyle w:val="000000000000" w:firstRow="0" w:lastRow="0" w:firstColumn="0" w:lastColumn="0" w:oddVBand="0" w:evenVBand="0" w:oddHBand="0" w:evenHBand="0" w:firstRowFirstColumn="0" w:firstRowLastColumn="0" w:lastRowFirstColumn="0" w:lastRowLastColumn="0"/>
            </w:pPr>
            <w:r w:rsidRPr="008D4C87">
              <w:t>European Medicines Agency</w:t>
            </w:r>
          </w:p>
        </w:tc>
      </w:tr>
      <w:tr w:rsidR="008D4C87" w:rsidRPr="00B459D7" w:rsidTr="008D4C87">
        <w:tc>
          <w:tcPr>
            <w:cnfStyle w:val="001000000000" w:firstRow="0" w:lastRow="0" w:firstColumn="1" w:lastColumn="0" w:oddVBand="0" w:evenVBand="0" w:oddHBand="0" w:evenHBand="0" w:firstRowFirstColumn="0" w:firstRowLastColumn="0" w:lastRowFirstColumn="0" w:lastRowLastColumn="0"/>
            <w:tcW w:w="1890" w:type="dxa"/>
          </w:tcPr>
          <w:p w:rsidR="008D4C87" w:rsidRPr="008D4C87" w:rsidRDefault="008D4C87" w:rsidP="006C7B48">
            <w:pPr>
              <w:ind w:left="0"/>
            </w:pPr>
            <w:r w:rsidRPr="008D4C87">
              <w:t>ITT</w:t>
            </w:r>
          </w:p>
        </w:tc>
        <w:tc>
          <w:tcPr>
            <w:tcW w:w="6911" w:type="dxa"/>
          </w:tcPr>
          <w:p w:rsidR="008D4C87" w:rsidRPr="008D4C87" w:rsidRDefault="008D4C87" w:rsidP="006C7B48">
            <w:pPr>
              <w:ind w:left="0"/>
              <w:cnfStyle w:val="000000000000" w:firstRow="0" w:lastRow="0" w:firstColumn="0" w:lastColumn="0" w:oddVBand="0" w:evenVBand="0" w:oddHBand="0" w:evenHBand="0" w:firstRowFirstColumn="0" w:firstRowLastColumn="0" w:lastRowFirstColumn="0" w:lastRowLastColumn="0"/>
            </w:pPr>
            <w:r w:rsidRPr="008D4C87">
              <w:t>Intention to Treat</w:t>
            </w:r>
          </w:p>
        </w:tc>
      </w:tr>
      <w:tr w:rsidR="008D4C87" w:rsidRPr="00B459D7" w:rsidTr="008D4C87">
        <w:tc>
          <w:tcPr>
            <w:cnfStyle w:val="001000000000" w:firstRow="0" w:lastRow="0" w:firstColumn="1" w:lastColumn="0" w:oddVBand="0" w:evenVBand="0" w:oddHBand="0" w:evenHBand="0" w:firstRowFirstColumn="0" w:firstRowLastColumn="0" w:lastRowFirstColumn="0" w:lastRowLastColumn="0"/>
            <w:tcW w:w="1890" w:type="dxa"/>
          </w:tcPr>
          <w:p w:rsidR="008D4C87" w:rsidRPr="008D4C87" w:rsidRDefault="008D4C87" w:rsidP="006C7B48">
            <w:pPr>
              <w:ind w:left="0"/>
            </w:pPr>
            <w:r w:rsidRPr="008D4C87">
              <w:t>IV</w:t>
            </w:r>
          </w:p>
        </w:tc>
        <w:tc>
          <w:tcPr>
            <w:tcW w:w="6911" w:type="dxa"/>
          </w:tcPr>
          <w:p w:rsidR="008D4C87" w:rsidRPr="008D4C87" w:rsidRDefault="008D4C87" w:rsidP="006C7B48">
            <w:pPr>
              <w:ind w:left="0"/>
              <w:cnfStyle w:val="000000000000" w:firstRow="0" w:lastRow="0" w:firstColumn="0" w:lastColumn="0" w:oddVBand="0" w:evenVBand="0" w:oddHBand="0" w:evenHBand="0" w:firstRowFirstColumn="0" w:firstRowLastColumn="0" w:lastRowFirstColumn="0" w:lastRowLastColumn="0"/>
            </w:pPr>
            <w:r w:rsidRPr="008D4C87">
              <w:t>Intravenous</w:t>
            </w:r>
          </w:p>
        </w:tc>
      </w:tr>
      <w:tr w:rsidR="008D4C87" w:rsidRPr="00B459D7" w:rsidTr="008D4C87">
        <w:tc>
          <w:tcPr>
            <w:cnfStyle w:val="001000000000" w:firstRow="0" w:lastRow="0" w:firstColumn="1" w:lastColumn="0" w:oddVBand="0" w:evenVBand="0" w:oddHBand="0" w:evenHBand="0" w:firstRowFirstColumn="0" w:firstRowLastColumn="0" w:lastRowFirstColumn="0" w:lastRowLastColumn="0"/>
            <w:tcW w:w="1890" w:type="dxa"/>
          </w:tcPr>
          <w:p w:rsidR="008D4C87" w:rsidRPr="008D4C87" w:rsidRDefault="008D4C87" w:rsidP="006C7B48">
            <w:pPr>
              <w:ind w:left="0"/>
            </w:pPr>
            <w:r w:rsidRPr="008D4C87">
              <w:t>MRI</w:t>
            </w:r>
          </w:p>
        </w:tc>
        <w:tc>
          <w:tcPr>
            <w:tcW w:w="6911" w:type="dxa"/>
          </w:tcPr>
          <w:p w:rsidR="008D4C87" w:rsidRPr="008D4C87" w:rsidRDefault="008D4C87" w:rsidP="006C7B48">
            <w:pPr>
              <w:ind w:left="0"/>
              <w:cnfStyle w:val="000000000000" w:firstRow="0" w:lastRow="0" w:firstColumn="0" w:lastColumn="0" w:oddVBand="0" w:evenVBand="0" w:oddHBand="0" w:evenHBand="0" w:firstRowFirstColumn="0" w:firstRowLastColumn="0" w:lastRowFirstColumn="0" w:lastRowLastColumn="0"/>
            </w:pPr>
            <w:r w:rsidRPr="008D4C87">
              <w:t>Magnetic resonance imaging</w:t>
            </w:r>
          </w:p>
        </w:tc>
      </w:tr>
      <w:tr w:rsidR="008D4C87" w:rsidRPr="00B459D7" w:rsidTr="008D4C87">
        <w:tc>
          <w:tcPr>
            <w:cnfStyle w:val="001000000000" w:firstRow="0" w:lastRow="0" w:firstColumn="1" w:lastColumn="0" w:oddVBand="0" w:evenVBand="0" w:oddHBand="0" w:evenHBand="0" w:firstRowFirstColumn="0" w:firstRowLastColumn="0" w:lastRowFirstColumn="0" w:lastRowLastColumn="0"/>
            <w:tcW w:w="1890" w:type="dxa"/>
          </w:tcPr>
          <w:p w:rsidR="008D4C87" w:rsidRPr="008D4C87" w:rsidRDefault="008D4C87" w:rsidP="006C7B48">
            <w:pPr>
              <w:ind w:left="0"/>
            </w:pPr>
            <w:r w:rsidRPr="008D4C87">
              <w:t>NHL</w:t>
            </w:r>
          </w:p>
        </w:tc>
        <w:tc>
          <w:tcPr>
            <w:tcW w:w="6911" w:type="dxa"/>
          </w:tcPr>
          <w:p w:rsidR="008D4C87" w:rsidRPr="008D4C87" w:rsidRDefault="008D4C87" w:rsidP="006C7B48">
            <w:pPr>
              <w:ind w:left="0"/>
              <w:cnfStyle w:val="000000000000" w:firstRow="0" w:lastRow="0" w:firstColumn="0" w:lastColumn="0" w:oddVBand="0" w:evenVBand="0" w:oddHBand="0" w:evenHBand="0" w:firstRowFirstColumn="0" w:firstRowLastColumn="0" w:lastRowFirstColumn="0" w:lastRowLastColumn="0"/>
            </w:pPr>
            <w:r w:rsidRPr="008D4C87">
              <w:t>Non-Hodgkin’s Lymphoma</w:t>
            </w:r>
          </w:p>
        </w:tc>
      </w:tr>
      <w:tr w:rsidR="008D4C87" w:rsidRPr="00B459D7" w:rsidTr="008D4C87">
        <w:tc>
          <w:tcPr>
            <w:cnfStyle w:val="001000000000" w:firstRow="0" w:lastRow="0" w:firstColumn="1" w:lastColumn="0" w:oddVBand="0" w:evenVBand="0" w:oddHBand="0" w:evenHBand="0" w:firstRowFirstColumn="0" w:firstRowLastColumn="0" w:lastRowFirstColumn="0" w:lastRowLastColumn="0"/>
            <w:tcW w:w="1890" w:type="dxa"/>
          </w:tcPr>
          <w:p w:rsidR="008D4C87" w:rsidRPr="008D4C87" w:rsidRDefault="008D4C87" w:rsidP="006C7B48">
            <w:pPr>
              <w:ind w:left="0"/>
            </w:pPr>
            <w:r w:rsidRPr="008D4C87">
              <w:lastRenderedPageBreak/>
              <w:t>ORR</w:t>
            </w:r>
          </w:p>
        </w:tc>
        <w:tc>
          <w:tcPr>
            <w:tcW w:w="6911" w:type="dxa"/>
          </w:tcPr>
          <w:p w:rsidR="008D4C87" w:rsidRPr="008D4C87" w:rsidRDefault="008D4C87" w:rsidP="006C7B48">
            <w:pPr>
              <w:ind w:left="0"/>
              <w:cnfStyle w:val="000000000000" w:firstRow="0" w:lastRow="0" w:firstColumn="0" w:lastColumn="0" w:oddVBand="0" w:evenVBand="0" w:oddHBand="0" w:evenHBand="0" w:firstRowFirstColumn="0" w:firstRowLastColumn="0" w:lastRowFirstColumn="0" w:lastRowLastColumn="0"/>
            </w:pPr>
            <w:r w:rsidRPr="008D4C87">
              <w:t>Overall Response Rate</w:t>
            </w:r>
          </w:p>
        </w:tc>
      </w:tr>
      <w:tr w:rsidR="008D4C87" w:rsidRPr="00B459D7" w:rsidTr="008D4C87">
        <w:tc>
          <w:tcPr>
            <w:cnfStyle w:val="001000000000" w:firstRow="0" w:lastRow="0" w:firstColumn="1" w:lastColumn="0" w:oddVBand="0" w:evenVBand="0" w:oddHBand="0" w:evenHBand="0" w:firstRowFirstColumn="0" w:firstRowLastColumn="0" w:lastRowFirstColumn="0" w:lastRowLastColumn="0"/>
            <w:tcW w:w="1890" w:type="dxa"/>
          </w:tcPr>
          <w:p w:rsidR="008D4C87" w:rsidRPr="008D4C87" w:rsidRDefault="008D4C87" w:rsidP="006C7B48">
            <w:pPr>
              <w:ind w:left="0"/>
            </w:pPr>
            <w:r w:rsidRPr="008D4C87">
              <w:t>PK</w:t>
            </w:r>
          </w:p>
        </w:tc>
        <w:tc>
          <w:tcPr>
            <w:tcW w:w="6911" w:type="dxa"/>
          </w:tcPr>
          <w:p w:rsidR="008D4C87" w:rsidRPr="008D4C87" w:rsidRDefault="008D4C87" w:rsidP="006C7B48">
            <w:pPr>
              <w:ind w:left="0"/>
              <w:cnfStyle w:val="000000000000" w:firstRow="0" w:lastRow="0" w:firstColumn="0" w:lastColumn="0" w:oddVBand="0" w:evenVBand="0" w:oddHBand="0" w:evenHBand="0" w:firstRowFirstColumn="0" w:firstRowLastColumn="0" w:lastRowFirstColumn="0" w:lastRowLastColumn="0"/>
            </w:pPr>
            <w:r w:rsidRPr="008D4C87">
              <w:t>Pharmacokinetics</w:t>
            </w:r>
          </w:p>
        </w:tc>
      </w:tr>
      <w:tr w:rsidR="008D4C87" w:rsidRPr="00B459D7" w:rsidTr="008D4C87">
        <w:tc>
          <w:tcPr>
            <w:cnfStyle w:val="001000000000" w:firstRow="0" w:lastRow="0" w:firstColumn="1" w:lastColumn="0" w:oddVBand="0" w:evenVBand="0" w:oddHBand="0" w:evenHBand="0" w:firstRowFirstColumn="0" w:firstRowLastColumn="0" w:lastRowFirstColumn="0" w:lastRowLastColumn="0"/>
            <w:tcW w:w="1890" w:type="dxa"/>
          </w:tcPr>
          <w:p w:rsidR="008D4C87" w:rsidRPr="008D4C87" w:rsidRDefault="008D4C87" w:rsidP="006C7B48">
            <w:pPr>
              <w:ind w:left="0"/>
            </w:pPr>
            <w:r w:rsidRPr="008D4C87">
              <w:t>PP</w:t>
            </w:r>
          </w:p>
        </w:tc>
        <w:tc>
          <w:tcPr>
            <w:tcW w:w="6911" w:type="dxa"/>
          </w:tcPr>
          <w:p w:rsidR="008D4C87" w:rsidRPr="008D4C87" w:rsidRDefault="008D4C87" w:rsidP="006C7B48">
            <w:pPr>
              <w:ind w:left="0"/>
              <w:cnfStyle w:val="000000000000" w:firstRow="0" w:lastRow="0" w:firstColumn="0" w:lastColumn="0" w:oddVBand="0" w:evenVBand="0" w:oddHBand="0" w:evenHBand="0" w:firstRowFirstColumn="0" w:firstRowLastColumn="0" w:lastRowFirstColumn="0" w:lastRowLastColumn="0"/>
            </w:pPr>
            <w:r w:rsidRPr="008D4C87">
              <w:t>Per Protocol</w:t>
            </w:r>
          </w:p>
        </w:tc>
      </w:tr>
      <w:tr w:rsidR="008D4C87" w:rsidRPr="00B459D7" w:rsidTr="008D4C87">
        <w:tc>
          <w:tcPr>
            <w:cnfStyle w:val="001000000000" w:firstRow="0" w:lastRow="0" w:firstColumn="1" w:lastColumn="0" w:oddVBand="0" w:evenVBand="0" w:oddHBand="0" w:evenHBand="0" w:firstRowFirstColumn="0" w:firstRowLastColumn="0" w:lastRowFirstColumn="0" w:lastRowLastColumn="0"/>
            <w:tcW w:w="1890" w:type="dxa"/>
          </w:tcPr>
          <w:p w:rsidR="008D4C87" w:rsidRPr="008D4C87" w:rsidRDefault="008D4C87" w:rsidP="006C7B48">
            <w:pPr>
              <w:ind w:left="0"/>
            </w:pPr>
            <w:r w:rsidRPr="008D4C87">
              <w:t>PR</w:t>
            </w:r>
          </w:p>
        </w:tc>
        <w:tc>
          <w:tcPr>
            <w:tcW w:w="6911" w:type="dxa"/>
          </w:tcPr>
          <w:p w:rsidR="008D4C87" w:rsidRPr="008D4C87" w:rsidRDefault="008D4C87" w:rsidP="006C7B48">
            <w:pPr>
              <w:ind w:left="0"/>
              <w:cnfStyle w:val="000000000000" w:firstRow="0" w:lastRow="0" w:firstColumn="0" w:lastColumn="0" w:oddVBand="0" w:evenVBand="0" w:oddHBand="0" w:evenHBand="0" w:firstRowFirstColumn="0" w:firstRowLastColumn="0" w:lastRowFirstColumn="0" w:lastRowLastColumn="0"/>
            </w:pPr>
            <w:r w:rsidRPr="008D4C87">
              <w:t>Partial Response</w:t>
            </w:r>
          </w:p>
        </w:tc>
      </w:tr>
      <w:tr w:rsidR="008D4C87" w:rsidRPr="00B459D7" w:rsidTr="008D4C87">
        <w:tc>
          <w:tcPr>
            <w:cnfStyle w:val="001000000000" w:firstRow="0" w:lastRow="0" w:firstColumn="1" w:lastColumn="0" w:oddVBand="0" w:evenVBand="0" w:oddHBand="0" w:evenHBand="0" w:firstRowFirstColumn="0" w:firstRowLastColumn="0" w:lastRowFirstColumn="0" w:lastRowLastColumn="0"/>
            <w:tcW w:w="1890" w:type="dxa"/>
          </w:tcPr>
          <w:p w:rsidR="008D4C87" w:rsidRPr="008D4C87" w:rsidRDefault="008D4C87" w:rsidP="006C7B48">
            <w:pPr>
              <w:ind w:left="0"/>
            </w:pPr>
            <w:r w:rsidRPr="008D4C87">
              <w:t xml:space="preserve">rHuPH20 </w:t>
            </w:r>
          </w:p>
        </w:tc>
        <w:tc>
          <w:tcPr>
            <w:tcW w:w="6911" w:type="dxa"/>
          </w:tcPr>
          <w:p w:rsidR="008D4C87" w:rsidRPr="008D4C87" w:rsidRDefault="008D4C87" w:rsidP="006C7B48">
            <w:pPr>
              <w:ind w:left="0"/>
              <w:cnfStyle w:val="000000000000" w:firstRow="0" w:lastRow="0" w:firstColumn="0" w:lastColumn="0" w:oddVBand="0" w:evenVBand="0" w:oddHBand="0" w:evenHBand="0" w:firstRowFirstColumn="0" w:firstRowLastColumn="0" w:lastRowFirstColumn="0" w:lastRowLastColumn="0"/>
            </w:pPr>
            <w:r w:rsidRPr="008D4C87">
              <w:t>recombinant human hyaluronidase</w:t>
            </w:r>
          </w:p>
        </w:tc>
      </w:tr>
      <w:tr w:rsidR="008D4C87" w:rsidRPr="00B459D7" w:rsidTr="008D4C87">
        <w:tc>
          <w:tcPr>
            <w:cnfStyle w:val="001000000000" w:firstRow="0" w:lastRow="0" w:firstColumn="1" w:lastColumn="0" w:oddVBand="0" w:evenVBand="0" w:oddHBand="0" w:evenHBand="0" w:firstRowFirstColumn="0" w:firstRowLastColumn="0" w:lastRowFirstColumn="0" w:lastRowLastColumn="0"/>
            <w:tcW w:w="1890" w:type="dxa"/>
          </w:tcPr>
          <w:p w:rsidR="008D4C87" w:rsidRPr="008D4C87" w:rsidRDefault="008D4C87" w:rsidP="006C7B48">
            <w:pPr>
              <w:ind w:left="0"/>
            </w:pPr>
            <w:r w:rsidRPr="008D4C87">
              <w:t>SAE</w:t>
            </w:r>
          </w:p>
        </w:tc>
        <w:tc>
          <w:tcPr>
            <w:tcW w:w="6911" w:type="dxa"/>
          </w:tcPr>
          <w:p w:rsidR="008D4C87" w:rsidRPr="008D4C87" w:rsidRDefault="008D4C87" w:rsidP="006C7B48">
            <w:pPr>
              <w:ind w:left="0"/>
              <w:cnfStyle w:val="000000000000" w:firstRow="0" w:lastRow="0" w:firstColumn="0" w:lastColumn="0" w:oddVBand="0" w:evenVBand="0" w:oddHBand="0" w:evenHBand="0" w:firstRowFirstColumn="0" w:firstRowLastColumn="0" w:lastRowFirstColumn="0" w:lastRowLastColumn="0"/>
            </w:pPr>
            <w:r w:rsidRPr="008D4C87">
              <w:t>Serious Adverse Event</w:t>
            </w:r>
          </w:p>
        </w:tc>
      </w:tr>
      <w:tr w:rsidR="008D4C87" w:rsidRPr="00B459D7" w:rsidTr="008D4C87">
        <w:tc>
          <w:tcPr>
            <w:cnfStyle w:val="001000000000" w:firstRow="0" w:lastRow="0" w:firstColumn="1" w:lastColumn="0" w:oddVBand="0" w:evenVBand="0" w:oddHBand="0" w:evenHBand="0" w:firstRowFirstColumn="0" w:firstRowLastColumn="0" w:lastRowFirstColumn="0" w:lastRowLastColumn="0"/>
            <w:tcW w:w="1890" w:type="dxa"/>
          </w:tcPr>
          <w:p w:rsidR="008D4C87" w:rsidRPr="008D4C87" w:rsidRDefault="008D4C87" w:rsidP="006C7B48">
            <w:pPr>
              <w:ind w:left="0"/>
            </w:pPr>
            <w:r w:rsidRPr="008D4C87">
              <w:t>SC</w:t>
            </w:r>
          </w:p>
        </w:tc>
        <w:tc>
          <w:tcPr>
            <w:tcW w:w="6911" w:type="dxa"/>
          </w:tcPr>
          <w:p w:rsidR="008D4C87" w:rsidRPr="008D4C87" w:rsidRDefault="008D4C87" w:rsidP="006C7B48">
            <w:pPr>
              <w:ind w:left="0"/>
              <w:cnfStyle w:val="000000000000" w:firstRow="0" w:lastRow="0" w:firstColumn="0" w:lastColumn="0" w:oddVBand="0" w:evenVBand="0" w:oddHBand="0" w:evenHBand="0" w:firstRowFirstColumn="0" w:firstRowLastColumn="0" w:lastRowFirstColumn="0" w:lastRowLastColumn="0"/>
            </w:pPr>
            <w:r w:rsidRPr="008D4C87">
              <w:t>Subcutaneous</w:t>
            </w:r>
          </w:p>
        </w:tc>
      </w:tr>
      <w:tr w:rsidR="008D4C87" w:rsidRPr="00B459D7" w:rsidTr="008D4C87">
        <w:tc>
          <w:tcPr>
            <w:cnfStyle w:val="001000000000" w:firstRow="0" w:lastRow="0" w:firstColumn="1" w:lastColumn="0" w:oddVBand="0" w:evenVBand="0" w:oddHBand="0" w:evenHBand="0" w:firstRowFirstColumn="0" w:firstRowLastColumn="0" w:lastRowFirstColumn="0" w:lastRowLastColumn="0"/>
            <w:tcW w:w="1890" w:type="dxa"/>
          </w:tcPr>
          <w:p w:rsidR="008D4C87" w:rsidRPr="008D4C87" w:rsidRDefault="008D4C87" w:rsidP="006C7B48">
            <w:pPr>
              <w:ind w:left="0"/>
            </w:pPr>
            <w:r w:rsidRPr="008D4C87">
              <w:t>TGA</w:t>
            </w:r>
          </w:p>
        </w:tc>
        <w:tc>
          <w:tcPr>
            <w:tcW w:w="6911" w:type="dxa"/>
          </w:tcPr>
          <w:p w:rsidR="008D4C87" w:rsidRPr="008D4C87" w:rsidRDefault="008D4C87" w:rsidP="006C7B48">
            <w:pPr>
              <w:ind w:left="0"/>
              <w:cnfStyle w:val="000000000000" w:firstRow="0" w:lastRow="0" w:firstColumn="0" w:lastColumn="0" w:oddVBand="0" w:evenVBand="0" w:oddHBand="0" w:evenHBand="0" w:firstRowFirstColumn="0" w:firstRowLastColumn="0" w:lastRowFirstColumn="0" w:lastRowLastColumn="0"/>
            </w:pPr>
            <w:r w:rsidRPr="008D4C87">
              <w:t>Therapeutic Goods Administration</w:t>
            </w:r>
          </w:p>
        </w:tc>
      </w:tr>
      <w:tr w:rsidR="008D4C87" w:rsidRPr="00B459D7" w:rsidTr="008D4C87">
        <w:tc>
          <w:tcPr>
            <w:cnfStyle w:val="001000000000" w:firstRow="0" w:lastRow="0" w:firstColumn="1" w:lastColumn="0" w:oddVBand="0" w:evenVBand="0" w:oddHBand="0" w:evenHBand="0" w:firstRowFirstColumn="0" w:firstRowLastColumn="0" w:lastRowFirstColumn="0" w:lastRowLastColumn="0"/>
            <w:tcW w:w="1890" w:type="dxa"/>
          </w:tcPr>
          <w:p w:rsidR="008D4C87" w:rsidRPr="008D4C87" w:rsidRDefault="008D4C87" w:rsidP="006C7B48">
            <w:pPr>
              <w:ind w:left="0"/>
            </w:pPr>
            <w:r w:rsidRPr="008D4C87">
              <w:t>T</w:t>
            </w:r>
            <w:r w:rsidRPr="008D4C87">
              <w:rPr>
                <w:vertAlign w:val="subscript"/>
              </w:rPr>
              <w:t>max</w:t>
            </w:r>
          </w:p>
        </w:tc>
        <w:tc>
          <w:tcPr>
            <w:tcW w:w="6911" w:type="dxa"/>
          </w:tcPr>
          <w:p w:rsidR="008D4C87" w:rsidRPr="008D4C87" w:rsidRDefault="008D4C87" w:rsidP="006C7B48">
            <w:pPr>
              <w:ind w:left="0"/>
              <w:cnfStyle w:val="000000000000" w:firstRow="0" w:lastRow="0" w:firstColumn="0" w:lastColumn="0" w:oddVBand="0" w:evenVBand="0" w:oddHBand="0" w:evenHBand="0" w:firstRowFirstColumn="0" w:firstRowLastColumn="0" w:lastRowFirstColumn="0" w:lastRowLastColumn="0"/>
            </w:pPr>
            <w:r w:rsidRPr="008D4C87">
              <w:t>Time of maximum concentration</w:t>
            </w:r>
          </w:p>
        </w:tc>
      </w:tr>
      <w:tr w:rsidR="008D4C87" w:rsidTr="008D4C87">
        <w:tc>
          <w:tcPr>
            <w:cnfStyle w:val="001000000000" w:firstRow="0" w:lastRow="0" w:firstColumn="1" w:lastColumn="0" w:oddVBand="0" w:evenVBand="0" w:oddHBand="0" w:evenHBand="0" w:firstRowFirstColumn="0" w:firstRowLastColumn="0" w:lastRowFirstColumn="0" w:lastRowLastColumn="0"/>
            <w:tcW w:w="1890" w:type="dxa"/>
          </w:tcPr>
          <w:p w:rsidR="008D4C87" w:rsidRPr="008D4C87" w:rsidRDefault="008D4C87" w:rsidP="006C7B48">
            <w:pPr>
              <w:ind w:left="0"/>
            </w:pPr>
            <w:r w:rsidRPr="008D4C87">
              <w:t>uCR</w:t>
            </w:r>
          </w:p>
        </w:tc>
        <w:tc>
          <w:tcPr>
            <w:tcW w:w="6911" w:type="dxa"/>
          </w:tcPr>
          <w:p w:rsidR="008D4C87" w:rsidRPr="008D4C87" w:rsidRDefault="008D4C87" w:rsidP="006C7B48">
            <w:pPr>
              <w:ind w:left="0"/>
              <w:cnfStyle w:val="000000000000" w:firstRow="0" w:lastRow="0" w:firstColumn="0" w:lastColumn="0" w:oddVBand="0" w:evenVBand="0" w:oddHBand="0" w:evenHBand="0" w:firstRowFirstColumn="0" w:firstRowLastColumn="0" w:lastRowFirstColumn="0" w:lastRowLastColumn="0"/>
            </w:pPr>
            <w:r w:rsidRPr="008D4C87">
              <w:t>Unconfirmed Complete Response</w:t>
            </w:r>
          </w:p>
        </w:tc>
      </w:tr>
    </w:tbl>
    <w:p w:rsidR="00586F98" w:rsidRDefault="00586F98" w:rsidP="006C7B48">
      <w:pPr>
        <w:pStyle w:val="Heading2"/>
        <w:rPr>
          <w:lang w:eastAsia="en-AU"/>
        </w:rPr>
      </w:pPr>
      <w:bookmarkStart w:id="8" w:name="_Toc351718900"/>
      <w:bookmarkStart w:id="9" w:name="_Toc355338635"/>
      <w:bookmarkStart w:id="10" w:name="_Toc399501529"/>
      <w:r>
        <w:rPr>
          <w:lang w:eastAsia="en-AU"/>
        </w:rPr>
        <w:t>Clinical rationale</w:t>
      </w:r>
      <w:bookmarkEnd w:id="10"/>
    </w:p>
    <w:p w:rsidR="00586F98" w:rsidRDefault="008D4C87" w:rsidP="006C7B48">
      <w:pPr>
        <w:rPr>
          <w:lang w:eastAsia="en-AU"/>
        </w:rPr>
      </w:pPr>
      <w:r w:rsidRPr="008D4C87">
        <w:rPr>
          <w:lang w:eastAsia="en-AU"/>
        </w:rPr>
        <w:t>According to the sponsor’s Clinical Overview the conversion from IV to SC administration for other monoclonal antibodies “.... has resulted in shorter administration times, increased patient convenience, and improved cost-effectiveness, as well as an improved tolerability with fewer infusion-related reactions”. The sponsor anticipated that similar benefits would be obtained with SC administration of rituximab.</w:t>
      </w:r>
    </w:p>
    <w:p w:rsidR="008D4C87" w:rsidRDefault="008D4C87" w:rsidP="006C7B48">
      <w:pPr>
        <w:pStyle w:val="Heading3"/>
      </w:pPr>
      <w:bookmarkStart w:id="11" w:name="_Toc399501530"/>
      <w:r>
        <w:t>Guidance</w:t>
      </w:r>
      <w:bookmarkEnd w:id="11"/>
    </w:p>
    <w:p w:rsidR="008D4C87" w:rsidRDefault="008D4C87" w:rsidP="006C7B48">
      <w:r>
        <w:t>The following guidelines published by the European Medicines Agency (EMA) and adopted by the TGA are considered relevant to the current application:</w:t>
      </w:r>
    </w:p>
    <w:p w:rsidR="008D4C87" w:rsidRPr="00907694" w:rsidRDefault="008D4C87" w:rsidP="006C7B48">
      <w:pPr>
        <w:rPr>
          <w:lang w:val="en-US"/>
        </w:rPr>
      </w:pPr>
      <w:r w:rsidRPr="00907694">
        <w:rPr>
          <w:lang w:val="en-US"/>
        </w:rPr>
        <w:t xml:space="preserve">Guideline </w:t>
      </w:r>
      <w:proofErr w:type="gramStart"/>
      <w:r w:rsidRPr="00907694">
        <w:rPr>
          <w:lang w:val="en-US"/>
        </w:rPr>
        <w:t>On</w:t>
      </w:r>
      <w:proofErr w:type="gramEnd"/>
      <w:r w:rsidRPr="00907694">
        <w:rPr>
          <w:lang w:val="en-US"/>
        </w:rPr>
        <w:t xml:space="preserve"> The Evaluation Of Anticancer Medicinal Products In Man (CPMP/EWP/205/95/Rev.3.Corr)</w:t>
      </w:r>
    </w:p>
    <w:p w:rsidR="008D4C87" w:rsidRPr="00907694" w:rsidRDefault="008D4C87" w:rsidP="006C7B48">
      <w:pPr>
        <w:rPr>
          <w:lang w:val="en-US"/>
        </w:rPr>
      </w:pPr>
      <w:r w:rsidRPr="00907694">
        <w:rPr>
          <w:lang w:val="en-US"/>
        </w:rPr>
        <w:t xml:space="preserve">Guideline </w:t>
      </w:r>
      <w:proofErr w:type="gramStart"/>
      <w:r w:rsidRPr="00907694">
        <w:rPr>
          <w:lang w:val="en-US"/>
        </w:rPr>
        <w:t>On</w:t>
      </w:r>
      <w:proofErr w:type="gramEnd"/>
      <w:r w:rsidRPr="00907694">
        <w:rPr>
          <w:lang w:val="en-US"/>
        </w:rPr>
        <w:t xml:space="preserve"> The Clinical Investigation Of The Pharmacokinetics Of Therapeutic Proteins (CHMP/EWP/89249/2004).</w:t>
      </w:r>
    </w:p>
    <w:p w:rsidR="008D4C87" w:rsidRPr="00586F98" w:rsidRDefault="008D4C87" w:rsidP="006C7B48">
      <w:pPr>
        <w:rPr>
          <w:lang w:eastAsia="en-AU"/>
        </w:rPr>
      </w:pPr>
      <w:r>
        <w:rPr>
          <w:lang w:val="en-US"/>
        </w:rPr>
        <w:t>Compliance with these guidelines will be considered in the relevant sections of this report.</w:t>
      </w:r>
    </w:p>
    <w:p w:rsidR="00586F98" w:rsidRDefault="00586F98" w:rsidP="006C7B48">
      <w:pPr>
        <w:pStyle w:val="Heading2"/>
        <w:rPr>
          <w:lang w:eastAsia="en-AU"/>
        </w:rPr>
      </w:pPr>
      <w:bookmarkStart w:id="12" w:name="_Toc399501531"/>
      <w:r>
        <w:rPr>
          <w:lang w:eastAsia="en-AU"/>
        </w:rPr>
        <w:t>Contents of the clinical dossier</w:t>
      </w:r>
      <w:bookmarkEnd w:id="8"/>
      <w:bookmarkEnd w:id="9"/>
      <w:bookmarkEnd w:id="12"/>
    </w:p>
    <w:p w:rsidR="00586F98" w:rsidRDefault="00586F98" w:rsidP="006C7B48">
      <w:pPr>
        <w:pStyle w:val="Heading3"/>
      </w:pPr>
      <w:bookmarkStart w:id="13" w:name="_Toc399501532"/>
      <w:r>
        <w:t>Scope of the clinical dossier</w:t>
      </w:r>
      <w:bookmarkEnd w:id="13"/>
    </w:p>
    <w:p w:rsidR="008D4C87" w:rsidRDefault="008D4C87" w:rsidP="006C7B48">
      <w:r>
        <w:t>The submission contained the following clinical information:</w:t>
      </w:r>
    </w:p>
    <w:p w:rsidR="008D4C87" w:rsidRPr="008D4C87" w:rsidRDefault="008D4C87" w:rsidP="006C7B48">
      <w:pPr>
        <w:pStyle w:val="ListBullet"/>
      </w:pPr>
      <w:r w:rsidRPr="008D4C87">
        <w:t>A clinical study report for one Phase Ib clinical trial (BP 22333 Stages 1 and 2) examining the pharmacokinetics, pharmacodynamics and safety of SC administration of rituximab in patients with follicular lymphoma;</w:t>
      </w:r>
    </w:p>
    <w:p w:rsidR="008D4C87" w:rsidRPr="008D4C87" w:rsidRDefault="008D4C87" w:rsidP="006C7B48">
      <w:pPr>
        <w:pStyle w:val="ListBullet"/>
      </w:pPr>
      <w:r w:rsidRPr="008D4C87">
        <w:lastRenderedPageBreak/>
        <w:t>A clinical study report for one Phase III clinical trial (BO 22334 Stage 1) examining the pharmacokinetics, pharmacodynamics, efficacy and safety of SC administration of rituximab in patients with follicular lymphoma;</w:t>
      </w:r>
    </w:p>
    <w:p w:rsidR="008D4C87" w:rsidRPr="008D4C87" w:rsidRDefault="008D4C87" w:rsidP="006C7B48">
      <w:pPr>
        <w:pStyle w:val="ListBullet"/>
      </w:pPr>
      <w:r w:rsidRPr="008D4C87">
        <w:t>3 population pharmacokinetic analyses;</w:t>
      </w:r>
    </w:p>
    <w:p w:rsidR="008D4C87" w:rsidRPr="008D4C87" w:rsidRDefault="008D4C87" w:rsidP="006C7B48">
      <w:pPr>
        <w:pStyle w:val="ListBullet"/>
      </w:pPr>
      <w:r w:rsidRPr="008D4C87">
        <w:t>Individual patient narratives (for patients who died, experienced a serious adverse event or experienced an adverse event that resulted in withdrawal) and summary safety data for subjects participating in an ongoing study of SC administration of rituximab for the treatment of CLL (BO 25341).</w:t>
      </w:r>
    </w:p>
    <w:p w:rsidR="008D4C87" w:rsidRPr="008D4C87" w:rsidRDefault="008D4C87" w:rsidP="006C7B48">
      <w:pPr>
        <w:pStyle w:val="ListBullet"/>
      </w:pPr>
      <w:r w:rsidRPr="008D4C87">
        <w:t>Literature references.</w:t>
      </w:r>
    </w:p>
    <w:p w:rsidR="00586F98" w:rsidRDefault="00586F98" w:rsidP="006C7B48">
      <w:pPr>
        <w:pStyle w:val="Heading3"/>
      </w:pPr>
      <w:bookmarkStart w:id="14" w:name="_Toc399501533"/>
      <w:r>
        <w:t>Paediatric data</w:t>
      </w:r>
      <w:bookmarkEnd w:id="14"/>
    </w:p>
    <w:p w:rsidR="00586F98" w:rsidRDefault="008D4C87" w:rsidP="006C7B48">
      <w:pPr>
        <w:rPr>
          <w:lang w:eastAsia="ja-JP"/>
        </w:rPr>
      </w:pPr>
      <w:r w:rsidRPr="008D4C87">
        <w:rPr>
          <w:lang w:eastAsia="ja-JP"/>
        </w:rPr>
        <w:t>The submission did not include paediatric data. As IV rituximab is not registered for use in children, the absence of such data is not considered a major deficiency.</w:t>
      </w:r>
    </w:p>
    <w:p w:rsidR="00586F98" w:rsidRDefault="00586F98" w:rsidP="006C7B48">
      <w:pPr>
        <w:pStyle w:val="Heading3"/>
      </w:pPr>
      <w:bookmarkStart w:id="15" w:name="_Toc399501534"/>
      <w:r>
        <w:t>Good clinical practice</w:t>
      </w:r>
      <w:bookmarkEnd w:id="15"/>
    </w:p>
    <w:p w:rsidR="00586F98" w:rsidRPr="00586F98" w:rsidRDefault="008D4C87" w:rsidP="006C7B48">
      <w:pPr>
        <w:rPr>
          <w:lang w:eastAsia="ja-JP"/>
        </w:rPr>
      </w:pPr>
      <w:r w:rsidRPr="008D4C87">
        <w:rPr>
          <w:lang w:eastAsia="ja-JP"/>
        </w:rPr>
        <w:t>The study reports for the three submitted clinical trials included assurances that they were conducted in accordance with the International Conference on Harmonisation (ICH) Good Clinical Practices (GCP) guidelines and any regulations applicable in the countries where the trials were conducted. Study protocols, consent forms etc. were reviewed by independent ethics committees.</w:t>
      </w:r>
    </w:p>
    <w:p w:rsidR="00586F98" w:rsidRDefault="00586F98" w:rsidP="006C7B48">
      <w:pPr>
        <w:pStyle w:val="Heading2"/>
      </w:pPr>
      <w:bookmarkStart w:id="16" w:name="_Toc355338639"/>
      <w:bookmarkStart w:id="17" w:name="_Toc399501535"/>
      <w:r>
        <w:t>Pharmacokinetics</w:t>
      </w:r>
      <w:bookmarkEnd w:id="16"/>
      <w:bookmarkEnd w:id="17"/>
    </w:p>
    <w:p w:rsidR="008D4C87" w:rsidRPr="00AB685B" w:rsidRDefault="008D4C87" w:rsidP="006C7B48">
      <w:pPr>
        <w:rPr>
          <w:lang w:val="en-US"/>
        </w:rPr>
      </w:pPr>
      <w:r w:rsidRPr="00AB685B">
        <w:rPr>
          <w:lang w:val="en-US"/>
        </w:rPr>
        <w:t>The sponsor explains the rationale for the design of the pharmacokinetic studies included in the submission as follows:</w:t>
      </w:r>
    </w:p>
    <w:p w:rsidR="008D4C87" w:rsidRPr="006C7B48" w:rsidRDefault="008D4C87" w:rsidP="006C7B48">
      <w:pPr>
        <w:ind w:left="720"/>
        <w:rPr>
          <w:i/>
          <w:lang w:val="en-US"/>
        </w:rPr>
      </w:pPr>
      <w:r w:rsidRPr="006C7B48">
        <w:rPr>
          <w:i/>
          <w:lang w:val="en-US"/>
        </w:rPr>
        <w:t>“In view of the identical active ingredient in both IV and SC formulations, the clinical development program for rituximab SC is based on the rationale that rituximab C</w:t>
      </w:r>
      <w:r w:rsidRPr="006C7B48">
        <w:rPr>
          <w:i/>
          <w:sz w:val="14"/>
          <w:szCs w:val="14"/>
          <w:lang w:val="en-US"/>
        </w:rPr>
        <w:t xml:space="preserve">trough </w:t>
      </w:r>
      <w:r w:rsidRPr="006C7B48">
        <w:rPr>
          <w:i/>
          <w:lang w:val="en-US"/>
        </w:rPr>
        <w:t>and AUC serum levels with rituximab SC at least as high as those after IV administration will result in a non-inferior degree of target-site saturation and will thus result in at least the same degree of efficacy, independent of the route of administration.”</w:t>
      </w:r>
    </w:p>
    <w:p w:rsidR="008D4C87" w:rsidRPr="008D4C87" w:rsidRDefault="008D4C87" w:rsidP="006C7B48">
      <w:pPr>
        <w:rPr>
          <w:lang w:eastAsia="ja-JP"/>
        </w:rPr>
      </w:pPr>
      <w:r>
        <w:t xml:space="preserve">The sponsor has therefore </w:t>
      </w:r>
      <w:r w:rsidRPr="00B6620E">
        <w:rPr>
          <w:u w:val="single"/>
        </w:rPr>
        <w:t>not</w:t>
      </w:r>
      <w:r>
        <w:t xml:space="preserve"> attempted to establish bioequivalence between IV and SC administration according to conventional pharmacokinetic criteria (AUC, C</w:t>
      </w:r>
      <w:r w:rsidRPr="008A0142">
        <w:rPr>
          <w:vertAlign w:val="subscript"/>
        </w:rPr>
        <w:t>max</w:t>
      </w:r>
      <w:r>
        <w:t xml:space="preserve"> etc.).</w:t>
      </w:r>
    </w:p>
    <w:p w:rsidR="008D4C87" w:rsidRPr="00353BB4" w:rsidRDefault="008D4C87" w:rsidP="006C7B48">
      <w:pPr>
        <w:pStyle w:val="Heading3"/>
      </w:pPr>
      <w:bookmarkStart w:id="18" w:name="_Toc399501536"/>
      <w:r>
        <w:t>Studies providing pharmacokinetic data</w:t>
      </w:r>
      <w:bookmarkEnd w:id="18"/>
    </w:p>
    <w:p w:rsidR="008D4C87" w:rsidRDefault="008D4C87" w:rsidP="006C7B48">
      <w:r>
        <w:t xml:space="preserve">Table </w:t>
      </w:r>
      <w:r w:rsidR="00A4228F">
        <w:t>1</w:t>
      </w:r>
      <w:r>
        <w:t xml:space="preserve"> shows the studies relating to each pharmacokinetic topic.</w:t>
      </w:r>
    </w:p>
    <w:p w:rsidR="008D4C87" w:rsidRPr="006C7B48" w:rsidRDefault="008D4C87" w:rsidP="006C7B48">
      <w:pPr>
        <w:pStyle w:val="TableTitle"/>
      </w:pPr>
      <w:bookmarkStart w:id="19" w:name="_Ref272426277"/>
      <w:bookmarkStart w:id="20" w:name="_Toc234034153"/>
      <w:proofErr w:type="gramStart"/>
      <w:r>
        <w:t xml:space="preserve">Table </w:t>
      </w:r>
      <w:bookmarkEnd w:id="19"/>
      <w:r w:rsidR="00A4228F">
        <w:t>1</w:t>
      </w:r>
      <w:r>
        <w:t>.</w:t>
      </w:r>
      <w:proofErr w:type="gramEnd"/>
      <w:r>
        <w:t xml:space="preserve"> </w:t>
      </w:r>
      <w:proofErr w:type="gramStart"/>
      <w:r>
        <w:t>Submitted pharmacokinetic studies.</w:t>
      </w:r>
      <w:bookmarkEnd w:id="20"/>
      <w:proofErr w:type="gramEnd"/>
    </w:p>
    <w:tbl>
      <w:tblPr>
        <w:tblStyle w:val="TableTGAblue"/>
        <w:tblW w:w="8647" w:type="dxa"/>
        <w:tblLayout w:type="fixed"/>
        <w:tblLook w:val="04A0" w:firstRow="1" w:lastRow="0" w:firstColumn="1" w:lastColumn="0" w:noHBand="0" w:noVBand="1"/>
      </w:tblPr>
      <w:tblGrid>
        <w:gridCol w:w="1276"/>
        <w:gridCol w:w="4252"/>
        <w:gridCol w:w="2268"/>
        <w:gridCol w:w="851"/>
      </w:tblGrid>
      <w:tr w:rsidR="008D4C87" w:rsidTr="006C7B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76" w:type="dxa"/>
          </w:tcPr>
          <w:p w:rsidR="008D4C87" w:rsidRPr="00353BB4" w:rsidRDefault="008D4C87" w:rsidP="006C7B48">
            <w:r w:rsidRPr="00353BB4">
              <w:t>PK topic</w:t>
            </w:r>
          </w:p>
        </w:tc>
        <w:tc>
          <w:tcPr>
            <w:tcW w:w="4252" w:type="dxa"/>
          </w:tcPr>
          <w:p w:rsidR="008D4C87" w:rsidRPr="00353BB4" w:rsidRDefault="008D4C87" w:rsidP="006C7B48">
            <w:pPr>
              <w:cnfStyle w:val="100000000000" w:firstRow="1" w:lastRow="0" w:firstColumn="0" w:lastColumn="0" w:oddVBand="0" w:evenVBand="0" w:oddHBand="0" w:evenHBand="0" w:firstRowFirstColumn="0" w:firstRowLastColumn="0" w:lastRowFirstColumn="0" w:lastRowLastColumn="0"/>
            </w:pPr>
            <w:r w:rsidRPr="00353BB4">
              <w:t>Subtopic</w:t>
            </w:r>
          </w:p>
        </w:tc>
        <w:tc>
          <w:tcPr>
            <w:tcW w:w="2268" w:type="dxa"/>
          </w:tcPr>
          <w:p w:rsidR="008D4C87" w:rsidRPr="00353BB4" w:rsidRDefault="008D4C87" w:rsidP="006C7B48">
            <w:pPr>
              <w:cnfStyle w:val="100000000000" w:firstRow="1" w:lastRow="0" w:firstColumn="0" w:lastColumn="0" w:oddVBand="0" w:evenVBand="0" w:oddHBand="0" w:evenHBand="0" w:firstRowFirstColumn="0" w:firstRowLastColumn="0" w:lastRowFirstColumn="0" w:lastRowLastColumn="0"/>
            </w:pPr>
            <w:r w:rsidRPr="00353BB4">
              <w:t>Study ID</w:t>
            </w:r>
          </w:p>
        </w:tc>
        <w:tc>
          <w:tcPr>
            <w:tcW w:w="851" w:type="dxa"/>
          </w:tcPr>
          <w:p w:rsidR="008D4C87" w:rsidRPr="008625DD" w:rsidRDefault="008D4C87" w:rsidP="006C7B48">
            <w:pPr>
              <w:cnfStyle w:val="100000000000" w:firstRow="1" w:lastRow="0" w:firstColumn="0" w:lastColumn="0" w:oddVBand="0" w:evenVBand="0" w:oddHBand="0" w:evenHBand="0" w:firstRowFirstColumn="0" w:firstRowLastColumn="0" w:lastRowFirstColumn="0" w:lastRowLastColumn="0"/>
              <w:rPr>
                <w:b w:val="0"/>
              </w:rPr>
            </w:pPr>
            <w:r w:rsidRPr="008625DD">
              <w:rPr>
                <w:b w:val="0"/>
              </w:rPr>
              <w:t>*</w:t>
            </w:r>
          </w:p>
        </w:tc>
      </w:tr>
      <w:tr w:rsidR="008D4C87" w:rsidTr="006C7B48">
        <w:tc>
          <w:tcPr>
            <w:cnfStyle w:val="001000000000" w:firstRow="0" w:lastRow="0" w:firstColumn="1" w:lastColumn="0" w:oddVBand="0" w:evenVBand="0" w:oddHBand="0" w:evenHBand="0" w:firstRowFirstColumn="0" w:firstRowLastColumn="0" w:lastRowFirstColumn="0" w:lastRowLastColumn="0"/>
            <w:tcW w:w="1276" w:type="dxa"/>
            <w:vMerge w:val="restart"/>
          </w:tcPr>
          <w:p w:rsidR="008D4C87" w:rsidRPr="008625DD" w:rsidRDefault="008D4C87" w:rsidP="006C7B48">
            <w:r w:rsidRPr="008625DD">
              <w:t xml:space="preserve">PK in </w:t>
            </w:r>
            <w:r>
              <w:t>NHL patients</w:t>
            </w:r>
          </w:p>
        </w:tc>
        <w:tc>
          <w:tcPr>
            <w:tcW w:w="4252" w:type="dxa"/>
          </w:tcPr>
          <w:p w:rsidR="008D4C87" w:rsidRPr="000800CC" w:rsidRDefault="008D4C87" w:rsidP="006C7B48">
            <w:pPr>
              <w:tabs>
                <w:tab w:val="left" w:pos="1985"/>
              </w:tabs>
              <w:cnfStyle w:val="000000000000" w:firstRow="0" w:lastRow="0" w:firstColumn="0" w:lastColumn="0" w:oddVBand="0" w:evenVBand="0" w:oddHBand="0" w:evenHBand="0" w:firstRowFirstColumn="0" w:firstRowLastColumn="0" w:lastRowFirstColumn="0" w:lastRowLastColumn="0"/>
            </w:pPr>
            <w:r w:rsidRPr="000800CC">
              <w:t>General PK</w:t>
            </w:r>
            <w:r w:rsidRPr="000800CC">
              <w:tab/>
              <w:t xml:space="preserve">- </w:t>
            </w:r>
            <w:r>
              <w:t>Dose finding</w:t>
            </w:r>
          </w:p>
        </w:tc>
        <w:tc>
          <w:tcPr>
            <w:tcW w:w="2268" w:type="dxa"/>
          </w:tcPr>
          <w:p w:rsidR="008D4C87" w:rsidRPr="000800CC" w:rsidRDefault="008D4C87" w:rsidP="006C7B48">
            <w:pPr>
              <w:cnfStyle w:val="000000000000" w:firstRow="0" w:lastRow="0" w:firstColumn="0" w:lastColumn="0" w:oddVBand="0" w:evenVBand="0" w:oddHBand="0" w:evenHBand="0" w:firstRowFirstColumn="0" w:firstRowLastColumn="0" w:lastRowFirstColumn="0" w:lastRowLastColumn="0"/>
            </w:pPr>
            <w:r>
              <w:t>BP 22333 Stage 1</w:t>
            </w:r>
          </w:p>
        </w:tc>
        <w:tc>
          <w:tcPr>
            <w:tcW w:w="851" w:type="dxa"/>
          </w:tcPr>
          <w:p w:rsidR="008D4C87" w:rsidRPr="000800CC" w:rsidRDefault="008D4C87" w:rsidP="006C7B48">
            <w:pPr>
              <w:cnfStyle w:val="000000000000" w:firstRow="0" w:lastRow="0" w:firstColumn="0" w:lastColumn="0" w:oddVBand="0" w:evenVBand="0" w:oddHBand="0" w:evenHBand="0" w:firstRowFirstColumn="0" w:firstRowLastColumn="0" w:lastRowFirstColumn="0" w:lastRowLastColumn="0"/>
            </w:pPr>
            <w:r>
              <w:t>*</w:t>
            </w:r>
          </w:p>
        </w:tc>
      </w:tr>
      <w:tr w:rsidR="00746D90" w:rsidTr="006C7B48">
        <w:tc>
          <w:tcPr>
            <w:cnfStyle w:val="001000000000" w:firstRow="0" w:lastRow="0" w:firstColumn="1" w:lastColumn="0" w:oddVBand="0" w:evenVBand="0" w:oddHBand="0" w:evenHBand="0" w:firstRowFirstColumn="0" w:firstRowLastColumn="0" w:lastRowFirstColumn="0" w:lastRowLastColumn="0"/>
            <w:tcW w:w="1276" w:type="dxa"/>
            <w:vMerge/>
          </w:tcPr>
          <w:p w:rsidR="00746D90" w:rsidRPr="000800CC" w:rsidRDefault="00746D90" w:rsidP="006C7B48"/>
        </w:tc>
        <w:tc>
          <w:tcPr>
            <w:tcW w:w="4252" w:type="dxa"/>
            <w:vMerge w:val="restart"/>
          </w:tcPr>
          <w:p w:rsidR="00746D90" w:rsidRPr="000800CC" w:rsidRDefault="00746D90" w:rsidP="006C7B48">
            <w:pPr>
              <w:tabs>
                <w:tab w:val="left" w:pos="1985"/>
              </w:tabs>
              <w:cnfStyle w:val="000000000000" w:firstRow="0" w:lastRow="0" w:firstColumn="0" w:lastColumn="0" w:oddVBand="0" w:evenVBand="0" w:oddHBand="0" w:evenHBand="0" w:firstRowFirstColumn="0" w:firstRowLastColumn="0" w:lastRowFirstColumn="0" w:lastRowLastColumn="0"/>
            </w:pPr>
            <w:r w:rsidRPr="000800CC">
              <w:tab/>
              <w:t xml:space="preserve">- </w:t>
            </w:r>
            <w:r>
              <w:t>Dose confirmation</w:t>
            </w:r>
          </w:p>
        </w:tc>
        <w:tc>
          <w:tcPr>
            <w:tcW w:w="2268" w:type="dxa"/>
          </w:tcPr>
          <w:p w:rsidR="00746D90" w:rsidRPr="000800CC" w:rsidRDefault="00746D90" w:rsidP="006C7B48">
            <w:pPr>
              <w:cnfStyle w:val="000000000000" w:firstRow="0" w:lastRow="0" w:firstColumn="0" w:lastColumn="0" w:oddVBand="0" w:evenVBand="0" w:oddHBand="0" w:evenHBand="0" w:firstRowFirstColumn="0" w:firstRowLastColumn="0" w:lastRowFirstColumn="0" w:lastRowLastColumn="0"/>
            </w:pPr>
            <w:r>
              <w:t>BP 22333 Stage 2</w:t>
            </w:r>
          </w:p>
        </w:tc>
        <w:tc>
          <w:tcPr>
            <w:tcW w:w="851" w:type="dxa"/>
          </w:tcPr>
          <w:p w:rsidR="00746D90" w:rsidRPr="000800CC" w:rsidRDefault="00746D90" w:rsidP="006C7B48">
            <w:pPr>
              <w:cnfStyle w:val="000000000000" w:firstRow="0" w:lastRow="0" w:firstColumn="0" w:lastColumn="0" w:oddVBand="0" w:evenVBand="0" w:oddHBand="0" w:evenHBand="0" w:firstRowFirstColumn="0" w:firstRowLastColumn="0" w:lastRowFirstColumn="0" w:lastRowLastColumn="0"/>
            </w:pPr>
            <w:r>
              <w:t>*</w:t>
            </w:r>
          </w:p>
        </w:tc>
      </w:tr>
      <w:tr w:rsidR="00746D90" w:rsidTr="006C7B48">
        <w:tc>
          <w:tcPr>
            <w:cnfStyle w:val="001000000000" w:firstRow="0" w:lastRow="0" w:firstColumn="1" w:lastColumn="0" w:oddVBand="0" w:evenVBand="0" w:oddHBand="0" w:evenHBand="0" w:firstRowFirstColumn="0" w:firstRowLastColumn="0" w:lastRowFirstColumn="0" w:lastRowLastColumn="0"/>
            <w:tcW w:w="1276" w:type="dxa"/>
            <w:vMerge/>
          </w:tcPr>
          <w:p w:rsidR="00746D90" w:rsidRPr="000800CC" w:rsidRDefault="00746D90" w:rsidP="006C7B48"/>
        </w:tc>
        <w:tc>
          <w:tcPr>
            <w:tcW w:w="4252" w:type="dxa"/>
            <w:vMerge/>
          </w:tcPr>
          <w:p w:rsidR="00746D90" w:rsidRPr="000800CC" w:rsidRDefault="00746D90" w:rsidP="006C7B48">
            <w:pPr>
              <w:cnfStyle w:val="000000000000" w:firstRow="0" w:lastRow="0" w:firstColumn="0" w:lastColumn="0" w:oddVBand="0" w:evenVBand="0" w:oddHBand="0" w:evenHBand="0" w:firstRowFirstColumn="0" w:firstRowLastColumn="0" w:lastRowFirstColumn="0" w:lastRowLastColumn="0"/>
            </w:pPr>
          </w:p>
        </w:tc>
        <w:tc>
          <w:tcPr>
            <w:tcW w:w="2268" w:type="dxa"/>
          </w:tcPr>
          <w:p w:rsidR="00746D90" w:rsidRPr="000800CC" w:rsidRDefault="00746D90" w:rsidP="006C7B48">
            <w:pPr>
              <w:cnfStyle w:val="000000000000" w:firstRow="0" w:lastRow="0" w:firstColumn="0" w:lastColumn="0" w:oddVBand="0" w:evenVBand="0" w:oddHBand="0" w:evenHBand="0" w:firstRowFirstColumn="0" w:firstRowLastColumn="0" w:lastRowFirstColumn="0" w:lastRowLastColumn="0"/>
            </w:pPr>
            <w:r>
              <w:t>BO 22334 Stage 1</w:t>
            </w:r>
          </w:p>
        </w:tc>
        <w:tc>
          <w:tcPr>
            <w:tcW w:w="851" w:type="dxa"/>
          </w:tcPr>
          <w:p w:rsidR="00746D90" w:rsidRPr="000800CC" w:rsidRDefault="00746D90" w:rsidP="006C7B48">
            <w:pPr>
              <w:cnfStyle w:val="000000000000" w:firstRow="0" w:lastRow="0" w:firstColumn="0" w:lastColumn="0" w:oddVBand="0" w:evenVBand="0" w:oddHBand="0" w:evenHBand="0" w:firstRowFirstColumn="0" w:firstRowLastColumn="0" w:lastRowFirstColumn="0" w:lastRowLastColumn="0"/>
            </w:pPr>
            <w:r>
              <w:t>*</w:t>
            </w:r>
          </w:p>
        </w:tc>
      </w:tr>
    </w:tbl>
    <w:p w:rsidR="008D4C87" w:rsidRDefault="008D4C87" w:rsidP="006C7B48">
      <w:pPr>
        <w:pStyle w:val="TableDescription"/>
      </w:pPr>
      <w:r>
        <w:t>* Indicates the primary aim of the study</w:t>
      </w:r>
    </w:p>
    <w:p w:rsidR="006C7B48" w:rsidRPr="006C7B48" w:rsidRDefault="008D4C87" w:rsidP="006C7B48">
      <w:pPr>
        <w:pStyle w:val="Heading4"/>
        <w:numPr>
          <w:ilvl w:val="0"/>
          <w:numId w:val="0"/>
        </w:numPr>
        <w:rPr>
          <w:rStyle w:val="Heading5Char"/>
          <w:rFonts w:eastAsia="Cambria"/>
          <w:b/>
        </w:rPr>
      </w:pPr>
      <w:r w:rsidRPr="006C7B48">
        <w:rPr>
          <w:rStyle w:val="Heading5Char"/>
          <w:rFonts w:eastAsia="Cambria"/>
          <w:b/>
        </w:rPr>
        <w:lastRenderedPageBreak/>
        <w:t xml:space="preserve">Study BP 22333 </w:t>
      </w:r>
      <w:r w:rsidR="006C7B48" w:rsidRPr="006C7B48">
        <w:rPr>
          <w:rStyle w:val="Heading5Char"/>
          <w:rFonts w:eastAsia="Cambria"/>
          <w:b/>
        </w:rPr>
        <w:t>s</w:t>
      </w:r>
      <w:r w:rsidRPr="006C7B48">
        <w:rPr>
          <w:rStyle w:val="Heading5Char"/>
          <w:rFonts w:eastAsia="Cambria"/>
          <w:b/>
        </w:rPr>
        <w:t>tage 1</w:t>
      </w:r>
    </w:p>
    <w:p w:rsidR="008D4C87" w:rsidRDefault="006C7B48" w:rsidP="006C7B48">
      <w:r>
        <w:t>E</w:t>
      </w:r>
      <w:r w:rsidR="008D4C87">
        <w:t>xamined the PK of various SC dosing regimens (given on a mg/m</w:t>
      </w:r>
      <w:r w:rsidR="008D4C87" w:rsidRPr="007074FE">
        <w:rPr>
          <w:vertAlign w:val="superscript"/>
        </w:rPr>
        <w:t>2</w:t>
      </w:r>
      <w:r w:rsidR="008D4C87">
        <w:t xml:space="preserve"> of body surface area [BSA] basis) with the objective of identifying one that would produce comparable serum concentrations (C</w:t>
      </w:r>
      <w:r w:rsidR="008D4C87" w:rsidRPr="007074FE">
        <w:rPr>
          <w:vertAlign w:val="subscript"/>
        </w:rPr>
        <w:t>trough</w:t>
      </w:r>
      <w:r w:rsidR="008D4C87">
        <w:t>, AUC) to those seen with conventional IV dosing. Using the data generated, a population PK analysis was then conducted to determine a suitable fixed dose (that is, one not based on BSA).</w:t>
      </w:r>
    </w:p>
    <w:p w:rsidR="006C7B48" w:rsidRPr="006C7B48" w:rsidRDefault="008D4C87" w:rsidP="006C7B48">
      <w:pPr>
        <w:pStyle w:val="Heading4"/>
        <w:numPr>
          <w:ilvl w:val="0"/>
          <w:numId w:val="0"/>
        </w:numPr>
        <w:rPr>
          <w:b w:val="0"/>
        </w:rPr>
      </w:pPr>
      <w:r w:rsidRPr="006C7B48">
        <w:rPr>
          <w:rStyle w:val="Heading5Char"/>
          <w:rFonts w:eastAsia="Cambria"/>
          <w:b/>
        </w:rPr>
        <w:t xml:space="preserve">Study BP 22333 </w:t>
      </w:r>
      <w:r w:rsidR="006C7B48" w:rsidRPr="006C7B48">
        <w:rPr>
          <w:rStyle w:val="Heading5Char"/>
          <w:rFonts w:eastAsia="Cambria"/>
          <w:b/>
        </w:rPr>
        <w:t>s</w:t>
      </w:r>
      <w:r w:rsidRPr="006C7B48">
        <w:rPr>
          <w:rStyle w:val="Heading5Char"/>
          <w:rFonts w:eastAsia="Cambria"/>
          <w:b/>
        </w:rPr>
        <w:t>tage 2</w:t>
      </w:r>
    </w:p>
    <w:p w:rsidR="008D4C87" w:rsidRDefault="006C7B48" w:rsidP="006C7B48">
      <w:r>
        <w:t>D</w:t>
      </w:r>
      <w:r w:rsidR="008D4C87">
        <w:t>irectly compared the fixed SC dose (determined in BP 22333 Stage 1) with the conventional IV dose. The data generated were analysed using another population PK analysis.</w:t>
      </w:r>
    </w:p>
    <w:p w:rsidR="006C7B48" w:rsidRPr="006C7B48" w:rsidRDefault="008D4C87" w:rsidP="006C7B48">
      <w:pPr>
        <w:pStyle w:val="Heading4"/>
        <w:numPr>
          <w:ilvl w:val="0"/>
          <w:numId w:val="0"/>
        </w:numPr>
        <w:rPr>
          <w:rStyle w:val="Heading5Char"/>
          <w:rFonts w:eastAsia="Cambria"/>
          <w:b/>
        </w:rPr>
      </w:pPr>
      <w:r w:rsidRPr="006C7B48">
        <w:rPr>
          <w:rStyle w:val="Heading5Char"/>
          <w:rFonts w:eastAsia="Cambria"/>
          <w:b/>
        </w:rPr>
        <w:t>Study BO 22334 Stage 1</w:t>
      </w:r>
    </w:p>
    <w:p w:rsidR="008D4C87" w:rsidRDefault="006C7B48" w:rsidP="006C7B48">
      <w:proofErr w:type="gramStart"/>
      <w:r>
        <w:t>A</w:t>
      </w:r>
      <w:r w:rsidR="008D4C87">
        <w:t>lso directly compared PK parameters following the proposed SC and conventional IV dosing.</w:t>
      </w:r>
      <w:proofErr w:type="gramEnd"/>
    </w:p>
    <w:p w:rsidR="008D4C87" w:rsidRPr="007074FE" w:rsidRDefault="008D4C87" w:rsidP="006C7B48">
      <w:r>
        <w:t>A population PK analysis was then conducted on all PK data collected in BP 22333 Stages 1 and 2 and BO 22334 Stage 1. The analysis was used to determine covariates that affected rituximab PK and to predict rituximab PK in various situations.</w:t>
      </w:r>
    </w:p>
    <w:p w:rsidR="008D4C87" w:rsidRDefault="008D4C87" w:rsidP="006C7B48">
      <w:r>
        <w:t>None of the pharmacokinetic studies had deficiencies that excluded their results from consideration.</w:t>
      </w:r>
    </w:p>
    <w:p w:rsidR="008D4C87" w:rsidRDefault="008D4C87" w:rsidP="006C7B48">
      <w:pPr>
        <w:pStyle w:val="Heading3"/>
      </w:pPr>
      <w:bookmarkStart w:id="21" w:name="_Ref269118175"/>
      <w:bookmarkStart w:id="22" w:name="_Toc272414616"/>
      <w:bookmarkStart w:id="23" w:name="_Toc290846239"/>
      <w:bookmarkStart w:id="24" w:name="_Toc234034028"/>
      <w:bookmarkStart w:id="25" w:name="_Toc399501537"/>
      <w:r>
        <w:t>Summary of pharmacokinetics</w:t>
      </w:r>
      <w:bookmarkEnd w:id="21"/>
      <w:bookmarkEnd w:id="22"/>
      <w:bookmarkEnd w:id="23"/>
      <w:bookmarkEnd w:id="24"/>
      <w:bookmarkEnd w:id="25"/>
    </w:p>
    <w:p w:rsidR="008D4C87" w:rsidRDefault="008D4C87" w:rsidP="006C7B48">
      <w:r>
        <w:t>The submitted studies demonstrated the following:</w:t>
      </w:r>
    </w:p>
    <w:p w:rsidR="008D4C87" w:rsidRPr="00A4228F" w:rsidRDefault="008D4C87" w:rsidP="006C7B48">
      <w:pPr>
        <w:pStyle w:val="ListBullet"/>
      </w:pPr>
      <w:r w:rsidRPr="00A4228F">
        <w:t>A fixed SC dose of 1400 mg produced non-inferior C</w:t>
      </w:r>
      <w:r w:rsidRPr="00766AFA">
        <w:rPr>
          <w:vertAlign w:val="subscript"/>
        </w:rPr>
        <w:t>trough</w:t>
      </w:r>
      <w:r w:rsidRPr="00A4228F">
        <w:t xml:space="preserve"> levels compared to the conventional IV dose of 375 mg/m</w:t>
      </w:r>
      <w:r w:rsidRPr="00766AFA">
        <w:rPr>
          <w:vertAlign w:val="superscript"/>
        </w:rPr>
        <w:t>2</w:t>
      </w:r>
      <w:r w:rsidRPr="00A4228F">
        <w:t xml:space="preserve"> IV;</w:t>
      </w:r>
    </w:p>
    <w:p w:rsidR="008D4C87" w:rsidRPr="00A4228F" w:rsidRDefault="008D4C87" w:rsidP="006C7B48">
      <w:pPr>
        <w:pStyle w:val="ListBullet"/>
      </w:pPr>
      <w:r w:rsidRPr="00A4228F">
        <w:t>The 1400 mg SC dose also resulted in an increased total systemic exposure (AUC) compared to the conventional IV dose of 375 mg/m</w:t>
      </w:r>
      <w:r w:rsidRPr="00766AFA">
        <w:rPr>
          <w:vertAlign w:val="superscript"/>
        </w:rPr>
        <w:t>2</w:t>
      </w:r>
      <w:r w:rsidRPr="00A4228F">
        <w:t xml:space="preserve"> IV. The increase in AUC was in the range of 35 to 43%.</w:t>
      </w:r>
    </w:p>
    <w:p w:rsidR="008D4C87" w:rsidRPr="00A4228F" w:rsidRDefault="008D4C87" w:rsidP="006C7B48">
      <w:pPr>
        <w:pStyle w:val="ListBullet"/>
      </w:pPr>
      <w:r w:rsidRPr="00A4228F">
        <w:t>BSA affects the pharmacokinetics of rituximab. In patients receiving a fixed SC dose of 1400 mg systemic exposure will greater in subjects with lower BSA.</w:t>
      </w:r>
    </w:p>
    <w:p w:rsidR="008D4C87" w:rsidRPr="00A4228F" w:rsidRDefault="008D4C87" w:rsidP="006C7B48">
      <w:pPr>
        <w:pStyle w:val="ListBullet"/>
      </w:pPr>
      <w:r w:rsidRPr="00A4228F">
        <w:t>The absolute bioavailability of rituximab after SC administration is approximately 70%.</w:t>
      </w:r>
    </w:p>
    <w:p w:rsidR="008D4C87" w:rsidRPr="005C1A8F" w:rsidRDefault="008D4C87" w:rsidP="006C7B48">
      <w:pPr>
        <w:pStyle w:val="ListBullet"/>
      </w:pPr>
      <w:r w:rsidRPr="00A4228F">
        <w:t>Systemic absorption of the novel</w:t>
      </w:r>
      <w:r>
        <w:t xml:space="preserve"> excipient </w:t>
      </w:r>
      <w:r w:rsidRPr="000133C2">
        <w:t>rHuPH20</w:t>
      </w:r>
      <w:r>
        <w:t xml:space="preserve"> was undetectable in most patients.</w:t>
      </w:r>
    </w:p>
    <w:p w:rsidR="008D4C87" w:rsidRDefault="008D4C87" w:rsidP="006C7B48">
      <w:pPr>
        <w:pStyle w:val="Heading4"/>
      </w:pPr>
      <w:r>
        <w:t>Evaluator’s conclusions on pharmacokinetics</w:t>
      </w:r>
    </w:p>
    <w:p w:rsidR="008D4C87" w:rsidRDefault="008D4C87" w:rsidP="006C7B48">
      <w:r>
        <w:t>The proposed dosage regimen of 1400 mg SC has been demonstrated to produce systemic concentrations of rituximab</w:t>
      </w:r>
      <w:r w:rsidRPr="002F0E2C">
        <w:t xml:space="preserve"> </w:t>
      </w:r>
      <w:r>
        <w:t>that are not inferior to those produced by IV administration of 375 mg/m</w:t>
      </w:r>
      <w:r w:rsidRPr="00B72208">
        <w:rPr>
          <w:vertAlign w:val="superscript"/>
        </w:rPr>
        <w:t>2</w:t>
      </w:r>
      <w:r>
        <w:t>. The sponsor’s argument that this dose should therefore be associated with comparable efficacy is acceptable.</w:t>
      </w:r>
    </w:p>
    <w:p w:rsidR="00586F98" w:rsidRDefault="008D4C87" w:rsidP="006C7B48">
      <w:r>
        <w:t>However, the proposed SC dosing regimen is associated with a significant increase in overall systemic exposure to the drug and this is more marked in subjects with low BSA. It might reasonably be expected that the SC dosage regimen will be associated with increased toxicity compared to the current IV dosage regimen.</w:t>
      </w:r>
    </w:p>
    <w:p w:rsidR="00586F98" w:rsidRDefault="00586F98" w:rsidP="006C7B48">
      <w:pPr>
        <w:pStyle w:val="Heading2"/>
      </w:pPr>
      <w:bookmarkStart w:id="26" w:name="_Toc399501538"/>
      <w:r>
        <w:t>Pharmacodynamics</w:t>
      </w:r>
      <w:bookmarkEnd w:id="26"/>
    </w:p>
    <w:p w:rsidR="008D4C87" w:rsidRDefault="008D4C87" w:rsidP="006C7B48">
      <w:pPr>
        <w:pStyle w:val="Heading3"/>
      </w:pPr>
      <w:bookmarkStart w:id="27" w:name="_Toc399501539"/>
      <w:r>
        <w:t>Studies providing pharmacodynamic data</w:t>
      </w:r>
      <w:bookmarkEnd w:id="27"/>
    </w:p>
    <w:p w:rsidR="008D4C87" w:rsidRDefault="008D4C87" w:rsidP="006C7B48">
      <w:r>
        <w:t>In both the submitted studies the peripheral blood CD19+ lymphocyte count was monitored. CD19 is a marker of B-lymphocytes.</w:t>
      </w:r>
    </w:p>
    <w:p w:rsidR="008D4C87" w:rsidRPr="00627119" w:rsidRDefault="008D4C87" w:rsidP="006C7B48">
      <w:pPr>
        <w:pStyle w:val="Heading4"/>
      </w:pPr>
      <w:bookmarkStart w:id="28" w:name="_Toc234034032"/>
      <w:r w:rsidRPr="00627119">
        <w:lastRenderedPageBreak/>
        <w:t>CD 19 +ve lymphocyte count</w:t>
      </w:r>
      <w:bookmarkEnd w:id="28"/>
    </w:p>
    <w:p w:rsidR="008D4C87" w:rsidRDefault="008D4C87" w:rsidP="006C7B48">
      <w:r>
        <w:t>In BP 22333 Stages 1 and 2, all patients had already received rituximab as part of induction treatment as well as at least one dose as part of maintenance treatment. Subjects therefore had depletion of CD19+ve lymphocytes with median counts = 0 at baseline.</w:t>
      </w:r>
    </w:p>
    <w:p w:rsidR="008D4C87" w:rsidRDefault="008D4C87" w:rsidP="006C7B48">
      <w:pPr>
        <w:rPr>
          <w:lang w:val="en-US"/>
        </w:rPr>
      </w:pPr>
      <w:r>
        <w:t xml:space="preserve">In BP 22333 Stage 1, </w:t>
      </w:r>
      <w:r w:rsidRPr="0049314E">
        <w:rPr>
          <w:lang w:val="en-US"/>
        </w:rPr>
        <w:t xml:space="preserve">available data from patients at </w:t>
      </w:r>
      <w:r>
        <w:rPr>
          <w:lang w:val="en-US"/>
        </w:rPr>
        <w:t xml:space="preserve">a 9 </w:t>
      </w:r>
      <w:r w:rsidRPr="0049314E">
        <w:rPr>
          <w:lang w:val="en-US"/>
        </w:rPr>
        <w:t>month follow-up visit showed some</w:t>
      </w:r>
      <w:r>
        <w:rPr>
          <w:lang w:val="en-US"/>
        </w:rPr>
        <w:t xml:space="preserve"> </w:t>
      </w:r>
      <w:r w:rsidRPr="0049314E">
        <w:rPr>
          <w:lang w:val="en-US"/>
        </w:rPr>
        <w:t>increase in B-cell levels at this time</w:t>
      </w:r>
      <w:r>
        <w:rPr>
          <w:lang w:val="en-US"/>
        </w:rPr>
        <w:t xml:space="preserve"> </w:t>
      </w:r>
      <w:r w:rsidRPr="0049314E">
        <w:rPr>
          <w:lang w:val="en-US"/>
        </w:rPr>
        <w:t>point compared with previous time</w:t>
      </w:r>
      <w:r>
        <w:rPr>
          <w:lang w:val="en-US"/>
        </w:rPr>
        <w:t xml:space="preserve"> </w:t>
      </w:r>
      <w:r w:rsidRPr="0049314E">
        <w:rPr>
          <w:lang w:val="en-US"/>
        </w:rPr>
        <w:t>points, with</w:t>
      </w:r>
      <w:r>
        <w:rPr>
          <w:lang w:val="en-US"/>
        </w:rPr>
        <w:t xml:space="preserve"> </w:t>
      </w:r>
      <w:r w:rsidRPr="0049314E">
        <w:rPr>
          <w:lang w:val="en-US"/>
        </w:rPr>
        <w:t>median counts of 50 (Cohort A, n = 6), 30 (Cohort B, n = 16), 20 (Cohort C, n = 15), and</w:t>
      </w:r>
      <w:r>
        <w:rPr>
          <w:lang w:val="en-US"/>
        </w:rPr>
        <w:t xml:space="preserve"> </w:t>
      </w:r>
      <w:r w:rsidRPr="0049314E">
        <w:rPr>
          <w:lang w:val="en-US"/>
        </w:rPr>
        <w:t>30 cells/mm</w:t>
      </w:r>
      <w:r w:rsidRPr="0049314E">
        <w:rPr>
          <w:vertAlign w:val="superscript"/>
          <w:lang w:val="en-US"/>
        </w:rPr>
        <w:t>3</w:t>
      </w:r>
      <w:r w:rsidRPr="0049314E">
        <w:rPr>
          <w:lang w:val="en-US"/>
        </w:rPr>
        <w:t xml:space="preserve"> (Cohort D, n = 7)</w:t>
      </w:r>
      <w:r>
        <w:rPr>
          <w:lang w:val="en-US"/>
        </w:rPr>
        <w:t>.</w:t>
      </w:r>
    </w:p>
    <w:p w:rsidR="008D4C87" w:rsidRDefault="008D4C87" w:rsidP="006C7B48">
      <w:r>
        <w:t>In BP 22333 Stage 2, CD19+ve lymphocyte counts remained depleted throughout treatment with evidence of recovery in the small number of patients who had completed their 9-month follow up visit.</w:t>
      </w:r>
    </w:p>
    <w:p w:rsidR="008D4C87" w:rsidRPr="0049314E" w:rsidRDefault="008D4C87" w:rsidP="006C7B48">
      <w:pPr>
        <w:rPr>
          <w:lang w:val="en-US"/>
        </w:rPr>
      </w:pPr>
      <w:r>
        <w:rPr>
          <w:lang w:val="en-US"/>
        </w:rPr>
        <w:t>In BO 22334 Stage 1, CD19+ve cells were depleted soon after commencement of rituximab therapy in both treatment arms. Levels remained depleted throughout induction and early maintenance treatment.</w:t>
      </w:r>
    </w:p>
    <w:p w:rsidR="00586F98" w:rsidRDefault="00C22678" w:rsidP="00862A0F">
      <w:pPr>
        <w:pStyle w:val="Heading2"/>
      </w:pPr>
      <w:bookmarkStart w:id="29" w:name="_Toc399501540"/>
      <w:r>
        <w:t>Dosage selection for the pivotal studies</w:t>
      </w:r>
      <w:bookmarkEnd w:id="29"/>
    </w:p>
    <w:p w:rsidR="00C22678" w:rsidRPr="00586F98" w:rsidRDefault="008D4C87" w:rsidP="00862A0F">
      <w:pPr>
        <w:rPr>
          <w:lang w:eastAsia="ja-JP"/>
        </w:rPr>
      </w:pPr>
      <w:r w:rsidRPr="008D4C87">
        <w:rPr>
          <w:lang w:eastAsia="ja-JP"/>
        </w:rPr>
        <w:t>The proposed dosage regimen for SC use (a fixed dose of 1400 mg for all patients) was justified on pharmacokinetic criteria. Study BP 22333 demonstrated that this regimen would produce trough serum concentrations of rituximab that were non-inferior to those produced by the standard IV dose of 375 mg/m2.</w:t>
      </w:r>
    </w:p>
    <w:p w:rsidR="00C22678" w:rsidRDefault="00C22678" w:rsidP="00862A0F">
      <w:pPr>
        <w:pStyle w:val="Heading2"/>
      </w:pPr>
      <w:bookmarkStart w:id="30" w:name="_Toc399501541"/>
      <w:r>
        <w:t>Clinical efficacy</w:t>
      </w:r>
      <w:bookmarkEnd w:id="30"/>
    </w:p>
    <w:p w:rsidR="008D4C87" w:rsidRDefault="008D4C87" w:rsidP="00862A0F">
      <w:pPr>
        <w:pStyle w:val="Heading3"/>
      </w:pPr>
      <w:bookmarkStart w:id="31" w:name="_Toc399501542"/>
      <w:r>
        <w:t>Studies providing efficacy data</w:t>
      </w:r>
      <w:bookmarkEnd w:id="31"/>
    </w:p>
    <w:p w:rsidR="008D4C87" w:rsidRDefault="008D4C87" w:rsidP="00862A0F">
      <w:pPr>
        <w:pStyle w:val="Heading4"/>
      </w:pPr>
      <w:bookmarkStart w:id="32" w:name="_Ref271037274"/>
      <w:bookmarkStart w:id="33" w:name="_Toc272414652"/>
      <w:bookmarkStart w:id="34" w:name="_Toc290846274"/>
      <w:bookmarkStart w:id="35" w:name="_Toc234034035"/>
      <w:r>
        <w:t xml:space="preserve">Pivotal efficacy </w:t>
      </w:r>
      <w:bookmarkEnd w:id="32"/>
      <w:bookmarkEnd w:id="33"/>
      <w:bookmarkEnd w:id="34"/>
      <w:r>
        <w:t>data</w:t>
      </w:r>
      <w:bookmarkEnd w:id="35"/>
    </w:p>
    <w:p w:rsidR="008D4C87" w:rsidRDefault="008D4C87" w:rsidP="00862A0F">
      <w:r>
        <w:t>Only one of the two submitted studies (BO 22334 Stage 1) contained clinical efficacy data.</w:t>
      </w:r>
    </w:p>
    <w:p w:rsidR="008D4C87" w:rsidRDefault="008D4C87" w:rsidP="00862A0F">
      <w:pPr>
        <w:ind w:left="720"/>
      </w:pPr>
      <w:r>
        <w:t>Comment: As described below, examination of efficacy was a secondary objective in BO 22334 Stage 1 and no formal efficacy hypothesis was tested. It might therefore not be considered a ‘pivotal’ efficacy study. However, as it provides the only clinical efficacy data in the submission, it will be considered pivotal for the purposes of this review.</w:t>
      </w:r>
    </w:p>
    <w:p w:rsidR="008D4C87" w:rsidRDefault="008D4C87" w:rsidP="00862A0F">
      <w:r>
        <w:t xml:space="preserve">Study BO 22334 is a two-stage study. The primary objective of Stage 1 was a pharmacokinetic one, that is, to estimate the ratio of serum trough concentrations obtained with SC and IV administration. The primary objective of Stage 2 will be of efficacy, that is, to estimate the overall response rates obtained with SC and IV administration. The design of Stages 1 and 2 was identical except that Stage 1 involved more intensive pharmacokinetic sampling. </w:t>
      </w:r>
      <w:r w:rsidRPr="00D15626">
        <w:t>The submission only contained data from Stage 1 of the study.</w:t>
      </w:r>
    </w:p>
    <w:p w:rsidR="008D4C87" w:rsidRDefault="008D4C87" w:rsidP="00862A0F">
      <w:pPr>
        <w:pStyle w:val="Heading3"/>
      </w:pPr>
      <w:bookmarkStart w:id="36" w:name="_Ref243301615"/>
      <w:bookmarkStart w:id="37" w:name="_Ref271040927"/>
      <w:bookmarkStart w:id="38" w:name="_Ref271040932"/>
      <w:bookmarkStart w:id="39" w:name="_Toc272414653"/>
      <w:bookmarkStart w:id="40" w:name="_Toc290846275"/>
      <w:bookmarkStart w:id="41" w:name="_Toc234034036"/>
      <w:bookmarkStart w:id="42" w:name="_Toc399501543"/>
      <w:r w:rsidRPr="003C0A48">
        <w:t>S</w:t>
      </w:r>
      <w:r>
        <w:t xml:space="preserve">tudy </w:t>
      </w:r>
      <w:bookmarkEnd w:id="36"/>
      <w:bookmarkEnd w:id="37"/>
      <w:bookmarkEnd w:id="38"/>
      <w:bookmarkEnd w:id="39"/>
      <w:bookmarkEnd w:id="40"/>
      <w:r>
        <w:t xml:space="preserve">BO 22334 </w:t>
      </w:r>
      <w:r w:rsidR="00862A0F">
        <w:t>s</w:t>
      </w:r>
      <w:r>
        <w:t>tage 1</w:t>
      </w:r>
      <w:bookmarkEnd w:id="41"/>
      <w:bookmarkEnd w:id="42"/>
    </w:p>
    <w:p w:rsidR="008D4C87" w:rsidRPr="003C0A48" w:rsidRDefault="008D4C87" w:rsidP="00862A0F">
      <w:pPr>
        <w:pStyle w:val="Heading4"/>
      </w:pPr>
      <w:bookmarkStart w:id="43" w:name="_Ref233166284"/>
      <w:bookmarkStart w:id="44" w:name="_Toc234034037"/>
      <w:r w:rsidRPr="003C0A48">
        <w:t xml:space="preserve">Study design, </w:t>
      </w:r>
      <w:r w:rsidRPr="00862A0F">
        <w:t>objectives</w:t>
      </w:r>
      <w:r w:rsidRPr="003C0A48">
        <w:t>, locations and dates</w:t>
      </w:r>
      <w:bookmarkEnd w:id="43"/>
      <w:bookmarkEnd w:id="44"/>
    </w:p>
    <w:p w:rsidR="008D4C87" w:rsidRPr="00A4228F" w:rsidRDefault="008D4C87" w:rsidP="00862A0F">
      <w:r w:rsidRPr="00A4228F">
        <w:t>Study BO 22334 Stage 1 was a Phase 3, randomised, open study with two parallel groups. It was conducted in patients with previously untreated follicular lymphoma undergoing induction treatment.</w:t>
      </w:r>
    </w:p>
    <w:p w:rsidR="008D4C87" w:rsidRPr="00A4228F" w:rsidRDefault="008D4C87" w:rsidP="00862A0F">
      <w:r w:rsidRPr="00A4228F">
        <w:lastRenderedPageBreak/>
        <w:t xml:space="preserve">The primary objective of </w:t>
      </w:r>
      <w:r w:rsidR="00766AFA">
        <w:t>Stage 1</w:t>
      </w:r>
      <w:r w:rsidRPr="00A4228F">
        <w:t xml:space="preserve"> was to estimate the ratio of trough serum concentrations of rituximab obtained at Cycle 7, (21 days after SC administration) to that obtained after IV administration (C</w:t>
      </w:r>
      <w:r w:rsidRPr="00A4228F">
        <w:rPr>
          <w:vertAlign w:val="subscript"/>
        </w:rPr>
        <w:t>trough</w:t>
      </w:r>
      <w:r w:rsidRPr="00A4228F">
        <w:t>, SC/C</w:t>
      </w:r>
      <w:r w:rsidRPr="00A4228F">
        <w:rPr>
          <w:vertAlign w:val="subscript"/>
        </w:rPr>
        <w:t>trough</w:t>
      </w:r>
      <w:r w:rsidRPr="00A4228F">
        <w:t>, IV during Cycle 7 of induction treatment).</w:t>
      </w:r>
    </w:p>
    <w:p w:rsidR="008D4C87" w:rsidRPr="00A4228F" w:rsidRDefault="008D4C87" w:rsidP="00862A0F">
      <w:r w:rsidRPr="00A4228F">
        <w:t>One of the secondary objectives of Stage 1 was to compare overall response rate (ORR) of rituximab SC and rituximab IV given in combination with chemotherapy (CHOP or CVP) as induction treatment at the end/completion of induction treatment.</w:t>
      </w:r>
    </w:p>
    <w:p w:rsidR="008D4C87" w:rsidRPr="00A4228F" w:rsidRDefault="008D4C87" w:rsidP="00862A0F">
      <w:r w:rsidRPr="00A4228F">
        <w:t>Stage 1 of BO 22334 was conducted in 67 centres in 23 countries. The first patient was screened in February 2010 and the cut-off date for data to be included in the study report was June 2012. The submitted study report was dated October 2012.</w:t>
      </w:r>
    </w:p>
    <w:p w:rsidR="008D4C87" w:rsidRPr="00A4228F" w:rsidRDefault="008D4C87" w:rsidP="00862A0F">
      <w:r w:rsidRPr="00A4228F">
        <w:t xml:space="preserve">BO 22334 is also referred to as the ‘SABRINA’ study. It does not appear to have been published other than in conference abstract </w:t>
      </w:r>
      <w:proofErr w:type="gramStart"/>
      <w:r w:rsidRPr="00A4228F">
        <w:t>form</w:t>
      </w:r>
      <w:r w:rsidRPr="00766AFA">
        <w:rPr>
          <w:vertAlign w:val="superscript"/>
        </w:rPr>
        <w:t>(</w:t>
      </w:r>
      <w:proofErr w:type="gramEnd"/>
      <w:r w:rsidRPr="00766AFA">
        <w:rPr>
          <w:vertAlign w:val="superscript"/>
        </w:rPr>
        <w:t>3)</w:t>
      </w:r>
      <w:r w:rsidRPr="00A4228F">
        <w:t>.</w:t>
      </w:r>
    </w:p>
    <w:p w:rsidR="008D4C87" w:rsidRPr="004B259C" w:rsidRDefault="008D4C87" w:rsidP="00862A0F">
      <w:pPr>
        <w:pStyle w:val="Heading4"/>
      </w:pPr>
      <w:bookmarkStart w:id="45" w:name="_Toc234034038"/>
      <w:r w:rsidRPr="004B259C">
        <w:t>Inclusion and exclusion criteria</w:t>
      </w:r>
      <w:bookmarkEnd w:id="45"/>
    </w:p>
    <w:p w:rsidR="008D4C87" w:rsidRDefault="008D4C87" w:rsidP="00862A0F">
      <w:r>
        <w:t>Comment:</w:t>
      </w:r>
      <w:r w:rsidR="00A4228F">
        <w:t xml:space="preserve"> </w:t>
      </w:r>
      <w:r>
        <w:t>The study enrolled subjects with previously untreated follicular lymphoma (</w:t>
      </w:r>
      <w:r w:rsidR="00A4228F">
        <w:t>G</w:t>
      </w:r>
      <w:r>
        <w:t xml:space="preserve">rades 1, 2 and 3a) and therefore examined use of SC administration in the induction setting. In </w:t>
      </w:r>
      <w:r w:rsidR="00A4228F">
        <w:t>S</w:t>
      </w:r>
      <w:r>
        <w:t>tudy BP 223333, only use in the maintenance setting had been studied.</w:t>
      </w:r>
    </w:p>
    <w:p w:rsidR="008D4C87" w:rsidRPr="004B259C" w:rsidRDefault="008D4C87" w:rsidP="00862A0F">
      <w:pPr>
        <w:pStyle w:val="Heading4"/>
      </w:pPr>
      <w:bookmarkStart w:id="46" w:name="_Ref233166748"/>
      <w:bookmarkStart w:id="47" w:name="_Toc234034039"/>
      <w:r w:rsidRPr="004B259C">
        <w:t>Study treatments</w:t>
      </w:r>
      <w:bookmarkEnd w:id="46"/>
      <w:bookmarkEnd w:id="47"/>
    </w:p>
    <w:p w:rsidR="008D4C87" w:rsidRPr="001E5732" w:rsidRDefault="008D4C87" w:rsidP="00862A0F">
      <w:pPr>
        <w:pStyle w:val="Heading5"/>
      </w:pPr>
      <w:r w:rsidRPr="001E5732">
        <w:t>Induction treatment</w:t>
      </w:r>
    </w:p>
    <w:p w:rsidR="008D4C87" w:rsidRDefault="008D4C87" w:rsidP="00862A0F">
      <w:r>
        <w:t>All patients enrolled in the study received combination chemotherapy during induction treatment – either the CHOP regimen or the CVP regimen. The choice of chemotherapy regimen for an individual patient was at the discretion of the treating investigator. Investigators had to choose a regimen prior to randomisation.</w:t>
      </w:r>
    </w:p>
    <w:p w:rsidR="008D4C87" w:rsidRDefault="008D4C87" w:rsidP="00862A0F">
      <w:r>
        <w:t>One cycle of CHOP chemotherapy consisted of the following:</w:t>
      </w:r>
    </w:p>
    <w:p w:rsidR="008D4C87" w:rsidRDefault="00862A0F" w:rsidP="00862A0F">
      <w:pPr>
        <w:pStyle w:val="ListBullet"/>
        <w:tabs>
          <w:tab w:val="left" w:pos="2977"/>
        </w:tabs>
      </w:pPr>
      <w:r>
        <w:t>Cyclophosphamide</w:t>
      </w:r>
      <w:r w:rsidR="00E35B49">
        <w:tab/>
      </w:r>
      <w:r w:rsidR="008D4C87">
        <w:t>750 mg/m</w:t>
      </w:r>
      <w:r w:rsidR="008D4C87" w:rsidRPr="001E5732">
        <w:rPr>
          <w:vertAlign w:val="superscript"/>
        </w:rPr>
        <w:t>2</w:t>
      </w:r>
      <w:r w:rsidR="008D4C87">
        <w:tab/>
        <w:t>IV</w:t>
      </w:r>
      <w:r w:rsidR="008D4C87">
        <w:tab/>
        <w:t>Day 1</w:t>
      </w:r>
    </w:p>
    <w:p w:rsidR="008D4C87" w:rsidRDefault="00862A0F" w:rsidP="00862A0F">
      <w:pPr>
        <w:pStyle w:val="ListBullet"/>
        <w:tabs>
          <w:tab w:val="left" w:pos="2977"/>
        </w:tabs>
      </w:pPr>
      <w:r>
        <w:t>Doxorubicin</w:t>
      </w:r>
      <w:r w:rsidR="00E35B49">
        <w:tab/>
      </w:r>
      <w:r w:rsidR="008D4C87">
        <w:t>50 mg/m</w:t>
      </w:r>
      <w:r w:rsidR="008D4C87" w:rsidRPr="001E5732">
        <w:rPr>
          <w:vertAlign w:val="superscript"/>
        </w:rPr>
        <w:t>2</w:t>
      </w:r>
      <w:r w:rsidR="008D4C87">
        <w:tab/>
        <w:t>IV</w:t>
      </w:r>
      <w:r w:rsidR="008D4C87">
        <w:tab/>
        <w:t>Day 1</w:t>
      </w:r>
    </w:p>
    <w:p w:rsidR="008D4C87" w:rsidRDefault="008D4C87" w:rsidP="00862A0F">
      <w:pPr>
        <w:pStyle w:val="ListBullet"/>
        <w:tabs>
          <w:tab w:val="left" w:pos="2977"/>
        </w:tabs>
      </w:pPr>
      <w:r>
        <w:t>Vincristine</w:t>
      </w:r>
      <w:r>
        <w:tab/>
        <w:t>1.4 mg/m</w:t>
      </w:r>
      <w:r w:rsidRPr="001E5732">
        <w:rPr>
          <w:vertAlign w:val="superscript"/>
        </w:rPr>
        <w:t>2</w:t>
      </w:r>
      <w:r>
        <w:tab/>
        <w:t>IV</w:t>
      </w:r>
      <w:r>
        <w:tab/>
        <w:t>Day 1 (maximum dose of 2 mg)</w:t>
      </w:r>
    </w:p>
    <w:p w:rsidR="008D4C87" w:rsidRDefault="008D4C87" w:rsidP="00862A0F">
      <w:pPr>
        <w:pStyle w:val="ListBullet"/>
        <w:tabs>
          <w:tab w:val="left" w:pos="2977"/>
        </w:tabs>
      </w:pPr>
      <w:r>
        <w:t>Prednisone</w:t>
      </w:r>
      <w:r>
        <w:tab/>
        <w:t>100 mg/day</w:t>
      </w:r>
      <w:r>
        <w:tab/>
        <w:t>IV/PO</w:t>
      </w:r>
      <w:r>
        <w:tab/>
        <w:t>Days 1, 2, 3, 4 and 5</w:t>
      </w:r>
    </w:p>
    <w:p w:rsidR="008D4C87" w:rsidRDefault="008D4C87" w:rsidP="00862A0F">
      <w:r>
        <w:t>This regimen was repeated every 21 days for up to 8 cycles.</w:t>
      </w:r>
    </w:p>
    <w:p w:rsidR="008D4C87" w:rsidRDefault="008D4C87" w:rsidP="00862A0F">
      <w:r>
        <w:t>One cycle of CVP chemotherapy consisted of the following:</w:t>
      </w:r>
    </w:p>
    <w:p w:rsidR="008D4C87" w:rsidRDefault="008D4C87" w:rsidP="00862A0F">
      <w:pPr>
        <w:pStyle w:val="ListBullet"/>
        <w:tabs>
          <w:tab w:val="left" w:pos="2977"/>
        </w:tabs>
      </w:pPr>
      <w:r>
        <w:t>Cyclophosphamide</w:t>
      </w:r>
      <w:r>
        <w:tab/>
        <w:t>750 mg/m</w:t>
      </w:r>
      <w:r w:rsidRPr="001E5732">
        <w:rPr>
          <w:vertAlign w:val="superscript"/>
        </w:rPr>
        <w:t>2</w:t>
      </w:r>
      <w:r>
        <w:tab/>
        <w:t>IV</w:t>
      </w:r>
      <w:r>
        <w:tab/>
        <w:t>Day 1</w:t>
      </w:r>
    </w:p>
    <w:p w:rsidR="008D4C87" w:rsidRDefault="008D4C87" w:rsidP="00862A0F">
      <w:pPr>
        <w:pStyle w:val="ListBullet"/>
        <w:tabs>
          <w:tab w:val="left" w:pos="2977"/>
        </w:tabs>
      </w:pPr>
      <w:r>
        <w:t>Vincristine</w:t>
      </w:r>
      <w:r>
        <w:tab/>
        <w:t>1.4 mg/m</w:t>
      </w:r>
      <w:r w:rsidRPr="001E5732">
        <w:rPr>
          <w:vertAlign w:val="superscript"/>
        </w:rPr>
        <w:t>2</w:t>
      </w:r>
      <w:r>
        <w:tab/>
        <w:t>IV</w:t>
      </w:r>
      <w:r>
        <w:tab/>
        <w:t>Day 1</w:t>
      </w:r>
      <w:r w:rsidR="00766AFA">
        <w:t xml:space="preserve"> </w:t>
      </w:r>
      <w:r>
        <w:t>(maximum dose of 2 mg)</w:t>
      </w:r>
    </w:p>
    <w:p w:rsidR="008D4C87" w:rsidRDefault="008D4C87" w:rsidP="00862A0F">
      <w:pPr>
        <w:pStyle w:val="ListBullet"/>
        <w:tabs>
          <w:tab w:val="left" w:pos="2977"/>
        </w:tabs>
      </w:pPr>
      <w:r>
        <w:t>Prednisone</w:t>
      </w:r>
      <w:r>
        <w:tab/>
      </w:r>
      <w:r w:rsidR="00E35B49">
        <w:t>40 mg/day</w:t>
      </w:r>
      <w:r>
        <w:tab/>
        <w:t>IV/PO</w:t>
      </w:r>
      <w:r>
        <w:tab/>
        <w:t>Days 1, 2, 3, 4 and 5</w:t>
      </w:r>
    </w:p>
    <w:p w:rsidR="008D4C87" w:rsidRDefault="008D4C87" w:rsidP="00862A0F">
      <w:r>
        <w:t>This regimen was repeated every 21 days for 8 cycles.</w:t>
      </w:r>
    </w:p>
    <w:p w:rsidR="008D4C87" w:rsidRDefault="008D4C87" w:rsidP="00862A0F">
      <w:r>
        <w:t xml:space="preserve">For the </w:t>
      </w:r>
      <w:r w:rsidRPr="00B61B49">
        <w:rPr>
          <w:u w:val="single"/>
        </w:rPr>
        <w:t>first cycle</w:t>
      </w:r>
      <w:r>
        <w:t xml:space="preserve"> of induction treatment all patients received rituximab 375 mg/m</w:t>
      </w:r>
      <w:r w:rsidRPr="001E5732">
        <w:rPr>
          <w:vertAlign w:val="superscript"/>
        </w:rPr>
        <w:t>2</w:t>
      </w:r>
      <w:r w:rsidR="00B864AF">
        <w:t xml:space="preserve"> IV, given on Day 0, Day 1 or D</w:t>
      </w:r>
      <w:r>
        <w:t>ay 2.</w:t>
      </w:r>
    </w:p>
    <w:p w:rsidR="008D4C87" w:rsidRDefault="008D4C87" w:rsidP="00862A0F">
      <w:r>
        <w:t xml:space="preserve">For </w:t>
      </w:r>
      <w:r w:rsidRPr="00B61B49">
        <w:rPr>
          <w:u w:val="single"/>
        </w:rPr>
        <w:t>cycles 2-8</w:t>
      </w:r>
      <w:r>
        <w:t xml:space="preserve"> of induction treatment patients received either:</w:t>
      </w:r>
    </w:p>
    <w:p w:rsidR="008D4C87" w:rsidRDefault="008D4C87" w:rsidP="00862A0F">
      <w:pPr>
        <w:pStyle w:val="ListBullet"/>
        <w:tabs>
          <w:tab w:val="left" w:pos="2977"/>
        </w:tabs>
      </w:pPr>
      <w:r>
        <w:t>Rituximab</w:t>
      </w:r>
      <w:r>
        <w:tab/>
        <w:t>375 mg/m</w:t>
      </w:r>
      <w:r w:rsidRPr="001E5732">
        <w:rPr>
          <w:vertAlign w:val="superscript"/>
        </w:rPr>
        <w:t>2</w:t>
      </w:r>
      <w:r>
        <w:tab/>
        <w:t>IV</w:t>
      </w:r>
      <w:r>
        <w:tab/>
        <w:t>Day 1; or</w:t>
      </w:r>
    </w:p>
    <w:p w:rsidR="008D4C87" w:rsidRDefault="008D4C87" w:rsidP="00862A0F">
      <w:pPr>
        <w:pStyle w:val="ListBullet"/>
        <w:tabs>
          <w:tab w:val="left" w:pos="2977"/>
        </w:tabs>
      </w:pPr>
      <w:r>
        <w:t>Rituximab</w:t>
      </w:r>
      <w:r>
        <w:tab/>
        <w:t>1400 mg</w:t>
      </w:r>
      <w:r>
        <w:tab/>
        <w:t>SC</w:t>
      </w:r>
      <w:r>
        <w:tab/>
        <w:t>Day 0 (for cycle 2) or Day 1 (cycles 3-8)</w:t>
      </w:r>
    </w:p>
    <w:p w:rsidR="008D4C87" w:rsidRPr="00B61B49" w:rsidRDefault="008D4C87" w:rsidP="00862A0F">
      <w:pPr>
        <w:pStyle w:val="Heading5"/>
      </w:pPr>
      <w:r w:rsidRPr="00B61B49">
        <w:t>Maintenance treatment</w:t>
      </w:r>
    </w:p>
    <w:p w:rsidR="008D4C87" w:rsidRPr="002A17FC" w:rsidRDefault="008D4C87" w:rsidP="00862A0F">
      <w:pPr>
        <w:rPr>
          <w:lang w:val="en-US"/>
        </w:rPr>
      </w:pPr>
      <w:r>
        <w:t xml:space="preserve">After induction treatment, those patients who achieved a response (complete response, unconfirmed complete response or partial response </w:t>
      </w:r>
      <w:r w:rsidRPr="002A17FC">
        <w:rPr>
          <w:lang w:val="en-US"/>
        </w:rPr>
        <w:t>according to</w:t>
      </w:r>
      <w:r>
        <w:rPr>
          <w:lang w:val="en-US"/>
        </w:rPr>
        <w:t xml:space="preserve"> </w:t>
      </w:r>
      <w:r w:rsidRPr="002A17FC">
        <w:rPr>
          <w:lang w:val="en-US"/>
        </w:rPr>
        <w:t>the International Working Group response criteria for lymphoma</w:t>
      </w:r>
      <w:r>
        <w:t xml:space="preserve">) received maintenance therapy with single agent </w:t>
      </w:r>
      <w:r>
        <w:lastRenderedPageBreak/>
        <w:t>rituximab (</w:t>
      </w:r>
      <w:proofErr w:type="gramStart"/>
      <w:r>
        <w:t>either 375</w:t>
      </w:r>
      <w:proofErr w:type="gramEnd"/>
      <w:r>
        <w:t xml:space="preserve"> mg/m</w:t>
      </w:r>
      <w:r w:rsidRPr="001E5732">
        <w:rPr>
          <w:vertAlign w:val="superscript"/>
        </w:rPr>
        <w:t>2</w:t>
      </w:r>
      <w:r>
        <w:t xml:space="preserve"> IV or 1400 mg SC). Maintenance doses were given every 8 weeks for up to 2 years (a total of 12 maintenance doses). Subjects were followed up for 2 years after completion of maintenance treatment.</w:t>
      </w:r>
    </w:p>
    <w:p w:rsidR="008D4C87" w:rsidRDefault="008D4C87" w:rsidP="00862A0F">
      <w:r>
        <w:t xml:space="preserve">A schematic of the study treatments is shown in </w:t>
      </w:r>
      <w:r w:rsidR="00B864AF">
        <w:t>Figure 1</w:t>
      </w:r>
      <w:r>
        <w:t>.</w:t>
      </w:r>
    </w:p>
    <w:p w:rsidR="00B864AF" w:rsidRPr="008073ED" w:rsidRDefault="00B864AF" w:rsidP="006B7A34">
      <w:pPr>
        <w:pStyle w:val="FigureTitle"/>
      </w:pPr>
      <w:proofErr w:type="gramStart"/>
      <w:r>
        <w:t>Figure 1.</w:t>
      </w:r>
      <w:proofErr w:type="gramEnd"/>
      <w:r w:rsidRPr="00B864AF">
        <w:t xml:space="preserve"> Study BO 22334 Stage 1 - Study </w:t>
      </w:r>
      <w:r w:rsidRPr="006B7A34">
        <w:t>schema</w:t>
      </w:r>
    </w:p>
    <w:p w:rsidR="00B864AF" w:rsidRDefault="00B864AF" w:rsidP="006B7A34">
      <w:r>
        <w:rPr>
          <w:noProof/>
          <w:lang w:eastAsia="en-AU"/>
        </w:rPr>
        <w:drawing>
          <wp:inline distT="0" distB="0" distL="0" distR="0" wp14:anchorId="32154842" wp14:editId="7581D52E">
            <wp:extent cx="4405745" cy="1740239"/>
            <wp:effectExtent l="0" t="0" r="0" b="0"/>
            <wp:docPr id="46" name="Picture 1" descr="Figure 1. - Study BO 22334 Stage 1 - Study s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l="2771" t="5484" r="2337" b="2903"/>
                    <a:stretch/>
                  </pic:blipFill>
                  <pic:spPr bwMode="auto">
                    <a:xfrm>
                      <a:off x="0" y="0"/>
                      <a:ext cx="4409984" cy="1741913"/>
                    </a:xfrm>
                    <a:prstGeom prst="rect">
                      <a:avLst/>
                    </a:prstGeom>
                    <a:noFill/>
                    <a:ln>
                      <a:noFill/>
                    </a:ln>
                    <a:extLst>
                      <a:ext uri="{53640926-AAD7-44D8-BBD7-CCE9431645EC}">
                        <a14:shadowObscured xmlns:a14="http://schemas.microsoft.com/office/drawing/2010/main"/>
                      </a:ext>
                    </a:extLst>
                  </pic:spPr>
                </pic:pic>
              </a:graphicData>
            </a:graphic>
          </wp:inline>
        </w:drawing>
      </w:r>
    </w:p>
    <w:p w:rsidR="008D4C87" w:rsidRDefault="008D4C87" w:rsidP="006B7A34">
      <w:pPr>
        <w:ind w:left="720"/>
      </w:pPr>
      <w:r>
        <w:t>Comment:</w:t>
      </w:r>
      <w:r w:rsidR="00B864AF">
        <w:t xml:space="preserve"> </w:t>
      </w:r>
      <w:r>
        <w:t>The approved maintenance regimen in Australia is once every 3 months, as opposed to the 2</w:t>
      </w:r>
      <w:r w:rsidR="00766AFA">
        <w:t xml:space="preserve"> </w:t>
      </w:r>
      <w:r>
        <w:t xml:space="preserve">monthly </w:t>
      </w:r>
      <w:proofErr w:type="gramStart"/>
      <w:r>
        <w:t>regimen</w:t>
      </w:r>
      <w:proofErr w:type="gramEnd"/>
      <w:r>
        <w:t xml:space="preserve"> used in this study.</w:t>
      </w:r>
      <w:r w:rsidR="00766AFA">
        <w:t xml:space="preserve"> </w:t>
      </w:r>
      <w:r>
        <w:t xml:space="preserve">Nevertheless the data generated are still considered valuable for comparing the efficacy and safety of SC </w:t>
      </w:r>
      <w:r w:rsidR="00AB2DB9">
        <w:t>versus</w:t>
      </w:r>
      <w:r>
        <w:t xml:space="preserve"> IV administration.</w:t>
      </w:r>
    </w:p>
    <w:p w:rsidR="008D4C87" w:rsidRDefault="008D4C87" w:rsidP="006B7A34">
      <w:pPr>
        <w:rPr>
          <w:lang w:val="en-US"/>
        </w:rPr>
      </w:pPr>
      <w:r>
        <w:t xml:space="preserve">SC administration was via a 27-gauge needle inserted into the SC tissue of the abdomen. </w:t>
      </w:r>
      <w:r w:rsidRPr="005B4A97">
        <w:rPr>
          <w:lang w:val="en-US"/>
        </w:rPr>
        <w:t xml:space="preserve">The injection was manually pushed at a </w:t>
      </w:r>
      <w:r>
        <w:rPr>
          <w:lang w:val="en-US"/>
        </w:rPr>
        <w:t>flow rate of approximately 2 mL per minute</w:t>
      </w:r>
      <w:r w:rsidRPr="005B4A97">
        <w:rPr>
          <w:lang w:val="en-US"/>
        </w:rPr>
        <w:t>; therefore</w:t>
      </w:r>
      <w:r>
        <w:rPr>
          <w:lang w:val="en-US"/>
        </w:rPr>
        <w:t xml:space="preserve"> </w:t>
      </w:r>
      <w:r w:rsidRPr="005B4A97">
        <w:rPr>
          <w:lang w:val="en-US"/>
        </w:rPr>
        <w:t>an administration volume of 11.7 mL took approximately 5–6 minutes.</w:t>
      </w:r>
      <w:r>
        <w:rPr>
          <w:lang w:val="en-US"/>
        </w:rPr>
        <w:t xml:space="preserve"> Patients could request that the injection be interrupted if too painful.</w:t>
      </w:r>
    </w:p>
    <w:p w:rsidR="008D4C87" w:rsidRDefault="008D4C87" w:rsidP="006B7A34">
      <w:pPr>
        <w:ind w:left="720"/>
        <w:rPr>
          <w:lang w:val="en-US"/>
        </w:rPr>
      </w:pPr>
      <w:r>
        <w:rPr>
          <w:lang w:val="en-US"/>
        </w:rPr>
        <w:t>Comment:</w:t>
      </w:r>
      <w:r w:rsidR="00B864AF">
        <w:rPr>
          <w:lang w:val="en-US"/>
        </w:rPr>
        <w:t xml:space="preserve"> </w:t>
      </w:r>
      <w:r>
        <w:rPr>
          <w:lang w:val="en-US"/>
        </w:rPr>
        <w:t xml:space="preserve">The relevant EMA </w:t>
      </w:r>
      <w:proofErr w:type="gramStart"/>
      <w:r>
        <w:rPr>
          <w:lang w:val="en-US"/>
        </w:rPr>
        <w:t>guideline</w:t>
      </w:r>
      <w:r w:rsidR="00766AFA" w:rsidRPr="00766AFA">
        <w:rPr>
          <w:vertAlign w:val="superscript"/>
          <w:lang w:val="en-US"/>
        </w:rPr>
        <w:t>(</w:t>
      </w:r>
      <w:proofErr w:type="gramEnd"/>
      <w:r w:rsidR="00766AFA" w:rsidRPr="00766AFA">
        <w:rPr>
          <w:vertAlign w:val="superscript"/>
          <w:lang w:val="en-US"/>
        </w:rPr>
        <w:t>2)</w:t>
      </w:r>
      <w:r>
        <w:rPr>
          <w:lang w:val="en-US"/>
        </w:rPr>
        <w:t>, notes that bioavailability of subcutaneously administered proteins might vary according to the site of injection (abdomen, thigh, etc.). In the proposed PI, the dosage instructions restrict</w:t>
      </w:r>
      <w:r w:rsidR="006B7A34">
        <w:rPr>
          <w:lang w:val="en-US"/>
        </w:rPr>
        <w:t xml:space="preserve"> administration to the abdomen.</w:t>
      </w:r>
    </w:p>
    <w:p w:rsidR="008D4C87" w:rsidRPr="00C224AE" w:rsidRDefault="008D4C87" w:rsidP="006B7A34">
      <w:pPr>
        <w:rPr>
          <w:lang w:val="en-US"/>
        </w:rPr>
      </w:pPr>
      <w:r>
        <w:rPr>
          <w:lang w:val="en-US"/>
        </w:rPr>
        <w:t xml:space="preserve">The following premedication was recommended </w:t>
      </w:r>
      <w:r w:rsidRPr="00C224AE">
        <w:rPr>
          <w:lang w:val="en-US"/>
        </w:rPr>
        <w:t>30–60 minutes prior to starting each injection of rituximab SC or IV:</w:t>
      </w:r>
    </w:p>
    <w:p w:rsidR="008D4C87" w:rsidRPr="00C224AE" w:rsidRDefault="006B7A34" w:rsidP="006B7A34">
      <w:pPr>
        <w:pStyle w:val="ListBullet"/>
      </w:pPr>
      <w:r>
        <w:t>1000 mg of paracetamol; and</w:t>
      </w:r>
    </w:p>
    <w:p w:rsidR="008D4C87" w:rsidRDefault="008D4C87" w:rsidP="006B7A34">
      <w:pPr>
        <w:pStyle w:val="ListBullet"/>
      </w:pPr>
      <w:r w:rsidRPr="00C224AE">
        <w:t>50–100 mg diphenhydramine hydrochloride or alternative antihistamine</w:t>
      </w:r>
      <w:r>
        <w:t>.</w:t>
      </w:r>
    </w:p>
    <w:p w:rsidR="008D4C87" w:rsidRPr="00C224AE" w:rsidRDefault="008D4C87" w:rsidP="006B7A34">
      <w:r>
        <w:t xml:space="preserve">Medications for the prophylaxis of nausea and vomiting, infections, haemorrhagic cystitis and tumour </w:t>
      </w:r>
      <w:proofErr w:type="spellStart"/>
      <w:r>
        <w:t>lysis</w:t>
      </w:r>
      <w:proofErr w:type="spellEnd"/>
      <w:r>
        <w:t xml:space="preserve"> syndrome could be given as per usual institutional practice.</w:t>
      </w:r>
    </w:p>
    <w:p w:rsidR="008D4C87" w:rsidRPr="004B259C" w:rsidRDefault="008D4C87" w:rsidP="006B7A34">
      <w:pPr>
        <w:pStyle w:val="Heading4"/>
      </w:pPr>
      <w:bookmarkStart w:id="48" w:name="_Toc234034040"/>
      <w:r w:rsidRPr="004B259C">
        <w:t xml:space="preserve">Efficacy variables </w:t>
      </w:r>
      <w:r w:rsidRPr="006B7A34">
        <w:t>and</w:t>
      </w:r>
      <w:r w:rsidRPr="004B259C">
        <w:t xml:space="preserve"> outcomes</w:t>
      </w:r>
      <w:bookmarkEnd w:id="48"/>
    </w:p>
    <w:p w:rsidR="008D4C87" w:rsidRPr="004B259C" w:rsidRDefault="008D4C87" w:rsidP="006B7A34">
      <w:r>
        <w:t>The main efficacy variable</w:t>
      </w:r>
      <w:r w:rsidRPr="004B259C">
        <w:t xml:space="preserve"> </w:t>
      </w:r>
      <w:r>
        <w:t xml:space="preserve">was tumour response, as defined according to the International Working Group (IWG) response criteria for </w:t>
      </w:r>
      <w:proofErr w:type="gramStart"/>
      <w:r w:rsidRPr="00684ED0">
        <w:t>NHL</w:t>
      </w:r>
      <w:r w:rsidRPr="00684ED0">
        <w:rPr>
          <w:vertAlign w:val="superscript"/>
        </w:rPr>
        <w:t>(</w:t>
      </w:r>
      <w:proofErr w:type="gramEnd"/>
      <w:r w:rsidRPr="00684ED0">
        <w:rPr>
          <w:vertAlign w:val="superscript"/>
        </w:rPr>
        <w:t>4)</w:t>
      </w:r>
      <w:r w:rsidRPr="00684ED0">
        <w:t>.</w:t>
      </w:r>
      <w:r>
        <w:t xml:space="preserve"> A summary of the IWG response criteria is shown in</w:t>
      </w:r>
      <w:r w:rsidR="00B864AF">
        <w:t xml:space="preserve"> Table 2</w:t>
      </w:r>
      <w:r>
        <w:t>.</w:t>
      </w:r>
    </w:p>
    <w:p w:rsidR="00B864AF" w:rsidRDefault="00B864AF" w:rsidP="006B7A34">
      <w:pPr>
        <w:pStyle w:val="TableTitle"/>
      </w:pPr>
      <w:bookmarkStart w:id="49" w:name="_Ref232738168"/>
      <w:bookmarkStart w:id="50" w:name="_Toc234034164"/>
      <w:proofErr w:type="gramStart"/>
      <w:r>
        <w:t>Table 2</w:t>
      </w:r>
      <w:bookmarkEnd w:id="49"/>
      <w:r>
        <w:t>.</w:t>
      </w:r>
      <w:proofErr w:type="gramEnd"/>
      <w:r>
        <w:t xml:space="preserve"> IWG response criteria</w:t>
      </w:r>
      <w:bookmarkEnd w:id="50"/>
    </w:p>
    <w:p w:rsidR="00B864AF" w:rsidRDefault="00B864AF" w:rsidP="006B7A34">
      <w:r>
        <w:rPr>
          <w:noProof/>
          <w:lang w:eastAsia="en-AU"/>
        </w:rPr>
        <w:drawing>
          <wp:inline distT="0" distB="0" distL="0" distR="0" wp14:anchorId="10DC3150" wp14:editId="6A5C773E">
            <wp:extent cx="5925820" cy="1151059"/>
            <wp:effectExtent l="0" t="0" r="0" b="0"/>
            <wp:docPr id="50" name="Picture 1" descr="Table 2 - IWG response 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25820" cy="1151059"/>
                    </a:xfrm>
                    <a:prstGeom prst="rect">
                      <a:avLst/>
                    </a:prstGeom>
                    <a:noFill/>
                    <a:ln>
                      <a:noFill/>
                    </a:ln>
                  </pic:spPr>
                </pic:pic>
              </a:graphicData>
            </a:graphic>
          </wp:inline>
        </w:drawing>
      </w:r>
    </w:p>
    <w:p w:rsidR="008D4C87" w:rsidRDefault="008D4C87" w:rsidP="006B7A34">
      <w:r w:rsidRPr="004B259C">
        <w:t>The efficacy outcome</w:t>
      </w:r>
      <w:r>
        <w:t>s were:</w:t>
      </w:r>
    </w:p>
    <w:p w:rsidR="008D4C87" w:rsidRDefault="008D4C87" w:rsidP="006B7A34">
      <w:pPr>
        <w:pStyle w:val="ListBullet"/>
      </w:pPr>
      <w:r>
        <w:lastRenderedPageBreak/>
        <w:t>The overall response rate (ORR) at the end of induction treatment</w:t>
      </w:r>
      <w:r w:rsidRPr="004B259C">
        <w:t>.</w:t>
      </w:r>
      <w:r>
        <w:t xml:space="preserve"> ORR is the proportion of patients who achieved a complete response (CR), an unconfirmed CR (uCR) or a partial response (PR) according to IWG </w:t>
      </w:r>
      <w:r w:rsidRPr="006B7A34">
        <w:t>criteria</w:t>
      </w:r>
      <w:r>
        <w:t>;</w:t>
      </w:r>
    </w:p>
    <w:p w:rsidR="008D4C87" w:rsidRDefault="008D4C87" w:rsidP="006B7A34">
      <w:pPr>
        <w:pStyle w:val="ListBullet"/>
      </w:pPr>
      <w:r>
        <w:t xml:space="preserve">The complete response rate (CRR) at </w:t>
      </w:r>
      <w:r w:rsidRPr="006B7A34">
        <w:t>the</w:t>
      </w:r>
      <w:r>
        <w:t xml:space="preserve"> end of induction treatment. CRR is the proportion of patients who achieved a CR or a uCR according to IWG criteria;</w:t>
      </w:r>
    </w:p>
    <w:p w:rsidR="008D4C87" w:rsidRDefault="008D4C87" w:rsidP="006B7A34">
      <w:pPr>
        <w:ind w:left="360"/>
      </w:pPr>
      <w:r>
        <w:t>Comment:</w:t>
      </w:r>
      <w:r w:rsidR="00B864AF">
        <w:t xml:space="preserve"> </w:t>
      </w:r>
      <w:r>
        <w:t xml:space="preserve">The relevant EMA </w:t>
      </w:r>
      <w:proofErr w:type="gramStart"/>
      <w:r>
        <w:t>guideline</w:t>
      </w:r>
      <w:r w:rsidRPr="00CE35FB">
        <w:rPr>
          <w:vertAlign w:val="superscript"/>
        </w:rPr>
        <w:t>(</w:t>
      </w:r>
      <w:proofErr w:type="gramEnd"/>
      <w:r w:rsidRPr="00CE35FB">
        <w:rPr>
          <w:vertAlign w:val="superscript"/>
        </w:rPr>
        <w:t>1)</w:t>
      </w:r>
      <w:r>
        <w:t xml:space="preserve"> generally discourages the use of response rate as the primary efficacy variable in oncology studies. However, in the situation where two oncology products containing the same active ingredient are being compared, this is an acceptable approach. An analogous situation would be a non-inferiority efficacy study comparing an innovator and a </w:t>
      </w:r>
      <w:proofErr w:type="spellStart"/>
      <w:r>
        <w:t>biosimilar</w:t>
      </w:r>
      <w:proofErr w:type="spellEnd"/>
      <w:r>
        <w:t xml:space="preserve"> monoclonal antibody. The EMA guideline for this </w:t>
      </w:r>
      <w:proofErr w:type="gramStart"/>
      <w:r>
        <w:t>situation</w:t>
      </w:r>
      <w:r w:rsidRPr="003C5902">
        <w:rPr>
          <w:vertAlign w:val="superscript"/>
        </w:rPr>
        <w:t>(</w:t>
      </w:r>
      <w:proofErr w:type="gramEnd"/>
      <w:r w:rsidRPr="003C5902">
        <w:rPr>
          <w:vertAlign w:val="superscript"/>
        </w:rPr>
        <w:t>5)</w:t>
      </w:r>
      <w:r>
        <w:t xml:space="preserve"> recommends the use of response rates as an appropriate efficacy endpoint.</w:t>
      </w:r>
    </w:p>
    <w:p w:rsidR="008D4C87" w:rsidRDefault="008D4C87" w:rsidP="006B7A34">
      <w:r>
        <w:t>Other efficacy outcomes intended for Stage 1 of BO 22334 were the ORR and CRR at the end of maintenance treatment, progression-free survival, event-free survival and overall survival. However the results for these endpoints were not provided in the submitted study report and will be reported in the final study report (</w:t>
      </w:r>
      <w:r w:rsidR="00AB2DB9">
        <w:t>that is,</w:t>
      </w:r>
      <w:r>
        <w:t xml:space="preserve"> after the completion of Stage 2).</w:t>
      </w:r>
    </w:p>
    <w:p w:rsidR="008D4C87" w:rsidRDefault="008D4C87" w:rsidP="006B7A34">
      <w:r>
        <w:t>Tumour assessment by physical examination (palpable lymph nodes, liver and spleen size) took place at every treatment cycle (</w:t>
      </w:r>
      <w:r w:rsidR="00B864AF">
        <w:t>C</w:t>
      </w:r>
      <w:r>
        <w:t xml:space="preserve">ycles 1-8 at 3-weekly intervals during induction; </w:t>
      </w:r>
      <w:r w:rsidR="00AB2DB9">
        <w:t>C</w:t>
      </w:r>
      <w:r>
        <w:t>ycles 9-20 at 8</w:t>
      </w:r>
      <w:r w:rsidR="00295B82">
        <w:t xml:space="preserve"> </w:t>
      </w:r>
      <w:r>
        <w:t>weekly intervals during maintenance) and at 12 weekly intervals during the follow-up period. A clinical diagnosis of disease progression had to be confirmed by CT scan within 4 weeks.</w:t>
      </w:r>
    </w:p>
    <w:p w:rsidR="008D4C87" w:rsidRDefault="008D4C87" w:rsidP="006B7A34">
      <w:r>
        <w:t xml:space="preserve">CT scans (or MRI if CT was contraindicated) of the abdomen, chest, pelvis and, if indicated, neck were scheduled at screening, Day 19 of </w:t>
      </w:r>
      <w:r w:rsidR="00AB2DB9">
        <w:t>C</w:t>
      </w:r>
      <w:r>
        <w:t xml:space="preserve">ycle 4 and </w:t>
      </w:r>
      <w:r w:rsidR="00AB2DB9">
        <w:t>Day 19 of C</w:t>
      </w:r>
      <w:r>
        <w:t xml:space="preserve">ycle 8 during induction and on </w:t>
      </w:r>
      <w:r w:rsidR="00AB2DB9">
        <w:t>Day 1 of C</w:t>
      </w:r>
      <w:r>
        <w:t>ycles 11, 14, 17 and 20 during maintenance. They were also performed at 24</w:t>
      </w:r>
      <w:r w:rsidR="00295B82">
        <w:t xml:space="preserve"> </w:t>
      </w:r>
      <w:r>
        <w:t>week intervals during the follow-up period. Bone marrow aspirate and biopsy were performed at baseline and were repeated at the end of induction and maintenance only in patients requiring confirmation of complete response.</w:t>
      </w:r>
    </w:p>
    <w:p w:rsidR="008D4C87" w:rsidRPr="004B259C" w:rsidRDefault="008D4C87" w:rsidP="006B7A34">
      <w:pPr>
        <w:pStyle w:val="Heading4"/>
      </w:pPr>
      <w:bookmarkStart w:id="51" w:name="_Toc234034041"/>
      <w:r w:rsidRPr="004B259C">
        <w:t>Randomisation and blinding methods</w:t>
      </w:r>
      <w:bookmarkEnd w:id="51"/>
    </w:p>
    <w:p w:rsidR="008D4C87" w:rsidRDefault="008D4C87" w:rsidP="006B7A34">
      <w:pPr>
        <w:rPr>
          <w:lang w:val="en-US"/>
        </w:rPr>
      </w:pPr>
      <w:proofErr w:type="spellStart"/>
      <w:r>
        <w:rPr>
          <w:lang w:val="en-US"/>
        </w:rPr>
        <w:t>Randomisation</w:t>
      </w:r>
      <w:proofErr w:type="spellEnd"/>
      <w:r>
        <w:rPr>
          <w:lang w:val="en-US"/>
        </w:rPr>
        <w:t xml:space="preserve"> was carried out in a 1:1 fashion using the </w:t>
      </w:r>
      <w:proofErr w:type="spellStart"/>
      <w:r>
        <w:rPr>
          <w:lang w:val="en-US"/>
        </w:rPr>
        <w:t>Pocock</w:t>
      </w:r>
      <w:proofErr w:type="spellEnd"/>
      <w:r>
        <w:rPr>
          <w:lang w:val="en-US"/>
        </w:rPr>
        <w:t xml:space="preserve"> and Simon dynamic </w:t>
      </w:r>
      <w:proofErr w:type="spellStart"/>
      <w:r>
        <w:rPr>
          <w:lang w:val="en-US"/>
        </w:rPr>
        <w:t>randomisation</w:t>
      </w:r>
      <w:proofErr w:type="spellEnd"/>
      <w:r>
        <w:rPr>
          <w:lang w:val="en-US"/>
        </w:rPr>
        <w:t xml:space="preserve"> algorithm. </w:t>
      </w:r>
      <w:proofErr w:type="spellStart"/>
      <w:r w:rsidRPr="004B3DDC">
        <w:rPr>
          <w:lang w:val="en-US"/>
        </w:rPr>
        <w:t>Rand</w:t>
      </w:r>
      <w:r>
        <w:rPr>
          <w:lang w:val="en-US"/>
        </w:rPr>
        <w:t>omis</w:t>
      </w:r>
      <w:r w:rsidRPr="004B3DDC">
        <w:rPr>
          <w:lang w:val="en-US"/>
        </w:rPr>
        <w:t>ation</w:t>
      </w:r>
      <w:proofErr w:type="spellEnd"/>
      <w:r w:rsidRPr="004B3DDC">
        <w:rPr>
          <w:lang w:val="en-US"/>
        </w:rPr>
        <w:t xml:space="preserve"> was stratified by the selected chemotherapy (CHOP v</w:t>
      </w:r>
      <w:r w:rsidR="00AB2DB9">
        <w:rPr>
          <w:lang w:val="en-US"/>
        </w:rPr>
        <w:t xml:space="preserve">ersus </w:t>
      </w:r>
      <w:r w:rsidRPr="004B3DDC">
        <w:rPr>
          <w:lang w:val="en-US"/>
        </w:rPr>
        <w:t xml:space="preserve">CVP), Follicular Lymphoma International Prognostic Index (FLIPI) (low-risk </w:t>
      </w:r>
      <w:r w:rsidR="00AB2DB9">
        <w:rPr>
          <w:lang w:val="en-US"/>
        </w:rPr>
        <w:t>versus</w:t>
      </w:r>
      <w:r>
        <w:rPr>
          <w:lang w:val="en-US"/>
        </w:rPr>
        <w:t xml:space="preserve"> </w:t>
      </w:r>
      <w:r w:rsidRPr="004B3DDC">
        <w:rPr>
          <w:lang w:val="en-US"/>
        </w:rPr>
        <w:t xml:space="preserve">intermediate-risk </w:t>
      </w:r>
      <w:r w:rsidR="00AB2DB9">
        <w:rPr>
          <w:lang w:val="en-US"/>
        </w:rPr>
        <w:t>versus</w:t>
      </w:r>
      <w:r w:rsidRPr="004B3DDC">
        <w:rPr>
          <w:lang w:val="en-US"/>
        </w:rPr>
        <w:t xml:space="preserve"> high-risk</w:t>
      </w:r>
      <w:r>
        <w:rPr>
          <w:lang w:val="en-US"/>
        </w:rPr>
        <w:t xml:space="preserve"> – see </w:t>
      </w:r>
      <w:r w:rsidR="00AB2DB9">
        <w:rPr>
          <w:lang w:val="en-US"/>
        </w:rPr>
        <w:t>Table 3</w:t>
      </w:r>
      <w:r w:rsidRPr="004B3DDC">
        <w:rPr>
          <w:lang w:val="en-US"/>
        </w:rPr>
        <w:t xml:space="preserve">) and region (Europe and North America </w:t>
      </w:r>
      <w:r w:rsidR="00AB2DB9">
        <w:rPr>
          <w:lang w:val="en-US"/>
        </w:rPr>
        <w:t>versus</w:t>
      </w:r>
      <w:r w:rsidRPr="004B3DDC">
        <w:rPr>
          <w:lang w:val="en-US"/>
        </w:rPr>
        <w:t xml:space="preserve"> South and</w:t>
      </w:r>
      <w:r>
        <w:rPr>
          <w:lang w:val="en-US"/>
        </w:rPr>
        <w:t xml:space="preserve"> </w:t>
      </w:r>
      <w:r w:rsidRPr="004B3DDC">
        <w:rPr>
          <w:lang w:val="en-US"/>
        </w:rPr>
        <w:t xml:space="preserve">Central America </w:t>
      </w:r>
      <w:r w:rsidR="00AB2DB9">
        <w:rPr>
          <w:lang w:val="en-US"/>
        </w:rPr>
        <w:t>versus</w:t>
      </w:r>
      <w:r w:rsidRPr="004B3DDC">
        <w:rPr>
          <w:lang w:val="en-US"/>
        </w:rPr>
        <w:t xml:space="preserve"> Asia).</w:t>
      </w:r>
      <w:r>
        <w:rPr>
          <w:lang w:val="en-US"/>
        </w:rPr>
        <w:t xml:space="preserve"> </w:t>
      </w:r>
      <w:proofErr w:type="spellStart"/>
      <w:r>
        <w:rPr>
          <w:lang w:val="en-US"/>
        </w:rPr>
        <w:t>Randomisation</w:t>
      </w:r>
      <w:proofErr w:type="spellEnd"/>
      <w:r>
        <w:rPr>
          <w:lang w:val="en-US"/>
        </w:rPr>
        <w:t xml:space="preserve"> was conducted centrally via an interactive voice recognition service.</w:t>
      </w:r>
    </w:p>
    <w:p w:rsidR="00AB2DB9" w:rsidRDefault="00AB2DB9" w:rsidP="006B7A34">
      <w:pPr>
        <w:pStyle w:val="TableTitle"/>
      </w:pPr>
      <w:bookmarkStart w:id="52" w:name="_Ref232748211"/>
      <w:bookmarkStart w:id="53" w:name="_Toc234034165"/>
      <w:proofErr w:type="gramStart"/>
      <w:r>
        <w:t>Table 3.</w:t>
      </w:r>
      <w:bookmarkEnd w:id="52"/>
      <w:proofErr w:type="gramEnd"/>
      <w:r>
        <w:t xml:space="preserve"> FLIPI score</w:t>
      </w:r>
      <w:bookmarkEnd w:id="53"/>
    </w:p>
    <w:p w:rsidR="00AB2DB9" w:rsidRPr="00490C7D" w:rsidRDefault="00AB2DB9" w:rsidP="006B7A34">
      <w:r>
        <w:rPr>
          <w:noProof/>
          <w:lang w:eastAsia="en-AU"/>
        </w:rPr>
        <w:drawing>
          <wp:inline distT="0" distB="0" distL="0" distR="0" wp14:anchorId="785773AA" wp14:editId="4DFD4169">
            <wp:extent cx="2917011" cy="1405606"/>
            <wp:effectExtent l="0" t="0" r="0" b="0"/>
            <wp:docPr id="70" name="Picture 8" descr="Table 3. FLIPI s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
                      <a:extLst>
                        <a:ext uri="{28A0092B-C50C-407E-A947-70E740481C1C}">
                          <a14:useLocalDpi xmlns:a14="http://schemas.microsoft.com/office/drawing/2010/main" val="0"/>
                        </a:ext>
                      </a:extLst>
                    </a:blip>
                    <a:srcRect t="3125" b="10139"/>
                    <a:stretch/>
                  </pic:blipFill>
                  <pic:spPr bwMode="auto">
                    <a:xfrm>
                      <a:off x="0" y="0"/>
                      <a:ext cx="2921613" cy="1407824"/>
                    </a:xfrm>
                    <a:prstGeom prst="rect">
                      <a:avLst/>
                    </a:prstGeom>
                    <a:noFill/>
                    <a:ln>
                      <a:noFill/>
                    </a:ln>
                    <a:extLst>
                      <a:ext uri="{53640926-AAD7-44D8-BBD7-CCE9431645EC}">
                        <a14:shadowObscured xmlns:a14="http://schemas.microsoft.com/office/drawing/2010/main"/>
                      </a:ext>
                    </a:extLst>
                  </pic:spPr>
                </pic:pic>
              </a:graphicData>
            </a:graphic>
          </wp:inline>
        </w:drawing>
      </w:r>
    </w:p>
    <w:p w:rsidR="008D4C87" w:rsidRPr="008760B7" w:rsidRDefault="008D4C87" w:rsidP="006B7A34">
      <w:pPr>
        <w:rPr>
          <w:lang w:val="en-US"/>
        </w:rPr>
      </w:pPr>
      <w:r>
        <w:rPr>
          <w:lang w:val="en-US"/>
        </w:rPr>
        <w:t>Neither investigators nor patients were blinded to treatment allocation.</w:t>
      </w:r>
    </w:p>
    <w:p w:rsidR="008D4C87" w:rsidRDefault="008D4C87" w:rsidP="006B7A34">
      <w:pPr>
        <w:pStyle w:val="Heading4"/>
      </w:pPr>
      <w:bookmarkStart w:id="54" w:name="_Toc234034042"/>
      <w:r>
        <w:t>Analysis populations</w:t>
      </w:r>
      <w:bookmarkEnd w:id="54"/>
    </w:p>
    <w:p w:rsidR="008D4C87" w:rsidRPr="00280CBF" w:rsidRDefault="008D4C87" w:rsidP="006B7A34">
      <w:pPr>
        <w:rPr>
          <w:lang w:val="en-US"/>
        </w:rPr>
      </w:pPr>
      <w:r w:rsidRPr="00280CBF">
        <w:rPr>
          <w:lang w:val="en-US"/>
        </w:rPr>
        <w:t xml:space="preserve">The </w:t>
      </w:r>
      <w:r w:rsidRPr="00280CBF">
        <w:rPr>
          <w:u w:val="single"/>
          <w:lang w:val="en-US"/>
        </w:rPr>
        <w:t>PK evaluable population</w:t>
      </w:r>
      <w:r w:rsidRPr="00280CBF">
        <w:rPr>
          <w:lang w:val="en-US"/>
        </w:rPr>
        <w:t xml:space="preserve"> (PEP) comprised all patients with data for C</w:t>
      </w:r>
      <w:r w:rsidRPr="00280CBF">
        <w:rPr>
          <w:vertAlign w:val="subscript"/>
          <w:lang w:val="en-US"/>
        </w:rPr>
        <w:t>trough</w:t>
      </w:r>
      <w:r w:rsidRPr="00280CBF">
        <w:rPr>
          <w:lang w:val="en-US"/>
        </w:rPr>
        <w:t xml:space="preserve"> available at Cycle 7 and/or AUC available at Cycle 7.</w:t>
      </w:r>
      <w:r>
        <w:rPr>
          <w:lang w:val="en-US"/>
        </w:rPr>
        <w:t xml:space="preserve"> T</w:t>
      </w:r>
      <w:r w:rsidRPr="00280CBF">
        <w:rPr>
          <w:lang w:val="en-US"/>
        </w:rPr>
        <w:t xml:space="preserve">he </w:t>
      </w:r>
      <w:r w:rsidRPr="00280CBF">
        <w:rPr>
          <w:u w:val="single"/>
          <w:lang w:val="en-US"/>
        </w:rPr>
        <w:t>intent-to-treat (ITT) population</w:t>
      </w:r>
      <w:r>
        <w:rPr>
          <w:lang w:val="en-US"/>
        </w:rPr>
        <w:t xml:space="preserve"> </w:t>
      </w:r>
      <w:r w:rsidRPr="00280CBF">
        <w:rPr>
          <w:lang w:val="en-US"/>
        </w:rPr>
        <w:t>included all patients being randomi</w:t>
      </w:r>
      <w:r w:rsidR="00AB2DB9">
        <w:rPr>
          <w:lang w:val="en-US"/>
        </w:rPr>
        <w:t>s</w:t>
      </w:r>
      <w:r w:rsidRPr="00280CBF">
        <w:rPr>
          <w:lang w:val="en-US"/>
        </w:rPr>
        <w:t>ed into study irrespective whether they</w:t>
      </w:r>
      <w:r>
        <w:rPr>
          <w:lang w:val="en-US"/>
        </w:rPr>
        <w:t xml:space="preserve"> </w:t>
      </w:r>
      <w:r w:rsidRPr="00280CBF">
        <w:rPr>
          <w:lang w:val="en-US"/>
        </w:rPr>
        <w:t xml:space="preserve">received study drug or not. Treatment </w:t>
      </w:r>
      <w:r w:rsidRPr="00280CBF">
        <w:rPr>
          <w:lang w:val="en-US"/>
        </w:rPr>
        <w:lastRenderedPageBreak/>
        <w:t>assignment was as randomized.</w:t>
      </w:r>
      <w:r>
        <w:rPr>
          <w:lang w:val="en-US"/>
        </w:rPr>
        <w:t xml:space="preserve"> All efficacy endpoints were </w:t>
      </w:r>
      <w:proofErr w:type="spellStart"/>
      <w:r>
        <w:rPr>
          <w:lang w:val="en-US"/>
        </w:rPr>
        <w:t>analysed</w:t>
      </w:r>
      <w:proofErr w:type="spellEnd"/>
      <w:r>
        <w:rPr>
          <w:lang w:val="en-US"/>
        </w:rPr>
        <w:t xml:space="preserve"> according to the ITT population.</w:t>
      </w:r>
    </w:p>
    <w:p w:rsidR="008D4C87" w:rsidRDefault="008D4C87" w:rsidP="006B7A34">
      <w:pPr>
        <w:rPr>
          <w:lang w:val="en-US"/>
        </w:rPr>
      </w:pPr>
      <w:r w:rsidRPr="00280CBF">
        <w:rPr>
          <w:lang w:val="en-US"/>
        </w:rPr>
        <w:t>Th</w:t>
      </w:r>
      <w:r>
        <w:rPr>
          <w:lang w:val="en-US"/>
        </w:rPr>
        <w:t xml:space="preserve">e </w:t>
      </w:r>
      <w:r w:rsidRPr="00280CBF">
        <w:rPr>
          <w:u w:val="single"/>
          <w:lang w:val="en-US"/>
        </w:rPr>
        <w:t>per-protocol (PP)</w:t>
      </w:r>
      <w:r>
        <w:rPr>
          <w:lang w:val="en-US"/>
        </w:rPr>
        <w:t xml:space="preserve"> population was </w:t>
      </w:r>
      <w:r w:rsidRPr="00280CBF">
        <w:rPr>
          <w:lang w:val="en-US"/>
        </w:rPr>
        <w:t xml:space="preserve">defined as all patients in the ITT population who had been treated </w:t>
      </w:r>
      <w:r>
        <w:rPr>
          <w:lang w:val="en-US"/>
        </w:rPr>
        <w:t xml:space="preserve">as randomized </w:t>
      </w:r>
      <w:r w:rsidRPr="00280CBF">
        <w:rPr>
          <w:lang w:val="en-US"/>
        </w:rPr>
        <w:t xml:space="preserve">for at least 4 cycles of induction </w:t>
      </w:r>
      <w:r>
        <w:rPr>
          <w:lang w:val="en-US"/>
        </w:rPr>
        <w:t xml:space="preserve">rituximab + </w:t>
      </w:r>
      <w:r w:rsidRPr="00280CBF">
        <w:rPr>
          <w:lang w:val="en-US"/>
        </w:rPr>
        <w:t xml:space="preserve">chemotherapy without an event (progression or death) and without major eligibility violations (all inclusion/exclusion criteria). </w:t>
      </w:r>
      <w:r>
        <w:rPr>
          <w:lang w:val="en-US"/>
        </w:rPr>
        <w:t>All the major efficacy analyses (ORR, CRR etc.) were to be repeated using the PP population.</w:t>
      </w:r>
    </w:p>
    <w:p w:rsidR="008D4C87" w:rsidRPr="00280CBF" w:rsidRDefault="008D4C87" w:rsidP="006B7A34">
      <w:pPr>
        <w:rPr>
          <w:lang w:val="en-US"/>
        </w:rPr>
      </w:pPr>
      <w:r>
        <w:rPr>
          <w:lang w:val="en-US"/>
        </w:rPr>
        <w:t>T</w:t>
      </w:r>
      <w:r w:rsidRPr="00280CBF">
        <w:rPr>
          <w:lang w:val="en-US"/>
        </w:rPr>
        <w:t xml:space="preserve">he </w:t>
      </w:r>
      <w:r w:rsidRPr="00280CBF">
        <w:rPr>
          <w:u w:val="single"/>
          <w:lang w:val="en-US"/>
        </w:rPr>
        <w:t>safety analysis population (SAP)</w:t>
      </w:r>
      <w:r>
        <w:rPr>
          <w:lang w:val="en-US"/>
        </w:rPr>
        <w:t xml:space="preserve"> was </w:t>
      </w:r>
      <w:r w:rsidRPr="00280CBF">
        <w:rPr>
          <w:lang w:val="en-US"/>
        </w:rPr>
        <w:t>defined as all</w:t>
      </w:r>
      <w:r>
        <w:rPr>
          <w:lang w:val="en-US"/>
        </w:rPr>
        <w:t xml:space="preserve"> </w:t>
      </w:r>
      <w:r w:rsidRPr="00280CBF">
        <w:rPr>
          <w:lang w:val="en-US"/>
        </w:rPr>
        <w:t>patients who received at least one dose of rituximab, either IV or SC. Patients were</w:t>
      </w:r>
      <w:r>
        <w:rPr>
          <w:lang w:val="en-US"/>
        </w:rPr>
        <w:t xml:space="preserve"> </w:t>
      </w:r>
      <w:proofErr w:type="spellStart"/>
      <w:r>
        <w:rPr>
          <w:lang w:val="en-US"/>
        </w:rPr>
        <w:t>analys</w:t>
      </w:r>
      <w:r w:rsidRPr="00280CBF">
        <w:rPr>
          <w:lang w:val="en-US"/>
        </w:rPr>
        <w:t>ed</w:t>
      </w:r>
      <w:proofErr w:type="spellEnd"/>
      <w:r w:rsidRPr="00280CBF">
        <w:rPr>
          <w:lang w:val="en-US"/>
        </w:rPr>
        <w:t xml:space="preserve"> as treated.</w:t>
      </w:r>
    </w:p>
    <w:p w:rsidR="008D4C87" w:rsidRPr="004B259C" w:rsidDel="0081373E" w:rsidRDefault="008D4C87" w:rsidP="006B7A34">
      <w:pPr>
        <w:pStyle w:val="Heading4"/>
      </w:pPr>
      <w:bookmarkStart w:id="55" w:name="_Toc234034043"/>
      <w:r w:rsidRPr="004B259C" w:rsidDel="0081373E">
        <w:t>Sample size</w:t>
      </w:r>
      <w:bookmarkEnd w:id="55"/>
    </w:p>
    <w:p w:rsidR="008D4C87" w:rsidRDefault="008D4C87" w:rsidP="006B7A34">
      <w:r>
        <w:t xml:space="preserve">The </w:t>
      </w:r>
      <w:r w:rsidR="00AB2DB9">
        <w:t>sample size for S</w:t>
      </w:r>
      <w:r>
        <w:t xml:space="preserve">tage 1 was determined on the basis of testing a pharmacokinetic </w:t>
      </w:r>
      <w:r w:rsidR="006B7A34">
        <w:t>hypothesis not an efficacy one.</w:t>
      </w:r>
    </w:p>
    <w:p w:rsidR="008D4C87" w:rsidRPr="00AB2DB9" w:rsidRDefault="008D4C87" w:rsidP="006B7A34">
      <w:r>
        <w:rPr>
          <w:lang w:val="en-US"/>
        </w:rPr>
        <w:t>The PK parameter of interest was the</w:t>
      </w:r>
      <w:r w:rsidRPr="00E05A82">
        <w:rPr>
          <w:lang w:val="en-US"/>
        </w:rPr>
        <w:t xml:space="preserve"> </w:t>
      </w:r>
      <w:r w:rsidRPr="000A37FD">
        <w:rPr>
          <w:lang w:val="en-US"/>
        </w:rPr>
        <w:t>C</w:t>
      </w:r>
      <w:r w:rsidRPr="00E05A82">
        <w:rPr>
          <w:vertAlign w:val="subscript"/>
          <w:lang w:val="en-US"/>
        </w:rPr>
        <w:t>trough</w:t>
      </w:r>
      <w:r w:rsidR="00295B82">
        <w:rPr>
          <w:lang w:val="en-US"/>
        </w:rPr>
        <w:t xml:space="preserve"> at the end of C</w:t>
      </w:r>
      <w:r>
        <w:rPr>
          <w:lang w:val="en-US"/>
        </w:rPr>
        <w:t>ycle 7 (</w:t>
      </w:r>
      <w:r w:rsidR="00AB2DB9">
        <w:rPr>
          <w:lang w:val="en-US"/>
        </w:rPr>
        <w:t>that is,</w:t>
      </w:r>
      <w:r>
        <w:rPr>
          <w:lang w:val="en-US"/>
        </w:rPr>
        <w:t xml:space="preserve"> pre-dose </w:t>
      </w:r>
      <w:r w:rsidR="00AB2DB9">
        <w:rPr>
          <w:lang w:val="en-US"/>
        </w:rPr>
        <w:t>C</w:t>
      </w:r>
      <w:r>
        <w:rPr>
          <w:lang w:val="en-US"/>
        </w:rPr>
        <w:t>ycle 8) The statistical analysis plan assumed that the</w:t>
      </w:r>
      <w:r w:rsidRPr="000A37FD">
        <w:rPr>
          <w:lang w:val="en-US"/>
        </w:rPr>
        <w:t xml:space="preserve"> coefficient of variation (CV) </w:t>
      </w:r>
      <w:r>
        <w:rPr>
          <w:lang w:val="en-US"/>
        </w:rPr>
        <w:t xml:space="preserve">would be </w:t>
      </w:r>
      <w:r w:rsidRPr="000A37FD">
        <w:rPr>
          <w:lang w:val="en-US"/>
        </w:rPr>
        <w:t>equal to 0.56 and that</w:t>
      </w:r>
      <w:r>
        <w:rPr>
          <w:lang w:val="en-US"/>
        </w:rPr>
        <w:t xml:space="preserve"> </w:t>
      </w:r>
      <w:r w:rsidRPr="000A37FD">
        <w:rPr>
          <w:lang w:val="en-US"/>
        </w:rPr>
        <w:t xml:space="preserve">the true PK of rituximab SC formulation </w:t>
      </w:r>
      <w:r>
        <w:rPr>
          <w:lang w:val="en-US"/>
        </w:rPr>
        <w:t xml:space="preserve">would be </w:t>
      </w:r>
      <w:r w:rsidRPr="000A37FD">
        <w:rPr>
          <w:lang w:val="en-US"/>
        </w:rPr>
        <w:t>5% above the rituximab IV formulation (</w:t>
      </w:r>
      <w:r w:rsidR="00AB2DB9">
        <w:rPr>
          <w:lang w:val="en-US"/>
        </w:rPr>
        <w:t>that is</w:t>
      </w:r>
      <w:r w:rsidRPr="000A37FD">
        <w:rPr>
          <w:lang w:val="en-US"/>
        </w:rPr>
        <w:t>,</w:t>
      </w:r>
      <w:r>
        <w:rPr>
          <w:lang w:val="en-US"/>
        </w:rPr>
        <w:t xml:space="preserve"> </w:t>
      </w:r>
      <w:r w:rsidRPr="000A37FD">
        <w:rPr>
          <w:lang w:val="en-US"/>
        </w:rPr>
        <w:t>mean C</w:t>
      </w:r>
      <w:r w:rsidRPr="00E05A82">
        <w:rPr>
          <w:vertAlign w:val="subscript"/>
          <w:lang w:val="en-US"/>
        </w:rPr>
        <w:t>trough</w:t>
      </w:r>
      <w:r w:rsidRPr="000A37FD">
        <w:rPr>
          <w:lang w:val="en-US"/>
        </w:rPr>
        <w:t xml:space="preserve"> SC to be 5% above C</w:t>
      </w:r>
      <w:r w:rsidRPr="00E05A82">
        <w:rPr>
          <w:vertAlign w:val="subscript"/>
          <w:lang w:val="en-US"/>
        </w:rPr>
        <w:t>trough</w:t>
      </w:r>
      <w:r>
        <w:rPr>
          <w:lang w:val="en-US"/>
        </w:rPr>
        <w:t>, IV). In this case,</w:t>
      </w:r>
      <w:r w:rsidRPr="000A37FD">
        <w:rPr>
          <w:lang w:val="en-US"/>
        </w:rPr>
        <w:t xml:space="preserve"> 50 patients in each treatment arm </w:t>
      </w:r>
      <w:r>
        <w:rPr>
          <w:lang w:val="en-US"/>
        </w:rPr>
        <w:t xml:space="preserve">would be </w:t>
      </w:r>
      <w:r w:rsidRPr="000A37FD">
        <w:rPr>
          <w:lang w:val="en-US"/>
        </w:rPr>
        <w:t xml:space="preserve">adequate in order to achieve 80% power with one-sided alpha of 0.05 </w:t>
      </w:r>
      <w:r w:rsidRPr="00AB2DB9">
        <w:t>(</w:t>
      </w:r>
      <w:r w:rsidR="00AB2DB9" w:rsidRPr="00AB2DB9">
        <w:t>that is,</w:t>
      </w:r>
      <w:r w:rsidRPr="00AB2DB9">
        <w:t xml:space="preserve"> 2-sided 90% confidence interval [CI]). Assuming that 20% of patients would not have valid PK data at Cycle 8 pre-dose, a total of approximately 125 patients were to be enrolled into Stage 1 of the study.</w:t>
      </w:r>
    </w:p>
    <w:p w:rsidR="008D4C87" w:rsidRDefault="008D4C87" w:rsidP="006B7A34">
      <w:pPr>
        <w:ind w:left="720"/>
      </w:pPr>
      <w:r>
        <w:t>Comment:</w:t>
      </w:r>
      <w:r w:rsidR="00AB2DB9">
        <w:t xml:space="preserve"> </w:t>
      </w:r>
      <w:r>
        <w:t>A further 280 patients are planned to be enrolled in Stage 2, giving a total of 405 subjects in the study overall.</w:t>
      </w:r>
    </w:p>
    <w:p w:rsidR="008D4C87" w:rsidRDefault="008D4C87" w:rsidP="006B7A34">
      <w:pPr>
        <w:pStyle w:val="Heading4"/>
      </w:pPr>
      <w:bookmarkStart w:id="56" w:name="_Toc234034044"/>
      <w:r w:rsidRPr="004B259C">
        <w:t>Statistical methods</w:t>
      </w:r>
      <w:bookmarkEnd w:id="56"/>
    </w:p>
    <w:p w:rsidR="008D4C87" w:rsidRPr="00C601F4" w:rsidRDefault="008D4C87" w:rsidP="006B7A34">
      <w:r>
        <w:t>The primary endpoint (</w:t>
      </w:r>
      <w:proofErr w:type="spellStart"/>
      <w:r w:rsidRPr="000A37FD">
        <w:rPr>
          <w:lang w:val="en-US"/>
        </w:rPr>
        <w:t>C</w:t>
      </w:r>
      <w:r w:rsidRPr="00E05A82">
        <w:rPr>
          <w:vertAlign w:val="subscript"/>
          <w:lang w:val="en-US"/>
        </w:rPr>
        <w:t>trough</w:t>
      </w:r>
      <w:proofErr w:type="spellEnd"/>
      <w:r w:rsidR="00AB2DB9">
        <w:t xml:space="preserve"> at the end of C</w:t>
      </w:r>
      <w:r>
        <w:t xml:space="preserve">ycle 7) was analysed using an analysis of covariance model, on logarithmic values of observed </w:t>
      </w:r>
      <w:proofErr w:type="spellStart"/>
      <w:r w:rsidRPr="000A37FD">
        <w:rPr>
          <w:lang w:val="en-US"/>
        </w:rPr>
        <w:t>C</w:t>
      </w:r>
      <w:r w:rsidRPr="00E05A82">
        <w:rPr>
          <w:vertAlign w:val="subscript"/>
          <w:lang w:val="en-US"/>
        </w:rPr>
        <w:t>trough</w:t>
      </w:r>
      <w:proofErr w:type="spellEnd"/>
      <w:r w:rsidR="006B7A34">
        <w:rPr>
          <w:lang w:val="en-US"/>
        </w:rPr>
        <w:t>.</w:t>
      </w:r>
    </w:p>
    <w:p w:rsidR="008D4C87" w:rsidRPr="00A61868" w:rsidRDefault="008D4C87" w:rsidP="006B7A34">
      <w:pPr>
        <w:rPr>
          <w:lang w:val="en-US"/>
        </w:rPr>
      </w:pPr>
      <w:r w:rsidRPr="001D18CA">
        <w:rPr>
          <w:lang w:val="en-US"/>
        </w:rPr>
        <w:t>Response rates (ORR and CRR) at the</w:t>
      </w:r>
      <w:r>
        <w:rPr>
          <w:lang w:val="en-US"/>
        </w:rPr>
        <w:t xml:space="preserve"> </w:t>
      </w:r>
      <w:r w:rsidRPr="001D18CA">
        <w:rPr>
          <w:lang w:val="en-US"/>
        </w:rPr>
        <w:t>completion of induction treatment were analyzed in frequency tables including 95% two-sided Pearson-</w:t>
      </w:r>
      <w:proofErr w:type="spellStart"/>
      <w:r w:rsidRPr="001D18CA">
        <w:rPr>
          <w:lang w:val="en-US"/>
        </w:rPr>
        <w:t>Clopper</w:t>
      </w:r>
      <w:proofErr w:type="spellEnd"/>
      <w:r>
        <w:rPr>
          <w:lang w:val="en-US"/>
        </w:rPr>
        <w:t xml:space="preserve"> confidence intervals</w:t>
      </w:r>
      <w:r w:rsidRPr="001D18CA">
        <w:rPr>
          <w:lang w:val="en-US"/>
        </w:rPr>
        <w:t xml:space="preserve"> </w:t>
      </w:r>
      <w:r>
        <w:rPr>
          <w:lang w:val="en-US"/>
        </w:rPr>
        <w:t>(</w:t>
      </w:r>
      <w:r w:rsidRPr="001D18CA">
        <w:rPr>
          <w:lang w:val="en-US"/>
        </w:rPr>
        <w:t>CIs</w:t>
      </w:r>
      <w:r>
        <w:rPr>
          <w:lang w:val="en-US"/>
        </w:rPr>
        <w:t>)</w:t>
      </w:r>
      <w:r w:rsidRPr="001D18CA">
        <w:rPr>
          <w:lang w:val="en-US"/>
        </w:rPr>
        <w:t xml:space="preserve"> by treatment</w:t>
      </w:r>
      <w:r>
        <w:rPr>
          <w:lang w:val="en-US"/>
        </w:rPr>
        <w:t xml:space="preserve"> group. </w:t>
      </w:r>
      <w:r w:rsidRPr="001D18CA">
        <w:rPr>
          <w:lang w:val="en-US"/>
        </w:rPr>
        <w:t>For the difference in response rates, 95% two-sided CIs (Hauck-Andersen) were</w:t>
      </w:r>
      <w:r>
        <w:rPr>
          <w:lang w:val="en-US"/>
        </w:rPr>
        <w:t xml:space="preserve"> </w:t>
      </w:r>
      <w:r w:rsidRPr="001D18CA">
        <w:rPr>
          <w:lang w:val="en-US"/>
        </w:rPr>
        <w:t>calculated.</w:t>
      </w:r>
      <w:r>
        <w:rPr>
          <w:lang w:val="en-US"/>
        </w:rPr>
        <w:t xml:space="preserve"> The study protocol or statistical analysis plan did not specify any statistical testing for the difference between groups in response rate.</w:t>
      </w:r>
    </w:p>
    <w:p w:rsidR="008D4C87" w:rsidRPr="004B259C" w:rsidRDefault="008D4C87" w:rsidP="006B7A34">
      <w:pPr>
        <w:pStyle w:val="Heading4"/>
      </w:pPr>
      <w:bookmarkStart w:id="57" w:name="_Toc234034045"/>
      <w:r w:rsidRPr="004B259C">
        <w:t>Participant flow</w:t>
      </w:r>
      <w:bookmarkEnd w:id="57"/>
    </w:p>
    <w:p w:rsidR="008D4C87" w:rsidRDefault="008D4C87" w:rsidP="006B7A34">
      <w:r>
        <w:t xml:space="preserve">The study randomised 127 subjects, 64 to the IV arm and 63 to the SC arm. Participant flow is shown in </w:t>
      </w:r>
      <w:r w:rsidR="00AB2DB9">
        <w:t>Figure 2</w:t>
      </w:r>
      <w:r>
        <w:t xml:space="preserve"> and reasons for withdrawal in </w:t>
      </w:r>
      <w:r w:rsidR="00AB2DB9">
        <w:t>Table 4</w:t>
      </w:r>
      <w:r>
        <w:t xml:space="preserve">. A total of 13 subjects had withdrawn from the study, 11 during induction and 2 during maintenance. The analysis populations are shown in </w:t>
      </w:r>
      <w:r w:rsidR="00AB2DB9">
        <w:t>Table 5</w:t>
      </w:r>
      <w:r>
        <w:t>.</w:t>
      </w:r>
    </w:p>
    <w:p w:rsidR="00AB2DB9" w:rsidRPr="00D57709" w:rsidRDefault="00AB2DB9" w:rsidP="006B7A34">
      <w:pPr>
        <w:pStyle w:val="FigureTitle"/>
      </w:pPr>
      <w:bookmarkStart w:id="58" w:name="_Ref232744487"/>
      <w:bookmarkStart w:id="59" w:name="_Toc234034191"/>
      <w:proofErr w:type="gramStart"/>
      <w:r>
        <w:lastRenderedPageBreak/>
        <w:t>Figure</w:t>
      </w:r>
      <w:bookmarkEnd w:id="58"/>
      <w:r>
        <w:t xml:space="preserve"> 2.</w:t>
      </w:r>
      <w:proofErr w:type="gramEnd"/>
      <w:r>
        <w:t xml:space="preserve"> Study BO 22334 Stage 1 - </w:t>
      </w:r>
      <w:r w:rsidRPr="001131CF">
        <w:t>Participant flow</w:t>
      </w:r>
      <w:bookmarkEnd w:id="59"/>
    </w:p>
    <w:p w:rsidR="00AB2DB9" w:rsidRDefault="00AB2DB9" w:rsidP="006B7A34">
      <w:r>
        <w:rPr>
          <w:noProof/>
          <w:lang w:eastAsia="en-AU"/>
        </w:rPr>
        <w:drawing>
          <wp:inline distT="0" distB="0" distL="0" distR="0" wp14:anchorId="07C32E57" wp14:editId="65D5873C">
            <wp:extent cx="3770955" cy="3182742"/>
            <wp:effectExtent l="0" t="0" r="0" b="0"/>
            <wp:docPr id="51" name="Picture 2" descr="Figure 2. Study BO 22334 Stage 1 - Participant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74940" cy="3186105"/>
                    </a:xfrm>
                    <a:prstGeom prst="rect">
                      <a:avLst/>
                    </a:prstGeom>
                    <a:noFill/>
                    <a:ln>
                      <a:noFill/>
                    </a:ln>
                  </pic:spPr>
                </pic:pic>
              </a:graphicData>
            </a:graphic>
          </wp:inline>
        </w:drawing>
      </w:r>
      <w:r w:rsidRPr="00747DEB">
        <w:t xml:space="preserve"> </w:t>
      </w:r>
    </w:p>
    <w:p w:rsidR="00AB2DB9" w:rsidRDefault="00AB2DB9" w:rsidP="006B7A34">
      <w:pPr>
        <w:pStyle w:val="TableTitle"/>
      </w:pPr>
      <w:bookmarkStart w:id="60" w:name="_Ref232744517"/>
      <w:bookmarkStart w:id="61" w:name="_Toc234034166"/>
      <w:proofErr w:type="gramStart"/>
      <w:r>
        <w:t>Table</w:t>
      </w:r>
      <w:bookmarkEnd w:id="60"/>
      <w:r>
        <w:t xml:space="preserve"> 4.</w:t>
      </w:r>
      <w:proofErr w:type="gramEnd"/>
      <w:r>
        <w:t xml:space="preserve"> Study BO 22334 Stage 1 - Reasons for withdrawal (Safety analysis </w:t>
      </w:r>
      <w:r w:rsidRPr="006B7A34">
        <w:t>population</w:t>
      </w:r>
      <w:r>
        <w:t>)</w:t>
      </w:r>
      <w:bookmarkEnd w:id="61"/>
    </w:p>
    <w:p w:rsidR="00AB2DB9" w:rsidRDefault="00AB2DB9" w:rsidP="006B7A34">
      <w:r>
        <w:rPr>
          <w:noProof/>
          <w:lang w:eastAsia="en-AU"/>
        </w:rPr>
        <w:drawing>
          <wp:inline distT="0" distB="0" distL="0" distR="0" wp14:anchorId="4BB1FB83" wp14:editId="060AADF4">
            <wp:extent cx="5565625" cy="2070624"/>
            <wp:effectExtent l="0" t="0" r="0" b="0"/>
            <wp:docPr id="67" name="Picture 5" descr="Table 4. Study BO 22334 Stage 1 - Reasons for withdrawal  (Safety analysis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73167" cy="2073430"/>
                    </a:xfrm>
                    <a:prstGeom prst="rect">
                      <a:avLst/>
                    </a:prstGeom>
                    <a:noFill/>
                    <a:ln>
                      <a:noFill/>
                    </a:ln>
                  </pic:spPr>
                </pic:pic>
              </a:graphicData>
            </a:graphic>
          </wp:inline>
        </w:drawing>
      </w:r>
    </w:p>
    <w:p w:rsidR="00AB2DB9" w:rsidRDefault="00AB2DB9" w:rsidP="006B7A34">
      <w:pPr>
        <w:pStyle w:val="TableTitle"/>
      </w:pPr>
      <w:bookmarkStart w:id="62" w:name="_Ref232744956"/>
      <w:bookmarkStart w:id="63" w:name="_Toc234034167"/>
      <w:proofErr w:type="gramStart"/>
      <w:r>
        <w:t xml:space="preserve">Table </w:t>
      </w:r>
      <w:bookmarkEnd w:id="62"/>
      <w:r>
        <w:t>5.</w:t>
      </w:r>
      <w:proofErr w:type="gramEnd"/>
      <w:r>
        <w:t xml:space="preserve"> Study BO 22334 Stage 1 - </w:t>
      </w:r>
      <w:r w:rsidRPr="006B7A34">
        <w:t>Analysis</w:t>
      </w:r>
      <w:r>
        <w:t xml:space="preserve"> populations</w:t>
      </w:r>
      <w:bookmarkEnd w:id="63"/>
    </w:p>
    <w:p w:rsidR="00AB2DB9" w:rsidRPr="00B3620F" w:rsidRDefault="00AB2DB9" w:rsidP="006B7A34">
      <w:r>
        <w:rPr>
          <w:noProof/>
          <w:lang w:eastAsia="en-AU"/>
        </w:rPr>
        <w:drawing>
          <wp:inline distT="0" distB="0" distL="0" distR="0" wp14:anchorId="62C0298D" wp14:editId="0107041B">
            <wp:extent cx="5614869" cy="2065848"/>
            <wp:effectExtent l="0" t="0" r="0" b="0"/>
            <wp:docPr id="66" name="Picture 4" descr="Table 5. Study BO 22334 Stage 1 - Analysis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20956" cy="2068088"/>
                    </a:xfrm>
                    <a:prstGeom prst="rect">
                      <a:avLst/>
                    </a:prstGeom>
                    <a:noFill/>
                    <a:ln>
                      <a:noFill/>
                    </a:ln>
                  </pic:spPr>
                </pic:pic>
              </a:graphicData>
            </a:graphic>
          </wp:inline>
        </w:drawing>
      </w:r>
    </w:p>
    <w:p w:rsidR="008D4C87" w:rsidRDefault="008D4C87" w:rsidP="006B7A34">
      <w:pPr>
        <w:pStyle w:val="Heading4"/>
      </w:pPr>
      <w:bookmarkStart w:id="64" w:name="_Toc234034046"/>
      <w:r>
        <w:lastRenderedPageBreak/>
        <w:t xml:space="preserve">Major </w:t>
      </w:r>
      <w:r w:rsidRPr="00AB2DB9">
        <w:t>protocol</w:t>
      </w:r>
      <w:r>
        <w:t xml:space="preserve"> violations/</w:t>
      </w:r>
      <w:r w:rsidRPr="006B7A34">
        <w:t>deviations</w:t>
      </w:r>
      <w:bookmarkEnd w:id="64"/>
    </w:p>
    <w:p w:rsidR="008D4C87" w:rsidRDefault="008D4C87" w:rsidP="006B7A34">
      <w:r>
        <w:t>Two patients were excluded from the PP population because they did not receive at least 4 cycles of randomised treatment before experiencing disease progression. No other significant protocol violations were reported.</w:t>
      </w:r>
    </w:p>
    <w:p w:rsidR="008D4C87" w:rsidRPr="004B259C" w:rsidRDefault="008D4C87" w:rsidP="006B7A34">
      <w:pPr>
        <w:pStyle w:val="Heading4"/>
      </w:pPr>
      <w:bookmarkStart w:id="65" w:name="_Toc234034047"/>
      <w:r w:rsidRPr="004B259C">
        <w:t>Baseline data</w:t>
      </w:r>
      <w:bookmarkEnd w:id="65"/>
    </w:p>
    <w:p w:rsidR="008D4C87" w:rsidRDefault="008D4C87" w:rsidP="006B7A34">
      <w:r>
        <w:t>Baseline patient characteristics are shown in</w:t>
      </w:r>
      <w:r w:rsidR="00DB6108">
        <w:t xml:space="preserve"> Table 6</w:t>
      </w:r>
      <w:r>
        <w:t xml:space="preserve"> and baseline disease characteristics are shown in</w:t>
      </w:r>
      <w:r w:rsidR="00DB6108">
        <w:t xml:space="preserve"> Table 7</w:t>
      </w:r>
      <w:r>
        <w:t>.</w:t>
      </w:r>
    </w:p>
    <w:p w:rsidR="00DB6108" w:rsidRDefault="00DB6108" w:rsidP="006B7A34">
      <w:pPr>
        <w:pStyle w:val="TableTitle"/>
        <w:rPr>
          <w:szCs w:val="20"/>
        </w:rPr>
      </w:pPr>
      <w:bookmarkStart w:id="66" w:name="_Ref232745795"/>
      <w:bookmarkStart w:id="67" w:name="_Toc234034168"/>
      <w:proofErr w:type="gramStart"/>
      <w:r>
        <w:t>Table 6</w:t>
      </w:r>
      <w:bookmarkEnd w:id="66"/>
      <w:r>
        <w:t>.</w:t>
      </w:r>
      <w:proofErr w:type="gramEnd"/>
      <w:r>
        <w:t xml:space="preserve"> Study BO 23344 Stage 1 - Baseline patient characteristics (ITT population)</w:t>
      </w:r>
      <w:bookmarkEnd w:id="67"/>
    </w:p>
    <w:p w:rsidR="00DB6108" w:rsidRDefault="00DB6108" w:rsidP="006B7A34">
      <w:r>
        <w:rPr>
          <w:noProof/>
          <w:lang w:eastAsia="en-AU"/>
        </w:rPr>
        <w:drawing>
          <wp:inline distT="0" distB="0" distL="0" distR="0" wp14:anchorId="05353948" wp14:editId="65E33ED8">
            <wp:extent cx="4682936" cy="6136304"/>
            <wp:effectExtent l="0" t="0" r="0" b="0"/>
            <wp:docPr id="68" name="Picture 6" descr="Table 6. Study BO 23344 Stage 1 - Baseline patient characteristic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83816" cy="6137457"/>
                    </a:xfrm>
                    <a:prstGeom prst="rect">
                      <a:avLst/>
                    </a:prstGeom>
                    <a:noFill/>
                    <a:ln>
                      <a:noFill/>
                    </a:ln>
                  </pic:spPr>
                </pic:pic>
              </a:graphicData>
            </a:graphic>
          </wp:inline>
        </w:drawing>
      </w:r>
    </w:p>
    <w:p w:rsidR="00DB6108" w:rsidRDefault="00DB6108" w:rsidP="006B7A34">
      <w:pPr>
        <w:pStyle w:val="TableTitle"/>
      </w:pPr>
      <w:bookmarkStart w:id="68" w:name="_Ref232745864"/>
      <w:bookmarkStart w:id="69" w:name="_Toc234034169"/>
      <w:proofErr w:type="gramStart"/>
      <w:r>
        <w:lastRenderedPageBreak/>
        <w:t>Table 7.</w:t>
      </w:r>
      <w:bookmarkEnd w:id="68"/>
      <w:proofErr w:type="gramEnd"/>
      <w:r>
        <w:t xml:space="preserve"> Study BO 23344 Stage 1 - Baseline </w:t>
      </w:r>
      <w:r w:rsidRPr="006B7A34">
        <w:t>disease</w:t>
      </w:r>
      <w:r>
        <w:t xml:space="preserve"> characteristics (ITT population)</w:t>
      </w:r>
      <w:bookmarkEnd w:id="69"/>
    </w:p>
    <w:p w:rsidR="00DB6108" w:rsidRDefault="00DB6108" w:rsidP="006B7A34">
      <w:r>
        <w:rPr>
          <w:noProof/>
          <w:lang w:eastAsia="en-AU"/>
        </w:rPr>
        <w:drawing>
          <wp:inline distT="0" distB="0" distL="0" distR="0" wp14:anchorId="59EED8F2" wp14:editId="3B05906F">
            <wp:extent cx="4184635" cy="5584641"/>
            <wp:effectExtent l="0" t="0" r="0" b="0"/>
            <wp:docPr id="69" name="Picture 7" descr="Table 7. Study BO 23344 Stage 1 - Baseline disease characteristic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86597" cy="5587260"/>
                    </a:xfrm>
                    <a:prstGeom prst="rect">
                      <a:avLst/>
                    </a:prstGeom>
                    <a:noFill/>
                    <a:ln>
                      <a:noFill/>
                    </a:ln>
                  </pic:spPr>
                </pic:pic>
              </a:graphicData>
            </a:graphic>
          </wp:inline>
        </w:drawing>
      </w:r>
    </w:p>
    <w:p w:rsidR="008D4C87" w:rsidRDefault="008D4C87" w:rsidP="006B7A34">
      <w:pPr>
        <w:ind w:left="720"/>
      </w:pPr>
      <w:r>
        <w:t>Comment:</w:t>
      </w:r>
      <w:r w:rsidR="00DB6108">
        <w:t xml:space="preserve"> </w:t>
      </w:r>
      <w:r>
        <w:t>The two groups appear to have been reasonably well balanced at baseline.</w:t>
      </w:r>
    </w:p>
    <w:p w:rsidR="008D4C87" w:rsidRPr="004B259C" w:rsidRDefault="008D4C87" w:rsidP="002114A9">
      <w:pPr>
        <w:pStyle w:val="Heading4"/>
      </w:pPr>
      <w:bookmarkStart w:id="70" w:name="_Toc234034048"/>
      <w:r w:rsidRPr="004B259C">
        <w:t xml:space="preserve">Results for the </w:t>
      </w:r>
      <w:r w:rsidRPr="00DB6108">
        <w:t>primary</w:t>
      </w:r>
      <w:r w:rsidRPr="004B259C">
        <w:t xml:space="preserve"> </w:t>
      </w:r>
      <w:r w:rsidRPr="002114A9">
        <w:t>outcome</w:t>
      </w:r>
      <w:r>
        <w:t xml:space="preserve"> (</w:t>
      </w:r>
      <w:proofErr w:type="spellStart"/>
      <w:r>
        <w:t>C</w:t>
      </w:r>
      <w:r w:rsidRPr="00C572D1">
        <w:rPr>
          <w:vertAlign w:val="subscript"/>
        </w:rPr>
        <w:t>trough</w:t>
      </w:r>
      <w:proofErr w:type="spellEnd"/>
      <w:r>
        <w:t>)</w:t>
      </w:r>
      <w:bookmarkEnd w:id="70"/>
    </w:p>
    <w:p w:rsidR="008D4C87" w:rsidRDefault="008D4C87" w:rsidP="002114A9">
      <w:r>
        <w:t>The results the PK outcomes, including C</w:t>
      </w:r>
      <w:r w:rsidRPr="00C572D1">
        <w:rPr>
          <w:vertAlign w:val="subscript"/>
        </w:rPr>
        <w:t>trough</w:t>
      </w:r>
      <w:r>
        <w:t xml:space="preserve"> are summarised in</w:t>
      </w:r>
      <w:r w:rsidR="00DB6108">
        <w:t xml:space="preserve"> Table 8</w:t>
      </w:r>
      <w:r>
        <w:t>.</w:t>
      </w:r>
    </w:p>
    <w:p w:rsidR="00DB6108" w:rsidRDefault="00DB6108" w:rsidP="002114A9">
      <w:pPr>
        <w:pStyle w:val="TableTitle"/>
      </w:pPr>
      <w:proofErr w:type="gramStart"/>
      <w:r>
        <w:t>Table 8.</w:t>
      </w:r>
      <w:proofErr w:type="gramEnd"/>
      <w:r>
        <w:t xml:space="preserve"> Observed C</w:t>
      </w:r>
      <w:r w:rsidRPr="001B4949">
        <w:rPr>
          <w:vertAlign w:val="subscript"/>
        </w:rPr>
        <w:t>trough</w:t>
      </w:r>
      <w:r>
        <w:t xml:space="preserve"> and AUC values at </w:t>
      </w:r>
      <w:r w:rsidRPr="002114A9">
        <w:t>cycle</w:t>
      </w:r>
      <w:r>
        <w:t xml:space="preserve"> 7 of induction are summarised in the following table:</w:t>
      </w:r>
    </w:p>
    <w:p w:rsidR="00DB6108" w:rsidRDefault="00DB6108" w:rsidP="002114A9">
      <w:r>
        <w:rPr>
          <w:noProof/>
          <w:lang w:eastAsia="en-AU"/>
        </w:rPr>
        <w:drawing>
          <wp:inline distT="0" distB="0" distL="0" distR="0" wp14:anchorId="5F82C7F7" wp14:editId="373E402C">
            <wp:extent cx="5146334" cy="1015899"/>
            <wp:effectExtent l="0" t="0" r="0" b="0"/>
            <wp:docPr id="7" name="Picture 6" descr="Table 8. Observed Ctrough and AUC values at cycle 7 of induction are summarised in the following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47301" cy="1016090"/>
                    </a:xfrm>
                    <a:prstGeom prst="rect">
                      <a:avLst/>
                    </a:prstGeom>
                    <a:noFill/>
                    <a:ln>
                      <a:noFill/>
                    </a:ln>
                  </pic:spPr>
                </pic:pic>
              </a:graphicData>
            </a:graphic>
          </wp:inline>
        </w:drawing>
      </w:r>
    </w:p>
    <w:p w:rsidR="00DB6108" w:rsidRDefault="00DB6108" w:rsidP="002114A9">
      <w:pPr>
        <w:pStyle w:val="TableDescription"/>
      </w:pPr>
      <w:proofErr w:type="spellStart"/>
      <w:proofErr w:type="gramStart"/>
      <w:r w:rsidRPr="00DB6108">
        <w:rPr>
          <w:vertAlign w:val="superscript"/>
        </w:rPr>
        <w:t>a</w:t>
      </w:r>
      <w:r w:rsidRPr="00DB6108">
        <w:t>Geometric</w:t>
      </w:r>
      <w:proofErr w:type="spellEnd"/>
      <w:proofErr w:type="gramEnd"/>
      <w:r w:rsidRPr="00DB6108">
        <w:t xml:space="preserve"> mean ration adjusted </w:t>
      </w:r>
      <w:proofErr w:type="spellStart"/>
      <w:r w:rsidRPr="00DB6108">
        <w:t>fpr</w:t>
      </w:r>
      <w:proofErr w:type="spellEnd"/>
      <w:r w:rsidRPr="00DB6108">
        <w:t xml:space="preserve"> tumour load at baseline.</w:t>
      </w:r>
      <w:r>
        <w:t xml:space="preserve"> </w:t>
      </w:r>
      <w:proofErr w:type="spellStart"/>
      <w:proofErr w:type="gramStart"/>
      <w:r w:rsidRPr="00DB6108">
        <w:rPr>
          <w:vertAlign w:val="superscript"/>
        </w:rPr>
        <w:t>b</w:t>
      </w:r>
      <w:r w:rsidRPr="00DB6108">
        <w:t>CV</w:t>
      </w:r>
      <w:proofErr w:type="spellEnd"/>
      <w:proofErr w:type="gramEnd"/>
      <w:r w:rsidRPr="00DB6108">
        <w:t xml:space="preserve"> calculated on the original scale</w:t>
      </w:r>
      <w:r w:rsidR="00141EB2">
        <w:t xml:space="preserve">. </w:t>
      </w:r>
      <w:r>
        <w:t>CV=coefficient of variation CI=confidence interval</w:t>
      </w:r>
    </w:p>
    <w:p w:rsidR="008D4C87" w:rsidRPr="004B259C" w:rsidRDefault="008D4C87" w:rsidP="002114A9">
      <w:pPr>
        <w:pStyle w:val="Heading4"/>
      </w:pPr>
      <w:bookmarkStart w:id="71" w:name="_Toc234034049"/>
      <w:r w:rsidRPr="004B259C">
        <w:lastRenderedPageBreak/>
        <w:t xml:space="preserve">Results for </w:t>
      </w:r>
      <w:r>
        <w:t xml:space="preserve">clinical </w:t>
      </w:r>
      <w:r w:rsidRPr="004B259C">
        <w:t xml:space="preserve">efficacy </w:t>
      </w:r>
      <w:r w:rsidRPr="002114A9">
        <w:t>outcomes</w:t>
      </w:r>
      <w:bookmarkEnd w:id="71"/>
    </w:p>
    <w:p w:rsidR="008D4C87" w:rsidRDefault="008D4C87" w:rsidP="002114A9">
      <w:r>
        <w:t xml:space="preserve">Results for the efficacy outcomes in the ITT population are summarised in </w:t>
      </w:r>
      <w:r w:rsidR="00DB6108">
        <w:t>Table 9.</w:t>
      </w:r>
      <w:r>
        <w:t xml:space="preserve"> The </w:t>
      </w:r>
      <w:r>
        <w:rPr>
          <w:u w:val="single"/>
        </w:rPr>
        <w:t>ORR</w:t>
      </w:r>
      <w:r>
        <w:t xml:space="preserve"> at the end of induction treatment was </w:t>
      </w:r>
      <w:r w:rsidRPr="001B7A20">
        <w:rPr>
          <w:b/>
        </w:rPr>
        <w:t>90.5%</w:t>
      </w:r>
      <w:r>
        <w:t xml:space="preserve"> (95% CI: 80.4 – 96.4) for the SC arm and </w:t>
      </w:r>
      <w:r w:rsidRPr="001B7A20">
        <w:rPr>
          <w:b/>
        </w:rPr>
        <w:t>84.4%</w:t>
      </w:r>
      <w:r>
        <w:t xml:space="preserve"> (95% CI: 73.1 – 92.2) in the IV arm. Although no statistical testing was mentioned in the study protocol, the difference between the two treatments was found to be non-significant using a Chi-squared test (p= 0.300).</w:t>
      </w:r>
    </w:p>
    <w:p w:rsidR="00DB6108" w:rsidRDefault="00DB6108" w:rsidP="002114A9">
      <w:pPr>
        <w:pStyle w:val="TableTitle"/>
      </w:pPr>
      <w:bookmarkStart w:id="72" w:name="_Ref233163476"/>
      <w:bookmarkStart w:id="73" w:name="_Toc234034170"/>
      <w:proofErr w:type="gramStart"/>
      <w:r>
        <w:t>Table</w:t>
      </w:r>
      <w:bookmarkEnd w:id="72"/>
      <w:r>
        <w:t xml:space="preserve"> 9.</w:t>
      </w:r>
      <w:proofErr w:type="gramEnd"/>
      <w:r>
        <w:t xml:space="preserve"> Study BO 23344 Stage 1 – Efficacy results</w:t>
      </w:r>
      <w:bookmarkEnd w:id="73"/>
    </w:p>
    <w:p w:rsidR="00DB6108" w:rsidRDefault="00DB6108" w:rsidP="002114A9">
      <w:r>
        <w:rPr>
          <w:noProof/>
          <w:lang w:eastAsia="en-AU"/>
        </w:rPr>
        <w:drawing>
          <wp:inline distT="0" distB="0" distL="0" distR="0" wp14:anchorId="6A30B1F9" wp14:editId="69287D10">
            <wp:extent cx="4126136" cy="4456865"/>
            <wp:effectExtent l="0" t="0" r="0" b="0"/>
            <wp:docPr id="2" name="Picture 1" descr="Table 9. Study BO 23344 Stage 1 – Efficacy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29478" cy="4460475"/>
                    </a:xfrm>
                    <a:prstGeom prst="rect">
                      <a:avLst/>
                    </a:prstGeom>
                    <a:noFill/>
                    <a:ln>
                      <a:noFill/>
                    </a:ln>
                  </pic:spPr>
                </pic:pic>
              </a:graphicData>
            </a:graphic>
          </wp:inline>
        </w:drawing>
      </w:r>
    </w:p>
    <w:p w:rsidR="008D4C87" w:rsidRDefault="008D4C87" w:rsidP="002114A9">
      <w:r>
        <w:t xml:space="preserve">The </w:t>
      </w:r>
      <w:r w:rsidRPr="00042576">
        <w:rPr>
          <w:u w:val="single"/>
        </w:rPr>
        <w:t>CRR</w:t>
      </w:r>
      <w:r>
        <w:t xml:space="preserve"> at the end of induction was </w:t>
      </w:r>
      <w:r w:rsidRPr="00042576">
        <w:rPr>
          <w:b/>
        </w:rPr>
        <w:t>46.0%</w:t>
      </w:r>
      <w:r>
        <w:t xml:space="preserve"> </w:t>
      </w:r>
      <w:r w:rsidRPr="00B25794">
        <w:t>(95% CI: 33.4 – 59.1) in</w:t>
      </w:r>
      <w:r>
        <w:t xml:space="preserve"> the SC arm and </w:t>
      </w:r>
      <w:r w:rsidRPr="00042576">
        <w:rPr>
          <w:b/>
        </w:rPr>
        <w:t>29.7%</w:t>
      </w:r>
      <w:r>
        <w:t xml:space="preserve"> </w:t>
      </w:r>
      <w:r w:rsidRPr="007F2D58">
        <w:t>(95% CI: 18.9 – 42.</w:t>
      </w:r>
      <w:r w:rsidRPr="002114A9">
        <w:t>4) in the</w:t>
      </w:r>
      <w:r>
        <w:t xml:space="preserve"> IV arm. The difference was again not significant (p = 0.058).</w:t>
      </w:r>
    </w:p>
    <w:p w:rsidR="008D4C87" w:rsidRDefault="008D4C87" w:rsidP="002114A9">
      <w:r>
        <w:t xml:space="preserve">The protocol indicated that </w:t>
      </w:r>
      <w:r w:rsidRPr="00261070">
        <w:rPr>
          <w:u w:val="single"/>
        </w:rPr>
        <w:t>subgroup analyses</w:t>
      </w:r>
      <w:r>
        <w:t xml:space="preserve"> would be conducted as exploratory analyses. The results for ORR subgroup analyses are shown in </w:t>
      </w:r>
      <w:r w:rsidR="00DB6108">
        <w:t>Table 10</w:t>
      </w:r>
      <w:r>
        <w:t>. There were no obvious differences between the two treatment arms for any subgroup analysed. The study report acknowledged that the value of these analyses was limited given the small sample sizes and wide confidence intervals obtained.</w:t>
      </w:r>
    </w:p>
    <w:p w:rsidR="008D4C87" w:rsidRDefault="008D4C87" w:rsidP="002114A9">
      <w:r>
        <w:t>No results were presented for the per protocol population.</w:t>
      </w:r>
    </w:p>
    <w:p w:rsidR="00DB6108" w:rsidRDefault="00DB6108" w:rsidP="002114A9">
      <w:pPr>
        <w:pStyle w:val="TableTitle"/>
      </w:pPr>
      <w:bookmarkStart w:id="74" w:name="_Ref233165065"/>
      <w:bookmarkStart w:id="75" w:name="_Toc234034171"/>
      <w:proofErr w:type="gramStart"/>
      <w:r>
        <w:lastRenderedPageBreak/>
        <w:t>Table 10</w:t>
      </w:r>
      <w:bookmarkEnd w:id="74"/>
      <w:r>
        <w:t>.</w:t>
      </w:r>
      <w:proofErr w:type="gramEnd"/>
      <w:r>
        <w:t xml:space="preserve"> Study BO 23344 </w:t>
      </w:r>
      <w:r w:rsidRPr="002114A9">
        <w:t>Stage</w:t>
      </w:r>
      <w:r>
        <w:t xml:space="preserve"> 1 - Subgroup analysis</w:t>
      </w:r>
      <w:bookmarkEnd w:id="75"/>
    </w:p>
    <w:p w:rsidR="00DB6108" w:rsidRDefault="00DB6108" w:rsidP="002114A9">
      <w:r>
        <w:rPr>
          <w:noProof/>
          <w:lang w:eastAsia="en-AU"/>
        </w:rPr>
        <w:drawing>
          <wp:inline distT="0" distB="0" distL="0" distR="0" wp14:anchorId="5152C653" wp14:editId="6F8F2D20">
            <wp:extent cx="3655222" cy="3854083"/>
            <wp:effectExtent l="0" t="0" r="0" b="0"/>
            <wp:docPr id="3" name="Picture 2" descr="Table 10. Study BO 23344 Stage 1 - Subgroup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58862" cy="3857921"/>
                    </a:xfrm>
                    <a:prstGeom prst="rect">
                      <a:avLst/>
                    </a:prstGeom>
                    <a:noFill/>
                    <a:ln>
                      <a:noFill/>
                    </a:ln>
                  </pic:spPr>
                </pic:pic>
              </a:graphicData>
            </a:graphic>
          </wp:inline>
        </w:drawing>
      </w:r>
    </w:p>
    <w:p w:rsidR="008D4C87" w:rsidRDefault="008D4C87" w:rsidP="002114A9">
      <w:pPr>
        <w:pStyle w:val="Heading3"/>
      </w:pPr>
      <w:bookmarkStart w:id="76" w:name="_Toc241374312"/>
      <w:bookmarkStart w:id="77" w:name="_Toc272414656"/>
      <w:bookmarkStart w:id="78" w:name="_Toc290846281"/>
      <w:bookmarkStart w:id="79" w:name="_Toc234034050"/>
      <w:bookmarkStart w:id="80" w:name="_Toc399501544"/>
      <w:r>
        <w:t xml:space="preserve">Analyses </w:t>
      </w:r>
      <w:r w:rsidRPr="002114A9">
        <w:t>performed</w:t>
      </w:r>
      <w:r>
        <w:t xml:space="preserve"> across trials (pooled analyses and meta-analyses)</w:t>
      </w:r>
      <w:bookmarkEnd w:id="76"/>
      <w:bookmarkEnd w:id="77"/>
      <w:bookmarkEnd w:id="78"/>
      <w:bookmarkEnd w:id="79"/>
      <w:bookmarkEnd w:id="80"/>
    </w:p>
    <w:p w:rsidR="008D4C87" w:rsidRPr="00D15626" w:rsidRDefault="008D4C87" w:rsidP="002114A9">
      <w:r>
        <w:t>Study BO 22334 was the only study submitted that contained clinical efficacy data and hence no pooled analysis was conducted.</w:t>
      </w:r>
    </w:p>
    <w:p w:rsidR="008D4C87" w:rsidRPr="00D15626" w:rsidRDefault="008D4C87" w:rsidP="002114A9">
      <w:pPr>
        <w:pStyle w:val="Heading3"/>
      </w:pPr>
      <w:bookmarkStart w:id="81" w:name="_Toc399501545"/>
      <w:r>
        <w:t>Evaluator’s conclusions on efficacy</w:t>
      </w:r>
      <w:bookmarkEnd w:id="81"/>
    </w:p>
    <w:p w:rsidR="00C22678" w:rsidRPr="00586F98" w:rsidRDefault="008D4C87" w:rsidP="002114A9">
      <w:pPr>
        <w:rPr>
          <w:lang w:eastAsia="ja-JP"/>
        </w:rPr>
      </w:pPr>
      <w:r w:rsidRPr="00532BB9">
        <w:t>The clinical data suggest that subcutaneous and intravenous administration produce similar efficacy.</w:t>
      </w:r>
      <w:r>
        <w:t xml:space="preserve"> However, no formal efficacy hypothesis was tested in the submitted study and hence these data should be considered supportive. The main evidence to support comparable clinical efficacy is the pharmacokinetic data described above.</w:t>
      </w:r>
    </w:p>
    <w:p w:rsidR="00C22678" w:rsidRDefault="00C22678" w:rsidP="002114A9">
      <w:pPr>
        <w:pStyle w:val="Heading2"/>
      </w:pPr>
      <w:bookmarkStart w:id="82" w:name="_Toc399501546"/>
      <w:r>
        <w:t>Clinical safety</w:t>
      </w:r>
      <w:bookmarkEnd w:id="82"/>
    </w:p>
    <w:p w:rsidR="008D4C87" w:rsidRPr="00D15626" w:rsidRDefault="008D4C87" w:rsidP="002114A9">
      <w:pPr>
        <w:pStyle w:val="Heading3"/>
      </w:pPr>
      <w:bookmarkStart w:id="83" w:name="_Toc399501547"/>
      <w:r w:rsidRPr="00605AD4">
        <w:t>Studies providing safety data</w:t>
      </w:r>
      <w:bookmarkEnd w:id="83"/>
    </w:p>
    <w:p w:rsidR="008D4C87" w:rsidRPr="004B259C" w:rsidRDefault="008D4C87" w:rsidP="002114A9">
      <w:pPr>
        <w:pStyle w:val="Heading4"/>
      </w:pPr>
      <w:bookmarkStart w:id="84" w:name="_Toc272414659"/>
      <w:bookmarkStart w:id="85" w:name="_Toc290846284"/>
      <w:bookmarkStart w:id="86" w:name="_Toc234034053"/>
      <w:r>
        <w:t>Studies providing evaluable safety data</w:t>
      </w:r>
      <w:bookmarkEnd w:id="84"/>
      <w:bookmarkEnd w:id="85"/>
      <w:bookmarkEnd w:id="86"/>
    </w:p>
    <w:p w:rsidR="008D4C87" w:rsidRDefault="008D4C87" w:rsidP="002114A9">
      <w:pPr>
        <w:pStyle w:val="Heading5"/>
      </w:pPr>
      <w:bookmarkStart w:id="87" w:name="_Ref268776745"/>
      <w:r w:rsidRPr="00E9592A">
        <w:t>Studies in NHL patients</w:t>
      </w:r>
    </w:p>
    <w:p w:rsidR="008D4C87" w:rsidRDefault="008D4C87" w:rsidP="002114A9">
      <w:r>
        <w:t>The following studies conducted in NHL patients (described above) provided evaluable safety data:</w:t>
      </w:r>
    </w:p>
    <w:p w:rsidR="008D4C87" w:rsidRPr="00756268" w:rsidRDefault="008D4C87" w:rsidP="002114A9">
      <w:pPr>
        <w:pStyle w:val="ListBullet"/>
      </w:pPr>
      <w:r w:rsidRPr="002114A9">
        <w:t>Study</w:t>
      </w:r>
      <w:r w:rsidRPr="00756268">
        <w:t xml:space="preserve"> BP 22333 </w:t>
      </w:r>
      <w:proofErr w:type="gramStart"/>
      <w:r w:rsidRPr="00756268">
        <w:t>Stage</w:t>
      </w:r>
      <w:proofErr w:type="gramEnd"/>
      <w:r w:rsidRPr="00756268">
        <w:t xml:space="preserve"> 1. Subjects received a single dose of 375 mg/m</w:t>
      </w:r>
      <w:r w:rsidRPr="00295B82">
        <w:rPr>
          <w:vertAlign w:val="superscript"/>
        </w:rPr>
        <w:t>2</w:t>
      </w:r>
      <w:r w:rsidRPr="00756268">
        <w:t xml:space="preserve"> IV, 375 mg/m</w:t>
      </w:r>
      <w:r w:rsidRPr="00295B82">
        <w:rPr>
          <w:vertAlign w:val="superscript"/>
        </w:rPr>
        <w:t>2</w:t>
      </w:r>
      <w:r w:rsidRPr="00756268">
        <w:t xml:space="preserve"> SC, 625 mg/m</w:t>
      </w:r>
      <w:r w:rsidRPr="00295B82">
        <w:rPr>
          <w:vertAlign w:val="superscript"/>
        </w:rPr>
        <w:t>2</w:t>
      </w:r>
      <w:r w:rsidRPr="00756268">
        <w:t xml:space="preserve"> SC or 800 mg/m</w:t>
      </w:r>
      <w:r w:rsidRPr="00295B82">
        <w:rPr>
          <w:vertAlign w:val="superscript"/>
        </w:rPr>
        <w:t>2</w:t>
      </w:r>
      <w:r w:rsidRPr="00756268">
        <w:t xml:space="preserve"> SC as part of maintenance treatment;</w:t>
      </w:r>
    </w:p>
    <w:p w:rsidR="008D4C87" w:rsidRPr="00756268" w:rsidRDefault="008D4C87" w:rsidP="002114A9">
      <w:pPr>
        <w:pStyle w:val="ListBullet"/>
      </w:pPr>
      <w:r w:rsidRPr="002114A9">
        <w:t>Study</w:t>
      </w:r>
      <w:r w:rsidRPr="00756268">
        <w:t xml:space="preserve"> BP 22333 </w:t>
      </w:r>
      <w:proofErr w:type="gramStart"/>
      <w:r w:rsidRPr="00756268">
        <w:t>Stage</w:t>
      </w:r>
      <w:proofErr w:type="gramEnd"/>
      <w:r w:rsidRPr="00756268">
        <w:t xml:space="preserve"> 2. Subjects received ongoing treatment with </w:t>
      </w:r>
      <w:proofErr w:type="gramStart"/>
      <w:r w:rsidRPr="00756268">
        <w:t>either 375</w:t>
      </w:r>
      <w:proofErr w:type="gramEnd"/>
      <w:r w:rsidRPr="00756268">
        <w:t xml:space="preserve"> mg/m</w:t>
      </w:r>
      <w:r w:rsidRPr="00295B82">
        <w:rPr>
          <w:vertAlign w:val="superscript"/>
        </w:rPr>
        <w:t>2</w:t>
      </w:r>
      <w:r w:rsidRPr="00756268">
        <w:t xml:space="preserve"> IV or 1400 mg SC as part of maintenance treatment.</w:t>
      </w:r>
    </w:p>
    <w:p w:rsidR="008D4C87" w:rsidRDefault="008D4C87" w:rsidP="002114A9">
      <w:pPr>
        <w:pStyle w:val="ListBullet"/>
      </w:pPr>
      <w:r w:rsidRPr="00756268">
        <w:lastRenderedPageBreak/>
        <w:t xml:space="preserve">Study BO 22334 </w:t>
      </w:r>
      <w:proofErr w:type="gramStart"/>
      <w:r w:rsidRPr="00756268">
        <w:t>Stage</w:t>
      </w:r>
      <w:proofErr w:type="gramEnd"/>
      <w:r w:rsidRPr="00756268">
        <w:t xml:space="preserve"> 1. Subjects received ongoing treatment with </w:t>
      </w:r>
      <w:proofErr w:type="gramStart"/>
      <w:r w:rsidRPr="00756268">
        <w:t>either 375</w:t>
      </w:r>
      <w:proofErr w:type="gramEnd"/>
      <w:r w:rsidRPr="00756268">
        <w:t xml:space="preserve"> mg/m</w:t>
      </w:r>
      <w:r w:rsidRPr="00295B82">
        <w:rPr>
          <w:vertAlign w:val="superscript"/>
        </w:rPr>
        <w:t>2</w:t>
      </w:r>
      <w:r w:rsidRPr="00756268">
        <w:t xml:space="preserve"> IV or 1400 mg SC as part of both induction</w:t>
      </w:r>
      <w:r>
        <w:t xml:space="preserve"> and maintenance treatment.</w:t>
      </w:r>
    </w:p>
    <w:bookmarkEnd w:id="87"/>
    <w:p w:rsidR="00A4228F" w:rsidRDefault="00A4228F" w:rsidP="002114A9">
      <w:r>
        <w:t>In these studies, the following safety data were collected:</w:t>
      </w:r>
    </w:p>
    <w:p w:rsidR="00A4228F" w:rsidRPr="00B257D3" w:rsidRDefault="00A4228F" w:rsidP="002114A9">
      <w:pPr>
        <w:pStyle w:val="ListBullet"/>
      </w:pPr>
      <w:r>
        <w:t>Information regarding g</w:t>
      </w:r>
      <w:r w:rsidRPr="00B257D3">
        <w:t>eneral adverse events (AEs)</w:t>
      </w:r>
      <w:r>
        <w:t xml:space="preserve"> was elicited from the patient at each study visit and during follow-up.</w:t>
      </w:r>
    </w:p>
    <w:p w:rsidR="00A4228F" w:rsidRPr="00B257D3" w:rsidRDefault="00A4228F" w:rsidP="002114A9">
      <w:pPr>
        <w:pStyle w:val="ListBullet"/>
      </w:pPr>
      <w:r w:rsidRPr="00B257D3">
        <w:t>Physical examination, including measurement of vital signs occurred at baseline at each study visit and during follow-up.</w:t>
      </w:r>
    </w:p>
    <w:p w:rsidR="00A4228F" w:rsidRDefault="00A4228F" w:rsidP="002114A9">
      <w:pPr>
        <w:pStyle w:val="ListBullet"/>
      </w:pPr>
      <w:r w:rsidRPr="00B257D3">
        <w:t>Haematology tests, including haemoglobin, haematocrit, white blood cell count and differential</w:t>
      </w:r>
      <w:r>
        <w:t xml:space="preserve"> and platelet count were performed at baseline, at each study visit and during follow-up.</w:t>
      </w:r>
    </w:p>
    <w:p w:rsidR="00A4228F" w:rsidRDefault="00A4228F" w:rsidP="002114A9">
      <w:pPr>
        <w:pStyle w:val="ListBullet"/>
      </w:pPr>
      <w:r>
        <w:t>Coagulation parameters (</w:t>
      </w:r>
      <w:r w:rsidR="00756268" w:rsidRPr="00756268">
        <w:t xml:space="preserve">International Normalized Ratio </w:t>
      </w:r>
      <w:r w:rsidR="00756268">
        <w:t>(</w:t>
      </w:r>
      <w:r>
        <w:t>INR</w:t>
      </w:r>
      <w:r w:rsidR="00756268">
        <w:t>)</w:t>
      </w:r>
      <w:r>
        <w:t xml:space="preserve"> and </w:t>
      </w:r>
      <w:r w:rsidR="00756268" w:rsidRPr="00756268">
        <w:t xml:space="preserve">activated partial </w:t>
      </w:r>
      <w:proofErr w:type="spellStart"/>
      <w:r w:rsidR="00756268" w:rsidRPr="00756268">
        <w:t>thromboplastin</w:t>
      </w:r>
      <w:proofErr w:type="spellEnd"/>
      <w:r w:rsidR="00756268" w:rsidRPr="00756268">
        <w:t xml:space="preserve"> time </w:t>
      </w:r>
      <w:r w:rsidR="00756268">
        <w:t>(</w:t>
      </w:r>
      <w:r>
        <w:t>APTT</w:t>
      </w:r>
      <w:r w:rsidR="00756268">
        <w:t>)</w:t>
      </w:r>
      <w:r>
        <w:t>) were performed at baseline, at most study visits and during follow-up.</w:t>
      </w:r>
    </w:p>
    <w:p w:rsidR="00A4228F" w:rsidRDefault="00A4228F" w:rsidP="002114A9">
      <w:pPr>
        <w:pStyle w:val="ListBullet"/>
      </w:pPr>
      <w:r>
        <w:t xml:space="preserve">Biochemistry tests, including sodium, potassium, creatinine, urea, calcium, phosphate (BO 22334 only), glucose (BO 22334 only), albumin, total protein, bilirubin, </w:t>
      </w:r>
      <w:r w:rsidR="00756268">
        <w:t>aspartate aminotransferase (</w:t>
      </w:r>
      <w:r>
        <w:t>AST</w:t>
      </w:r>
      <w:r w:rsidR="00756268">
        <w:t>)</w:t>
      </w:r>
      <w:r>
        <w:t xml:space="preserve">, </w:t>
      </w:r>
      <w:r w:rsidR="00756268">
        <w:t>alanine aminotransferase (</w:t>
      </w:r>
      <w:r>
        <w:t>ALT</w:t>
      </w:r>
      <w:r w:rsidR="00756268">
        <w:t>)</w:t>
      </w:r>
      <w:r>
        <w:t>, alkaline phosphatase, lactate dehydrogenase, gamma GT (BP 22333 only), uric acid (BP 22333 only) and C-reactive protein (BO 22334 only), were performed at baseline, at each study visit and during follow-up.</w:t>
      </w:r>
    </w:p>
    <w:p w:rsidR="00A4228F" w:rsidRPr="00B10A43" w:rsidRDefault="00A4228F" w:rsidP="002114A9">
      <w:pPr>
        <w:pStyle w:val="ListBullet"/>
        <w:rPr>
          <w:lang w:val="en-US"/>
        </w:rPr>
      </w:pPr>
      <w:r w:rsidRPr="00B10A43">
        <w:t xml:space="preserve">Assays for anti-rituximab antibodies and anti-rHuPH20 antibodies were collected predose in Cycles 1 and 2, and at the 3-month and 9-month follow-up visits in BP 22333. In BO 22334, they were collected </w:t>
      </w:r>
      <w:r w:rsidRPr="00B10A43">
        <w:rPr>
          <w:lang w:val="en-US"/>
        </w:rPr>
        <w:t>pre-dose at each cycle and then at each follow-up visit until 96 weeks after the last dose of rituximab.</w:t>
      </w:r>
    </w:p>
    <w:p w:rsidR="00A4228F" w:rsidRDefault="00A4228F" w:rsidP="002114A9">
      <w:pPr>
        <w:pStyle w:val="ListBullet"/>
      </w:pPr>
      <w:r>
        <w:t>Urinalysis (for pH, protein, ketones, glucose and blood) was performed in BP 22333 only, at baseline, at each study visit and during follow-up.</w:t>
      </w:r>
    </w:p>
    <w:p w:rsidR="00A4228F" w:rsidRDefault="00756268" w:rsidP="002114A9">
      <w:pPr>
        <w:pStyle w:val="ListBullet"/>
      </w:pPr>
      <w:r>
        <w:t>Electrocardiograms (</w:t>
      </w:r>
      <w:r w:rsidR="00A4228F">
        <w:t>ECGs</w:t>
      </w:r>
      <w:r>
        <w:t>)</w:t>
      </w:r>
      <w:r w:rsidR="00A4228F">
        <w:t xml:space="preserve"> were performed at baseline and end of study in BP 22333 and at baseline and </w:t>
      </w:r>
      <w:r>
        <w:t>C</w:t>
      </w:r>
      <w:r w:rsidR="00A4228F">
        <w:t>ycles 4 and 8 in BO 22334.</w:t>
      </w:r>
    </w:p>
    <w:p w:rsidR="008D4C87" w:rsidRDefault="00A4228F" w:rsidP="002114A9">
      <w:r>
        <w:t xml:space="preserve">In BO 22334, left ventricular ejection fraction (LVEF) was assessed by echocardiogram or </w:t>
      </w:r>
      <w:r w:rsidR="00756268" w:rsidRPr="00756268">
        <w:t xml:space="preserve">Multi Gated Acquisition </w:t>
      </w:r>
      <w:r w:rsidR="00756268">
        <w:t>(</w:t>
      </w:r>
      <w:r>
        <w:t>MUGA</w:t>
      </w:r>
      <w:r w:rsidR="00756268">
        <w:t>)</w:t>
      </w:r>
      <w:r>
        <w:t xml:space="preserve"> scan at baseline, at </w:t>
      </w:r>
      <w:r w:rsidR="00756268">
        <w:t>C</w:t>
      </w:r>
      <w:r>
        <w:t>ycle 4 in patients receiving CHOP chemotherapy and at the end of induction.</w:t>
      </w:r>
    </w:p>
    <w:p w:rsidR="008D4C87" w:rsidRPr="00840122" w:rsidRDefault="008D4C87" w:rsidP="002114A9">
      <w:pPr>
        <w:pStyle w:val="Heading5"/>
      </w:pPr>
      <w:r>
        <w:t>Study in CLL patients</w:t>
      </w:r>
    </w:p>
    <w:p w:rsidR="008D4C87" w:rsidRPr="00DF6109" w:rsidRDefault="008D4C87" w:rsidP="002114A9">
      <w:r w:rsidRPr="00E9592A">
        <w:t xml:space="preserve">Study BO 25341 </w:t>
      </w:r>
      <w:r w:rsidRPr="00E9592A">
        <w:rPr>
          <w:lang w:val="en-US"/>
        </w:rPr>
        <w:t>(</w:t>
      </w:r>
      <w:r>
        <w:rPr>
          <w:lang w:val="en-US"/>
        </w:rPr>
        <w:t xml:space="preserve">the </w:t>
      </w:r>
      <w:r w:rsidRPr="00E9592A">
        <w:rPr>
          <w:lang w:val="en-US"/>
        </w:rPr>
        <w:t>SAWYER</w:t>
      </w:r>
      <w:r>
        <w:rPr>
          <w:lang w:val="en-US"/>
        </w:rPr>
        <w:t xml:space="preserve"> study</w:t>
      </w:r>
      <w:r w:rsidRPr="00E9592A">
        <w:rPr>
          <w:lang w:val="en-US"/>
        </w:rPr>
        <w:t xml:space="preserve">) </w:t>
      </w:r>
      <w:r w:rsidRPr="00E9592A">
        <w:t>is an ongoing</w:t>
      </w:r>
      <w:r>
        <w:t>,</w:t>
      </w:r>
      <w:r w:rsidRPr="00E9592A">
        <w:t xml:space="preserve"> </w:t>
      </w:r>
      <w:r>
        <w:rPr>
          <w:lang w:val="en-US"/>
        </w:rPr>
        <w:t xml:space="preserve">two </w:t>
      </w:r>
      <w:r w:rsidRPr="00E9592A">
        <w:rPr>
          <w:lang w:val="en-US"/>
        </w:rPr>
        <w:t>part, randomi</w:t>
      </w:r>
      <w:r>
        <w:rPr>
          <w:lang w:val="en-US"/>
        </w:rPr>
        <w:t>s</w:t>
      </w:r>
      <w:r w:rsidRPr="00E9592A">
        <w:rPr>
          <w:lang w:val="en-US"/>
        </w:rPr>
        <w:t>ed, open</w:t>
      </w:r>
      <w:r>
        <w:rPr>
          <w:lang w:val="en-US"/>
        </w:rPr>
        <w:t xml:space="preserve"> </w:t>
      </w:r>
      <w:r w:rsidRPr="00E9592A">
        <w:rPr>
          <w:lang w:val="en-US"/>
        </w:rPr>
        <w:t>label, p</w:t>
      </w:r>
      <w:r>
        <w:rPr>
          <w:lang w:val="en-US"/>
        </w:rPr>
        <w:t xml:space="preserve">arallel </w:t>
      </w:r>
      <w:r w:rsidRPr="00E9592A">
        <w:rPr>
          <w:lang w:val="en-US"/>
        </w:rPr>
        <w:t>group,</w:t>
      </w:r>
      <w:r>
        <w:rPr>
          <w:lang w:val="en-US"/>
        </w:rPr>
        <w:t xml:space="preserve"> </w:t>
      </w:r>
      <w:r w:rsidRPr="00E9592A">
        <w:rPr>
          <w:lang w:val="en-US"/>
        </w:rPr>
        <w:t>multicenter, Phase Ib study in patients</w:t>
      </w:r>
      <w:r>
        <w:rPr>
          <w:lang w:val="en-US"/>
        </w:rPr>
        <w:t xml:space="preserve"> with previously untreated chronic lymphocytic leukaemia (CLL)</w:t>
      </w:r>
      <w:r w:rsidRPr="00E9592A">
        <w:rPr>
          <w:lang w:val="en-US"/>
        </w:rPr>
        <w:t>.</w:t>
      </w:r>
      <w:r>
        <w:rPr>
          <w:lang w:val="en-US"/>
        </w:rPr>
        <w:t xml:space="preserve"> </w:t>
      </w:r>
      <w:r>
        <w:t>This study</w:t>
      </w:r>
      <w:r w:rsidRPr="00E9592A">
        <w:t xml:space="preserve"> </w:t>
      </w:r>
      <w:r>
        <w:t>is</w:t>
      </w:r>
      <w:r w:rsidRPr="00E9592A">
        <w:t xml:space="preserve"> described </w:t>
      </w:r>
      <w:r>
        <w:t>below</w:t>
      </w:r>
      <w:r w:rsidRPr="00E9592A">
        <w:t>.</w:t>
      </w:r>
    </w:p>
    <w:p w:rsidR="00A4228F" w:rsidRDefault="00A4228F" w:rsidP="002114A9">
      <w:pPr>
        <w:pStyle w:val="Heading3"/>
      </w:pPr>
      <w:bookmarkStart w:id="88" w:name="_Toc234034054"/>
      <w:bookmarkStart w:id="89" w:name="_Toc399501548"/>
      <w:r>
        <w:t>Study BO 25341</w:t>
      </w:r>
      <w:bookmarkEnd w:id="88"/>
      <w:bookmarkEnd w:id="89"/>
    </w:p>
    <w:p w:rsidR="00A4228F" w:rsidRDefault="00A4228F" w:rsidP="002114A9">
      <w:r>
        <w:t>A complete study report was not provided for this study. The Clinical Summary of Safety in Module 2 gave a brief description of the study design and a summary of the safety findings, and Module 5 of the submission included individual patient narratives for those subjects who died, experienced a serious adverse event or experienced an adverse event that resulted in withdrawal.</w:t>
      </w:r>
    </w:p>
    <w:p w:rsidR="00A4228F" w:rsidRPr="00B20756" w:rsidRDefault="00A4228F" w:rsidP="002114A9">
      <w:pPr>
        <w:pStyle w:val="Heading4"/>
      </w:pPr>
      <w:bookmarkStart w:id="90" w:name="_Toc290846287"/>
      <w:bookmarkStart w:id="91" w:name="_Toc234034055"/>
      <w:r w:rsidRPr="00B20756">
        <w:t>Study design, objectives, locations and dates</w:t>
      </w:r>
      <w:bookmarkEnd w:id="90"/>
      <w:bookmarkEnd w:id="91"/>
    </w:p>
    <w:p w:rsidR="00A4228F" w:rsidRDefault="00A4228F" w:rsidP="002114A9">
      <w:pPr>
        <w:rPr>
          <w:lang w:val="en-US"/>
        </w:rPr>
      </w:pPr>
      <w:r>
        <w:t xml:space="preserve">The study is an ongoing </w:t>
      </w:r>
      <w:r w:rsidRPr="0067466F">
        <w:rPr>
          <w:lang w:val="en-US"/>
        </w:rPr>
        <w:t>two-part, randomized, open-label, parallel-group,</w:t>
      </w:r>
      <w:r>
        <w:rPr>
          <w:lang w:val="en-US"/>
        </w:rPr>
        <w:t xml:space="preserve"> multi</w:t>
      </w:r>
      <w:r w:rsidR="00756268">
        <w:rPr>
          <w:lang w:val="en-US"/>
        </w:rPr>
        <w:t xml:space="preserve"> </w:t>
      </w:r>
      <w:proofErr w:type="spellStart"/>
      <w:r>
        <w:rPr>
          <w:lang w:val="en-US"/>
        </w:rPr>
        <w:t>centre</w:t>
      </w:r>
      <w:proofErr w:type="spellEnd"/>
      <w:r w:rsidRPr="0067466F">
        <w:rPr>
          <w:lang w:val="en-US"/>
        </w:rPr>
        <w:t xml:space="preserve">, Phase </w:t>
      </w:r>
      <w:proofErr w:type="spellStart"/>
      <w:r w:rsidRPr="0067466F">
        <w:rPr>
          <w:lang w:val="en-US"/>
        </w:rPr>
        <w:t>Ib</w:t>
      </w:r>
      <w:proofErr w:type="spellEnd"/>
      <w:r w:rsidRPr="0067466F">
        <w:rPr>
          <w:lang w:val="en-US"/>
        </w:rPr>
        <w:t xml:space="preserve"> study</w:t>
      </w:r>
      <w:r>
        <w:rPr>
          <w:lang w:val="en-US"/>
        </w:rPr>
        <w:t xml:space="preserve">. The study was designed </w:t>
      </w:r>
      <w:r w:rsidRPr="0067466F">
        <w:rPr>
          <w:lang w:val="en-US"/>
        </w:rPr>
        <w:t>to demonstrate that SC rituximab</w:t>
      </w:r>
      <w:r>
        <w:rPr>
          <w:lang w:val="en-US"/>
        </w:rPr>
        <w:t xml:space="preserve"> administration</w:t>
      </w:r>
      <w:r w:rsidRPr="0067466F">
        <w:rPr>
          <w:lang w:val="en-US"/>
        </w:rPr>
        <w:t xml:space="preserve"> results in C</w:t>
      </w:r>
      <w:r w:rsidRPr="0067466F">
        <w:rPr>
          <w:vertAlign w:val="subscript"/>
          <w:lang w:val="en-US"/>
        </w:rPr>
        <w:t>trough</w:t>
      </w:r>
      <w:r w:rsidRPr="0067466F">
        <w:rPr>
          <w:lang w:val="en-US"/>
        </w:rPr>
        <w:t xml:space="preserve"> </w:t>
      </w:r>
      <w:r w:rsidRPr="0067466F">
        <w:rPr>
          <w:lang w:val="en-US"/>
        </w:rPr>
        <w:lastRenderedPageBreak/>
        <w:t>levels</w:t>
      </w:r>
      <w:r>
        <w:rPr>
          <w:lang w:val="en-US"/>
        </w:rPr>
        <w:t xml:space="preserve"> </w:t>
      </w:r>
      <w:r w:rsidRPr="0067466F">
        <w:rPr>
          <w:lang w:val="en-US"/>
        </w:rPr>
        <w:t xml:space="preserve">that are non-inferior to </w:t>
      </w:r>
      <w:r>
        <w:rPr>
          <w:lang w:val="en-US"/>
        </w:rPr>
        <w:t xml:space="preserve">those obtained with </w:t>
      </w:r>
      <w:r w:rsidRPr="0067466F">
        <w:rPr>
          <w:lang w:val="en-US"/>
        </w:rPr>
        <w:t>rituximab IV</w:t>
      </w:r>
      <w:r>
        <w:rPr>
          <w:lang w:val="en-US"/>
        </w:rPr>
        <w:t xml:space="preserve"> administration. A study schema is shown in </w:t>
      </w:r>
      <w:r w:rsidR="00756268">
        <w:rPr>
          <w:lang w:val="en-US"/>
        </w:rPr>
        <w:t>Figure 3</w:t>
      </w:r>
      <w:r>
        <w:rPr>
          <w:lang w:val="en-US"/>
        </w:rPr>
        <w:t>.</w:t>
      </w:r>
      <w:r w:rsidRPr="0088767F">
        <w:rPr>
          <w:lang w:val="en-US"/>
        </w:rPr>
        <w:t xml:space="preserve"> </w:t>
      </w:r>
      <w:r w:rsidRPr="00BD17A4">
        <w:rPr>
          <w:u w:val="single"/>
          <w:lang w:val="en-US"/>
        </w:rPr>
        <w:t>The data provided in the submission were from Part 1 of the study only.</w:t>
      </w:r>
    </w:p>
    <w:p w:rsidR="00756268" w:rsidRPr="002114A9" w:rsidRDefault="00756268" w:rsidP="002114A9">
      <w:pPr>
        <w:pStyle w:val="FigureTitle"/>
      </w:pPr>
      <w:bookmarkStart w:id="92" w:name="_Ref233354969"/>
      <w:bookmarkStart w:id="93" w:name="_Ref233354931"/>
      <w:bookmarkStart w:id="94" w:name="_Toc234034192"/>
      <w:proofErr w:type="gramStart"/>
      <w:r>
        <w:t>Figure 3.</w:t>
      </w:r>
      <w:bookmarkEnd w:id="92"/>
      <w:proofErr w:type="gramEnd"/>
      <w:r>
        <w:t xml:space="preserve"> Study BO 25341 - Study design</w:t>
      </w:r>
      <w:bookmarkEnd w:id="93"/>
      <w:bookmarkEnd w:id="94"/>
    </w:p>
    <w:p w:rsidR="00756268" w:rsidRDefault="00756268" w:rsidP="002114A9">
      <w:r>
        <w:rPr>
          <w:noProof/>
          <w:lang w:eastAsia="en-AU"/>
        </w:rPr>
        <w:drawing>
          <wp:inline distT="0" distB="0" distL="0" distR="0" wp14:anchorId="62C30FB2" wp14:editId="703E0F3B">
            <wp:extent cx="3619815" cy="2658021"/>
            <wp:effectExtent l="0" t="0" r="0" b="0"/>
            <wp:docPr id="18" name="Picture 1" descr="Figure 3. Study BO 25341 - Study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29790" cy="2665346"/>
                    </a:xfrm>
                    <a:prstGeom prst="rect">
                      <a:avLst/>
                    </a:prstGeom>
                    <a:noFill/>
                    <a:ln>
                      <a:noFill/>
                    </a:ln>
                  </pic:spPr>
                </pic:pic>
              </a:graphicData>
            </a:graphic>
          </wp:inline>
        </w:drawing>
      </w:r>
    </w:p>
    <w:p w:rsidR="00A4228F" w:rsidRPr="0067466F" w:rsidRDefault="00A4228F" w:rsidP="002114A9">
      <w:pPr>
        <w:rPr>
          <w:lang w:val="en-US"/>
        </w:rPr>
      </w:pPr>
      <w:r>
        <w:rPr>
          <w:lang w:val="en-US"/>
        </w:rPr>
        <w:t>The cut-off for the safety data included in this submission was 4 April 2012. Other details of the study dates and locations were not provided.</w:t>
      </w:r>
    </w:p>
    <w:p w:rsidR="00A4228F" w:rsidRPr="00B20756" w:rsidRDefault="00A4228F" w:rsidP="002114A9">
      <w:pPr>
        <w:pStyle w:val="Heading4"/>
      </w:pPr>
      <w:bookmarkStart w:id="95" w:name="_Toc290846288"/>
      <w:bookmarkStart w:id="96" w:name="_Toc234034056"/>
      <w:r w:rsidRPr="00B20756">
        <w:t>Inclusion and exclusion criteria</w:t>
      </w:r>
      <w:bookmarkEnd w:id="95"/>
      <w:bookmarkEnd w:id="96"/>
    </w:p>
    <w:p w:rsidR="00A4228F" w:rsidRDefault="00A4228F" w:rsidP="002114A9">
      <w:pPr>
        <w:rPr>
          <w:lang w:val="en-US"/>
        </w:rPr>
      </w:pPr>
      <w:r>
        <w:rPr>
          <w:lang w:val="en-US"/>
        </w:rPr>
        <w:t>Eligible patients were those with previously untreated CLL.</w:t>
      </w:r>
    </w:p>
    <w:p w:rsidR="00A4228F" w:rsidRPr="00B20756" w:rsidRDefault="00A4228F" w:rsidP="002114A9">
      <w:pPr>
        <w:pStyle w:val="Heading4"/>
      </w:pPr>
      <w:bookmarkStart w:id="97" w:name="_Toc290846289"/>
      <w:bookmarkStart w:id="98" w:name="_Toc234034057"/>
      <w:r w:rsidRPr="00B20756">
        <w:t>Study treatments</w:t>
      </w:r>
      <w:bookmarkEnd w:id="97"/>
      <w:bookmarkEnd w:id="98"/>
    </w:p>
    <w:p w:rsidR="00A4228F" w:rsidRPr="00D84D46" w:rsidRDefault="00A4228F" w:rsidP="002114A9">
      <w:r>
        <w:t xml:space="preserve">In Part 1 of the study, subjects received different SC doses of rituximab with the aim of selecting </w:t>
      </w:r>
      <w:r w:rsidRPr="00D84D46">
        <w:rPr>
          <w:lang w:val="en-US"/>
        </w:rPr>
        <w:t>a dose of rituximab SC that would result in C</w:t>
      </w:r>
      <w:r w:rsidRPr="00D84D46">
        <w:rPr>
          <w:sz w:val="14"/>
          <w:szCs w:val="14"/>
          <w:lang w:val="en-US"/>
        </w:rPr>
        <w:t xml:space="preserve">trough </w:t>
      </w:r>
      <w:r w:rsidRPr="00D84D46">
        <w:rPr>
          <w:lang w:val="en-US"/>
        </w:rPr>
        <w:t xml:space="preserve">values comparable to those achieved with the standard rituximab IV dose </w:t>
      </w:r>
      <w:r>
        <w:rPr>
          <w:lang w:val="en-US"/>
        </w:rPr>
        <w:t xml:space="preserve">for CLL </w:t>
      </w:r>
      <w:r w:rsidRPr="00D84D46">
        <w:rPr>
          <w:lang w:val="en-US"/>
        </w:rPr>
        <w:t>administered on a BSA-adjusted basis.</w:t>
      </w:r>
    </w:p>
    <w:p w:rsidR="00A4228F" w:rsidRDefault="00A4228F" w:rsidP="002114A9">
      <w:pPr>
        <w:rPr>
          <w:lang w:val="en-US"/>
        </w:rPr>
      </w:pPr>
      <w:r>
        <w:rPr>
          <w:lang w:val="en-US"/>
        </w:rPr>
        <w:t>P</w:t>
      </w:r>
      <w:r w:rsidRPr="00D84D46">
        <w:rPr>
          <w:lang w:val="en-US"/>
        </w:rPr>
        <w:t>atients could be enrolled at any point during their treatment with rituximab IV in</w:t>
      </w:r>
      <w:r>
        <w:rPr>
          <w:lang w:val="en-US"/>
        </w:rPr>
        <w:t xml:space="preserve"> </w:t>
      </w:r>
      <w:r w:rsidRPr="00D84D46">
        <w:rPr>
          <w:lang w:val="en-US"/>
        </w:rPr>
        <w:t xml:space="preserve">combination with </w:t>
      </w:r>
      <w:proofErr w:type="spellStart"/>
      <w:r>
        <w:rPr>
          <w:lang w:val="en-US"/>
        </w:rPr>
        <w:t>fludaribine</w:t>
      </w:r>
      <w:proofErr w:type="spellEnd"/>
      <w:r>
        <w:rPr>
          <w:lang w:val="en-US"/>
        </w:rPr>
        <w:t xml:space="preserve"> and cyclophosphamide chemotherapy</w:t>
      </w:r>
      <w:r w:rsidRPr="00D84D46">
        <w:rPr>
          <w:lang w:val="en-US"/>
        </w:rPr>
        <w:t xml:space="preserve"> </w:t>
      </w:r>
      <w:r>
        <w:rPr>
          <w:lang w:val="en-US"/>
        </w:rPr>
        <w:t>(</w:t>
      </w:r>
      <w:r w:rsidRPr="00D84D46">
        <w:rPr>
          <w:lang w:val="en-US"/>
        </w:rPr>
        <w:t>FC</w:t>
      </w:r>
      <w:r>
        <w:rPr>
          <w:lang w:val="en-US"/>
        </w:rPr>
        <w:t>)</w:t>
      </w:r>
      <w:r w:rsidRPr="00D84D46">
        <w:rPr>
          <w:lang w:val="en-US"/>
        </w:rPr>
        <w:t>, prior to commencement of Cycle 5 of treatment. At Cycle 5,</w:t>
      </w:r>
      <w:r>
        <w:rPr>
          <w:lang w:val="en-US"/>
        </w:rPr>
        <w:t xml:space="preserve"> </w:t>
      </w:r>
      <w:r w:rsidRPr="00D84D46">
        <w:rPr>
          <w:lang w:val="en-US"/>
        </w:rPr>
        <w:t>patients received rituximab IV 500 mg/m</w:t>
      </w:r>
      <w:r w:rsidRPr="00756268">
        <w:rPr>
          <w:vertAlign w:val="superscript"/>
          <w:lang w:val="en-US"/>
        </w:rPr>
        <w:t>2</w:t>
      </w:r>
      <w:r w:rsidRPr="00D84D46">
        <w:rPr>
          <w:lang w:val="en-US"/>
        </w:rPr>
        <w:t xml:space="preserve"> (with</w:t>
      </w:r>
      <w:r>
        <w:rPr>
          <w:lang w:val="en-US"/>
        </w:rPr>
        <w:t xml:space="preserve"> FC</w:t>
      </w:r>
      <w:r w:rsidRPr="00D84D46">
        <w:rPr>
          <w:lang w:val="en-US"/>
        </w:rPr>
        <w:t>). At Cycle 6, patients received</w:t>
      </w:r>
      <w:r>
        <w:rPr>
          <w:lang w:val="en-US"/>
        </w:rPr>
        <w:t xml:space="preserve"> </w:t>
      </w:r>
      <w:r w:rsidRPr="00D84D46">
        <w:rPr>
          <w:lang w:val="en-US"/>
        </w:rPr>
        <w:t>rituximab SC (1400 mg, 1600 mg, or 1870 mg) with FC.</w:t>
      </w:r>
    </w:p>
    <w:p w:rsidR="00A4228F" w:rsidRPr="00D84D46" w:rsidRDefault="00A4228F" w:rsidP="002114A9">
      <w:pPr>
        <w:rPr>
          <w:lang w:val="en-US"/>
        </w:rPr>
      </w:pPr>
      <w:r>
        <w:rPr>
          <w:lang w:val="en-US"/>
        </w:rPr>
        <w:t xml:space="preserve">In Part 2 of the </w:t>
      </w:r>
      <w:r w:rsidR="00756268">
        <w:rPr>
          <w:lang w:val="en-US"/>
        </w:rPr>
        <w:t>study subjects would be randomis</w:t>
      </w:r>
      <w:r>
        <w:rPr>
          <w:lang w:val="en-US"/>
        </w:rPr>
        <w:t xml:space="preserve">ed (1:1) to receive IV or SC treatment. </w:t>
      </w:r>
    </w:p>
    <w:p w:rsidR="00A4228F" w:rsidRPr="0088767F" w:rsidRDefault="00A4228F" w:rsidP="002114A9">
      <w:pPr>
        <w:pStyle w:val="Heading4"/>
      </w:pPr>
      <w:bookmarkStart w:id="99" w:name="_Toc290846290"/>
      <w:bookmarkStart w:id="100" w:name="_Toc234034058"/>
      <w:r w:rsidRPr="0088767F">
        <w:t>Safety variables and outcomes</w:t>
      </w:r>
      <w:bookmarkEnd w:id="99"/>
      <w:bookmarkEnd w:id="100"/>
    </w:p>
    <w:p w:rsidR="00A4228F" w:rsidRPr="004B259C" w:rsidRDefault="00A4228F" w:rsidP="002114A9">
      <w:r w:rsidRPr="004B259C">
        <w:t xml:space="preserve">The </w:t>
      </w:r>
      <w:r>
        <w:t>safety</w:t>
      </w:r>
      <w:r w:rsidRPr="004B259C">
        <w:t xml:space="preserve"> variables </w:t>
      </w:r>
      <w:r>
        <w:t>examined were:</w:t>
      </w:r>
    </w:p>
    <w:p w:rsidR="00A4228F" w:rsidRPr="004B259C" w:rsidRDefault="00A4228F" w:rsidP="002114A9">
      <w:pPr>
        <w:pStyle w:val="ListBullet"/>
      </w:pPr>
      <w:r>
        <w:t>Adverse events;</w:t>
      </w:r>
    </w:p>
    <w:p w:rsidR="00A4228F" w:rsidRPr="004B259C" w:rsidRDefault="00A4228F" w:rsidP="002114A9">
      <w:pPr>
        <w:pStyle w:val="ListBullet"/>
      </w:pPr>
      <w:r>
        <w:t>Physical examination and vital signs;</w:t>
      </w:r>
    </w:p>
    <w:p w:rsidR="00A4228F" w:rsidRDefault="00A4228F" w:rsidP="002114A9">
      <w:pPr>
        <w:pStyle w:val="ListBullet"/>
      </w:pPr>
      <w:r>
        <w:t>Standard laboratory assessments (</w:t>
      </w:r>
      <w:r w:rsidRPr="00564E7D">
        <w:t>not further defined</w:t>
      </w:r>
      <w:r>
        <w:t>);</w:t>
      </w:r>
    </w:p>
    <w:p w:rsidR="00A4228F" w:rsidRPr="004B259C" w:rsidRDefault="00A4228F" w:rsidP="002114A9">
      <w:pPr>
        <w:pStyle w:val="ListBullet"/>
      </w:pPr>
      <w:r>
        <w:t>ECGs.</w:t>
      </w:r>
    </w:p>
    <w:p w:rsidR="00A4228F" w:rsidRPr="00B20756" w:rsidRDefault="00A4228F" w:rsidP="002114A9">
      <w:pPr>
        <w:pStyle w:val="Heading4"/>
      </w:pPr>
      <w:bookmarkStart w:id="101" w:name="_Toc290846295"/>
      <w:bookmarkStart w:id="102" w:name="_Toc234034059"/>
      <w:r w:rsidRPr="00B20756">
        <w:t>Participant flow</w:t>
      </w:r>
      <w:bookmarkEnd w:id="101"/>
      <w:bookmarkEnd w:id="102"/>
    </w:p>
    <w:p w:rsidR="00A4228F" w:rsidRDefault="00A4228F" w:rsidP="002114A9">
      <w:r>
        <w:t>A total of 64 subjects were enrolled. Five subjects d</w:t>
      </w:r>
      <w:r w:rsidR="00756268">
        <w:t>iscontinued treatment prior to C</w:t>
      </w:r>
      <w:r>
        <w:t xml:space="preserve">ycle 5. Three further patients </w:t>
      </w:r>
      <w:r w:rsidR="00756268">
        <w:t>were withdrawn after receiving C</w:t>
      </w:r>
      <w:r>
        <w:t xml:space="preserve">ycle 5 and hence did not receive SC rituximab in </w:t>
      </w:r>
      <w:r w:rsidR="00756268">
        <w:t>C</w:t>
      </w:r>
      <w:r w:rsidR="002114A9">
        <w:t>ycle 6.</w:t>
      </w:r>
    </w:p>
    <w:p w:rsidR="00A4228F" w:rsidRDefault="00A4228F" w:rsidP="002114A9">
      <w:r>
        <w:t>Three SC doses were studied</w:t>
      </w:r>
      <w:r w:rsidR="00756268">
        <w:t>;</w:t>
      </w:r>
      <w:r>
        <w:t xml:space="preserve"> 1870 mg (n = 22), 1600 mg (n = 17) and 1400 mg (n = 16). One subject received 1000 mg in error.</w:t>
      </w:r>
    </w:p>
    <w:p w:rsidR="00A4228F" w:rsidRPr="00B20756" w:rsidRDefault="00A4228F" w:rsidP="002114A9">
      <w:pPr>
        <w:pStyle w:val="Heading4"/>
      </w:pPr>
      <w:bookmarkStart w:id="103" w:name="_Toc290846297"/>
      <w:bookmarkStart w:id="104" w:name="_Toc234034060"/>
      <w:r w:rsidRPr="00B20756">
        <w:lastRenderedPageBreak/>
        <w:t xml:space="preserve">Baseline </w:t>
      </w:r>
      <w:r w:rsidRPr="002114A9">
        <w:t>data</w:t>
      </w:r>
      <w:bookmarkEnd w:id="103"/>
      <w:bookmarkEnd w:id="104"/>
    </w:p>
    <w:p w:rsidR="00A4228F" w:rsidRDefault="00A4228F" w:rsidP="002114A9">
      <w:r>
        <w:t xml:space="preserve">Baseline demographics are shown in </w:t>
      </w:r>
      <w:r w:rsidR="00756268">
        <w:t>Table 11</w:t>
      </w:r>
      <w:r>
        <w:t xml:space="preserve"> and baseline disease characteristics in </w:t>
      </w:r>
      <w:r w:rsidR="00756268">
        <w:t>Table 12</w:t>
      </w:r>
      <w:r>
        <w:t>.</w:t>
      </w:r>
    </w:p>
    <w:p w:rsidR="00756268" w:rsidRDefault="00756268" w:rsidP="002114A9">
      <w:pPr>
        <w:pStyle w:val="TableTitle"/>
      </w:pPr>
      <w:bookmarkStart w:id="105" w:name="_Ref233359813"/>
      <w:bookmarkStart w:id="106" w:name="_Toc234034172"/>
      <w:proofErr w:type="gramStart"/>
      <w:r>
        <w:t>Table 11</w:t>
      </w:r>
      <w:bookmarkEnd w:id="105"/>
      <w:r>
        <w:t>.</w:t>
      </w:r>
      <w:proofErr w:type="gramEnd"/>
      <w:r>
        <w:t xml:space="preserve"> Study BO </w:t>
      </w:r>
      <w:r w:rsidRPr="002114A9">
        <w:t>25341</w:t>
      </w:r>
      <w:r>
        <w:t xml:space="preserve"> - Baseline demographics</w:t>
      </w:r>
      <w:bookmarkEnd w:id="106"/>
    </w:p>
    <w:p w:rsidR="00756268" w:rsidRPr="00977527" w:rsidRDefault="00756268" w:rsidP="002114A9">
      <w:r>
        <w:rPr>
          <w:noProof/>
          <w:lang w:eastAsia="en-AU"/>
        </w:rPr>
        <w:drawing>
          <wp:inline distT="0" distB="0" distL="0" distR="0" wp14:anchorId="17DB3609" wp14:editId="4FB4A473">
            <wp:extent cx="5533255" cy="3544245"/>
            <wp:effectExtent l="0" t="0" r="0" b="0"/>
            <wp:docPr id="19" name="Picture 2" descr="Table 11. Study BO 25341 - Baseline demo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36219" cy="3546144"/>
                    </a:xfrm>
                    <a:prstGeom prst="rect">
                      <a:avLst/>
                    </a:prstGeom>
                    <a:noFill/>
                    <a:ln>
                      <a:noFill/>
                    </a:ln>
                  </pic:spPr>
                </pic:pic>
              </a:graphicData>
            </a:graphic>
          </wp:inline>
        </w:drawing>
      </w:r>
    </w:p>
    <w:p w:rsidR="00756268" w:rsidRDefault="00756268" w:rsidP="002114A9">
      <w:pPr>
        <w:pStyle w:val="TableTitle"/>
      </w:pPr>
      <w:bookmarkStart w:id="107" w:name="_Ref233359837"/>
      <w:bookmarkStart w:id="108" w:name="_Toc234034173"/>
      <w:proofErr w:type="gramStart"/>
      <w:r>
        <w:t>Table 12.</w:t>
      </w:r>
      <w:bookmarkEnd w:id="107"/>
      <w:proofErr w:type="gramEnd"/>
      <w:r>
        <w:t xml:space="preserve"> Study BO 25341 - Baseline disease </w:t>
      </w:r>
      <w:r w:rsidRPr="002114A9">
        <w:t>characteristics</w:t>
      </w:r>
      <w:bookmarkEnd w:id="108"/>
    </w:p>
    <w:p w:rsidR="00756268" w:rsidRDefault="00756268" w:rsidP="002114A9">
      <w:r>
        <w:rPr>
          <w:noProof/>
          <w:lang w:eastAsia="en-AU"/>
        </w:rPr>
        <w:drawing>
          <wp:inline distT="0" distB="0" distL="0" distR="0" wp14:anchorId="6015BDEC" wp14:editId="3D23E106">
            <wp:extent cx="5512653" cy="2153752"/>
            <wp:effectExtent l="0" t="0" r="0" b="0"/>
            <wp:docPr id="20" name="Picture 3" descr="Table 12. Study BO 25341 - Baseline disease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21037" cy="2157028"/>
                    </a:xfrm>
                    <a:prstGeom prst="rect">
                      <a:avLst/>
                    </a:prstGeom>
                    <a:noFill/>
                    <a:ln>
                      <a:noFill/>
                    </a:ln>
                  </pic:spPr>
                </pic:pic>
              </a:graphicData>
            </a:graphic>
          </wp:inline>
        </w:drawing>
      </w:r>
    </w:p>
    <w:p w:rsidR="00A4228F" w:rsidRPr="00B20756" w:rsidRDefault="00A4228F" w:rsidP="002114A9">
      <w:pPr>
        <w:pStyle w:val="Heading4"/>
      </w:pPr>
      <w:bookmarkStart w:id="109" w:name="_Toc290846299"/>
      <w:bookmarkStart w:id="110" w:name="_Toc234034061"/>
      <w:r w:rsidRPr="00B20756">
        <w:t>Results for safety outcomes</w:t>
      </w:r>
      <w:bookmarkEnd w:id="109"/>
      <w:bookmarkEnd w:id="110"/>
    </w:p>
    <w:p w:rsidR="00A4228F" w:rsidRDefault="00A4228F" w:rsidP="002114A9">
      <w:r>
        <w:t>The safet</w:t>
      </w:r>
      <w:r w:rsidR="002114A9">
        <w:t>y findings are described below.</w:t>
      </w:r>
    </w:p>
    <w:p w:rsidR="00A4228F" w:rsidRDefault="00A4228F" w:rsidP="002114A9">
      <w:pPr>
        <w:pStyle w:val="Heading3"/>
      </w:pPr>
      <w:bookmarkStart w:id="111" w:name="_Toc241374318"/>
      <w:bookmarkStart w:id="112" w:name="_Ref271196630"/>
      <w:bookmarkStart w:id="113" w:name="_Toc272414662"/>
      <w:bookmarkStart w:id="114" w:name="_Toc290846300"/>
      <w:bookmarkStart w:id="115" w:name="_Toc234034062"/>
      <w:bookmarkStart w:id="116" w:name="_Toc399501549"/>
      <w:r>
        <w:t>Patient exposure</w:t>
      </w:r>
      <w:bookmarkEnd w:id="111"/>
      <w:bookmarkEnd w:id="112"/>
      <w:bookmarkEnd w:id="113"/>
      <w:bookmarkEnd w:id="114"/>
      <w:bookmarkEnd w:id="115"/>
      <w:bookmarkEnd w:id="116"/>
    </w:p>
    <w:p w:rsidR="00A4228F" w:rsidRDefault="00A4228F" w:rsidP="002114A9">
      <w:r>
        <w:t>Total exposure to rituximab (SC or IV) in the submitted studies is summarised in</w:t>
      </w:r>
      <w:r w:rsidR="00715816">
        <w:t xml:space="preserve"> Table 13</w:t>
      </w:r>
      <w:r>
        <w:t>. The exposure to SC rituximab by the number of cycles received is summarised in</w:t>
      </w:r>
      <w:r w:rsidR="00715816">
        <w:t xml:space="preserve"> Table 14</w:t>
      </w:r>
      <w:r>
        <w:t>. A total of 461 subjects received rituximab in the submitted studies and 303 of these received the drug subcutaneously.</w:t>
      </w:r>
    </w:p>
    <w:p w:rsidR="00A4228F" w:rsidRDefault="00A4228F" w:rsidP="002114A9">
      <w:pPr>
        <w:ind w:left="720"/>
      </w:pPr>
      <w:r>
        <w:t>Comment:</w:t>
      </w:r>
      <w:r w:rsidR="00715816">
        <w:t xml:space="preserve"> </w:t>
      </w:r>
      <w:r>
        <w:t>According to the IV dosage regimens currently approved for NHL in Australia (</w:t>
      </w:r>
      <w:r w:rsidR="00295B82">
        <w:t xml:space="preserve">Table </w:t>
      </w:r>
      <w:r w:rsidR="00F0645F">
        <w:t>15</w:t>
      </w:r>
      <w:r>
        <w:t xml:space="preserve">), subjects can receive up to 8 cycles of rituximab during induction and up to a </w:t>
      </w:r>
      <w:r>
        <w:lastRenderedPageBreak/>
        <w:t>further 8 cycles during maintenance (a dose every 3 months for 2 years), giving a total possible treatment duration of 16 cycles. If the SC route of administration is approved, subjects will receive the first cycle IV and then up to 15 cycles of SC treatment.</w:t>
      </w:r>
    </w:p>
    <w:p w:rsidR="00A4228F" w:rsidRDefault="00A4228F" w:rsidP="002114A9">
      <w:pPr>
        <w:ind w:left="720"/>
      </w:pPr>
      <w:r>
        <w:t xml:space="preserve">As shown in </w:t>
      </w:r>
      <w:r w:rsidR="00715816">
        <w:t>Table 14</w:t>
      </w:r>
      <w:r>
        <w:t>, only 4 subjects received 12 cycles and 2 subjects received 13 cycles of SC rituximab. No subjects received 14 or 15 cycles. Of the 303 subjects who received SC rituximab, 123 received only 1 cycle.</w:t>
      </w:r>
    </w:p>
    <w:p w:rsidR="00715816" w:rsidRDefault="00715816" w:rsidP="002114A9">
      <w:pPr>
        <w:pStyle w:val="TableTitle"/>
      </w:pPr>
      <w:bookmarkStart w:id="117" w:name="_Ref233360806"/>
      <w:bookmarkStart w:id="118" w:name="_Toc234034174"/>
      <w:proofErr w:type="gramStart"/>
      <w:r>
        <w:t xml:space="preserve">Table </w:t>
      </w:r>
      <w:r w:rsidRPr="002114A9">
        <w:t>13</w:t>
      </w:r>
      <w:r>
        <w:t>.</w:t>
      </w:r>
      <w:bookmarkEnd w:id="117"/>
      <w:proofErr w:type="gramEnd"/>
      <w:r>
        <w:t xml:space="preserve"> Total safety exposure in submitted studies</w:t>
      </w:r>
      <w:bookmarkEnd w:id="118"/>
    </w:p>
    <w:p w:rsidR="00715816" w:rsidRPr="005D25BA" w:rsidRDefault="00715816" w:rsidP="002114A9">
      <w:r>
        <w:rPr>
          <w:noProof/>
          <w:lang w:eastAsia="en-AU"/>
        </w:rPr>
        <w:drawing>
          <wp:inline distT="0" distB="0" distL="0" distR="0" wp14:anchorId="247C784D" wp14:editId="561FE2A2">
            <wp:extent cx="5136212" cy="2658513"/>
            <wp:effectExtent l="0" t="0" r="0" b="0"/>
            <wp:docPr id="21" name="Picture 4" descr="Table 13. Total safety exposure in submitted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39108" cy="2660012"/>
                    </a:xfrm>
                    <a:prstGeom prst="rect">
                      <a:avLst/>
                    </a:prstGeom>
                    <a:noFill/>
                    <a:ln>
                      <a:noFill/>
                    </a:ln>
                  </pic:spPr>
                </pic:pic>
              </a:graphicData>
            </a:graphic>
          </wp:inline>
        </w:drawing>
      </w:r>
    </w:p>
    <w:p w:rsidR="00715816" w:rsidRPr="002114A9" w:rsidRDefault="00715816" w:rsidP="002114A9">
      <w:pPr>
        <w:pStyle w:val="TableTitle"/>
      </w:pPr>
      <w:bookmarkStart w:id="119" w:name="_Ref233360857"/>
      <w:bookmarkStart w:id="120" w:name="_Toc234034175"/>
      <w:proofErr w:type="gramStart"/>
      <w:r>
        <w:t>Table 14.</w:t>
      </w:r>
      <w:bookmarkEnd w:id="119"/>
      <w:proofErr w:type="gramEnd"/>
      <w:r>
        <w:t xml:space="preserve"> Total exposure to SC administration in submitted studies</w:t>
      </w:r>
      <w:bookmarkEnd w:id="120"/>
    </w:p>
    <w:p w:rsidR="00A4228F" w:rsidRDefault="00715816" w:rsidP="002114A9">
      <w:r>
        <w:rPr>
          <w:noProof/>
          <w:lang w:eastAsia="en-AU"/>
        </w:rPr>
        <w:drawing>
          <wp:inline distT="0" distB="0" distL="0" distR="0" wp14:anchorId="204657B1" wp14:editId="459ED7EC">
            <wp:extent cx="5206791" cy="3168560"/>
            <wp:effectExtent l="0" t="0" r="0" b="0"/>
            <wp:docPr id="23" name="Picture 6" descr="Table 14. Total exposure to SC administration in submitted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06072" cy="3168122"/>
                    </a:xfrm>
                    <a:prstGeom prst="rect">
                      <a:avLst/>
                    </a:prstGeom>
                    <a:noFill/>
                    <a:ln>
                      <a:noFill/>
                    </a:ln>
                  </pic:spPr>
                </pic:pic>
              </a:graphicData>
            </a:graphic>
          </wp:inline>
        </w:drawing>
      </w:r>
    </w:p>
    <w:p w:rsidR="00F0645F" w:rsidRPr="00F0645F" w:rsidRDefault="00F0645F" w:rsidP="002114A9">
      <w:pPr>
        <w:pStyle w:val="TableTitle"/>
      </w:pPr>
      <w:bookmarkStart w:id="121" w:name="_Ref232058396"/>
      <w:bookmarkStart w:id="122" w:name="_Toc234034158"/>
      <w:proofErr w:type="gramStart"/>
      <w:r w:rsidRPr="00F0645F">
        <w:lastRenderedPageBreak/>
        <w:t xml:space="preserve">Table </w:t>
      </w:r>
      <w:bookmarkEnd w:id="121"/>
      <w:r w:rsidRPr="00F0645F">
        <w:t>15.</w:t>
      </w:r>
      <w:proofErr w:type="gramEnd"/>
      <w:r w:rsidRPr="00F0645F">
        <w:t xml:space="preserve"> Currently registered IV dosage </w:t>
      </w:r>
      <w:r w:rsidRPr="002114A9">
        <w:t>regimens</w:t>
      </w:r>
      <w:r w:rsidRPr="00F0645F">
        <w:t xml:space="preserve"> in NHL</w:t>
      </w:r>
      <w:bookmarkEnd w:id="122"/>
    </w:p>
    <w:tbl>
      <w:tblPr>
        <w:tblStyle w:val="TableTGAblue"/>
        <w:tblW w:w="0" w:type="auto"/>
        <w:tblLook w:val="01E0" w:firstRow="1" w:lastRow="1" w:firstColumn="1" w:lastColumn="1" w:noHBand="0" w:noVBand="0"/>
      </w:tblPr>
      <w:tblGrid>
        <w:gridCol w:w="1591"/>
        <w:gridCol w:w="1617"/>
        <w:gridCol w:w="1008"/>
        <w:gridCol w:w="1029"/>
        <w:gridCol w:w="1519"/>
        <w:gridCol w:w="1532"/>
        <w:gridCol w:w="946"/>
      </w:tblGrid>
      <w:tr w:rsidR="00F0645F" w:rsidRPr="00F0645F" w:rsidTr="00E813E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53" w:type="dxa"/>
          </w:tcPr>
          <w:p w:rsidR="00F0645F" w:rsidRPr="00F0645F" w:rsidRDefault="00F0645F" w:rsidP="00E813E2">
            <w:pPr>
              <w:keepNext/>
              <w:ind w:left="0" w:right="0"/>
              <w:rPr>
                <w:b w:val="0"/>
              </w:rPr>
            </w:pPr>
            <w:r w:rsidRPr="00F0645F">
              <w:t>Indication</w:t>
            </w:r>
          </w:p>
        </w:tc>
        <w:tc>
          <w:tcPr>
            <w:tcW w:w="3700" w:type="dxa"/>
            <w:gridSpan w:val="3"/>
          </w:tcPr>
          <w:p w:rsidR="00F0645F" w:rsidRPr="00F0645F" w:rsidRDefault="00F0645F" w:rsidP="00E813E2">
            <w:pPr>
              <w:ind w:left="0" w:right="40"/>
              <w:cnfStyle w:val="100000000000" w:firstRow="1" w:lastRow="0" w:firstColumn="0" w:lastColumn="0" w:oddVBand="0" w:evenVBand="0" w:oddHBand="0" w:evenHBand="0" w:firstRowFirstColumn="0" w:firstRowLastColumn="0" w:lastRowFirstColumn="0" w:lastRowLastColumn="0"/>
            </w:pPr>
            <w:r w:rsidRPr="00F0645F">
              <w:t>Induction Treatment</w:t>
            </w:r>
          </w:p>
        </w:tc>
        <w:tc>
          <w:tcPr>
            <w:tcW w:w="3889" w:type="dxa"/>
            <w:gridSpan w:val="3"/>
          </w:tcPr>
          <w:p w:rsidR="00F0645F" w:rsidRPr="00F0645F" w:rsidRDefault="00F0645F" w:rsidP="00E813E2">
            <w:pPr>
              <w:ind w:left="27" w:right="0"/>
              <w:cnfStyle w:val="100000000000" w:firstRow="1" w:lastRow="0" w:firstColumn="0" w:lastColumn="0" w:oddVBand="0" w:evenVBand="0" w:oddHBand="0" w:evenHBand="0" w:firstRowFirstColumn="0" w:firstRowLastColumn="0" w:lastRowFirstColumn="0" w:lastRowLastColumn="0"/>
              <w:rPr>
                <w:b w:val="0"/>
              </w:rPr>
            </w:pPr>
            <w:r w:rsidRPr="00F0645F">
              <w:t>Maintenance Treatment</w:t>
            </w:r>
          </w:p>
        </w:tc>
      </w:tr>
      <w:tr w:rsidR="00F0645F" w:rsidRPr="00F0645F" w:rsidTr="00E813E2">
        <w:tc>
          <w:tcPr>
            <w:cnfStyle w:val="001000000000" w:firstRow="0" w:lastRow="0" w:firstColumn="1" w:lastColumn="0" w:oddVBand="0" w:evenVBand="0" w:oddHBand="0" w:evenHBand="0" w:firstRowFirstColumn="0" w:firstRowLastColumn="0" w:lastRowFirstColumn="0" w:lastRowLastColumn="0"/>
            <w:tcW w:w="1653" w:type="dxa"/>
          </w:tcPr>
          <w:p w:rsidR="00F0645F" w:rsidRPr="00F0645F" w:rsidRDefault="00F0645F" w:rsidP="00E813E2">
            <w:pPr>
              <w:keepNext/>
              <w:ind w:left="0" w:right="0"/>
            </w:pPr>
            <w:r w:rsidRPr="00F0645F">
              <w:rPr>
                <w:u w:val="single"/>
              </w:rPr>
              <w:t xml:space="preserve">Previously untreated </w:t>
            </w:r>
            <w:r w:rsidRPr="00F0645F">
              <w:t>stage III/IV follicular</w:t>
            </w:r>
            <w:r w:rsidR="00E813E2">
              <w:t xml:space="preserve"> B-cell NHL</w:t>
            </w:r>
          </w:p>
        </w:tc>
        <w:tc>
          <w:tcPr>
            <w:tcW w:w="1617" w:type="dxa"/>
          </w:tcPr>
          <w:p w:rsidR="00F0645F" w:rsidRPr="00F0645F" w:rsidRDefault="00F0645F" w:rsidP="00E813E2">
            <w:pPr>
              <w:ind w:left="0" w:right="40"/>
              <w:cnfStyle w:val="000000000000" w:firstRow="0" w:lastRow="0" w:firstColumn="0" w:lastColumn="0" w:oddVBand="0" w:evenVBand="0" w:oddHBand="0" w:evenHBand="0" w:firstRowFirstColumn="0" w:firstRowLastColumn="0" w:lastRowFirstColumn="0" w:lastRowLastColumn="0"/>
            </w:pPr>
            <w:r w:rsidRPr="00F0645F">
              <w:t>with chemotherapy</w:t>
            </w:r>
          </w:p>
        </w:tc>
        <w:tc>
          <w:tcPr>
            <w:tcW w:w="1022" w:type="dxa"/>
          </w:tcPr>
          <w:p w:rsidR="00F0645F" w:rsidRPr="00F0645F" w:rsidRDefault="00F0645F" w:rsidP="00E813E2">
            <w:pPr>
              <w:ind w:left="0" w:right="40"/>
              <w:cnfStyle w:val="000000000000" w:firstRow="0" w:lastRow="0" w:firstColumn="0" w:lastColumn="0" w:oddVBand="0" w:evenVBand="0" w:oddHBand="0" w:evenHBand="0" w:firstRowFirstColumn="0" w:firstRowLastColumn="0" w:lastRowFirstColumn="0" w:lastRowLastColumn="0"/>
              <w:rPr>
                <w:vertAlign w:val="superscript"/>
              </w:rPr>
            </w:pPr>
            <w:r w:rsidRPr="00F0645F">
              <w:t>375 mg / m</w:t>
            </w:r>
            <w:r w:rsidRPr="00F0645F">
              <w:rPr>
                <w:vertAlign w:val="superscript"/>
              </w:rPr>
              <w:t>2</w:t>
            </w:r>
          </w:p>
          <w:p w:rsidR="00F0645F" w:rsidRPr="00F0645F" w:rsidRDefault="00F0645F" w:rsidP="00E813E2">
            <w:pPr>
              <w:ind w:left="0" w:right="40"/>
              <w:cnfStyle w:val="000000000000" w:firstRow="0" w:lastRow="0" w:firstColumn="0" w:lastColumn="0" w:oddVBand="0" w:evenVBand="0" w:oddHBand="0" w:evenHBand="0" w:firstRowFirstColumn="0" w:firstRowLastColumn="0" w:lastRowFirstColumn="0" w:lastRowLastColumn="0"/>
            </w:pPr>
            <w:r w:rsidRPr="00F0645F">
              <w:t>each cycle</w:t>
            </w:r>
          </w:p>
        </w:tc>
        <w:tc>
          <w:tcPr>
            <w:tcW w:w="1061" w:type="dxa"/>
          </w:tcPr>
          <w:p w:rsidR="00F0645F" w:rsidRPr="00F0645F" w:rsidRDefault="00F0645F" w:rsidP="00E813E2">
            <w:pPr>
              <w:ind w:left="0" w:right="40"/>
              <w:cnfStyle w:val="000000000000" w:firstRow="0" w:lastRow="0" w:firstColumn="0" w:lastColumn="0" w:oddVBand="0" w:evenVBand="0" w:oddHBand="0" w:evenHBand="0" w:firstRowFirstColumn="0" w:firstRowLastColumn="0" w:lastRowFirstColumn="0" w:lastRowLastColumn="0"/>
            </w:pPr>
            <w:r w:rsidRPr="00F0645F">
              <w:t>8 cycles</w:t>
            </w:r>
          </w:p>
        </w:tc>
        <w:tc>
          <w:tcPr>
            <w:tcW w:w="1309" w:type="dxa"/>
          </w:tcPr>
          <w:p w:rsidR="00F0645F" w:rsidRPr="00F0645F" w:rsidRDefault="00F0645F" w:rsidP="00E813E2">
            <w:pPr>
              <w:ind w:left="27" w:right="0"/>
              <w:cnfStyle w:val="000000000000" w:firstRow="0" w:lastRow="0" w:firstColumn="0" w:lastColumn="0" w:oddVBand="0" w:evenVBand="0" w:oddHBand="0" w:evenHBand="0" w:firstRowFirstColumn="0" w:firstRowLastColumn="0" w:lastRowFirstColumn="0" w:lastRowLastColumn="0"/>
            </w:pPr>
            <w:r w:rsidRPr="00F0645F">
              <w:t>monotherapy</w:t>
            </w:r>
          </w:p>
        </w:tc>
        <w:tc>
          <w:tcPr>
            <w:tcW w:w="1591" w:type="dxa"/>
          </w:tcPr>
          <w:p w:rsidR="00F0645F" w:rsidRPr="00F0645F" w:rsidRDefault="00F0645F" w:rsidP="00E813E2">
            <w:pPr>
              <w:ind w:left="27" w:right="0"/>
              <w:cnfStyle w:val="000000000000" w:firstRow="0" w:lastRow="0" w:firstColumn="0" w:lastColumn="0" w:oddVBand="0" w:evenVBand="0" w:oddHBand="0" w:evenHBand="0" w:firstRowFirstColumn="0" w:firstRowLastColumn="0" w:lastRowFirstColumn="0" w:lastRowLastColumn="0"/>
            </w:pPr>
            <w:r w:rsidRPr="00F0645F">
              <w:t>Currently approved:</w:t>
            </w:r>
          </w:p>
          <w:p w:rsidR="00F0645F" w:rsidRPr="00F0645F" w:rsidRDefault="00F0645F" w:rsidP="00E813E2">
            <w:pPr>
              <w:ind w:left="27" w:right="0"/>
              <w:cnfStyle w:val="000000000000" w:firstRow="0" w:lastRow="0" w:firstColumn="0" w:lastColumn="0" w:oddVBand="0" w:evenVBand="0" w:oddHBand="0" w:evenHBand="0" w:firstRowFirstColumn="0" w:firstRowLastColumn="0" w:lastRowFirstColumn="0" w:lastRowLastColumn="0"/>
            </w:pPr>
            <w:r w:rsidRPr="00F0645F">
              <w:t>375 mg / m</w:t>
            </w:r>
            <w:r w:rsidRPr="00F0645F">
              <w:rPr>
                <w:vertAlign w:val="superscript"/>
              </w:rPr>
              <w:t>2</w:t>
            </w:r>
            <w:r w:rsidRPr="00F0645F">
              <w:t xml:space="preserve"> every 3 months</w:t>
            </w:r>
          </w:p>
        </w:tc>
        <w:tc>
          <w:tcPr>
            <w:tcW w:w="989" w:type="dxa"/>
          </w:tcPr>
          <w:p w:rsidR="00F0645F" w:rsidRPr="00F0645F" w:rsidRDefault="00E813E2" w:rsidP="00E813E2">
            <w:pPr>
              <w:ind w:left="27" w:right="0"/>
              <w:cnfStyle w:val="000000000000" w:firstRow="0" w:lastRow="0" w:firstColumn="0" w:lastColumn="0" w:oddVBand="0" w:evenVBand="0" w:oddHBand="0" w:evenHBand="0" w:firstRowFirstColumn="0" w:firstRowLastColumn="0" w:lastRowFirstColumn="0" w:lastRowLastColumn="0"/>
            </w:pPr>
            <w:r>
              <w:t>Until PD or</w:t>
            </w:r>
          </w:p>
          <w:p w:rsidR="00F0645F" w:rsidRPr="00F0645F" w:rsidRDefault="00F0645F" w:rsidP="00E813E2">
            <w:pPr>
              <w:ind w:left="27" w:right="0"/>
              <w:cnfStyle w:val="000000000000" w:firstRow="0" w:lastRow="0" w:firstColumn="0" w:lastColumn="0" w:oddVBand="0" w:evenVBand="0" w:oddHBand="0" w:evenHBand="0" w:firstRowFirstColumn="0" w:firstRowLastColumn="0" w:lastRowFirstColumn="0" w:lastRowLastColumn="0"/>
            </w:pPr>
            <w:r w:rsidRPr="00F0645F">
              <w:t xml:space="preserve">2 </w:t>
            </w:r>
            <w:proofErr w:type="spellStart"/>
            <w:r w:rsidRPr="00F0645F">
              <w:t>yrs</w:t>
            </w:r>
            <w:proofErr w:type="spellEnd"/>
            <w:r w:rsidRPr="00F0645F">
              <w:t xml:space="preserve"> max</w:t>
            </w:r>
          </w:p>
        </w:tc>
      </w:tr>
      <w:tr w:rsidR="00F0645F" w:rsidRPr="00F0645F" w:rsidTr="00E813E2">
        <w:tc>
          <w:tcPr>
            <w:cnfStyle w:val="001000000000" w:firstRow="0" w:lastRow="0" w:firstColumn="1" w:lastColumn="0" w:oddVBand="0" w:evenVBand="0" w:oddHBand="0" w:evenHBand="0" w:firstRowFirstColumn="0" w:firstRowLastColumn="0" w:lastRowFirstColumn="0" w:lastRowLastColumn="0"/>
            <w:tcW w:w="1653" w:type="dxa"/>
          </w:tcPr>
          <w:p w:rsidR="00F0645F" w:rsidRPr="00F0645F" w:rsidRDefault="00F0645F" w:rsidP="00E813E2">
            <w:pPr>
              <w:ind w:left="0" w:right="0"/>
            </w:pPr>
            <w:r w:rsidRPr="00F0645F">
              <w:rPr>
                <w:u w:val="single"/>
              </w:rPr>
              <w:t>Relapsed or refractory</w:t>
            </w:r>
            <w:r w:rsidRPr="00F0645F">
              <w:t xml:space="preserve"> low grade or follicular</w:t>
            </w:r>
            <w:r w:rsidR="00E813E2">
              <w:t xml:space="preserve"> B-cell NHL</w:t>
            </w:r>
          </w:p>
        </w:tc>
        <w:tc>
          <w:tcPr>
            <w:tcW w:w="1617" w:type="dxa"/>
          </w:tcPr>
          <w:p w:rsidR="00F0645F" w:rsidRPr="00F0645F" w:rsidRDefault="00F0645F" w:rsidP="00E813E2">
            <w:pPr>
              <w:spacing w:before="360"/>
              <w:ind w:left="0" w:right="40"/>
              <w:cnfStyle w:val="000000000000" w:firstRow="0" w:lastRow="0" w:firstColumn="0" w:lastColumn="0" w:oddVBand="0" w:evenVBand="0" w:oddHBand="0" w:evenHBand="0" w:firstRowFirstColumn="0" w:firstRowLastColumn="0" w:lastRowFirstColumn="0" w:lastRowLastColumn="0"/>
            </w:pPr>
            <w:r w:rsidRPr="00F0645F">
              <w:t>monotherapy</w:t>
            </w:r>
          </w:p>
        </w:tc>
        <w:tc>
          <w:tcPr>
            <w:tcW w:w="1022" w:type="dxa"/>
          </w:tcPr>
          <w:p w:rsidR="00F0645F" w:rsidRPr="00F0645F" w:rsidRDefault="00F0645F" w:rsidP="00E813E2">
            <w:pPr>
              <w:ind w:left="0" w:right="40"/>
              <w:cnfStyle w:val="000000000000" w:firstRow="0" w:lastRow="0" w:firstColumn="0" w:lastColumn="0" w:oddVBand="0" w:evenVBand="0" w:oddHBand="0" w:evenHBand="0" w:firstRowFirstColumn="0" w:firstRowLastColumn="0" w:lastRowFirstColumn="0" w:lastRowLastColumn="0"/>
            </w:pPr>
            <w:r w:rsidRPr="00F0645F">
              <w:t>375 mg / m</w:t>
            </w:r>
            <w:r w:rsidRPr="00F0645F">
              <w:rPr>
                <w:vertAlign w:val="superscript"/>
              </w:rPr>
              <w:t>2</w:t>
            </w:r>
          </w:p>
          <w:p w:rsidR="00F0645F" w:rsidRPr="00F0645F" w:rsidRDefault="00F0645F" w:rsidP="00E813E2">
            <w:pPr>
              <w:ind w:left="0" w:right="40"/>
              <w:cnfStyle w:val="000000000000" w:firstRow="0" w:lastRow="0" w:firstColumn="0" w:lastColumn="0" w:oddVBand="0" w:evenVBand="0" w:oddHBand="0" w:evenHBand="0" w:firstRowFirstColumn="0" w:firstRowLastColumn="0" w:lastRowFirstColumn="0" w:lastRowLastColumn="0"/>
            </w:pPr>
            <w:r w:rsidRPr="00F0645F">
              <w:t>weekly</w:t>
            </w:r>
          </w:p>
        </w:tc>
        <w:tc>
          <w:tcPr>
            <w:tcW w:w="1061" w:type="dxa"/>
          </w:tcPr>
          <w:p w:rsidR="00F0645F" w:rsidRPr="00F0645F" w:rsidRDefault="00F0645F" w:rsidP="00E813E2">
            <w:pPr>
              <w:ind w:left="0" w:right="40"/>
              <w:cnfStyle w:val="000000000000" w:firstRow="0" w:lastRow="0" w:firstColumn="0" w:lastColumn="0" w:oddVBand="0" w:evenVBand="0" w:oddHBand="0" w:evenHBand="0" w:firstRowFirstColumn="0" w:firstRowLastColumn="0" w:lastRowFirstColumn="0" w:lastRowLastColumn="0"/>
            </w:pPr>
            <w:r w:rsidRPr="00F0645F">
              <w:t>4 weeks</w:t>
            </w:r>
          </w:p>
        </w:tc>
        <w:tc>
          <w:tcPr>
            <w:tcW w:w="1309" w:type="dxa"/>
          </w:tcPr>
          <w:p w:rsidR="00F0645F" w:rsidRPr="00F0645F" w:rsidRDefault="00F0645F" w:rsidP="00E813E2">
            <w:pPr>
              <w:spacing w:before="360"/>
              <w:ind w:left="28" w:right="0"/>
              <w:cnfStyle w:val="000000000000" w:firstRow="0" w:lastRow="0" w:firstColumn="0" w:lastColumn="0" w:oddVBand="0" w:evenVBand="0" w:oddHBand="0" w:evenHBand="0" w:firstRowFirstColumn="0" w:firstRowLastColumn="0" w:lastRowFirstColumn="0" w:lastRowLastColumn="0"/>
            </w:pPr>
            <w:r w:rsidRPr="00F0645F">
              <w:t>monotherapy</w:t>
            </w:r>
          </w:p>
        </w:tc>
        <w:tc>
          <w:tcPr>
            <w:tcW w:w="1591" w:type="dxa"/>
          </w:tcPr>
          <w:p w:rsidR="00F0645F" w:rsidRPr="00F0645F" w:rsidRDefault="00F0645F" w:rsidP="00E813E2">
            <w:pPr>
              <w:ind w:left="27" w:right="0"/>
              <w:cnfStyle w:val="000000000000" w:firstRow="0" w:lastRow="0" w:firstColumn="0" w:lastColumn="0" w:oddVBand="0" w:evenVBand="0" w:oddHBand="0" w:evenHBand="0" w:firstRowFirstColumn="0" w:firstRowLastColumn="0" w:lastRowFirstColumn="0" w:lastRowLastColumn="0"/>
            </w:pPr>
            <w:r w:rsidRPr="00F0645F">
              <w:t>375 mg / m</w:t>
            </w:r>
            <w:r w:rsidRPr="00F0645F">
              <w:rPr>
                <w:vertAlign w:val="superscript"/>
              </w:rPr>
              <w:t>2</w:t>
            </w:r>
            <w:r w:rsidRPr="00F0645F">
              <w:t xml:space="preserve"> every 3 months</w:t>
            </w:r>
          </w:p>
        </w:tc>
        <w:tc>
          <w:tcPr>
            <w:tcW w:w="989" w:type="dxa"/>
          </w:tcPr>
          <w:p w:rsidR="00F0645F" w:rsidRPr="00F0645F" w:rsidRDefault="00E813E2" w:rsidP="00E813E2">
            <w:pPr>
              <w:ind w:left="27" w:right="0"/>
              <w:cnfStyle w:val="000000000000" w:firstRow="0" w:lastRow="0" w:firstColumn="0" w:lastColumn="0" w:oddVBand="0" w:evenVBand="0" w:oddHBand="0" w:evenHBand="0" w:firstRowFirstColumn="0" w:firstRowLastColumn="0" w:lastRowFirstColumn="0" w:lastRowLastColumn="0"/>
            </w:pPr>
            <w:r>
              <w:t>Until PD or</w:t>
            </w:r>
          </w:p>
          <w:p w:rsidR="00F0645F" w:rsidRPr="00F0645F" w:rsidRDefault="00F0645F" w:rsidP="00E813E2">
            <w:pPr>
              <w:ind w:left="27" w:right="0"/>
              <w:cnfStyle w:val="000000000000" w:firstRow="0" w:lastRow="0" w:firstColumn="0" w:lastColumn="0" w:oddVBand="0" w:evenVBand="0" w:oddHBand="0" w:evenHBand="0" w:firstRowFirstColumn="0" w:firstRowLastColumn="0" w:lastRowFirstColumn="0" w:lastRowLastColumn="0"/>
            </w:pPr>
            <w:r w:rsidRPr="00F0645F">
              <w:t xml:space="preserve">2 </w:t>
            </w:r>
            <w:proofErr w:type="spellStart"/>
            <w:r w:rsidRPr="00F0645F">
              <w:t>yrs</w:t>
            </w:r>
            <w:proofErr w:type="spellEnd"/>
            <w:r w:rsidRPr="00F0645F">
              <w:t xml:space="preserve"> max</w:t>
            </w:r>
          </w:p>
        </w:tc>
      </w:tr>
      <w:tr w:rsidR="00F0645F" w:rsidRPr="00F0645F" w:rsidTr="00E813E2">
        <w:tc>
          <w:tcPr>
            <w:cnfStyle w:val="001000000000" w:firstRow="0" w:lastRow="0" w:firstColumn="1" w:lastColumn="0" w:oddVBand="0" w:evenVBand="0" w:oddHBand="0" w:evenHBand="0" w:firstRowFirstColumn="0" w:firstRowLastColumn="0" w:lastRowFirstColumn="0" w:lastRowLastColumn="0"/>
            <w:tcW w:w="1653" w:type="dxa"/>
          </w:tcPr>
          <w:p w:rsidR="00F0645F" w:rsidRPr="00F0645F" w:rsidRDefault="00F0645F" w:rsidP="00E813E2">
            <w:pPr>
              <w:ind w:left="0" w:right="0"/>
            </w:pPr>
          </w:p>
        </w:tc>
        <w:tc>
          <w:tcPr>
            <w:tcW w:w="1617" w:type="dxa"/>
          </w:tcPr>
          <w:p w:rsidR="00F0645F" w:rsidRPr="00F0645F" w:rsidRDefault="00F0645F" w:rsidP="00E813E2">
            <w:pPr>
              <w:ind w:left="0" w:right="40"/>
              <w:cnfStyle w:val="000000000000" w:firstRow="0" w:lastRow="0" w:firstColumn="0" w:lastColumn="0" w:oddVBand="0" w:evenVBand="0" w:oddHBand="0" w:evenHBand="0" w:firstRowFirstColumn="0" w:firstRowLastColumn="0" w:lastRowFirstColumn="0" w:lastRowLastColumn="0"/>
            </w:pPr>
            <w:r w:rsidRPr="00F0645F">
              <w:t>with CHOP chemotherapy</w:t>
            </w:r>
          </w:p>
        </w:tc>
        <w:tc>
          <w:tcPr>
            <w:tcW w:w="1022" w:type="dxa"/>
          </w:tcPr>
          <w:p w:rsidR="00F0645F" w:rsidRPr="00F0645F" w:rsidRDefault="00F0645F" w:rsidP="00E813E2">
            <w:pPr>
              <w:ind w:left="0" w:right="40"/>
              <w:cnfStyle w:val="000000000000" w:firstRow="0" w:lastRow="0" w:firstColumn="0" w:lastColumn="0" w:oddVBand="0" w:evenVBand="0" w:oddHBand="0" w:evenHBand="0" w:firstRowFirstColumn="0" w:firstRowLastColumn="0" w:lastRowFirstColumn="0" w:lastRowLastColumn="0"/>
              <w:rPr>
                <w:vertAlign w:val="superscript"/>
              </w:rPr>
            </w:pPr>
            <w:r w:rsidRPr="00F0645F">
              <w:t>375 mg / m</w:t>
            </w:r>
            <w:r w:rsidRPr="00F0645F">
              <w:rPr>
                <w:vertAlign w:val="superscript"/>
              </w:rPr>
              <w:t>2</w:t>
            </w:r>
          </w:p>
          <w:p w:rsidR="00F0645F" w:rsidRPr="00F0645F" w:rsidRDefault="00F0645F" w:rsidP="00E813E2">
            <w:pPr>
              <w:ind w:left="0" w:right="40"/>
              <w:cnfStyle w:val="000000000000" w:firstRow="0" w:lastRow="0" w:firstColumn="0" w:lastColumn="0" w:oddVBand="0" w:evenVBand="0" w:oddHBand="0" w:evenHBand="0" w:firstRowFirstColumn="0" w:firstRowLastColumn="0" w:lastRowFirstColumn="0" w:lastRowLastColumn="0"/>
            </w:pPr>
            <w:r w:rsidRPr="00F0645F">
              <w:t>each cycle</w:t>
            </w:r>
          </w:p>
        </w:tc>
        <w:tc>
          <w:tcPr>
            <w:tcW w:w="1061" w:type="dxa"/>
          </w:tcPr>
          <w:p w:rsidR="00F0645F" w:rsidRPr="00F0645F" w:rsidRDefault="00F0645F" w:rsidP="00E813E2">
            <w:pPr>
              <w:ind w:left="0" w:right="40"/>
              <w:cnfStyle w:val="000000000000" w:firstRow="0" w:lastRow="0" w:firstColumn="0" w:lastColumn="0" w:oddVBand="0" w:evenVBand="0" w:oddHBand="0" w:evenHBand="0" w:firstRowFirstColumn="0" w:firstRowLastColumn="0" w:lastRowFirstColumn="0" w:lastRowLastColumn="0"/>
            </w:pPr>
            <w:r w:rsidRPr="00F0645F">
              <w:t>6 cycles</w:t>
            </w:r>
          </w:p>
        </w:tc>
        <w:tc>
          <w:tcPr>
            <w:tcW w:w="1309" w:type="dxa"/>
          </w:tcPr>
          <w:p w:rsidR="00F0645F" w:rsidRPr="00F0645F" w:rsidRDefault="00F0645F" w:rsidP="00E813E2">
            <w:pPr>
              <w:ind w:left="27" w:right="0"/>
              <w:cnfStyle w:val="000000000000" w:firstRow="0" w:lastRow="0" w:firstColumn="0" w:lastColumn="0" w:oddVBand="0" w:evenVBand="0" w:oddHBand="0" w:evenHBand="0" w:firstRowFirstColumn="0" w:firstRowLastColumn="0" w:lastRowFirstColumn="0" w:lastRowLastColumn="0"/>
            </w:pPr>
            <w:r w:rsidRPr="00F0645F">
              <w:t>monotherapy</w:t>
            </w:r>
          </w:p>
        </w:tc>
        <w:tc>
          <w:tcPr>
            <w:tcW w:w="1591" w:type="dxa"/>
          </w:tcPr>
          <w:p w:rsidR="00F0645F" w:rsidRPr="00F0645F" w:rsidRDefault="00F0645F" w:rsidP="00E813E2">
            <w:pPr>
              <w:ind w:left="27" w:right="0"/>
              <w:cnfStyle w:val="000000000000" w:firstRow="0" w:lastRow="0" w:firstColumn="0" w:lastColumn="0" w:oddVBand="0" w:evenVBand="0" w:oddHBand="0" w:evenHBand="0" w:firstRowFirstColumn="0" w:firstRowLastColumn="0" w:lastRowFirstColumn="0" w:lastRowLastColumn="0"/>
            </w:pPr>
            <w:r w:rsidRPr="00F0645F">
              <w:t>375 mg / m</w:t>
            </w:r>
            <w:r w:rsidRPr="00F0645F">
              <w:rPr>
                <w:vertAlign w:val="superscript"/>
              </w:rPr>
              <w:t>2</w:t>
            </w:r>
            <w:r w:rsidRPr="00F0645F">
              <w:t xml:space="preserve"> every 3 months</w:t>
            </w:r>
          </w:p>
        </w:tc>
        <w:tc>
          <w:tcPr>
            <w:tcW w:w="989" w:type="dxa"/>
          </w:tcPr>
          <w:p w:rsidR="00F0645F" w:rsidRPr="00F0645F" w:rsidRDefault="00E813E2" w:rsidP="00E813E2">
            <w:pPr>
              <w:ind w:left="27" w:right="0"/>
              <w:cnfStyle w:val="000000000000" w:firstRow="0" w:lastRow="0" w:firstColumn="0" w:lastColumn="0" w:oddVBand="0" w:evenVBand="0" w:oddHBand="0" w:evenHBand="0" w:firstRowFirstColumn="0" w:firstRowLastColumn="0" w:lastRowFirstColumn="0" w:lastRowLastColumn="0"/>
            </w:pPr>
            <w:r>
              <w:t>Until PD or</w:t>
            </w:r>
          </w:p>
          <w:p w:rsidR="00F0645F" w:rsidRPr="00F0645F" w:rsidRDefault="00F0645F" w:rsidP="00E813E2">
            <w:pPr>
              <w:ind w:left="27" w:right="0"/>
              <w:cnfStyle w:val="000000000000" w:firstRow="0" w:lastRow="0" w:firstColumn="0" w:lastColumn="0" w:oddVBand="0" w:evenVBand="0" w:oddHBand="0" w:evenHBand="0" w:firstRowFirstColumn="0" w:firstRowLastColumn="0" w:lastRowFirstColumn="0" w:lastRowLastColumn="0"/>
            </w:pPr>
            <w:r w:rsidRPr="00F0645F">
              <w:t xml:space="preserve">2 </w:t>
            </w:r>
            <w:proofErr w:type="spellStart"/>
            <w:r w:rsidRPr="00F0645F">
              <w:t>yrs</w:t>
            </w:r>
            <w:proofErr w:type="spellEnd"/>
            <w:r w:rsidRPr="00F0645F">
              <w:t xml:space="preserve"> max</w:t>
            </w:r>
          </w:p>
        </w:tc>
      </w:tr>
      <w:tr w:rsidR="00F0645F" w:rsidRPr="00F0645F" w:rsidTr="00E813E2">
        <w:tc>
          <w:tcPr>
            <w:cnfStyle w:val="001000000000" w:firstRow="0" w:lastRow="0" w:firstColumn="1" w:lastColumn="0" w:oddVBand="0" w:evenVBand="0" w:oddHBand="0" w:evenHBand="0" w:firstRowFirstColumn="0" w:firstRowLastColumn="0" w:lastRowFirstColumn="0" w:lastRowLastColumn="0"/>
            <w:tcW w:w="1653" w:type="dxa"/>
          </w:tcPr>
          <w:p w:rsidR="00F0645F" w:rsidRPr="00F0645F" w:rsidRDefault="00F0645F" w:rsidP="00E813E2">
            <w:pPr>
              <w:ind w:left="0" w:right="0"/>
            </w:pPr>
            <w:r w:rsidRPr="00F0645F">
              <w:rPr>
                <w:u w:val="single"/>
              </w:rPr>
              <w:t>Previously untreated</w:t>
            </w:r>
            <w:r w:rsidRPr="00F0645F">
              <w:t xml:space="preserve"> diffuse large B-cell NHL </w:t>
            </w:r>
          </w:p>
        </w:tc>
        <w:tc>
          <w:tcPr>
            <w:tcW w:w="1617" w:type="dxa"/>
          </w:tcPr>
          <w:p w:rsidR="00F0645F" w:rsidRPr="00F0645F" w:rsidRDefault="00F0645F" w:rsidP="00E813E2">
            <w:pPr>
              <w:ind w:left="0" w:right="40"/>
              <w:cnfStyle w:val="000000000000" w:firstRow="0" w:lastRow="0" w:firstColumn="0" w:lastColumn="0" w:oddVBand="0" w:evenVBand="0" w:oddHBand="0" w:evenHBand="0" w:firstRowFirstColumn="0" w:firstRowLastColumn="0" w:lastRowFirstColumn="0" w:lastRowLastColumn="0"/>
            </w:pPr>
            <w:r w:rsidRPr="00F0645F">
              <w:t>with CHOP chemotherapy</w:t>
            </w:r>
          </w:p>
        </w:tc>
        <w:tc>
          <w:tcPr>
            <w:tcW w:w="1022" w:type="dxa"/>
          </w:tcPr>
          <w:p w:rsidR="00F0645F" w:rsidRPr="00F0645F" w:rsidRDefault="00F0645F" w:rsidP="00E813E2">
            <w:pPr>
              <w:ind w:left="0" w:right="40"/>
              <w:cnfStyle w:val="000000000000" w:firstRow="0" w:lastRow="0" w:firstColumn="0" w:lastColumn="0" w:oddVBand="0" w:evenVBand="0" w:oddHBand="0" w:evenHBand="0" w:firstRowFirstColumn="0" w:firstRowLastColumn="0" w:lastRowFirstColumn="0" w:lastRowLastColumn="0"/>
            </w:pPr>
            <w:r w:rsidRPr="00F0645F">
              <w:t>375 mg / m</w:t>
            </w:r>
            <w:r w:rsidRPr="00F0645F">
              <w:rPr>
                <w:vertAlign w:val="superscript"/>
              </w:rPr>
              <w:t>2</w:t>
            </w:r>
          </w:p>
          <w:p w:rsidR="00F0645F" w:rsidRPr="00F0645F" w:rsidRDefault="00F0645F" w:rsidP="00E813E2">
            <w:pPr>
              <w:ind w:left="0" w:right="40"/>
              <w:cnfStyle w:val="000000000000" w:firstRow="0" w:lastRow="0" w:firstColumn="0" w:lastColumn="0" w:oddVBand="0" w:evenVBand="0" w:oddHBand="0" w:evenHBand="0" w:firstRowFirstColumn="0" w:firstRowLastColumn="0" w:lastRowFirstColumn="0" w:lastRowLastColumn="0"/>
            </w:pPr>
            <w:r w:rsidRPr="00F0645F">
              <w:t>each cycle</w:t>
            </w:r>
          </w:p>
        </w:tc>
        <w:tc>
          <w:tcPr>
            <w:tcW w:w="1061" w:type="dxa"/>
          </w:tcPr>
          <w:p w:rsidR="00F0645F" w:rsidRPr="00F0645F" w:rsidRDefault="00F0645F" w:rsidP="00E813E2">
            <w:pPr>
              <w:ind w:left="0" w:right="40"/>
              <w:cnfStyle w:val="000000000000" w:firstRow="0" w:lastRow="0" w:firstColumn="0" w:lastColumn="0" w:oddVBand="0" w:evenVBand="0" w:oddHBand="0" w:evenHBand="0" w:firstRowFirstColumn="0" w:firstRowLastColumn="0" w:lastRowFirstColumn="0" w:lastRowLastColumn="0"/>
            </w:pPr>
            <w:r w:rsidRPr="00F0645F">
              <w:t>8 cycles</w:t>
            </w:r>
          </w:p>
        </w:tc>
        <w:tc>
          <w:tcPr>
            <w:tcW w:w="1309" w:type="dxa"/>
          </w:tcPr>
          <w:p w:rsidR="00F0645F" w:rsidRPr="00F0645F" w:rsidRDefault="00F0645F" w:rsidP="00E813E2">
            <w:pPr>
              <w:ind w:left="27" w:right="0"/>
              <w:cnfStyle w:val="000000000000" w:firstRow="0" w:lastRow="0" w:firstColumn="0" w:lastColumn="0" w:oddVBand="0" w:evenVBand="0" w:oddHBand="0" w:evenHBand="0" w:firstRowFirstColumn="0" w:firstRowLastColumn="0" w:lastRowFirstColumn="0" w:lastRowLastColumn="0"/>
            </w:pPr>
            <w:r w:rsidRPr="00F0645F">
              <w:t xml:space="preserve"> -</w:t>
            </w:r>
          </w:p>
        </w:tc>
        <w:tc>
          <w:tcPr>
            <w:tcW w:w="1591" w:type="dxa"/>
          </w:tcPr>
          <w:p w:rsidR="00F0645F" w:rsidRPr="00F0645F" w:rsidRDefault="00F0645F" w:rsidP="00E813E2">
            <w:pPr>
              <w:ind w:left="27" w:right="0"/>
              <w:cnfStyle w:val="000000000000" w:firstRow="0" w:lastRow="0" w:firstColumn="0" w:lastColumn="0" w:oddVBand="0" w:evenVBand="0" w:oddHBand="0" w:evenHBand="0" w:firstRowFirstColumn="0" w:firstRowLastColumn="0" w:lastRowFirstColumn="0" w:lastRowLastColumn="0"/>
            </w:pPr>
            <w:r w:rsidRPr="00F0645F">
              <w:t xml:space="preserve"> -</w:t>
            </w:r>
          </w:p>
        </w:tc>
        <w:tc>
          <w:tcPr>
            <w:tcW w:w="989" w:type="dxa"/>
          </w:tcPr>
          <w:p w:rsidR="00F0645F" w:rsidRPr="00F0645F" w:rsidRDefault="00F0645F" w:rsidP="00E813E2">
            <w:pPr>
              <w:ind w:left="27" w:right="0"/>
              <w:cnfStyle w:val="000000000000" w:firstRow="0" w:lastRow="0" w:firstColumn="0" w:lastColumn="0" w:oddVBand="0" w:evenVBand="0" w:oddHBand="0" w:evenHBand="0" w:firstRowFirstColumn="0" w:firstRowLastColumn="0" w:lastRowFirstColumn="0" w:lastRowLastColumn="0"/>
            </w:pPr>
            <w:r w:rsidRPr="00F0645F">
              <w:t>-</w:t>
            </w:r>
          </w:p>
        </w:tc>
      </w:tr>
    </w:tbl>
    <w:p w:rsidR="00F0645F" w:rsidRPr="00F0645F" w:rsidRDefault="00F0645F" w:rsidP="00E813E2">
      <w:pPr>
        <w:pStyle w:val="TableDescription"/>
        <w:rPr>
          <w:sz w:val="20"/>
          <w:szCs w:val="20"/>
        </w:rPr>
      </w:pPr>
      <w:r w:rsidRPr="00F0645F">
        <w:t>NHL = Non-Hodgkin’s Lymphoma</w:t>
      </w:r>
      <w:r w:rsidRPr="00F0645F">
        <w:rPr>
          <w:sz w:val="20"/>
          <w:szCs w:val="20"/>
        </w:rPr>
        <w:t>; PD = progressive disease</w:t>
      </w:r>
    </w:p>
    <w:p w:rsidR="00A4228F" w:rsidRDefault="00A4228F" w:rsidP="00E813E2">
      <w:pPr>
        <w:pStyle w:val="Heading3"/>
      </w:pPr>
      <w:bookmarkStart w:id="123" w:name="_Toc241374319"/>
      <w:bookmarkStart w:id="124" w:name="_Ref271044764"/>
      <w:bookmarkStart w:id="125" w:name="_Toc272414663"/>
      <w:bookmarkStart w:id="126" w:name="_Toc290846301"/>
      <w:bookmarkStart w:id="127" w:name="_Toc234034063"/>
      <w:bookmarkStart w:id="128" w:name="_Toc399501550"/>
      <w:r>
        <w:t xml:space="preserve">Adverse </w:t>
      </w:r>
      <w:r w:rsidRPr="00E813E2">
        <w:t>events</w:t>
      </w:r>
      <w:bookmarkEnd w:id="123"/>
      <w:bookmarkEnd w:id="124"/>
      <w:bookmarkEnd w:id="125"/>
      <w:bookmarkEnd w:id="126"/>
      <w:bookmarkEnd w:id="127"/>
      <w:bookmarkEnd w:id="128"/>
    </w:p>
    <w:p w:rsidR="00A4228F" w:rsidRDefault="00A4228F" w:rsidP="00E813E2">
      <w:r>
        <w:t xml:space="preserve">The most informative safety data come from </w:t>
      </w:r>
      <w:r w:rsidR="00F0645F">
        <w:t>S</w:t>
      </w:r>
      <w:r>
        <w:t>tudies BP 22333 Stage 2 and BO 22334 Stage 1. These studies both involved a randomised, head-to-head comparison of the currently approved IV regimen and the proposed SC regimen with both given as repeated cycles. The following review of adverse events (AEs) will therefore focus on these two studies. The other studies (BP 22333 Stage 1 and BO 25341) involved single-dose administration of alternative SC regimens and are therefore less informative.</w:t>
      </w:r>
    </w:p>
    <w:p w:rsidR="00A4228F" w:rsidRDefault="00A4228F" w:rsidP="00E813E2">
      <w:r>
        <w:t>An overview of the safety findings from the two studies is shown in</w:t>
      </w:r>
      <w:r w:rsidR="00715816">
        <w:t xml:space="preserve"> Table 1</w:t>
      </w:r>
      <w:r w:rsidR="00F0645F">
        <w:t>6</w:t>
      </w:r>
      <w:r>
        <w:t>.</w:t>
      </w:r>
    </w:p>
    <w:p w:rsidR="00715816" w:rsidRPr="008073ED" w:rsidRDefault="00715816" w:rsidP="00CF526C">
      <w:pPr>
        <w:pStyle w:val="TableTitle"/>
      </w:pPr>
      <w:bookmarkStart w:id="129" w:name="_Ref233608960"/>
      <w:bookmarkStart w:id="130" w:name="_Toc234034176"/>
      <w:proofErr w:type="gramStart"/>
      <w:r>
        <w:lastRenderedPageBreak/>
        <w:t>Table 1</w:t>
      </w:r>
      <w:bookmarkEnd w:id="129"/>
      <w:r w:rsidR="00F0645F">
        <w:t>6</w:t>
      </w:r>
      <w:r>
        <w:t>.</w:t>
      </w:r>
      <w:proofErr w:type="gramEnd"/>
      <w:r>
        <w:t xml:space="preserve"> Studies BP 22333 Stage 2 and BO 22334 Stage 1 - Overall safety profile</w:t>
      </w:r>
      <w:bookmarkEnd w:id="130"/>
    </w:p>
    <w:p w:rsidR="00715816" w:rsidRPr="00900E21" w:rsidRDefault="00715816" w:rsidP="00CF526C">
      <w:r>
        <w:rPr>
          <w:noProof/>
          <w:lang w:eastAsia="en-AU"/>
        </w:rPr>
        <w:drawing>
          <wp:inline distT="0" distB="0" distL="0" distR="0" wp14:anchorId="79CE6288" wp14:editId="7DA6E786">
            <wp:extent cx="5472034" cy="2712972"/>
            <wp:effectExtent l="0" t="0" r="0" b="0"/>
            <wp:docPr id="24" name="Picture 7" descr="Table 16. Studies BP 22333 Stage 2 and BO 22334 Stage 1 - Overall safety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0500" cy="2717169"/>
                    </a:xfrm>
                    <a:prstGeom prst="rect">
                      <a:avLst/>
                    </a:prstGeom>
                    <a:noFill/>
                    <a:ln>
                      <a:noFill/>
                    </a:ln>
                  </pic:spPr>
                </pic:pic>
              </a:graphicData>
            </a:graphic>
          </wp:inline>
        </w:drawing>
      </w:r>
    </w:p>
    <w:p w:rsidR="00A4228F" w:rsidRPr="00900E21" w:rsidRDefault="00A4228F" w:rsidP="00CF526C">
      <w:pPr>
        <w:pStyle w:val="Heading4"/>
      </w:pPr>
      <w:bookmarkStart w:id="131" w:name="_Ref272317284"/>
      <w:bookmarkStart w:id="132" w:name="_Ref272333565"/>
      <w:bookmarkStart w:id="133" w:name="_Toc272414664"/>
      <w:bookmarkStart w:id="134" w:name="_Toc290846302"/>
      <w:bookmarkStart w:id="135" w:name="_Toc234034064"/>
      <w:r>
        <w:t>All adverse events (irrespective of relationship to study treatment)</w:t>
      </w:r>
      <w:bookmarkEnd w:id="131"/>
      <w:bookmarkEnd w:id="132"/>
      <w:bookmarkEnd w:id="133"/>
      <w:bookmarkEnd w:id="134"/>
      <w:bookmarkEnd w:id="135"/>
    </w:p>
    <w:p w:rsidR="00A4228F" w:rsidRDefault="00A4228F" w:rsidP="00CF526C">
      <w:pPr>
        <w:pStyle w:val="Heading5"/>
      </w:pPr>
      <w:bookmarkStart w:id="136" w:name="_Toc234034065"/>
      <w:r>
        <w:t xml:space="preserve">Study </w:t>
      </w:r>
      <w:r w:rsidRPr="00CF526C">
        <w:t>BP</w:t>
      </w:r>
      <w:r>
        <w:t xml:space="preserve"> 22333 </w:t>
      </w:r>
      <w:r w:rsidR="00CF526C">
        <w:t>s</w:t>
      </w:r>
      <w:r>
        <w:t>tage 2</w:t>
      </w:r>
      <w:bookmarkEnd w:id="136"/>
    </w:p>
    <w:p w:rsidR="00A4228F" w:rsidRDefault="00A4228F" w:rsidP="00CF526C">
      <w:r>
        <w:t xml:space="preserve">In </w:t>
      </w:r>
      <w:r w:rsidR="00715816">
        <w:t xml:space="preserve">Study BP </w:t>
      </w:r>
      <w:r>
        <w:t xml:space="preserve">22333 Stage 2, the percentage of patients who experienced an AE was </w:t>
      </w:r>
      <w:r w:rsidRPr="00E3487D">
        <w:rPr>
          <w:b/>
        </w:rPr>
        <w:t>79% in both</w:t>
      </w:r>
      <w:r>
        <w:t xml:space="preserve"> treatment arms. However the total number of AEs was increased in the SC arm (291 </w:t>
      </w:r>
      <w:r w:rsidR="00AB2DB9">
        <w:t>versus</w:t>
      </w:r>
      <w:r>
        <w:t xml:space="preserve"> 257 AEs). </w:t>
      </w:r>
      <w:r w:rsidR="00715816">
        <w:t>Table 1</w:t>
      </w:r>
      <w:r w:rsidR="00F0645F">
        <w:t>7</w:t>
      </w:r>
      <w:r>
        <w:t xml:space="preserve"> shows the common AEs (those occurring i</w:t>
      </w:r>
      <w:r w:rsidR="00CF526C">
        <w:t>n &gt;5% in either treatment arm).</w:t>
      </w:r>
    </w:p>
    <w:p w:rsidR="00A4228F" w:rsidRDefault="00A4228F" w:rsidP="00CF526C">
      <w:pPr>
        <w:rPr>
          <w:lang w:val="en-US"/>
        </w:rPr>
      </w:pPr>
      <w:r>
        <w:t xml:space="preserve">The SC arm was associated with a notably increased incidence of “administration-related reactions (ARR)”. </w:t>
      </w:r>
      <w:r>
        <w:rPr>
          <w:lang w:val="en-US"/>
        </w:rPr>
        <w:t xml:space="preserve">ARRs are discussed further under </w:t>
      </w:r>
      <w:r w:rsidR="00715816" w:rsidRPr="00715816">
        <w:rPr>
          <w:i/>
          <w:lang w:val="en-US"/>
        </w:rPr>
        <w:t>Treatment-related adverse events (adverse drug reactions)</w:t>
      </w:r>
      <w:r>
        <w:rPr>
          <w:lang w:val="en-US"/>
        </w:rPr>
        <w:t>.</w:t>
      </w:r>
    </w:p>
    <w:p w:rsidR="00A4228F" w:rsidRDefault="00A4228F" w:rsidP="00CF526C">
      <w:pPr>
        <w:rPr>
          <w:lang w:val="en-US"/>
        </w:rPr>
      </w:pPr>
      <w:r>
        <w:rPr>
          <w:lang w:val="en-US"/>
        </w:rPr>
        <w:t xml:space="preserve">Other individual AEs that were more common with SC administration were headache (10% </w:t>
      </w:r>
      <w:r w:rsidR="00AB2DB9">
        <w:rPr>
          <w:lang w:val="en-US"/>
        </w:rPr>
        <w:t>versus</w:t>
      </w:r>
      <w:r>
        <w:rPr>
          <w:lang w:val="en-US"/>
        </w:rPr>
        <w:t xml:space="preserve"> 3%), </w:t>
      </w:r>
      <w:proofErr w:type="spellStart"/>
      <w:r>
        <w:rPr>
          <w:lang w:val="en-US"/>
        </w:rPr>
        <w:t>diarrhoea</w:t>
      </w:r>
      <w:proofErr w:type="spellEnd"/>
      <w:r>
        <w:rPr>
          <w:lang w:val="en-US"/>
        </w:rPr>
        <w:t xml:space="preserve"> (8% </w:t>
      </w:r>
      <w:r w:rsidR="00AB2DB9">
        <w:rPr>
          <w:lang w:val="en-US"/>
        </w:rPr>
        <w:t>versus</w:t>
      </w:r>
      <w:r>
        <w:rPr>
          <w:lang w:val="en-US"/>
        </w:rPr>
        <w:t xml:space="preserve"> 3%), neutropaenia (6% </w:t>
      </w:r>
      <w:r w:rsidR="00AB2DB9">
        <w:rPr>
          <w:lang w:val="en-US"/>
        </w:rPr>
        <w:t>versus</w:t>
      </w:r>
      <w:r>
        <w:rPr>
          <w:lang w:val="en-US"/>
        </w:rPr>
        <w:t xml:space="preserve"> 3%) and injection site pain (5% </w:t>
      </w:r>
      <w:r w:rsidR="00AB2DB9">
        <w:rPr>
          <w:lang w:val="en-US"/>
        </w:rPr>
        <w:t>versus</w:t>
      </w:r>
      <w:r>
        <w:rPr>
          <w:lang w:val="en-US"/>
        </w:rPr>
        <w:t xml:space="preserve"> 0%). A number of common individual AEs were more frequent in the IV arm.</w:t>
      </w:r>
    </w:p>
    <w:p w:rsidR="00715816" w:rsidRDefault="00715816" w:rsidP="00CF526C">
      <w:pPr>
        <w:pStyle w:val="TableTitle"/>
      </w:pPr>
      <w:bookmarkStart w:id="137" w:name="_Ref233610505"/>
      <w:bookmarkStart w:id="138" w:name="_Toc234034177"/>
      <w:proofErr w:type="gramStart"/>
      <w:r>
        <w:t>Table 1</w:t>
      </w:r>
      <w:bookmarkEnd w:id="137"/>
      <w:r w:rsidR="00F0645F">
        <w:t>7</w:t>
      </w:r>
      <w:r>
        <w:t>.</w:t>
      </w:r>
      <w:proofErr w:type="gramEnd"/>
      <w:r>
        <w:t xml:space="preserve"> Study BP 22333 Stage 2 - Common AEs (occurring in at least 5% of subjects in either arm)</w:t>
      </w:r>
      <w:bookmarkEnd w:id="138"/>
    </w:p>
    <w:p w:rsidR="00715816" w:rsidRDefault="00715816" w:rsidP="00CF526C">
      <w:r>
        <w:rPr>
          <w:noProof/>
          <w:lang w:eastAsia="en-AU"/>
        </w:rPr>
        <w:drawing>
          <wp:inline distT="0" distB="0" distL="0" distR="0" wp14:anchorId="070D0415" wp14:editId="19624B9C">
            <wp:extent cx="4517239" cy="3105938"/>
            <wp:effectExtent l="0" t="0" r="0" b="0"/>
            <wp:docPr id="25" name="Picture 1" descr="Table 17. Study BP 22333 Stage 2 - Common AEs (occurring in at least 5% of subjects in either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18911" cy="3107088"/>
                    </a:xfrm>
                    <a:prstGeom prst="rect">
                      <a:avLst/>
                    </a:prstGeom>
                    <a:noFill/>
                    <a:ln>
                      <a:noFill/>
                    </a:ln>
                  </pic:spPr>
                </pic:pic>
              </a:graphicData>
            </a:graphic>
          </wp:inline>
        </w:drawing>
      </w:r>
    </w:p>
    <w:p w:rsidR="00A4228F" w:rsidRDefault="00A4228F" w:rsidP="00CF526C">
      <w:pPr>
        <w:pStyle w:val="Heading5"/>
      </w:pPr>
      <w:bookmarkStart w:id="139" w:name="_Toc234034066"/>
      <w:r>
        <w:lastRenderedPageBreak/>
        <w:t xml:space="preserve">Study BO 22334 </w:t>
      </w:r>
      <w:r w:rsidR="00CF526C">
        <w:t>s</w:t>
      </w:r>
      <w:r>
        <w:t>tage 1</w:t>
      </w:r>
      <w:bookmarkEnd w:id="139"/>
    </w:p>
    <w:p w:rsidR="00A4228F" w:rsidRDefault="00A4228F" w:rsidP="00CF526C">
      <w:r>
        <w:t>The proportion of patients who experienced AEs was slightly higher in the SC arm (</w:t>
      </w:r>
      <w:r w:rsidRPr="00135067">
        <w:rPr>
          <w:b/>
        </w:rPr>
        <w:t>92%</w:t>
      </w:r>
      <w:r>
        <w:t xml:space="preserve"> </w:t>
      </w:r>
      <w:r w:rsidR="00AB2DB9">
        <w:t>versus</w:t>
      </w:r>
      <w:r>
        <w:t xml:space="preserve"> </w:t>
      </w:r>
      <w:r w:rsidRPr="00135067">
        <w:rPr>
          <w:b/>
        </w:rPr>
        <w:t>88%</w:t>
      </w:r>
      <w:r>
        <w:t xml:space="preserve">). The total number of AEs was also higher in the SC arm (528 </w:t>
      </w:r>
      <w:r w:rsidR="00AB2DB9">
        <w:t>versus</w:t>
      </w:r>
      <w:r>
        <w:t xml:space="preserve"> 363). Common AEs (those occurring in &gt;2% in either treatment arm) are shown in </w:t>
      </w:r>
      <w:r w:rsidR="00715816">
        <w:t>Table 1</w:t>
      </w:r>
      <w:r w:rsidR="00F0645F">
        <w:t>8</w:t>
      </w:r>
      <w:r>
        <w:t>.</w:t>
      </w:r>
    </w:p>
    <w:p w:rsidR="00A4228F" w:rsidRDefault="00A4228F" w:rsidP="00CF526C">
      <w:r>
        <w:t xml:space="preserve">The SC arm experienced an increased incidence of injection site events - erythema (15% </w:t>
      </w:r>
      <w:r w:rsidR="00AB2DB9">
        <w:t>versus</w:t>
      </w:r>
      <w:r>
        <w:t xml:space="preserve"> 0%), oedema (5% </w:t>
      </w:r>
      <w:r w:rsidR="00AB2DB9">
        <w:t>versus</w:t>
      </w:r>
      <w:r>
        <w:t xml:space="preserve"> 0%), pain (5% </w:t>
      </w:r>
      <w:r w:rsidR="00AB2DB9">
        <w:t>versus</w:t>
      </w:r>
      <w:r>
        <w:t xml:space="preserve"> 0%), rash (3% </w:t>
      </w:r>
      <w:r w:rsidR="00AB2DB9">
        <w:t>versus</w:t>
      </w:r>
      <w:r>
        <w:t xml:space="preserve"> 0%) and swelling (3% </w:t>
      </w:r>
      <w:r w:rsidR="00AB2DB9">
        <w:t>versus</w:t>
      </w:r>
      <w:r>
        <w:t xml:space="preserve"> 0%) as well as an increased incidence of skin AEs – erythema (16% </w:t>
      </w:r>
      <w:r w:rsidR="00AB2DB9">
        <w:t>versus</w:t>
      </w:r>
      <w:r>
        <w:t xml:space="preserve"> 3%), pruritus (10% </w:t>
      </w:r>
      <w:r w:rsidR="00AB2DB9">
        <w:t>versus</w:t>
      </w:r>
      <w:r>
        <w:t xml:space="preserve"> 6%) and rash (11% </w:t>
      </w:r>
      <w:r w:rsidR="00AB2DB9">
        <w:t>versus</w:t>
      </w:r>
      <w:r>
        <w:t xml:space="preserve"> 3%).</w:t>
      </w:r>
    </w:p>
    <w:p w:rsidR="00A4228F" w:rsidRDefault="00A4228F" w:rsidP="00CF526C">
      <w:r>
        <w:t xml:space="preserve">Other AEs that were notably increased in the SC arm included asthenia (23% </w:t>
      </w:r>
      <w:r w:rsidR="00AB2DB9">
        <w:t>versus</w:t>
      </w:r>
      <w:r>
        <w:t xml:space="preserve"> 15%), fatigue (10% </w:t>
      </w:r>
      <w:r w:rsidR="00AB2DB9">
        <w:t>versus</w:t>
      </w:r>
      <w:r>
        <w:t xml:space="preserve"> 5%), myalgia (11% </w:t>
      </w:r>
      <w:r w:rsidR="00AB2DB9">
        <w:t>versus</w:t>
      </w:r>
      <w:r>
        <w:t xml:space="preserve"> 2%), dyspepsia 13% </w:t>
      </w:r>
      <w:r w:rsidR="00AB2DB9">
        <w:t>versus</w:t>
      </w:r>
      <w:r>
        <w:t xml:space="preserve"> 0%), febrile neutropaenia (10% </w:t>
      </w:r>
      <w:r w:rsidR="00AB2DB9">
        <w:t>versus</w:t>
      </w:r>
      <w:r>
        <w:t xml:space="preserve"> 3%) and headache (16% </w:t>
      </w:r>
      <w:r w:rsidR="00AB2DB9">
        <w:t>versus</w:t>
      </w:r>
      <w:r w:rsidR="00CF526C">
        <w:t xml:space="preserve"> 8%).</w:t>
      </w:r>
    </w:p>
    <w:p w:rsidR="00715816" w:rsidRDefault="00715816" w:rsidP="00CF526C">
      <w:pPr>
        <w:pStyle w:val="TableTitle"/>
      </w:pPr>
      <w:bookmarkStart w:id="140" w:name="_Ref233695615"/>
      <w:bookmarkStart w:id="141" w:name="_Toc234034178"/>
      <w:proofErr w:type="gramStart"/>
      <w:r>
        <w:t>Table 1</w:t>
      </w:r>
      <w:bookmarkEnd w:id="140"/>
      <w:r w:rsidR="00F0645F">
        <w:t>8</w:t>
      </w:r>
      <w:r>
        <w:t>.</w:t>
      </w:r>
      <w:proofErr w:type="gramEnd"/>
      <w:r>
        <w:t xml:space="preserve"> Study BO 22334 Stage 1 - Common AEs (occurring in at </w:t>
      </w:r>
      <w:r w:rsidRPr="00CF526C">
        <w:t>least</w:t>
      </w:r>
      <w:r>
        <w:t xml:space="preserve"> 2% of subjects in either arm)</w:t>
      </w:r>
      <w:bookmarkEnd w:id="141"/>
    </w:p>
    <w:p w:rsidR="00715816" w:rsidRDefault="00715816" w:rsidP="00CF526C">
      <w:r>
        <w:rPr>
          <w:noProof/>
          <w:lang w:eastAsia="en-AU"/>
        </w:rPr>
        <w:drawing>
          <wp:inline distT="0" distB="0" distL="0" distR="0" wp14:anchorId="6AFB5911" wp14:editId="4794C042">
            <wp:extent cx="3275434" cy="5864252"/>
            <wp:effectExtent l="0" t="0" r="0" b="0"/>
            <wp:docPr id="35" name="Picture 11" descr="Table 18. Study BO 22334 Stage 1 - Common AEs (occurring in at least 2% of subjects in either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79862" cy="5872180"/>
                    </a:xfrm>
                    <a:prstGeom prst="rect">
                      <a:avLst/>
                    </a:prstGeom>
                    <a:noFill/>
                    <a:ln>
                      <a:noFill/>
                    </a:ln>
                  </pic:spPr>
                </pic:pic>
              </a:graphicData>
            </a:graphic>
          </wp:inline>
        </w:drawing>
      </w:r>
    </w:p>
    <w:p w:rsidR="00715816" w:rsidRDefault="00715816" w:rsidP="00CF526C">
      <w:proofErr w:type="gramStart"/>
      <w:r>
        <w:t>Continued next page.</w:t>
      </w:r>
      <w:proofErr w:type="gramEnd"/>
    </w:p>
    <w:p w:rsidR="00715816" w:rsidRDefault="00715816" w:rsidP="00CF526C">
      <w:pPr>
        <w:pStyle w:val="TableTitle"/>
      </w:pPr>
      <w:r>
        <w:lastRenderedPageBreak/>
        <w:t>Table 1</w:t>
      </w:r>
      <w:r w:rsidR="00F0645F">
        <w:t>8</w:t>
      </w:r>
      <w:r>
        <w:t xml:space="preserve"> (continued) - Study BO</w:t>
      </w:r>
      <w:r w:rsidRPr="00190110">
        <w:t xml:space="preserve"> 22334 Stage 1 - Common AEs (occurring in at least 2% of subjects in either arm)</w:t>
      </w:r>
    </w:p>
    <w:p w:rsidR="00715816" w:rsidRDefault="00715816" w:rsidP="00CF526C">
      <w:r>
        <w:rPr>
          <w:noProof/>
          <w:lang w:eastAsia="en-AU"/>
        </w:rPr>
        <w:drawing>
          <wp:inline distT="0" distB="0" distL="0" distR="0" wp14:anchorId="30A09126" wp14:editId="1AED2B3C">
            <wp:extent cx="3604419" cy="4980079"/>
            <wp:effectExtent l="0" t="0" r="0" b="0"/>
            <wp:docPr id="34" name="Picture 10" descr="Table 18 (continued) - Study BO 22334 Stage 1 - Common AEs (occurring in at least 2% of subjects in either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08836" cy="4986182"/>
                    </a:xfrm>
                    <a:prstGeom prst="rect">
                      <a:avLst/>
                    </a:prstGeom>
                    <a:noFill/>
                    <a:ln>
                      <a:noFill/>
                    </a:ln>
                  </pic:spPr>
                </pic:pic>
              </a:graphicData>
            </a:graphic>
          </wp:inline>
        </w:drawing>
      </w:r>
      <w:r>
        <w:rPr>
          <w:noProof/>
          <w:lang w:eastAsia="en-AU"/>
        </w:rPr>
        <w:drawing>
          <wp:inline distT="0" distB="0" distL="0" distR="0" wp14:anchorId="17A05AC4" wp14:editId="7DC6CCFE">
            <wp:extent cx="4852035" cy="359990"/>
            <wp:effectExtent l="0" t="0" r="0" b="2540"/>
            <wp:docPr id="36" name="Picture 12" descr="Table 18 (continued) - Study BO 22334 Stage 1 - Common AEs (occurring in at least 2% of subjects in either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54663" cy="360185"/>
                    </a:xfrm>
                    <a:prstGeom prst="rect">
                      <a:avLst/>
                    </a:prstGeom>
                    <a:noFill/>
                    <a:ln>
                      <a:noFill/>
                    </a:ln>
                  </pic:spPr>
                </pic:pic>
              </a:graphicData>
            </a:graphic>
          </wp:inline>
        </w:drawing>
      </w:r>
    </w:p>
    <w:p w:rsidR="00A4228F" w:rsidRPr="004C0675" w:rsidRDefault="00A4228F" w:rsidP="00CF526C">
      <w:pPr>
        <w:pStyle w:val="Heading5"/>
      </w:pPr>
      <w:bookmarkStart w:id="142" w:name="_Toc234034067"/>
      <w:r w:rsidRPr="004C0675">
        <w:t xml:space="preserve">Other </w:t>
      </w:r>
      <w:r w:rsidRPr="00CF526C">
        <w:t>studies</w:t>
      </w:r>
      <w:bookmarkEnd w:id="142"/>
    </w:p>
    <w:p w:rsidR="00A4228F" w:rsidRDefault="00A4228F" w:rsidP="00CF526C">
      <w:r w:rsidRPr="004C0675">
        <w:t xml:space="preserve">In </w:t>
      </w:r>
      <w:r w:rsidRPr="004C0675">
        <w:rPr>
          <w:u w:val="single"/>
        </w:rPr>
        <w:t>BP 22333 Stage 1</w:t>
      </w:r>
      <w:r w:rsidRPr="004C0675">
        <w:t xml:space="preserve">, patients received a single SC dose of rituximab before reverting to IV treatment. The only meaningful data on AEs therefore comes following the single SC dose. </w:t>
      </w:r>
      <w:r>
        <w:t>The most relevant cohorts were Cohort A (the standard 375 mg/m</w:t>
      </w:r>
      <w:r w:rsidRPr="004C0675">
        <w:rPr>
          <w:vertAlign w:val="superscript"/>
        </w:rPr>
        <w:t>2</w:t>
      </w:r>
      <w:r>
        <w:t xml:space="preserve"> IV dose) and Cohort D (800 mg/m</w:t>
      </w:r>
      <w:r w:rsidRPr="004C0675">
        <w:rPr>
          <w:vertAlign w:val="superscript"/>
        </w:rPr>
        <w:t>2</w:t>
      </w:r>
      <w:r>
        <w:t xml:space="preserve"> SC dose which approximates the proposed SC dose). The incidence of ARRs was higher in Cohort D compared to Cohort A (23% </w:t>
      </w:r>
      <w:r w:rsidR="00AB2DB9">
        <w:t>versus</w:t>
      </w:r>
      <w:r>
        <w:t xml:space="preserve"> 6%). Otherwise there were no notable differences between the two cohorts.</w:t>
      </w:r>
    </w:p>
    <w:p w:rsidR="00A4228F" w:rsidRDefault="00A4228F" w:rsidP="00CF526C">
      <w:r>
        <w:t>In the extension phase, 16 subjects in Cohort D elected to complete their maintenance treatment with SC dosing. The pattern of AEs in this group during the extension phase was similar to that seen in other studies.</w:t>
      </w:r>
    </w:p>
    <w:p w:rsidR="00A4228F" w:rsidRPr="00BD17A4" w:rsidRDefault="00A4228F" w:rsidP="00CF526C">
      <w:r w:rsidRPr="00BD17A4">
        <w:t xml:space="preserve">In </w:t>
      </w:r>
      <w:r w:rsidRPr="00BD17A4">
        <w:rPr>
          <w:u w:val="single"/>
        </w:rPr>
        <w:t>BO 25341</w:t>
      </w:r>
      <w:r w:rsidRPr="00BD17A4">
        <w:t>, subjects received rituximab 500 mg/m</w:t>
      </w:r>
      <w:r w:rsidRPr="00BD17A4">
        <w:rPr>
          <w:vertAlign w:val="superscript"/>
        </w:rPr>
        <w:t>2</w:t>
      </w:r>
      <w:r w:rsidRPr="00BD17A4">
        <w:t xml:space="preserve"> IV at Cycle 5 and then SC rituximab </w:t>
      </w:r>
      <w:r>
        <w:t xml:space="preserve">(various doses) </w:t>
      </w:r>
      <w:r w:rsidRPr="00BD17A4">
        <w:t>at Cycle 6.</w:t>
      </w:r>
      <w:r>
        <w:t xml:space="preserve"> The sponsor presented tabulations of AEs occurring in </w:t>
      </w:r>
      <w:r w:rsidR="00A20B0A">
        <w:t>C</w:t>
      </w:r>
      <w:r>
        <w:t xml:space="preserve">ycles 5 and 6 to enable comparison. The incidence of AEs was higher with SC administration (64% </w:t>
      </w:r>
      <w:r w:rsidR="00AB2DB9">
        <w:t>versus</w:t>
      </w:r>
      <w:r>
        <w:t xml:space="preserve"> 54%) as was the total number of AEs (81 </w:t>
      </w:r>
      <w:r w:rsidR="00AB2DB9">
        <w:t>versus</w:t>
      </w:r>
      <w:r>
        <w:t xml:space="preserve"> 55). Injection site events (pain, erythema etc.) accounted for much of the difference (16 </w:t>
      </w:r>
      <w:r w:rsidR="00AB2DB9">
        <w:t>versus</w:t>
      </w:r>
      <w:r>
        <w:t xml:space="preserve"> 0 events). The pattern of AEs was otherwise similar in the two cycles.</w:t>
      </w:r>
    </w:p>
    <w:p w:rsidR="00A4228F" w:rsidRPr="00900E21" w:rsidRDefault="00A4228F" w:rsidP="00CF526C">
      <w:pPr>
        <w:pStyle w:val="Heading4"/>
      </w:pPr>
      <w:bookmarkStart w:id="143" w:name="_Toc234034068"/>
      <w:r>
        <w:lastRenderedPageBreak/>
        <w:t>Grade 3 or higher AEs</w:t>
      </w:r>
      <w:bookmarkEnd w:id="143"/>
    </w:p>
    <w:p w:rsidR="00A4228F" w:rsidRDefault="00A4228F" w:rsidP="00CF526C">
      <w:pPr>
        <w:pStyle w:val="Heading5"/>
      </w:pPr>
      <w:bookmarkStart w:id="144" w:name="_Toc234034069"/>
      <w:r>
        <w:t xml:space="preserve">Study BP 22333 </w:t>
      </w:r>
      <w:r w:rsidR="00CF526C">
        <w:t>s</w:t>
      </w:r>
      <w:r>
        <w:t>tage 2</w:t>
      </w:r>
      <w:bookmarkEnd w:id="144"/>
    </w:p>
    <w:p w:rsidR="00A4228F" w:rsidRDefault="00A4228F" w:rsidP="00CF526C">
      <w:r>
        <w:t xml:space="preserve">The incidence of </w:t>
      </w:r>
      <w:r w:rsidR="00A20B0A">
        <w:t>G</w:t>
      </w:r>
      <w:r>
        <w:t>rade 3 or higher AEs was comparable in the two groups (</w:t>
      </w:r>
      <w:r w:rsidRPr="00570A7B">
        <w:rPr>
          <w:b/>
        </w:rPr>
        <w:t>17%</w:t>
      </w:r>
      <w:r>
        <w:t xml:space="preserve"> </w:t>
      </w:r>
      <w:r w:rsidR="00AB2DB9">
        <w:t>versus</w:t>
      </w:r>
      <w:r>
        <w:t xml:space="preserve"> </w:t>
      </w:r>
      <w:r w:rsidRPr="00570A7B">
        <w:rPr>
          <w:b/>
        </w:rPr>
        <w:t>18%</w:t>
      </w:r>
      <w:r>
        <w:t xml:space="preserve">) as was the total number of such AEs in each group (19 </w:t>
      </w:r>
      <w:r w:rsidR="00AB2DB9">
        <w:t>versus</w:t>
      </w:r>
      <w:r>
        <w:t xml:space="preserve"> 17). In terms of individual AEs, the only notable difference between the two treatment </w:t>
      </w:r>
      <w:r w:rsidR="00A20B0A">
        <w:t>arms was that there were three G</w:t>
      </w:r>
      <w:r>
        <w:t>rade 3 or higher neoplasms in the SC arm (1 breast cancer, 1 melanoma, 1 thyroid adenoma) compared with none in the IV arm.</w:t>
      </w:r>
    </w:p>
    <w:p w:rsidR="00A4228F" w:rsidRDefault="00A4228F" w:rsidP="00CF526C">
      <w:pPr>
        <w:pStyle w:val="Heading5"/>
      </w:pPr>
      <w:bookmarkStart w:id="145" w:name="_Toc234034070"/>
      <w:r>
        <w:t xml:space="preserve">Study BO 22334 </w:t>
      </w:r>
      <w:r w:rsidR="00CF526C">
        <w:t>s</w:t>
      </w:r>
      <w:r>
        <w:t>tage 1</w:t>
      </w:r>
      <w:bookmarkEnd w:id="145"/>
    </w:p>
    <w:p w:rsidR="00A4228F" w:rsidRDefault="005C6357" w:rsidP="00CF526C">
      <w:r>
        <w:t>T</w:t>
      </w:r>
      <w:r w:rsidR="00A4228F">
        <w:t xml:space="preserve">he proportion of patients experiencing </w:t>
      </w:r>
      <w:r>
        <w:t>G</w:t>
      </w:r>
      <w:r w:rsidR="00A4228F">
        <w:t>rade 3 or higher toxicity was comparable in the two treatment arms (</w:t>
      </w:r>
      <w:r w:rsidR="00A4228F" w:rsidRPr="00E67325">
        <w:rPr>
          <w:b/>
        </w:rPr>
        <w:t>46%</w:t>
      </w:r>
      <w:r w:rsidR="00A4228F">
        <w:t xml:space="preserve"> </w:t>
      </w:r>
      <w:r w:rsidR="00AB2DB9">
        <w:t>versus</w:t>
      </w:r>
      <w:r w:rsidR="00A4228F">
        <w:t xml:space="preserve"> </w:t>
      </w:r>
      <w:r w:rsidR="00A4228F" w:rsidRPr="00E67325">
        <w:rPr>
          <w:b/>
        </w:rPr>
        <w:t>47%</w:t>
      </w:r>
      <w:r w:rsidR="00A4228F">
        <w:t xml:space="preserve">). However, the total number of </w:t>
      </w:r>
      <w:r>
        <w:t>G</w:t>
      </w:r>
      <w:r w:rsidR="00A4228F">
        <w:t xml:space="preserve">rade 3+ AEs was higher in the SC arm (72 </w:t>
      </w:r>
      <w:r w:rsidR="00AB2DB9">
        <w:t>versus</w:t>
      </w:r>
      <w:r w:rsidR="00A4228F">
        <w:t xml:space="preserve"> 41).</w:t>
      </w:r>
    </w:p>
    <w:p w:rsidR="00A4228F" w:rsidRDefault="00A4228F" w:rsidP="00CF526C">
      <w:r>
        <w:t xml:space="preserve">Patients in the SC arm experienced an increased number of haematological </w:t>
      </w:r>
      <w:r w:rsidR="005C6357">
        <w:t>Grade 3</w:t>
      </w:r>
      <w:r>
        <w:t xml:space="preserve">+ AEs (33 </w:t>
      </w:r>
      <w:r w:rsidR="00AB2DB9">
        <w:t>versus</w:t>
      </w:r>
      <w:r>
        <w:t xml:space="preserve"> 19). The remainder of the excess number of </w:t>
      </w:r>
      <w:r w:rsidR="005C6357">
        <w:t>Grade 3</w:t>
      </w:r>
      <w:r>
        <w:t>+ AEs was spread out across various body systems.</w:t>
      </w:r>
    </w:p>
    <w:p w:rsidR="00A4228F" w:rsidRPr="005A66D0" w:rsidRDefault="00A4228F" w:rsidP="00CF526C">
      <w:pPr>
        <w:pStyle w:val="Heading5"/>
      </w:pPr>
      <w:bookmarkStart w:id="146" w:name="_Toc234034071"/>
      <w:r w:rsidRPr="005A66D0">
        <w:t>Other studies</w:t>
      </w:r>
      <w:bookmarkEnd w:id="146"/>
    </w:p>
    <w:p w:rsidR="00A4228F" w:rsidRPr="005C6357" w:rsidRDefault="00A4228F" w:rsidP="00CF526C">
      <w:proofErr w:type="gramStart"/>
      <w:r w:rsidRPr="004C0675">
        <w:t xml:space="preserve">In </w:t>
      </w:r>
      <w:r w:rsidRPr="004C0675">
        <w:rPr>
          <w:u w:val="single"/>
        </w:rPr>
        <w:t>BP 22333 Stage 1</w:t>
      </w:r>
      <w:r w:rsidRPr="004C0675">
        <w:t>,</w:t>
      </w:r>
      <w:r>
        <w:t xml:space="preserve"> the incidence of </w:t>
      </w:r>
      <w:r w:rsidR="005C6357">
        <w:t>Grade 3</w:t>
      </w:r>
      <w:r>
        <w:t xml:space="preserve">+ toxicity after the single </w:t>
      </w:r>
      <w:r w:rsidRPr="005C6357">
        <w:t>dose was comparable in Cohorts A and D.</w:t>
      </w:r>
      <w:proofErr w:type="gramEnd"/>
      <w:r w:rsidRPr="005C6357">
        <w:t xml:space="preserve"> In the extension phase, no </w:t>
      </w:r>
      <w:r w:rsidR="005C6357" w:rsidRPr="005C6357">
        <w:t>Grade 3</w:t>
      </w:r>
      <w:r w:rsidRPr="005C6357">
        <w:t>+ toxicity was</w:t>
      </w:r>
      <w:r w:rsidR="00CF526C">
        <w:t xml:space="preserve"> recorded in Cohort D patients.</w:t>
      </w:r>
    </w:p>
    <w:p w:rsidR="00A4228F" w:rsidRPr="005C6357" w:rsidRDefault="00A4228F" w:rsidP="00CF526C">
      <w:r w:rsidRPr="005C6357">
        <w:t xml:space="preserve">In </w:t>
      </w:r>
      <w:r w:rsidRPr="005C6357">
        <w:rPr>
          <w:u w:val="single"/>
        </w:rPr>
        <w:t>BO 25341</w:t>
      </w:r>
      <w:r w:rsidRPr="005C6357">
        <w:t xml:space="preserve"> the incidence of </w:t>
      </w:r>
      <w:r w:rsidR="005C6357" w:rsidRPr="005C6357">
        <w:t>Grade 3</w:t>
      </w:r>
      <w:r w:rsidRPr="005C6357">
        <w:t>+ AEs following SC administration (</w:t>
      </w:r>
      <w:r w:rsidR="005C6357" w:rsidRPr="005C6357">
        <w:t>C</w:t>
      </w:r>
      <w:r w:rsidRPr="005C6357">
        <w:t>ycle 6) was lower than that following IV administration (</w:t>
      </w:r>
      <w:r w:rsidR="005C6357" w:rsidRPr="005C6357">
        <w:t>C</w:t>
      </w:r>
      <w:r w:rsidRPr="005C6357">
        <w:t xml:space="preserve">ycle 5) – 20% </w:t>
      </w:r>
      <w:r w:rsidR="00AB2DB9" w:rsidRPr="005C6357">
        <w:t>versus</w:t>
      </w:r>
      <w:r w:rsidRPr="005C6357">
        <w:t xml:space="preserve"> 32%.</w:t>
      </w:r>
    </w:p>
    <w:p w:rsidR="00A4228F" w:rsidRPr="00D12012" w:rsidRDefault="00A4228F" w:rsidP="00CF526C">
      <w:pPr>
        <w:pStyle w:val="Heading4"/>
      </w:pPr>
      <w:bookmarkStart w:id="147" w:name="_Ref272333567"/>
      <w:bookmarkStart w:id="148" w:name="_Toc272414665"/>
      <w:bookmarkStart w:id="149" w:name="_Toc290846303"/>
      <w:bookmarkStart w:id="150" w:name="_Toc234034072"/>
      <w:r>
        <w:t>Treatment-related adverse events (adverse drug reactions)</w:t>
      </w:r>
      <w:bookmarkEnd w:id="147"/>
      <w:bookmarkEnd w:id="148"/>
      <w:bookmarkEnd w:id="149"/>
      <w:bookmarkEnd w:id="150"/>
    </w:p>
    <w:p w:rsidR="00A4228F" w:rsidRDefault="00CF526C" w:rsidP="00CF526C">
      <w:pPr>
        <w:pStyle w:val="Heading5"/>
      </w:pPr>
      <w:bookmarkStart w:id="151" w:name="_Toc234034073"/>
      <w:r>
        <w:t>Study BP 22333 s</w:t>
      </w:r>
      <w:r w:rsidR="00A4228F">
        <w:t>tage 2</w:t>
      </w:r>
      <w:bookmarkEnd w:id="151"/>
    </w:p>
    <w:p w:rsidR="00A4228F" w:rsidRDefault="00A4228F" w:rsidP="00CF526C">
      <w:r>
        <w:t>The proportion of patients who experienced treatment-related AEs was increased in the SC arm (</w:t>
      </w:r>
      <w:r w:rsidRPr="007D6FD4">
        <w:rPr>
          <w:b/>
        </w:rPr>
        <w:t>48%</w:t>
      </w:r>
      <w:r>
        <w:t xml:space="preserve"> </w:t>
      </w:r>
      <w:r w:rsidR="00AB2DB9">
        <w:t>versus</w:t>
      </w:r>
      <w:r>
        <w:t xml:space="preserve"> </w:t>
      </w:r>
      <w:r w:rsidRPr="007D6FD4">
        <w:rPr>
          <w:b/>
        </w:rPr>
        <w:t>25%</w:t>
      </w:r>
      <w:r>
        <w:t>). There were a total of 82 treatment related AEs in the SC arm and 44 in the IV arm.</w:t>
      </w:r>
    </w:p>
    <w:p w:rsidR="00A4228F" w:rsidRDefault="00A4228F" w:rsidP="00CF526C">
      <w:pPr>
        <w:rPr>
          <w:lang w:val="en-US"/>
        </w:rPr>
      </w:pPr>
      <w:r w:rsidRPr="00C937BB">
        <w:t xml:space="preserve">An ARR was defined as any event that occurred during or within 24 hours of treatment and considered to be related to rituximab by the study investigator. The incidence of ARRs was increased in the SC arm (31% </w:t>
      </w:r>
      <w:r w:rsidR="00AB2DB9">
        <w:t>versus</w:t>
      </w:r>
      <w:r w:rsidRPr="00C937BB">
        <w:t xml:space="preserve"> 4%).</w:t>
      </w:r>
      <w:r w:rsidR="005C6357">
        <w:t xml:space="preserve"> T</w:t>
      </w:r>
      <w:r>
        <w:rPr>
          <w:lang w:val="en-US"/>
        </w:rPr>
        <w:t>he most common ARRs were skin erythema, injection site erythema, myalgia, pain and swelling.</w:t>
      </w:r>
    </w:p>
    <w:p w:rsidR="00A4228F" w:rsidRDefault="00A4228F" w:rsidP="00CF526C">
      <w:r>
        <w:t>Other individual treatment-related AEs that occurred in more than one patient in the SC arm, and were more common in the SC arm compared to the IV arm were:</w:t>
      </w:r>
    </w:p>
    <w:p w:rsidR="00A4228F" w:rsidRPr="00CF526C" w:rsidRDefault="00CF526C" w:rsidP="00CF526C">
      <w:pPr>
        <w:pStyle w:val="ListBullet"/>
        <w:tabs>
          <w:tab w:val="left" w:pos="4111"/>
        </w:tabs>
      </w:pPr>
      <w:r>
        <w:t>Bronchitis</w:t>
      </w:r>
      <w:r w:rsidR="005C6357" w:rsidRPr="00CF526C">
        <w:tab/>
      </w:r>
      <w:r w:rsidR="00A4228F" w:rsidRPr="00CF526C">
        <w:t xml:space="preserve">(6% </w:t>
      </w:r>
      <w:r w:rsidR="00AB2DB9" w:rsidRPr="00CF526C">
        <w:t>versus</w:t>
      </w:r>
      <w:r w:rsidR="00A4228F" w:rsidRPr="00CF526C">
        <w:t xml:space="preserve"> 1%);</w:t>
      </w:r>
    </w:p>
    <w:p w:rsidR="00A4228F" w:rsidRPr="00CF526C" w:rsidRDefault="00A4228F" w:rsidP="00CF526C">
      <w:pPr>
        <w:pStyle w:val="ListBullet"/>
        <w:tabs>
          <w:tab w:val="left" w:pos="4111"/>
        </w:tabs>
      </w:pPr>
      <w:proofErr w:type="spellStart"/>
      <w:r w:rsidRPr="00CF526C">
        <w:t>Nasopharyngitis</w:t>
      </w:r>
      <w:proofErr w:type="spellEnd"/>
      <w:r w:rsidRPr="00CF526C">
        <w:tab/>
        <w:t xml:space="preserve">(3% </w:t>
      </w:r>
      <w:r w:rsidR="00AB2DB9" w:rsidRPr="00CF526C">
        <w:t>versus</w:t>
      </w:r>
      <w:r w:rsidRPr="00CF526C">
        <w:t xml:space="preserve"> 0%);</w:t>
      </w:r>
    </w:p>
    <w:p w:rsidR="00A4228F" w:rsidRPr="00CF526C" w:rsidRDefault="00A4228F" w:rsidP="00CF526C">
      <w:pPr>
        <w:pStyle w:val="ListBullet"/>
        <w:tabs>
          <w:tab w:val="left" w:pos="4111"/>
        </w:tabs>
      </w:pPr>
      <w:r w:rsidRPr="00CF526C">
        <w:t>Pneumonia</w:t>
      </w:r>
      <w:r w:rsidR="005C6357" w:rsidRPr="00CF526C">
        <w:tab/>
      </w:r>
      <w:r w:rsidRPr="00CF526C">
        <w:t xml:space="preserve">(3% </w:t>
      </w:r>
      <w:r w:rsidR="00AB2DB9" w:rsidRPr="00CF526C">
        <w:t>versus</w:t>
      </w:r>
      <w:r w:rsidRPr="00CF526C">
        <w:t xml:space="preserve"> 1%);</w:t>
      </w:r>
    </w:p>
    <w:p w:rsidR="00A4228F" w:rsidRPr="00CF526C" w:rsidRDefault="00A4228F" w:rsidP="00CF526C">
      <w:pPr>
        <w:pStyle w:val="ListBullet"/>
        <w:tabs>
          <w:tab w:val="left" w:pos="4111"/>
        </w:tabs>
      </w:pPr>
      <w:r w:rsidRPr="00CF526C">
        <w:t>Lower respiratory tract infection</w:t>
      </w:r>
      <w:r w:rsidRPr="00CF526C">
        <w:tab/>
        <w:t xml:space="preserve">(3% </w:t>
      </w:r>
      <w:r w:rsidR="00AB2DB9" w:rsidRPr="00CF526C">
        <w:t>versus</w:t>
      </w:r>
      <w:r w:rsidRPr="00CF526C">
        <w:t xml:space="preserve"> 1%);</w:t>
      </w:r>
    </w:p>
    <w:p w:rsidR="00A4228F" w:rsidRPr="00CF526C" w:rsidRDefault="00CF526C" w:rsidP="00CF526C">
      <w:pPr>
        <w:pStyle w:val="ListBullet"/>
        <w:tabs>
          <w:tab w:val="left" w:pos="4111"/>
        </w:tabs>
      </w:pPr>
      <w:r>
        <w:t>Nausea</w:t>
      </w:r>
      <w:r w:rsidR="005C6357" w:rsidRPr="00CF526C">
        <w:tab/>
      </w:r>
      <w:r w:rsidR="00A4228F" w:rsidRPr="00CF526C">
        <w:t xml:space="preserve">(3% </w:t>
      </w:r>
      <w:r w:rsidR="00AB2DB9" w:rsidRPr="00CF526C">
        <w:t>versus</w:t>
      </w:r>
      <w:r w:rsidR="00A4228F" w:rsidRPr="00CF526C">
        <w:t xml:space="preserve"> 0%);</w:t>
      </w:r>
    </w:p>
    <w:p w:rsidR="00A4228F" w:rsidRPr="00CF526C" w:rsidRDefault="00A4228F" w:rsidP="00CF526C">
      <w:pPr>
        <w:pStyle w:val="ListBullet"/>
        <w:tabs>
          <w:tab w:val="left" w:pos="4111"/>
        </w:tabs>
      </w:pPr>
      <w:r w:rsidRPr="00CF526C">
        <w:t>Injection site pain</w:t>
      </w:r>
      <w:r w:rsidRPr="00CF526C">
        <w:tab/>
        <w:t xml:space="preserve">(5% </w:t>
      </w:r>
      <w:r w:rsidR="00AB2DB9" w:rsidRPr="00CF526C">
        <w:t>versus</w:t>
      </w:r>
      <w:r w:rsidRPr="00CF526C">
        <w:t xml:space="preserve"> 0%);</w:t>
      </w:r>
    </w:p>
    <w:p w:rsidR="00A4228F" w:rsidRPr="00CF526C" w:rsidRDefault="00CF526C" w:rsidP="00CF526C">
      <w:pPr>
        <w:pStyle w:val="ListBullet"/>
        <w:tabs>
          <w:tab w:val="left" w:pos="4111"/>
        </w:tabs>
      </w:pPr>
      <w:r>
        <w:t>Rash</w:t>
      </w:r>
      <w:r w:rsidR="005C6357" w:rsidRPr="00CF526C">
        <w:tab/>
      </w:r>
      <w:r w:rsidR="00A4228F" w:rsidRPr="00CF526C">
        <w:t xml:space="preserve">(3% </w:t>
      </w:r>
      <w:r w:rsidR="00AB2DB9" w:rsidRPr="00CF526C">
        <w:t>versus</w:t>
      </w:r>
      <w:r w:rsidR="00A4228F" w:rsidRPr="00CF526C">
        <w:t xml:space="preserve"> 0%);</w:t>
      </w:r>
    </w:p>
    <w:p w:rsidR="00A4228F" w:rsidRPr="00CF526C" w:rsidRDefault="00A4228F" w:rsidP="00CF526C">
      <w:pPr>
        <w:pStyle w:val="ListBullet"/>
        <w:tabs>
          <w:tab w:val="left" w:pos="4111"/>
        </w:tabs>
      </w:pPr>
      <w:r w:rsidRPr="00CF526C">
        <w:t>Pneumonitis</w:t>
      </w:r>
      <w:r w:rsidRPr="00CF526C">
        <w:tab/>
        <w:t xml:space="preserve">(3% </w:t>
      </w:r>
      <w:r w:rsidR="00AB2DB9" w:rsidRPr="00CF526C">
        <w:t>versus</w:t>
      </w:r>
      <w:r w:rsidR="00CF526C">
        <w:t xml:space="preserve"> 0%);</w:t>
      </w:r>
    </w:p>
    <w:p w:rsidR="00A4228F" w:rsidRPr="00CF526C" w:rsidRDefault="00A4228F" w:rsidP="00CF526C">
      <w:pPr>
        <w:pStyle w:val="ListBullet"/>
        <w:tabs>
          <w:tab w:val="left" w:pos="4111"/>
        </w:tabs>
      </w:pPr>
      <w:proofErr w:type="spellStart"/>
      <w:r w:rsidRPr="00CF526C">
        <w:t>Neutropaenia</w:t>
      </w:r>
      <w:proofErr w:type="spellEnd"/>
      <w:r w:rsidRPr="00CF526C">
        <w:tab/>
        <w:t xml:space="preserve">(5% </w:t>
      </w:r>
      <w:r w:rsidR="00AB2DB9" w:rsidRPr="00CF526C">
        <w:t>versus</w:t>
      </w:r>
      <w:r w:rsidRPr="00CF526C">
        <w:t xml:space="preserve"> 3%).</w:t>
      </w:r>
    </w:p>
    <w:p w:rsidR="00A4228F" w:rsidRDefault="00A4228F" w:rsidP="00202E2A">
      <w:pPr>
        <w:pStyle w:val="Heading5"/>
      </w:pPr>
      <w:bookmarkStart w:id="152" w:name="_Toc234034074"/>
      <w:r>
        <w:lastRenderedPageBreak/>
        <w:t xml:space="preserve">Study BO 22334 </w:t>
      </w:r>
      <w:r w:rsidR="00202E2A" w:rsidRPr="00202E2A">
        <w:t>s</w:t>
      </w:r>
      <w:r w:rsidRPr="00202E2A">
        <w:t>tage</w:t>
      </w:r>
      <w:r>
        <w:t xml:space="preserve"> 1</w:t>
      </w:r>
      <w:bookmarkEnd w:id="152"/>
    </w:p>
    <w:p w:rsidR="00A4228F" w:rsidRDefault="00A4228F" w:rsidP="00202E2A">
      <w:r>
        <w:t>The percentage of patients experiencing treatment-related AEs was again increased in the SC arm (</w:t>
      </w:r>
      <w:r w:rsidRPr="00326FB6">
        <w:rPr>
          <w:b/>
        </w:rPr>
        <w:t>73%</w:t>
      </w:r>
      <w:r>
        <w:t xml:space="preserve"> </w:t>
      </w:r>
      <w:r w:rsidR="00AB2DB9">
        <w:t>versus</w:t>
      </w:r>
      <w:r>
        <w:t xml:space="preserve"> </w:t>
      </w:r>
      <w:r w:rsidRPr="00326FB6">
        <w:rPr>
          <w:b/>
        </w:rPr>
        <w:t>46%</w:t>
      </w:r>
      <w:r>
        <w:t xml:space="preserve">). The total number of treatment-related AEs was also higher (157 </w:t>
      </w:r>
      <w:r w:rsidR="00AB2DB9">
        <w:t>versus</w:t>
      </w:r>
      <w:r>
        <w:t xml:space="preserve"> 67).</w:t>
      </w:r>
    </w:p>
    <w:p w:rsidR="00A4228F" w:rsidRDefault="00A4228F" w:rsidP="00202E2A">
      <w:pPr>
        <w:rPr>
          <w:lang w:val="en-US"/>
        </w:rPr>
      </w:pPr>
      <w:r w:rsidRPr="00C937BB">
        <w:t>The incidence of ARRs was increased in the SC arm (</w:t>
      </w:r>
      <w:r>
        <w:t>50</w:t>
      </w:r>
      <w:r w:rsidRPr="00C937BB">
        <w:t xml:space="preserve">% </w:t>
      </w:r>
      <w:r w:rsidR="00AB2DB9">
        <w:t>versus</w:t>
      </w:r>
      <w:r w:rsidRPr="00C937BB">
        <w:t xml:space="preserve"> </w:t>
      </w:r>
      <w:r>
        <w:t>32%).</w:t>
      </w:r>
      <w:r w:rsidR="005C6357">
        <w:t xml:space="preserve"> T</w:t>
      </w:r>
      <w:r>
        <w:rPr>
          <w:lang w:val="en-US"/>
        </w:rPr>
        <w:t>he most common ARRs associated with SC administration were injection site erythema, skin erythema, pruritus and rash.</w:t>
      </w:r>
    </w:p>
    <w:p w:rsidR="00A4228F" w:rsidRDefault="00A4228F" w:rsidP="00202E2A">
      <w:r>
        <w:t xml:space="preserve">Another notable treatment-related AE that occurred more frequently in the SC arm was neutropaenia (23% </w:t>
      </w:r>
      <w:r w:rsidR="00AB2DB9">
        <w:t>versus</w:t>
      </w:r>
      <w:r>
        <w:t xml:space="preserve"> 9%).</w:t>
      </w:r>
    </w:p>
    <w:p w:rsidR="00A4228F" w:rsidRPr="005A66D0" w:rsidRDefault="00A4228F" w:rsidP="00202E2A">
      <w:pPr>
        <w:pStyle w:val="Heading5"/>
      </w:pPr>
      <w:bookmarkStart w:id="153" w:name="_Toc234034075"/>
      <w:r w:rsidRPr="005A66D0">
        <w:t>Other studies</w:t>
      </w:r>
      <w:bookmarkEnd w:id="153"/>
    </w:p>
    <w:p w:rsidR="00A4228F" w:rsidRDefault="00A4228F" w:rsidP="00202E2A">
      <w:r w:rsidRPr="004C0675">
        <w:t xml:space="preserve">In </w:t>
      </w:r>
      <w:r w:rsidRPr="004C0675">
        <w:rPr>
          <w:u w:val="single"/>
        </w:rPr>
        <w:t>BP 22333 Stage 1</w:t>
      </w:r>
      <w:r w:rsidRPr="004C0675">
        <w:t>,</w:t>
      </w:r>
      <w:r>
        <w:t xml:space="preserve"> the incidence of ARRs was higher in Cohort D (23%) than in Cohort A (6%) after the single dose. There were also 2 cases of related application site erythema in Cohort D and none in Cohort A.</w:t>
      </w:r>
    </w:p>
    <w:p w:rsidR="00A4228F" w:rsidRPr="00986D15" w:rsidRDefault="00A4228F" w:rsidP="00202E2A">
      <w:r w:rsidRPr="00986D15">
        <w:t>A tabulation of treatment-related AEs was not presented for BO 25341.</w:t>
      </w:r>
    </w:p>
    <w:p w:rsidR="00A4228F" w:rsidRPr="00213E77" w:rsidRDefault="00A4228F" w:rsidP="00202E2A">
      <w:pPr>
        <w:pStyle w:val="Heading4"/>
      </w:pPr>
      <w:bookmarkStart w:id="154" w:name="_Toc241374320"/>
      <w:bookmarkStart w:id="155" w:name="_Ref272333507"/>
      <w:bookmarkStart w:id="156" w:name="_Toc272414666"/>
      <w:bookmarkStart w:id="157" w:name="_Toc290846304"/>
      <w:bookmarkStart w:id="158" w:name="_Toc234034076"/>
      <w:r>
        <w:t>Deaths and other serious adverse events</w:t>
      </w:r>
      <w:bookmarkEnd w:id="154"/>
      <w:bookmarkEnd w:id="155"/>
      <w:bookmarkEnd w:id="156"/>
      <w:bookmarkEnd w:id="157"/>
      <w:bookmarkEnd w:id="158"/>
    </w:p>
    <w:p w:rsidR="00A4228F" w:rsidRDefault="00A4228F" w:rsidP="00202E2A">
      <w:pPr>
        <w:pStyle w:val="Heading5"/>
      </w:pPr>
      <w:bookmarkStart w:id="159" w:name="_Toc234034077"/>
      <w:r>
        <w:t xml:space="preserve">Study BP 22333 </w:t>
      </w:r>
      <w:r w:rsidR="00202E2A">
        <w:t>s</w:t>
      </w:r>
      <w:r>
        <w:t>tage 2</w:t>
      </w:r>
      <w:bookmarkEnd w:id="159"/>
    </w:p>
    <w:p w:rsidR="00A4228F" w:rsidRDefault="00A4228F" w:rsidP="00202E2A">
      <w:r>
        <w:t xml:space="preserve">There was one </w:t>
      </w:r>
      <w:r w:rsidRPr="00920DE5">
        <w:rPr>
          <w:u w:val="single"/>
        </w:rPr>
        <w:t>death</w:t>
      </w:r>
      <w:r>
        <w:t xml:space="preserve"> in the SC arm, in a patient who developed progressive disease and died 234 days after her last dose. The death was not considered related to SC rituximab. There were no deaths in the IV arm.</w:t>
      </w:r>
    </w:p>
    <w:p w:rsidR="00A4228F" w:rsidRPr="009B4D26" w:rsidRDefault="00A4228F" w:rsidP="00202E2A">
      <w:r>
        <w:t xml:space="preserve">The incidence of </w:t>
      </w:r>
      <w:r w:rsidRPr="00920DE5">
        <w:rPr>
          <w:u w:val="single"/>
        </w:rPr>
        <w:t>serious AEs</w:t>
      </w:r>
      <w:r>
        <w:t xml:space="preserve"> (SAEs) was comparable in the two groups (</w:t>
      </w:r>
      <w:r>
        <w:rPr>
          <w:b/>
        </w:rPr>
        <w:t>14</w:t>
      </w:r>
      <w:r w:rsidRPr="00570A7B">
        <w:rPr>
          <w:b/>
        </w:rPr>
        <w:t>%</w:t>
      </w:r>
      <w:r>
        <w:t xml:space="preserve"> </w:t>
      </w:r>
      <w:r w:rsidR="00AB2DB9">
        <w:t>versus</w:t>
      </w:r>
      <w:r>
        <w:t xml:space="preserve"> </w:t>
      </w:r>
      <w:r>
        <w:rPr>
          <w:b/>
        </w:rPr>
        <w:t>12</w:t>
      </w:r>
      <w:r w:rsidRPr="00570A7B">
        <w:rPr>
          <w:b/>
        </w:rPr>
        <w:t>%</w:t>
      </w:r>
      <w:r>
        <w:t xml:space="preserve">) as was the total number of such AEs in each group (11 </w:t>
      </w:r>
      <w:r w:rsidR="00AB2DB9">
        <w:t>versus</w:t>
      </w:r>
      <w:r>
        <w:t xml:space="preserve"> 10). There was no excess in the incidence of any individual serious AE in the SC arm.</w:t>
      </w:r>
    </w:p>
    <w:p w:rsidR="00A4228F" w:rsidRDefault="00202E2A" w:rsidP="00202E2A">
      <w:pPr>
        <w:pStyle w:val="Heading5"/>
      </w:pPr>
      <w:bookmarkStart w:id="160" w:name="_Toc234034078"/>
      <w:r>
        <w:t>Study BO 22334 s</w:t>
      </w:r>
      <w:r w:rsidR="00A4228F">
        <w:t>tage 1</w:t>
      </w:r>
      <w:bookmarkEnd w:id="160"/>
    </w:p>
    <w:p w:rsidR="00A4228F" w:rsidRDefault="00A4228F" w:rsidP="00202E2A">
      <w:pPr>
        <w:rPr>
          <w:lang w:val="en-US"/>
        </w:rPr>
      </w:pPr>
      <w:r w:rsidRPr="00AE37B8">
        <w:rPr>
          <w:u w:val="single"/>
          <w:lang w:val="en-US"/>
        </w:rPr>
        <w:t>Deaths</w:t>
      </w:r>
      <w:r>
        <w:rPr>
          <w:lang w:val="en-US"/>
        </w:rPr>
        <w:t>: One patient in the rituximab SC arm died as a result of myocardial infarction following Cycle 5; the death was considered unrelated to study drug. Another patient in the rituximab SC arm died due to disease progression following her withdrawal from the study on Day 273. No patient died in the rituximab IV arm.</w:t>
      </w:r>
    </w:p>
    <w:p w:rsidR="00A4228F" w:rsidRDefault="00A4228F" w:rsidP="00202E2A">
      <w:r w:rsidRPr="00D320BE">
        <w:rPr>
          <w:u w:val="single"/>
          <w:lang w:val="en-US"/>
        </w:rPr>
        <w:t>SAEs:</w:t>
      </w:r>
      <w:r>
        <w:rPr>
          <w:u w:val="single"/>
          <w:lang w:val="en-US"/>
        </w:rPr>
        <w:t xml:space="preserve"> </w:t>
      </w:r>
      <w:r>
        <w:t>The incidence of SAEs was comparable in the two groups (</w:t>
      </w:r>
      <w:r>
        <w:rPr>
          <w:b/>
        </w:rPr>
        <w:t>22</w:t>
      </w:r>
      <w:r w:rsidRPr="00570A7B">
        <w:rPr>
          <w:b/>
        </w:rPr>
        <w:t>%</w:t>
      </w:r>
      <w:r>
        <w:t xml:space="preserve"> </w:t>
      </w:r>
      <w:r w:rsidR="00AB2DB9">
        <w:t>versus</w:t>
      </w:r>
      <w:r>
        <w:t xml:space="preserve"> </w:t>
      </w:r>
      <w:r>
        <w:rPr>
          <w:b/>
        </w:rPr>
        <w:t>23</w:t>
      </w:r>
      <w:r w:rsidRPr="00570A7B">
        <w:rPr>
          <w:b/>
        </w:rPr>
        <w:t>%</w:t>
      </w:r>
      <w:r>
        <w:t>).</w:t>
      </w:r>
      <w:r w:rsidR="00766AFA">
        <w:t xml:space="preserve"> </w:t>
      </w:r>
      <w:r>
        <w:t xml:space="preserve">The total number of serious AEs was increased in the SC arm (33 </w:t>
      </w:r>
      <w:r w:rsidR="00AB2DB9">
        <w:t>versus</w:t>
      </w:r>
      <w:r>
        <w:t xml:space="preserve"> 21).</w:t>
      </w:r>
      <w:r w:rsidR="005C6357">
        <w:t xml:space="preserve"> F</w:t>
      </w:r>
      <w:r>
        <w:t xml:space="preserve">ebrile neutropaenia was more common in the SC arm (10 </w:t>
      </w:r>
      <w:r w:rsidR="00AB2DB9">
        <w:t>versus</w:t>
      </w:r>
      <w:r>
        <w:t xml:space="preserve"> 3 events). Otherwise there was no notable excess in the incidence of any individual serious AE in the SC arm.</w:t>
      </w:r>
    </w:p>
    <w:p w:rsidR="00A4228F" w:rsidRPr="005E5CC6" w:rsidRDefault="00A4228F" w:rsidP="00202E2A">
      <w:pPr>
        <w:pStyle w:val="Heading5"/>
      </w:pPr>
      <w:bookmarkStart w:id="161" w:name="_Toc234034079"/>
      <w:r w:rsidRPr="005E5CC6">
        <w:t>Other studies</w:t>
      </w:r>
      <w:bookmarkEnd w:id="161"/>
    </w:p>
    <w:p w:rsidR="00A4228F" w:rsidRDefault="00A4228F" w:rsidP="00202E2A">
      <w:r w:rsidRPr="005E5CC6">
        <w:t xml:space="preserve">There were no deaths in </w:t>
      </w:r>
      <w:r w:rsidRPr="005E5CC6">
        <w:rPr>
          <w:u w:val="single"/>
        </w:rPr>
        <w:t>BP 22333 Stage 1</w:t>
      </w:r>
      <w:r>
        <w:t xml:space="preserve"> either after the single dose or in the extension phase. After the single dose, there was one SAE in Cohort A (angina) and one in Cohort A (appendicitis). In the extension phase no patient in Cohort D experienced an SAE.</w:t>
      </w:r>
    </w:p>
    <w:p w:rsidR="00A4228F" w:rsidRDefault="00A4228F" w:rsidP="00202E2A">
      <w:r>
        <w:t xml:space="preserve">One patient died in </w:t>
      </w:r>
      <w:r w:rsidRPr="00352B26">
        <w:rPr>
          <w:u w:val="single"/>
        </w:rPr>
        <w:t>BO 25341</w:t>
      </w:r>
      <w:r>
        <w:t xml:space="preserve"> (unknown cause). The death occurred before the patient received any SC rituximab. Two patients experienced SAEs with IV administration in </w:t>
      </w:r>
      <w:r w:rsidR="005C6357">
        <w:t>C</w:t>
      </w:r>
      <w:r>
        <w:t>ycle 5 (1 febrile neutropaenia and 1 upper respiratory tract infection) and two patients with SC administration in cycle 6 (</w:t>
      </w:r>
      <w:proofErr w:type="gramStart"/>
      <w:r>
        <w:t>1 diarrhoea</w:t>
      </w:r>
      <w:proofErr w:type="gramEnd"/>
      <w:r>
        <w:t xml:space="preserve"> and 1 </w:t>
      </w:r>
      <w:proofErr w:type="spellStart"/>
      <w:r>
        <w:t>cholecystitis</w:t>
      </w:r>
      <w:proofErr w:type="spellEnd"/>
      <w:r>
        <w:t>).</w:t>
      </w:r>
    </w:p>
    <w:p w:rsidR="00A4228F" w:rsidRPr="008F73B4" w:rsidRDefault="00A4228F" w:rsidP="00202E2A">
      <w:pPr>
        <w:pStyle w:val="Heading4"/>
      </w:pPr>
      <w:bookmarkStart w:id="162" w:name="_Toc241374325"/>
      <w:bookmarkStart w:id="163" w:name="_Ref272333477"/>
      <w:bookmarkStart w:id="164" w:name="_Toc272414667"/>
      <w:bookmarkStart w:id="165" w:name="_Toc290846305"/>
      <w:bookmarkStart w:id="166" w:name="_Toc234034080"/>
      <w:r>
        <w:t>Discontinuation due to adverse events</w:t>
      </w:r>
      <w:bookmarkEnd w:id="162"/>
      <w:bookmarkEnd w:id="163"/>
      <w:bookmarkEnd w:id="164"/>
      <w:bookmarkEnd w:id="165"/>
      <w:bookmarkEnd w:id="166"/>
    </w:p>
    <w:p w:rsidR="00A4228F" w:rsidRDefault="00A4228F" w:rsidP="00A85772">
      <w:pPr>
        <w:pStyle w:val="Heading5"/>
      </w:pPr>
      <w:bookmarkStart w:id="167" w:name="_Toc234034081"/>
      <w:r>
        <w:t xml:space="preserve">Study BP 22333 </w:t>
      </w:r>
      <w:r w:rsidR="00A85772">
        <w:t>s</w:t>
      </w:r>
      <w:r>
        <w:t>tage 2</w:t>
      </w:r>
      <w:bookmarkEnd w:id="167"/>
    </w:p>
    <w:p w:rsidR="00A4228F" w:rsidRDefault="00A4228F" w:rsidP="00A85772">
      <w:r>
        <w:t xml:space="preserve">The incidence of </w:t>
      </w:r>
      <w:r w:rsidRPr="00920DE5">
        <w:t>discontinuations due to AEs</w:t>
      </w:r>
      <w:r>
        <w:t xml:space="preserve"> was comparable in the two groups (</w:t>
      </w:r>
      <w:r>
        <w:rPr>
          <w:b/>
        </w:rPr>
        <w:t>5%</w:t>
      </w:r>
      <w:r>
        <w:t xml:space="preserve"> </w:t>
      </w:r>
      <w:r w:rsidR="00AB2DB9">
        <w:t>versus</w:t>
      </w:r>
      <w:r>
        <w:t xml:space="preserve"> </w:t>
      </w:r>
      <w:r>
        <w:rPr>
          <w:b/>
        </w:rPr>
        <w:t>5</w:t>
      </w:r>
      <w:r w:rsidRPr="00570A7B">
        <w:rPr>
          <w:b/>
        </w:rPr>
        <w:t>%</w:t>
      </w:r>
      <w:r>
        <w:t xml:space="preserve">) as was the total number of such AEs in each group (4 </w:t>
      </w:r>
      <w:r w:rsidR="00AB2DB9">
        <w:t>versus</w:t>
      </w:r>
      <w:r>
        <w:t xml:space="preserve"> 4)</w:t>
      </w:r>
      <w:r w:rsidR="005C6357">
        <w:t>.</w:t>
      </w:r>
      <w:r>
        <w:t xml:space="preserve"> There were two patients discontinued to neoplasms in the SC group (1 breast cancer and 1 melanoma) compared to none </w:t>
      </w:r>
      <w:r>
        <w:lastRenderedPageBreak/>
        <w:t xml:space="preserve">in the IV arm. Interestingly there were 3 patients discontinued because of </w:t>
      </w:r>
      <w:proofErr w:type="spellStart"/>
      <w:r>
        <w:t>cytopaenias</w:t>
      </w:r>
      <w:proofErr w:type="spellEnd"/>
      <w:r>
        <w:t xml:space="preserve"> in the IV group </w:t>
      </w:r>
      <w:r w:rsidR="00AB2DB9">
        <w:t>versus</w:t>
      </w:r>
      <w:r w:rsidR="00A85772">
        <w:t xml:space="preserve"> none in the SC group.</w:t>
      </w:r>
    </w:p>
    <w:p w:rsidR="00A4228F" w:rsidRDefault="00A85772" w:rsidP="00A85772">
      <w:pPr>
        <w:pStyle w:val="Heading5"/>
      </w:pPr>
      <w:bookmarkStart w:id="168" w:name="_Toc234034082"/>
      <w:r>
        <w:t xml:space="preserve">Study BO 22334 </w:t>
      </w:r>
      <w:r w:rsidRPr="00A85772">
        <w:t>s</w:t>
      </w:r>
      <w:r w:rsidR="00A4228F" w:rsidRPr="00A85772">
        <w:t>tage</w:t>
      </w:r>
      <w:r w:rsidR="00A4228F">
        <w:t xml:space="preserve"> 1</w:t>
      </w:r>
      <w:bookmarkEnd w:id="168"/>
    </w:p>
    <w:p w:rsidR="00A4228F" w:rsidRDefault="00A4228F" w:rsidP="00A85772">
      <w:r>
        <w:t xml:space="preserve">The incidence of </w:t>
      </w:r>
      <w:r w:rsidRPr="00920DE5">
        <w:t>discontinuations due to AEs</w:t>
      </w:r>
      <w:r>
        <w:t xml:space="preserve"> was comparable in the two groups (</w:t>
      </w:r>
      <w:r>
        <w:rPr>
          <w:b/>
        </w:rPr>
        <w:t>5%</w:t>
      </w:r>
      <w:r>
        <w:t xml:space="preserve"> </w:t>
      </w:r>
      <w:r w:rsidR="00AB2DB9">
        <w:t>versus</w:t>
      </w:r>
      <w:r>
        <w:t xml:space="preserve"> </w:t>
      </w:r>
      <w:r>
        <w:rPr>
          <w:b/>
        </w:rPr>
        <w:t>3</w:t>
      </w:r>
      <w:r w:rsidRPr="00570A7B">
        <w:rPr>
          <w:b/>
        </w:rPr>
        <w:t>%</w:t>
      </w:r>
      <w:r>
        <w:t xml:space="preserve">) as was the total number of such AEs in each group (5 </w:t>
      </w:r>
      <w:r w:rsidR="00AB2DB9">
        <w:t>versus</w:t>
      </w:r>
      <w:r>
        <w:t xml:space="preserve"> 2).</w:t>
      </w:r>
    </w:p>
    <w:p w:rsidR="00A4228F" w:rsidRPr="008C45D1" w:rsidRDefault="00A4228F" w:rsidP="00A85772">
      <w:pPr>
        <w:pStyle w:val="Heading5"/>
      </w:pPr>
      <w:bookmarkStart w:id="169" w:name="_Toc234034083"/>
      <w:r w:rsidRPr="008C45D1">
        <w:t>Other studies</w:t>
      </w:r>
      <w:bookmarkEnd w:id="169"/>
    </w:p>
    <w:p w:rsidR="00A4228F" w:rsidRPr="008C45D1" w:rsidRDefault="00A4228F" w:rsidP="00A85772">
      <w:r w:rsidRPr="008C45D1">
        <w:t xml:space="preserve">In </w:t>
      </w:r>
      <w:r w:rsidRPr="008C45D1">
        <w:rPr>
          <w:u w:val="single"/>
        </w:rPr>
        <w:t>BP 22333 Stage 1</w:t>
      </w:r>
      <w:r>
        <w:t>, one patient was discontinued from Cohort D after the single dose. The patient was diagnosed with a squamous cell carcinoma of the lung that was considered unrelated to rituximab. No patient in Cohort A was discontinued due to an AE.</w:t>
      </w:r>
    </w:p>
    <w:p w:rsidR="00A4228F" w:rsidRPr="00BE7C9E" w:rsidRDefault="00A4228F" w:rsidP="00A85772">
      <w:r w:rsidRPr="00BE7C9E">
        <w:t>Data on discontinuations due to AEs were not presented for BO 25341.</w:t>
      </w:r>
    </w:p>
    <w:p w:rsidR="00A4228F" w:rsidRDefault="00A4228F" w:rsidP="00A85772">
      <w:pPr>
        <w:pStyle w:val="Heading3"/>
      </w:pPr>
      <w:bookmarkStart w:id="170" w:name="_Toc241374321"/>
      <w:bookmarkStart w:id="171" w:name="_Ref271044780"/>
      <w:bookmarkStart w:id="172" w:name="_Ref271196640"/>
      <w:bookmarkStart w:id="173" w:name="_Ref272333085"/>
      <w:bookmarkStart w:id="174" w:name="_Toc272414668"/>
      <w:bookmarkStart w:id="175" w:name="_Toc290846306"/>
      <w:bookmarkStart w:id="176" w:name="_Toc234034084"/>
      <w:bookmarkStart w:id="177" w:name="_Toc399501551"/>
      <w:r>
        <w:t>Laboratory tests</w:t>
      </w:r>
      <w:bookmarkEnd w:id="170"/>
      <w:bookmarkEnd w:id="171"/>
      <w:bookmarkEnd w:id="172"/>
      <w:bookmarkEnd w:id="173"/>
      <w:bookmarkEnd w:id="174"/>
      <w:bookmarkEnd w:id="175"/>
      <w:bookmarkEnd w:id="176"/>
      <w:bookmarkEnd w:id="177"/>
    </w:p>
    <w:p w:rsidR="00A4228F" w:rsidRDefault="00A4228F" w:rsidP="00A85772">
      <w:pPr>
        <w:pStyle w:val="Heading4"/>
      </w:pPr>
      <w:bookmarkStart w:id="178" w:name="_Toc272414669"/>
      <w:bookmarkStart w:id="179" w:name="_Toc290846307"/>
      <w:bookmarkStart w:id="180" w:name="_Ref233796111"/>
      <w:bookmarkStart w:id="181" w:name="_Toc234034085"/>
      <w:r>
        <w:t>Liver function</w:t>
      </w:r>
      <w:bookmarkEnd w:id="178"/>
      <w:bookmarkEnd w:id="179"/>
      <w:bookmarkEnd w:id="180"/>
      <w:bookmarkEnd w:id="181"/>
    </w:p>
    <w:p w:rsidR="00A4228F" w:rsidRDefault="00A4228F" w:rsidP="00A85772">
      <w:pPr>
        <w:pStyle w:val="Heading5"/>
      </w:pPr>
      <w:bookmarkStart w:id="182" w:name="_Toc234034086"/>
      <w:r w:rsidRPr="00A85772">
        <w:t>Study</w:t>
      </w:r>
      <w:r>
        <w:t xml:space="preserve"> BP 22333 </w:t>
      </w:r>
      <w:r w:rsidR="00A85772">
        <w:t>s</w:t>
      </w:r>
      <w:r>
        <w:t>tage 2</w:t>
      </w:r>
      <w:bookmarkEnd w:id="182"/>
    </w:p>
    <w:p w:rsidR="00A4228F" w:rsidRDefault="00A4228F" w:rsidP="00A85772">
      <w:r>
        <w:t>The study report for BP 22333 Stage 2 included shift tables for grades of toxicity for each of the liver function parameters tested. There were no notable differences between treatment arms in the incidence of shifts in grade of toxicity for any LFT variable.</w:t>
      </w:r>
    </w:p>
    <w:p w:rsidR="00A4228F" w:rsidRDefault="00A4228F" w:rsidP="00A85772">
      <w:pPr>
        <w:pStyle w:val="Heading5"/>
      </w:pPr>
      <w:bookmarkStart w:id="183" w:name="_Toc234034087"/>
      <w:r>
        <w:t xml:space="preserve">Study BO 22334 </w:t>
      </w:r>
      <w:r w:rsidR="00A85772">
        <w:t>s</w:t>
      </w:r>
      <w:r>
        <w:t>tage 1</w:t>
      </w:r>
      <w:bookmarkEnd w:id="183"/>
    </w:p>
    <w:p w:rsidR="00A4228F" w:rsidRDefault="00A4228F" w:rsidP="00A85772">
      <w:r>
        <w:t xml:space="preserve">Shift tables for grades of toxicity did not demonstrate any notable differences between treatment arms for the LFTs tested (AST, ALT, </w:t>
      </w:r>
      <w:r w:rsidR="005C6357">
        <w:t>a</w:t>
      </w:r>
      <w:r>
        <w:t>lk</w:t>
      </w:r>
      <w:r w:rsidR="005C6357">
        <w:t>aline phosphatase</w:t>
      </w:r>
      <w:r>
        <w:t xml:space="preserve"> and bilirubin). No subject developed </w:t>
      </w:r>
      <w:r w:rsidR="005C6357">
        <w:t>Grade 3</w:t>
      </w:r>
      <w:r>
        <w:t>/4 toxicity for any parameter.</w:t>
      </w:r>
    </w:p>
    <w:p w:rsidR="00A4228F" w:rsidRPr="00E47C4A" w:rsidRDefault="00A4228F" w:rsidP="00A85772">
      <w:pPr>
        <w:pStyle w:val="Heading5"/>
      </w:pPr>
      <w:bookmarkStart w:id="184" w:name="_Toc234034088"/>
      <w:r w:rsidRPr="00E47C4A">
        <w:t>Other studies</w:t>
      </w:r>
      <w:bookmarkEnd w:id="184"/>
    </w:p>
    <w:p w:rsidR="00A4228F" w:rsidRPr="00E47C4A" w:rsidRDefault="00A4228F" w:rsidP="00A85772">
      <w:r w:rsidRPr="00E47C4A">
        <w:t xml:space="preserve">There were no notable changes in LFTs in </w:t>
      </w:r>
      <w:r w:rsidRPr="00E47C4A">
        <w:rPr>
          <w:u w:val="single"/>
        </w:rPr>
        <w:t>BP 22333 Stage 1</w:t>
      </w:r>
      <w:r w:rsidRPr="00E47C4A">
        <w:t>.</w:t>
      </w:r>
    </w:p>
    <w:p w:rsidR="00A4228F" w:rsidRDefault="00A4228F" w:rsidP="00A85772">
      <w:pPr>
        <w:pStyle w:val="Heading4"/>
      </w:pPr>
      <w:bookmarkStart w:id="185" w:name="_Toc272414670"/>
      <w:bookmarkStart w:id="186" w:name="_Toc290846308"/>
      <w:bookmarkStart w:id="187" w:name="_Toc234034089"/>
      <w:r>
        <w:t>Kidney function</w:t>
      </w:r>
      <w:bookmarkEnd w:id="185"/>
      <w:bookmarkEnd w:id="186"/>
      <w:bookmarkEnd w:id="187"/>
    </w:p>
    <w:p w:rsidR="00A4228F" w:rsidRDefault="00A4228F" w:rsidP="00A85772">
      <w:pPr>
        <w:pStyle w:val="Heading5"/>
      </w:pPr>
      <w:bookmarkStart w:id="188" w:name="_Toc234034090"/>
      <w:r>
        <w:t xml:space="preserve">Study BP 22333 </w:t>
      </w:r>
      <w:r w:rsidR="00A85772">
        <w:t>s</w:t>
      </w:r>
      <w:r>
        <w:t>tage 2</w:t>
      </w:r>
      <w:bookmarkEnd w:id="188"/>
    </w:p>
    <w:p w:rsidR="00A4228F" w:rsidRDefault="00A4228F" w:rsidP="00A85772">
      <w:r>
        <w:t xml:space="preserve">In the IV arm, 6 subjects had an increase in creatinine (3 from </w:t>
      </w:r>
      <w:r w:rsidR="005C6357">
        <w:t>Grade 0 to G</w:t>
      </w:r>
      <w:r>
        <w:t xml:space="preserve">rade 1 and 3 from </w:t>
      </w:r>
      <w:r w:rsidR="005C6357">
        <w:t>Grade 1 to G</w:t>
      </w:r>
      <w:r>
        <w:t>rade 2). In the SC arm, 7 subjects had an in</w:t>
      </w:r>
      <w:r w:rsidR="005C6357">
        <w:t>crease in creatinine (all from G</w:t>
      </w:r>
      <w:r>
        <w:t xml:space="preserve">rade 0 to </w:t>
      </w:r>
      <w:r w:rsidR="005C6357">
        <w:t>G</w:t>
      </w:r>
      <w:r>
        <w:t xml:space="preserve">rade 1). No subjects developed </w:t>
      </w:r>
      <w:r w:rsidR="005C6357">
        <w:t>Grade 3</w:t>
      </w:r>
      <w:r>
        <w:t xml:space="preserve"> or 4 creatinine abnormalities. Results for urea were not reported.</w:t>
      </w:r>
    </w:p>
    <w:p w:rsidR="00A4228F" w:rsidRDefault="00A4228F" w:rsidP="00A85772">
      <w:pPr>
        <w:pStyle w:val="Heading6"/>
      </w:pPr>
      <w:bookmarkStart w:id="189" w:name="_Toc234034091"/>
      <w:r>
        <w:t xml:space="preserve">Study BO 22334 </w:t>
      </w:r>
      <w:r w:rsidR="00A85772">
        <w:t>s</w:t>
      </w:r>
      <w:r>
        <w:t>tage 1</w:t>
      </w:r>
      <w:bookmarkEnd w:id="189"/>
    </w:p>
    <w:p w:rsidR="00A4228F" w:rsidRDefault="00A4228F" w:rsidP="00A85772">
      <w:r>
        <w:t xml:space="preserve">One subject in the SC arm developed a </w:t>
      </w:r>
      <w:r w:rsidR="005C6357">
        <w:t>Grade 3</w:t>
      </w:r>
      <w:r>
        <w:t xml:space="preserve"> creatinine increase, compared to none in the IV arm. There were no </w:t>
      </w:r>
      <w:r w:rsidR="005C6357">
        <w:t>G</w:t>
      </w:r>
      <w:r>
        <w:t>rade 4 increases.</w:t>
      </w:r>
    </w:p>
    <w:p w:rsidR="00A4228F" w:rsidRPr="00E47C4A" w:rsidRDefault="00A4228F" w:rsidP="00A85772">
      <w:pPr>
        <w:pStyle w:val="Heading5"/>
      </w:pPr>
      <w:bookmarkStart w:id="190" w:name="_Toc234034092"/>
      <w:r w:rsidRPr="00E47C4A">
        <w:t>Other studies</w:t>
      </w:r>
      <w:bookmarkEnd w:id="190"/>
    </w:p>
    <w:p w:rsidR="00A4228F" w:rsidRPr="00E47C4A" w:rsidRDefault="00A4228F" w:rsidP="00A85772">
      <w:r w:rsidRPr="00E47C4A">
        <w:t xml:space="preserve">There were no notable changes in </w:t>
      </w:r>
      <w:r>
        <w:t>creatinine</w:t>
      </w:r>
      <w:r w:rsidRPr="00E47C4A">
        <w:t xml:space="preserve"> in </w:t>
      </w:r>
      <w:r w:rsidRPr="00E47C4A">
        <w:rPr>
          <w:u w:val="single"/>
        </w:rPr>
        <w:t>BP 22333 Stage 1</w:t>
      </w:r>
      <w:r w:rsidRPr="00E47C4A">
        <w:t>.</w:t>
      </w:r>
    </w:p>
    <w:p w:rsidR="00A4228F" w:rsidRDefault="00A4228F" w:rsidP="00A85772">
      <w:pPr>
        <w:pStyle w:val="Heading4"/>
      </w:pPr>
      <w:bookmarkStart w:id="191" w:name="_Toc272414671"/>
      <w:bookmarkStart w:id="192" w:name="_Toc290846309"/>
      <w:bookmarkStart w:id="193" w:name="_Toc234034093"/>
      <w:r>
        <w:t>Other clinical chemistry</w:t>
      </w:r>
      <w:bookmarkEnd w:id="191"/>
      <w:bookmarkEnd w:id="192"/>
      <w:bookmarkEnd w:id="193"/>
    </w:p>
    <w:p w:rsidR="00A4228F" w:rsidRDefault="00A4228F" w:rsidP="00A85772">
      <w:pPr>
        <w:pStyle w:val="Heading5"/>
      </w:pPr>
      <w:bookmarkStart w:id="194" w:name="_Toc234034094"/>
      <w:r>
        <w:t xml:space="preserve">Study BP 22333 </w:t>
      </w:r>
      <w:r w:rsidR="00A85772">
        <w:t>s</w:t>
      </w:r>
      <w:r>
        <w:t>tage 2</w:t>
      </w:r>
      <w:bookmarkEnd w:id="194"/>
    </w:p>
    <w:p w:rsidR="00A4228F" w:rsidRDefault="00A4228F" w:rsidP="00A85772">
      <w:r>
        <w:t>There were no notable differences between treatment arms in the incidence of shifts in grades of toxicity for sodium, potassium, calcium or uric acid.</w:t>
      </w:r>
    </w:p>
    <w:p w:rsidR="00A4228F" w:rsidRDefault="00A4228F" w:rsidP="00A85772">
      <w:pPr>
        <w:pStyle w:val="Heading5"/>
      </w:pPr>
      <w:bookmarkStart w:id="195" w:name="_Toc234034095"/>
      <w:r>
        <w:t xml:space="preserve">Study BO 22334 </w:t>
      </w:r>
      <w:r w:rsidR="00A85772">
        <w:t>s</w:t>
      </w:r>
      <w:r>
        <w:t>tage 1</w:t>
      </w:r>
      <w:bookmarkEnd w:id="195"/>
    </w:p>
    <w:p w:rsidR="00A4228F" w:rsidRDefault="00A4228F" w:rsidP="00A85772">
      <w:r>
        <w:t>There were no notable differences between treatment arms in the incidence of shifts in grades of toxicity for sodium, potassium, calcium, phosphate or glucose.</w:t>
      </w:r>
    </w:p>
    <w:p w:rsidR="00A4228F" w:rsidRPr="007E15F8" w:rsidRDefault="00A4228F" w:rsidP="00A85772">
      <w:pPr>
        <w:pStyle w:val="Heading5"/>
      </w:pPr>
      <w:bookmarkStart w:id="196" w:name="_Toc234034096"/>
      <w:r w:rsidRPr="007E15F8">
        <w:lastRenderedPageBreak/>
        <w:t>Other studies</w:t>
      </w:r>
      <w:bookmarkEnd w:id="196"/>
    </w:p>
    <w:p w:rsidR="00A4228F" w:rsidRPr="00E47C4A" w:rsidRDefault="00A4228F" w:rsidP="00A85772">
      <w:r>
        <w:t>I</w:t>
      </w:r>
      <w:r w:rsidRPr="00E47C4A">
        <w:t xml:space="preserve">n </w:t>
      </w:r>
      <w:r w:rsidRPr="00E47C4A">
        <w:rPr>
          <w:u w:val="single"/>
        </w:rPr>
        <w:t>BP 22333 Stage 1</w:t>
      </w:r>
      <w:r>
        <w:t xml:space="preserve">, </w:t>
      </w:r>
      <w:r>
        <w:rPr>
          <w:lang w:val="en-US"/>
        </w:rPr>
        <w:t>there were increases in uric acid from Grade 0 at baseline to Grade 3 at end of treatment in all the SC cohorts (7, 6 and 6 patients in Cohorts B through D, respectively). There were no similar shifts for Cohort A. Otherwise there were no notable abnormalities.</w:t>
      </w:r>
    </w:p>
    <w:p w:rsidR="00A4228F" w:rsidRDefault="00A4228F" w:rsidP="00A85772">
      <w:pPr>
        <w:pStyle w:val="Heading4"/>
      </w:pPr>
      <w:bookmarkStart w:id="197" w:name="_Toc272414672"/>
      <w:bookmarkStart w:id="198" w:name="_Toc290846310"/>
      <w:bookmarkStart w:id="199" w:name="_Toc234034097"/>
      <w:r>
        <w:t>Haematology</w:t>
      </w:r>
      <w:bookmarkEnd w:id="197"/>
      <w:bookmarkEnd w:id="198"/>
      <w:bookmarkEnd w:id="199"/>
    </w:p>
    <w:p w:rsidR="00A4228F" w:rsidRDefault="00A4228F" w:rsidP="00A85772">
      <w:pPr>
        <w:pStyle w:val="Heading5"/>
      </w:pPr>
      <w:bookmarkStart w:id="200" w:name="_Toc234034098"/>
      <w:r>
        <w:t xml:space="preserve">Study BP 22333 </w:t>
      </w:r>
      <w:r w:rsidR="00A85772">
        <w:t>s</w:t>
      </w:r>
      <w:r>
        <w:t>tage 2</w:t>
      </w:r>
      <w:bookmarkEnd w:id="200"/>
    </w:p>
    <w:p w:rsidR="00A4228F" w:rsidRDefault="00A4228F" w:rsidP="00A85772">
      <w:r>
        <w:t xml:space="preserve">The study report for BP 22333 Stage 2 included shift tables for grades of toxicity for each of the haematology variables tested. There were no notable differences between treatment arms in the incidence </w:t>
      </w:r>
      <w:r w:rsidR="00A85772">
        <w:t>of any haematological toxicity.</w:t>
      </w:r>
    </w:p>
    <w:p w:rsidR="00A4228F" w:rsidRDefault="00A4228F" w:rsidP="00A85772">
      <w:pPr>
        <w:pStyle w:val="Heading5"/>
      </w:pPr>
      <w:bookmarkStart w:id="201" w:name="_Toc234034099"/>
      <w:r>
        <w:t xml:space="preserve">Study BO 22334 </w:t>
      </w:r>
      <w:r w:rsidR="00A85772">
        <w:t>s</w:t>
      </w:r>
      <w:r>
        <w:t>tage 1</w:t>
      </w:r>
      <w:bookmarkEnd w:id="201"/>
    </w:p>
    <w:p w:rsidR="00A4228F" w:rsidRDefault="00A4228F" w:rsidP="00A85772">
      <w:r>
        <w:t xml:space="preserve">Newly occurring </w:t>
      </w:r>
      <w:r w:rsidR="005C6357">
        <w:t>Grade 3</w:t>
      </w:r>
      <w:r>
        <w:t xml:space="preserve"> and 4 haematology laboratory abnormalities are summarised in </w:t>
      </w:r>
      <w:r w:rsidR="00F0645F">
        <w:t>Table 19</w:t>
      </w:r>
      <w:r>
        <w:t xml:space="preserve">. There was a modestly increased incidence of </w:t>
      </w:r>
      <w:r w:rsidR="005C6357">
        <w:t>Grade 3</w:t>
      </w:r>
      <w:r>
        <w:t xml:space="preserve">/4 </w:t>
      </w:r>
      <w:proofErr w:type="spellStart"/>
      <w:r>
        <w:t>lymphopaenia</w:t>
      </w:r>
      <w:proofErr w:type="spellEnd"/>
      <w:r>
        <w:t xml:space="preserve"> and </w:t>
      </w:r>
      <w:proofErr w:type="spellStart"/>
      <w:r>
        <w:t>leukopaenia</w:t>
      </w:r>
      <w:proofErr w:type="spellEnd"/>
      <w:r>
        <w:t xml:space="preserve"> in the SC arm.</w:t>
      </w:r>
    </w:p>
    <w:p w:rsidR="005C6357" w:rsidRPr="002A6059" w:rsidRDefault="00F0645F" w:rsidP="00A85772">
      <w:pPr>
        <w:pStyle w:val="TableTitle"/>
      </w:pPr>
      <w:bookmarkStart w:id="202" w:name="_Ref233706021"/>
      <w:bookmarkStart w:id="203" w:name="_Toc234034187"/>
      <w:proofErr w:type="gramStart"/>
      <w:r>
        <w:t>Table 19</w:t>
      </w:r>
      <w:r w:rsidR="005C6357" w:rsidRPr="002A6059">
        <w:t>.</w:t>
      </w:r>
      <w:bookmarkEnd w:id="202"/>
      <w:proofErr w:type="gramEnd"/>
      <w:r w:rsidR="005C6357" w:rsidRPr="002A6059">
        <w:t xml:space="preserve"> Study BO 22334 Stage 1 – Newly </w:t>
      </w:r>
      <w:proofErr w:type="gramStart"/>
      <w:r w:rsidR="005C6357" w:rsidRPr="002A6059">
        <w:t>occur</w:t>
      </w:r>
      <w:r w:rsidR="002A6059">
        <w:t>r</w:t>
      </w:r>
      <w:r w:rsidR="005C6357" w:rsidRPr="002A6059">
        <w:t>ing</w:t>
      </w:r>
      <w:proofErr w:type="gramEnd"/>
      <w:r w:rsidR="005C6357" w:rsidRPr="002A6059">
        <w:t xml:space="preserve"> Grade ≥ 3 haematology laboratory abnormalities</w:t>
      </w:r>
      <w:bookmarkEnd w:id="203"/>
    </w:p>
    <w:p w:rsidR="005C6357" w:rsidRPr="00261070" w:rsidRDefault="005C6357" w:rsidP="00A85772">
      <w:r>
        <w:rPr>
          <w:noProof/>
          <w:lang w:eastAsia="en-AU"/>
        </w:rPr>
        <w:drawing>
          <wp:inline distT="0" distB="0" distL="0" distR="0" wp14:anchorId="4EB32A87" wp14:editId="4A73596E">
            <wp:extent cx="4738255" cy="1880456"/>
            <wp:effectExtent l="0" t="0" r="0" b="0"/>
            <wp:docPr id="100" name="Picture 19" descr="Table 19. Study BO 22334 Stage 1 – Newly occurring Grade ≥ 3 haematology laboratory abnorma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39145" cy="1880809"/>
                    </a:xfrm>
                    <a:prstGeom prst="rect">
                      <a:avLst/>
                    </a:prstGeom>
                    <a:noFill/>
                    <a:ln>
                      <a:noFill/>
                    </a:ln>
                  </pic:spPr>
                </pic:pic>
              </a:graphicData>
            </a:graphic>
          </wp:inline>
        </w:drawing>
      </w:r>
    </w:p>
    <w:p w:rsidR="00A4228F" w:rsidRPr="007E15F8" w:rsidRDefault="00A4228F" w:rsidP="00A85772">
      <w:pPr>
        <w:pStyle w:val="Heading5"/>
      </w:pPr>
      <w:bookmarkStart w:id="204" w:name="_Toc234034100"/>
      <w:r w:rsidRPr="007E15F8">
        <w:t xml:space="preserve">Other </w:t>
      </w:r>
      <w:r w:rsidRPr="00A85772">
        <w:t>studies</w:t>
      </w:r>
      <w:bookmarkEnd w:id="204"/>
    </w:p>
    <w:p w:rsidR="00A4228F" w:rsidRPr="007E15F8" w:rsidRDefault="00A4228F" w:rsidP="00A85772">
      <w:r w:rsidRPr="007E15F8">
        <w:t xml:space="preserve">There were no remarkable findings on laboratory haematology testing in </w:t>
      </w:r>
      <w:r w:rsidRPr="007E15F8">
        <w:rPr>
          <w:u w:val="single"/>
        </w:rPr>
        <w:t>BP 22333 Stage 1</w:t>
      </w:r>
      <w:r w:rsidRPr="007E15F8">
        <w:t>.</w:t>
      </w:r>
    </w:p>
    <w:p w:rsidR="00A4228F" w:rsidRDefault="00A4228F" w:rsidP="00A85772">
      <w:pPr>
        <w:pStyle w:val="Heading4"/>
      </w:pPr>
      <w:bookmarkStart w:id="205" w:name="_Ref233796785"/>
      <w:bookmarkStart w:id="206" w:name="_Toc234034101"/>
      <w:r>
        <w:t>Anti-</w:t>
      </w:r>
      <w:r w:rsidRPr="00A85772">
        <w:t>rituximab</w:t>
      </w:r>
      <w:r>
        <w:t xml:space="preserve"> antibodies</w:t>
      </w:r>
      <w:bookmarkEnd w:id="205"/>
      <w:bookmarkEnd w:id="206"/>
    </w:p>
    <w:p w:rsidR="00A4228F" w:rsidRDefault="00A85772" w:rsidP="00A85772">
      <w:pPr>
        <w:pStyle w:val="Heading5"/>
      </w:pPr>
      <w:bookmarkStart w:id="207" w:name="_Toc234034102"/>
      <w:r>
        <w:t>Study BP 22333 s</w:t>
      </w:r>
      <w:r w:rsidR="00A4228F">
        <w:t>tage 2</w:t>
      </w:r>
      <w:bookmarkEnd w:id="207"/>
    </w:p>
    <w:p w:rsidR="00A4228F" w:rsidRDefault="00A4228F" w:rsidP="00A85772">
      <w:r>
        <w:t>One subject in the SC arm had a positive test for anti-rituximab antibodies. Testing was positive both at baseline and during the study. No patient in the IV arm had a positive test.</w:t>
      </w:r>
    </w:p>
    <w:p w:rsidR="00A4228F" w:rsidRPr="001372AB" w:rsidRDefault="00A4228F" w:rsidP="00A85772">
      <w:pPr>
        <w:pStyle w:val="Heading5"/>
      </w:pPr>
      <w:bookmarkStart w:id="208" w:name="_Toc234034103"/>
      <w:r w:rsidRPr="001372AB">
        <w:t xml:space="preserve">Study BO 22334 </w:t>
      </w:r>
      <w:r w:rsidR="00A85772" w:rsidRPr="00A85772">
        <w:t>s</w:t>
      </w:r>
      <w:r w:rsidRPr="00A85772">
        <w:t>tage</w:t>
      </w:r>
      <w:r w:rsidRPr="001372AB">
        <w:t xml:space="preserve"> 1</w:t>
      </w:r>
      <w:bookmarkEnd w:id="208"/>
    </w:p>
    <w:p w:rsidR="00A4228F" w:rsidRPr="001372AB" w:rsidRDefault="00A4228F" w:rsidP="00A85772">
      <w:r w:rsidRPr="001372AB">
        <w:t xml:space="preserve">Two subjects in each of the IV and SC groups had a positive test for anti-rituximab antibodies at some point after baseline. For one subject in each group the test had </w:t>
      </w:r>
      <w:r w:rsidR="00A85772">
        <w:t>also been positive at baseline.</w:t>
      </w:r>
    </w:p>
    <w:p w:rsidR="00A4228F" w:rsidRPr="001372AB" w:rsidRDefault="00A4228F" w:rsidP="00A85772">
      <w:pPr>
        <w:rPr>
          <w:lang w:val="en-US"/>
        </w:rPr>
      </w:pPr>
      <w:r w:rsidRPr="001372AB">
        <w:rPr>
          <w:lang w:val="en-US"/>
        </w:rPr>
        <w:t>The other two patients (one in each treatment arm) had a positive result following negative results at baseline.</w:t>
      </w:r>
      <w:r>
        <w:rPr>
          <w:lang w:val="en-US"/>
        </w:rPr>
        <w:t xml:space="preserve"> According to the sponsor the PK profiles for these 2 patients were within the expected range.</w:t>
      </w:r>
    </w:p>
    <w:p w:rsidR="00A4228F" w:rsidRPr="00946B7E" w:rsidRDefault="00A4228F" w:rsidP="00A85772">
      <w:pPr>
        <w:pStyle w:val="Heading5"/>
      </w:pPr>
      <w:bookmarkStart w:id="209" w:name="_Toc234034104"/>
      <w:r w:rsidRPr="00946B7E">
        <w:t>Other studies</w:t>
      </w:r>
      <w:bookmarkEnd w:id="209"/>
    </w:p>
    <w:p w:rsidR="00A4228F" w:rsidRPr="00946B7E" w:rsidRDefault="00A4228F" w:rsidP="00A85772">
      <w:r>
        <w:t>I</w:t>
      </w:r>
      <w:r w:rsidRPr="007E15F8">
        <w:t xml:space="preserve">n </w:t>
      </w:r>
      <w:r w:rsidRPr="007E15F8">
        <w:rPr>
          <w:u w:val="single"/>
        </w:rPr>
        <w:t>BP 22333 Stage 1</w:t>
      </w:r>
      <w:r>
        <w:t xml:space="preserve"> no subject had a positive test. In </w:t>
      </w:r>
      <w:r w:rsidRPr="00B62FDF">
        <w:rPr>
          <w:u w:val="single"/>
        </w:rPr>
        <w:t>BO 25341</w:t>
      </w:r>
      <w:r>
        <w:t xml:space="preserve"> one patient developed a positive test, 6 months after completion of treatment. The PK profile for this patient showed lower than expected levels during cycle 6 but a complete response was achieved.</w:t>
      </w:r>
    </w:p>
    <w:p w:rsidR="00A4228F" w:rsidRPr="009C2442" w:rsidRDefault="00A4228F" w:rsidP="00A85772">
      <w:pPr>
        <w:ind w:left="720"/>
      </w:pPr>
      <w:r>
        <w:lastRenderedPageBreak/>
        <w:t>Comment:</w:t>
      </w:r>
      <w:r w:rsidR="002A6059">
        <w:t xml:space="preserve"> </w:t>
      </w:r>
      <w:r>
        <w:t xml:space="preserve">As noted in the relevant EMA </w:t>
      </w:r>
      <w:proofErr w:type="gramStart"/>
      <w:r>
        <w:t>guideline</w:t>
      </w:r>
      <w:r w:rsidRPr="009C2442">
        <w:rPr>
          <w:vertAlign w:val="superscript"/>
        </w:rPr>
        <w:t>(</w:t>
      </w:r>
      <w:proofErr w:type="gramEnd"/>
      <w:r w:rsidRPr="009C2442">
        <w:rPr>
          <w:vertAlign w:val="superscript"/>
        </w:rPr>
        <w:t>2)</w:t>
      </w:r>
      <w:r>
        <w:t>, SC administration of a therapeutic protein is considered to be more immunogenic than IV administration. The results of antibody testing in the submitted studies did not suggest a notable increase in immunogenicity with SC administration of rituximab.</w:t>
      </w:r>
    </w:p>
    <w:p w:rsidR="00A4228F" w:rsidRPr="000C3CBE" w:rsidRDefault="00A4228F" w:rsidP="00A85772">
      <w:pPr>
        <w:pStyle w:val="Heading4"/>
      </w:pPr>
      <w:bookmarkStart w:id="210" w:name="_Toc234034105"/>
      <w:r>
        <w:t>Anti-rHuPH20 antibodies</w:t>
      </w:r>
      <w:bookmarkEnd w:id="210"/>
    </w:p>
    <w:p w:rsidR="00A4228F" w:rsidRDefault="00A85772" w:rsidP="00A85772">
      <w:pPr>
        <w:pStyle w:val="Heading5"/>
      </w:pPr>
      <w:bookmarkStart w:id="211" w:name="_Toc234034106"/>
      <w:r>
        <w:t>Study BP 22333 s</w:t>
      </w:r>
      <w:r w:rsidR="00A4228F">
        <w:t>tage 2</w:t>
      </w:r>
      <w:bookmarkEnd w:id="211"/>
    </w:p>
    <w:p w:rsidR="00A4228F" w:rsidRDefault="00A4228F" w:rsidP="00A85772">
      <w:r>
        <w:t xml:space="preserve">Five subjects in the SC arm had positive testing for antibodies against rHuPH20 at baseline and at later time points. One additional subject had negative testing at baseline, a positive test at </w:t>
      </w:r>
      <w:r w:rsidR="00F0645F">
        <w:t>D</w:t>
      </w:r>
      <w:r>
        <w:t xml:space="preserve">ay 22 and a negative test at </w:t>
      </w:r>
      <w:r w:rsidR="00F0645F">
        <w:t>D</w:t>
      </w:r>
      <w:r>
        <w:t>ay 57. None of the positive samples tested positi</w:t>
      </w:r>
      <w:r w:rsidR="00A85772">
        <w:t>ve for neutralising antibodies.</w:t>
      </w:r>
    </w:p>
    <w:p w:rsidR="00A4228F" w:rsidRPr="001372AB" w:rsidRDefault="00A4228F" w:rsidP="007D7BBE">
      <w:pPr>
        <w:pStyle w:val="Heading5"/>
      </w:pPr>
      <w:bookmarkStart w:id="212" w:name="_Toc234034107"/>
      <w:r w:rsidRPr="001372AB">
        <w:t xml:space="preserve">Study BO 22334 </w:t>
      </w:r>
      <w:r w:rsidR="007D7BBE" w:rsidRPr="007D7BBE">
        <w:t>s</w:t>
      </w:r>
      <w:r w:rsidRPr="007D7BBE">
        <w:t>tage</w:t>
      </w:r>
      <w:r w:rsidRPr="001372AB">
        <w:t xml:space="preserve"> 1</w:t>
      </w:r>
      <w:bookmarkEnd w:id="212"/>
    </w:p>
    <w:p w:rsidR="00A4228F" w:rsidRPr="001372AB" w:rsidRDefault="00A4228F" w:rsidP="007D7BBE">
      <w:r>
        <w:t xml:space="preserve">At baseline, 10.6% of subjects had </w:t>
      </w:r>
      <w:r w:rsidRPr="001372AB">
        <w:rPr>
          <w:lang w:val="en-US"/>
        </w:rPr>
        <w:t>a</w:t>
      </w:r>
      <w:r>
        <w:rPr>
          <w:lang w:val="en-US"/>
        </w:rPr>
        <w:t xml:space="preserve"> </w:t>
      </w:r>
      <w:r w:rsidRPr="001372AB">
        <w:rPr>
          <w:lang w:val="en-US"/>
        </w:rPr>
        <w:t xml:space="preserve">positive screening assay for </w:t>
      </w:r>
      <w:r w:rsidR="007D7BBE">
        <w:rPr>
          <w:lang w:val="en-US"/>
        </w:rPr>
        <w:t>anti-rHuPH20 antibodies.</w:t>
      </w:r>
    </w:p>
    <w:p w:rsidR="00A4228F" w:rsidRPr="001372AB" w:rsidRDefault="00A4228F" w:rsidP="007D7BBE">
      <w:pPr>
        <w:rPr>
          <w:lang w:val="en-US"/>
        </w:rPr>
      </w:pPr>
      <w:r>
        <w:rPr>
          <w:lang w:val="en-US"/>
        </w:rPr>
        <w:t>During the course of the study, t</w:t>
      </w:r>
      <w:r w:rsidRPr="001372AB">
        <w:rPr>
          <w:lang w:val="en-US"/>
        </w:rPr>
        <w:t>he number of patients with a</w:t>
      </w:r>
      <w:r>
        <w:rPr>
          <w:lang w:val="en-US"/>
        </w:rPr>
        <w:t xml:space="preserve"> </w:t>
      </w:r>
      <w:r w:rsidRPr="001372AB">
        <w:rPr>
          <w:lang w:val="en-US"/>
        </w:rPr>
        <w:t>positive screening assay ranged between 9 − 17% in the rituximab IV arm and</w:t>
      </w:r>
      <w:r>
        <w:rPr>
          <w:lang w:val="en-US"/>
        </w:rPr>
        <w:t xml:space="preserve"> </w:t>
      </w:r>
      <w:r w:rsidRPr="001372AB">
        <w:rPr>
          <w:lang w:val="en-US"/>
        </w:rPr>
        <w:t>4 − 8% in the rituximab SC arm.</w:t>
      </w:r>
      <w:r>
        <w:rPr>
          <w:lang w:val="en-US"/>
        </w:rPr>
        <w:t xml:space="preserve"> None of the samples tested positive for neutralizing antibodies.</w:t>
      </w:r>
    </w:p>
    <w:p w:rsidR="00A4228F" w:rsidRPr="00946B7E" w:rsidRDefault="00A4228F" w:rsidP="007D7BBE">
      <w:pPr>
        <w:pStyle w:val="Heading5"/>
      </w:pPr>
      <w:bookmarkStart w:id="213" w:name="_Toc234034108"/>
      <w:r w:rsidRPr="00946B7E">
        <w:t>Other studies</w:t>
      </w:r>
      <w:bookmarkEnd w:id="213"/>
    </w:p>
    <w:p w:rsidR="00A4228F" w:rsidRPr="00946B7E" w:rsidRDefault="00A4228F" w:rsidP="007D7BBE">
      <w:r>
        <w:t>I</w:t>
      </w:r>
      <w:r w:rsidRPr="007E15F8">
        <w:t xml:space="preserve">n </w:t>
      </w:r>
      <w:r w:rsidRPr="007E15F8">
        <w:rPr>
          <w:u w:val="single"/>
        </w:rPr>
        <w:t>BP 22333 Stage 1</w:t>
      </w:r>
      <w:r>
        <w:t xml:space="preserve"> only one patient had a negative test at baseline and subsequently developed a positive test. At baseline, 6% of subjects had a positive test. In </w:t>
      </w:r>
      <w:r w:rsidRPr="00F53A30">
        <w:rPr>
          <w:u w:val="single"/>
        </w:rPr>
        <w:t>BO 25341</w:t>
      </w:r>
      <w:r>
        <w:t xml:space="preserve"> 10.7% of subjects had a positive test at some stage during the study. Again none of the subjects tested positive for neutralising antibodies.</w:t>
      </w:r>
    </w:p>
    <w:p w:rsidR="00A4228F" w:rsidRPr="000C3CBE" w:rsidRDefault="00A4228F" w:rsidP="007D7BBE">
      <w:pPr>
        <w:pStyle w:val="Heading4"/>
      </w:pPr>
      <w:bookmarkStart w:id="214" w:name="_Toc272414675"/>
      <w:bookmarkStart w:id="215" w:name="_Toc290846313"/>
      <w:bookmarkStart w:id="216" w:name="_Toc234034109"/>
      <w:r w:rsidRPr="000C3CBE">
        <w:t>Electrocardiograph</w:t>
      </w:r>
      <w:bookmarkEnd w:id="214"/>
      <w:bookmarkEnd w:id="215"/>
      <w:bookmarkEnd w:id="216"/>
    </w:p>
    <w:p w:rsidR="00A4228F" w:rsidRDefault="007D7BBE" w:rsidP="007D7BBE">
      <w:pPr>
        <w:pStyle w:val="Heading5"/>
      </w:pPr>
      <w:bookmarkStart w:id="217" w:name="_Toc234034110"/>
      <w:bookmarkStart w:id="218" w:name="_Toc272414676"/>
      <w:bookmarkStart w:id="219" w:name="_Toc290846314"/>
      <w:r>
        <w:t>Study BP 22333 s</w:t>
      </w:r>
      <w:r w:rsidR="00A4228F">
        <w:t>tage 2</w:t>
      </w:r>
      <w:bookmarkEnd w:id="217"/>
    </w:p>
    <w:p w:rsidR="00A4228F" w:rsidRDefault="00A4228F" w:rsidP="007D7BBE">
      <w:r>
        <w:t xml:space="preserve">ECGs were recorded at screening, </w:t>
      </w:r>
      <w:r w:rsidR="002A6059">
        <w:t>D</w:t>
      </w:r>
      <w:r>
        <w:t>ay 1 and then at the end of the study. Only 3 of 154 subjects had had an end of study ECG (IV = 2, SC = 1), with no new abnormalities detected.</w:t>
      </w:r>
    </w:p>
    <w:p w:rsidR="00A4228F" w:rsidRDefault="00A4228F" w:rsidP="007D7BBE">
      <w:pPr>
        <w:pStyle w:val="Heading5"/>
      </w:pPr>
      <w:bookmarkStart w:id="220" w:name="_Toc234034111"/>
      <w:r>
        <w:t xml:space="preserve">Study BO 22334 </w:t>
      </w:r>
      <w:r w:rsidR="007D7BBE" w:rsidRPr="007D7BBE">
        <w:t>s</w:t>
      </w:r>
      <w:r w:rsidRPr="007D7BBE">
        <w:t>tage</w:t>
      </w:r>
      <w:r>
        <w:t xml:space="preserve"> 1</w:t>
      </w:r>
      <w:bookmarkEnd w:id="220"/>
    </w:p>
    <w:p w:rsidR="00A4228F" w:rsidRDefault="00A4228F" w:rsidP="007D7BBE">
      <w:r>
        <w:t xml:space="preserve">ECGs were recorded at baseline, after </w:t>
      </w:r>
      <w:r w:rsidR="002A6059">
        <w:t>Cycle 4 of induction and after C</w:t>
      </w:r>
      <w:r>
        <w:t>ycle 8 of induction. One patient (out of 62) in the SC arm had a clinically sig</w:t>
      </w:r>
      <w:r w:rsidR="002A6059">
        <w:t>nificant ECG abnormality after C</w:t>
      </w:r>
      <w:r>
        <w:t xml:space="preserve">ycle 4, compared with none in the IV arm. One patient (out of 59) in the IV arm had a clinically significant ECG abnormality after </w:t>
      </w:r>
      <w:r w:rsidR="002A6059">
        <w:t>C</w:t>
      </w:r>
      <w:r>
        <w:t>ycle 8, compared with none in the SC arm. The nature of these abnormalities was not discussed.</w:t>
      </w:r>
    </w:p>
    <w:p w:rsidR="00A4228F" w:rsidRPr="00287634" w:rsidRDefault="00A4228F" w:rsidP="007D7BBE">
      <w:pPr>
        <w:pStyle w:val="Heading5"/>
      </w:pPr>
      <w:bookmarkStart w:id="221" w:name="_Toc234034112"/>
      <w:r w:rsidRPr="00287634">
        <w:t>Other studies</w:t>
      </w:r>
      <w:bookmarkEnd w:id="221"/>
    </w:p>
    <w:p w:rsidR="00A4228F" w:rsidRPr="00287634" w:rsidRDefault="00A4228F" w:rsidP="007D7BBE">
      <w:r w:rsidRPr="00287634">
        <w:t xml:space="preserve">No data were available </w:t>
      </w:r>
      <w:r w:rsidR="002A6059">
        <w:t>from S</w:t>
      </w:r>
      <w:r w:rsidRPr="00287634">
        <w:t xml:space="preserve">tudy </w:t>
      </w:r>
      <w:r w:rsidRPr="00287634">
        <w:rPr>
          <w:u w:val="single"/>
        </w:rPr>
        <w:t>BO 25341</w:t>
      </w:r>
      <w:r w:rsidRPr="00287634">
        <w:t>.</w:t>
      </w:r>
    </w:p>
    <w:p w:rsidR="00A4228F" w:rsidRPr="007B1B36" w:rsidRDefault="00A4228F" w:rsidP="007D7BBE">
      <w:pPr>
        <w:pStyle w:val="Heading4"/>
      </w:pPr>
      <w:bookmarkStart w:id="222" w:name="_Toc234034113"/>
      <w:r>
        <w:t>Left ventricular ejection fraction</w:t>
      </w:r>
      <w:bookmarkEnd w:id="222"/>
    </w:p>
    <w:p w:rsidR="00A4228F" w:rsidRDefault="00A4228F" w:rsidP="007D7BBE">
      <w:pPr>
        <w:pStyle w:val="Heading5"/>
      </w:pPr>
      <w:bookmarkStart w:id="223" w:name="_Toc234034114"/>
      <w:r>
        <w:t xml:space="preserve">Study BO 22334 </w:t>
      </w:r>
      <w:r w:rsidR="007D7BBE">
        <w:t>s</w:t>
      </w:r>
      <w:r>
        <w:t>tage 1</w:t>
      </w:r>
      <w:bookmarkEnd w:id="223"/>
    </w:p>
    <w:p w:rsidR="00A4228F" w:rsidRDefault="00A4228F" w:rsidP="007D7BBE">
      <w:r>
        <w:t xml:space="preserve">There were no differences between the IV and SC arms in mean LVEF at baseline, at </w:t>
      </w:r>
      <w:r w:rsidR="002A6059">
        <w:t>C</w:t>
      </w:r>
      <w:r>
        <w:t xml:space="preserve">ycle 4 or at </w:t>
      </w:r>
      <w:proofErr w:type="gramStart"/>
      <w:r>
        <w:t>the</w:t>
      </w:r>
      <w:proofErr w:type="gramEnd"/>
      <w:r>
        <w:t xml:space="preserve"> end of induction. There was no notable decrease in LVEF from baseline in either group.</w:t>
      </w:r>
    </w:p>
    <w:p w:rsidR="00A4228F" w:rsidRPr="007B1B36" w:rsidRDefault="00A4228F" w:rsidP="007D7BBE">
      <w:pPr>
        <w:pStyle w:val="Heading4"/>
      </w:pPr>
      <w:bookmarkStart w:id="224" w:name="_Toc234034115"/>
      <w:r w:rsidRPr="007B1B36">
        <w:t>Vital signs</w:t>
      </w:r>
      <w:bookmarkEnd w:id="218"/>
      <w:bookmarkEnd w:id="219"/>
      <w:bookmarkEnd w:id="224"/>
    </w:p>
    <w:p w:rsidR="00A4228F" w:rsidRDefault="00A4228F" w:rsidP="007D7BBE">
      <w:pPr>
        <w:pStyle w:val="Heading5"/>
      </w:pPr>
      <w:bookmarkStart w:id="225" w:name="_Toc234034116"/>
      <w:r>
        <w:t xml:space="preserve">Study BP 22333 </w:t>
      </w:r>
      <w:r w:rsidR="007D7BBE">
        <w:t>s</w:t>
      </w:r>
      <w:r w:rsidRPr="007D7BBE">
        <w:t>tages</w:t>
      </w:r>
      <w:r>
        <w:t xml:space="preserve"> 1 and 2</w:t>
      </w:r>
      <w:bookmarkEnd w:id="225"/>
    </w:p>
    <w:p w:rsidR="00A4228F" w:rsidRDefault="00A4228F" w:rsidP="007D7BBE">
      <w:r>
        <w:t>There were no differences between the IV and SC arms in changes in blood pressure, pulse rate, temperature, weight or ECOG performance status.</w:t>
      </w:r>
    </w:p>
    <w:p w:rsidR="00A4228F" w:rsidRDefault="00A4228F" w:rsidP="007D7BBE">
      <w:pPr>
        <w:pStyle w:val="Heading5"/>
      </w:pPr>
      <w:bookmarkStart w:id="226" w:name="_Toc234034117"/>
      <w:r>
        <w:t xml:space="preserve">Study BO 22334 </w:t>
      </w:r>
      <w:r w:rsidR="007D7BBE" w:rsidRPr="007D7BBE">
        <w:t>s</w:t>
      </w:r>
      <w:r w:rsidRPr="007D7BBE">
        <w:t>tage</w:t>
      </w:r>
      <w:r>
        <w:t xml:space="preserve"> 1</w:t>
      </w:r>
      <w:bookmarkEnd w:id="226"/>
    </w:p>
    <w:p w:rsidR="00A4228F" w:rsidRDefault="00A4228F" w:rsidP="007D7BBE">
      <w:r>
        <w:t>Similarly, in BO 22334 Stage 1, there were no differences between the IV and SC arms in changes in blood pressure, pulse rate, temperature, weight or ECOG performance status.</w:t>
      </w:r>
    </w:p>
    <w:p w:rsidR="00A4228F" w:rsidRPr="00287634" w:rsidRDefault="00A4228F" w:rsidP="007D7BBE">
      <w:pPr>
        <w:pStyle w:val="Heading5"/>
      </w:pPr>
      <w:bookmarkStart w:id="227" w:name="_Toc234034118"/>
      <w:r w:rsidRPr="00287634">
        <w:lastRenderedPageBreak/>
        <w:t>Other studies</w:t>
      </w:r>
      <w:bookmarkEnd w:id="227"/>
    </w:p>
    <w:p w:rsidR="00A4228F" w:rsidRPr="00287634" w:rsidRDefault="002A6059" w:rsidP="007D7BBE">
      <w:r>
        <w:t>No data were available from S</w:t>
      </w:r>
      <w:r w:rsidR="00A4228F" w:rsidRPr="00287634">
        <w:t xml:space="preserve">tudy </w:t>
      </w:r>
      <w:r w:rsidR="00A4228F" w:rsidRPr="00287634">
        <w:rPr>
          <w:u w:val="single"/>
        </w:rPr>
        <w:t>BO 25341</w:t>
      </w:r>
      <w:r w:rsidR="00A4228F" w:rsidRPr="00287634">
        <w:t>.</w:t>
      </w:r>
    </w:p>
    <w:p w:rsidR="00A4228F" w:rsidRPr="004D0360" w:rsidRDefault="00A4228F" w:rsidP="007D7BBE">
      <w:pPr>
        <w:pStyle w:val="Heading4"/>
      </w:pPr>
      <w:bookmarkStart w:id="228" w:name="_Toc234034119"/>
      <w:r w:rsidRPr="004D0360">
        <w:t>Urinalysis</w:t>
      </w:r>
      <w:bookmarkEnd w:id="228"/>
    </w:p>
    <w:p w:rsidR="00A4228F" w:rsidRDefault="00A4228F" w:rsidP="007D7BBE">
      <w:pPr>
        <w:pStyle w:val="Heading5"/>
      </w:pPr>
      <w:bookmarkStart w:id="229" w:name="_Toc234034120"/>
      <w:r>
        <w:t xml:space="preserve">Study BO 22334 </w:t>
      </w:r>
      <w:r w:rsidR="007D7BBE">
        <w:t>s</w:t>
      </w:r>
      <w:r w:rsidRPr="007D7BBE">
        <w:t>tage</w:t>
      </w:r>
      <w:r>
        <w:t xml:space="preserve"> 1</w:t>
      </w:r>
      <w:bookmarkEnd w:id="229"/>
    </w:p>
    <w:p w:rsidR="00A4228F" w:rsidRDefault="00A4228F" w:rsidP="007D7BBE">
      <w:r>
        <w:t>In BO 22334 Stage 1 there were no notable differences between the SC and IV treatment arms in urinalysis parameters.</w:t>
      </w:r>
    </w:p>
    <w:p w:rsidR="00A4228F" w:rsidRPr="00DB7082" w:rsidRDefault="00A4228F" w:rsidP="00933573">
      <w:pPr>
        <w:pStyle w:val="Heading4"/>
      </w:pPr>
      <w:bookmarkStart w:id="230" w:name="_Toc234034121"/>
      <w:r w:rsidRPr="00DB7082">
        <w:t xml:space="preserve">Immunoglobulin </w:t>
      </w:r>
      <w:r w:rsidRPr="00933573">
        <w:t>levels</w:t>
      </w:r>
      <w:bookmarkEnd w:id="230"/>
    </w:p>
    <w:p w:rsidR="00A4228F" w:rsidRDefault="00A4228F" w:rsidP="00933573">
      <w:pPr>
        <w:pStyle w:val="Heading5"/>
      </w:pPr>
      <w:bookmarkStart w:id="231" w:name="_Toc234034122"/>
      <w:r>
        <w:t xml:space="preserve">Study BO 22334 </w:t>
      </w:r>
      <w:r w:rsidR="00933573">
        <w:t>s</w:t>
      </w:r>
      <w:r w:rsidRPr="00933573">
        <w:t>tage</w:t>
      </w:r>
      <w:r>
        <w:t xml:space="preserve"> 1</w:t>
      </w:r>
      <w:bookmarkEnd w:id="231"/>
    </w:p>
    <w:p w:rsidR="00A4228F" w:rsidRDefault="00A4228F" w:rsidP="00933573">
      <w:r>
        <w:t>There were no differences between the SC and IV arms in median immunoglobulin levels (</w:t>
      </w:r>
      <w:proofErr w:type="spellStart"/>
      <w:r>
        <w:t>IgG</w:t>
      </w:r>
      <w:proofErr w:type="spellEnd"/>
      <w:r>
        <w:t xml:space="preserve">, IgA and </w:t>
      </w:r>
      <w:proofErr w:type="spellStart"/>
      <w:r>
        <w:t>IgM</w:t>
      </w:r>
      <w:proofErr w:type="spellEnd"/>
      <w:r>
        <w:t>) at baseline, at the end of induction and during the first two cycles of maintenance.</w:t>
      </w:r>
    </w:p>
    <w:p w:rsidR="00A4228F" w:rsidRDefault="00A4228F" w:rsidP="00933573">
      <w:pPr>
        <w:pStyle w:val="Heading3"/>
      </w:pPr>
      <w:bookmarkStart w:id="232" w:name="_Toc241374326"/>
      <w:bookmarkStart w:id="233" w:name="_Ref272333048"/>
      <w:bookmarkStart w:id="234" w:name="_Toc272414679"/>
      <w:bookmarkStart w:id="235" w:name="_Toc290846317"/>
      <w:bookmarkStart w:id="236" w:name="_Toc234034123"/>
      <w:bookmarkStart w:id="237" w:name="_Toc399501552"/>
      <w:r>
        <w:t>Postmarketing experience</w:t>
      </w:r>
      <w:bookmarkEnd w:id="232"/>
      <w:bookmarkEnd w:id="233"/>
      <w:bookmarkEnd w:id="234"/>
      <w:bookmarkEnd w:id="235"/>
      <w:bookmarkEnd w:id="236"/>
      <w:bookmarkEnd w:id="237"/>
    </w:p>
    <w:p w:rsidR="00A4228F" w:rsidRDefault="002A6059" w:rsidP="00933573">
      <w:r>
        <w:t>There were no post</w:t>
      </w:r>
      <w:r w:rsidR="00A4228F">
        <w:t>marketing data included in the submission.</w:t>
      </w:r>
    </w:p>
    <w:p w:rsidR="008D4C87" w:rsidRDefault="008D4C87" w:rsidP="00933573">
      <w:pPr>
        <w:pStyle w:val="Heading3"/>
      </w:pPr>
      <w:bookmarkStart w:id="238" w:name="_Toc399501553"/>
      <w:r w:rsidRPr="00605AD4">
        <w:t>Safety issues with the potential for major regulatory impact</w:t>
      </w:r>
      <w:bookmarkEnd w:id="238"/>
    </w:p>
    <w:p w:rsidR="008D4C87" w:rsidRPr="003B11F1" w:rsidRDefault="008D4C87" w:rsidP="00933573">
      <w:pPr>
        <w:pStyle w:val="Heading4"/>
      </w:pPr>
      <w:bookmarkStart w:id="239" w:name="_Toc272414681"/>
      <w:bookmarkStart w:id="240" w:name="_Toc290846319"/>
      <w:bookmarkStart w:id="241" w:name="_Toc234034125"/>
      <w:r w:rsidRPr="003B11F1">
        <w:t>Liver toxicity</w:t>
      </w:r>
      <w:bookmarkEnd w:id="239"/>
      <w:bookmarkEnd w:id="240"/>
      <w:bookmarkEnd w:id="241"/>
    </w:p>
    <w:p w:rsidR="008D4C87" w:rsidRDefault="008D4C87" w:rsidP="00933573">
      <w:r>
        <w:t>Laboratory testing of liver function in the submitted studies did not demonstrate any evidence of hepatic toxicity with SC dosing.</w:t>
      </w:r>
    </w:p>
    <w:p w:rsidR="008D4C87" w:rsidRPr="003B11F1" w:rsidRDefault="008D4C87" w:rsidP="00933573">
      <w:pPr>
        <w:pStyle w:val="Heading4"/>
      </w:pPr>
      <w:bookmarkStart w:id="242" w:name="_Toc272414682"/>
      <w:bookmarkStart w:id="243" w:name="_Toc290846320"/>
      <w:bookmarkStart w:id="244" w:name="_Toc234034126"/>
      <w:r w:rsidRPr="003B11F1">
        <w:t>Haematological toxicity</w:t>
      </w:r>
      <w:bookmarkEnd w:id="242"/>
      <w:bookmarkEnd w:id="243"/>
      <w:bookmarkEnd w:id="244"/>
    </w:p>
    <w:p w:rsidR="008D4C87" w:rsidRPr="00AB334E" w:rsidRDefault="008D4C87" w:rsidP="00933573">
      <w:r>
        <w:t xml:space="preserve">Rituximab is given in conjunction with cytotoxic chemotherapy during induction treatment for NHL and hence haematological toxicity is not uncommon. </w:t>
      </w:r>
      <w:r w:rsidRPr="00AB334E">
        <w:t>Study BO 22334 Stage 1 raises the possibility of increased haematological toxicity with SC administration and this is discussed further below.</w:t>
      </w:r>
    </w:p>
    <w:p w:rsidR="008D4C87" w:rsidRPr="003B11F1" w:rsidRDefault="008D4C87" w:rsidP="00933573">
      <w:pPr>
        <w:pStyle w:val="Heading4"/>
      </w:pPr>
      <w:bookmarkStart w:id="245" w:name="_Toc272414683"/>
      <w:bookmarkStart w:id="246" w:name="_Toc290846321"/>
      <w:bookmarkStart w:id="247" w:name="_Toc234034127"/>
      <w:r w:rsidRPr="003B11F1">
        <w:t>Serious skin reactions</w:t>
      </w:r>
      <w:bookmarkEnd w:id="245"/>
      <w:bookmarkEnd w:id="246"/>
      <w:bookmarkEnd w:id="247"/>
    </w:p>
    <w:p w:rsidR="008D4C87" w:rsidRDefault="008D4C87" w:rsidP="00933573">
      <w:r>
        <w:t>Cases of toxic epidermal necrolysis and Stevens-Johnson syndrome have been reported with rituximab and these events are listed in the product information. No cases were reported in the studies included in this submission.</w:t>
      </w:r>
    </w:p>
    <w:p w:rsidR="008D4C87" w:rsidRPr="003B11F1" w:rsidRDefault="008D4C87" w:rsidP="00933573">
      <w:pPr>
        <w:pStyle w:val="Heading4"/>
      </w:pPr>
      <w:bookmarkStart w:id="248" w:name="_Toc272414684"/>
      <w:bookmarkStart w:id="249" w:name="_Toc290846322"/>
      <w:bookmarkStart w:id="250" w:name="_Toc234034128"/>
      <w:r w:rsidRPr="003B11F1">
        <w:t>Cardiovascular safety</w:t>
      </w:r>
      <w:bookmarkEnd w:id="248"/>
      <w:bookmarkEnd w:id="249"/>
      <w:bookmarkEnd w:id="250"/>
    </w:p>
    <w:p w:rsidR="008D4C87" w:rsidRDefault="008D4C87" w:rsidP="00933573">
      <w:r>
        <w:t>The currently approved product information for rituximab notes that cardiovascular AEs have been associated with the drug (hypotension, angina, cardiac arrhythmias). The safety data submitted with the current application did not suggest an increased risk of these events with SC administration.</w:t>
      </w:r>
    </w:p>
    <w:p w:rsidR="008D4C87" w:rsidRPr="003B11F1" w:rsidRDefault="008D4C87" w:rsidP="00933573">
      <w:pPr>
        <w:pStyle w:val="Heading4"/>
      </w:pPr>
      <w:bookmarkStart w:id="251" w:name="_Toc241374323"/>
      <w:bookmarkStart w:id="252" w:name="_Toc272414685"/>
      <w:bookmarkStart w:id="253" w:name="_Toc290846323"/>
      <w:bookmarkStart w:id="254" w:name="_Toc234034129"/>
      <w:r w:rsidRPr="003B11F1">
        <w:t>Unwanted immunological events</w:t>
      </w:r>
      <w:bookmarkEnd w:id="251"/>
      <w:bookmarkEnd w:id="252"/>
      <w:bookmarkEnd w:id="253"/>
      <w:bookmarkEnd w:id="254"/>
    </w:p>
    <w:p w:rsidR="008D4C87" w:rsidRDefault="008D4C87" w:rsidP="00933573">
      <w:r>
        <w:t>Antibodies to rituximab or rHuPH20 developed in a small proportion of patients. These did not appear to be associated with adverse outcomes.</w:t>
      </w:r>
    </w:p>
    <w:p w:rsidR="00A4228F" w:rsidRPr="0044436A" w:rsidRDefault="00A4228F" w:rsidP="00933573">
      <w:pPr>
        <w:pStyle w:val="Heading3"/>
      </w:pPr>
      <w:bookmarkStart w:id="255" w:name="_Toc272414686"/>
      <w:bookmarkStart w:id="256" w:name="_Ref273005527"/>
      <w:bookmarkStart w:id="257" w:name="_Toc290846324"/>
      <w:bookmarkStart w:id="258" w:name="_Toc234034130"/>
      <w:bookmarkStart w:id="259" w:name="_Toc399501554"/>
      <w:r w:rsidRPr="0044436A">
        <w:t>Other safety issues</w:t>
      </w:r>
      <w:bookmarkEnd w:id="255"/>
      <w:bookmarkEnd w:id="256"/>
      <w:bookmarkEnd w:id="257"/>
      <w:bookmarkEnd w:id="258"/>
      <w:bookmarkEnd w:id="259"/>
    </w:p>
    <w:p w:rsidR="00A4228F" w:rsidRPr="0044436A" w:rsidRDefault="00A4228F" w:rsidP="00933573">
      <w:pPr>
        <w:pStyle w:val="Heading4"/>
      </w:pPr>
      <w:bookmarkStart w:id="260" w:name="_Toc241374322"/>
      <w:bookmarkStart w:id="261" w:name="_Ref272331212"/>
      <w:bookmarkStart w:id="262" w:name="_Toc272414687"/>
      <w:bookmarkStart w:id="263" w:name="_Toc290846325"/>
      <w:bookmarkStart w:id="264" w:name="_Toc234034131"/>
      <w:r w:rsidRPr="0044436A">
        <w:t>Safety in special populations</w:t>
      </w:r>
      <w:bookmarkEnd w:id="260"/>
      <w:bookmarkEnd w:id="261"/>
      <w:bookmarkEnd w:id="262"/>
      <w:bookmarkEnd w:id="263"/>
      <w:bookmarkEnd w:id="264"/>
    </w:p>
    <w:p w:rsidR="00A4228F" w:rsidRPr="0044436A" w:rsidRDefault="00A4228F" w:rsidP="00933573">
      <w:pPr>
        <w:pStyle w:val="Heading5"/>
      </w:pPr>
      <w:r w:rsidRPr="0044436A">
        <w:t>Patients with low BSA</w:t>
      </w:r>
    </w:p>
    <w:p w:rsidR="00A4228F" w:rsidRDefault="00A4228F" w:rsidP="00933573">
      <w:r>
        <w:t>For each of BP 22333 Stage 2 and BO 22334 Stage 1, the sponsor presented an analysis of the incidence of AEs etc. according to subject BSA. These are summarised in</w:t>
      </w:r>
      <w:r w:rsidR="002A6059">
        <w:t xml:space="preserve"> Tables </w:t>
      </w:r>
      <w:r w:rsidR="00F0645F">
        <w:t>20</w:t>
      </w:r>
      <w:r w:rsidR="002A6059">
        <w:t xml:space="preserve"> and 2</w:t>
      </w:r>
      <w:r w:rsidR="00F0645F">
        <w:t>1</w:t>
      </w:r>
      <w:r w:rsidR="002A6059">
        <w:t xml:space="preserve">, </w:t>
      </w:r>
      <w:r>
        <w:t>respectively.</w:t>
      </w:r>
    </w:p>
    <w:p w:rsidR="002A6059" w:rsidRDefault="002A6059" w:rsidP="00933573">
      <w:pPr>
        <w:pStyle w:val="TableTitle"/>
      </w:pPr>
      <w:bookmarkStart w:id="265" w:name="_Ref233863929"/>
      <w:bookmarkStart w:id="266" w:name="_Toc234034188"/>
      <w:proofErr w:type="gramStart"/>
      <w:r>
        <w:lastRenderedPageBreak/>
        <w:t xml:space="preserve">Table </w:t>
      </w:r>
      <w:bookmarkEnd w:id="265"/>
      <w:r w:rsidR="00F0645F">
        <w:t>20</w:t>
      </w:r>
      <w:r>
        <w:t>.</w:t>
      </w:r>
      <w:proofErr w:type="gramEnd"/>
      <w:r>
        <w:t xml:space="preserve"> Study BP 22333 </w:t>
      </w:r>
      <w:proofErr w:type="gramStart"/>
      <w:r>
        <w:t>Stage</w:t>
      </w:r>
      <w:proofErr w:type="gramEnd"/>
      <w:r>
        <w:t xml:space="preserve"> 2 – AEs by BSA</w:t>
      </w:r>
      <w:bookmarkEnd w:id="266"/>
    </w:p>
    <w:p w:rsidR="002A6059" w:rsidRDefault="002A6059" w:rsidP="00933573">
      <w:r>
        <w:rPr>
          <w:noProof/>
          <w:lang w:eastAsia="en-AU"/>
        </w:rPr>
        <w:drawing>
          <wp:inline distT="0" distB="0" distL="0" distR="0" wp14:anchorId="463AA960" wp14:editId="5380AE9A">
            <wp:extent cx="3413065" cy="1851471"/>
            <wp:effectExtent l="0" t="0" r="0" b="0"/>
            <wp:docPr id="29" name="Picture 1" descr="Table 20. Study BP 22333 Stage 2 – AEs by B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11858" cy="1850816"/>
                    </a:xfrm>
                    <a:prstGeom prst="rect">
                      <a:avLst/>
                    </a:prstGeom>
                    <a:noFill/>
                    <a:ln>
                      <a:noFill/>
                    </a:ln>
                  </pic:spPr>
                </pic:pic>
              </a:graphicData>
            </a:graphic>
          </wp:inline>
        </w:drawing>
      </w:r>
    </w:p>
    <w:p w:rsidR="002A6059" w:rsidRDefault="002A6059" w:rsidP="00933573">
      <w:pPr>
        <w:pStyle w:val="TableTitle"/>
      </w:pPr>
      <w:bookmarkStart w:id="267" w:name="_Ref233863952"/>
      <w:bookmarkStart w:id="268" w:name="_Toc234034189"/>
      <w:proofErr w:type="gramStart"/>
      <w:r>
        <w:t>Table 2</w:t>
      </w:r>
      <w:bookmarkEnd w:id="267"/>
      <w:r w:rsidR="00F0645F">
        <w:t>1</w:t>
      </w:r>
      <w:r>
        <w:t>.</w:t>
      </w:r>
      <w:proofErr w:type="gramEnd"/>
      <w:r>
        <w:t xml:space="preserve"> Study BO 22334 </w:t>
      </w:r>
      <w:proofErr w:type="gramStart"/>
      <w:r>
        <w:t>Stage</w:t>
      </w:r>
      <w:proofErr w:type="gramEnd"/>
      <w:r>
        <w:t xml:space="preserve"> 1 – AEs by BSA</w:t>
      </w:r>
      <w:bookmarkEnd w:id="268"/>
    </w:p>
    <w:p w:rsidR="002A6059" w:rsidRDefault="002A6059" w:rsidP="00933573">
      <w:r>
        <w:rPr>
          <w:noProof/>
          <w:lang w:eastAsia="en-AU"/>
        </w:rPr>
        <w:drawing>
          <wp:inline distT="0" distB="0" distL="0" distR="0" wp14:anchorId="0AB724E9" wp14:editId="2F0FC5C1">
            <wp:extent cx="3377990" cy="2367401"/>
            <wp:effectExtent l="0" t="0" r="0" b="0"/>
            <wp:docPr id="37" name="Picture 2" descr="Table 21. Study BO 22334 Stage 1 – AEs by B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80634" cy="2369254"/>
                    </a:xfrm>
                    <a:prstGeom prst="rect">
                      <a:avLst/>
                    </a:prstGeom>
                    <a:noFill/>
                    <a:ln>
                      <a:noFill/>
                    </a:ln>
                  </pic:spPr>
                </pic:pic>
              </a:graphicData>
            </a:graphic>
          </wp:inline>
        </w:drawing>
      </w:r>
    </w:p>
    <w:p w:rsidR="00A4228F" w:rsidRDefault="00A4228F" w:rsidP="00933573">
      <w:r>
        <w:t xml:space="preserve">In BP22333 </w:t>
      </w:r>
      <w:r w:rsidR="00766AFA">
        <w:t>Stage 2</w:t>
      </w:r>
      <w:r>
        <w:t xml:space="preserve">, in the subpopulation of subjects with low BSA, there was a modestly increased incidence of AEs in the SC group (86% </w:t>
      </w:r>
      <w:r w:rsidR="00AB2DB9">
        <w:t>versus</w:t>
      </w:r>
      <w:r>
        <w:t xml:space="preserve"> 80%). However, the incidence of SAEs or </w:t>
      </w:r>
      <w:r w:rsidR="005C6357">
        <w:t>Grade 3</w:t>
      </w:r>
      <w:r>
        <w:t>+ AEs was not increased.</w:t>
      </w:r>
    </w:p>
    <w:p w:rsidR="00A4228F" w:rsidRDefault="00A4228F" w:rsidP="00933573">
      <w:r>
        <w:t xml:space="preserve">In BO 22334 Stage 1, there was a slightly increased incidence of AEs in the SC group (92% </w:t>
      </w:r>
      <w:r w:rsidR="00AB2DB9">
        <w:t>versus</w:t>
      </w:r>
      <w:r>
        <w:t xml:space="preserve"> 88%) in the low BSA subpopulation. There was no increase in the incidence of SAEs (19% </w:t>
      </w:r>
      <w:r w:rsidR="00AB2DB9">
        <w:t>versus</w:t>
      </w:r>
      <w:r>
        <w:t xml:space="preserve"> 19%) but there was an increased incidence of </w:t>
      </w:r>
      <w:r w:rsidR="005C6357">
        <w:t>Grade 3</w:t>
      </w:r>
      <w:r>
        <w:t xml:space="preserve">+ AEs (58% </w:t>
      </w:r>
      <w:r w:rsidR="00AB2DB9">
        <w:t>versus</w:t>
      </w:r>
      <w:r>
        <w:t xml:space="preserve"> 50%).</w:t>
      </w:r>
    </w:p>
    <w:p w:rsidR="008D4C87" w:rsidRPr="00605AD4" w:rsidRDefault="008D4C87" w:rsidP="00311B7E">
      <w:pPr>
        <w:pStyle w:val="Heading3"/>
      </w:pPr>
      <w:bookmarkStart w:id="269" w:name="_Toc399501555"/>
      <w:r w:rsidRPr="00605AD4">
        <w:t xml:space="preserve">Evaluator’s </w:t>
      </w:r>
      <w:r w:rsidRPr="00311B7E">
        <w:t>conclusions</w:t>
      </w:r>
      <w:r w:rsidRPr="00605AD4">
        <w:t xml:space="preserve"> on safety</w:t>
      </w:r>
      <w:bookmarkEnd w:id="269"/>
    </w:p>
    <w:p w:rsidR="008D4C87" w:rsidRDefault="008D4C87" w:rsidP="00311B7E">
      <w:r>
        <w:t xml:space="preserve">In both of the randomised, repeated dose studies the SC regimen/product was associated with </w:t>
      </w:r>
      <w:r w:rsidRPr="00D15626">
        <w:t>some</w:t>
      </w:r>
      <w:r>
        <w:t xml:space="preserve"> increase in toxicity compared to the IV regimen.</w:t>
      </w:r>
    </w:p>
    <w:p w:rsidR="008D4C87" w:rsidRDefault="008D4C87" w:rsidP="00311B7E">
      <w:r>
        <w:t xml:space="preserve">Although the proportion of patients who developed </w:t>
      </w:r>
      <w:r w:rsidRPr="00D15626">
        <w:t>AEs</w:t>
      </w:r>
      <w:r>
        <w:t xml:space="preserve"> was comparable with SC and IV administration, the total number of AEs was increased with the SC route (291 versus 257 events and 528 versus 363 events). The additional AEs were </w:t>
      </w:r>
      <w:proofErr w:type="gramStart"/>
      <w:r>
        <w:t>mainly administration</w:t>
      </w:r>
      <w:r w:rsidR="00F0645F">
        <w:t xml:space="preserve"> </w:t>
      </w:r>
      <w:r>
        <w:t>related events (ARRs), that is</w:t>
      </w:r>
      <w:proofErr w:type="gramEnd"/>
      <w:r>
        <w:t xml:space="preserve"> events that occurred in the first 24 h and were considered to be related by the investigators. Typically these consisted of injection site events (such as erythema and pain) and skin events (for example erythema). ARRs were typically Grade 1 or 2 in severity.</w:t>
      </w:r>
    </w:p>
    <w:p w:rsidR="008D4C87" w:rsidRDefault="008D4C87" w:rsidP="00311B7E">
      <w:r>
        <w:t xml:space="preserve">The proportion of subjects who developed </w:t>
      </w:r>
      <w:r w:rsidRPr="00D15626">
        <w:t>Grade 3+ AEs</w:t>
      </w:r>
      <w:r>
        <w:t xml:space="preserve"> was comparable with SC and IV administration in both studies. However, in BO 22334 Stage 1, where rituximab was administered in conjunction with chemotherapy during induction, the total number of Grade 3+ AEs was increased with SC administration (72 versus 41 events). </w:t>
      </w:r>
      <w:r w:rsidR="002A6059">
        <w:t>T</w:t>
      </w:r>
      <w:r>
        <w:t>here was a suggestion of increased Grade 3+ haematological t</w:t>
      </w:r>
      <w:r w:rsidR="00311B7E">
        <w:t>oxicity with SC administration.</w:t>
      </w:r>
    </w:p>
    <w:p w:rsidR="008D4C87" w:rsidRDefault="008D4C87" w:rsidP="00311B7E">
      <w:r>
        <w:lastRenderedPageBreak/>
        <w:t xml:space="preserve">The proportion of patients who developed serious AEs </w:t>
      </w:r>
      <w:r w:rsidRPr="00D15626">
        <w:t>(SAEs)</w:t>
      </w:r>
      <w:r>
        <w:t xml:space="preserve"> was comparable with SC and IV administration in both studies. </w:t>
      </w:r>
      <w:proofErr w:type="gramStart"/>
      <w:r>
        <w:t>However the total number of SAEs was increased with SC administration in BO 22334 Stage 1 (33 versus 21 events), with an increased occurrence of febrile neutropaenia (10 versus 3 events).</w:t>
      </w:r>
      <w:proofErr w:type="gramEnd"/>
    </w:p>
    <w:p w:rsidR="008D4C87" w:rsidRDefault="008D4C87" w:rsidP="00311B7E">
      <w:r>
        <w:t>SC administration was not associated with an increased incidence of fatal AEs or AEs leading to discontinuation.</w:t>
      </w:r>
    </w:p>
    <w:p w:rsidR="008D4C87" w:rsidRDefault="008D4C87" w:rsidP="00311B7E">
      <w:r>
        <w:t>Apart from the possibility of increased haematological toxicity suggested by Study BO 22334 Stage 1, there was no evidence from laboratory testing (biochemistry, urinalysis, vital signs, ECG, LVEF testing etc.) of increased toxicity with SC administration.</w:t>
      </w:r>
    </w:p>
    <w:p w:rsidR="008D4C87" w:rsidRDefault="008D4C87" w:rsidP="00311B7E">
      <w:r>
        <w:t>Antibodies to rituximab or rHuPH20 developed in a small proportion of patients. However, these did not appear to be associated with adverse outcomes. There did not appear to be an increased incidence of anti-rituximab antibodies with SC administration.</w:t>
      </w:r>
    </w:p>
    <w:p w:rsidR="00C22678" w:rsidRPr="00586F98" w:rsidRDefault="008D4C87" w:rsidP="00311B7E">
      <w:pPr>
        <w:rPr>
          <w:lang w:eastAsia="ja-JP"/>
        </w:rPr>
      </w:pPr>
      <w:r>
        <w:t>Based on the submitted clinical data, it is not possible to determine whether any of the toxicity observed with the SC route</w:t>
      </w:r>
      <w:r w:rsidRPr="007D5E54">
        <w:t xml:space="preserve"> </w:t>
      </w:r>
      <w:r>
        <w:t>is due to the novel excipient rHuPH20.</w:t>
      </w:r>
    </w:p>
    <w:p w:rsidR="00C22678" w:rsidRDefault="00C22678" w:rsidP="00311B7E">
      <w:pPr>
        <w:pStyle w:val="Heading2"/>
      </w:pPr>
      <w:bookmarkStart w:id="270" w:name="_Toc399501556"/>
      <w:r>
        <w:t>First round benefit-risk assessment</w:t>
      </w:r>
      <w:bookmarkEnd w:id="270"/>
    </w:p>
    <w:p w:rsidR="008D4C87" w:rsidRDefault="008D4C87" w:rsidP="00311B7E">
      <w:pPr>
        <w:pStyle w:val="Heading3"/>
      </w:pPr>
      <w:bookmarkStart w:id="271" w:name="_Toc236802592"/>
      <w:bookmarkStart w:id="272" w:name="_Toc241374331"/>
      <w:bookmarkStart w:id="273" w:name="_Ref272160836"/>
      <w:bookmarkStart w:id="274" w:name="_Toc272414693"/>
      <w:bookmarkStart w:id="275" w:name="_Toc290846331"/>
      <w:bookmarkStart w:id="276" w:name="_Toc234034134"/>
      <w:bookmarkStart w:id="277" w:name="_Toc399501557"/>
      <w:r>
        <w:t>First round assessment of benefits</w:t>
      </w:r>
      <w:bookmarkEnd w:id="271"/>
      <w:bookmarkEnd w:id="272"/>
      <w:bookmarkEnd w:id="273"/>
      <w:bookmarkEnd w:id="274"/>
      <w:bookmarkEnd w:id="275"/>
      <w:bookmarkEnd w:id="276"/>
      <w:bookmarkEnd w:id="277"/>
    </w:p>
    <w:p w:rsidR="008D4C87" w:rsidRDefault="008D4C87" w:rsidP="00311B7E">
      <w:r>
        <w:t>The benefits of subcutaneous administration of rituximab in NHL patients are:</w:t>
      </w:r>
    </w:p>
    <w:p w:rsidR="008D4C87" w:rsidRPr="00493614" w:rsidRDefault="008D4C87" w:rsidP="00311B7E">
      <w:pPr>
        <w:pStyle w:val="ListBullet"/>
      </w:pPr>
      <w:r w:rsidRPr="00493614">
        <w:t>A degree of efficacy comparable to that seen with IV administration;</w:t>
      </w:r>
    </w:p>
    <w:p w:rsidR="008D4C87" w:rsidRPr="00493614" w:rsidRDefault="008D4C87" w:rsidP="00311B7E">
      <w:pPr>
        <w:pStyle w:val="ListBullet"/>
      </w:pPr>
      <w:r w:rsidRPr="00493614">
        <w:t>Increased convenience for patients, with the SC injection being given over 5 to 6 minutes, compared to an IV infusion given over a number of h</w:t>
      </w:r>
      <w:r w:rsidR="002D36B0">
        <w:t>ours</w:t>
      </w:r>
      <w:r w:rsidRPr="00493614">
        <w:t xml:space="preserve"> (375 mg/m</w:t>
      </w:r>
      <w:r w:rsidRPr="00493614">
        <w:rPr>
          <w:vertAlign w:val="superscript"/>
        </w:rPr>
        <w:t>2</w:t>
      </w:r>
      <w:r w:rsidRPr="00493614">
        <w:t xml:space="preserve"> IV given at rates between 100 and 400 mg per h).</w:t>
      </w:r>
    </w:p>
    <w:p w:rsidR="008D4C87" w:rsidRPr="00493614" w:rsidRDefault="008D4C87" w:rsidP="00311B7E">
      <w:pPr>
        <w:pStyle w:val="ListBullet"/>
      </w:pPr>
      <w:r w:rsidRPr="00493614">
        <w:t>In maintenance therapy, where rituximab is given as monotherapy, no intravenous access would be required.</w:t>
      </w:r>
    </w:p>
    <w:p w:rsidR="008D4C87" w:rsidRDefault="008D4C87" w:rsidP="00311B7E">
      <w:pPr>
        <w:pStyle w:val="Heading4"/>
      </w:pPr>
      <w:bookmarkStart w:id="278" w:name="_Toc236802596"/>
      <w:bookmarkStart w:id="279" w:name="_Toc241374334"/>
      <w:bookmarkStart w:id="280" w:name="_Ref272160964"/>
      <w:bookmarkStart w:id="281" w:name="_Toc272414694"/>
      <w:bookmarkStart w:id="282" w:name="_Toc290846332"/>
      <w:bookmarkStart w:id="283" w:name="_Toc234034135"/>
      <w:r>
        <w:t>First round assessment of risks</w:t>
      </w:r>
      <w:bookmarkEnd w:id="278"/>
      <w:bookmarkEnd w:id="279"/>
      <w:bookmarkEnd w:id="280"/>
      <w:bookmarkEnd w:id="281"/>
      <w:bookmarkEnd w:id="282"/>
      <w:bookmarkEnd w:id="283"/>
    </w:p>
    <w:p w:rsidR="008D4C87" w:rsidRDefault="008D4C87" w:rsidP="00311B7E">
      <w:r>
        <w:t>The risks of subcutaneous administration of rituximab in NHL patients are:</w:t>
      </w:r>
    </w:p>
    <w:p w:rsidR="008D4C87" w:rsidRPr="00493614" w:rsidRDefault="008D4C87" w:rsidP="00311B7E">
      <w:pPr>
        <w:pStyle w:val="ListBullet"/>
      </w:pPr>
      <w:r w:rsidRPr="00493614">
        <w:t xml:space="preserve">Some increase in </w:t>
      </w:r>
      <w:r w:rsidRPr="00311B7E">
        <w:t>toxicity</w:t>
      </w:r>
      <w:r w:rsidRPr="00493614">
        <w:t>, mainly due to injection site events and skin events occurring in the first 24 h. These events were typically mild to moderate in severity (Grades 1 and 2).</w:t>
      </w:r>
    </w:p>
    <w:p w:rsidR="008D4C87" w:rsidRDefault="008D4C87" w:rsidP="00311B7E">
      <w:pPr>
        <w:pStyle w:val="ListBullet"/>
      </w:pPr>
      <w:r w:rsidRPr="00493614">
        <w:t>A possible increase in Grade 3 or higher/serious haematological events when rituximab is given in conjunction with</w:t>
      </w:r>
      <w:r>
        <w:t xml:space="preserve"> chemotherapy during induction treatment.</w:t>
      </w:r>
    </w:p>
    <w:p w:rsidR="008D4C87" w:rsidRDefault="008D4C87" w:rsidP="00311B7E">
      <w:pPr>
        <w:pStyle w:val="ListBullet"/>
        <w:numPr>
          <w:ilvl w:val="0"/>
          <w:numId w:val="0"/>
        </w:numPr>
        <w:ind w:left="360"/>
      </w:pPr>
      <w:r>
        <w:t xml:space="preserve">Comment: This </w:t>
      </w:r>
      <w:r w:rsidRPr="00311B7E">
        <w:t>assessment</w:t>
      </w:r>
      <w:r>
        <w:t xml:space="preserve"> of risks is based on a limited safety database. Of the 303 subjects treated with SC rituximab, 123 received only one cycle of treatment. No patient received a full (2 </w:t>
      </w:r>
      <w:proofErr w:type="gramStart"/>
      <w:r>
        <w:t>year</w:t>
      </w:r>
      <w:proofErr w:type="gramEnd"/>
      <w:r>
        <w:t>) course of maintenance treatment.</w:t>
      </w:r>
    </w:p>
    <w:p w:rsidR="008D4C87" w:rsidRDefault="008D4C87" w:rsidP="00311B7E">
      <w:pPr>
        <w:pStyle w:val="ListBullet"/>
        <w:numPr>
          <w:ilvl w:val="0"/>
          <w:numId w:val="0"/>
        </w:numPr>
        <w:ind w:left="360"/>
      </w:pPr>
      <w:r>
        <w:t>It should be noted that the sponsor is collecting additional safety and efficacy data in Study BO 22334 Stage 2, where an additional 280 subjects will be randomised to SC or IV administration. The study will collect data during both induction and maintenance treatment.</w:t>
      </w:r>
    </w:p>
    <w:p w:rsidR="008D4C87" w:rsidRDefault="008D4C87" w:rsidP="00311B7E">
      <w:pPr>
        <w:pStyle w:val="ListBullet"/>
        <w:numPr>
          <w:ilvl w:val="0"/>
          <w:numId w:val="0"/>
        </w:numPr>
        <w:ind w:left="360"/>
      </w:pPr>
      <w:r>
        <w:t xml:space="preserve">As detailed in the ‘Adverse effects’ section of the current PI for IV rituximab, the drug has previously been associated with an increased incidence of Grade 3 and 4 leukopaenia and neutropaenia when given in combination with chemotherapy, </w:t>
      </w:r>
      <w:r w:rsidR="00311B7E">
        <w:t>compared to chemotherapy alone.</w:t>
      </w:r>
    </w:p>
    <w:p w:rsidR="008D4C87" w:rsidRDefault="008D4C87" w:rsidP="00311B7E">
      <w:pPr>
        <w:pStyle w:val="Heading4"/>
      </w:pPr>
      <w:bookmarkStart w:id="284" w:name="_Toc236802597"/>
      <w:bookmarkStart w:id="285" w:name="_Toc241374335"/>
      <w:bookmarkStart w:id="286" w:name="_Toc272414695"/>
      <w:bookmarkStart w:id="287" w:name="_Toc290846333"/>
      <w:bookmarkStart w:id="288" w:name="_Toc234034136"/>
      <w:r>
        <w:lastRenderedPageBreak/>
        <w:t xml:space="preserve">First round </w:t>
      </w:r>
      <w:r w:rsidRPr="00311B7E">
        <w:t>assessment</w:t>
      </w:r>
      <w:r>
        <w:t xml:space="preserve"> of benefit-risk balance</w:t>
      </w:r>
      <w:bookmarkEnd w:id="284"/>
      <w:bookmarkEnd w:id="285"/>
      <w:bookmarkEnd w:id="286"/>
      <w:bookmarkEnd w:id="287"/>
      <w:bookmarkEnd w:id="288"/>
    </w:p>
    <w:p w:rsidR="008D4C87" w:rsidRDefault="008D4C87" w:rsidP="008D4C87">
      <w:r>
        <w:t>The benefits of SC administration over IV administration are limited to patient convenience, with no d</w:t>
      </w:r>
      <w:r w:rsidR="00311B7E">
        <w:t>emonstrated efficacy advantage.</w:t>
      </w:r>
    </w:p>
    <w:p w:rsidR="008D4C87" w:rsidRDefault="008D4C87" w:rsidP="00311B7E">
      <w:r>
        <w:t>These benefits come at a cost of some increase in toxicity in terms of administration</w:t>
      </w:r>
      <w:r w:rsidR="002D36B0">
        <w:t xml:space="preserve"> </w:t>
      </w:r>
      <w:r>
        <w:t>related reactions. Also, one of the submitted studies suggests that there may be some exacerbation of chemotherapy induced myelosuppression associated with the SC route. The increased myelosuppression may be a manifestation of the greater systemic rituximab exposure obtained with SC administration compared to IV administration. Previous studies in NHL and CLL have shown that IV rituximab in combination with chemotherapy is associated with an increased incidence of Grade 3 and 4 leukopaenia and neutropaenia compared with chemotherapy alone. In these studies, the additional toxicity produced by rituximab was outweighed by an efficacy benefit. No efficacy benefit has been demonstrated for SC rituximab over IV rituximab.</w:t>
      </w:r>
    </w:p>
    <w:p w:rsidR="008D4C87" w:rsidRDefault="008D4C87" w:rsidP="00311B7E">
      <w:r>
        <w:t>The safety database is also limited, especially in relation to long-term administration.</w:t>
      </w:r>
    </w:p>
    <w:p w:rsidR="008D4C87" w:rsidRDefault="008D4C87" w:rsidP="00311B7E">
      <w:r>
        <w:t>In the opinion of the clinical evaluator, an assessment of the risk-benefit balance of SC rituximab should be delayed until additional safety data are available from BO 22334 Stage 2. These additional data may clarify the issue of possible increased haematological toxicity and would provide additional evidence for safety during long term maintenance treatment.</w:t>
      </w:r>
    </w:p>
    <w:p w:rsidR="008D4C87" w:rsidRDefault="008D4C87" w:rsidP="00311B7E">
      <w:r>
        <w:t>On the available evidence it is not possible to conclude that SC administration of rituximab has a f</w:t>
      </w:r>
      <w:r w:rsidR="00311B7E">
        <w:t>avourable risk-benefit balance.</w:t>
      </w:r>
    </w:p>
    <w:p w:rsidR="00C22678" w:rsidRDefault="00C22678" w:rsidP="00311B7E">
      <w:pPr>
        <w:pStyle w:val="Heading2"/>
      </w:pPr>
      <w:bookmarkStart w:id="289" w:name="_Toc399501558"/>
      <w:r>
        <w:t xml:space="preserve">First round </w:t>
      </w:r>
      <w:r w:rsidRPr="00311B7E">
        <w:t>recommendation</w:t>
      </w:r>
      <w:r>
        <w:t xml:space="preserve"> regarding authorisation</w:t>
      </w:r>
      <w:bookmarkEnd w:id="289"/>
    </w:p>
    <w:p w:rsidR="008D4C87" w:rsidRDefault="008D4C87" w:rsidP="00311B7E">
      <w:r>
        <w:t>It is recommended that the current application be rejected.</w:t>
      </w:r>
    </w:p>
    <w:p w:rsidR="00C22678" w:rsidRDefault="00C22678" w:rsidP="00311B7E">
      <w:pPr>
        <w:pStyle w:val="Heading2"/>
      </w:pPr>
      <w:bookmarkStart w:id="290" w:name="_Toc399501559"/>
      <w:r>
        <w:t>Clinical questions</w:t>
      </w:r>
      <w:bookmarkEnd w:id="290"/>
    </w:p>
    <w:p w:rsidR="00C22678" w:rsidRDefault="00C618F7" w:rsidP="00311B7E">
      <w:pPr>
        <w:pStyle w:val="Heading3"/>
      </w:pPr>
      <w:bookmarkStart w:id="291" w:name="_Toc399501560"/>
      <w:r>
        <w:t>Pharmacokinetics</w:t>
      </w:r>
      <w:bookmarkEnd w:id="291"/>
    </w:p>
    <w:p w:rsidR="00C618F7" w:rsidRPr="00586F98" w:rsidRDefault="008D4C87" w:rsidP="00311B7E">
      <w:pPr>
        <w:rPr>
          <w:lang w:eastAsia="ja-JP"/>
        </w:rPr>
      </w:pPr>
      <w:proofErr w:type="gramStart"/>
      <w:r>
        <w:rPr>
          <w:lang w:eastAsia="ja-JP"/>
        </w:rPr>
        <w:t>Nil.</w:t>
      </w:r>
      <w:proofErr w:type="gramEnd"/>
    </w:p>
    <w:p w:rsidR="00C618F7" w:rsidRDefault="00C618F7" w:rsidP="00311B7E">
      <w:pPr>
        <w:pStyle w:val="Heading3"/>
      </w:pPr>
      <w:bookmarkStart w:id="292" w:name="_Toc399501561"/>
      <w:r>
        <w:t>Pharmacodynamics</w:t>
      </w:r>
      <w:bookmarkEnd w:id="292"/>
    </w:p>
    <w:p w:rsidR="00C618F7" w:rsidRPr="00586F98" w:rsidRDefault="008D4C87" w:rsidP="00311B7E">
      <w:pPr>
        <w:rPr>
          <w:lang w:eastAsia="ja-JP"/>
        </w:rPr>
      </w:pPr>
      <w:proofErr w:type="gramStart"/>
      <w:r>
        <w:rPr>
          <w:lang w:eastAsia="ja-JP"/>
        </w:rPr>
        <w:t>Nil.</w:t>
      </w:r>
      <w:proofErr w:type="gramEnd"/>
    </w:p>
    <w:p w:rsidR="00C618F7" w:rsidRDefault="00C618F7" w:rsidP="00311B7E">
      <w:pPr>
        <w:pStyle w:val="Heading3"/>
      </w:pPr>
      <w:bookmarkStart w:id="293" w:name="_Toc399501562"/>
      <w:r>
        <w:t>Efficacy</w:t>
      </w:r>
      <w:r w:rsidR="008D4C87">
        <w:t xml:space="preserve"> and safety</w:t>
      </w:r>
      <w:bookmarkEnd w:id="293"/>
    </w:p>
    <w:p w:rsidR="008D4C87" w:rsidRDefault="008D4C87" w:rsidP="00311B7E">
      <w:r>
        <w:t>Please advise when the results of Study BO 22334 Stage 2 will be available.</w:t>
      </w:r>
    </w:p>
    <w:p w:rsidR="00C618F7" w:rsidRDefault="00C618F7" w:rsidP="00311B7E">
      <w:pPr>
        <w:pStyle w:val="Heading2"/>
      </w:pPr>
      <w:bookmarkStart w:id="294" w:name="_Toc399501563"/>
      <w:r w:rsidRPr="00311B7E">
        <w:t>References</w:t>
      </w:r>
      <w:bookmarkEnd w:id="294"/>
    </w:p>
    <w:bookmarkEnd w:id="1"/>
    <w:bookmarkEnd w:id="0"/>
    <w:bookmarkEnd w:id="3"/>
    <w:p w:rsidR="00A4228F" w:rsidRPr="00C019EC" w:rsidRDefault="00A4228F" w:rsidP="00311B7E">
      <w:pPr>
        <w:pStyle w:val="Numberbullet0"/>
      </w:pPr>
      <w:r w:rsidRPr="00311B7E">
        <w:t>Guideline</w:t>
      </w:r>
      <w:r w:rsidRPr="00C019EC">
        <w:rPr>
          <w:lang w:val="en-US"/>
        </w:rPr>
        <w:t xml:space="preserve"> </w:t>
      </w:r>
      <w:proofErr w:type="gramStart"/>
      <w:r w:rsidRPr="00C019EC">
        <w:rPr>
          <w:lang w:val="en-US"/>
        </w:rPr>
        <w:t>On</w:t>
      </w:r>
      <w:proofErr w:type="gramEnd"/>
      <w:r w:rsidRPr="00C019EC">
        <w:rPr>
          <w:lang w:val="en-US"/>
        </w:rPr>
        <w:t xml:space="preserve"> The Evaluation Of Anticancer Medicinal Products In Man (CPMP/EWP/205/95/Rev.3.Corr); 2005. </w:t>
      </w:r>
      <w:r w:rsidRPr="00C019EC">
        <w:t xml:space="preserve">Available from: </w:t>
      </w:r>
      <w:r w:rsidR="00311B7E">
        <w:t>&lt;</w:t>
      </w:r>
      <w:hyperlink r:id="rId39" w:history="1">
        <w:r w:rsidRPr="00C019EC">
          <w:rPr>
            <w:rStyle w:val="Hyperlink"/>
          </w:rPr>
          <w:t>http://www.tga.gov.au/pdf/euguide/ewp020595enrev3.pdf</w:t>
        </w:r>
      </w:hyperlink>
      <w:r w:rsidR="00311B7E" w:rsidRPr="00311B7E">
        <w:t>&gt;</w:t>
      </w:r>
    </w:p>
    <w:p w:rsidR="00A4228F" w:rsidRPr="00C019EC" w:rsidRDefault="00A4228F" w:rsidP="00311B7E">
      <w:pPr>
        <w:pStyle w:val="Numberbullet0"/>
        <w:rPr>
          <w:lang w:val="en-US"/>
        </w:rPr>
      </w:pPr>
      <w:r w:rsidRPr="00C019EC">
        <w:rPr>
          <w:lang w:val="en-US"/>
        </w:rPr>
        <w:t xml:space="preserve">Guideline </w:t>
      </w:r>
      <w:proofErr w:type="gramStart"/>
      <w:r w:rsidRPr="00C019EC">
        <w:rPr>
          <w:lang w:val="en-US"/>
        </w:rPr>
        <w:t>On</w:t>
      </w:r>
      <w:proofErr w:type="gramEnd"/>
      <w:r w:rsidRPr="00C019EC">
        <w:rPr>
          <w:lang w:val="en-US"/>
        </w:rPr>
        <w:t xml:space="preserve"> The </w:t>
      </w:r>
      <w:r w:rsidRPr="00311B7E">
        <w:t>Clinical</w:t>
      </w:r>
      <w:r w:rsidRPr="00C019EC">
        <w:rPr>
          <w:lang w:val="en-US"/>
        </w:rPr>
        <w:t xml:space="preserve"> Investigation Of The Pharmacokinetics Of Therapeutic Proteins (CHMP/EWP/89249/2004); 2007. Available from: </w:t>
      </w:r>
      <w:r w:rsidR="00311B7E">
        <w:rPr>
          <w:lang w:val="en-US"/>
        </w:rPr>
        <w:t>&lt;</w:t>
      </w:r>
      <w:hyperlink r:id="rId40" w:history="1">
        <w:r w:rsidRPr="00C019EC">
          <w:rPr>
            <w:rStyle w:val="Hyperlink"/>
            <w:lang w:val="en-US"/>
          </w:rPr>
          <w:t>http://www.tga.gov.au/pdf/euguide/ewp8924904enfin.pdf</w:t>
        </w:r>
      </w:hyperlink>
      <w:r w:rsidR="00311B7E" w:rsidRPr="00311B7E">
        <w:t>&gt;</w:t>
      </w:r>
    </w:p>
    <w:p w:rsidR="00A4228F" w:rsidRPr="00C019EC" w:rsidRDefault="00A4228F" w:rsidP="00311B7E">
      <w:pPr>
        <w:pStyle w:val="Numberbullet0"/>
        <w:rPr>
          <w:lang w:val="en-US"/>
        </w:rPr>
      </w:pPr>
      <w:r w:rsidRPr="00C019EC">
        <w:rPr>
          <w:lang w:val="en-US"/>
        </w:rPr>
        <w:lastRenderedPageBreak/>
        <w:t xml:space="preserve">Davies </w:t>
      </w:r>
      <w:proofErr w:type="gramStart"/>
      <w:r w:rsidRPr="00C019EC">
        <w:rPr>
          <w:lang w:val="en-US"/>
        </w:rPr>
        <w:t>A</w:t>
      </w:r>
      <w:proofErr w:type="gramEnd"/>
      <w:r w:rsidRPr="00C019EC">
        <w:rPr>
          <w:lang w:val="en-US"/>
        </w:rPr>
        <w:t xml:space="preserve"> et al, Abstract No 1629; 54</w:t>
      </w:r>
      <w:r w:rsidRPr="00C019EC">
        <w:rPr>
          <w:vertAlign w:val="superscript"/>
          <w:lang w:val="en-US"/>
        </w:rPr>
        <w:t>th</w:t>
      </w:r>
      <w:r w:rsidRPr="00C019EC">
        <w:rPr>
          <w:lang w:val="en-US"/>
        </w:rPr>
        <w:t xml:space="preserve"> American Society of Hematology Annual Meeting; 2012. Available from: </w:t>
      </w:r>
      <w:r w:rsidR="00311B7E">
        <w:rPr>
          <w:lang w:val="en-US"/>
        </w:rPr>
        <w:t>&lt;</w:t>
      </w:r>
      <w:hyperlink r:id="rId41" w:history="1">
        <w:r w:rsidRPr="00C019EC">
          <w:rPr>
            <w:rStyle w:val="Hyperlink"/>
            <w:lang w:val="en-US"/>
          </w:rPr>
          <w:t>https://ash.confex.com/ash/2012/webprogram/Paper49521.html</w:t>
        </w:r>
      </w:hyperlink>
      <w:r w:rsidR="00311B7E" w:rsidRPr="00311B7E">
        <w:t>&gt;</w:t>
      </w:r>
    </w:p>
    <w:p w:rsidR="00A4228F" w:rsidRPr="00C019EC" w:rsidRDefault="00A4228F" w:rsidP="00311B7E">
      <w:pPr>
        <w:pStyle w:val="Numberbullet0"/>
        <w:rPr>
          <w:lang w:val="en-US"/>
        </w:rPr>
      </w:pPr>
      <w:proofErr w:type="spellStart"/>
      <w:r w:rsidRPr="00C019EC">
        <w:rPr>
          <w:lang w:val="en-US"/>
        </w:rPr>
        <w:t>Cheson</w:t>
      </w:r>
      <w:proofErr w:type="spellEnd"/>
      <w:r w:rsidRPr="00C019EC">
        <w:rPr>
          <w:lang w:val="en-US"/>
        </w:rPr>
        <w:t xml:space="preserve"> BD, et al. Report of an International Workshop </w:t>
      </w:r>
      <w:proofErr w:type="gramStart"/>
      <w:r w:rsidRPr="00C019EC">
        <w:rPr>
          <w:lang w:val="en-US"/>
        </w:rPr>
        <w:t>To</w:t>
      </w:r>
      <w:proofErr w:type="gramEnd"/>
      <w:r w:rsidRPr="00C019EC">
        <w:rPr>
          <w:lang w:val="en-US"/>
        </w:rPr>
        <w:t xml:space="preserve"> Standardize Response Criteria for Non-Hodgkin's Lymphomas. NCI Sponsored International Working Group. J </w:t>
      </w:r>
      <w:proofErr w:type="spellStart"/>
      <w:r w:rsidRPr="00C019EC">
        <w:rPr>
          <w:lang w:val="en-US"/>
        </w:rPr>
        <w:t>Clin</w:t>
      </w:r>
      <w:proofErr w:type="spellEnd"/>
      <w:r w:rsidRPr="00C019EC">
        <w:rPr>
          <w:lang w:val="en-US"/>
        </w:rPr>
        <w:t xml:space="preserve"> </w:t>
      </w:r>
      <w:proofErr w:type="spellStart"/>
      <w:r w:rsidRPr="00C019EC">
        <w:rPr>
          <w:lang w:val="en-US"/>
        </w:rPr>
        <w:t>Oncol</w:t>
      </w:r>
      <w:proofErr w:type="spellEnd"/>
      <w:r w:rsidRPr="00C019EC">
        <w:rPr>
          <w:lang w:val="en-US"/>
        </w:rPr>
        <w:t>. 1999; 17:1244-1253.</w:t>
      </w:r>
    </w:p>
    <w:p w:rsidR="00A4228F" w:rsidRPr="00C019EC" w:rsidRDefault="00A4228F" w:rsidP="00311B7E">
      <w:pPr>
        <w:pStyle w:val="Numberbullet0"/>
        <w:rPr>
          <w:lang w:val="en-US"/>
        </w:rPr>
      </w:pPr>
      <w:r w:rsidRPr="00C019EC">
        <w:t xml:space="preserve">Guideline on similar biological medicinal products containing monoclonal antibodies – non-clinical and clinical issues (EMA/CHMP/BMWP/403543/2010); 2012. Available from: </w:t>
      </w:r>
      <w:r w:rsidR="00311B7E">
        <w:t>&lt;</w:t>
      </w:r>
      <w:hyperlink r:id="rId42" w:history="1">
        <w:r w:rsidRPr="00C019EC">
          <w:rPr>
            <w:rStyle w:val="Hyperlink"/>
          </w:rPr>
          <w:t>http://www.ema.europa.eu/docs/en_GB/document_library/Scientific_guideline/2012/06/WC500128686.pdf</w:t>
        </w:r>
      </w:hyperlink>
      <w:r w:rsidR="00311B7E" w:rsidRPr="00311B7E">
        <w:t>&gt;</w:t>
      </w:r>
    </w:p>
    <w:p w:rsidR="008D770F" w:rsidRPr="00AE01C2" w:rsidRDefault="00A4228F" w:rsidP="00311B7E">
      <w:pPr>
        <w:pStyle w:val="Numberbullet0"/>
        <w:rPr>
          <w:lang w:eastAsia="ja-JP"/>
        </w:rPr>
      </w:pPr>
      <w:r w:rsidRPr="00A4228F">
        <w:rPr>
          <w:lang w:val="en-US"/>
        </w:rPr>
        <w:t xml:space="preserve">O’Brien S et </w:t>
      </w:r>
      <w:r w:rsidRPr="00311B7E">
        <w:t>al</w:t>
      </w:r>
      <w:r w:rsidRPr="00A4228F">
        <w:rPr>
          <w:lang w:val="en-US"/>
        </w:rPr>
        <w:t xml:space="preserve">. Rituximab dose-escalation trial in chronic lymphocytic leukemia. J </w:t>
      </w:r>
      <w:proofErr w:type="spellStart"/>
      <w:r w:rsidRPr="00A4228F">
        <w:rPr>
          <w:lang w:val="en-US"/>
        </w:rPr>
        <w:t>Clin</w:t>
      </w:r>
      <w:proofErr w:type="spellEnd"/>
      <w:r w:rsidRPr="00A4228F">
        <w:rPr>
          <w:lang w:val="en-US"/>
        </w:rPr>
        <w:t xml:space="preserve"> </w:t>
      </w:r>
      <w:proofErr w:type="spellStart"/>
      <w:r w:rsidRPr="00A4228F">
        <w:rPr>
          <w:lang w:val="en-US"/>
        </w:rPr>
        <w:t>Oncol</w:t>
      </w:r>
      <w:proofErr w:type="spellEnd"/>
      <w:r w:rsidRPr="00A4228F">
        <w:rPr>
          <w:lang w:val="en-US"/>
        </w:rPr>
        <w:t>. 2001; 19(8): 2165-2170.</w:t>
      </w:r>
    </w:p>
    <w:p w:rsidR="003D1E62" w:rsidRPr="001D043B" w:rsidRDefault="008E7846" w:rsidP="002666AC">
      <w:pPr>
        <w:sectPr w:rsidR="003D1E62" w:rsidRPr="001D043B" w:rsidSect="008D770F">
          <w:headerReference w:type="even" r:id="rId43"/>
          <w:headerReference w:type="default" r:id="rId44"/>
          <w:footerReference w:type="default" r:id="rId45"/>
          <w:headerReference w:type="first" r:id="rId46"/>
          <w:footerReference w:type="first" r:id="rId47"/>
          <w:pgSz w:w="11906" w:h="16838" w:code="9"/>
          <w:pgMar w:top="1440" w:right="1440" w:bottom="1440" w:left="1440" w:header="907" w:footer="216" w:gutter="0"/>
          <w:cols w:space="708"/>
          <w:docGrid w:linePitch="360"/>
        </w:sectPr>
      </w:pPr>
      <w: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rsidTr="008D4C87">
        <w:trPr>
          <w:trHeight w:hRule="exact" w:val="564"/>
        </w:trPr>
        <w:tc>
          <w:tcPr>
            <w:tcW w:w="9175" w:type="dxa"/>
          </w:tcPr>
          <w:p w:rsidR="00B3567E" w:rsidRPr="00487162" w:rsidRDefault="00B3567E" w:rsidP="008D4C87">
            <w:pPr>
              <w:pStyle w:val="TGASignoff"/>
            </w:pPr>
            <w:r w:rsidRPr="00487162">
              <w:lastRenderedPageBreak/>
              <w:t>Therapeutic Goods Administration</w:t>
            </w:r>
          </w:p>
        </w:tc>
      </w:tr>
      <w:tr w:rsidR="00B3567E" w:rsidRPr="00487162" w:rsidTr="008D4C87">
        <w:trPr>
          <w:trHeight w:val="1221"/>
        </w:trPr>
        <w:tc>
          <w:tcPr>
            <w:tcW w:w="9175" w:type="dxa"/>
            <w:tcMar>
              <w:top w:w="28" w:type="dxa"/>
            </w:tcMar>
          </w:tcPr>
          <w:p w:rsidR="00B3567E" w:rsidRPr="00487162" w:rsidRDefault="00B3567E" w:rsidP="008D4C87">
            <w:pPr>
              <w:pStyle w:val="Address"/>
            </w:pPr>
            <w:r w:rsidRPr="00487162">
              <w:t>PO Box 100 Woden ACT 2606 Australia</w:t>
            </w:r>
          </w:p>
          <w:p w:rsidR="00B3567E" w:rsidRPr="00487162" w:rsidRDefault="00B3567E" w:rsidP="008D4C87">
            <w:pPr>
              <w:pStyle w:val="Address"/>
            </w:pPr>
            <w:r w:rsidRPr="00487162">
              <w:t xml:space="preserve">Email: </w:t>
            </w:r>
            <w:hyperlink r:id="rId48" w:history="1">
              <w:r w:rsidRPr="008D770F">
                <w:rPr>
                  <w:rStyle w:val="Hyperlink"/>
                </w:rPr>
                <w:t>info@tga.gov.au</w:t>
              </w:r>
            </w:hyperlink>
            <w:r w:rsidR="00766AFA">
              <w:t xml:space="preserve"> </w:t>
            </w:r>
            <w:r w:rsidRPr="00487162">
              <w:t>Phone: 1800 020 653</w:t>
            </w:r>
            <w:r w:rsidR="00766AFA">
              <w:t xml:space="preserve"> </w:t>
            </w:r>
            <w:r w:rsidRPr="00487162">
              <w:t>Fax: 02 6232 8605</w:t>
            </w:r>
          </w:p>
          <w:p w:rsidR="00B3567E" w:rsidRPr="008D770F" w:rsidRDefault="00A6057D" w:rsidP="008D4C87">
            <w:pPr>
              <w:pStyle w:val="Address"/>
              <w:spacing w:line="260" w:lineRule="atLeast"/>
              <w:rPr>
                <w:b/>
                <w:color w:val="0000FF"/>
                <w:u w:val="single"/>
              </w:rPr>
            </w:pPr>
            <w:hyperlink r:id="rId49" w:history="1">
              <w:r w:rsidR="00B3567E" w:rsidRPr="007C06C7">
                <w:rPr>
                  <w:rStyle w:val="Hyperlink"/>
                  <w:b/>
                </w:rPr>
                <w:t>http://www.tga.gov.au</w:t>
              </w:r>
            </w:hyperlink>
          </w:p>
        </w:tc>
      </w:tr>
    </w:tbl>
    <w:p w:rsidR="00774E1D" w:rsidRPr="008A5E0B" w:rsidRDefault="00774E1D" w:rsidP="008A5E0B"/>
    <w:sectPr w:rsidR="00774E1D" w:rsidRPr="008A5E0B" w:rsidSect="00B3567E">
      <w:headerReference w:type="even" r:id="rId50"/>
      <w:headerReference w:type="default" r:id="rId51"/>
      <w:footerReference w:type="default" r:id="rId52"/>
      <w:headerReference w:type="first" r:id="rId53"/>
      <w:footerReference w:type="first" r:id="rId54"/>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6BEA" w:rsidRDefault="00596BEA" w:rsidP="00C40A36">
      <w:pPr>
        <w:spacing w:after="0"/>
      </w:pPr>
      <w:r>
        <w:separator/>
      </w:r>
    </w:p>
  </w:endnote>
  <w:endnote w:type="continuationSeparator" w:id="0">
    <w:p w:rsidR="00596BEA" w:rsidRDefault="00596BEA"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7938"/>
      <w:gridCol w:w="923"/>
    </w:tblGrid>
    <w:tr w:rsidR="00596BEA" w:rsidRPr="00487162" w:rsidTr="0053625B">
      <w:trPr>
        <w:trHeight w:val="269"/>
      </w:trPr>
      <w:tc>
        <w:tcPr>
          <w:tcW w:w="7938" w:type="dxa"/>
          <w:tcMar>
            <w:top w:w="142" w:type="dxa"/>
            <w:bottom w:w="0" w:type="dxa"/>
          </w:tcMar>
        </w:tcPr>
        <w:p w:rsidR="00596BEA" w:rsidRPr="00487162" w:rsidRDefault="00596BEA" w:rsidP="00586F98">
          <w:pPr>
            <w:pStyle w:val="Footer"/>
          </w:pPr>
          <w:r>
            <w:t>Submission</w:t>
          </w:r>
          <w:r w:rsidRPr="00487162">
            <w:t xml:space="preserve"> PM-20</w:t>
          </w:r>
          <w:r>
            <w:t>12</w:t>
          </w:r>
          <w:r w:rsidRPr="00487162">
            <w:t>-</w:t>
          </w:r>
          <w:r>
            <w:t>04453-1-4 Extract from the Clinical Evaluation Report for MabThera SC</w:t>
          </w:r>
        </w:p>
      </w:tc>
      <w:tc>
        <w:tcPr>
          <w:tcW w:w="923" w:type="dxa"/>
          <w:tcMar>
            <w:top w:w="142" w:type="dxa"/>
            <w:bottom w:w="0" w:type="dxa"/>
          </w:tcMar>
        </w:tcPr>
        <w:p w:rsidR="00596BEA" w:rsidRPr="00487162" w:rsidRDefault="00596BEA" w:rsidP="00D855D4">
          <w:pPr>
            <w:pStyle w:val="Footer"/>
            <w:jc w:val="right"/>
          </w:pPr>
          <w:r w:rsidRPr="00487162">
            <w:t xml:space="preserve">Page </w:t>
          </w:r>
          <w:r>
            <w:t>2</w:t>
          </w:r>
          <w:r w:rsidRPr="00487162">
            <w:t xml:space="preserve"> of </w:t>
          </w:r>
          <w:r w:rsidR="00A6057D">
            <w:fldChar w:fldCharType="begin"/>
          </w:r>
          <w:r w:rsidR="00A6057D">
            <w:instrText xml:space="preserve"> NUMPAGES  \* Arabic </w:instrText>
          </w:r>
          <w:r w:rsidR="00A6057D">
            <w:fldChar w:fldCharType="separate"/>
          </w:r>
          <w:r w:rsidR="00A6057D">
            <w:rPr>
              <w:noProof/>
            </w:rPr>
            <w:t>37</w:t>
          </w:r>
          <w:r w:rsidR="00A6057D">
            <w:rPr>
              <w:noProof/>
            </w:rPr>
            <w:fldChar w:fldCharType="end"/>
          </w:r>
        </w:p>
      </w:tc>
    </w:tr>
  </w:tbl>
  <w:p w:rsidR="00596BEA" w:rsidRDefault="00596BEA"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170" w:type="dxa"/>
        <w:right w:w="0" w:type="dxa"/>
      </w:tblCellMar>
      <w:tblLook w:val="04A0" w:firstRow="1" w:lastRow="0" w:firstColumn="1" w:lastColumn="0" w:noHBand="0" w:noVBand="1"/>
    </w:tblPr>
    <w:tblGrid>
      <w:gridCol w:w="7655"/>
      <w:gridCol w:w="1206"/>
    </w:tblGrid>
    <w:tr w:rsidR="00596BEA" w:rsidRPr="00487162" w:rsidTr="00586F98">
      <w:trPr>
        <w:trHeight w:val="269"/>
      </w:trPr>
      <w:tc>
        <w:tcPr>
          <w:tcW w:w="7655" w:type="dxa"/>
          <w:tcMar>
            <w:top w:w="142" w:type="dxa"/>
            <w:bottom w:w="0" w:type="dxa"/>
          </w:tcMar>
        </w:tcPr>
        <w:p w:rsidR="00596BEA" w:rsidRPr="00487162" w:rsidRDefault="00596BEA" w:rsidP="00CF36B0">
          <w:pPr>
            <w:pStyle w:val="Footer"/>
          </w:pPr>
          <w:r>
            <w:t>Submission</w:t>
          </w:r>
          <w:r w:rsidRPr="00487162">
            <w:t xml:space="preserve"> PM-20</w:t>
          </w:r>
          <w:r>
            <w:t>12</w:t>
          </w:r>
          <w:r w:rsidRPr="00487162">
            <w:t>-</w:t>
          </w:r>
          <w:r>
            <w:t>04453-1-4 Extract from the Clinical Evaluation Report for MabThera SC</w:t>
          </w:r>
        </w:p>
      </w:tc>
      <w:tc>
        <w:tcPr>
          <w:tcW w:w="1206" w:type="dxa"/>
          <w:tcMar>
            <w:top w:w="142" w:type="dxa"/>
            <w:bottom w:w="0" w:type="dxa"/>
          </w:tcMar>
        </w:tcPr>
        <w:p w:rsidR="00596BEA" w:rsidRPr="00487162" w:rsidRDefault="00596BEA" w:rsidP="00E45619">
          <w:pPr>
            <w:pStyle w:val="Footer"/>
            <w:jc w:val="right"/>
          </w:pPr>
          <w:r w:rsidRPr="00487162">
            <w:t xml:space="preserve">Page </w:t>
          </w:r>
          <w:r>
            <w:fldChar w:fldCharType="begin"/>
          </w:r>
          <w:r>
            <w:instrText>PAGE</w:instrText>
          </w:r>
          <w:r>
            <w:fldChar w:fldCharType="separate"/>
          </w:r>
          <w:r w:rsidR="00A6057D">
            <w:rPr>
              <w:noProof/>
            </w:rPr>
            <w:t>4</w:t>
          </w:r>
          <w:r>
            <w:rPr>
              <w:noProof/>
            </w:rPr>
            <w:fldChar w:fldCharType="end"/>
          </w:r>
          <w:r w:rsidRPr="00487162">
            <w:t xml:space="preserve"> of </w:t>
          </w:r>
          <w:r w:rsidR="00A6057D">
            <w:fldChar w:fldCharType="begin"/>
          </w:r>
          <w:r w:rsidR="00A6057D">
            <w:instrText xml:space="preserve"> NUMPAGES  \* Arabic </w:instrText>
          </w:r>
          <w:r w:rsidR="00A6057D">
            <w:fldChar w:fldCharType="separate"/>
          </w:r>
          <w:r w:rsidR="00A6057D">
            <w:rPr>
              <w:noProof/>
            </w:rPr>
            <w:t>37</w:t>
          </w:r>
          <w:r w:rsidR="00A6057D">
            <w:rPr>
              <w:noProof/>
            </w:rPr>
            <w:fldChar w:fldCharType="end"/>
          </w:r>
        </w:p>
      </w:tc>
    </w:tr>
  </w:tbl>
  <w:p w:rsidR="00596BEA" w:rsidRDefault="00596BEA" w:rsidP="00E2613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596BEA" w:rsidRPr="00487162" w:rsidTr="00E45619">
      <w:trPr>
        <w:trHeight w:val="269"/>
      </w:trPr>
      <w:tc>
        <w:tcPr>
          <w:tcW w:w="4519" w:type="dxa"/>
          <w:tcBorders>
            <w:top w:val="single" w:sz="4" w:space="0" w:color="auto"/>
          </w:tcBorders>
          <w:tcMar>
            <w:top w:w="142" w:type="dxa"/>
            <w:bottom w:w="0" w:type="dxa"/>
          </w:tcMar>
        </w:tcPr>
        <w:p w:rsidR="00596BEA" w:rsidRPr="00487162" w:rsidRDefault="00596BEA" w:rsidP="00FE1DEE">
          <w:pPr>
            <w:pStyle w:val="Footer"/>
          </w:pPr>
          <w:r w:rsidRPr="00487162">
            <w:t>Document title, Part #, Section # - Section title</w:t>
          </w:r>
        </w:p>
        <w:p w:rsidR="00596BEA" w:rsidRPr="00487162" w:rsidRDefault="00596BEA" w:rsidP="00FE1DEE">
          <w:pPr>
            <w:pStyle w:val="Footer"/>
          </w:pPr>
          <w:r w:rsidRPr="00487162">
            <w:t>V1.0 October 2010</w:t>
          </w:r>
        </w:p>
      </w:tc>
      <w:tc>
        <w:tcPr>
          <w:tcW w:w="4342" w:type="dxa"/>
          <w:tcBorders>
            <w:top w:val="single" w:sz="4" w:space="0" w:color="auto"/>
          </w:tcBorders>
          <w:tcMar>
            <w:top w:w="142" w:type="dxa"/>
            <w:bottom w:w="0" w:type="dxa"/>
          </w:tcMar>
        </w:tcPr>
        <w:p w:rsidR="00596BEA" w:rsidRPr="00487162" w:rsidRDefault="00596BEA"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A6057D">
            <w:fldChar w:fldCharType="begin"/>
          </w:r>
          <w:r w:rsidR="00A6057D">
            <w:instrText xml:space="preserve"> NUMPAGES  </w:instrText>
          </w:r>
          <w:r w:rsidR="00A6057D">
            <w:fldChar w:fldCharType="separate"/>
          </w:r>
          <w:r>
            <w:rPr>
              <w:noProof/>
            </w:rPr>
            <w:t>2</w:t>
          </w:r>
          <w:r w:rsidR="00A6057D">
            <w:rPr>
              <w:noProof/>
            </w:rPr>
            <w:fldChar w:fldCharType="end"/>
          </w:r>
        </w:p>
      </w:tc>
    </w:tr>
  </w:tbl>
  <w:p w:rsidR="00596BEA" w:rsidRDefault="00596BE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BEA" w:rsidRDefault="00596BEA" w:rsidP="008E7846">
    <w:pPr>
      <w:pStyle w:val="Note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596BEA" w:rsidTr="0010601F">
      <w:trPr>
        <w:trHeight w:val="108"/>
      </w:trPr>
      <w:tc>
        <w:tcPr>
          <w:tcW w:w="8875" w:type="dxa"/>
          <w:gridSpan w:val="2"/>
          <w:tcBorders>
            <w:bottom w:val="single" w:sz="4" w:space="0" w:color="auto"/>
          </w:tcBorders>
          <w:tcMar>
            <w:right w:w="284" w:type="dxa"/>
          </w:tcMar>
        </w:tcPr>
        <w:p w:rsidR="00596BEA" w:rsidRDefault="00596BEA" w:rsidP="006E08B3">
          <w:pPr>
            <w:pStyle w:val="Heading3"/>
          </w:pPr>
          <w:r>
            <w:t>Copyright</w:t>
          </w:r>
        </w:p>
        <w:p w:rsidR="00596BEA" w:rsidRDefault="00596BEA" w:rsidP="006E08B3">
          <w:r>
            <w:rPr>
              <w:rFonts w:cs="Arial"/>
            </w:rPr>
            <w:t>©</w:t>
          </w:r>
          <w:r>
            <w:t xml:space="preserve"> Commonwealth of Australia [add year]</w:t>
          </w:r>
        </w:p>
        <w:p w:rsidR="00596BEA" w:rsidRDefault="00596BEA" w:rsidP="006E08B3"/>
        <w:p w:rsidR="00596BEA" w:rsidRDefault="00596BEA"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596BEA" w:rsidRDefault="00596BEA" w:rsidP="006E08B3"/>
        <w:p w:rsidR="00596BEA" w:rsidRDefault="00596BEA" w:rsidP="006E08B3">
          <w:pPr>
            <w:pStyle w:val="Heading3"/>
          </w:pPr>
          <w:r>
            <w:t>Confidentiality</w:t>
          </w:r>
        </w:p>
        <w:p w:rsidR="00596BEA" w:rsidRDefault="00596BEA"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596BEA" w:rsidRDefault="00596BEA" w:rsidP="006E08B3"/>
        <w:p w:rsidR="00596BEA" w:rsidRDefault="00596BEA" w:rsidP="006E08B3">
          <w:r>
            <w:t>For submission made by individuals, all personal details, other than your name, will be removed from your submission before it is published on the TGA’s Internet site.</w:t>
          </w:r>
        </w:p>
        <w:p w:rsidR="00596BEA" w:rsidRDefault="00596BEA" w:rsidP="006E08B3"/>
        <w:p w:rsidR="00596BEA" w:rsidRDefault="00596BEA" w:rsidP="006E08B3">
          <w:r>
            <w:t>In addition, a list of parties making submissions will be published. If you do not wish to be identified with your submission you must specifically request this in the space provided ib the submission coversheet.</w:t>
          </w:r>
        </w:p>
      </w:tc>
    </w:tr>
    <w:tr w:rsidR="00596BEA" w:rsidTr="0010601F">
      <w:trPr>
        <w:trHeight w:val="417"/>
      </w:trPr>
      <w:tc>
        <w:tcPr>
          <w:tcW w:w="4519" w:type="dxa"/>
          <w:tcBorders>
            <w:top w:val="single" w:sz="4" w:space="0" w:color="auto"/>
          </w:tcBorders>
          <w:tcMar>
            <w:top w:w="142" w:type="dxa"/>
            <w:bottom w:w="0" w:type="dxa"/>
          </w:tcMar>
        </w:tcPr>
        <w:p w:rsidR="00596BEA" w:rsidRDefault="00596BEA" w:rsidP="006E08B3">
          <w:r>
            <w:t>Document title, Part #, Section # - Section title</w:t>
          </w:r>
        </w:p>
        <w:p w:rsidR="00596BEA" w:rsidRDefault="00596BEA" w:rsidP="006E08B3">
          <w:r>
            <w:t>V1.0 October 2010</w:t>
          </w:r>
        </w:p>
      </w:tc>
      <w:tc>
        <w:tcPr>
          <w:tcW w:w="4356" w:type="dxa"/>
          <w:tcBorders>
            <w:top w:val="single" w:sz="4" w:space="0" w:color="auto"/>
          </w:tcBorders>
          <w:tcMar>
            <w:top w:w="142" w:type="dxa"/>
            <w:bottom w:w="0" w:type="dxa"/>
          </w:tcMar>
        </w:tcPr>
        <w:p w:rsidR="00596BEA" w:rsidRDefault="00596BEA"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A6057D">
            <w:fldChar w:fldCharType="begin"/>
          </w:r>
          <w:r w:rsidR="00A6057D">
            <w:instrText xml:space="preserve"> NUMPAGES  \* Arabic </w:instrText>
          </w:r>
          <w:r w:rsidR="00A6057D">
            <w:fldChar w:fldCharType="separate"/>
          </w:r>
          <w:r>
            <w:rPr>
              <w:noProof/>
            </w:rPr>
            <w:t>2</w:t>
          </w:r>
          <w:r w:rsidR="00A6057D">
            <w:rPr>
              <w:noProof/>
            </w:rPr>
            <w:fldChar w:fldCharType="end"/>
          </w:r>
          <w:r>
            <w:t xml:space="preserve"> </w:t>
          </w:r>
        </w:p>
      </w:tc>
    </w:tr>
  </w:tbl>
  <w:p w:rsidR="00596BEA" w:rsidRDefault="00596BE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6BEA" w:rsidRDefault="00596BEA" w:rsidP="00C40A36">
      <w:pPr>
        <w:spacing w:after="0"/>
      </w:pPr>
      <w:r>
        <w:separator/>
      </w:r>
    </w:p>
  </w:footnote>
  <w:footnote w:type="continuationSeparator" w:id="0">
    <w:p w:rsidR="00596BEA" w:rsidRDefault="00596BEA" w:rsidP="00C40A3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BEA" w:rsidRDefault="00596BEA"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BEA" w:rsidRDefault="00596BEA">
    <w:pPr>
      <w:rPr>
        <w:noProof/>
        <w:lang w:eastAsia="en-AU"/>
      </w:rPr>
    </w:pPr>
    <w:r w:rsidRPr="002D545C">
      <w:rPr>
        <w:noProof/>
        <w:lang w:eastAsia="en-AU"/>
      </w:rPr>
      <w:drawing>
        <wp:anchor distT="0" distB="0" distL="114300" distR="114300" simplePos="0" relativeHeight="251659264" behindDoc="1" locked="0" layoutInCell="1" allowOverlap="1" wp14:anchorId="134E6A47" wp14:editId="424FF37E">
          <wp:simplePos x="0" y="0"/>
          <wp:positionH relativeFrom="column">
            <wp:posOffset>-1089660</wp:posOffset>
          </wp:positionH>
          <wp:positionV relativeFrom="paragraph">
            <wp:posOffset>-585470</wp:posOffset>
          </wp:positionV>
          <wp:extent cx="7572375" cy="10706100"/>
          <wp:effectExtent l="19050" t="0" r="0" b="0"/>
          <wp:wrapNone/>
          <wp:docPr id="5"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596BEA" w:rsidRDefault="00596BEA" w:rsidP="00593AD1">
    <w:pPr>
      <w:pStyle w:val="HeaderNoLine"/>
    </w:pPr>
    <w:r>
      <w:rPr>
        <w:noProof/>
        <w:lang w:eastAsia="en-AU"/>
      </w:rPr>
      <w:drawing>
        <wp:inline distT="0" distB="0" distL="0" distR="0">
          <wp:extent cx="5395595" cy="7632700"/>
          <wp:effectExtent l="0" t="0" r="0" b="635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95595" cy="763270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BEA" w:rsidRDefault="00596BE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BEA" w:rsidRDefault="00596BEA">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BEA" w:rsidRDefault="00596BEA">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BEA" w:rsidRDefault="00596BE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BEA" w:rsidRDefault="00596BEA"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BEA" w:rsidRDefault="00596BEA" w:rsidP="006E08B3">
    <w:r>
      <w:t>Therapeutic Goods Administration</w:t>
    </w:r>
  </w:p>
  <w:p w:rsidR="00596BEA" w:rsidRDefault="00596BEA"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nsid w:val="1B3458CF"/>
    <w:multiLevelType w:val="hybridMultilevel"/>
    <w:tmpl w:val="A1303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8">
    <w:nsid w:val="3CDE52D0"/>
    <w:multiLevelType w:val="hybridMultilevel"/>
    <w:tmpl w:val="BB3EDD04"/>
    <w:lvl w:ilvl="0" w:tplc="1D1E80C4">
      <w:start w:val="1"/>
      <w:numFmt w:val="decimal"/>
      <w:lvlText w:val="2.6.%1"/>
      <w:lvlJc w:val="left"/>
      <w:pPr>
        <w:ind w:left="720" w:hanging="360"/>
      </w:pPr>
      <w:rPr>
        <w:rFonts w:ascii="Arial" w:hAnsi="Arial" w:hint="default"/>
        <w:b/>
        <w:i w:val="0"/>
        <w:color w:val="auto"/>
        <w:sz w:val="32"/>
        <w:u w:color="FFFFFF" w:themeColor="background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42EA5F4F"/>
    <w:multiLevelType w:val="hybridMultilevel"/>
    <w:tmpl w:val="6AAA8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73D21B7"/>
    <w:multiLevelType w:val="hybridMultilevel"/>
    <w:tmpl w:val="42EA7A76"/>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
    <w:nsid w:val="4D6B36A5"/>
    <w:multiLevelType w:val="hybridMultilevel"/>
    <w:tmpl w:val="78888DE2"/>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2">
    <w:nsid w:val="5D693CE8"/>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3">
    <w:nsid w:val="678B0AC9"/>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4">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15">
    <w:nsid w:val="788A096D"/>
    <w:multiLevelType w:val="hybridMultilevel"/>
    <w:tmpl w:val="F77E514C"/>
    <w:lvl w:ilvl="0" w:tplc="2A4851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5"/>
  </w:num>
  <w:num w:numId="4">
    <w:abstractNumId w:val="5"/>
  </w:num>
  <w:num w:numId="5">
    <w:abstractNumId w:val="0"/>
  </w:num>
  <w:num w:numId="6">
    <w:abstractNumId w:val="5"/>
  </w:num>
  <w:num w:numId="7">
    <w:abstractNumId w:val="5"/>
  </w:num>
  <w:num w:numId="8">
    <w:abstractNumId w:val="4"/>
  </w:num>
  <w:num w:numId="9">
    <w:abstractNumId w:val="4"/>
  </w:num>
  <w:num w:numId="10">
    <w:abstractNumId w:val="4"/>
  </w:num>
  <w:num w:numId="11">
    <w:abstractNumId w:val="4"/>
  </w:num>
  <w:num w:numId="12">
    <w:abstractNumId w:val="3"/>
    <w:lvlOverride w:ilvl="0">
      <w:lvl w:ilvl="0">
        <w:numFmt w:val="bullet"/>
        <w:lvlText w:val="•"/>
        <w:legacy w:legacy="1" w:legacySpace="0" w:legacyIndent="0"/>
        <w:lvlJc w:val="left"/>
        <w:rPr>
          <w:rFonts w:ascii="Helv" w:hAnsi="Helv" w:hint="default"/>
        </w:rPr>
      </w:lvl>
    </w:lvlOverride>
  </w:num>
  <w:num w:numId="13">
    <w:abstractNumId w:val="5"/>
  </w:num>
  <w:num w:numId="14">
    <w:abstractNumId w:val="5"/>
  </w:num>
  <w:num w:numId="15">
    <w:abstractNumId w:val="5"/>
  </w:num>
  <w:num w:numId="16">
    <w:abstractNumId w:val="4"/>
  </w:num>
  <w:num w:numId="17">
    <w:abstractNumId w:val="4"/>
  </w:num>
  <w:num w:numId="18">
    <w:abstractNumId w:val="4"/>
  </w:num>
  <w:num w:numId="19">
    <w:abstractNumId w:val="5"/>
  </w:num>
  <w:num w:numId="20">
    <w:abstractNumId w:val="5"/>
  </w:num>
  <w:num w:numId="21">
    <w:abstractNumId w:val="5"/>
  </w:num>
  <w:num w:numId="22">
    <w:abstractNumId w:val="4"/>
  </w:num>
  <w:num w:numId="23">
    <w:abstractNumId w:val="4"/>
  </w:num>
  <w:num w:numId="24">
    <w:abstractNumId w:val="4"/>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5">
    <w:abstractNumId w:val="8"/>
  </w:num>
  <w:num w:numId="26">
    <w:abstractNumId w:val="11"/>
  </w:num>
  <w:num w:numId="27">
    <w:abstractNumId w:val="12"/>
  </w:num>
  <w:num w:numId="28">
    <w:abstractNumId w:val="13"/>
  </w:num>
  <w:num w:numId="29">
    <w:abstractNumId w:val="14"/>
  </w:num>
  <w:num w:numId="30">
    <w:abstractNumId w:val="14"/>
  </w:num>
  <w:num w:numId="31">
    <w:abstractNumId w:val="14"/>
  </w:num>
  <w:num w:numId="32">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3">
    <w:abstractNumId w:val="9"/>
  </w:num>
  <w:num w:numId="34">
    <w:abstractNumId w:val="10"/>
  </w:num>
  <w:num w:numId="35">
    <w:abstractNumId w:val="7"/>
  </w:num>
  <w:num w:numId="36">
    <w:abstractNumId w:val="6"/>
  </w:num>
  <w:num w:numId="3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6"/>
  <w:displayBackgroundShape/>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1816"/>
    <w:rsid w:val="00002031"/>
    <w:rsid w:val="00004734"/>
    <w:rsid w:val="00006B22"/>
    <w:rsid w:val="0001276A"/>
    <w:rsid w:val="000246AE"/>
    <w:rsid w:val="00025C67"/>
    <w:rsid w:val="00040ACB"/>
    <w:rsid w:val="0005559E"/>
    <w:rsid w:val="00077775"/>
    <w:rsid w:val="00090471"/>
    <w:rsid w:val="000A3AED"/>
    <w:rsid w:val="000A63AF"/>
    <w:rsid w:val="000B3532"/>
    <w:rsid w:val="000B3A75"/>
    <w:rsid w:val="000C690F"/>
    <w:rsid w:val="000D1295"/>
    <w:rsid w:val="000D391B"/>
    <w:rsid w:val="000D3D6D"/>
    <w:rsid w:val="000D4FC7"/>
    <w:rsid w:val="000F02F9"/>
    <w:rsid w:val="000F4869"/>
    <w:rsid w:val="000F5B42"/>
    <w:rsid w:val="000F6E6F"/>
    <w:rsid w:val="00104613"/>
    <w:rsid w:val="0010601F"/>
    <w:rsid w:val="0010788A"/>
    <w:rsid w:val="00107A31"/>
    <w:rsid w:val="00110EA5"/>
    <w:rsid w:val="00112F56"/>
    <w:rsid w:val="00125318"/>
    <w:rsid w:val="001305A2"/>
    <w:rsid w:val="00133238"/>
    <w:rsid w:val="0014197B"/>
    <w:rsid w:val="00141EB2"/>
    <w:rsid w:val="001447CD"/>
    <w:rsid w:val="001516B1"/>
    <w:rsid w:val="00154EBB"/>
    <w:rsid w:val="00156316"/>
    <w:rsid w:val="00165389"/>
    <w:rsid w:val="0017078F"/>
    <w:rsid w:val="0017693F"/>
    <w:rsid w:val="0018110E"/>
    <w:rsid w:val="00181684"/>
    <w:rsid w:val="001843C6"/>
    <w:rsid w:val="001850E0"/>
    <w:rsid w:val="001A2158"/>
    <w:rsid w:val="001A525F"/>
    <w:rsid w:val="001B09F9"/>
    <w:rsid w:val="001B43D0"/>
    <w:rsid w:val="001B5D98"/>
    <w:rsid w:val="001B6448"/>
    <w:rsid w:val="001E07CF"/>
    <w:rsid w:val="001E59F1"/>
    <w:rsid w:val="001F49EB"/>
    <w:rsid w:val="001F6CBA"/>
    <w:rsid w:val="00201D4E"/>
    <w:rsid w:val="00202E2A"/>
    <w:rsid w:val="002076C9"/>
    <w:rsid w:val="002114A9"/>
    <w:rsid w:val="00220B8A"/>
    <w:rsid w:val="002257F3"/>
    <w:rsid w:val="00233456"/>
    <w:rsid w:val="002339A5"/>
    <w:rsid w:val="002525A9"/>
    <w:rsid w:val="00257848"/>
    <w:rsid w:val="002666AC"/>
    <w:rsid w:val="0027084A"/>
    <w:rsid w:val="00286434"/>
    <w:rsid w:val="00286C59"/>
    <w:rsid w:val="00292113"/>
    <w:rsid w:val="002942D1"/>
    <w:rsid w:val="0029501A"/>
    <w:rsid w:val="00295B82"/>
    <w:rsid w:val="002A6059"/>
    <w:rsid w:val="002B1638"/>
    <w:rsid w:val="002B6747"/>
    <w:rsid w:val="002C63ED"/>
    <w:rsid w:val="002D36B0"/>
    <w:rsid w:val="002D545C"/>
    <w:rsid w:val="002D6161"/>
    <w:rsid w:val="002E4C9A"/>
    <w:rsid w:val="002F11F8"/>
    <w:rsid w:val="002F3F56"/>
    <w:rsid w:val="002F44B5"/>
    <w:rsid w:val="00311AC0"/>
    <w:rsid w:val="00311B7E"/>
    <w:rsid w:val="0032583B"/>
    <w:rsid w:val="00327883"/>
    <w:rsid w:val="00335504"/>
    <w:rsid w:val="003521E8"/>
    <w:rsid w:val="003728F3"/>
    <w:rsid w:val="0037496E"/>
    <w:rsid w:val="0037623D"/>
    <w:rsid w:val="00386150"/>
    <w:rsid w:val="003874CE"/>
    <w:rsid w:val="00390900"/>
    <w:rsid w:val="00396C92"/>
    <w:rsid w:val="003A7F6C"/>
    <w:rsid w:val="003B1113"/>
    <w:rsid w:val="003B4D60"/>
    <w:rsid w:val="003B634F"/>
    <w:rsid w:val="003B7E39"/>
    <w:rsid w:val="003C58DC"/>
    <w:rsid w:val="003D0A3B"/>
    <w:rsid w:val="003D1E62"/>
    <w:rsid w:val="003E2486"/>
    <w:rsid w:val="003E3208"/>
    <w:rsid w:val="003F0B04"/>
    <w:rsid w:val="0040134E"/>
    <w:rsid w:val="00415D59"/>
    <w:rsid w:val="00422430"/>
    <w:rsid w:val="0043797D"/>
    <w:rsid w:val="00440A2D"/>
    <w:rsid w:val="004564A7"/>
    <w:rsid w:val="004617BF"/>
    <w:rsid w:val="00463658"/>
    <w:rsid w:val="004722CC"/>
    <w:rsid w:val="00493614"/>
    <w:rsid w:val="004936E4"/>
    <w:rsid w:val="00494E60"/>
    <w:rsid w:val="00497487"/>
    <w:rsid w:val="004A7E13"/>
    <w:rsid w:val="004B7B76"/>
    <w:rsid w:val="004C2DCA"/>
    <w:rsid w:val="004F0F38"/>
    <w:rsid w:val="004F4AF5"/>
    <w:rsid w:val="00501921"/>
    <w:rsid w:val="00530354"/>
    <w:rsid w:val="0053625B"/>
    <w:rsid w:val="005434C6"/>
    <w:rsid w:val="00543B39"/>
    <w:rsid w:val="00550096"/>
    <w:rsid w:val="00557FF9"/>
    <w:rsid w:val="00576378"/>
    <w:rsid w:val="00577945"/>
    <w:rsid w:val="00577E38"/>
    <w:rsid w:val="00585322"/>
    <w:rsid w:val="005857C6"/>
    <w:rsid w:val="00586F98"/>
    <w:rsid w:val="00592F6E"/>
    <w:rsid w:val="00593AD1"/>
    <w:rsid w:val="00596BEA"/>
    <w:rsid w:val="005A68B6"/>
    <w:rsid w:val="005C5570"/>
    <w:rsid w:val="005C6357"/>
    <w:rsid w:val="005C79A4"/>
    <w:rsid w:val="005D19C4"/>
    <w:rsid w:val="005D5442"/>
    <w:rsid w:val="00603F32"/>
    <w:rsid w:val="00620406"/>
    <w:rsid w:val="00632398"/>
    <w:rsid w:val="00640FC3"/>
    <w:rsid w:val="00642020"/>
    <w:rsid w:val="00646206"/>
    <w:rsid w:val="0065337B"/>
    <w:rsid w:val="0065419D"/>
    <w:rsid w:val="006604D8"/>
    <w:rsid w:val="00664A5B"/>
    <w:rsid w:val="006763D2"/>
    <w:rsid w:val="00680C08"/>
    <w:rsid w:val="006931B1"/>
    <w:rsid w:val="006A15C0"/>
    <w:rsid w:val="006B7A34"/>
    <w:rsid w:val="006C130C"/>
    <w:rsid w:val="006C3E2A"/>
    <w:rsid w:val="006C642F"/>
    <w:rsid w:val="006C7B48"/>
    <w:rsid w:val="006D03E5"/>
    <w:rsid w:val="006D5D3E"/>
    <w:rsid w:val="006E08B3"/>
    <w:rsid w:val="006F17AC"/>
    <w:rsid w:val="006F1D37"/>
    <w:rsid w:val="006F2796"/>
    <w:rsid w:val="006F572E"/>
    <w:rsid w:val="007046D6"/>
    <w:rsid w:val="00705DB0"/>
    <w:rsid w:val="00715816"/>
    <w:rsid w:val="00722B57"/>
    <w:rsid w:val="0074253D"/>
    <w:rsid w:val="0074429B"/>
    <w:rsid w:val="00746D90"/>
    <w:rsid w:val="007513B4"/>
    <w:rsid w:val="00756268"/>
    <w:rsid w:val="007615BC"/>
    <w:rsid w:val="00762F05"/>
    <w:rsid w:val="007652FF"/>
    <w:rsid w:val="00766AFA"/>
    <w:rsid w:val="00770EF1"/>
    <w:rsid w:val="00773EF7"/>
    <w:rsid w:val="00774E1D"/>
    <w:rsid w:val="0077675A"/>
    <w:rsid w:val="00780355"/>
    <w:rsid w:val="00785721"/>
    <w:rsid w:val="00793A59"/>
    <w:rsid w:val="007B6E9F"/>
    <w:rsid w:val="007C1216"/>
    <w:rsid w:val="007C1AF7"/>
    <w:rsid w:val="007D7BBE"/>
    <w:rsid w:val="007E6E27"/>
    <w:rsid w:val="00805D27"/>
    <w:rsid w:val="008073ED"/>
    <w:rsid w:val="00821776"/>
    <w:rsid w:val="008321F5"/>
    <w:rsid w:val="00832369"/>
    <w:rsid w:val="00834660"/>
    <w:rsid w:val="00836BC2"/>
    <w:rsid w:val="008414A0"/>
    <w:rsid w:val="0085641B"/>
    <w:rsid w:val="00857136"/>
    <w:rsid w:val="00862A0F"/>
    <w:rsid w:val="00886D15"/>
    <w:rsid w:val="00887DD8"/>
    <w:rsid w:val="00896018"/>
    <w:rsid w:val="008960DD"/>
    <w:rsid w:val="0089635C"/>
    <w:rsid w:val="008A2B9D"/>
    <w:rsid w:val="008A5E0B"/>
    <w:rsid w:val="008A6D59"/>
    <w:rsid w:val="008B4B03"/>
    <w:rsid w:val="008B596F"/>
    <w:rsid w:val="008B5A3E"/>
    <w:rsid w:val="008C159F"/>
    <w:rsid w:val="008C1623"/>
    <w:rsid w:val="008C1850"/>
    <w:rsid w:val="008C51A9"/>
    <w:rsid w:val="008D4C87"/>
    <w:rsid w:val="008D770F"/>
    <w:rsid w:val="008E7846"/>
    <w:rsid w:val="008F1CCC"/>
    <w:rsid w:val="008F2967"/>
    <w:rsid w:val="008F6943"/>
    <w:rsid w:val="00902A21"/>
    <w:rsid w:val="00920330"/>
    <w:rsid w:val="009219D7"/>
    <w:rsid w:val="00922D53"/>
    <w:rsid w:val="00923B70"/>
    <w:rsid w:val="00924482"/>
    <w:rsid w:val="00930237"/>
    <w:rsid w:val="00933573"/>
    <w:rsid w:val="00946EA5"/>
    <w:rsid w:val="0095160F"/>
    <w:rsid w:val="00963C08"/>
    <w:rsid w:val="0098585A"/>
    <w:rsid w:val="0098669D"/>
    <w:rsid w:val="009A0EB0"/>
    <w:rsid w:val="009A4CED"/>
    <w:rsid w:val="009A690D"/>
    <w:rsid w:val="009B1D12"/>
    <w:rsid w:val="009B416B"/>
    <w:rsid w:val="009C4BD5"/>
    <w:rsid w:val="009D7B77"/>
    <w:rsid w:val="009E0BB0"/>
    <w:rsid w:val="009E3FBB"/>
    <w:rsid w:val="00A102E4"/>
    <w:rsid w:val="00A12C42"/>
    <w:rsid w:val="00A14DF7"/>
    <w:rsid w:val="00A20B0A"/>
    <w:rsid w:val="00A235D9"/>
    <w:rsid w:val="00A3246D"/>
    <w:rsid w:val="00A36FA7"/>
    <w:rsid w:val="00A4228F"/>
    <w:rsid w:val="00A475B7"/>
    <w:rsid w:val="00A47AF7"/>
    <w:rsid w:val="00A47C3E"/>
    <w:rsid w:val="00A50226"/>
    <w:rsid w:val="00A6057D"/>
    <w:rsid w:val="00A60BAD"/>
    <w:rsid w:val="00A85772"/>
    <w:rsid w:val="00A964D1"/>
    <w:rsid w:val="00AA0ED0"/>
    <w:rsid w:val="00AA3499"/>
    <w:rsid w:val="00AB2DB9"/>
    <w:rsid w:val="00AB5A09"/>
    <w:rsid w:val="00AC2B40"/>
    <w:rsid w:val="00AC2BB2"/>
    <w:rsid w:val="00AC2C3C"/>
    <w:rsid w:val="00AC512D"/>
    <w:rsid w:val="00AE01C2"/>
    <w:rsid w:val="00AE65EB"/>
    <w:rsid w:val="00AE67A7"/>
    <w:rsid w:val="00AF1D94"/>
    <w:rsid w:val="00AF60C5"/>
    <w:rsid w:val="00B009C6"/>
    <w:rsid w:val="00B01548"/>
    <w:rsid w:val="00B02208"/>
    <w:rsid w:val="00B1425E"/>
    <w:rsid w:val="00B21D29"/>
    <w:rsid w:val="00B25034"/>
    <w:rsid w:val="00B33588"/>
    <w:rsid w:val="00B33863"/>
    <w:rsid w:val="00B3567E"/>
    <w:rsid w:val="00B37D17"/>
    <w:rsid w:val="00B4175E"/>
    <w:rsid w:val="00B452CE"/>
    <w:rsid w:val="00B54C25"/>
    <w:rsid w:val="00B76B91"/>
    <w:rsid w:val="00B77EB1"/>
    <w:rsid w:val="00B811C6"/>
    <w:rsid w:val="00B85A87"/>
    <w:rsid w:val="00B864AF"/>
    <w:rsid w:val="00B92E08"/>
    <w:rsid w:val="00B96EBE"/>
    <w:rsid w:val="00BC622A"/>
    <w:rsid w:val="00BD45E3"/>
    <w:rsid w:val="00BE0A78"/>
    <w:rsid w:val="00BE6252"/>
    <w:rsid w:val="00BE79F0"/>
    <w:rsid w:val="00BF046D"/>
    <w:rsid w:val="00BF1190"/>
    <w:rsid w:val="00BF5D04"/>
    <w:rsid w:val="00C1164D"/>
    <w:rsid w:val="00C16861"/>
    <w:rsid w:val="00C22678"/>
    <w:rsid w:val="00C404A6"/>
    <w:rsid w:val="00C40A36"/>
    <w:rsid w:val="00C44419"/>
    <w:rsid w:val="00C45E7B"/>
    <w:rsid w:val="00C471B1"/>
    <w:rsid w:val="00C618F7"/>
    <w:rsid w:val="00C6316B"/>
    <w:rsid w:val="00C634A9"/>
    <w:rsid w:val="00C64586"/>
    <w:rsid w:val="00C70D53"/>
    <w:rsid w:val="00C73D0B"/>
    <w:rsid w:val="00C772FF"/>
    <w:rsid w:val="00C801AF"/>
    <w:rsid w:val="00C80256"/>
    <w:rsid w:val="00C811C0"/>
    <w:rsid w:val="00CB6BC0"/>
    <w:rsid w:val="00CC1B7C"/>
    <w:rsid w:val="00CC727F"/>
    <w:rsid w:val="00CF15C3"/>
    <w:rsid w:val="00CF2B6F"/>
    <w:rsid w:val="00CF36B0"/>
    <w:rsid w:val="00CF526C"/>
    <w:rsid w:val="00CF58B6"/>
    <w:rsid w:val="00D017ED"/>
    <w:rsid w:val="00D040D3"/>
    <w:rsid w:val="00D04C65"/>
    <w:rsid w:val="00D224FE"/>
    <w:rsid w:val="00D53A31"/>
    <w:rsid w:val="00D6493E"/>
    <w:rsid w:val="00D72403"/>
    <w:rsid w:val="00D7301E"/>
    <w:rsid w:val="00D83AE1"/>
    <w:rsid w:val="00D855D4"/>
    <w:rsid w:val="00D93466"/>
    <w:rsid w:val="00DA1124"/>
    <w:rsid w:val="00DA4800"/>
    <w:rsid w:val="00DB6108"/>
    <w:rsid w:val="00DB75B7"/>
    <w:rsid w:val="00DC6E02"/>
    <w:rsid w:val="00DE02AE"/>
    <w:rsid w:val="00DF1D7F"/>
    <w:rsid w:val="00DF4BE4"/>
    <w:rsid w:val="00E02FB4"/>
    <w:rsid w:val="00E07F15"/>
    <w:rsid w:val="00E20571"/>
    <w:rsid w:val="00E235F7"/>
    <w:rsid w:val="00E23659"/>
    <w:rsid w:val="00E239D4"/>
    <w:rsid w:val="00E26130"/>
    <w:rsid w:val="00E2741C"/>
    <w:rsid w:val="00E31816"/>
    <w:rsid w:val="00E35B49"/>
    <w:rsid w:val="00E40B22"/>
    <w:rsid w:val="00E45619"/>
    <w:rsid w:val="00E4588F"/>
    <w:rsid w:val="00E46DA3"/>
    <w:rsid w:val="00E51BB1"/>
    <w:rsid w:val="00E624A5"/>
    <w:rsid w:val="00E7344E"/>
    <w:rsid w:val="00E813E2"/>
    <w:rsid w:val="00E936E3"/>
    <w:rsid w:val="00EB0798"/>
    <w:rsid w:val="00EB40AD"/>
    <w:rsid w:val="00EB586E"/>
    <w:rsid w:val="00EB5FC8"/>
    <w:rsid w:val="00ED3CAD"/>
    <w:rsid w:val="00ED5A41"/>
    <w:rsid w:val="00EE1DE8"/>
    <w:rsid w:val="00F033EC"/>
    <w:rsid w:val="00F04F68"/>
    <w:rsid w:val="00F0645F"/>
    <w:rsid w:val="00F12670"/>
    <w:rsid w:val="00F14B27"/>
    <w:rsid w:val="00F23A12"/>
    <w:rsid w:val="00F3148D"/>
    <w:rsid w:val="00F325C5"/>
    <w:rsid w:val="00F32FE0"/>
    <w:rsid w:val="00F35298"/>
    <w:rsid w:val="00F47333"/>
    <w:rsid w:val="00F47E37"/>
    <w:rsid w:val="00F53C07"/>
    <w:rsid w:val="00F54B65"/>
    <w:rsid w:val="00F640B6"/>
    <w:rsid w:val="00F80E40"/>
    <w:rsid w:val="00F848D9"/>
    <w:rsid w:val="00FA5B82"/>
    <w:rsid w:val="00FA639E"/>
    <w:rsid w:val="00FC25E4"/>
    <w:rsid w:val="00FC4EF7"/>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31"/>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0F02F9"/>
    <w:pPr>
      <w:keepNext/>
      <w:keepLines/>
      <w:numPr>
        <w:ilvl w:val="3"/>
        <w:numId w:val="31"/>
      </w:numPr>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0F02F9"/>
    <w:pPr>
      <w:keepNext/>
      <w:numPr>
        <w:ilvl w:val="4"/>
        <w:numId w:val="31"/>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
    <w:rsid w:val="000F02F9"/>
    <w:pPr>
      <w:keepNext/>
      <w:numPr>
        <w:ilvl w:val="5"/>
        <w:numId w:val="31"/>
      </w:numPr>
      <w:spacing w:after="60" w:line="180" w:lineRule="atLeast"/>
      <w:ind w:left="1984" w:hanging="1644"/>
      <w:outlineLvl w:val="6"/>
    </w:pPr>
    <w:rPr>
      <w:rFonts w:eastAsia="Times New Roman"/>
      <w:bCs/>
      <w:sz w:val="18"/>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6B7A34"/>
    <w:pPr>
      <w:keepNext/>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0F02F9"/>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link w:val="TabletextChar"/>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character" w:customStyle="1" w:styleId="TableTitleChar">
    <w:name w:val="Table Title Char"/>
    <w:basedOn w:val="DefaultParagraphFont"/>
    <w:link w:val="TableTitle"/>
    <w:rsid w:val="008D4C87"/>
    <w:rPr>
      <w:rFonts w:ascii="Cambria" w:eastAsia="Cambria" w:hAnsi="Cambria" w:cs="Times New Roman"/>
      <w:b/>
      <w:sz w:val="20"/>
    </w:rPr>
  </w:style>
  <w:style w:type="character" w:customStyle="1" w:styleId="TabletextChar">
    <w:name w:val="Table text Char"/>
    <w:basedOn w:val="DefaultParagraphFont"/>
    <w:link w:val="Tabletext"/>
    <w:rsid w:val="008D4C87"/>
    <w:rPr>
      <w:rFonts w:ascii="Cambria" w:eastAsia="Cambria" w:hAnsi="Cambria" w:cs="Times New Roman"/>
      <w:sz w:val="19"/>
    </w:rPr>
  </w:style>
  <w:style w:type="paragraph" w:customStyle="1" w:styleId="Abbreviations">
    <w:name w:val="Abbreviations"/>
    <w:basedOn w:val="Normal"/>
    <w:rsid w:val="008D4C87"/>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customStyle="1" w:styleId="Comment1">
    <w:name w:val="Comment 1"/>
    <w:basedOn w:val="Normal"/>
    <w:next w:val="Normal"/>
    <w:qFormat/>
    <w:rsid w:val="008D4C87"/>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styleId="ListParagraph">
    <w:name w:val="List Paragraph"/>
    <w:basedOn w:val="Normal"/>
    <w:uiPriority w:val="34"/>
    <w:qFormat/>
    <w:rsid w:val="008D4C8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customStyle="1" w:styleId="Bullet1">
    <w:name w:val="Bullet 1"/>
    <w:basedOn w:val="Normal"/>
    <w:rsid w:val="00A4228F"/>
    <w:pPr>
      <w:numPr>
        <w:numId w:val="35"/>
      </w:numPr>
      <w:spacing w:after="0" w:line="240" w:lineRule="auto"/>
    </w:pPr>
    <w:rPr>
      <w:rFonts w:eastAsia="Times New Roman"/>
      <w:kern w:val="24"/>
      <w:szCs w:val="24"/>
      <w:lang w:eastAsia="en-AU"/>
    </w:rPr>
  </w:style>
  <w:style w:type="paragraph" w:customStyle="1" w:styleId="Comment2">
    <w:name w:val="Comment 2"/>
    <w:basedOn w:val="Normal"/>
    <w:qFormat/>
    <w:rsid w:val="00A4228F"/>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character" w:styleId="CommentReference">
    <w:name w:val="annotation reference"/>
    <w:basedOn w:val="DefaultParagraphFont"/>
    <w:uiPriority w:val="99"/>
    <w:semiHidden/>
    <w:unhideWhenUsed/>
    <w:rsid w:val="00DA4800"/>
    <w:rPr>
      <w:sz w:val="16"/>
      <w:szCs w:val="16"/>
    </w:rPr>
  </w:style>
  <w:style w:type="paragraph" w:styleId="CommentText">
    <w:name w:val="annotation text"/>
    <w:basedOn w:val="Normal"/>
    <w:link w:val="CommentTextChar"/>
    <w:uiPriority w:val="99"/>
    <w:semiHidden/>
    <w:unhideWhenUsed/>
    <w:rsid w:val="00DA4800"/>
    <w:pPr>
      <w:spacing w:line="240" w:lineRule="auto"/>
    </w:pPr>
    <w:rPr>
      <w:sz w:val="20"/>
      <w:szCs w:val="20"/>
    </w:rPr>
  </w:style>
  <w:style w:type="character" w:customStyle="1" w:styleId="CommentTextChar">
    <w:name w:val="Comment Text Char"/>
    <w:basedOn w:val="DefaultParagraphFont"/>
    <w:link w:val="CommentText"/>
    <w:uiPriority w:val="99"/>
    <w:semiHidden/>
    <w:rsid w:val="00DA4800"/>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DA4800"/>
    <w:rPr>
      <w:b/>
      <w:bCs/>
    </w:rPr>
  </w:style>
  <w:style w:type="character" w:customStyle="1" w:styleId="CommentSubjectChar">
    <w:name w:val="Comment Subject Char"/>
    <w:basedOn w:val="CommentTextChar"/>
    <w:link w:val="CommentSubject"/>
    <w:uiPriority w:val="99"/>
    <w:semiHidden/>
    <w:rsid w:val="00DA4800"/>
    <w:rPr>
      <w:rFonts w:ascii="Cambria" w:eastAsia="Cambria" w:hAnsi="Cambria"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31"/>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0F02F9"/>
    <w:pPr>
      <w:keepNext/>
      <w:keepLines/>
      <w:numPr>
        <w:ilvl w:val="3"/>
        <w:numId w:val="31"/>
      </w:numPr>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0F02F9"/>
    <w:pPr>
      <w:keepNext/>
      <w:numPr>
        <w:ilvl w:val="4"/>
        <w:numId w:val="31"/>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
    <w:rsid w:val="000F02F9"/>
    <w:pPr>
      <w:keepNext/>
      <w:numPr>
        <w:ilvl w:val="5"/>
        <w:numId w:val="31"/>
      </w:numPr>
      <w:spacing w:after="60" w:line="180" w:lineRule="atLeast"/>
      <w:ind w:left="1984" w:hanging="1644"/>
      <w:outlineLvl w:val="6"/>
    </w:pPr>
    <w:rPr>
      <w:rFonts w:eastAsia="Times New Roman"/>
      <w:bCs/>
      <w:sz w:val="18"/>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6B7A34"/>
    <w:pPr>
      <w:keepNext/>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0F02F9"/>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link w:val="TabletextChar"/>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character" w:customStyle="1" w:styleId="TableTitleChar">
    <w:name w:val="Table Title Char"/>
    <w:basedOn w:val="DefaultParagraphFont"/>
    <w:link w:val="TableTitle"/>
    <w:rsid w:val="008D4C87"/>
    <w:rPr>
      <w:rFonts w:ascii="Cambria" w:eastAsia="Cambria" w:hAnsi="Cambria" w:cs="Times New Roman"/>
      <w:b/>
      <w:sz w:val="20"/>
    </w:rPr>
  </w:style>
  <w:style w:type="character" w:customStyle="1" w:styleId="TabletextChar">
    <w:name w:val="Table text Char"/>
    <w:basedOn w:val="DefaultParagraphFont"/>
    <w:link w:val="Tabletext"/>
    <w:rsid w:val="008D4C87"/>
    <w:rPr>
      <w:rFonts w:ascii="Cambria" w:eastAsia="Cambria" w:hAnsi="Cambria" w:cs="Times New Roman"/>
      <w:sz w:val="19"/>
    </w:rPr>
  </w:style>
  <w:style w:type="paragraph" w:customStyle="1" w:styleId="Abbreviations">
    <w:name w:val="Abbreviations"/>
    <w:basedOn w:val="Normal"/>
    <w:rsid w:val="008D4C87"/>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customStyle="1" w:styleId="Comment1">
    <w:name w:val="Comment 1"/>
    <w:basedOn w:val="Normal"/>
    <w:next w:val="Normal"/>
    <w:qFormat/>
    <w:rsid w:val="008D4C87"/>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styleId="ListParagraph">
    <w:name w:val="List Paragraph"/>
    <w:basedOn w:val="Normal"/>
    <w:uiPriority w:val="34"/>
    <w:qFormat/>
    <w:rsid w:val="008D4C8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customStyle="1" w:styleId="Bullet1">
    <w:name w:val="Bullet 1"/>
    <w:basedOn w:val="Normal"/>
    <w:rsid w:val="00A4228F"/>
    <w:pPr>
      <w:numPr>
        <w:numId w:val="35"/>
      </w:numPr>
      <w:spacing w:after="0" w:line="240" w:lineRule="auto"/>
    </w:pPr>
    <w:rPr>
      <w:rFonts w:eastAsia="Times New Roman"/>
      <w:kern w:val="24"/>
      <w:szCs w:val="24"/>
      <w:lang w:eastAsia="en-AU"/>
    </w:rPr>
  </w:style>
  <w:style w:type="paragraph" w:customStyle="1" w:styleId="Comment2">
    <w:name w:val="Comment 2"/>
    <w:basedOn w:val="Normal"/>
    <w:qFormat/>
    <w:rsid w:val="00A4228F"/>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character" w:styleId="CommentReference">
    <w:name w:val="annotation reference"/>
    <w:basedOn w:val="DefaultParagraphFont"/>
    <w:uiPriority w:val="99"/>
    <w:semiHidden/>
    <w:unhideWhenUsed/>
    <w:rsid w:val="00DA4800"/>
    <w:rPr>
      <w:sz w:val="16"/>
      <w:szCs w:val="16"/>
    </w:rPr>
  </w:style>
  <w:style w:type="paragraph" w:styleId="CommentText">
    <w:name w:val="annotation text"/>
    <w:basedOn w:val="Normal"/>
    <w:link w:val="CommentTextChar"/>
    <w:uiPriority w:val="99"/>
    <w:semiHidden/>
    <w:unhideWhenUsed/>
    <w:rsid w:val="00DA4800"/>
    <w:pPr>
      <w:spacing w:line="240" w:lineRule="auto"/>
    </w:pPr>
    <w:rPr>
      <w:sz w:val="20"/>
      <w:szCs w:val="20"/>
    </w:rPr>
  </w:style>
  <w:style w:type="character" w:customStyle="1" w:styleId="CommentTextChar">
    <w:name w:val="Comment Text Char"/>
    <w:basedOn w:val="DefaultParagraphFont"/>
    <w:link w:val="CommentText"/>
    <w:uiPriority w:val="99"/>
    <w:semiHidden/>
    <w:rsid w:val="00DA4800"/>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DA4800"/>
    <w:rPr>
      <w:b/>
      <w:bCs/>
    </w:rPr>
  </w:style>
  <w:style w:type="character" w:customStyle="1" w:styleId="CommentSubjectChar">
    <w:name w:val="Comment Subject Char"/>
    <w:basedOn w:val="CommentTextChar"/>
    <w:link w:val="CommentSubject"/>
    <w:uiPriority w:val="99"/>
    <w:semiHidden/>
    <w:rsid w:val="00DA4800"/>
    <w:rPr>
      <w:rFonts w:ascii="Cambria" w:eastAsia="Cambria" w:hAnsi="Cambria"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http://www.tga.gov.au/pdf/euguide/ewp020595enrev3.pdf" TargetMode="Externa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hyperlink" Target="http://www.ema.europa.eu/docs/en_GB/document_library/Scientific_guideline/2012/06/WC500128686.pdf" TargetMode="External"/><Relationship Id="rId47" Type="http://schemas.openxmlformats.org/officeDocument/2006/relationships/footer" Target="footer3.xml"/><Relationship Id="rId50" Type="http://schemas.openxmlformats.org/officeDocument/2006/relationships/header" Target="header6.xm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hyperlink" Target="https://ash.confex.com/ash/2012/webprogram/Paper49521.html" TargetMode="External"/><Relationship Id="rId54"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hyperlink" Target="http://www.tga.gov.au/pdf/euguide/ewp8924904enfin.pdf" TargetMode="External"/><Relationship Id="rId45" Type="http://schemas.openxmlformats.org/officeDocument/2006/relationships/footer" Target="footer2.xml"/><Relationship Id="rId53"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yperlink" Target="http://www.tga.gov.au" TargetMode="External"/><Relationship Id="rId10" Type="http://schemas.openxmlformats.org/officeDocument/2006/relationships/hyperlink" Target="http://www.tga.gov.au/hp/information-medicines-pi.htm"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header" Target="header4.xml"/><Relationship Id="rId52"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yperlink" Target="http://www.tga.gov.au" TargetMode="External"/><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eader" Target="header3.xml"/><Relationship Id="rId48" Type="http://schemas.openxmlformats.org/officeDocument/2006/relationships/hyperlink" Target="mailto:info@tga.gov.au"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eader" Target="header7.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0C8A11-B759-4FF4-9BA1-55F6749E45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347</TotalTime>
  <Pages>37</Pages>
  <Words>9324</Words>
  <Characters>53150</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AusPAR Attachment 2. Extract from the Clinical Evaluation Report for Rituximab</vt:lpstr>
    </vt:vector>
  </TitlesOfParts>
  <Company>Department of Health Therapeutic Goods Administration</Company>
  <LinksUpToDate>false</LinksUpToDate>
  <CharactersWithSpaces>62350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Rituximab</dc:title>
  <dc:subject>prescription medicine regulation</dc:subject>
  <dc:creator>Therapeutic Goods Administration</dc:creator>
  <cp:keywords>clinical, evaluation, report, medicine, assessment, regulation, australia, rituximab, mabthera, sc, roche, products</cp:keywords>
  <cp:lastModifiedBy>Dixon, Jenna</cp:lastModifiedBy>
  <cp:revision>15</cp:revision>
  <cp:lastPrinted>2010-12-20T22:59:00Z</cp:lastPrinted>
  <dcterms:created xsi:type="dcterms:W3CDTF">2014-09-03T23:43:00Z</dcterms:created>
  <dcterms:modified xsi:type="dcterms:W3CDTF">2014-09-26T03:30:00Z</dcterms:modified>
  <cp:category>external publication</cp:category>
</cp:coreProperties>
</file>