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9CB0863" w14:textId="77777777" w:rsidTr="00BF1190">
        <w:trPr>
          <w:trHeight w:val="1863"/>
        </w:trPr>
        <w:tc>
          <w:tcPr>
            <w:tcW w:w="3652" w:type="dxa"/>
            <w:tcBorders>
              <w:top w:val="nil"/>
              <w:left w:val="nil"/>
              <w:bottom w:val="nil"/>
              <w:right w:val="nil"/>
            </w:tcBorders>
          </w:tcPr>
          <w:p w14:paraId="7611893E" w14:textId="6A855BA7" w:rsidR="008E7846" w:rsidRPr="00096AA7" w:rsidRDefault="00346109" w:rsidP="00096AA7">
            <w:pPr>
              <w:rPr>
                <w:rFonts w:ascii="Arial" w:hAnsi="Arial" w:cs="Arial"/>
                <w:b/>
                <w:color w:val="002C47"/>
                <w:sz w:val="36"/>
                <w:szCs w:val="36"/>
              </w:rPr>
            </w:pPr>
            <w:r>
              <w:rPr>
                <w:rFonts w:ascii="Arial" w:hAnsi="Arial" w:cs="Arial"/>
                <w:b/>
                <w:color w:val="002C47"/>
                <w:sz w:val="36"/>
                <w:szCs w:val="36"/>
              </w:rPr>
              <w:t xml:space="preserve">August </w:t>
            </w:r>
            <w:r w:rsidR="006832A1">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7B48E80" w14:textId="77777777" w:rsidTr="0032583B">
        <w:trPr>
          <w:trHeight w:val="868"/>
        </w:trPr>
        <w:tc>
          <w:tcPr>
            <w:tcW w:w="9079" w:type="dxa"/>
          </w:tcPr>
          <w:p w14:paraId="1D0D70FE" w14:textId="77777777" w:rsidR="0032583B" w:rsidRPr="00A964D1" w:rsidRDefault="0032583B" w:rsidP="006832A1">
            <w:pPr>
              <w:pStyle w:val="Title"/>
              <w:rPr>
                <w:color w:val="FFFFFF" w:themeColor="background1"/>
              </w:rPr>
            </w:pPr>
            <w:r w:rsidRPr="00A964D1">
              <w:rPr>
                <w:color w:val="FFFFFF" w:themeColor="background1"/>
              </w:rPr>
              <w:t>Australia</w:t>
            </w:r>
            <w:r w:rsidR="006832A1">
              <w:rPr>
                <w:color w:val="FFFFFF" w:themeColor="background1"/>
              </w:rPr>
              <w:t xml:space="preserve">n Public Assessment Report for </w:t>
            </w:r>
            <w:proofErr w:type="spellStart"/>
            <w:r w:rsidR="006832A1">
              <w:rPr>
                <w:color w:val="FFFFFF" w:themeColor="background1"/>
              </w:rPr>
              <w:t>R</w:t>
            </w:r>
            <w:r w:rsidR="006832A1" w:rsidRPr="006832A1">
              <w:rPr>
                <w:color w:val="FFFFFF" w:themeColor="background1"/>
              </w:rPr>
              <w:t>isdiplam</w:t>
            </w:r>
            <w:proofErr w:type="spellEnd"/>
          </w:p>
        </w:tc>
      </w:tr>
      <w:tr w:rsidR="0032583B" w:rsidRPr="00B64760" w14:paraId="2069D998" w14:textId="77777777" w:rsidTr="0032583B">
        <w:tc>
          <w:tcPr>
            <w:tcW w:w="9079" w:type="dxa"/>
          </w:tcPr>
          <w:p w14:paraId="54CB9040" w14:textId="77777777" w:rsidR="0032583B" w:rsidRPr="008E7846" w:rsidRDefault="006832A1" w:rsidP="006832A1">
            <w:pPr>
              <w:pStyle w:val="Subtitle"/>
              <w:rPr>
                <w:color w:val="FFFFFF" w:themeColor="background1"/>
              </w:rPr>
            </w:pPr>
            <w:r>
              <w:rPr>
                <w:color w:val="FFFFFF" w:themeColor="background1"/>
              </w:rPr>
              <w:t xml:space="preserve">Proprietary Product Name: </w:t>
            </w:r>
            <w:proofErr w:type="spellStart"/>
            <w:r>
              <w:rPr>
                <w:color w:val="FFFFFF" w:themeColor="background1"/>
              </w:rPr>
              <w:t>Evrysdi</w:t>
            </w:r>
            <w:proofErr w:type="spellEnd"/>
          </w:p>
        </w:tc>
      </w:tr>
      <w:tr w:rsidR="0032583B" w:rsidRPr="00B64760" w14:paraId="3B85652E" w14:textId="77777777" w:rsidTr="0032583B">
        <w:trPr>
          <w:trHeight w:val="486"/>
        </w:trPr>
        <w:tc>
          <w:tcPr>
            <w:tcW w:w="9079" w:type="dxa"/>
          </w:tcPr>
          <w:p w14:paraId="17CD56BE" w14:textId="77777777" w:rsidR="0032583B" w:rsidRPr="008E7846" w:rsidRDefault="006832A1" w:rsidP="006832A1">
            <w:pPr>
              <w:pStyle w:val="Subtitle"/>
              <w:rPr>
                <w:color w:val="FFFFFF" w:themeColor="background1"/>
              </w:rPr>
            </w:pPr>
            <w:r>
              <w:rPr>
                <w:color w:val="FFFFFF" w:themeColor="background1"/>
              </w:rPr>
              <w:t>Sponsor: Roche Products Pty Ltd</w:t>
            </w:r>
          </w:p>
        </w:tc>
      </w:tr>
    </w:tbl>
    <w:p w14:paraId="07876B5C" w14:textId="77777777" w:rsidR="008E7846" w:rsidRPr="0085156D" w:rsidRDefault="008E7846" w:rsidP="0085156D">
      <w:r w:rsidRPr="0085156D">
        <w:br w:type="page"/>
      </w:r>
    </w:p>
    <w:p w14:paraId="712E4D22" w14:textId="77777777" w:rsidR="008E7846" w:rsidRPr="001F6CBA" w:rsidRDefault="008E7846" w:rsidP="008E7846">
      <w:pPr>
        <w:pStyle w:val="NonTOCHeading2"/>
      </w:pPr>
      <w:r w:rsidRPr="001F6CBA">
        <w:lastRenderedPageBreak/>
        <w:t>About the Therapeutic Goods Administration (TGA)</w:t>
      </w:r>
    </w:p>
    <w:p w14:paraId="185211B5"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F7E0614"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40BBDF05"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2678DA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9B2C491" w14:textId="14025FA3"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A2BDAA7" w14:textId="77777777" w:rsidR="008E7846" w:rsidRDefault="008E7846" w:rsidP="00875A6B">
      <w:pPr>
        <w:pStyle w:val="NonTOCHeading2"/>
      </w:pPr>
      <w:r>
        <w:t xml:space="preserve">About </w:t>
      </w:r>
      <w:proofErr w:type="spellStart"/>
      <w:r>
        <w:t>AusPARs</w:t>
      </w:r>
      <w:proofErr w:type="spellEnd"/>
    </w:p>
    <w:p w14:paraId="3F6FF955"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45BD025A"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7F1013AE"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w:t>
      </w:r>
      <w:proofErr w:type="gramStart"/>
      <w:r>
        <w:t>variations</w:t>
      </w:r>
      <w:proofErr w:type="gramEnd"/>
      <w:r>
        <w:t xml:space="preserve"> and extensions of indications.</w:t>
      </w:r>
    </w:p>
    <w:p w14:paraId="26CFE403"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106B0CDA" w14:textId="77777777"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75D8BECA" w14:textId="77777777" w:rsidR="00924482" w:rsidRPr="00DF1D7F" w:rsidRDefault="00924482" w:rsidP="00F54B65">
      <w:pPr>
        <w:pStyle w:val="LegalSubheading"/>
        <w:spacing w:before="3120"/>
      </w:pPr>
      <w:r w:rsidRPr="00DF1D7F">
        <w:t>Copyright</w:t>
      </w:r>
    </w:p>
    <w:p w14:paraId="171C430C" w14:textId="3A1B9BD3"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3244D9FC"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66B5BFC" w14:textId="77777777" w:rsidR="0089635C" w:rsidRPr="0089635C" w:rsidRDefault="0089635C" w:rsidP="0010788A">
          <w:pPr>
            <w:pStyle w:val="Contents"/>
          </w:pPr>
          <w:r w:rsidRPr="0010788A">
            <w:t>Contents</w:t>
          </w:r>
        </w:p>
        <w:p w14:paraId="5A71CE95" w14:textId="1BDAE452" w:rsidR="00E222C6"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82421570" w:history="1">
            <w:r w:rsidR="00E222C6" w:rsidRPr="001A2779">
              <w:rPr>
                <w:rStyle w:val="Hyperlink"/>
                <w:noProof/>
              </w:rPr>
              <w:t>List of abbreviations</w:t>
            </w:r>
            <w:r w:rsidR="00E222C6">
              <w:rPr>
                <w:noProof/>
                <w:webHidden/>
              </w:rPr>
              <w:tab/>
            </w:r>
            <w:r w:rsidR="00E222C6">
              <w:rPr>
                <w:noProof/>
                <w:webHidden/>
              </w:rPr>
              <w:fldChar w:fldCharType="begin"/>
            </w:r>
            <w:r w:rsidR="00E222C6">
              <w:rPr>
                <w:noProof/>
                <w:webHidden/>
              </w:rPr>
              <w:instrText xml:space="preserve"> PAGEREF _Toc82421570 \h </w:instrText>
            </w:r>
            <w:r w:rsidR="00E222C6">
              <w:rPr>
                <w:noProof/>
                <w:webHidden/>
              </w:rPr>
            </w:r>
            <w:r w:rsidR="00E222C6">
              <w:rPr>
                <w:noProof/>
                <w:webHidden/>
              </w:rPr>
              <w:fldChar w:fldCharType="separate"/>
            </w:r>
            <w:r w:rsidR="00E222C6">
              <w:rPr>
                <w:noProof/>
                <w:webHidden/>
              </w:rPr>
              <w:t>4</w:t>
            </w:r>
            <w:r w:rsidR="00E222C6">
              <w:rPr>
                <w:noProof/>
                <w:webHidden/>
              </w:rPr>
              <w:fldChar w:fldCharType="end"/>
            </w:r>
          </w:hyperlink>
        </w:p>
        <w:p w14:paraId="5B0F12BA" w14:textId="5D37E22B" w:rsidR="00E222C6" w:rsidRDefault="00E222C6">
          <w:pPr>
            <w:pStyle w:val="TOC1"/>
            <w:rPr>
              <w:rFonts w:asciiTheme="minorHAnsi" w:eastAsiaTheme="minorEastAsia" w:hAnsiTheme="minorHAnsi" w:cstheme="minorBidi"/>
              <w:b w:val="0"/>
              <w:noProof/>
              <w:sz w:val="22"/>
              <w:lang w:eastAsia="en-AU"/>
            </w:rPr>
          </w:pPr>
          <w:hyperlink w:anchor="_Toc82421571" w:history="1">
            <w:r w:rsidRPr="001A2779">
              <w:rPr>
                <w:rStyle w:val="Hyperlink"/>
                <w:noProof/>
              </w:rPr>
              <w:t>I. Introduction to product submission</w:t>
            </w:r>
            <w:r>
              <w:rPr>
                <w:noProof/>
                <w:webHidden/>
              </w:rPr>
              <w:tab/>
            </w:r>
            <w:r>
              <w:rPr>
                <w:noProof/>
                <w:webHidden/>
              </w:rPr>
              <w:fldChar w:fldCharType="begin"/>
            </w:r>
            <w:r>
              <w:rPr>
                <w:noProof/>
                <w:webHidden/>
              </w:rPr>
              <w:instrText xml:space="preserve"> PAGEREF _Toc82421571 \h </w:instrText>
            </w:r>
            <w:r>
              <w:rPr>
                <w:noProof/>
                <w:webHidden/>
              </w:rPr>
            </w:r>
            <w:r>
              <w:rPr>
                <w:noProof/>
                <w:webHidden/>
              </w:rPr>
              <w:fldChar w:fldCharType="separate"/>
            </w:r>
            <w:r>
              <w:rPr>
                <w:noProof/>
                <w:webHidden/>
              </w:rPr>
              <w:t>6</w:t>
            </w:r>
            <w:r>
              <w:rPr>
                <w:noProof/>
                <w:webHidden/>
              </w:rPr>
              <w:fldChar w:fldCharType="end"/>
            </w:r>
          </w:hyperlink>
        </w:p>
        <w:p w14:paraId="6C4E5949" w14:textId="4DCD007C" w:rsidR="00E222C6" w:rsidRDefault="00E222C6">
          <w:pPr>
            <w:pStyle w:val="TOC2"/>
            <w:rPr>
              <w:rFonts w:asciiTheme="minorHAnsi" w:eastAsiaTheme="minorEastAsia" w:hAnsiTheme="minorHAnsi" w:cstheme="minorBidi"/>
              <w:b w:val="0"/>
              <w:noProof/>
              <w:sz w:val="22"/>
              <w:lang w:eastAsia="en-AU"/>
            </w:rPr>
          </w:pPr>
          <w:hyperlink w:anchor="_Toc82421572" w:history="1">
            <w:r w:rsidRPr="001A2779">
              <w:rPr>
                <w:rStyle w:val="Hyperlink"/>
                <w:noProof/>
                <w:lang w:eastAsia="en-AU"/>
              </w:rPr>
              <w:t>Submission details</w:t>
            </w:r>
            <w:r>
              <w:rPr>
                <w:noProof/>
                <w:webHidden/>
              </w:rPr>
              <w:tab/>
            </w:r>
            <w:r>
              <w:rPr>
                <w:noProof/>
                <w:webHidden/>
              </w:rPr>
              <w:fldChar w:fldCharType="begin"/>
            </w:r>
            <w:r>
              <w:rPr>
                <w:noProof/>
                <w:webHidden/>
              </w:rPr>
              <w:instrText xml:space="preserve"> PAGEREF _Toc82421572 \h </w:instrText>
            </w:r>
            <w:r>
              <w:rPr>
                <w:noProof/>
                <w:webHidden/>
              </w:rPr>
            </w:r>
            <w:r>
              <w:rPr>
                <w:noProof/>
                <w:webHidden/>
              </w:rPr>
              <w:fldChar w:fldCharType="separate"/>
            </w:r>
            <w:r>
              <w:rPr>
                <w:noProof/>
                <w:webHidden/>
              </w:rPr>
              <w:t>6</w:t>
            </w:r>
            <w:r>
              <w:rPr>
                <w:noProof/>
                <w:webHidden/>
              </w:rPr>
              <w:fldChar w:fldCharType="end"/>
            </w:r>
          </w:hyperlink>
        </w:p>
        <w:p w14:paraId="14C43F0E" w14:textId="21D83BF8" w:rsidR="00E222C6" w:rsidRDefault="00E222C6">
          <w:pPr>
            <w:pStyle w:val="TOC2"/>
            <w:rPr>
              <w:rFonts w:asciiTheme="minorHAnsi" w:eastAsiaTheme="minorEastAsia" w:hAnsiTheme="minorHAnsi" w:cstheme="minorBidi"/>
              <w:b w:val="0"/>
              <w:noProof/>
              <w:sz w:val="22"/>
              <w:lang w:eastAsia="en-AU"/>
            </w:rPr>
          </w:pPr>
          <w:hyperlink w:anchor="_Toc82421573" w:history="1">
            <w:r w:rsidRPr="001A2779">
              <w:rPr>
                <w:rStyle w:val="Hyperlink"/>
                <w:noProof/>
              </w:rPr>
              <w:t>Product background</w:t>
            </w:r>
            <w:r>
              <w:rPr>
                <w:noProof/>
                <w:webHidden/>
              </w:rPr>
              <w:tab/>
            </w:r>
            <w:r>
              <w:rPr>
                <w:noProof/>
                <w:webHidden/>
              </w:rPr>
              <w:fldChar w:fldCharType="begin"/>
            </w:r>
            <w:r>
              <w:rPr>
                <w:noProof/>
                <w:webHidden/>
              </w:rPr>
              <w:instrText xml:space="preserve"> PAGEREF _Toc82421573 \h </w:instrText>
            </w:r>
            <w:r>
              <w:rPr>
                <w:noProof/>
                <w:webHidden/>
              </w:rPr>
            </w:r>
            <w:r>
              <w:rPr>
                <w:noProof/>
                <w:webHidden/>
              </w:rPr>
              <w:fldChar w:fldCharType="separate"/>
            </w:r>
            <w:r>
              <w:rPr>
                <w:noProof/>
                <w:webHidden/>
              </w:rPr>
              <w:t>7</w:t>
            </w:r>
            <w:r>
              <w:rPr>
                <w:noProof/>
                <w:webHidden/>
              </w:rPr>
              <w:fldChar w:fldCharType="end"/>
            </w:r>
          </w:hyperlink>
        </w:p>
        <w:p w14:paraId="47B3C78A" w14:textId="24C73F15" w:rsidR="00E222C6" w:rsidRDefault="00E222C6">
          <w:pPr>
            <w:pStyle w:val="TOC2"/>
            <w:rPr>
              <w:rFonts w:asciiTheme="minorHAnsi" w:eastAsiaTheme="minorEastAsia" w:hAnsiTheme="minorHAnsi" w:cstheme="minorBidi"/>
              <w:b w:val="0"/>
              <w:noProof/>
              <w:sz w:val="22"/>
              <w:lang w:eastAsia="en-AU"/>
            </w:rPr>
          </w:pPr>
          <w:hyperlink w:anchor="_Toc82421574" w:history="1">
            <w:r w:rsidRPr="001A2779">
              <w:rPr>
                <w:rStyle w:val="Hyperlink"/>
                <w:noProof/>
              </w:rPr>
              <w:t>Regulatory status</w:t>
            </w:r>
            <w:r>
              <w:rPr>
                <w:noProof/>
                <w:webHidden/>
              </w:rPr>
              <w:tab/>
            </w:r>
            <w:r>
              <w:rPr>
                <w:noProof/>
                <w:webHidden/>
              </w:rPr>
              <w:fldChar w:fldCharType="begin"/>
            </w:r>
            <w:r>
              <w:rPr>
                <w:noProof/>
                <w:webHidden/>
              </w:rPr>
              <w:instrText xml:space="preserve"> PAGEREF _Toc82421574 \h </w:instrText>
            </w:r>
            <w:r>
              <w:rPr>
                <w:noProof/>
                <w:webHidden/>
              </w:rPr>
            </w:r>
            <w:r>
              <w:rPr>
                <w:noProof/>
                <w:webHidden/>
              </w:rPr>
              <w:fldChar w:fldCharType="separate"/>
            </w:r>
            <w:r>
              <w:rPr>
                <w:noProof/>
                <w:webHidden/>
              </w:rPr>
              <w:t>9</w:t>
            </w:r>
            <w:r>
              <w:rPr>
                <w:noProof/>
                <w:webHidden/>
              </w:rPr>
              <w:fldChar w:fldCharType="end"/>
            </w:r>
          </w:hyperlink>
        </w:p>
        <w:p w14:paraId="56FACF99" w14:textId="2906AA3A" w:rsidR="00E222C6" w:rsidRDefault="00E222C6">
          <w:pPr>
            <w:pStyle w:val="TOC2"/>
            <w:rPr>
              <w:rFonts w:asciiTheme="minorHAnsi" w:eastAsiaTheme="minorEastAsia" w:hAnsiTheme="minorHAnsi" w:cstheme="minorBidi"/>
              <w:b w:val="0"/>
              <w:noProof/>
              <w:sz w:val="22"/>
              <w:lang w:eastAsia="en-AU"/>
            </w:rPr>
          </w:pPr>
          <w:hyperlink w:anchor="_Toc82421575" w:history="1">
            <w:r w:rsidRPr="001A2779">
              <w:rPr>
                <w:rStyle w:val="Hyperlink"/>
                <w:noProof/>
              </w:rPr>
              <w:t>Product Information</w:t>
            </w:r>
            <w:r>
              <w:rPr>
                <w:noProof/>
                <w:webHidden/>
              </w:rPr>
              <w:tab/>
            </w:r>
            <w:r>
              <w:rPr>
                <w:noProof/>
                <w:webHidden/>
              </w:rPr>
              <w:fldChar w:fldCharType="begin"/>
            </w:r>
            <w:r>
              <w:rPr>
                <w:noProof/>
                <w:webHidden/>
              </w:rPr>
              <w:instrText xml:space="preserve"> PAGEREF _Toc82421575 \h </w:instrText>
            </w:r>
            <w:r>
              <w:rPr>
                <w:noProof/>
                <w:webHidden/>
              </w:rPr>
            </w:r>
            <w:r>
              <w:rPr>
                <w:noProof/>
                <w:webHidden/>
              </w:rPr>
              <w:fldChar w:fldCharType="separate"/>
            </w:r>
            <w:r>
              <w:rPr>
                <w:noProof/>
                <w:webHidden/>
              </w:rPr>
              <w:t>10</w:t>
            </w:r>
            <w:r>
              <w:rPr>
                <w:noProof/>
                <w:webHidden/>
              </w:rPr>
              <w:fldChar w:fldCharType="end"/>
            </w:r>
          </w:hyperlink>
        </w:p>
        <w:p w14:paraId="6EFB11F2" w14:textId="185AF7CA" w:rsidR="00E222C6" w:rsidRDefault="00E222C6">
          <w:pPr>
            <w:pStyle w:val="TOC1"/>
            <w:rPr>
              <w:rFonts w:asciiTheme="minorHAnsi" w:eastAsiaTheme="minorEastAsia" w:hAnsiTheme="minorHAnsi" w:cstheme="minorBidi"/>
              <w:b w:val="0"/>
              <w:noProof/>
              <w:sz w:val="22"/>
              <w:lang w:eastAsia="en-AU"/>
            </w:rPr>
          </w:pPr>
          <w:hyperlink w:anchor="_Toc82421576" w:history="1">
            <w:r w:rsidRPr="001A2779">
              <w:rPr>
                <w:rStyle w:val="Hyperlink"/>
                <w:noProof/>
              </w:rPr>
              <w:t>II. Registration timeline</w:t>
            </w:r>
            <w:r>
              <w:rPr>
                <w:noProof/>
                <w:webHidden/>
              </w:rPr>
              <w:tab/>
            </w:r>
            <w:r>
              <w:rPr>
                <w:noProof/>
                <w:webHidden/>
              </w:rPr>
              <w:fldChar w:fldCharType="begin"/>
            </w:r>
            <w:r>
              <w:rPr>
                <w:noProof/>
                <w:webHidden/>
              </w:rPr>
              <w:instrText xml:space="preserve"> PAGEREF _Toc82421576 \h </w:instrText>
            </w:r>
            <w:r>
              <w:rPr>
                <w:noProof/>
                <w:webHidden/>
              </w:rPr>
            </w:r>
            <w:r>
              <w:rPr>
                <w:noProof/>
                <w:webHidden/>
              </w:rPr>
              <w:fldChar w:fldCharType="separate"/>
            </w:r>
            <w:r>
              <w:rPr>
                <w:noProof/>
                <w:webHidden/>
              </w:rPr>
              <w:t>10</w:t>
            </w:r>
            <w:r>
              <w:rPr>
                <w:noProof/>
                <w:webHidden/>
              </w:rPr>
              <w:fldChar w:fldCharType="end"/>
            </w:r>
          </w:hyperlink>
        </w:p>
        <w:p w14:paraId="30EC6A4D" w14:textId="06247A2B" w:rsidR="00E222C6" w:rsidRDefault="00E222C6">
          <w:pPr>
            <w:pStyle w:val="TOC1"/>
            <w:rPr>
              <w:rFonts w:asciiTheme="minorHAnsi" w:eastAsiaTheme="minorEastAsia" w:hAnsiTheme="minorHAnsi" w:cstheme="minorBidi"/>
              <w:b w:val="0"/>
              <w:noProof/>
              <w:sz w:val="22"/>
              <w:lang w:eastAsia="en-AU"/>
            </w:rPr>
          </w:pPr>
          <w:hyperlink w:anchor="_Toc82421577" w:history="1">
            <w:r w:rsidRPr="001A2779">
              <w:rPr>
                <w:rStyle w:val="Hyperlink"/>
                <w:noProof/>
              </w:rPr>
              <w:t>III. Submission overview and risk/benefit assessment</w:t>
            </w:r>
            <w:r>
              <w:rPr>
                <w:noProof/>
                <w:webHidden/>
              </w:rPr>
              <w:tab/>
            </w:r>
            <w:r>
              <w:rPr>
                <w:noProof/>
                <w:webHidden/>
              </w:rPr>
              <w:fldChar w:fldCharType="begin"/>
            </w:r>
            <w:r>
              <w:rPr>
                <w:noProof/>
                <w:webHidden/>
              </w:rPr>
              <w:instrText xml:space="preserve"> PAGEREF _Toc82421577 \h </w:instrText>
            </w:r>
            <w:r>
              <w:rPr>
                <w:noProof/>
                <w:webHidden/>
              </w:rPr>
            </w:r>
            <w:r>
              <w:rPr>
                <w:noProof/>
                <w:webHidden/>
              </w:rPr>
              <w:fldChar w:fldCharType="separate"/>
            </w:r>
            <w:r>
              <w:rPr>
                <w:noProof/>
                <w:webHidden/>
              </w:rPr>
              <w:t>11</w:t>
            </w:r>
            <w:r>
              <w:rPr>
                <w:noProof/>
                <w:webHidden/>
              </w:rPr>
              <w:fldChar w:fldCharType="end"/>
            </w:r>
          </w:hyperlink>
        </w:p>
        <w:p w14:paraId="78B6C956" w14:textId="3EEA1DEC" w:rsidR="00E222C6" w:rsidRDefault="00E222C6">
          <w:pPr>
            <w:pStyle w:val="TOC2"/>
            <w:rPr>
              <w:rFonts w:asciiTheme="minorHAnsi" w:eastAsiaTheme="minorEastAsia" w:hAnsiTheme="minorHAnsi" w:cstheme="minorBidi"/>
              <w:b w:val="0"/>
              <w:noProof/>
              <w:sz w:val="22"/>
              <w:lang w:eastAsia="en-AU"/>
            </w:rPr>
          </w:pPr>
          <w:hyperlink w:anchor="_Toc82421578" w:history="1">
            <w:r w:rsidRPr="001A2779">
              <w:rPr>
                <w:rStyle w:val="Hyperlink"/>
                <w:noProof/>
              </w:rPr>
              <w:t>Quality</w:t>
            </w:r>
            <w:r>
              <w:rPr>
                <w:noProof/>
                <w:webHidden/>
              </w:rPr>
              <w:tab/>
            </w:r>
            <w:r>
              <w:rPr>
                <w:noProof/>
                <w:webHidden/>
              </w:rPr>
              <w:fldChar w:fldCharType="begin"/>
            </w:r>
            <w:r>
              <w:rPr>
                <w:noProof/>
                <w:webHidden/>
              </w:rPr>
              <w:instrText xml:space="preserve"> PAGEREF _Toc82421578 \h </w:instrText>
            </w:r>
            <w:r>
              <w:rPr>
                <w:noProof/>
                <w:webHidden/>
              </w:rPr>
            </w:r>
            <w:r>
              <w:rPr>
                <w:noProof/>
                <w:webHidden/>
              </w:rPr>
              <w:fldChar w:fldCharType="separate"/>
            </w:r>
            <w:r>
              <w:rPr>
                <w:noProof/>
                <w:webHidden/>
              </w:rPr>
              <w:t>11</w:t>
            </w:r>
            <w:r>
              <w:rPr>
                <w:noProof/>
                <w:webHidden/>
              </w:rPr>
              <w:fldChar w:fldCharType="end"/>
            </w:r>
          </w:hyperlink>
        </w:p>
        <w:p w14:paraId="1756DF62" w14:textId="49189DD5" w:rsidR="00E222C6" w:rsidRDefault="00E222C6">
          <w:pPr>
            <w:pStyle w:val="TOC2"/>
            <w:rPr>
              <w:rFonts w:asciiTheme="minorHAnsi" w:eastAsiaTheme="minorEastAsia" w:hAnsiTheme="minorHAnsi" w:cstheme="minorBidi"/>
              <w:b w:val="0"/>
              <w:noProof/>
              <w:sz w:val="22"/>
              <w:lang w:eastAsia="en-AU"/>
            </w:rPr>
          </w:pPr>
          <w:hyperlink w:anchor="_Toc82421579" w:history="1">
            <w:r w:rsidRPr="001A2779">
              <w:rPr>
                <w:rStyle w:val="Hyperlink"/>
                <w:noProof/>
              </w:rPr>
              <w:t>Nonclinical</w:t>
            </w:r>
            <w:r>
              <w:rPr>
                <w:noProof/>
                <w:webHidden/>
              </w:rPr>
              <w:tab/>
            </w:r>
            <w:r>
              <w:rPr>
                <w:noProof/>
                <w:webHidden/>
              </w:rPr>
              <w:fldChar w:fldCharType="begin"/>
            </w:r>
            <w:r>
              <w:rPr>
                <w:noProof/>
                <w:webHidden/>
              </w:rPr>
              <w:instrText xml:space="preserve"> PAGEREF _Toc82421579 \h </w:instrText>
            </w:r>
            <w:r>
              <w:rPr>
                <w:noProof/>
                <w:webHidden/>
              </w:rPr>
            </w:r>
            <w:r>
              <w:rPr>
                <w:noProof/>
                <w:webHidden/>
              </w:rPr>
              <w:fldChar w:fldCharType="separate"/>
            </w:r>
            <w:r>
              <w:rPr>
                <w:noProof/>
                <w:webHidden/>
              </w:rPr>
              <w:t>11</w:t>
            </w:r>
            <w:r>
              <w:rPr>
                <w:noProof/>
                <w:webHidden/>
              </w:rPr>
              <w:fldChar w:fldCharType="end"/>
            </w:r>
          </w:hyperlink>
        </w:p>
        <w:p w14:paraId="7AC45EE2" w14:textId="34A0068A" w:rsidR="00E222C6" w:rsidRDefault="00E222C6">
          <w:pPr>
            <w:pStyle w:val="TOC2"/>
            <w:rPr>
              <w:rFonts w:asciiTheme="minorHAnsi" w:eastAsiaTheme="minorEastAsia" w:hAnsiTheme="minorHAnsi" w:cstheme="minorBidi"/>
              <w:b w:val="0"/>
              <w:noProof/>
              <w:sz w:val="22"/>
              <w:lang w:eastAsia="en-AU"/>
            </w:rPr>
          </w:pPr>
          <w:hyperlink w:anchor="_Toc82421580" w:history="1">
            <w:r w:rsidRPr="001A2779">
              <w:rPr>
                <w:rStyle w:val="Hyperlink"/>
                <w:noProof/>
              </w:rPr>
              <w:t>Clinical</w:t>
            </w:r>
            <w:r>
              <w:rPr>
                <w:noProof/>
                <w:webHidden/>
              </w:rPr>
              <w:tab/>
            </w:r>
            <w:r>
              <w:rPr>
                <w:noProof/>
                <w:webHidden/>
              </w:rPr>
              <w:fldChar w:fldCharType="begin"/>
            </w:r>
            <w:r>
              <w:rPr>
                <w:noProof/>
                <w:webHidden/>
              </w:rPr>
              <w:instrText xml:space="preserve"> PAGEREF _Toc82421580 \h </w:instrText>
            </w:r>
            <w:r>
              <w:rPr>
                <w:noProof/>
                <w:webHidden/>
              </w:rPr>
            </w:r>
            <w:r>
              <w:rPr>
                <w:noProof/>
                <w:webHidden/>
              </w:rPr>
              <w:fldChar w:fldCharType="separate"/>
            </w:r>
            <w:r>
              <w:rPr>
                <w:noProof/>
                <w:webHidden/>
              </w:rPr>
              <w:t>13</w:t>
            </w:r>
            <w:r>
              <w:rPr>
                <w:noProof/>
                <w:webHidden/>
              </w:rPr>
              <w:fldChar w:fldCharType="end"/>
            </w:r>
          </w:hyperlink>
        </w:p>
        <w:p w14:paraId="5A78EB5A" w14:textId="169A092A" w:rsidR="00E222C6" w:rsidRDefault="00E222C6">
          <w:pPr>
            <w:pStyle w:val="TOC2"/>
            <w:rPr>
              <w:rFonts w:asciiTheme="minorHAnsi" w:eastAsiaTheme="minorEastAsia" w:hAnsiTheme="minorHAnsi" w:cstheme="minorBidi"/>
              <w:b w:val="0"/>
              <w:noProof/>
              <w:sz w:val="22"/>
              <w:lang w:eastAsia="en-AU"/>
            </w:rPr>
          </w:pPr>
          <w:hyperlink w:anchor="_Toc82421581" w:history="1">
            <w:r w:rsidRPr="001A2779">
              <w:rPr>
                <w:rStyle w:val="Hyperlink"/>
                <w:noProof/>
              </w:rPr>
              <w:t>Safety</w:t>
            </w:r>
            <w:r>
              <w:rPr>
                <w:noProof/>
                <w:webHidden/>
              </w:rPr>
              <w:tab/>
            </w:r>
            <w:r>
              <w:rPr>
                <w:noProof/>
                <w:webHidden/>
              </w:rPr>
              <w:fldChar w:fldCharType="begin"/>
            </w:r>
            <w:r>
              <w:rPr>
                <w:noProof/>
                <w:webHidden/>
              </w:rPr>
              <w:instrText xml:space="preserve"> PAGEREF _Toc82421581 \h </w:instrText>
            </w:r>
            <w:r>
              <w:rPr>
                <w:noProof/>
                <w:webHidden/>
              </w:rPr>
            </w:r>
            <w:r>
              <w:rPr>
                <w:noProof/>
                <w:webHidden/>
              </w:rPr>
              <w:fldChar w:fldCharType="separate"/>
            </w:r>
            <w:r>
              <w:rPr>
                <w:noProof/>
                <w:webHidden/>
              </w:rPr>
              <w:t>22</w:t>
            </w:r>
            <w:r>
              <w:rPr>
                <w:noProof/>
                <w:webHidden/>
              </w:rPr>
              <w:fldChar w:fldCharType="end"/>
            </w:r>
          </w:hyperlink>
        </w:p>
        <w:p w14:paraId="6BE9C139" w14:textId="77D5BA9D" w:rsidR="00E222C6" w:rsidRDefault="00E222C6">
          <w:pPr>
            <w:pStyle w:val="TOC2"/>
            <w:rPr>
              <w:rFonts w:asciiTheme="minorHAnsi" w:eastAsiaTheme="minorEastAsia" w:hAnsiTheme="minorHAnsi" w:cstheme="minorBidi"/>
              <w:b w:val="0"/>
              <w:noProof/>
              <w:sz w:val="22"/>
              <w:lang w:eastAsia="en-AU"/>
            </w:rPr>
          </w:pPr>
          <w:hyperlink w:anchor="_Toc82421582" w:history="1">
            <w:r w:rsidRPr="001A2779">
              <w:rPr>
                <w:rStyle w:val="Hyperlink"/>
                <w:noProof/>
                <w:lang w:eastAsia="en-AU"/>
              </w:rPr>
              <w:t>Risk management plan</w:t>
            </w:r>
            <w:r>
              <w:rPr>
                <w:noProof/>
                <w:webHidden/>
              </w:rPr>
              <w:tab/>
            </w:r>
            <w:r>
              <w:rPr>
                <w:noProof/>
                <w:webHidden/>
              </w:rPr>
              <w:fldChar w:fldCharType="begin"/>
            </w:r>
            <w:r>
              <w:rPr>
                <w:noProof/>
                <w:webHidden/>
              </w:rPr>
              <w:instrText xml:space="preserve"> PAGEREF _Toc82421582 \h </w:instrText>
            </w:r>
            <w:r>
              <w:rPr>
                <w:noProof/>
                <w:webHidden/>
              </w:rPr>
            </w:r>
            <w:r>
              <w:rPr>
                <w:noProof/>
                <w:webHidden/>
              </w:rPr>
              <w:fldChar w:fldCharType="separate"/>
            </w:r>
            <w:r>
              <w:rPr>
                <w:noProof/>
                <w:webHidden/>
              </w:rPr>
              <w:t>24</w:t>
            </w:r>
            <w:r>
              <w:rPr>
                <w:noProof/>
                <w:webHidden/>
              </w:rPr>
              <w:fldChar w:fldCharType="end"/>
            </w:r>
          </w:hyperlink>
        </w:p>
        <w:p w14:paraId="01A68645" w14:textId="6E0B31A3" w:rsidR="00E222C6" w:rsidRDefault="00E222C6">
          <w:pPr>
            <w:pStyle w:val="TOC2"/>
            <w:rPr>
              <w:rFonts w:asciiTheme="minorHAnsi" w:eastAsiaTheme="minorEastAsia" w:hAnsiTheme="minorHAnsi" w:cstheme="minorBidi"/>
              <w:b w:val="0"/>
              <w:noProof/>
              <w:sz w:val="22"/>
              <w:lang w:eastAsia="en-AU"/>
            </w:rPr>
          </w:pPr>
          <w:hyperlink w:anchor="_Toc82421583" w:history="1">
            <w:r w:rsidRPr="001A2779">
              <w:rPr>
                <w:rStyle w:val="Hyperlink"/>
                <w:noProof/>
              </w:rPr>
              <w:t>Risk-benefit analysis</w:t>
            </w:r>
            <w:r>
              <w:rPr>
                <w:noProof/>
                <w:webHidden/>
              </w:rPr>
              <w:tab/>
            </w:r>
            <w:r>
              <w:rPr>
                <w:noProof/>
                <w:webHidden/>
              </w:rPr>
              <w:fldChar w:fldCharType="begin"/>
            </w:r>
            <w:r>
              <w:rPr>
                <w:noProof/>
                <w:webHidden/>
              </w:rPr>
              <w:instrText xml:space="preserve"> PAGEREF _Toc82421583 \h </w:instrText>
            </w:r>
            <w:r>
              <w:rPr>
                <w:noProof/>
                <w:webHidden/>
              </w:rPr>
            </w:r>
            <w:r>
              <w:rPr>
                <w:noProof/>
                <w:webHidden/>
              </w:rPr>
              <w:fldChar w:fldCharType="separate"/>
            </w:r>
            <w:r>
              <w:rPr>
                <w:noProof/>
                <w:webHidden/>
              </w:rPr>
              <w:t>27</w:t>
            </w:r>
            <w:r>
              <w:rPr>
                <w:noProof/>
                <w:webHidden/>
              </w:rPr>
              <w:fldChar w:fldCharType="end"/>
            </w:r>
          </w:hyperlink>
        </w:p>
        <w:p w14:paraId="6C79C188" w14:textId="477FEF55" w:rsidR="00E222C6" w:rsidRDefault="00E222C6">
          <w:pPr>
            <w:pStyle w:val="TOC2"/>
            <w:rPr>
              <w:rFonts w:asciiTheme="minorHAnsi" w:eastAsiaTheme="minorEastAsia" w:hAnsiTheme="minorHAnsi" w:cstheme="minorBidi"/>
              <w:b w:val="0"/>
              <w:noProof/>
              <w:sz w:val="22"/>
              <w:lang w:eastAsia="en-AU"/>
            </w:rPr>
          </w:pPr>
          <w:hyperlink w:anchor="_Toc82421584" w:history="1">
            <w:r w:rsidRPr="001A2779">
              <w:rPr>
                <w:rStyle w:val="Hyperlink"/>
                <w:noProof/>
              </w:rPr>
              <w:t>Outcome</w:t>
            </w:r>
            <w:r>
              <w:rPr>
                <w:noProof/>
                <w:webHidden/>
              </w:rPr>
              <w:tab/>
            </w:r>
            <w:r>
              <w:rPr>
                <w:noProof/>
                <w:webHidden/>
              </w:rPr>
              <w:fldChar w:fldCharType="begin"/>
            </w:r>
            <w:r>
              <w:rPr>
                <w:noProof/>
                <w:webHidden/>
              </w:rPr>
              <w:instrText xml:space="preserve"> PAGEREF _Toc82421584 \h </w:instrText>
            </w:r>
            <w:r>
              <w:rPr>
                <w:noProof/>
                <w:webHidden/>
              </w:rPr>
            </w:r>
            <w:r>
              <w:rPr>
                <w:noProof/>
                <w:webHidden/>
              </w:rPr>
              <w:fldChar w:fldCharType="separate"/>
            </w:r>
            <w:r>
              <w:rPr>
                <w:noProof/>
                <w:webHidden/>
              </w:rPr>
              <w:t>33</w:t>
            </w:r>
            <w:r>
              <w:rPr>
                <w:noProof/>
                <w:webHidden/>
              </w:rPr>
              <w:fldChar w:fldCharType="end"/>
            </w:r>
          </w:hyperlink>
        </w:p>
        <w:p w14:paraId="16026EA7" w14:textId="15D3554D" w:rsidR="00E222C6" w:rsidRDefault="00E222C6">
          <w:pPr>
            <w:pStyle w:val="TOC1"/>
            <w:rPr>
              <w:rFonts w:asciiTheme="minorHAnsi" w:eastAsiaTheme="minorEastAsia" w:hAnsiTheme="minorHAnsi" w:cstheme="minorBidi"/>
              <w:b w:val="0"/>
              <w:noProof/>
              <w:sz w:val="22"/>
              <w:lang w:eastAsia="en-AU"/>
            </w:rPr>
          </w:pPr>
          <w:hyperlink w:anchor="_Toc82421585" w:history="1">
            <w:r w:rsidRPr="001A2779">
              <w:rPr>
                <w:rStyle w:val="Hyperlink"/>
                <w:noProof/>
              </w:rPr>
              <w:t>Attachment 1. Product Information</w:t>
            </w:r>
            <w:r>
              <w:rPr>
                <w:noProof/>
                <w:webHidden/>
              </w:rPr>
              <w:tab/>
            </w:r>
            <w:r>
              <w:rPr>
                <w:noProof/>
                <w:webHidden/>
              </w:rPr>
              <w:fldChar w:fldCharType="begin"/>
            </w:r>
            <w:r>
              <w:rPr>
                <w:noProof/>
                <w:webHidden/>
              </w:rPr>
              <w:instrText xml:space="preserve"> PAGEREF _Toc82421585 \h </w:instrText>
            </w:r>
            <w:r>
              <w:rPr>
                <w:noProof/>
                <w:webHidden/>
              </w:rPr>
            </w:r>
            <w:r>
              <w:rPr>
                <w:noProof/>
                <w:webHidden/>
              </w:rPr>
              <w:fldChar w:fldCharType="separate"/>
            </w:r>
            <w:r>
              <w:rPr>
                <w:noProof/>
                <w:webHidden/>
              </w:rPr>
              <w:t>34</w:t>
            </w:r>
            <w:r>
              <w:rPr>
                <w:noProof/>
                <w:webHidden/>
              </w:rPr>
              <w:fldChar w:fldCharType="end"/>
            </w:r>
          </w:hyperlink>
        </w:p>
        <w:p w14:paraId="6E49ADD3" w14:textId="765BBF6D" w:rsidR="003A7F6C" w:rsidRPr="00B811C6" w:rsidRDefault="00C525A2" w:rsidP="00B811C6">
          <w:pPr>
            <w:pStyle w:val="TOC2"/>
          </w:pPr>
          <w:r>
            <w:fldChar w:fldCharType="end"/>
          </w:r>
        </w:p>
      </w:sdtContent>
    </w:sdt>
    <w:bookmarkStart w:id="2" w:name="_Toc314842482" w:displacedByCustomXml="prev"/>
    <w:p w14:paraId="1B9E5FBB" w14:textId="77777777" w:rsidR="00FD119B" w:rsidRDefault="00FD119B">
      <w:pPr>
        <w:spacing w:before="0" w:after="200" w:line="0" w:lineRule="auto"/>
      </w:pPr>
      <w:r>
        <w:br w:type="page"/>
      </w:r>
    </w:p>
    <w:p w14:paraId="25CB47F3" w14:textId="77777777" w:rsidR="00C52E24" w:rsidRPr="00C52E24" w:rsidRDefault="00324E45" w:rsidP="006832A1">
      <w:pPr>
        <w:pStyle w:val="Heading2"/>
      </w:pPr>
      <w:bookmarkStart w:id="3" w:name="_Toc351716269"/>
      <w:bookmarkStart w:id="4" w:name="_Toc351718881"/>
      <w:bookmarkStart w:id="5" w:name="_Toc355338616"/>
      <w:bookmarkStart w:id="6" w:name="_Toc356306144"/>
      <w:bookmarkStart w:id="7" w:name="_Toc82421570"/>
      <w:r>
        <w:lastRenderedPageBreak/>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03"/>
        <w:gridCol w:w="6691"/>
      </w:tblGrid>
      <w:tr w:rsidR="00907438" w:rsidRPr="00FD119B" w14:paraId="53B01ACA" w14:textId="77777777" w:rsidTr="00455260">
        <w:trPr>
          <w:cnfStyle w:val="100000000000" w:firstRow="1" w:lastRow="0" w:firstColumn="0" w:lastColumn="0" w:oddVBand="0" w:evenVBand="0" w:oddHBand="0" w:evenHBand="0" w:firstRowFirstColumn="0" w:firstRowLastColumn="0" w:lastRowFirstColumn="0" w:lastRowLastColumn="0"/>
        </w:trPr>
        <w:tc>
          <w:tcPr>
            <w:tcW w:w="1803" w:type="dxa"/>
            <w:tcBorders>
              <w:top w:val="single" w:sz="4" w:space="0" w:color="auto"/>
              <w:left w:val="single" w:sz="4" w:space="0" w:color="auto"/>
              <w:bottom w:val="single" w:sz="4" w:space="0" w:color="auto"/>
              <w:right w:val="single" w:sz="4" w:space="0" w:color="auto"/>
            </w:tcBorders>
          </w:tcPr>
          <w:p w14:paraId="18157CBC" w14:textId="77777777" w:rsidR="00907438" w:rsidRPr="00FD119B" w:rsidRDefault="00907438" w:rsidP="00455260">
            <w:pPr>
              <w:keepNext w:val="0"/>
              <w:ind w:left="144" w:right="0"/>
              <w:rPr>
                <w:szCs w:val="22"/>
                <w:lang w:eastAsia="en-US"/>
              </w:rPr>
            </w:pPr>
            <w:r w:rsidRPr="00FD119B">
              <w:rPr>
                <w:szCs w:val="22"/>
                <w:lang w:eastAsia="en-US"/>
              </w:rPr>
              <w:t>Abbreviation</w:t>
            </w:r>
          </w:p>
        </w:tc>
        <w:tc>
          <w:tcPr>
            <w:tcW w:w="6691" w:type="dxa"/>
            <w:tcBorders>
              <w:top w:val="single" w:sz="4" w:space="0" w:color="auto"/>
              <w:left w:val="single" w:sz="4" w:space="0" w:color="auto"/>
              <w:bottom w:val="single" w:sz="4" w:space="0" w:color="auto"/>
              <w:right w:val="single" w:sz="4" w:space="0" w:color="auto"/>
            </w:tcBorders>
          </w:tcPr>
          <w:p w14:paraId="0B5EECD3" w14:textId="77777777" w:rsidR="00907438" w:rsidRPr="00FD119B" w:rsidRDefault="00907438" w:rsidP="00455260">
            <w:pPr>
              <w:keepNext w:val="0"/>
              <w:ind w:left="144" w:right="0"/>
              <w:rPr>
                <w:szCs w:val="22"/>
                <w:lang w:eastAsia="en-US"/>
              </w:rPr>
            </w:pPr>
            <w:r w:rsidRPr="00FD119B">
              <w:rPr>
                <w:szCs w:val="22"/>
                <w:lang w:eastAsia="en-US"/>
              </w:rPr>
              <w:t>Meaning</w:t>
            </w:r>
          </w:p>
        </w:tc>
      </w:tr>
      <w:tr w:rsidR="00907438" w:rsidRPr="00FD119B" w14:paraId="623B3C83" w14:textId="77777777" w:rsidTr="00455260">
        <w:tc>
          <w:tcPr>
            <w:tcW w:w="1803" w:type="dxa"/>
            <w:tcBorders>
              <w:top w:val="single" w:sz="4" w:space="0" w:color="auto"/>
            </w:tcBorders>
          </w:tcPr>
          <w:p w14:paraId="2600A3CE" w14:textId="77777777" w:rsidR="00907438" w:rsidRPr="00FD119B" w:rsidRDefault="00907438" w:rsidP="00455260">
            <w:pPr>
              <w:ind w:left="144" w:right="0"/>
            </w:pPr>
            <w:r>
              <w:t>ACM</w:t>
            </w:r>
          </w:p>
        </w:tc>
        <w:tc>
          <w:tcPr>
            <w:tcW w:w="6691" w:type="dxa"/>
            <w:tcBorders>
              <w:top w:val="single" w:sz="4" w:space="0" w:color="auto"/>
            </w:tcBorders>
          </w:tcPr>
          <w:p w14:paraId="0198E94F" w14:textId="77777777" w:rsidR="00907438" w:rsidRPr="00FD119B" w:rsidRDefault="00907438" w:rsidP="00455260">
            <w:pPr>
              <w:ind w:left="144" w:right="0"/>
            </w:pPr>
            <w:r w:rsidRPr="00460036">
              <w:t>Advisory Committee on Medicines</w:t>
            </w:r>
          </w:p>
        </w:tc>
      </w:tr>
      <w:tr w:rsidR="00907438" w:rsidRPr="00FD119B" w14:paraId="490EDFC9" w14:textId="77777777" w:rsidTr="00455260">
        <w:tc>
          <w:tcPr>
            <w:tcW w:w="1803" w:type="dxa"/>
          </w:tcPr>
          <w:p w14:paraId="158D4C01" w14:textId="77777777" w:rsidR="00907438" w:rsidRDefault="00907438" w:rsidP="00455260">
            <w:pPr>
              <w:ind w:left="144"/>
            </w:pPr>
            <w:r>
              <w:t>ADR</w:t>
            </w:r>
          </w:p>
        </w:tc>
        <w:tc>
          <w:tcPr>
            <w:tcW w:w="6691" w:type="dxa"/>
          </w:tcPr>
          <w:p w14:paraId="68A97C35" w14:textId="77777777" w:rsidR="00907438" w:rsidRDefault="00907438" w:rsidP="00455260">
            <w:pPr>
              <w:ind w:left="144"/>
            </w:pPr>
            <w:r>
              <w:t>Adverse drug reaction</w:t>
            </w:r>
          </w:p>
        </w:tc>
      </w:tr>
      <w:tr w:rsidR="00907438" w:rsidRPr="00FD119B" w14:paraId="42DE8697" w14:textId="77777777" w:rsidTr="00455260">
        <w:tc>
          <w:tcPr>
            <w:tcW w:w="1803" w:type="dxa"/>
          </w:tcPr>
          <w:p w14:paraId="5AABF663" w14:textId="77777777" w:rsidR="00907438" w:rsidRDefault="00907438" w:rsidP="00455260">
            <w:pPr>
              <w:ind w:left="144"/>
            </w:pPr>
            <w:r>
              <w:t>AE</w:t>
            </w:r>
          </w:p>
        </w:tc>
        <w:tc>
          <w:tcPr>
            <w:tcW w:w="6691" w:type="dxa"/>
          </w:tcPr>
          <w:p w14:paraId="1218220A" w14:textId="17336FCB" w:rsidR="00907438" w:rsidRDefault="00907438" w:rsidP="00455260">
            <w:pPr>
              <w:ind w:left="144"/>
            </w:pPr>
            <w:r>
              <w:t>Adverse event</w:t>
            </w:r>
          </w:p>
        </w:tc>
      </w:tr>
      <w:tr w:rsidR="00907438" w:rsidRPr="00FD119B" w14:paraId="01E89BA9" w14:textId="77777777" w:rsidTr="00455260">
        <w:tc>
          <w:tcPr>
            <w:tcW w:w="1803" w:type="dxa"/>
          </w:tcPr>
          <w:p w14:paraId="6DDE2818" w14:textId="77777777" w:rsidR="00907438" w:rsidRPr="00FD119B" w:rsidRDefault="00907438" w:rsidP="00455260">
            <w:pPr>
              <w:ind w:left="144" w:right="0"/>
            </w:pPr>
            <w:r>
              <w:t>ARTG</w:t>
            </w:r>
          </w:p>
        </w:tc>
        <w:tc>
          <w:tcPr>
            <w:tcW w:w="6691" w:type="dxa"/>
          </w:tcPr>
          <w:p w14:paraId="7EB5075E" w14:textId="77777777" w:rsidR="00907438" w:rsidRPr="00FD119B" w:rsidRDefault="00907438" w:rsidP="00455260">
            <w:pPr>
              <w:ind w:left="144" w:right="0"/>
            </w:pPr>
            <w:r w:rsidRPr="00460036">
              <w:t>Australian Register of Therapeutic Goods</w:t>
            </w:r>
          </w:p>
        </w:tc>
      </w:tr>
      <w:tr w:rsidR="00907438" w:rsidRPr="00FD119B" w14:paraId="469363D7" w14:textId="77777777" w:rsidTr="00455260">
        <w:tc>
          <w:tcPr>
            <w:tcW w:w="1803" w:type="dxa"/>
          </w:tcPr>
          <w:p w14:paraId="53A85545" w14:textId="77777777" w:rsidR="00907438" w:rsidRDefault="00907438" w:rsidP="00455260">
            <w:pPr>
              <w:ind w:left="144"/>
            </w:pPr>
            <w:r>
              <w:t>ASA</w:t>
            </w:r>
          </w:p>
        </w:tc>
        <w:tc>
          <w:tcPr>
            <w:tcW w:w="6691" w:type="dxa"/>
          </w:tcPr>
          <w:p w14:paraId="7BDC1EB8" w14:textId="2B547346" w:rsidR="00907438" w:rsidRDefault="00907438" w:rsidP="00455260">
            <w:pPr>
              <w:ind w:left="144"/>
            </w:pPr>
            <w:r>
              <w:t xml:space="preserve">Australia </w:t>
            </w:r>
            <w:r w:rsidR="00346109">
              <w:t>s</w:t>
            </w:r>
            <w:r>
              <w:t>pecific annex</w:t>
            </w:r>
          </w:p>
        </w:tc>
      </w:tr>
      <w:tr w:rsidR="00907438" w:rsidRPr="00FD119B" w14:paraId="1D274F74" w14:textId="77777777" w:rsidTr="00455260">
        <w:tc>
          <w:tcPr>
            <w:tcW w:w="1803" w:type="dxa"/>
          </w:tcPr>
          <w:p w14:paraId="1F6A17A2" w14:textId="77777777" w:rsidR="00907438" w:rsidRDefault="00907438" w:rsidP="00455260">
            <w:pPr>
              <w:ind w:left="144"/>
            </w:pPr>
            <w:r>
              <w:t>AUC</w:t>
            </w:r>
          </w:p>
        </w:tc>
        <w:tc>
          <w:tcPr>
            <w:tcW w:w="6691" w:type="dxa"/>
          </w:tcPr>
          <w:p w14:paraId="4419643D" w14:textId="7D04AC10" w:rsidR="00907438" w:rsidRPr="001F6CBA" w:rsidRDefault="00907438" w:rsidP="00455260">
            <w:pPr>
              <w:ind w:left="144"/>
            </w:pPr>
            <w:r>
              <w:rPr>
                <w:rFonts w:cs="Calibri"/>
                <w:color w:val="000000"/>
                <w:szCs w:val="22"/>
              </w:rPr>
              <w:t xml:space="preserve">Area under the </w:t>
            </w:r>
            <w:r w:rsidRPr="002B01B1">
              <w:rPr>
                <w:rFonts w:cs="Calibri"/>
                <w:color w:val="000000"/>
                <w:szCs w:val="22"/>
              </w:rPr>
              <w:t>concentration</w:t>
            </w:r>
            <w:r w:rsidR="0008473C">
              <w:rPr>
                <w:rFonts w:cs="Calibri"/>
                <w:color w:val="000000"/>
                <w:szCs w:val="22"/>
              </w:rPr>
              <w:t xml:space="preserve"> versus</w:t>
            </w:r>
            <w:r w:rsidRPr="002B01B1">
              <w:rPr>
                <w:rFonts w:cs="Calibri"/>
                <w:color w:val="000000"/>
                <w:szCs w:val="22"/>
              </w:rPr>
              <w:t xml:space="preserve"> time curve</w:t>
            </w:r>
          </w:p>
        </w:tc>
      </w:tr>
      <w:tr w:rsidR="00907438" w:rsidRPr="00FD119B" w14:paraId="45DF2EB5" w14:textId="77777777" w:rsidTr="00455260">
        <w:tc>
          <w:tcPr>
            <w:tcW w:w="1803" w:type="dxa"/>
          </w:tcPr>
          <w:p w14:paraId="081FE013" w14:textId="77777777" w:rsidR="00907438" w:rsidRDefault="00907438" w:rsidP="00455260">
            <w:pPr>
              <w:ind w:left="144"/>
            </w:pPr>
            <w:r>
              <w:t>AUC</w:t>
            </w:r>
            <w:r w:rsidRPr="004443D3">
              <w:rPr>
                <w:vertAlign w:val="subscript"/>
              </w:rPr>
              <w:t>0-24h</w:t>
            </w:r>
          </w:p>
        </w:tc>
        <w:tc>
          <w:tcPr>
            <w:tcW w:w="6691" w:type="dxa"/>
          </w:tcPr>
          <w:p w14:paraId="49E3DE97" w14:textId="10D71B1A" w:rsidR="00907438" w:rsidRPr="001F6CBA" w:rsidRDefault="00907438" w:rsidP="00455260">
            <w:pPr>
              <w:ind w:left="144"/>
            </w:pPr>
            <w:r w:rsidRPr="002B01B1">
              <w:rPr>
                <w:rFonts w:cs="Calibri"/>
                <w:color w:val="000000"/>
                <w:szCs w:val="22"/>
              </w:rPr>
              <w:t xml:space="preserve">Area under the concentration </w:t>
            </w:r>
            <w:r w:rsidR="0008473C">
              <w:rPr>
                <w:rFonts w:cs="Calibri"/>
                <w:color w:val="000000"/>
                <w:szCs w:val="22"/>
              </w:rPr>
              <w:t xml:space="preserve">versus </w:t>
            </w:r>
            <w:r w:rsidRPr="002B01B1">
              <w:rPr>
                <w:rFonts w:cs="Calibri"/>
                <w:color w:val="000000"/>
                <w:szCs w:val="22"/>
              </w:rPr>
              <w:t xml:space="preserve">time curve </w:t>
            </w:r>
            <w:r w:rsidR="00346109">
              <w:rPr>
                <w:rFonts w:cs="Calibri"/>
                <w:color w:val="000000"/>
                <w:szCs w:val="22"/>
              </w:rPr>
              <w:t xml:space="preserve">from time zero (dosing) to </w:t>
            </w:r>
            <w:r w:rsidRPr="002B01B1">
              <w:rPr>
                <w:rFonts w:cs="Calibri"/>
                <w:color w:val="000000"/>
                <w:szCs w:val="22"/>
              </w:rPr>
              <w:t>24 hours</w:t>
            </w:r>
          </w:p>
        </w:tc>
      </w:tr>
      <w:tr w:rsidR="00907438" w:rsidRPr="00FD119B" w14:paraId="388884FF" w14:textId="77777777" w:rsidTr="00455260">
        <w:tc>
          <w:tcPr>
            <w:tcW w:w="1803" w:type="dxa"/>
          </w:tcPr>
          <w:p w14:paraId="1E0FA628" w14:textId="77777777" w:rsidR="00907438" w:rsidRPr="00FD119B" w:rsidRDefault="00907438" w:rsidP="00455260">
            <w:pPr>
              <w:ind w:left="144" w:right="0"/>
              <w:rPr>
                <w:color w:val="auto"/>
                <w:szCs w:val="22"/>
                <w:lang w:eastAsia="en-US"/>
              </w:rPr>
            </w:pPr>
            <w:proofErr w:type="spellStart"/>
            <w:r>
              <w:t>AusPARs</w:t>
            </w:r>
            <w:proofErr w:type="spellEnd"/>
          </w:p>
        </w:tc>
        <w:tc>
          <w:tcPr>
            <w:tcW w:w="6691" w:type="dxa"/>
          </w:tcPr>
          <w:p w14:paraId="5965FC2F" w14:textId="77777777" w:rsidR="00907438" w:rsidRPr="00FD119B" w:rsidRDefault="00907438" w:rsidP="00455260">
            <w:pPr>
              <w:ind w:left="144" w:right="0"/>
              <w:rPr>
                <w:color w:val="auto"/>
                <w:szCs w:val="22"/>
                <w:lang w:eastAsia="en-US"/>
              </w:rPr>
            </w:pPr>
            <w:r>
              <w:t>Australian Public Assessment Report</w:t>
            </w:r>
          </w:p>
        </w:tc>
      </w:tr>
      <w:tr w:rsidR="00907438" w:rsidRPr="00FD119B" w14:paraId="05D03684" w14:textId="77777777" w:rsidTr="00455260">
        <w:tc>
          <w:tcPr>
            <w:tcW w:w="1803" w:type="dxa"/>
          </w:tcPr>
          <w:p w14:paraId="6862F005" w14:textId="77777777" w:rsidR="00907438" w:rsidRDefault="00907438" w:rsidP="00455260">
            <w:pPr>
              <w:ind w:left="144"/>
            </w:pPr>
            <w:r>
              <w:t>BMI</w:t>
            </w:r>
          </w:p>
        </w:tc>
        <w:tc>
          <w:tcPr>
            <w:tcW w:w="6691" w:type="dxa"/>
          </w:tcPr>
          <w:p w14:paraId="369ED14D" w14:textId="77777777" w:rsidR="00907438" w:rsidRDefault="00907438" w:rsidP="00455260">
            <w:pPr>
              <w:ind w:left="144"/>
            </w:pPr>
            <w:r>
              <w:t>Body mass index</w:t>
            </w:r>
          </w:p>
        </w:tc>
      </w:tr>
      <w:tr w:rsidR="00907438" w:rsidRPr="00FD119B" w14:paraId="082F587F" w14:textId="77777777" w:rsidTr="00455260">
        <w:tc>
          <w:tcPr>
            <w:tcW w:w="1803" w:type="dxa"/>
          </w:tcPr>
          <w:p w14:paraId="1FC81AA1" w14:textId="77777777" w:rsidR="00907438" w:rsidRDefault="00907438" w:rsidP="00455260">
            <w:pPr>
              <w:ind w:left="144"/>
            </w:pPr>
            <w:r>
              <w:t>BSID-III</w:t>
            </w:r>
          </w:p>
        </w:tc>
        <w:tc>
          <w:tcPr>
            <w:tcW w:w="6691" w:type="dxa"/>
          </w:tcPr>
          <w:p w14:paraId="5AB26090" w14:textId="2737618E" w:rsidR="00907438" w:rsidRDefault="00907438" w:rsidP="00455260">
            <w:pPr>
              <w:ind w:left="144"/>
            </w:pPr>
            <w:r>
              <w:t xml:space="preserve">Bayley Scales of Infant and Toddler Development </w:t>
            </w:r>
            <w:r w:rsidR="00346109">
              <w:t>(</w:t>
            </w:r>
            <w:r>
              <w:t xml:space="preserve">Third </w:t>
            </w:r>
            <w:r w:rsidR="00346109">
              <w:t>e</w:t>
            </w:r>
            <w:r>
              <w:t>dition</w:t>
            </w:r>
            <w:r w:rsidR="00346109">
              <w:t>)</w:t>
            </w:r>
          </w:p>
        </w:tc>
      </w:tr>
      <w:tr w:rsidR="00907438" w:rsidRPr="00FD119B" w14:paraId="6F66CF3D" w14:textId="77777777" w:rsidTr="00455260">
        <w:tc>
          <w:tcPr>
            <w:tcW w:w="1803" w:type="dxa"/>
          </w:tcPr>
          <w:p w14:paraId="6A78E675" w14:textId="77777777" w:rsidR="00907438" w:rsidRDefault="00907438" w:rsidP="00455260">
            <w:pPr>
              <w:ind w:left="144"/>
            </w:pPr>
            <w:r>
              <w:t>CCOD</w:t>
            </w:r>
          </w:p>
        </w:tc>
        <w:tc>
          <w:tcPr>
            <w:tcW w:w="6691" w:type="dxa"/>
          </w:tcPr>
          <w:p w14:paraId="3B2E0446" w14:textId="77777777" w:rsidR="00907438" w:rsidRDefault="00907438" w:rsidP="00455260">
            <w:pPr>
              <w:ind w:left="144"/>
            </w:pPr>
            <w:r>
              <w:t xml:space="preserve">Clinical </w:t>
            </w:r>
            <w:proofErr w:type="spellStart"/>
            <w:r>
              <w:t>cutoff</w:t>
            </w:r>
            <w:proofErr w:type="spellEnd"/>
            <w:r>
              <w:t xml:space="preserve"> date</w:t>
            </w:r>
          </w:p>
        </w:tc>
      </w:tr>
      <w:tr w:rsidR="00907438" w:rsidRPr="00FD119B" w14:paraId="2ACA918A" w14:textId="77777777" w:rsidTr="00455260">
        <w:tc>
          <w:tcPr>
            <w:tcW w:w="1803" w:type="dxa"/>
          </w:tcPr>
          <w:p w14:paraId="3FBC057A" w14:textId="77777777" w:rsidR="00907438" w:rsidRDefault="00907438" w:rsidP="00455260">
            <w:pPr>
              <w:ind w:left="144"/>
            </w:pPr>
            <w:r>
              <w:t>CHOP-INTEND</w:t>
            </w:r>
          </w:p>
        </w:tc>
        <w:tc>
          <w:tcPr>
            <w:tcW w:w="6691" w:type="dxa"/>
          </w:tcPr>
          <w:p w14:paraId="2B2AFA21" w14:textId="77777777" w:rsidR="00907438" w:rsidRDefault="00907438" w:rsidP="00455260">
            <w:pPr>
              <w:ind w:left="144"/>
            </w:pPr>
            <w:r>
              <w:t>Children’s Hospital of Philadelphia Infant Test of Neuromuscular Disorders</w:t>
            </w:r>
          </w:p>
        </w:tc>
      </w:tr>
      <w:tr w:rsidR="00907438" w:rsidRPr="00FD119B" w14:paraId="60488F7C" w14:textId="77777777" w:rsidTr="00455260">
        <w:tc>
          <w:tcPr>
            <w:tcW w:w="1803" w:type="dxa"/>
          </w:tcPr>
          <w:p w14:paraId="383E34E6" w14:textId="77777777" w:rsidR="00907438" w:rsidRDefault="00907438" w:rsidP="00455260">
            <w:pPr>
              <w:ind w:left="144"/>
            </w:pPr>
            <w:r>
              <w:t>CI</w:t>
            </w:r>
          </w:p>
        </w:tc>
        <w:tc>
          <w:tcPr>
            <w:tcW w:w="6691" w:type="dxa"/>
          </w:tcPr>
          <w:p w14:paraId="45802642" w14:textId="77777777" w:rsidR="00907438" w:rsidRDefault="00907438" w:rsidP="00455260">
            <w:pPr>
              <w:ind w:left="144"/>
            </w:pPr>
            <w:r>
              <w:t>Confidence interval</w:t>
            </w:r>
          </w:p>
        </w:tc>
      </w:tr>
      <w:tr w:rsidR="00907438" w:rsidRPr="00FD119B" w14:paraId="0FB1989F" w14:textId="77777777" w:rsidTr="00455260">
        <w:tc>
          <w:tcPr>
            <w:tcW w:w="1803" w:type="dxa"/>
          </w:tcPr>
          <w:p w14:paraId="5AB57C42" w14:textId="77777777" w:rsidR="00907438" w:rsidRDefault="00907438" w:rsidP="00455260">
            <w:pPr>
              <w:ind w:left="144"/>
            </w:pPr>
            <w:r>
              <w:t>CL/F</w:t>
            </w:r>
          </w:p>
        </w:tc>
        <w:tc>
          <w:tcPr>
            <w:tcW w:w="6691" w:type="dxa"/>
          </w:tcPr>
          <w:p w14:paraId="7F6CE59C" w14:textId="77777777" w:rsidR="00907438" w:rsidRPr="001F6CBA" w:rsidRDefault="00907438" w:rsidP="00455260">
            <w:pPr>
              <w:ind w:left="144"/>
            </w:pPr>
            <w:r>
              <w:t>Oral clearance</w:t>
            </w:r>
          </w:p>
        </w:tc>
      </w:tr>
      <w:tr w:rsidR="00907438" w:rsidRPr="00FD119B" w14:paraId="3156B11E" w14:textId="77777777" w:rsidTr="00455260">
        <w:tc>
          <w:tcPr>
            <w:tcW w:w="1803" w:type="dxa"/>
          </w:tcPr>
          <w:p w14:paraId="2B38C47C" w14:textId="77777777" w:rsidR="00907438" w:rsidRDefault="00907438" w:rsidP="00455260">
            <w:pPr>
              <w:ind w:left="144"/>
            </w:pPr>
            <w:proofErr w:type="spellStart"/>
            <w:r>
              <w:t>C</w:t>
            </w:r>
            <w:r w:rsidRPr="004443D3">
              <w:rPr>
                <w:vertAlign w:val="subscript"/>
              </w:rPr>
              <w:t>max</w:t>
            </w:r>
            <w:proofErr w:type="spellEnd"/>
          </w:p>
        </w:tc>
        <w:tc>
          <w:tcPr>
            <w:tcW w:w="6691" w:type="dxa"/>
          </w:tcPr>
          <w:p w14:paraId="3BD68FC8" w14:textId="77777777" w:rsidR="00907438" w:rsidRPr="001F6CBA" w:rsidRDefault="00907438" w:rsidP="00455260">
            <w:pPr>
              <w:ind w:left="144"/>
            </w:pPr>
            <w:r>
              <w:t>Maximum plasma concentration</w:t>
            </w:r>
          </w:p>
        </w:tc>
      </w:tr>
      <w:tr w:rsidR="00907438" w:rsidRPr="00FD119B" w14:paraId="51C217ED" w14:textId="77777777" w:rsidTr="00455260">
        <w:tc>
          <w:tcPr>
            <w:tcW w:w="1803" w:type="dxa"/>
          </w:tcPr>
          <w:p w14:paraId="65D58DFC" w14:textId="77777777" w:rsidR="00907438" w:rsidRDefault="00907438" w:rsidP="00455260">
            <w:pPr>
              <w:ind w:left="144"/>
            </w:pPr>
            <w:r>
              <w:t>CSR</w:t>
            </w:r>
          </w:p>
        </w:tc>
        <w:tc>
          <w:tcPr>
            <w:tcW w:w="6691" w:type="dxa"/>
          </w:tcPr>
          <w:p w14:paraId="4CB4DE54" w14:textId="77777777" w:rsidR="00907438" w:rsidRDefault="00907438" w:rsidP="00455260">
            <w:pPr>
              <w:ind w:left="144"/>
            </w:pPr>
            <w:r>
              <w:t>Clinical study report</w:t>
            </w:r>
          </w:p>
        </w:tc>
      </w:tr>
      <w:tr w:rsidR="00907438" w:rsidRPr="00FD119B" w14:paraId="06B257A4" w14:textId="77777777" w:rsidTr="00455260">
        <w:tc>
          <w:tcPr>
            <w:tcW w:w="1803" w:type="dxa"/>
          </w:tcPr>
          <w:p w14:paraId="1E1CD004" w14:textId="77777777" w:rsidR="00907438" w:rsidRDefault="00907438" w:rsidP="00455260">
            <w:pPr>
              <w:ind w:left="144"/>
            </w:pPr>
            <w:r>
              <w:t>CYP</w:t>
            </w:r>
          </w:p>
        </w:tc>
        <w:tc>
          <w:tcPr>
            <w:tcW w:w="6691" w:type="dxa"/>
          </w:tcPr>
          <w:p w14:paraId="5264F907" w14:textId="77777777" w:rsidR="00907438" w:rsidRPr="001F6CBA" w:rsidRDefault="00907438" w:rsidP="00455260">
            <w:pPr>
              <w:ind w:left="144"/>
            </w:pPr>
            <w:r>
              <w:t>Cytochrome P450</w:t>
            </w:r>
          </w:p>
        </w:tc>
      </w:tr>
      <w:tr w:rsidR="00907438" w:rsidRPr="00FD119B" w14:paraId="13EBEA62" w14:textId="77777777" w:rsidTr="00455260">
        <w:tc>
          <w:tcPr>
            <w:tcW w:w="1803" w:type="dxa"/>
          </w:tcPr>
          <w:p w14:paraId="02D8D6BE" w14:textId="77777777" w:rsidR="00907438" w:rsidRDefault="00907438" w:rsidP="00455260">
            <w:pPr>
              <w:ind w:left="144"/>
            </w:pPr>
            <w:r>
              <w:t>DDI</w:t>
            </w:r>
          </w:p>
        </w:tc>
        <w:tc>
          <w:tcPr>
            <w:tcW w:w="6691" w:type="dxa"/>
          </w:tcPr>
          <w:p w14:paraId="53B2F849" w14:textId="12A64567" w:rsidR="00907438" w:rsidRDefault="00907438" w:rsidP="00455260">
            <w:pPr>
              <w:ind w:left="144"/>
            </w:pPr>
            <w:r>
              <w:t>Drug</w:t>
            </w:r>
            <w:r w:rsidR="00346109">
              <w:noBreakHyphen/>
            </w:r>
            <w:r>
              <w:t>drug interaction</w:t>
            </w:r>
          </w:p>
        </w:tc>
      </w:tr>
      <w:tr w:rsidR="00907438" w:rsidRPr="00FD119B" w14:paraId="03CB0988" w14:textId="77777777" w:rsidTr="00455260">
        <w:tc>
          <w:tcPr>
            <w:tcW w:w="1803" w:type="dxa"/>
          </w:tcPr>
          <w:p w14:paraId="5C8B5E42" w14:textId="77777777" w:rsidR="00907438" w:rsidRDefault="00907438" w:rsidP="00455260">
            <w:pPr>
              <w:ind w:left="144"/>
            </w:pPr>
            <w:r>
              <w:t>DLP</w:t>
            </w:r>
          </w:p>
        </w:tc>
        <w:tc>
          <w:tcPr>
            <w:tcW w:w="6691" w:type="dxa"/>
          </w:tcPr>
          <w:p w14:paraId="69ABEDB4" w14:textId="77777777" w:rsidR="00907438" w:rsidRDefault="00907438" w:rsidP="00455260">
            <w:pPr>
              <w:ind w:left="144"/>
            </w:pPr>
            <w:r>
              <w:t>Data lock point</w:t>
            </w:r>
          </w:p>
        </w:tc>
      </w:tr>
      <w:tr w:rsidR="00907438" w:rsidRPr="00FD119B" w14:paraId="73E17008" w14:textId="77777777" w:rsidTr="00455260">
        <w:tc>
          <w:tcPr>
            <w:tcW w:w="1803" w:type="dxa"/>
          </w:tcPr>
          <w:p w14:paraId="1F39528B" w14:textId="77777777" w:rsidR="00907438" w:rsidRDefault="00907438" w:rsidP="00455260">
            <w:pPr>
              <w:ind w:left="144"/>
            </w:pPr>
            <w:r>
              <w:t xml:space="preserve">EU </w:t>
            </w:r>
          </w:p>
        </w:tc>
        <w:tc>
          <w:tcPr>
            <w:tcW w:w="6691" w:type="dxa"/>
          </w:tcPr>
          <w:p w14:paraId="75205172" w14:textId="77777777" w:rsidR="00907438" w:rsidRDefault="00907438" w:rsidP="00455260">
            <w:pPr>
              <w:ind w:left="144"/>
            </w:pPr>
            <w:r>
              <w:t>European Union</w:t>
            </w:r>
          </w:p>
        </w:tc>
      </w:tr>
      <w:tr w:rsidR="00907438" w:rsidRPr="00FD119B" w14:paraId="1435D02A" w14:textId="77777777" w:rsidTr="00455260">
        <w:tc>
          <w:tcPr>
            <w:tcW w:w="1803" w:type="dxa"/>
          </w:tcPr>
          <w:p w14:paraId="2A93D938" w14:textId="77777777" w:rsidR="00907438" w:rsidRDefault="00907438" w:rsidP="00455260">
            <w:pPr>
              <w:ind w:left="144"/>
            </w:pPr>
            <w:r>
              <w:t>FDA</w:t>
            </w:r>
          </w:p>
        </w:tc>
        <w:tc>
          <w:tcPr>
            <w:tcW w:w="6691" w:type="dxa"/>
          </w:tcPr>
          <w:p w14:paraId="05010BFE" w14:textId="3C282D92" w:rsidR="00907438" w:rsidRDefault="00907438" w:rsidP="00455260">
            <w:pPr>
              <w:ind w:left="144"/>
            </w:pPr>
            <w:r w:rsidRPr="00FE2CBD">
              <w:t>Food and Drug Administration</w:t>
            </w:r>
            <w:r w:rsidR="0008473C">
              <w:t xml:space="preserve"> (United States of America)</w:t>
            </w:r>
          </w:p>
        </w:tc>
      </w:tr>
      <w:tr w:rsidR="00907438" w:rsidRPr="00FD119B" w14:paraId="0DFC1DA6" w14:textId="77777777" w:rsidTr="00455260">
        <w:tc>
          <w:tcPr>
            <w:tcW w:w="1803" w:type="dxa"/>
          </w:tcPr>
          <w:p w14:paraId="6F7F9A45" w14:textId="77777777" w:rsidR="00907438" w:rsidRDefault="00907438" w:rsidP="00455260">
            <w:pPr>
              <w:ind w:left="144"/>
            </w:pPr>
            <w:r>
              <w:t>FMO1</w:t>
            </w:r>
          </w:p>
        </w:tc>
        <w:tc>
          <w:tcPr>
            <w:tcW w:w="6691" w:type="dxa"/>
          </w:tcPr>
          <w:p w14:paraId="0D4E400E" w14:textId="77777777" w:rsidR="00907438" w:rsidRPr="001F6CBA" w:rsidRDefault="00907438" w:rsidP="00455260">
            <w:pPr>
              <w:ind w:left="144"/>
            </w:pPr>
            <w:r>
              <w:t>Flavin monooxygenase 1</w:t>
            </w:r>
          </w:p>
        </w:tc>
      </w:tr>
      <w:tr w:rsidR="00907438" w:rsidRPr="00FD119B" w14:paraId="109168A6" w14:textId="77777777" w:rsidTr="00455260">
        <w:tc>
          <w:tcPr>
            <w:tcW w:w="1803" w:type="dxa"/>
          </w:tcPr>
          <w:p w14:paraId="1C0A2480" w14:textId="77777777" w:rsidR="00907438" w:rsidRDefault="00907438" w:rsidP="00455260">
            <w:pPr>
              <w:ind w:left="144"/>
            </w:pPr>
            <w:r>
              <w:t>FMO3</w:t>
            </w:r>
          </w:p>
        </w:tc>
        <w:tc>
          <w:tcPr>
            <w:tcW w:w="6691" w:type="dxa"/>
          </w:tcPr>
          <w:p w14:paraId="4C270902" w14:textId="77777777" w:rsidR="00907438" w:rsidRPr="001F6CBA" w:rsidRDefault="00907438" w:rsidP="00455260">
            <w:pPr>
              <w:ind w:left="144"/>
            </w:pPr>
            <w:r>
              <w:t>Flavin monooxygenase 3</w:t>
            </w:r>
          </w:p>
        </w:tc>
      </w:tr>
      <w:tr w:rsidR="00907438" w:rsidRPr="00FD119B" w14:paraId="38F06586" w14:textId="77777777" w:rsidTr="00455260">
        <w:tc>
          <w:tcPr>
            <w:tcW w:w="1803" w:type="dxa"/>
          </w:tcPr>
          <w:p w14:paraId="35685064" w14:textId="77777777" w:rsidR="00907438" w:rsidRDefault="00907438" w:rsidP="00455260">
            <w:pPr>
              <w:ind w:left="144"/>
            </w:pPr>
            <w:r>
              <w:t>GVP</w:t>
            </w:r>
          </w:p>
        </w:tc>
        <w:tc>
          <w:tcPr>
            <w:tcW w:w="6691" w:type="dxa"/>
          </w:tcPr>
          <w:p w14:paraId="7DE0ECFB" w14:textId="77777777" w:rsidR="00907438" w:rsidRDefault="00907438" w:rsidP="00455260">
            <w:pPr>
              <w:ind w:left="144"/>
            </w:pPr>
            <w:r>
              <w:t>Good Pharmacovigilance Practices</w:t>
            </w:r>
          </w:p>
        </w:tc>
      </w:tr>
      <w:tr w:rsidR="00907438" w:rsidRPr="00FD119B" w14:paraId="0DDE7D47" w14:textId="77777777" w:rsidTr="00455260">
        <w:tc>
          <w:tcPr>
            <w:tcW w:w="1803" w:type="dxa"/>
          </w:tcPr>
          <w:p w14:paraId="7973A7C2" w14:textId="77777777" w:rsidR="00907438" w:rsidRDefault="00907438" w:rsidP="00455260">
            <w:pPr>
              <w:ind w:left="144"/>
            </w:pPr>
            <w:r>
              <w:lastRenderedPageBreak/>
              <w:t>HFMSE</w:t>
            </w:r>
          </w:p>
        </w:tc>
        <w:tc>
          <w:tcPr>
            <w:tcW w:w="6691" w:type="dxa"/>
          </w:tcPr>
          <w:p w14:paraId="64F7B4C3" w14:textId="77777777" w:rsidR="00907438" w:rsidRDefault="00907438" w:rsidP="00455260">
            <w:pPr>
              <w:ind w:left="144"/>
            </w:pPr>
            <w:r>
              <w:t>Hammersmith Functional Motor Scale Expanded</w:t>
            </w:r>
          </w:p>
        </w:tc>
      </w:tr>
      <w:tr w:rsidR="00907438" w:rsidRPr="00FD119B" w14:paraId="03E30ED9" w14:textId="77777777" w:rsidTr="00455260">
        <w:tc>
          <w:tcPr>
            <w:tcW w:w="1803" w:type="dxa"/>
          </w:tcPr>
          <w:p w14:paraId="2B78B781" w14:textId="77777777" w:rsidR="00907438" w:rsidRDefault="00907438" w:rsidP="00455260">
            <w:pPr>
              <w:ind w:left="144"/>
            </w:pPr>
            <w:r>
              <w:t>HINE-2</w:t>
            </w:r>
          </w:p>
        </w:tc>
        <w:tc>
          <w:tcPr>
            <w:tcW w:w="6691" w:type="dxa"/>
          </w:tcPr>
          <w:p w14:paraId="512497DE" w14:textId="77777777" w:rsidR="00907438" w:rsidRDefault="00907438" w:rsidP="00455260">
            <w:pPr>
              <w:ind w:left="144"/>
            </w:pPr>
            <w:r>
              <w:t>Hammersmith Infant Neurological Examination Module 2</w:t>
            </w:r>
          </w:p>
        </w:tc>
      </w:tr>
      <w:tr w:rsidR="00907438" w:rsidRPr="00FD119B" w14:paraId="66820CD4" w14:textId="77777777" w:rsidTr="00455260">
        <w:tc>
          <w:tcPr>
            <w:tcW w:w="1803" w:type="dxa"/>
          </w:tcPr>
          <w:p w14:paraId="38BD3D3A" w14:textId="77777777" w:rsidR="00907438" w:rsidRDefault="00907438" w:rsidP="00455260">
            <w:pPr>
              <w:ind w:left="144"/>
            </w:pPr>
            <w:r>
              <w:t>MFM32</w:t>
            </w:r>
          </w:p>
        </w:tc>
        <w:tc>
          <w:tcPr>
            <w:tcW w:w="6691" w:type="dxa"/>
          </w:tcPr>
          <w:p w14:paraId="4EE29BDB" w14:textId="77777777" w:rsidR="00907438" w:rsidRDefault="00907438" w:rsidP="00455260">
            <w:pPr>
              <w:ind w:left="144"/>
            </w:pPr>
            <w:r>
              <w:t>Motor function measure 32</w:t>
            </w:r>
          </w:p>
        </w:tc>
      </w:tr>
      <w:tr w:rsidR="00907438" w:rsidRPr="00FD119B" w14:paraId="37BDE179" w14:textId="77777777" w:rsidTr="00455260">
        <w:tc>
          <w:tcPr>
            <w:tcW w:w="1803" w:type="dxa"/>
          </w:tcPr>
          <w:p w14:paraId="26330CEA" w14:textId="77777777" w:rsidR="00907438" w:rsidRDefault="00907438" w:rsidP="00455260">
            <w:pPr>
              <w:ind w:left="144"/>
            </w:pPr>
            <w:r>
              <w:t>MMRM</w:t>
            </w:r>
          </w:p>
        </w:tc>
        <w:tc>
          <w:tcPr>
            <w:tcW w:w="6691" w:type="dxa"/>
          </w:tcPr>
          <w:p w14:paraId="0F833611" w14:textId="14EFAB5C" w:rsidR="00907438" w:rsidRDefault="0008473C" w:rsidP="00455260">
            <w:pPr>
              <w:ind w:left="144"/>
            </w:pPr>
            <w:r>
              <w:t>Mixed model repeated m</w:t>
            </w:r>
            <w:r w:rsidR="00907438">
              <w:t>easures</w:t>
            </w:r>
          </w:p>
        </w:tc>
      </w:tr>
      <w:tr w:rsidR="00907438" w:rsidRPr="00FD119B" w14:paraId="6EE60233" w14:textId="77777777" w:rsidTr="00455260">
        <w:tc>
          <w:tcPr>
            <w:tcW w:w="1803" w:type="dxa"/>
          </w:tcPr>
          <w:p w14:paraId="0A7FBABF" w14:textId="77777777" w:rsidR="00907438" w:rsidRDefault="00907438" w:rsidP="00455260">
            <w:pPr>
              <w:ind w:left="144"/>
            </w:pPr>
            <w:r>
              <w:t>MRHD</w:t>
            </w:r>
          </w:p>
        </w:tc>
        <w:tc>
          <w:tcPr>
            <w:tcW w:w="6691" w:type="dxa"/>
          </w:tcPr>
          <w:p w14:paraId="612BF86B" w14:textId="77777777" w:rsidR="00907438" w:rsidRPr="001F6CBA" w:rsidRDefault="00907438" w:rsidP="00455260">
            <w:pPr>
              <w:ind w:left="144"/>
            </w:pPr>
            <w:r>
              <w:t>Maximum recommended human dose</w:t>
            </w:r>
          </w:p>
        </w:tc>
      </w:tr>
      <w:tr w:rsidR="00907438" w:rsidRPr="00FD119B" w14:paraId="2260652D" w14:textId="77777777" w:rsidTr="00455260">
        <w:tc>
          <w:tcPr>
            <w:tcW w:w="1803" w:type="dxa"/>
          </w:tcPr>
          <w:p w14:paraId="08EF5CDC" w14:textId="77777777" w:rsidR="00907438" w:rsidRDefault="00907438" w:rsidP="00455260">
            <w:pPr>
              <w:ind w:left="144"/>
            </w:pPr>
            <w:r>
              <w:t>NNT</w:t>
            </w:r>
          </w:p>
        </w:tc>
        <w:tc>
          <w:tcPr>
            <w:tcW w:w="6691" w:type="dxa"/>
          </w:tcPr>
          <w:p w14:paraId="61CA20FD" w14:textId="77777777" w:rsidR="00907438" w:rsidRDefault="00907438" w:rsidP="00455260">
            <w:pPr>
              <w:ind w:left="144"/>
            </w:pPr>
            <w:r>
              <w:t xml:space="preserve">Number of </w:t>
            </w:r>
            <w:proofErr w:type="gramStart"/>
            <w:r>
              <w:t>patient</w:t>
            </w:r>
            <w:proofErr w:type="gramEnd"/>
            <w:r>
              <w:t xml:space="preserve"> needed to treat</w:t>
            </w:r>
          </w:p>
        </w:tc>
      </w:tr>
      <w:tr w:rsidR="00907438" w:rsidRPr="00FD119B" w14:paraId="45E72234" w14:textId="77777777" w:rsidTr="00455260">
        <w:tc>
          <w:tcPr>
            <w:tcW w:w="1803" w:type="dxa"/>
          </w:tcPr>
          <w:p w14:paraId="67162BF6" w14:textId="0FC13878" w:rsidR="00907438" w:rsidRDefault="00907438" w:rsidP="00455260">
            <w:pPr>
              <w:ind w:left="144"/>
            </w:pPr>
            <w:r>
              <w:t>NOAEL</w:t>
            </w:r>
          </w:p>
        </w:tc>
        <w:tc>
          <w:tcPr>
            <w:tcW w:w="6691" w:type="dxa"/>
          </w:tcPr>
          <w:p w14:paraId="58A17A8C" w14:textId="02A001FA" w:rsidR="00907438" w:rsidRPr="001F6CBA" w:rsidRDefault="00907438" w:rsidP="00455260">
            <w:pPr>
              <w:ind w:left="144"/>
            </w:pPr>
            <w:r>
              <w:t>No observable effect level</w:t>
            </w:r>
          </w:p>
        </w:tc>
      </w:tr>
      <w:tr w:rsidR="00907438" w:rsidRPr="00FD119B" w14:paraId="3263958E" w14:textId="77777777" w:rsidTr="00455260">
        <w:tc>
          <w:tcPr>
            <w:tcW w:w="1803" w:type="dxa"/>
          </w:tcPr>
          <w:p w14:paraId="57AB0FB4" w14:textId="77777777" w:rsidR="00907438" w:rsidRDefault="00907438" w:rsidP="00455260">
            <w:pPr>
              <w:ind w:left="144"/>
            </w:pPr>
            <w:r>
              <w:t>PD</w:t>
            </w:r>
          </w:p>
        </w:tc>
        <w:tc>
          <w:tcPr>
            <w:tcW w:w="6691" w:type="dxa"/>
          </w:tcPr>
          <w:p w14:paraId="58864721" w14:textId="75B5E756" w:rsidR="00907438" w:rsidRDefault="00907438" w:rsidP="00455260">
            <w:pPr>
              <w:ind w:left="144"/>
            </w:pPr>
            <w:r>
              <w:t>Pharmacodynamic</w:t>
            </w:r>
            <w:r w:rsidR="0008473C">
              <w:t>(</w:t>
            </w:r>
            <w:r>
              <w:t>s</w:t>
            </w:r>
            <w:r w:rsidR="0008473C">
              <w:t>)</w:t>
            </w:r>
          </w:p>
        </w:tc>
      </w:tr>
      <w:tr w:rsidR="00907438" w:rsidRPr="00FD119B" w14:paraId="289F7A4C" w14:textId="77777777" w:rsidTr="00455260">
        <w:tc>
          <w:tcPr>
            <w:tcW w:w="1803" w:type="dxa"/>
          </w:tcPr>
          <w:p w14:paraId="316D36E3" w14:textId="77777777" w:rsidR="00907438" w:rsidRDefault="00907438" w:rsidP="00455260">
            <w:pPr>
              <w:ind w:left="144"/>
            </w:pPr>
            <w:r>
              <w:t>PK</w:t>
            </w:r>
          </w:p>
        </w:tc>
        <w:tc>
          <w:tcPr>
            <w:tcW w:w="6691" w:type="dxa"/>
          </w:tcPr>
          <w:p w14:paraId="45DF7530" w14:textId="6E23A24D" w:rsidR="00907438" w:rsidRPr="001F6CBA" w:rsidRDefault="00907438" w:rsidP="00455260">
            <w:pPr>
              <w:ind w:left="144"/>
            </w:pPr>
            <w:r>
              <w:t>Pharma</w:t>
            </w:r>
            <w:r w:rsidR="00346109">
              <w:t>co</w:t>
            </w:r>
            <w:r>
              <w:t>kinetic</w:t>
            </w:r>
            <w:r w:rsidR="0008473C">
              <w:t>(</w:t>
            </w:r>
            <w:r>
              <w:t>s</w:t>
            </w:r>
            <w:r w:rsidR="0008473C">
              <w:t>)</w:t>
            </w:r>
          </w:p>
        </w:tc>
      </w:tr>
      <w:tr w:rsidR="00907438" w:rsidRPr="00FD119B" w14:paraId="21DC4053" w14:textId="77777777" w:rsidTr="00455260">
        <w:tc>
          <w:tcPr>
            <w:tcW w:w="1803" w:type="dxa"/>
          </w:tcPr>
          <w:p w14:paraId="09237082" w14:textId="77777777" w:rsidR="00907438" w:rsidRDefault="00907438" w:rsidP="00455260">
            <w:pPr>
              <w:ind w:left="144"/>
            </w:pPr>
            <w:proofErr w:type="spellStart"/>
            <w:r>
              <w:t>PopPK</w:t>
            </w:r>
            <w:proofErr w:type="spellEnd"/>
          </w:p>
        </w:tc>
        <w:tc>
          <w:tcPr>
            <w:tcW w:w="6691" w:type="dxa"/>
          </w:tcPr>
          <w:p w14:paraId="2F9FD5DD" w14:textId="7B736832" w:rsidR="00907438" w:rsidRPr="001F6CBA" w:rsidRDefault="00907438" w:rsidP="00455260">
            <w:pPr>
              <w:ind w:left="144"/>
            </w:pPr>
            <w:r>
              <w:t xml:space="preserve">Population </w:t>
            </w:r>
            <w:proofErr w:type="spellStart"/>
            <w:r>
              <w:t>pharmakinetic</w:t>
            </w:r>
            <w:proofErr w:type="spellEnd"/>
            <w:r w:rsidR="0008473C">
              <w:t>(</w:t>
            </w:r>
            <w:r>
              <w:t>s</w:t>
            </w:r>
            <w:r w:rsidR="0008473C">
              <w:t>)</w:t>
            </w:r>
          </w:p>
        </w:tc>
      </w:tr>
      <w:tr w:rsidR="00907438" w:rsidRPr="00FD119B" w14:paraId="56D0461C" w14:textId="77777777" w:rsidTr="00455260">
        <w:tc>
          <w:tcPr>
            <w:tcW w:w="1803" w:type="dxa"/>
          </w:tcPr>
          <w:p w14:paraId="199C7D1B" w14:textId="4F789801" w:rsidR="00907438" w:rsidRDefault="00907438" w:rsidP="00455260">
            <w:pPr>
              <w:ind w:left="144"/>
            </w:pPr>
            <w:r>
              <w:t>PSUR</w:t>
            </w:r>
          </w:p>
        </w:tc>
        <w:tc>
          <w:tcPr>
            <w:tcW w:w="6691" w:type="dxa"/>
          </w:tcPr>
          <w:p w14:paraId="23783D31" w14:textId="606C4371" w:rsidR="00907438" w:rsidRDefault="00907438" w:rsidP="00455260">
            <w:pPr>
              <w:ind w:left="144"/>
            </w:pPr>
            <w:r>
              <w:t>Periodic safety update report</w:t>
            </w:r>
          </w:p>
        </w:tc>
      </w:tr>
      <w:tr w:rsidR="00907438" w:rsidRPr="00FD119B" w14:paraId="2C8D493F" w14:textId="77777777" w:rsidTr="00455260">
        <w:tc>
          <w:tcPr>
            <w:tcW w:w="1803" w:type="dxa"/>
          </w:tcPr>
          <w:p w14:paraId="0F1E7AB0" w14:textId="77777777" w:rsidR="00907438" w:rsidRDefault="00907438" w:rsidP="00455260">
            <w:pPr>
              <w:ind w:left="144"/>
            </w:pPr>
            <w:r>
              <w:t>PT</w:t>
            </w:r>
          </w:p>
        </w:tc>
        <w:tc>
          <w:tcPr>
            <w:tcW w:w="6691" w:type="dxa"/>
          </w:tcPr>
          <w:p w14:paraId="1F55759A" w14:textId="77777777" w:rsidR="00907438" w:rsidRDefault="00907438" w:rsidP="00455260">
            <w:pPr>
              <w:ind w:left="144"/>
            </w:pPr>
            <w:r>
              <w:t>Preferred Term</w:t>
            </w:r>
          </w:p>
        </w:tc>
      </w:tr>
      <w:tr w:rsidR="00907438" w:rsidRPr="00FD119B" w14:paraId="7ACF77F0" w14:textId="77777777" w:rsidTr="00455260">
        <w:tc>
          <w:tcPr>
            <w:tcW w:w="1803" w:type="dxa"/>
          </w:tcPr>
          <w:p w14:paraId="433FC77C" w14:textId="77777777" w:rsidR="00907438" w:rsidRDefault="00907438" w:rsidP="00455260">
            <w:pPr>
              <w:ind w:left="144"/>
            </w:pPr>
            <w:r>
              <w:t>PY</w:t>
            </w:r>
          </w:p>
        </w:tc>
        <w:tc>
          <w:tcPr>
            <w:tcW w:w="6691" w:type="dxa"/>
          </w:tcPr>
          <w:p w14:paraId="00D4B279" w14:textId="77777777" w:rsidR="00907438" w:rsidRDefault="00907438" w:rsidP="00455260">
            <w:pPr>
              <w:ind w:left="144"/>
            </w:pPr>
            <w:r>
              <w:t>Patient-years</w:t>
            </w:r>
          </w:p>
        </w:tc>
      </w:tr>
      <w:tr w:rsidR="00907438" w:rsidRPr="00FD119B" w14:paraId="4C31C893" w14:textId="77777777" w:rsidTr="00455260">
        <w:tc>
          <w:tcPr>
            <w:tcW w:w="1803" w:type="dxa"/>
          </w:tcPr>
          <w:p w14:paraId="043923EF" w14:textId="77777777" w:rsidR="00907438" w:rsidRDefault="00907438" w:rsidP="00455260">
            <w:pPr>
              <w:ind w:left="144"/>
            </w:pPr>
            <w:r>
              <w:t>RMP</w:t>
            </w:r>
          </w:p>
        </w:tc>
        <w:tc>
          <w:tcPr>
            <w:tcW w:w="6691" w:type="dxa"/>
          </w:tcPr>
          <w:p w14:paraId="1F243C80" w14:textId="77777777" w:rsidR="00907438" w:rsidRDefault="00907438" w:rsidP="00455260">
            <w:pPr>
              <w:ind w:left="144"/>
            </w:pPr>
            <w:r>
              <w:t>Risk management plan</w:t>
            </w:r>
          </w:p>
        </w:tc>
      </w:tr>
      <w:tr w:rsidR="00907438" w:rsidRPr="00FD119B" w14:paraId="52F22977" w14:textId="77777777" w:rsidTr="00455260">
        <w:tc>
          <w:tcPr>
            <w:tcW w:w="1803" w:type="dxa"/>
          </w:tcPr>
          <w:p w14:paraId="2CE89395" w14:textId="77777777" w:rsidR="00907438" w:rsidRDefault="00907438" w:rsidP="00455260">
            <w:pPr>
              <w:ind w:left="144"/>
            </w:pPr>
            <w:r>
              <w:t>RPE</w:t>
            </w:r>
          </w:p>
        </w:tc>
        <w:tc>
          <w:tcPr>
            <w:tcW w:w="6691" w:type="dxa"/>
          </w:tcPr>
          <w:p w14:paraId="71728F58" w14:textId="77777777" w:rsidR="00907438" w:rsidRPr="001F6CBA" w:rsidRDefault="00907438" w:rsidP="00455260">
            <w:pPr>
              <w:ind w:left="144"/>
            </w:pPr>
            <w:r>
              <w:t>Retinal pigment epithelium</w:t>
            </w:r>
          </w:p>
        </w:tc>
      </w:tr>
      <w:tr w:rsidR="00907438" w:rsidRPr="00FD119B" w14:paraId="30F70662" w14:textId="77777777" w:rsidTr="00455260">
        <w:tc>
          <w:tcPr>
            <w:tcW w:w="1803" w:type="dxa"/>
          </w:tcPr>
          <w:p w14:paraId="2F2D95DE" w14:textId="77777777" w:rsidR="00907438" w:rsidRDefault="00907438" w:rsidP="00455260">
            <w:pPr>
              <w:ind w:left="144"/>
            </w:pPr>
            <w:r>
              <w:t>RULM</w:t>
            </w:r>
          </w:p>
        </w:tc>
        <w:tc>
          <w:tcPr>
            <w:tcW w:w="6691" w:type="dxa"/>
          </w:tcPr>
          <w:p w14:paraId="02DB451C" w14:textId="77777777" w:rsidR="00907438" w:rsidRDefault="00907438" w:rsidP="00455260">
            <w:pPr>
              <w:ind w:left="144"/>
            </w:pPr>
            <w:r>
              <w:t>Revised upper limb m</w:t>
            </w:r>
            <w:r w:rsidRPr="00AA35B2">
              <w:t>odule</w:t>
            </w:r>
          </w:p>
        </w:tc>
      </w:tr>
      <w:tr w:rsidR="00907438" w:rsidRPr="00FD119B" w14:paraId="068FFFB9" w14:textId="77777777" w:rsidTr="00455260">
        <w:tc>
          <w:tcPr>
            <w:tcW w:w="1803" w:type="dxa"/>
          </w:tcPr>
          <w:p w14:paraId="0FBCB4D3" w14:textId="77777777" w:rsidR="00907438" w:rsidRDefault="00907438" w:rsidP="00455260">
            <w:pPr>
              <w:ind w:left="144"/>
            </w:pPr>
            <w:r>
              <w:t>SAE</w:t>
            </w:r>
          </w:p>
        </w:tc>
        <w:tc>
          <w:tcPr>
            <w:tcW w:w="6691" w:type="dxa"/>
          </w:tcPr>
          <w:p w14:paraId="5571B740" w14:textId="77777777" w:rsidR="00907438" w:rsidRDefault="00907438" w:rsidP="00455260">
            <w:pPr>
              <w:ind w:left="144"/>
            </w:pPr>
            <w:r>
              <w:t>Serious adverse event</w:t>
            </w:r>
          </w:p>
        </w:tc>
      </w:tr>
      <w:tr w:rsidR="00907438" w:rsidRPr="00FD119B" w14:paraId="727DE52C" w14:textId="77777777" w:rsidTr="00455260">
        <w:tc>
          <w:tcPr>
            <w:tcW w:w="1803" w:type="dxa"/>
          </w:tcPr>
          <w:p w14:paraId="5D521E24" w14:textId="77777777" w:rsidR="00907438" w:rsidRDefault="00907438" w:rsidP="00455260">
            <w:pPr>
              <w:ind w:left="144"/>
            </w:pPr>
            <w:r>
              <w:t>SMA</w:t>
            </w:r>
          </w:p>
        </w:tc>
        <w:tc>
          <w:tcPr>
            <w:tcW w:w="6691" w:type="dxa"/>
          </w:tcPr>
          <w:p w14:paraId="325B454A" w14:textId="77777777" w:rsidR="00907438" w:rsidRPr="001F6CBA" w:rsidRDefault="00907438" w:rsidP="00455260">
            <w:pPr>
              <w:ind w:left="144"/>
            </w:pPr>
            <w:r>
              <w:t>S</w:t>
            </w:r>
            <w:r w:rsidRPr="00514131">
              <w:t>pinal muscular atrophy</w:t>
            </w:r>
          </w:p>
        </w:tc>
      </w:tr>
      <w:tr w:rsidR="00907438" w:rsidRPr="00FD119B" w14:paraId="32E64ED5" w14:textId="77777777" w:rsidTr="00455260">
        <w:tc>
          <w:tcPr>
            <w:tcW w:w="1803" w:type="dxa"/>
          </w:tcPr>
          <w:p w14:paraId="62CDB926" w14:textId="77777777" w:rsidR="00907438" w:rsidRDefault="00907438" w:rsidP="00455260">
            <w:pPr>
              <w:ind w:left="144"/>
            </w:pPr>
            <w:r>
              <w:t>SMN1</w:t>
            </w:r>
          </w:p>
        </w:tc>
        <w:tc>
          <w:tcPr>
            <w:tcW w:w="6691" w:type="dxa"/>
          </w:tcPr>
          <w:p w14:paraId="0944E3DD" w14:textId="77777777" w:rsidR="00907438" w:rsidRPr="001F6CBA" w:rsidRDefault="00907438" w:rsidP="00455260">
            <w:pPr>
              <w:ind w:left="144"/>
            </w:pPr>
            <w:r>
              <w:t>Survival of motor neuron 1</w:t>
            </w:r>
          </w:p>
        </w:tc>
      </w:tr>
      <w:tr w:rsidR="00907438" w:rsidRPr="00FD119B" w14:paraId="65635FD5" w14:textId="77777777" w:rsidTr="00455260">
        <w:tc>
          <w:tcPr>
            <w:tcW w:w="1803" w:type="dxa"/>
          </w:tcPr>
          <w:p w14:paraId="486B0809" w14:textId="77777777" w:rsidR="00907438" w:rsidRDefault="00907438" w:rsidP="00455260">
            <w:pPr>
              <w:ind w:left="144"/>
            </w:pPr>
            <w:r>
              <w:t>SMN2</w:t>
            </w:r>
          </w:p>
        </w:tc>
        <w:tc>
          <w:tcPr>
            <w:tcW w:w="6691" w:type="dxa"/>
          </w:tcPr>
          <w:p w14:paraId="4D20261F" w14:textId="77777777" w:rsidR="00907438" w:rsidRPr="001F6CBA" w:rsidRDefault="00907438" w:rsidP="00455260">
            <w:pPr>
              <w:ind w:left="144"/>
            </w:pPr>
            <w:r>
              <w:t>S</w:t>
            </w:r>
            <w:r w:rsidRPr="00CA0B88">
              <w:t>urvival of motor neuron 2</w:t>
            </w:r>
          </w:p>
        </w:tc>
      </w:tr>
      <w:tr w:rsidR="00907438" w:rsidRPr="00FD119B" w14:paraId="624E5FCC" w14:textId="77777777" w:rsidTr="00455260">
        <w:tc>
          <w:tcPr>
            <w:tcW w:w="1803" w:type="dxa"/>
          </w:tcPr>
          <w:p w14:paraId="30604FC9" w14:textId="77777777" w:rsidR="00907438" w:rsidRDefault="00907438" w:rsidP="00455260">
            <w:pPr>
              <w:ind w:left="144"/>
            </w:pPr>
            <w:r w:rsidRPr="00CA0B88">
              <w:t>SMNΔ7</w:t>
            </w:r>
          </w:p>
        </w:tc>
        <w:tc>
          <w:tcPr>
            <w:tcW w:w="6691" w:type="dxa"/>
          </w:tcPr>
          <w:p w14:paraId="79E1B0F3" w14:textId="77777777" w:rsidR="00907438" w:rsidRPr="001F6CBA" w:rsidRDefault="00907438" w:rsidP="00455260">
            <w:pPr>
              <w:ind w:left="144"/>
            </w:pPr>
            <w:r w:rsidRPr="008B6FD4">
              <w:t xml:space="preserve">SMN2 </w:t>
            </w:r>
            <w:r>
              <w:t xml:space="preserve">transcripts that </w:t>
            </w:r>
            <w:r w:rsidRPr="008B6FD4">
              <w:t>lacks exon 7</w:t>
            </w:r>
          </w:p>
        </w:tc>
      </w:tr>
      <w:tr w:rsidR="00907438" w:rsidRPr="00FD119B" w14:paraId="167D2A55" w14:textId="77777777" w:rsidTr="00455260">
        <w:tc>
          <w:tcPr>
            <w:tcW w:w="1803" w:type="dxa"/>
          </w:tcPr>
          <w:p w14:paraId="73BE0952" w14:textId="77777777" w:rsidR="00907438" w:rsidRDefault="00907438" w:rsidP="00455260">
            <w:pPr>
              <w:ind w:left="144"/>
            </w:pPr>
            <w:r>
              <w:t>SOC</w:t>
            </w:r>
          </w:p>
        </w:tc>
        <w:tc>
          <w:tcPr>
            <w:tcW w:w="6691" w:type="dxa"/>
          </w:tcPr>
          <w:p w14:paraId="5C78846D" w14:textId="77777777" w:rsidR="00907438" w:rsidRDefault="00907438" w:rsidP="00455260">
            <w:pPr>
              <w:ind w:left="144"/>
            </w:pPr>
            <w:r>
              <w:t>System Organ Class</w:t>
            </w:r>
          </w:p>
        </w:tc>
      </w:tr>
      <w:tr w:rsidR="00907438" w:rsidRPr="00FD119B" w14:paraId="2F0B3F72" w14:textId="77777777" w:rsidTr="00455260">
        <w:tc>
          <w:tcPr>
            <w:tcW w:w="1803" w:type="dxa"/>
          </w:tcPr>
          <w:p w14:paraId="5ACDC576" w14:textId="77777777" w:rsidR="00907438" w:rsidRPr="00FD119B" w:rsidRDefault="00907438" w:rsidP="00455260">
            <w:pPr>
              <w:ind w:left="144" w:right="0"/>
              <w:rPr>
                <w:color w:val="auto"/>
                <w:szCs w:val="22"/>
                <w:lang w:eastAsia="en-US"/>
              </w:rPr>
            </w:pPr>
            <w:r>
              <w:rPr>
                <w:color w:val="auto"/>
                <w:szCs w:val="22"/>
                <w:lang w:eastAsia="en-US"/>
              </w:rPr>
              <w:t>TGA</w:t>
            </w:r>
          </w:p>
        </w:tc>
        <w:tc>
          <w:tcPr>
            <w:tcW w:w="6691" w:type="dxa"/>
          </w:tcPr>
          <w:p w14:paraId="231D1DC1" w14:textId="77777777" w:rsidR="00907438" w:rsidRPr="00FD119B" w:rsidRDefault="00907438" w:rsidP="00455260">
            <w:pPr>
              <w:ind w:left="144" w:right="0"/>
              <w:rPr>
                <w:color w:val="auto"/>
                <w:szCs w:val="22"/>
                <w:lang w:eastAsia="en-US"/>
              </w:rPr>
            </w:pPr>
            <w:r w:rsidRPr="001F6CBA">
              <w:t>Therapeutic Goods Administration</w:t>
            </w:r>
          </w:p>
        </w:tc>
      </w:tr>
      <w:tr w:rsidR="00907438" w:rsidRPr="00FD119B" w14:paraId="6F7B8C64" w14:textId="77777777" w:rsidTr="00455260">
        <w:tc>
          <w:tcPr>
            <w:tcW w:w="1803" w:type="dxa"/>
          </w:tcPr>
          <w:p w14:paraId="5D8DB315" w14:textId="77777777" w:rsidR="00907438" w:rsidRDefault="00907438" w:rsidP="00455260">
            <w:pPr>
              <w:ind w:left="144"/>
            </w:pPr>
            <w:proofErr w:type="spellStart"/>
            <w:r>
              <w:t>T</w:t>
            </w:r>
            <w:r w:rsidRPr="004443D3">
              <w:rPr>
                <w:vertAlign w:val="subscript"/>
              </w:rPr>
              <w:t>max</w:t>
            </w:r>
            <w:proofErr w:type="spellEnd"/>
          </w:p>
        </w:tc>
        <w:tc>
          <w:tcPr>
            <w:tcW w:w="6691" w:type="dxa"/>
          </w:tcPr>
          <w:p w14:paraId="201C0F16" w14:textId="03CB959A" w:rsidR="00907438" w:rsidRPr="001F6CBA" w:rsidRDefault="00346109" w:rsidP="00455260">
            <w:pPr>
              <w:ind w:left="144"/>
            </w:pPr>
            <w:r>
              <w:rPr>
                <w:rFonts w:cs="Calibri"/>
                <w:color w:val="000000"/>
                <w:szCs w:val="22"/>
              </w:rPr>
              <w:t>Time of maximum concentration</w:t>
            </w:r>
          </w:p>
        </w:tc>
      </w:tr>
      <w:tr w:rsidR="00907438" w:rsidRPr="00FD119B" w14:paraId="63109E2D" w14:textId="77777777" w:rsidTr="00455260">
        <w:tc>
          <w:tcPr>
            <w:tcW w:w="1803" w:type="dxa"/>
          </w:tcPr>
          <w:p w14:paraId="71C5CA84" w14:textId="77777777" w:rsidR="00907438" w:rsidRDefault="00907438" w:rsidP="00455260">
            <w:pPr>
              <w:ind w:left="144"/>
            </w:pPr>
            <w:r>
              <w:t>URTI</w:t>
            </w:r>
          </w:p>
        </w:tc>
        <w:tc>
          <w:tcPr>
            <w:tcW w:w="6691" w:type="dxa"/>
          </w:tcPr>
          <w:p w14:paraId="4BF72343" w14:textId="77777777" w:rsidR="00907438" w:rsidRDefault="00907438" w:rsidP="00455260">
            <w:pPr>
              <w:ind w:left="144"/>
            </w:pPr>
            <w:r>
              <w:t>U</w:t>
            </w:r>
            <w:r w:rsidRPr="009647DA">
              <w:t>pper respiratory tract infection</w:t>
            </w:r>
          </w:p>
        </w:tc>
      </w:tr>
      <w:tr w:rsidR="00907438" w:rsidRPr="00FD119B" w14:paraId="5192BB9C" w14:textId="77777777" w:rsidTr="00455260">
        <w:tc>
          <w:tcPr>
            <w:tcW w:w="1803" w:type="dxa"/>
          </w:tcPr>
          <w:p w14:paraId="0F910037" w14:textId="10AC9A6D" w:rsidR="00907438" w:rsidRDefault="00907438" w:rsidP="00455260">
            <w:pPr>
              <w:ind w:left="144"/>
            </w:pPr>
            <w:r>
              <w:t>US</w:t>
            </w:r>
            <w:r w:rsidR="00346109">
              <w:t>(</w:t>
            </w:r>
            <w:r>
              <w:t>A</w:t>
            </w:r>
            <w:r w:rsidR="00346109">
              <w:t>)</w:t>
            </w:r>
          </w:p>
        </w:tc>
        <w:tc>
          <w:tcPr>
            <w:tcW w:w="6691" w:type="dxa"/>
          </w:tcPr>
          <w:p w14:paraId="48C1E59E" w14:textId="402B71C1" w:rsidR="00907438" w:rsidRDefault="00907438" w:rsidP="00455260">
            <w:pPr>
              <w:ind w:left="144"/>
            </w:pPr>
            <w:r>
              <w:t xml:space="preserve">United States </w:t>
            </w:r>
            <w:r w:rsidR="00346109">
              <w:t>(</w:t>
            </w:r>
            <w:r>
              <w:t>of America</w:t>
            </w:r>
            <w:r w:rsidR="00346109">
              <w:t>)</w:t>
            </w:r>
          </w:p>
        </w:tc>
      </w:tr>
    </w:tbl>
    <w:p w14:paraId="6AAE0429"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0E28A6A" w14:textId="77777777" w:rsidR="008E7846" w:rsidRDefault="00F53C07" w:rsidP="008E7846">
      <w:pPr>
        <w:pStyle w:val="Heading2"/>
      </w:pPr>
      <w:bookmarkStart w:id="8" w:name="_Toc82421571"/>
      <w:r>
        <w:lastRenderedPageBreak/>
        <w:t>I.</w:t>
      </w:r>
      <w:r w:rsidR="008E7846">
        <w:t xml:space="preserve"> Introduction to product submission</w:t>
      </w:r>
      <w:bookmarkEnd w:id="2"/>
      <w:bookmarkEnd w:id="0"/>
      <w:bookmarkEnd w:id="8"/>
    </w:p>
    <w:p w14:paraId="7DE4BF19" w14:textId="77777777" w:rsidR="008E7846" w:rsidRDefault="008E7846" w:rsidP="008E7846">
      <w:pPr>
        <w:pStyle w:val="Heading3"/>
        <w:rPr>
          <w:lang w:eastAsia="en-AU"/>
        </w:rPr>
      </w:pPr>
      <w:bookmarkStart w:id="9" w:name="_Toc247691502"/>
      <w:bookmarkStart w:id="10" w:name="_Toc314842483"/>
      <w:bookmarkStart w:id="11" w:name="_Toc82421572"/>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296A56A8" w14:textId="77777777" w:rsidTr="003735BC">
        <w:tc>
          <w:tcPr>
            <w:tcW w:w="2907" w:type="dxa"/>
          </w:tcPr>
          <w:p w14:paraId="4B8423EF"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2763596C" w14:textId="77777777" w:rsidR="008E7846" w:rsidRPr="003D1E62" w:rsidRDefault="008E7846" w:rsidP="006832A1">
            <w:r w:rsidRPr="003D1E62">
              <w:t xml:space="preserve">New </w:t>
            </w:r>
            <w:r w:rsidR="001B5C90">
              <w:t>c</w:t>
            </w:r>
            <w:r w:rsidRPr="003D1E62">
              <w:t xml:space="preserve">hemical </w:t>
            </w:r>
            <w:r w:rsidR="001B5C90">
              <w:t>e</w:t>
            </w:r>
            <w:r w:rsidR="006832A1">
              <w:t>ntity</w:t>
            </w:r>
          </w:p>
        </w:tc>
      </w:tr>
      <w:tr w:rsidR="00460036" w:rsidRPr="003D1E62" w14:paraId="65E5E60C" w14:textId="77777777" w:rsidTr="003735BC">
        <w:tc>
          <w:tcPr>
            <w:tcW w:w="2907" w:type="dxa"/>
          </w:tcPr>
          <w:p w14:paraId="6F8B3D60" w14:textId="77777777" w:rsidR="00460036" w:rsidRPr="003D1E62" w:rsidRDefault="00460036" w:rsidP="003D1E62">
            <w:pPr>
              <w:rPr>
                <w:i/>
              </w:rPr>
            </w:pPr>
            <w:r w:rsidRPr="00460036">
              <w:rPr>
                <w:i/>
              </w:rPr>
              <w:t>Prod</w:t>
            </w:r>
            <w:r w:rsidR="006832A1">
              <w:rPr>
                <w:i/>
              </w:rPr>
              <w:t>uct name</w:t>
            </w:r>
            <w:r w:rsidRPr="00460036">
              <w:rPr>
                <w:i/>
              </w:rPr>
              <w:t>:</w:t>
            </w:r>
          </w:p>
        </w:tc>
        <w:tc>
          <w:tcPr>
            <w:tcW w:w="6307" w:type="dxa"/>
          </w:tcPr>
          <w:p w14:paraId="4BBE7D9E" w14:textId="77777777" w:rsidR="00460036" w:rsidRPr="003D1E62" w:rsidRDefault="006832A1" w:rsidP="001B5C90">
            <w:proofErr w:type="spellStart"/>
            <w:r>
              <w:t>Evrysdi</w:t>
            </w:r>
            <w:proofErr w:type="spellEnd"/>
          </w:p>
        </w:tc>
      </w:tr>
      <w:tr w:rsidR="00460036" w:rsidRPr="003D1E62" w14:paraId="1516F938" w14:textId="77777777" w:rsidTr="003735BC">
        <w:tc>
          <w:tcPr>
            <w:tcW w:w="2907" w:type="dxa"/>
          </w:tcPr>
          <w:p w14:paraId="3FB7376C" w14:textId="77777777" w:rsidR="00460036" w:rsidRPr="003D1E62" w:rsidRDefault="006832A1" w:rsidP="003D1E62">
            <w:pPr>
              <w:rPr>
                <w:i/>
              </w:rPr>
            </w:pPr>
            <w:r>
              <w:rPr>
                <w:i/>
              </w:rPr>
              <w:t>Active ingredient</w:t>
            </w:r>
            <w:r w:rsidR="00460036" w:rsidRPr="00460036">
              <w:rPr>
                <w:i/>
              </w:rPr>
              <w:t>:</w:t>
            </w:r>
          </w:p>
        </w:tc>
        <w:tc>
          <w:tcPr>
            <w:tcW w:w="6307" w:type="dxa"/>
          </w:tcPr>
          <w:p w14:paraId="72D5F4A3" w14:textId="77777777" w:rsidR="00460036" w:rsidRPr="003D1E62" w:rsidRDefault="006832A1" w:rsidP="001B5C90">
            <w:proofErr w:type="spellStart"/>
            <w:r w:rsidRPr="006832A1">
              <w:t>Risdiplam</w:t>
            </w:r>
            <w:proofErr w:type="spellEnd"/>
          </w:p>
        </w:tc>
      </w:tr>
      <w:tr w:rsidR="008E7846" w:rsidRPr="003D1E62" w14:paraId="7B23F931" w14:textId="77777777" w:rsidTr="003735BC">
        <w:tc>
          <w:tcPr>
            <w:tcW w:w="2907" w:type="dxa"/>
          </w:tcPr>
          <w:p w14:paraId="2D639151" w14:textId="77777777" w:rsidR="008E7846" w:rsidRPr="003D1E62" w:rsidRDefault="008E7846" w:rsidP="003D1E62">
            <w:r w:rsidRPr="003D1E62">
              <w:rPr>
                <w:i/>
              </w:rPr>
              <w:t>Decision</w:t>
            </w:r>
            <w:r w:rsidRPr="003D1E62">
              <w:t>:</w:t>
            </w:r>
          </w:p>
        </w:tc>
        <w:tc>
          <w:tcPr>
            <w:tcW w:w="6307" w:type="dxa"/>
          </w:tcPr>
          <w:p w14:paraId="5FCA9E33" w14:textId="77777777" w:rsidR="008E7846" w:rsidRPr="003D1E62" w:rsidRDefault="006832A1" w:rsidP="006832A1">
            <w:r>
              <w:t>Approved</w:t>
            </w:r>
          </w:p>
        </w:tc>
      </w:tr>
      <w:tr w:rsidR="008E7846" w:rsidRPr="003D1E62" w14:paraId="7EA339CD" w14:textId="77777777" w:rsidTr="003735BC">
        <w:tc>
          <w:tcPr>
            <w:tcW w:w="2907" w:type="dxa"/>
          </w:tcPr>
          <w:p w14:paraId="2E1BD7DE"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D353E48" w14:textId="77777777" w:rsidR="008E7846" w:rsidRPr="003D1E62" w:rsidRDefault="006832A1" w:rsidP="001B5C90">
            <w:r>
              <w:t>2 June 2021</w:t>
            </w:r>
          </w:p>
        </w:tc>
      </w:tr>
      <w:tr w:rsidR="00ED2922" w:rsidRPr="003D1E62" w14:paraId="6DCF1404" w14:textId="77777777" w:rsidTr="003735BC">
        <w:tc>
          <w:tcPr>
            <w:tcW w:w="2907" w:type="dxa"/>
          </w:tcPr>
          <w:p w14:paraId="56ED722B" w14:textId="77777777" w:rsidR="00ED2922" w:rsidRPr="00441C3F" w:rsidRDefault="00ED2922" w:rsidP="001B5C90">
            <w:pPr>
              <w:rPr>
                <w:i/>
              </w:rPr>
            </w:pPr>
            <w:r w:rsidRPr="00441C3F">
              <w:rPr>
                <w:i/>
              </w:rPr>
              <w:t>Date of entry onto ARTG</w:t>
            </w:r>
            <w:r w:rsidR="00500337">
              <w:rPr>
                <w:i/>
              </w:rPr>
              <w:t>:</w:t>
            </w:r>
          </w:p>
        </w:tc>
        <w:tc>
          <w:tcPr>
            <w:tcW w:w="6307" w:type="dxa"/>
          </w:tcPr>
          <w:p w14:paraId="6E41CFD5" w14:textId="77777777" w:rsidR="00ED2922" w:rsidRPr="00441C3F" w:rsidRDefault="006832A1" w:rsidP="00D153D8">
            <w:pPr>
              <w:rPr>
                <w:i/>
              </w:rPr>
            </w:pPr>
            <w:r>
              <w:t>2 June 2021</w:t>
            </w:r>
          </w:p>
        </w:tc>
      </w:tr>
      <w:tr w:rsidR="00500337" w:rsidRPr="003D1E62" w14:paraId="0773C393" w14:textId="77777777" w:rsidTr="003735BC">
        <w:tc>
          <w:tcPr>
            <w:tcW w:w="2907" w:type="dxa"/>
          </w:tcPr>
          <w:p w14:paraId="3C3FBE30" w14:textId="77777777" w:rsidR="00500337" w:rsidRPr="00441C3F" w:rsidRDefault="006832A1" w:rsidP="001B5C90">
            <w:pPr>
              <w:rPr>
                <w:i/>
              </w:rPr>
            </w:pPr>
            <w:r>
              <w:rPr>
                <w:i/>
              </w:rPr>
              <w:t>ARTG number</w:t>
            </w:r>
            <w:r w:rsidR="00500337">
              <w:rPr>
                <w:i/>
              </w:rPr>
              <w:t>:</w:t>
            </w:r>
          </w:p>
        </w:tc>
        <w:tc>
          <w:tcPr>
            <w:tcW w:w="6307" w:type="dxa"/>
          </w:tcPr>
          <w:p w14:paraId="746FFE18" w14:textId="77777777" w:rsidR="00500337" w:rsidRPr="00441C3F" w:rsidRDefault="006832A1" w:rsidP="00EC463D">
            <w:r>
              <w:t>340350</w:t>
            </w:r>
          </w:p>
        </w:tc>
      </w:tr>
      <w:tr w:rsidR="003735BC" w:rsidRPr="003D1E62" w14:paraId="5B698FE8" w14:textId="77777777" w:rsidTr="003735BC">
        <w:tc>
          <w:tcPr>
            <w:tcW w:w="2907" w:type="dxa"/>
          </w:tcPr>
          <w:p w14:paraId="7F22A4C2"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6F1795D1" w14:textId="77777777" w:rsidR="003735BC" w:rsidRDefault="006832A1" w:rsidP="003735BC">
            <w:r>
              <w:t>Yes</w:t>
            </w:r>
          </w:p>
          <w:p w14:paraId="76DB7021" w14:textId="77777777" w:rsidR="003735BC" w:rsidRPr="00487162" w:rsidRDefault="003735BC" w:rsidP="003735BC">
            <w:r>
              <w:t xml:space="preserve">This product will remain in the scheme for 5 years, starting on the date the product is first supplied in </w:t>
            </w:r>
            <w:r w:rsidR="006832A1">
              <w:t>Australia.</w:t>
            </w:r>
          </w:p>
        </w:tc>
      </w:tr>
    </w:tbl>
    <w:p w14:paraId="7BC2A31A"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29DED68C" w14:textId="77777777" w:rsidTr="00BF1190">
        <w:tc>
          <w:tcPr>
            <w:tcW w:w="2907" w:type="dxa"/>
          </w:tcPr>
          <w:p w14:paraId="74F804E4"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9E0A71F" w14:textId="77777777" w:rsidR="00623ABC" w:rsidRDefault="006832A1" w:rsidP="00623ABC">
            <w:r w:rsidRPr="006832A1">
              <w:t>Roche Products Pty Limited</w:t>
            </w:r>
          </w:p>
          <w:p w14:paraId="6A7839AF" w14:textId="77777777" w:rsidR="00623ABC" w:rsidRDefault="00623ABC" w:rsidP="00623ABC">
            <w:r>
              <w:t>Level 8, 30-34 Hickson Road</w:t>
            </w:r>
          </w:p>
          <w:p w14:paraId="2149DE38" w14:textId="20CCABB6" w:rsidR="008E7846" w:rsidRPr="00487162" w:rsidRDefault="00623ABC" w:rsidP="00623ABC">
            <w:r>
              <w:t>Sydney</w:t>
            </w:r>
            <w:r w:rsidR="00346109">
              <w:t>,</w:t>
            </w:r>
            <w:r>
              <w:t xml:space="preserve"> NSW</w:t>
            </w:r>
            <w:r w:rsidR="00346109">
              <w:t>,</w:t>
            </w:r>
            <w:r>
              <w:t xml:space="preserve"> 2000</w:t>
            </w:r>
          </w:p>
        </w:tc>
      </w:tr>
      <w:tr w:rsidR="008E7846" w:rsidRPr="00487162" w14:paraId="3848639E" w14:textId="77777777" w:rsidTr="00BF1190">
        <w:tc>
          <w:tcPr>
            <w:tcW w:w="2907" w:type="dxa"/>
          </w:tcPr>
          <w:p w14:paraId="64D98848" w14:textId="77777777" w:rsidR="008E7846" w:rsidRPr="00487162" w:rsidRDefault="00623ABC" w:rsidP="00E45619">
            <w:pPr>
              <w:rPr>
                <w:i/>
              </w:rPr>
            </w:pPr>
            <w:r>
              <w:rPr>
                <w:i/>
              </w:rPr>
              <w:t>Dose form</w:t>
            </w:r>
            <w:r w:rsidR="001B5C90">
              <w:rPr>
                <w:i/>
              </w:rPr>
              <w:t>:</w:t>
            </w:r>
          </w:p>
        </w:tc>
        <w:tc>
          <w:tcPr>
            <w:tcW w:w="6307" w:type="dxa"/>
          </w:tcPr>
          <w:p w14:paraId="084E20AE" w14:textId="01D50233" w:rsidR="008E7846" w:rsidRPr="00487162" w:rsidRDefault="00623ABC" w:rsidP="00481490">
            <w:r w:rsidRPr="00623ABC">
              <w:t xml:space="preserve">Powder for oral </w:t>
            </w:r>
            <w:r w:rsidR="00481490">
              <w:t>liquid</w:t>
            </w:r>
          </w:p>
        </w:tc>
      </w:tr>
      <w:tr w:rsidR="008E7846" w:rsidRPr="00487162" w14:paraId="5BA7E4B9" w14:textId="77777777" w:rsidTr="00BF1190">
        <w:tc>
          <w:tcPr>
            <w:tcW w:w="2907" w:type="dxa"/>
          </w:tcPr>
          <w:p w14:paraId="4C2264E9" w14:textId="4C7B50E7" w:rsidR="008E7846" w:rsidRPr="00487162" w:rsidRDefault="0008473C" w:rsidP="00E45619">
            <w:pPr>
              <w:rPr>
                <w:i/>
              </w:rPr>
            </w:pPr>
            <w:r>
              <w:rPr>
                <w:i/>
              </w:rPr>
              <w:t>Strength</w:t>
            </w:r>
            <w:r w:rsidR="00324E45">
              <w:rPr>
                <w:i/>
              </w:rPr>
              <w:t>:</w:t>
            </w:r>
          </w:p>
        </w:tc>
        <w:tc>
          <w:tcPr>
            <w:tcW w:w="6307" w:type="dxa"/>
          </w:tcPr>
          <w:p w14:paraId="5E86278B" w14:textId="77777777" w:rsidR="008E7846" w:rsidRPr="00487162" w:rsidRDefault="00623ABC" w:rsidP="00E45619">
            <w:r>
              <w:t>0.75 mg/mL</w:t>
            </w:r>
          </w:p>
        </w:tc>
      </w:tr>
      <w:tr w:rsidR="008E7846" w:rsidRPr="00487162" w14:paraId="61714919" w14:textId="77777777" w:rsidTr="00BF1190">
        <w:tc>
          <w:tcPr>
            <w:tcW w:w="2907" w:type="dxa"/>
          </w:tcPr>
          <w:p w14:paraId="52FE7641" w14:textId="401DDF42" w:rsidR="008E7846" w:rsidRPr="00487162" w:rsidRDefault="0008473C" w:rsidP="00E45619">
            <w:pPr>
              <w:rPr>
                <w:i/>
              </w:rPr>
            </w:pPr>
            <w:r>
              <w:rPr>
                <w:i/>
              </w:rPr>
              <w:t>Container</w:t>
            </w:r>
            <w:r w:rsidR="008E7846" w:rsidRPr="00487162">
              <w:rPr>
                <w:i/>
              </w:rPr>
              <w:t>:</w:t>
            </w:r>
          </w:p>
        </w:tc>
        <w:tc>
          <w:tcPr>
            <w:tcW w:w="6307" w:type="dxa"/>
          </w:tcPr>
          <w:p w14:paraId="070B8EC8" w14:textId="77777777" w:rsidR="008E7846" w:rsidRPr="00487162" w:rsidRDefault="00623ABC" w:rsidP="00E45619">
            <w:r>
              <w:t>Bottle</w:t>
            </w:r>
          </w:p>
        </w:tc>
      </w:tr>
      <w:tr w:rsidR="008E7846" w:rsidRPr="00487162" w14:paraId="05CD3920" w14:textId="77777777" w:rsidTr="00BF1190">
        <w:tc>
          <w:tcPr>
            <w:tcW w:w="2907" w:type="dxa"/>
          </w:tcPr>
          <w:p w14:paraId="520E37FF" w14:textId="0E7C9058" w:rsidR="008E7846" w:rsidRPr="00487162" w:rsidRDefault="0008473C" w:rsidP="00E45619">
            <w:pPr>
              <w:rPr>
                <w:i/>
              </w:rPr>
            </w:pPr>
            <w:r>
              <w:rPr>
                <w:i/>
              </w:rPr>
              <w:t>Pack size</w:t>
            </w:r>
            <w:r w:rsidR="008E7846" w:rsidRPr="00487162">
              <w:rPr>
                <w:i/>
              </w:rPr>
              <w:t>:</w:t>
            </w:r>
          </w:p>
        </w:tc>
        <w:tc>
          <w:tcPr>
            <w:tcW w:w="6307" w:type="dxa"/>
          </w:tcPr>
          <w:p w14:paraId="06870B68" w14:textId="77777777" w:rsidR="008E7846" w:rsidRPr="00487162" w:rsidRDefault="00623ABC" w:rsidP="00E45619">
            <w:r>
              <w:t>One</w:t>
            </w:r>
          </w:p>
        </w:tc>
      </w:tr>
      <w:tr w:rsidR="008E7846" w:rsidRPr="00487162" w14:paraId="5FD1EBEE" w14:textId="77777777" w:rsidTr="00BF1190">
        <w:tc>
          <w:tcPr>
            <w:tcW w:w="2907" w:type="dxa"/>
          </w:tcPr>
          <w:p w14:paraId="2D1537C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20974C8" w14:textId="77777777" w:rsidR="008E7846" w:rsidRPr="00487162" w:rsidRDefault="00623ABC" w:rsidP="00E45619">
            <w:pPr>
              <w:rPr>
                <w:rFonts w:eastAsia="MS Mincho"/>
                <w:lang w:eastAsia="ja-JP"/>
              </w:rPr>
            </w:pPr>
            <w:proofErr w:type="spellStart"/>
            <w:r w:rsidRPr="00623ABC">
              <w:rPr>
                <w:i/>
              </w:rPr>
              <w:t>Evrysdi</w:t>
            </w:r>
            <w:proofErr w:type="spellEnd"/>
            <w:r w:rsidRPr="00623ABC">
              <w:rPr>
                <w:i/>
              </w:rPr>
              <w:t xml:space="preserve"> is indicated for the treatment of 5q spinal muscular atrophy (SMA) in patients aged 2 months and older.</w:t>
            </w:r>
          </w:p>
        </w:tc>
      </w:tr>
      <w:tr w:rsidR="008E7846" w:rsidRPr="00487162" w14:paraId="0B7F177E" w14:textId="77777777" w:rsidTr="00BF1190">
        <w:tc>
          <w:tcPr>
            <w:tcW w:w="2907" w:type="dxa"/>
          </w:tcPr>
          <w:p w14:paraId="1354EA0C" w14:textId="1461CA06" w:rsidR="008E7846" w:rsidRPr="00487162" w:rsidRDefault="008E7846" w:rsidP="0008473C">
            <w:pPr>
              <w:rPr>
                <w:i/>
              </w:rPr>
            </w:pPr>
            <w:r w:rsidRPr="00487162">
              <w:rPr>
                <w:i/>
              </w:rPr>
              <w:t>Route</w:t>
            </w:r>
            <w:r w:rsidR="0008473C">
              <w:rPr>
                <w:i/>
              </w:rPr>
              <w:t>s</w:t>
            </w:r>
            <w:r w:rsidRPr="00487162">
              <w:rPr>
                <w:i/>
              </w:rPr>
              <w:t xml:space="preserve"> of administration:</w:t>
            </w:r>
          </w:p>
        </w:tc>
        <w:tc>
          <w:tcPr>
            <w:tcW w:w="6307" w:type="dxa"/>
          </w:tcPr>
          <w:p w14:paraId="3BA38701" w14:textId="77777777" w:rsidR="00623ABC" w:rsidRPr="00487162" w:rsidRDefault="00623ABC" w:rsidP="00E45619">
            <w:r>
              <w:t>Oral and nasogastric</w:t>
            </w:r>
          </w:p>
        </w:tc>
      </w:tr>
      <w:tr w:rsidR="008E7846" w:rsidRPr="00487162" w14:paraId="401858AB" w14:textId="77777777" w:rsidTr="00BF1190">
        <w:tc>
          <w:tcPr>
            <w:tcW w:w="2907" w:type="dxa"/>
          </w:tcPr>
          <w:p w14:paraId="25B5065B" w14:textId="77777777" w:rsidR="008E7846" w:rsidRPr="00487162" w:rsidRDefault="008E7846" w:rsidP="00E45619">
            <w:pPr>
              <w:rPr>
                <w:i/>
              </w:rPr>
            </w:pPr>
            <w:r w:rsidRPr="00487162">
              <w:rPr>
                <w:i/>
              </w:rPr>
              <w:t>Dosage:</w:t>
            </w:r>
          </w:p>
        </w:tc>
        <w:tc>
          <w:tcPr>
            <w:tcW w:w="6307" w:type="dxa"/>
          </w:tcPr>
          <w:p w14:paraId="2CC192C6" w14:textId="77777777" w:rsidR="008E7846" w:rsidRDefault="00623ABC" w:rsidP="00E45619">
            <w:r w:rsidRPr="00CD5A61">
              <w:t xml:space="preserve">The recommended once daily dose of </w:t>
            </w:r>
            <w:proofErr w:type="spellStart"/>
            <w:r w:rsidRPr="00CD5A61">
              <w:t>Evrysdi</w:t>
            </w:r>
            <w:proofErr w:type="spellEnd"/>
            <w:r w:rsidRPr="00CD5A61">
              <w:t xml:space="preserve"> for spinal muscular atrophy </w:t>
            </w:r>
            <w:r>
              <w:t>(</w:t>
            </w:r>
            <w:r w:rsidRPr="00CD5A61">
              <w:t>SMA</w:t>
            </w:r>
            <w:r>
              <w:t>)</w:t>
            </w:r>
            <w:r w:rsidRPr="00CD5A61">
              <w:t xml:space="preserve"> patients is determined by age and body weight.</w:t>
            </w:r>
          </w:p>
          <w:p w14:paraId="192874DF" w14:textId="77777777" w:rsidR="00460036" w:rsidRPr="00487162" w:rsidRDefault="00460036" w:rsidP="00E45619">
            <w:r w:rsidRPr="00460036">
              <w:t>For further information regarding dosage, refer to the Product Information.</w:t>
            </w:r>
          </w:p>
        </w:tc>
      </w:tr>
      <w:tr w:rsidR="00460036" w:rsidRPr="00487162" w14:paraId="2A91E72F" w14:textId="77777777" w:rsidTr="00BF1190">
        <w:tc>
          <w:tcPr>
            <w:tcW w:w="2907" w:type="dxa"/>
          </w:tcPr>
          <w:p w14:paraId="010E60CE" w14:textId="77777777" w:rsidR="00460036" w:rsidRPr="00487162" w:rsidRDefault="00460036" w:rsidP="00E45619">
            <w:pPr>
              <w:rPr>
                <w:i/>
              </w:rPr>
            </w:pPr>
            <w:r w:rsidRPr="00460036">
              <w:rPr>
                <w:i/>
              </w:rPr>
              <w:lastRenderedPageBreak/>
              <w:t>Pregnancy category</w:t>
            </w:r>
            <w:r>
              <w:rPr>
                <w:i/>
              </w:rPr>
              <w:t>:</w:t>
            </w:r>
          </w:p>
        </w:tc>
        <w:tc>
          <w:tcPr>
            <w:tcW w:w="6307" w:type="dxa"/>
          </w:tcPr>
          <w:p w14:paraId="1FA479A8" w14:textId="77777777" w:rsidR="00623ABC" w:rsidRDefault="00623ABC" w:rsidP="00623ABC">
            <w:r>
              <w:t>D</w:t>
            </w:r>
          </w:p>
          <w:p w14:paraId="03DBEC11" w14:textId="77777777" w:rsidR="00623ABC" w:rsidRDefault="00623ABC" w:rsidP="00F33557">
            <w:pPr>
              <w:tabs>
                <w:tab w:val="left" w:pos="1947"/>
              </w:tabs>
            </w:pPr>
            <w:r>
              <w:t xml:space="preserve">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 Accompanying texts should be consulted for further details.</w:t>
            </w:r>
          </w:p>
          <w:p w14:paraId="26FBF27A" w14:textId="77777777" w:rsidR="00460036" w:rsidRPr="00487162" w:rsidRDefault="00460036" w:rsidP="00623ABC">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3A5EC264" w14:textId="77777777" w:rsidR="008E7846" w:rsidRDefault="008E7846" w:rsidP="008E7846">
      <w:pPr>
        <w:pStyle w:val="Heading3"/>
      </w:pPr>
      <w:bookmarkStart w:id="12" w:name="_Toc247691503"/>
      <w:bookmarkStart w:id="13" w:name="_Toc314842484"/>
      <w:bookmarkStart w:id="14" w:name="_Toc82421573"/>
      <w:r>
        <w:t>Product background</w:t>
      </w:r>
      <w:bookmarkEnd w:id="12"/>
      <w:bookmarkEnd w:id="13"/>
      <w:bookmarkEnd w:id="14"/>
    </w:p>
    <w:p w14:paraId="60543D05" w14:textId="7C11F190" w:rsidR="008E7846" w:rsidRDefault="00250271" w:rsidP="00940A89">
      <w:r w:rsidRPr="00250271">
        <w:t xml:space="preserve">This </w:t>
      </w:r>
      <w:proofErr w:type="spellStart"/>
      <w:r w:rsidRPr="00250271">
        <w:t>AusPA</w:t>
      </w:r>
      <w:r w:rsidR="00F33557">
        <w:t>R</w:t>
      </w:r>
      <w:proofErr w:type="spellEnd"/>
      <w:r w:rsidR="00F33557">
        <w:t xml:space="preserve"> describes the application by Roche Products Pty Ltd </w:t>
      </w:r>
      <w:r w:rsidRPr="00250271">
        <w:t xml:space="preserve">(the sponsor) to register </w:t>
      </w:r>
      <w:proofErr w:type="spellStart"/>
      <w:r w:rsidR="00F33557">
        <w:t>Evrysdi</w:t>
      </w:r>
      <w:proofErr w:type="spellEnd"/>
      <w:r w:rsidRPr="00250271">
        <w:t xml:space="preserve"> (</w:t>
      </w:r>
      <w:proofErr w:type="spellStart"/>
      <w:r w:rsidR="00F33557">
        <w:t>risdiplam</w:t>
      </w:r>
      <w:proofErr w:type="spellEnd"/>
      <w:r w:rsidR="00F33557">
        <w:t>) 0.75 mg/mL, powder for oral liquid</w:t>
      </w:r>
      <w:r w:rsidR="00481490">
        <w:t xml:space="preserve"> (via bottle, powder for oral solution)</w:t>
      </w:r>
      <w:r w:rsidRPr="00250271">
        <w:t xml:space="preserve"> for the following proposed indication</w:t>
      </w:r>
      <w:r w:rsidR="00CF5DAD">
        <w:t>:</w:t>
      </w:r>
    </w:p>
    <w:p w14:paraId="1AB5E44D" w14:textId="77777777" w:rsidR="00F33557" w:rsidRPr="00F33557" w:rsidRDefault="00F33557" w:rsidP="00F33557">
      <w:pPr>
        <w:ind w:firstLine="720"/>
        <w:rPr>
          <w:i/>
        </w:rPr>
      </w:pPr>
      <w:r w:rsidRPr="00F33557">
        <w:rPr>
          <w:i/>
        </w:rPr>
        <w:t>For the treatment of 5q spinal muscular atrophy (SMA).</w:t>
      </w:r>
    </w:p>
    <w:p w14:paraId="4F041EA3" w14:textId="6C568858" w:rsidR="00CA0B88" w:rsidRPr="00CA0B88" w:rsidRDefault="00CA0B88" w:rsidP="00CA0B88">
      <w:proofErr w:type="spellStart"/>
      <w:r w:rsidRPr="00CA0B88">
        <w:t>Risdiplam</w:t>
      </w:r>
      <w:proofErr w:type="spellEnd"/>
      <w:r w:rsidRPr="00CA0B88">
        <w:t xml:space="preserve"> is a first</w:t>
      </w:r>
      <w:r w:rsidR="00481490">
        <w:noBreakHyphen/>
      </w:r>
      <w:r w:rsidRPr="00CA0B88">
        <w:t>in</w:t>
      </w:r>
      <w:r w:rsidR="00481490">
        <w:noBreakHyphen/>
      </w:r>
      <w:r w:rsidRPr="00CA0B88">
        <w:t>class, orally administered small molecule splicing modifier for the survival of motor neuron 2</w:t>
      </w:r>
      <w:r w:rsidR="00481490">
        <w:t xml:space="preserve"> gene</w:t>
      </w:r>
      <w:r w:rsidRPr="00CA0B88">
        <w:t xml:space="preserve"> (</w:t>
      </w:r>
      <w:r w:rsidRPr="00455260">
        <w:rPr>
          <w:i/>
        </w:rPr>
        <w:t>SMN2</w:t>
      </w:r>
      <w:r w:rsidRPr="00CA0B88">
        <w:t>) pre-</w:t>
      </w:r>
      <w:r w:rsidR="00354CDC">
        <w:t>messenger ribonucleic acid (</w:t>
      </w:r>
      <w:r w:rsidRPr="00CA0B88">
        <w:t>mRNA</w:t>
      </w:r>
      <w:r w:rsidR="00354CDC">
        <w:t>)</w:t>
      </w:r>
      <w:r w:rsidRPr="00CA0B88">
        <w:t xml:space="preserve">. </w:t>
      </w:r>
      <w:proofErr w:type="spellStart"/>
      <w:r w:rsidRPr="00CA0B88">
        <w:t>Risdiplam</w:t>
      </w:r>
      <w:proofErr w:type="spellEnd"/>
      <w:r w:rsidRPr="00CA0B88">
        <w:t xml:space="preserve"> is designed to treat 5q</w:t>
      </w:r>
      <w:r w:rsidR="00481490">
        <w:t> </w:t>
      </w:r>
      <w:r w:rsidRPr="00CA0B88">
        <w:t>spinal muscular atrophy (SMA).</w:t>
      </w:r>
    </w:p>
    <w:p w14:paraId="6C1823AF" w14:textId="3925F26B" w:rsidR="00CA0B88" w:rsidRPr="00CA0B88" w:rsidRDefault="00CA0B88" w:rsidP="00CA0B88">
      <w:r w:rsidRPr="00CA0B88">
        <w:t>5q spinal muscular atrophy is the most common form of SMA</w:t>
      </w:r>
      <w:r w:rsidR="00481490">
        <w:t>;</w:t>
      </w:r>
      <w:r w:rsidR="00481490">
        <w:rPr>
          <w:rStyle w:val="FootnoteReference"/>
        </w:rPr>
        <w:footnoteReference w:id="2"/>
      </w:r>
      <w:r w:rsidRPr="00CA0B88">
        <w:t xml:space="preserve"> there are </w:t>
      </w:r>
      <w:proofErr w:type="gramStart"/>
      <w:r w:rsidRPr="00CA0B88">
        <w:t>a number of</w:t>
      </w:r>
      <w:proofErr w:type="gramEnd"/>
      <w:r w:rsidRPr="00CA0B88">
        <w:t xml:space="preserve"> rare non-5q SMAs that are genetically and clinically diverse. </w:t>
      </w:r>
      <w:r>
        <w:t xml:space="preserve">In this </w:t>
      </w:r>
      <w:proofErr w:type="spellStart"/>
      <w:r>
        <w:t>AusPAR</w:t>
      </w:r>
      <w:proofErr w:type="spellEnd"/>
      <w:r>
        <w:t xml:space="preserve">, only 5q SMA will be considered and </w:t>
      </w:r>
      <w:r w:rsidR="00481490">
        <w:t xml:space="preserve">therefore </w:t>
      </w:r>
      <w:r>
        <w:t>refer</w:t>
      </w:r>
      <w:r w:rsidR="00481490">
        <w:t>red</w:t>
      </w:r>
      <w:r>
        <w:t xml:space="preserve"> to as </w:t>
      </w:r>
      <w:r w:rsidR="00481490">
        <w:t>‘</w:t>
      </w:r>
      <w:r>
        <w:t>SMA</w:t>
      </w:r>
      <w:r w:rsidRPr="00CA0B88">
        <w:t>.</w:t>
      </w:r>
      <w:r w:rsidR="00481490">
        <w:t>’</w:t>
      </w:r>
      <w:r w:rsidRPr="00CA0B88">
        <w:t xml:space="preserve"> SMA is a rare autosomal recessive neuromuscular disorder caused by homozygous deletion (95% of cases) or mutation in both alleles of the </w:t>
      </w:r>
      <w:r>
        <w:rPr>
          <w:i/>
        </w:rPr>
        <w:t>survival of motor n</w:t>
      </w:r>
      <w:r w:rsidRPr="00CA0B88">
        <w:rPr>
          <w:i/>
        </w:rPr>
        <w:t>euron 1</w:t>
      </w:r>
      <w:r w:rsidRPr="00CA0B88">
        <w:t xml:space="preserve"> (</w:t>
      </w:r>
      <w:r w:rsidRPr="00CA0B88">
        <w:rPr>
          <w:i/>
        </w:rPr>
        <w:t>SMN1</w:t>
      </w:r>
      <w:r w:rsidRPr="00CA0B88">
        <w:t xml:space="preserve">) gene on chromosome 5q (locus 5q13). </w:t>
      </w:r>
      <w:r w:rsidRPr="00CA0B88">
        <w:rPr>
          <w:i/>
        </w:rPr>
        <w:t>SMN1</w:t>
      </w:r>
      <w:r w:rsidRPr="00CA0B88">
        <w:t xml:space="preserve"> encodes SMN protein, an essential protein expressed in both neuronal and non-neuronal cells. In humans, there are two </w:t>
      </w:r>
      <w:r w:rsidRPr="00CA0B88">
        <w:rPr>
          <w:i/>
        </w:rPr>
        <w:t>SMN</w:t>
      </w:r>
      <w:r w:rsidRPr="00CA0B88">
        <w:t xml:space="preserve"> genes, the </w:t>
      </w:r>
      <w:r w:rsidRPr="00CA0B88">
        <w:rPr>
          <w:i/>
        </w:rPr>
        <w:t>SMN1</w:t>
      </w:r>
      <w:r w:rsidRPr="00CA0B88">
        <w:t xml:space="preserve"> gene and its paralog </w:t>
      </w:r>
      <w:r w:rsidRPr="00CA0B88">
        <w:rPr>
          <w:i/>
        </w:rPr>
        <w:t>SMN2</w:t>
      </w:r>
      <w:r w:rsidRPr="00CA0B88">
        <w:t xml:space="preserve">. The </w:t>
      </w:r>
      <w:r w:rsidRPr="00CA0B88">
        <w:rPr>
          <w:i/>
        </w:rPr>
        <w:t>SMN2</w:t>
      </w:r>
      <w:r w:rsidRPr="00CA0B88">
        <w:t xml:space="preserve"> pre-mRNA undergoes alternative splicing that excludes exon 7 from 85% to 90% of mature </w:t>
      </w:r>
      <w:r w:rsidRPr="00CA0B88">
        <w:rPr>
          <w:i/>
        </w:rPr>
        <w:t>SMN2</w:t>
      </w:r>
      <w:r w:rsidRPr="00CA0B88">
        <w:t xml:space="preserve"> transcripts, which produces an </w:t>
      </w:r>
      <w:proofErr w:type="gramStart"/>
      <w:r w:rsidRPr="00CA0B88">
        <w:t xml:space="preserve">unstable </w:t>
      </w:r>
      <w:r w:rsidR="008B6FD4" w:rsidRPr="0008473C">
        <w:rPr>
          <w:i/>
        </w:rPr>
        <w:t>SMN2</w:t>
      </w:r>
      <w:r w:rsidR="008B6FD4" w:rsidRPr="008B6FD4">
        <w:t xml:space="preserve"> </w:t>
      </w:r>
      <w:r w:rsidR="008B6FD4">
        <w:t>transcripts</w:t>
      </w:r>
      <w:proofErr w:type="gramEnd"/>
      <w:r w:rsidR="008B6FD4">
        <w:t xml:space="preserve"> that </w:t>
      </w:r>
      <w:r w:rsidR="008B6FD4" w:rsidRPr="008B6FD4">
        <w:t xml:space="preserve">lacks exon 7 </w:t>
      </w:r>
      <w:r w:rsidR="008B6FD4">
        <w:t>(</w:t>
      </w:r>
      <w:r w:rsidRPr="00CA0B88">
        <w:t>SMNΔ7</w:t>
      </w:r>
      <w:r w:rsidR="008B6FD4">
        <w:t>)</w:t>
      </w:r>
      <w:r w:rsidRPr="00CA0B88">
        <w:t xml:space="preserve"> protein that is rapidly degraded. Full-length </w:t>
      </w:r>
      <w:r w:rsidRPr="00CA0B88">
        <w:rPr>
          <w:i/>
        </w:rPr>
        <w:t>SMN2</w:t>
      </w:r>
      <w:r w:rsidRPr="00CA0B88">
        <w:t xml:space="preserve"> mRNA is generated in only 10% to 15% of splicing events. SMA is the consequence of decreased, insufficient levels of functional SMN protein due to the lack of functional protein from the </w:t>
      </w:r>
      <w:r w:rsidRPr="00CA0B88">
        <w:rPr>
          <w:i/>
        </w:rPr>
        <w:t>SMN1</w:t>
      </w:r>
      <w:r w:rsidRPr="00CA0B88">
        <w:t xml:space="preserve"> gene and the limited amount of functional protein produced by the </w:t>
      </w:r>
      <w:r w:rsidRPr="00CA0B88">
        <w:rPr>
          <w:i/>
        </w:rPr>
        <w:t>SMN2</w:t>
      </w:r>
      <w:r w:rsidRPr="00CA0B88">
        <w:t xml:space="preserve"> gene. Those with multiple copies of the </w:t>
      </w:r>
      <w:r w:rsidRPr="00CA0B88">
        <w:rPr>
          <w:i/>
        </w:rPr>
        <w:t>SMN2</w:t>
      </w:r>
      <w:r>
        <w:t xml:space="preserve"> gene have milder phenotypes.</w:t>
      </w:r>
    </w:p>
    <w:p w14:paraId="751DF3EC" w14:textId="77777777" w:rsidR="00CA0B88" w:rsidRPr="00CA0B88" w:rsidRDefault="00CA0B88" w:rsidP="00E222C6">
      <w:pPr>
        <w:pageBreakBefore/>
      </w:pPr>
      <w:r>
        <w:lastRenderedPageBreak/>
        <w:t>S</w:t>
      </w:r>
      <w:r w:rsidRPr="00CA0B88">
        <w:t>pinal muscular atrophy is characterised by the dysfunction of alpha motor neurons within the anterior horn of the spinal cord, leading to skeletal muscle weakness and atrophy. Clinically, muscle weakness and atrophy are symmetrical and most severe in the proximal l</w:t>
      </w:r>
      <w:r>
        <w:t xml:space="preserve">imbs. The most severe infantile </w:t>
      </w:r>
      <w:r w:rsidRPr="00CA0B88">
        <w:t>onset disease results in failure to gain motor milestones, no meaningful motor function and loss of respiratory and bulbar muscle function leading to early death. In later</w:t>
      </w:r>
      <w:r>
        <w:t xml:space="preserve"> </w:t>
      </w:r>
      <w:r w:rsidRPr="00CA0B88">
        <w:t>onset disease, the distribution of weakness is the same, leading to profound disability due to poor mobility and poor proximal upper limb function, with many patients requiring r</w:t>
      </w:r>
      <w:r>
        <w:t>espiratory and feeding support.</w:t>
      </w:r>
    </w:p>
    <w:p w14:paraId="19238E9C" w14:textId="63E49CD0" w:rsidR="00CA0B88" w:rsidRPr="00CA0B88" w:rsidRDefault="00CA0B88" w:rsidP="00CA0B88">
      <w:r>
        <w:t>S</w:t>
      </w:r>
      <w:r w:rsidRPr="00CA0B88">
        <w:t xml:space="preserve">pinal muscular atrophy subtypes are defined by age at onset and the most advanced motor milestone achieved during </w:t>
      </w:r>
      <w:r w:rsidR="00FE1E66" w:rsidRPr="00CA0B88">
        <w:t>development and</w:t>
      </w:r>
      <w:r w:rsidRPr="00CA0B88">
        <w:t xml:space="preserve"> are classified as Types 0 through to 4</w:t>
      </w:r>
      <w:r w:rsidR="00900BD1">
        <w:t>;</w:t>
      </w:r>
      <w:r w:rsidR="00900BD1">
        <w:rPr>
          <w:rStyle w:val="FootnoteReference"/>
        </w:rPr>
        <w:footnoteReference w:id="3"/>
      </w:r>
      <w:r w:rsidRPr="00CA0B88">
        <w:t xml:space="preserve"> where Types 1, 2 and 3 represent approximately 99% of the SMA population. Type 0 (congenital SMA) is rare and most patients do not survive beyond 6 m</w:t>
      </w:r>
      <w:r>
        <w:t xml:space="preserve">onths of age. SMA Type 4 (adult </w:t>
      </w:r>
      <w:r w:rsidRPr="00CA0B88">
        <w:t>onset) accounts for approx</w:t>
      </w:r>
      <w:r>
        <w:t>imately</w:t>
      </w:r>
      <w:r w:rsidRPr="00CA0B88">
        <w:t xml:space="preserve"> 1% of all SMA cases. Although SMA is clinically c</w:t>
      </w:r>
      <w:r w:rsidR="008B6FD4">
        <w:t>lassified into these different ‘</w:t>
      </w:r>
      <w:r w:rsidR="00A06917">
        <w:t>t</w:t>
      </w:r>
      <w:r w:rsidRPr="00CA0B88">
        <w:t xml:space="preserve">ypes’, which reflect the severity of its impact, </w:t>
      </w:r>
      <w:r w:rsidR="00354CDC">
        <w:t>SMA can be better</w:t>
      </w:r>
      <w:r w:rsidRPr="00CA0B88">
        <w:t xml:space="preserve"> considered as</w:t>
      </w:r>
      <w:r w:rsidR="00354CDC">
        <w:t xml:space="preserve"> encapsulating</w:t>
      </w:r>
      <w:r w:rsidRPr="00CA0B88">
        <w:t xml:space="preserve"> a disease spectrum or continuum. It is the leading genetic cause of mortality in infants and young children, with an estimated incidence of 1 in 6,000 to 1 in 10,000 live births and with a carrier frequency of 1 in 40 to 60 individuals. The estimated prevalence is </w:t>
      </w:r>
      <w:r w:rsidR="00354CDC">
        <w:t>less than</w:t>
      </w:r>
      <w:r w:rsidRPr="00CA0B88">
        <w:t xml:space="preserve"> 5 in 10,000 individuals.</w:t>
      </w:r>
    </w:p>
    <w:p w14:paraId="0422C37A" w14:textId="76245E4B" w:rsidR="00CA0B88" w:rsidRPr="00CA0B88" w:rsidRDefault="00CA0B88" w:rsidP="00CA0B88">
      <w:r w:rsidRPr="00CA0B88">
        <w:t xml:space="preserve">In Australia, </w:t>
      </w:r>
      <w:proofErr w:type="spellStart"/>
      <w:r w:rsidR="00B34033">
        <w:t>S</w:t>
      </w:r>
      <w:r w:rsidRPr="00CA0B88">
        <w:t>pinraza</w:t>
      </w:r>
      <w:proofErr w:type="spellEnd"/>
      <w:r w:rsidRPr="00CA0B88">
        <w:t xml:space="preserve"> (</w:t>
      </w:r>
      <w:proofErr w:type="spellStart"/>
      <w:r w:rsidRPr="00CA0B88">
        <w:t>nusinersen</w:t>
      </w:r>
      <w:proofErr w:type="spellEnd"/>
      <w:r w:rsidRPr="00CA0B88">
        <w:t>) is approved for the treatment of SMA.</w:t>
      </w:r>
      <w:bookmarkStart w:id="15" w:name="_Ref75955762"/>
      <w:r w:rsidR="00B34033">
        <w:rPr>
          <w:rStyle w:val="FootnoteReference"/>
        </w:rPr>
        <w:footnoteReference w:id="4"/>
      </w:r>
      <w:bookmarkEnd w:id="15"/>
      <w:r w:rsidRPr="00CA0B88">
        <w:t xml:space="preserve"> </w:t>
      </w:r>
      <w:proofErr w:type="spellStart"/>
      <w:r w:rsidRPr="00CA0B88">
        <w:t>Nusinersen</w:t>
      </w:r>
      <w:proofErr w:type="spellEnd"/>
      <w:r w:rsidRPr="00CA0B88">
        <w:t xml:space="preserve"> is </w:t>
      </w:r>
      <w:r w:rsidR="00F131C3">
        <w:t>drug, administered</w:t>
      </w:r>
      <w:r w:rsidRPr="00CA0B88">
        <w:t xml:space="preserve"> intratheca</w:t>
      </w:r>
      <w:r w:rsidR="008B6FD4">
        <w:t xml:space="preserve">lly </w:t>
      </w:r>
      <w:r w:rsidR="00354CDC">
        <w:t xml:space="preserve">(or </w:t>
      </w:r>
      <w:r w:rsidR="00F131C3">
        <w:t xml:space="preserve">via the </w:t>
      </w:r>
      <w:r w:rsidR="00354CDC">
        <w:t xml:space="preserve">spinal canal) </w:t>
      </w:r>
      <w:r w:rsidR="00F131C3">
        <w:t>and is a</w:t>
      </w:r>
      <w:r w:rsidR="008B6FD4" w:rsidRPr="0008473C">
        <w:rPr>
          <w:i/>
        </w:rPr>
        <w:t>SMN2</w:t>
      </w:r>
      <w:r w:rsidR="008B6FD4">
        <w:t xml:space="preserve"> </w:t>
      </w:r>
      <w:r w:rsidRPr="00CA0B88">
        <w:t xml:space="preserve">targeting antisense oligonucleotide, first registered in 2017. </w:t>
      </w:r>
      <w:proofErr w:type="spellStart"/>
      <w:r w:rsidRPr="00CA0B88">
        <w:t>S</w:t>
      </w:r>
      <w:r w:rsidR="00B34033">
        <w:t>pinraza</w:t>
      </w:r>
      <w:proofErr w:type="spellEnd"/>
      <w:r w:rsidRPr="00CA0B88">
        <w:t xml:space="preserve"> (</w:t>
      </w:r>
      <w:proofErr w:type="spellStart"/>
      <w:r w:rsidRPr="00CA0B88">
        <w:t>nusinersen</w:t>
      </w:r>
      <w:proofErr w:type="spellEnd"/>
      <w:r w:rsidRPr="00CA0B88">
        <w:t>) is indicated ‘</w:t>
      </w:r>
      <w:r w:rsidR="008B6FD4">
        <w:rPr>
          <w:i/>
        </w:rPr>
        <w:t>for the treatment of 5q spinal muscular a</w:t>
      </w:r>
      <w:r w:rsidRPr="00B34033">
        <w:rPr>
          <w:i/>
        </w:rPr>
        <w:t>trophy (SMA)</w:t>
      </w:r>
      <w:r w:rsidRPr="00CA0B88">
        <w:t xml:space="preserve">’. Maintenance dosing of </w:t>
      </w:r>
      <w:proofErr w:type="spellStart"/>
      <w:r w:rsidRPr="00CA0B88">
        <w:t>nu</w:t>
      </w:r>
      <w:r w:rsidR="00B34033">
        <w:t>sinersen</w:t>
      </w:r>
      <w:proofErr w:type="spellEnd"/>
      <w:r w:rsidR="00B34033">
        <w:t xml:space="preserve"> is administered every four</w:t>
      </w:r>
      <w:r w:rsidRPr="00CA0B88">
        <w:t xml:space="preserve"> months.</w:t>
      </w:r>
    </w:p>
    <w:p w14:paraId="44B1D9C4" w14:textId="48DA10F0" w:rsidR="00CA0B88" w:rsidRDefault="00CA0B88" w:rsidP="00E222C6">
      <w:pPr>
        <w:pageBreakBefore/>
      </w:pPr>
      <w:proofErr w:type="spellStart"/>
      <w:r w:rsidRPr="00CA0B88">
        <w:lastRenderedPageBreak/>
        <w:t>Zolgensma</w:t>
      </w:r>
      <w:proofErr w:type="spellEnd"/>
      <w:r w:rsidRPr="00CA0B88">
        <w:t xml:space="preserve"> (</w:t>
      </w:r>
      <w:proofErr w:type="spellStart"/>
      <w:r w:rsidRPr="00CA0B88">
        <w:t>onasemnogene</w:t>
      </w:r>
      <w:proofErr w:type="spellEnd"/>
      <w:r w:rsidRPr="00CA0B88">
        <w:t xml:space="preserve"> </w:t>
      </w:r>
      <w:proofErr w:type="spellStart"/>
      <w:r w:rsidRPr="00CA0B88">
        <w:t>abeparvovec</w:t>
      </w:r>
      <w:proofErr w:type="spellEnd"/>
      <w:r w:rsidRPr="00CA0B88">
        <w:t>) is a</w:t>
      </w:r>
      <w:r w:rsidR="00F131C3">
        <w:t xml:space="preserve">n </w:t>
      </w:r>
      <w:r w:rsidR="008B6FD4">
        <w:t xml:space="preserve">intravenously </w:t>
      </w:r>
      <w:r w:rsidRPr="00CA0B88">
        <w:t>administered gene replacement therapy</w:t>
      </w:r>
      <w:r w:rsidR="00F131C3">
        <w:t xml:space="preserve"> that only needs to be administered once per patient,</w:t>
      </w:r>
      <w:r w:rsidRPr="00CA0B88">
        <w:t xml:space="preserve"> that delivers a functional copy of the </w:t>
      </w:r>
      <w:r w:rsidRPr="00455260">
        <w:rPr>
          <w:i/>
        </w:rPr>
        <w:t>SMN</w:t>
      </w:r>
      <w:r w:rsidRPr="00CA0B88">
        <w:t xml:space="preserve"> gene. </w:t>
      </w:r>
      <w:proofErr w:type="spellStart"/>
      <w:r w:rsidRPr="00CA0B88">
        <w:t>Zolgensma</w:t>
      </w:r>
      <w:proofErr w:type="spellEnd"/>
      <w:r w:rsidRPr="00CA0B88">
        <w:t xml:space="preserve"> has </w:t>
      </w:r>
      <w:r w:rsidR="00B34033">
        <w:t>been approved in Australia,</w:t>
      </w:r>
      <w:r w:rsidR="00B34033">
        <w:rPr>
          <w:rStyle w:val="FootnoteReference"/>
        </w:rPr>
        <w:footnoteReference w:id="5"/>
      </w:r>
      <w:r w:rsidR="00B34033">
        <w:t xml:space="preserve"> </w:t>
      </w:r>
      <w:r w:rsidR="00F131C3">
        <w:t xml:space="preserve">the </w:t>
      </w:r>
      <w:r w:rsidRPr="00CA0B88">
        <w:t>U</w:t>
      </w:r>
      <w:r w:rsidR="00B34033">
        <w:t xml:space="preserve">nited </w:t>
      </w:r>
      <w:r w:rsidRPr="00CA0B88">
        <w:t>S</w:t>
      </w:r>
      <w:r w:rsidR="00B34033">
        <w:t>tates of America (USA)</w:t>
      </w:r>
      <w:r w:rsidRPr="00CA0B88">
        <w:t xml:space="preserve"> and Japan for paediatric patients with SMA. In the E</w:t>
      </w:r>
      <w:r w:rsidR="00B34033">
        <w:t xml:space="preserve">uropean </w:t>
      </w:r>
      <w:r w:rsidRPr="00CA0B88">
        <w:t>U</w:t>
      </w:r>
      <w:r w:rsidR="00B34033">
        <w:t>nion (EU)</w:t>
      </w:r>
      <w:r w:rsidRPr="00CA0B88">
        <w:t xml:space="preserve">, </w:t>
      </w:r>
      <w:proofErr w:type="spellStart"/>
      <w:r w:rsidRPr="00CA0B88">
        <w:t>Zolgensma</w:t>
      </w:r>
      <w:proofErr w:type="spellEnd"/>
      <w:r w:rsidRPr="00CA0B88">
        <w:t xml:space="preserve"> is approved conditionally for the treatment of patients up to 21 kg in weight with 5q SMA with a bi-allelic mutation in the </w:t>
      </w:r>
      <w:r w:rsidRPr="00455260">
        <w:rPr>
          <w:i/>
        </w:rPr>
        <w:t>SMN1</w:t>
      </w:r>
      <w:r w:rsidRPr="00CA0B88">
        <w:t xml:space="preserve"> gene and a clinical diagnosis of SMA Type 1, or with 5q SMA with a bi-allelic mutation in the </w:t>
      </w:r>
      <w:r w:rsidRPr="00455260">
        <w:rPr>
          <w:i/>
        </w:rPr>
        <w:t>SMN1</w:t>
      </w:r>
      <w:r w:rsidRPr="00CA0B88">
        <w:t xml:space="preserve"> gene and u</w:t>
      </w:r>
      <w:r w:rsidR="008B6FD4">
        <w:t>p to three</w:t>
      </w:r>
      <w:r>
        <w:t xml:space="preserve"> copies of the </w:t>
      </w:r>
      <w:r w:rsidRPr="0008473C">
        <w:rPr>
          <w:i/>
        </w:rPr>
        <w:t>SMN2</w:t>
      </w:r>
      <w:r>
        <w:t xml:space="preserve"> gene.</w:t>
      </w:r>
    </w:p>
    <w:p w14:paraId="75FC01C0" w14:textId="77777777" w:rsidR="008E7846" w:rsidRPr="003F31A2" w:rsidRDefault="00386150" w:rsidP="008E7846">
      <w:pPr>
        <w:pStyle w:val="Heading3"/>
      </w:pPr>
      <w:bookmarkStart w:id="16" w:name="_Toc314842485"/>
      <w:bookmarkStart w:id="17" w:name="_Toc247691504"/>
      <w:bookmarkStart w:id="18" w:name="_Toc82421574"/>
      <w:r>
        <w:t>Regulatory s</w:t>
      </w:r>
      <w:r w:rsidR="008E7846">
        <w:t>tatus</w:t>
      </w:r>
      <w:bookmarkEnd w:id="16"/>
      <w:bookmarkEnd w:id="17"/>
      <w:bookmarkEnd w:id="18"/>
    </w:p>
    <w:p w14:paraId="5FDC22E0" w14:textId="77777777" w:rsidR="00940A89" w:rsidRDefault="00006FAB" w:rsidP="00940A89">
      <w:bookmarkStart w:id="19" w:name="_Toc247691505"/>
      <w:bookmarkStart w:id="20" w:name="_Toc314842486"/>
      <w:r w:rsidRPr="00006FAB">
        <w:t>This product is considered a new chemical entity for Australian regulatory purposes.</w:t>
      </w:r>
    </w:p>
    <w:p w14:paraId="1B32DC98" w14:textId="42872A47" w:rsidR="00006FAB" w:rsidRDefault="00006FAB" w:rsidP="00006FAB">
      <w:r>
        <w:t>At the time the TGA considered this application, similar application</w:t>
      </w:r>
      <w:r w:rsidR="00F131C3">
        <w:t>s</w:t>
      </w:r>
      <w:r>
        <w:t xml:space="preserve"> had been approved in </w:t>
      </w:r>
      <w:r w:rsidR="00F131C3">
        <w:t xml:space="preserve">the </w:t>
      </w:r>
      <w:r w:rsidR="00AB5396">
        <w:t>E</w:t>
      </w:r>
      <w:r w:rsidR="008B6FD4">
        <w:t>uropean Union</w:t>
      </w:r>
      <w:r w:rsidR="00AB5396">
        <w:t xml:space="preserve"> </w:t>
      </w:r>
      <w:r w:rsidR="00F131C3">
        <w:t xml:space="preserve">(EU) </w:t>
      </w:r>
      <w:r w:rsidR="00AB5396">
        <w:t>on 26 March 2021</w:t>
      </w:r>
      <w:r>
        <w:t xml:space="preserve"> </w:t>
      </w:r>
      <w:r w:rsidR="00AB5396">
        <w:t>an</w:t>
      </w:r>
      <w:r w:rsidR="008B6FD4">
        <w:t xml:space="preserve">d </w:t>
      </w:r>
      <w:r w:rsidR="00F131C3">
        <w:t xml:space="preserve">the </w:t>
      </w:r>
      <w:r w:rsidR="008B6FD4">
        <w:t>United States of America</w:t>
      </w:r>
      <w:r w:rsidR="00AB5396">
        <w:t xml:space="preserve"> </w:t>
      </w:r>
      <w:r w:rsidR="00F131C3">
        <w:t xml:space="preserve">(USA) </w:t>
      </w:r>
      <w:r w:rsidR="00AB5396">
        <w:t xml:space="preserve">on the 7 August 2020. </w:t>
      </w:r>
      <w:r w:rsidR="00F131C3">
        <w:t xml:space="preserve">At the time this submission was considered, </w:t>
      </w:r>
      <w:proofErr w:type="spellStart"/>
      <w:r w:rsidR="00AB5396">
        <w:t>Evrysdi</w:t>
      </w:r>
      <w:proofErr w:type="spellEnd"/>
      <w:r w:rsidR="00AB5396">
        <w:t xml:space="preserve"> </w:t>
      </w:r>
      <w:r>
        <w:t xml:space="preserve">was under consideration in </w:t>
      </w:r>
      <w:r w:rsidR="00AB5396">
        <w:t xml:space="preserve">Canada, Japan, </w:t>
      </w:r>
      <w:proofErr w:type="gramStart"/>
      <w:r w:rsidR="00AB5396">
        <w:t>Switzerland</w:t>
      </w:r>
      <w:proofErr w:type="gramEnd"/>
      <w:r w:rsidR="00AB5396">
        <w:t xml:space="preserve"> and</w:t>
      </w:r>
      <w:r w:rsidR="00F131C3">
        <w:t xml:space="preserve"> the</w:t>
      </w:r>
      <w:r w:rsidR="00AB5396">
        <w:t xml:space="preserve"> United Kingdom.</w:t>
      </w:r>
    </w:p>
    <w:p w14:paraId="0945784E" w14:textId="658EB2E4" w:rsidR="00324E45" w:rsidRPr="00F0146F" w:rsidRDefault="00324E45" w:rsidP="00324E45">
      <w:pPr>
        <w:pStyle w:val="TableTitle"/>
      </w:pPr>
      <w:r>
        <w:t xml:space="preserve">Table </w:t>
      </w:r>
      <w:r w:rsidR="00C27826">
        <w:fldChar w:fldCharType="begin"/>
      </w:r>
      <w:r w:rsidR="00C27826">
        <w:instrText xml:space="preserve"> SEQ Table \* ARABIC </w:instrText>
      </w:r>
      <w:r w:rsidR="00C27826">
        <w:fldChar w:fldCharType="separate"/>
      </w:r>
      <w:r w:rsidR="00710041">
        <w:rPr>
          <w:noProof/>
        </w:rPr>
        <w:t>1</w:t>
      </w:r>
      <w:r w:rsidR="00C27826">
        <w:rPr>
          <w:noProof/>
        </w:rPr>
        <w:fldChar w:fldCharType="end"/>
      </w:r>
      <w:r>
        <w:t>: International regulatory status</w:t>
      </w:r>
    </w:p>
    <w:tbl>
      <w:tblPr>
        <w:tblStyle w:val="TableTGAblue"/>
        <w:tblW w:w="0" w:type="auto"/>
        <w:tblLook w:val="04A0" w:firstRow="1" w:lastRow="0" w:firstColumn="1" w:lastColumn="0" w:noHBand="0" w:noVBand="1"/>
      </w:tblPr>
      <w:tblGrid>
        <w:gridCol w:w="1838"/>
        <w:gridCol w:w="1701"/>
        <w:gridCol w:w="1985"/>
        <w:gridCol w:w="2970"/>
      </w:tblGrid>
      <w:tr w:rsidR="00AE335C" w:rsidRPr="00E222C6" w14:paraId="5EE22ACE" w14:textId="77777777" w:rsidTr="00E222C6">
        <w:trPr>
          <w:cnfStyle w:val="100000000000" w:firstRow="1" w:lastRow="0" w:firstColumn="0" w:lastColumn="0" w:oddVBand="0" w:evenVBand="0" w:oddHBand="0" w:evenHBand="0" w:firstRowFirstColumn="0" w:firstRowLastColumn="0" w:lastRowFirstColumn="0" w:lastRowLastColumn="0"/>
        </w:trPr>
        <w:tc>
          <w:tcPr>
            <w:tcW w:w="1838" w:type="dxa"/>
            <w:tcBorders>
              <w:top w:val="single" w:sz="4" w:space="0" w:color="auto"/>
              <w:left w:val="single" w:sz="4" w:space="0" w:color="auto"/>
              <w:bottom w:val="single" w:sz="4" w:space="0" w:color="auto"/>
              <w:right w:val="single" w:sz="4" w:space="0" w:color="auto"/>
            </w:tcBorders>
          </w:tcPr>
          <w:p w14:paraId="49250DF2" w14:textId="77777777" w:rsidR="00006FAB" w:rsidRPr="00E222C6" w:rsidRDefault="00006FAB" w:rsidP="00006FAB">
            <w:pPr>
              <w:ind w:left="0" w:right="0"/>
              <w:rPr>
                <w:sz w:val="20"/>
                <w:szCs w:val="20"/>
              </w:rPr>
            </w:pPr>
            <w:r w:rsidRPr="00E222C6">
              <w:rPr>
                <w:sz w:val="20"/>
                <w:szCs w:val="20"/>
              </w:rPr>
              <w:t>Region</w:t>
            </w:r>
          </w:p>
        </w:tc>
        <w:tc>
          <w:tcPr>
            <w:tcW w:w="1701" w:type="dxa"/>
            <w:tcBorders>
              <w:top w:val="single" w:sz="4" w:space="0" w:color="auto"/>
              <w:left w:val="single" w:sz="4" w:space="0" w:color="auto"/>
              <w:bottom w:val="single" w:sz="4" w:space="0" w:color="auto"/>
              <w:right w:val="single" w:sz="4" w:space="0" w:color="auto"/>
            </w:tcBorders>
          </w:tcPr>
          <w:p w14:paraId="2D94CCF0" w14:textId="77777777" w:rsidR="00006FAB" w:rsidRPr="00E222C6" w:rsidRDefault="00006FAB" w:rsidP="00006FAB">
            <w:pPr>
              <w:ind w:left="0" w:right="0"/>
              <w:rPr>
                <w:sz w:val="20"/>
                <w:szCs w:val="20"/>
              </w:rPr>
            </w:pPr>
            <w:r w:rsidRPr="00E222C6">
              <w:rPr>
                <w:sz w:val="20"/>
                <w:szCs w:val="20"/>
              </w:rPr>
              <w:t>Submission date</w:t>
            </w:r>
          </w:p>
        </w:tc>
        <w:tc>
          <w:tcPr>
            <w:tcW w:w="1985" w:type="dxa"/>
            <w:tcBorders>
              <w:top w:val="single" w:sz="4" w:space="0" w:color="auto"/>
              <w:left w:val="single" w:sz="4" w:space="0" w:color="auto"/>
              <w:bottom w:val="single" w:sz="4" w:space="0" w:color="auto"/>
              <w:right w:val="single" w:sz="4" w:space="0" w:color="auto"/>
            </w:tcBorders>
          </w:tcPr>
          <w:p w14:paraId="4086ECBA" w14:textId="77777777" w:rsidR="00006FAB" w:rsidRPr="00E222C6" w:rsidRDefault="00006FAB" w:rsidP="00006FAB">
            <w:pPr>
              <w:ind w:left="0" w:right="0"/>
              <w:rPr>
                <w:sz w:val="20"/>
                <w:szCs w:val="20"/>
              </w:rPr>
            </w:pPr>
            <w:r w:rsidRPr="00E222C6">
              <w:rPr>
                <w:sz w:val="20"/>
                <w:szCs w:val="20"/>
              </w:rPr>
              <w:t>Status</w:t>
            </w:r>
          </w:p>
        </w:tc>
        <w:tc>
          <w:tcPr>
            <w:tcW w:w="2970" w:type="dxa"/>
            <w:tcBorders>
              <w:top w:val="single" w:sz="4" w:space="0" w:color="auto"/>
              <w:left w:val="single" w:sz="4" w:space="0" w:color="auto"/>
              <w:bottom w:val="single" w:sz="4" w:space="0" w:color="auto"/>
              <w:right w:val="single" w:sz="4" w:space="0" w:color="auto"/>
            </w:tcBorders>
          </w:tcPr>
          <w:p w14:paraId="133477BC" w14:textId="77777777" w:rsidR="00006FAB" w:rsidRPr="00E222C6" w:rsidRDefault="00006FAB" w:rsidP="00006FAB">
            <w:pPr>
              <w:ind w:left="0" w:right="0"/>
              <w:rPr>
                <w:sz w:val="20"/>
                <w:szCs w:val="20"/>
              </w:rPr>
            </w:pPr>
            <w:r w:rsidRPr="00E222C6">
              <w:rPr>
                <w:sz w:val="20"/>
                <w:szCs w:val="20"/>
              </w:rPr>
              <w:t>Approved indications</w:t>
            </w:r>
          </w:p>
        </w:tc>
      </w:tr>
      <w:tr w:rsidR="00AE335C" w:rsidRPr="00E222C6" w14:paraId="3E68145D" w14:textId="77777777" w:rsidTr="00E222C6">
        <w:trPr>
          <w:cantSplit/>
        </w:trPr>
        <w:tc>
          <w:tcPr>
            <w:tcW w:w="1838" w:type="dxa"/>
            <w:tcBorders>
              <w:top w:val="single" w:sz="4" w:space="0" w:color="auto"/>
            </w:tcBorders>
          </w:tcPr>
          <w:p w14:paraId="259113ED" w14:textId="77777777" w:rsidR="00006FAB" w:rsidRPr="00E222C6" w:rsidRDefault="00B34033" w:rsidP="00006FAB">
            <w:pPr>
              <w:ind w:left="0" w:right="0"/>
              <w:rPr>
                <w:sz w:val="20"/>
                <w:szCs w:val="20"/>
              </w:rPr>
            </w:pPr>
            <w:r w:rsidRPr="00E222C6">
              <w:rPr>
                <w:sz w:val="20"/>
                <w:szCs w:val="20"/>
              </w:rPr>
              <w:t>European Union</w:t>
            </w:r>
          </w:p>
        </w:tc>
        <w:tc>
          <w:tcPr>
            <w:tcW w:w="1701" w:type="dxa"/>
            <w:tcBorders>
              <w:top w:val="single" w:sz="4" w:space="0" w:color="auto"/>
            </w:tcBorders>
          </w:tcPr>
          <w:p w14:paraId="49B644F0" w14:textId="77777777" w:rsidR="00006FAB" w:rsidRPr="00E222C6" w:rsidRDefault="00B34033" w:rsidP="00006FAB">
            <w:pPr>
              <w:ind w:left="0" w:right="0"/>
              <w:rPr>
                <w:sz w:val="20"/>
                <w:szCs w:val="20"/>
              </w:rPr>
            </w:pPr>
            <w:r w:rsidRPr="00E222C6">
              <w:rPr>
                <w:sz w:val="20"/>
                <w:szCs w:val="20"/>
              </w:rPr>
              <w:t>21 July 2020</w:t>
            </w:r>
          </w:p>
        </w:tc>
        <w:tc>
          <w:tcPr>
            <w:tcW w:w="1985" w:type="dxa"/>
            <w:tcBorders>
              <w:top w:val="single" w:sz="4" w:space="0" w:color="auto"/>
            </w:tcBorders>
          </w:tcPr>
          <w:p w14:paraId="707F7CDB" w14:textId="5E9F3B24" w:rsidR="00006FAB" w:rsidRPr="00E222C6" w:rsidRDefault="00AE335C" w:rsidP="00006FAB">
            <w:pPr>
              <w:ind w:left="0" w:right="0"/>
              <w:rPr>
                <w:sz w:val="20"/>
                <w:szCs w:val="20"/>
              </w:rPr>
            </w:pPr>
            <w:r w:rsidRPr="00E222C6">
              <w:rPr>
                <w:sz w:val="20"/>
                <w:szCs w:val="20"/>
              </w:rPr>
              <w:t>Marketing authorisation approved on 26</w:t>
            </w:r>
            <w:r w:rsidR="00F131C3" w:rsidRPr="00E222C6">
              <w:rPr>
                <w:sz w:val="20"/>
                <w:szCs w:val="20"/>
              </w:rPr>
              <w:t> </w:t>
            </w:r>
            <w:r w:rsidRPr="00E222C6">
              <w:rPr>
                <w:sz w:val="20"/>
                <w:szCs w:val="20"/>
              </w:rPr>
              <w:t>March 2021</w:t>
            </w:r>
          </w:p>
        </w:tc>
        <w:tc>
          <w:tcPr>
            <w:tcW w:w="2970" w:type="dxa"/>
            <w:tcBorders>
              <w:top w:val="single" w:sz="4" w:space="0" w:color="auto"/>
            </w:tcBorders>
          </w:tcPr>
          <w:p w14:paraId="65E5DD4F" w14:textId="77777777" w:rsidR="00006FAB" w:rsidRPr="00E222C6" w:rsidRDefault="00AE335C" w:rsidP="00AE335C">
            <w:pPr>
              <w:ind w:left="0"/>
              <w:rPr>
                <w:i/>
                <w:sz w:val="20"/>
                <w:szCs w:val="20"/>
              </w:rPr>
            </w:pPr>
            <w:proofErr w:type="spellStart"/>
            <w:r w:rsidRPr="00E222C6">
              <w:rPr>
                <w:i/>
                <w:sz w:val="20"/>
                <w:szCs w:val="20"/>
              </w:rPr>
              <w:t>Evrysdi</w:t>
            </w:r>
            <w:proofErr w:type="spellEnd"/>
            <w:r w:rsidRPr="00E222C6">
              <w:rPr>
                <w:i/>
                <w:sz w:val="20"/>
                <w:szCs w:val="20"/>
              </w:rPr>
              <w:t xml:space="preserve"> is indicated for the treatment of 5q spinal muscular atrophy (SMA) in patients 2 months of age and older, with a clinical diagnosis of SMA Type 1, Type </w:t>
            </w:r>
            <w:proofErr w:type="gramStart"/>
            <w:r w:rsidRPr="00E222C6">
              <w:rPr>
                <w:i/>
                <w:sz w:val="20"/>
                <w:szCs w:val="20"/>
              </w:rPr>
              <w:t>2</w:t>
            </w:r>
            <w:proofErr w:type="gramEnd"/>
            <w:r w:rsidRPr="00E222C6">
              <w:rPr>
                <w:i/>
                <w:sz w:val="20"/>
                <w:szCs w:val="20"/>
              </w:rPr>
              <w:t xml:space="preserve"> or Type 3 or with one to four SMN2 copies</w:t>
            </w:r>
          </w:p>
        </w:tc>
      </w:tr>
      <w:tr w:rsidR="00AE335C" w:rsidRPr="00E222C6" w14:paraId="63ACE244" w14:textId="77777777" w:rsidTr="00E222C6">
        <w:tc>
          <w:tcPr>
            <w:tcW w:w="1838" w:type="dxa"/>
          </w:tcPr>
          <w:p w14:paraId="39E20682" w14:textId="77777777" w:rsidR="00006FAB" w:rsidRPr="00E222C6" w:rsidRDefault="00B34033" w:rsidP="00006FAB">
            <w:pPr>
              <w:ind w:left="0" w:right="0"/>
              <w:rPr>
                <w:sz w:val="20"/>
                <w:szCs w:val="20"/>
              </w:rPr>
            </w:pPr>
            <w:r w:rsidRPr="00E222C6">
              <w:rPr>
                <w:sz w:val="20"/>
                <w:szCs w:val="20"/>
              </w:rPr>
              <w:t>United States of America</w:t>
            </w:r>
          </w:p>
        </w:tc>
        <w:tc>
          <w:tcPr>
            <w:tcW w:w="1701" w:type="dxa"/>
          </w:tcPr>
          <w:p w14:paraId="2F207116" w14:textId="77777777" w:rsidR="00006FAB" w:rsidRPr="00E222C6" w:rsidRDefault="00B34033" w:rsidP="00006FAB">
            <w:pPr>
              <w:ind w:left="0" w:right="0"/>
              <w:rPr>
                <w:sz w:val="20"/>
                <w:szCs w:val="20"/>
              </w:rPr>
            </w:pPr>
            <w:r w:rsidRPr="00E222C6">
              <w:rPr>
                <w:sz w:val="20"/>
                <w:szCs w:val="20"/>
              </w:rPr>
              <w:t>17 September 2019</w:t>
            </w:r>
          </w:p>
        </w:tc>
        <w:tc>
          <w:tcPr>
            <w:tcW w:w="1985" w:type="dxa"/>
          </w:tcPr>
          <w:p w14:paraId="0A9F13E4" w14:textId="1DACBB68" w:rsidR="00B34033" w:rsidRPr="00E222C6" w:rsidRDefault="00B34033" w:rsidP="00006FAB">
            <w:pPr>
              <w:ind w:left="0" w:right="0"/>
              <w:rPr>
                <w:sz w:val="20"/>
                <w:szCs w:val="20"/>
              </w:rPr>
            </w:pPr>
            <w:r w:rsidRPr="00E222C6">
              <w:rPr>
                <w:sz w:val="20"/>
                <w:szCs w:val="20"/>
              </w:rPr>
              <w:t>Approved on 7</w:t>
            </w:r>
            <w:r w:rsidR="00F131C3" w:rsidRPr="00E222C6">
              <w:rPr>
                <w:sz w:val="20"/>
                <w:szCs w:val="20"/>
              </w:rPr>
              <w:t> </w:t>
            </w:r>
            <w:r w:rsidRPr="00E222C6">
              <w:rPr>
                <w:sz w:val="20"/>
                <w:szCs w:val="20"/>
              </w:rPr>
              <w:t>August 2020</w:t>
            </w:r>
          </w:p>
        </w:tc>
        <w:tc>
          <w:tcPr>
            <w:tcW w:w="2970" w:type="dxa"/>
          </w:tcPr>
          <w:p w14:paraId="13CABC77" w14:textId="77777777" w:rsidR="00006FAB" w:rsidRPr="00E222C6" w:rsidRDefault="00B34033" w:rsidP="00B34033">
            <w:pPr>
              <w:ind w:left="0"/>
              <w:rPr>
                <w:i/>
                <w:sz w:val="20"/>
                <w:szCs w:val="20"/>
              </w:rPr>
            </w:pPr>
            <w:proofErr w:type="spellStart"/>
            <w:r w:rsidRPr="00E222C6">
              <w:rPr>
                <w:i/>
                <w:sz w:val="20"/>
                <w:szCs w:val="20"/>
              </w:rPr>
              <w:t>Evrysdi</w:t>
            </w:r>
            <w:proofErr w:type="spellEnd"/>
            <w:r w:rsidRPr="00E222C6">
              <w:rPr>
                <w:i/>
                <w:sz w:val="20"/>
                <w:szCs w:val="20"/>
              </w:rPr>
              <w:t xml:space="preserve"> is indicated for the treatment of spinal muscular atrophy (SMA) in patients 2 months of age and older</w:t>
            </w:r>
          </w:p>
        </w:tc>
      </w:tr>
      <w:tr w:rsidR="00AE335C" w:rsidRPr="00E222C6" w14:paraId="2571EE92" w14:textId="77777777" w:rsidTr="00E222C6">
        <w:tc>
          <w:tcPr>
            <w:tcW w:w="1838" w:type="dxa"/>
          </w:tcPr>
          <w:p w14:paraId="7A713E04" w14:textId="77777777" w:rsidR="00AE335C" w:rsidRPr="00E222C6" w:rsidRDefault="00AE335C" w:rsidP="00AE335C">
            <w:pPr>
              <w:ind w:left="0"/>
              <w:rPr>
                <w:sz w:val="20"/>
                <w:szCs w:val="20"/>
              </w:rPr>
            </w:pPr>
            <w:r w:rsidRPr="00E222C6">
              <w:rPr>
                <w:sz w:val="20"/>
                <w:szCs w:val="20"/>
              </w:rPr>
              <w:t>Canada</w:t>
            </w:r>
          </w:p>
        </w:tc>
        <w:tc>
          <w:tcPr>
            <w:tcW w:w="1701" w:type="dxa"/>
          </w:tcPr>
          <w:p w14:paraId="65650E32" w14:textId="77777777" w:rsidR="00AE335C" w:rsidRPr="00E222C6" w:rsidRDefault="00AE335C" w:rsidP="00AE335C">
            <w:pPr>
              <w:ind w:left="0"/>
              <w:rPr>
                <w:sz w:val="20"/>
                <w:szCs w:val="20"/>
              </w:rPr>
            </w:pPr>
            <w:r w:rsidRPr="00E222C6">
              <w:rPr>
                <w:sz w:val="20"/>
                <w:szCs w:val="20"/>
              </w:rPr>
              <w:t>July 2020</w:t>
            </w:r>
          </w:p>
        </w:tc>
        <w:tc>
          <w:tcPr>
            <w:tcW w:w="1985" w:type="dxa"/>
          </w:tcPr>
          <w:p w14:paraId="70DE7FFC" w14:textId="77777777" w:rsidR="00AE335C" w:rsidRPr="00E222C6" w:rsidRDefault="00AE335C" w:rsidP="00AE335C">
            <w:pPr>
              <w:ind w:left="0"/>
              <w:rPr>
                <w:sz w:val="20"/>
                <w:szCs w:val="20"/>
              </w:rPr>
            </w:pPr>
            <w:r w:rsidRPr="00E222C6">
              <w:rPr>
                <w:sz w:val="20"/>
                <w:szCs w:val="20"/>
              </w:rPr>
              <w:t>Under consideration</w:t>
            </w:r>
          </w:p>
        </w:tc>
        <w:tc>
          <w:tcPr>
            <w:tcW w:w="2970" w:type="dxa"/>
          </w:tcPr>
          <w:p w14:paraId="22E0CF00" w14:textId="77777777" w:rsidR="00AE335C" w:rsidRPr="00E222C6" w:rsidRDefault="00AE335C" w:rsidP="00AE335C">
            <w:pPr>
              <w:ind w:left="0"/>
              <w:rPr>
                <w:sz w:val="20"/>
                <w:szCs w:val="20"/>
              </w:rPr>
            </w:pPr>
            <w:r w:rsidRPr="00E222C6">
              <w:rPr>
                <w:sz w:val="20"/>
                <w:szCs w:val="20"/>
              </w:rPr>
              <w:t>Under consideration</w:t>
            </w:r>
          </w:p>
        </w:tc>
      </w:tr>
      <w:tr w:rsidR="00AE335C" w:rsidRPr="00E222C6" w14:paraId="592025D8" w14:textId="77777777" w:rsidTr="00E222C6">
        <w:tc>
          <w:tcPr>
            <w:tcW w:w="1838" w:type="dxa"/>
          </w:tcPr>
          <w:p w14:paraId="1EDA1A07" w14:textId="77777777" w:rsidR="00AE335C" w:rsidRPr="00E222C6" w:rsidRDefault="00AE335C" w:rsidP="00AE335C">
            <w:pPr>
              <w:ind w:left="0"/>
              <w:rPr>
                <w:sz w:val="20"/>
                <w:szCs w:val="20"/>
              </w:rPr>
            </w:pPr>
            <w:r w:rsidRPr="00E222C6">
              <w:rPr>
                <w:sz w:val="20"/>
                <w:szCs w:val="20"/>
              </w:rPr>
              <w:t>Japan</w:t>
            </w:r>
          </w:p>
        </w:tc>
        <w:tc>
          <w:tcPr>
            <w:tcW w:w="1701" w:type="dxa"/>
          </w:tcPr>
          <w:p w14:paraId="302540DB" w14:textId="77777777" w:rsidR="00AE335C" w:rsidRPr="00E222C6" w:rsidRDefault="00AE335C" w:rsidP="00AE335C">
            <w:pPr>
              <w:ind w:left="0"/>
              <w:rPr>
                <w:sz w:val="20"/>
                <w:szCs w:val="20"/>
              </w:rPr>
            </w:pPr>
            <w:r w:rsidRPr="00E222C6">
              <w:rPr>
                <w:sz w:val="20"/>
                <w:szCs w:val="20"/>
              </w:rPr>
              <w:t>October 2020</w:t>
            </w:r>
          </w:p>
        </w:tc>
        <w:tc>
          <w:tcPr>
            <w:tcW w:w="1985" w:type="dxa"/>
          </w:tcPr>
          <w:p w14:paraId="2035E1E2" w14:textId="77777777" w:rsidR="00AE335C" w:rsidRPr="00E222C6" w:rsidRDefault="00AE335C" w:rsidP="00AE335C">
            <w:pPr>
              <w:ind w:left="0"/>
              <w:rPr>
                <w:sz w:val="20"/>
                <w:szCs w:val="20"/>
              </w:rPr>
            </w:pPr>
            <w:r w:rsidRPr="00E222C6">
              <w:rPr>
                <w:sz w:val="20"/>
                <w:szCs w:val="20"/>
              </w:rPr>
              <w:t>Under consideration</w:t>
            </w:r>
          </w:p>
        </w:tc>
        <w:tc>
          <w:tcPr>
            <w:tcW w:w="2970" w:type="dxa"/>
          </w:tcPr>
          <w:p w14:paraId="4E276A26" w14:textId="77777777" w:rsidR="00AE335C" w:rsidRPr="00E222C6" w:rsidRDefault="00AE335C" w:rsidP="00AE335C">
            <w:pPr>
              <w:ind w:left="0"/>
              <w:rPr>
                <w:sz w:val="20"/>
                <w:szCs w:val="20"/>
              </w:rPr>
            </w:pPr>
            <w:r w:rsidRPr="00E222C6">
              <w:rPr>
                <w:sz w:val="20"/>
                <w:szCs w:val="20"/>
              </w:rPr>
              <w:t>Under consideration</w:t>
            </w:r>
          </w:p>
        </w:tc>
      </w:tr>
      <w:tr w:rsidR="00AE335C" w:rsidRPr="00E222C6" w14:paraId="6E3A2D89" w14:textId="77777777" w:rsidTr="00E222C6">
        <w:tc>
          <w:tcPr>
            <w:tcW w:w="1838" w:type="dxa"/>
          </w:tcPr>
          <w:p w14:paraId="4158BAD7" w14:textId="77777777" w:rsidR="00AE335C" w:rsidRPr="00E222C6" w:rsidRDefault="00AE335C" w:rsidP="00AE335C">
            <w:pPr>
              <w:ind w:left="0"/>
              <w:rPr>
                <w:sz w:val="20"/>
                <w:szCs w:val="20"/>
              </w:rPr>
            </w:pPr>
            <w:r w:rsidRPr="00E222C6">
              <w:rPr>
                <w:sz w:val="20"/>
                <w:szCs w:val="20"/>
              </w:rPr>
              <w:t>Switzerland</w:t>
            </w:r>
          </w:p>
        </w:tc>
        <w:tc>
          <w:tcPr>
            <w:tcW w:w="1701" w:type="dxa"/>
          </w:tcPr>
          <w:p w14:paraId="0404AF1D" w14:textId="77777777" w:rsidR="00AE335C" w:rsidRPr="00E222C6" w:rsidRDefault="00500623" w:rsidP="00500623">
            <w:pPr>
              <w:ind w:left="0"/>
              <w:rPr>
                <w:sz w:val="20"/>
                <w:szCs w:val="20"/>
              </w:rPr>
            </w:pPr>
            <w:r w:rsidRPr="00E222C6">
              <w:rPr>
                <w:sz w:val="20"/>
                <w:szCs w:val="20"/>
              </w:rPr>
              <w:t>19 August 2020</w:t>
            </w:r>
          </w:p>
        </w:tc>
        <w:tc>
          <w:tcPr>
            <w:tcW w:w="1985" w:type="dxa"/>
          </w:tcPr>
          <w:p w14:paraId="42BE9951" w14:textId="77777777" w:rsidR="00AE335C" w:rsidRPr="00E222C6" w:rsidRDefault="00500623" w:rsidP="00500623">
            <w:pPr>
              <w:ind w:left="0"/>
              <w:rPr>
                <w:sz w:val="20"/>
                <w:szCs w:val="20"/>
              </w:rPr>
            </w:pPr>
            <w:r w:rsidRPr="00E222C6">
              <w:rPr>
                <w:sz w:val="20"/>
                <w:szCs w:val="20"/>
              </w:rPr>
              <w:t>Under consideration</w:t>
            </w:r>
          </w:p>
        </w:tc>
        <w:tc>
          <w:tcPr>
            <w:tcW w:w="2970" w:type="dxa"/>
          </w:tcPr>
          <w:p w14:paraId="250C9198" w14:textId="77777777" w:rsidR="00AE335C" w:rsidRPr="00E222C6" w:rsidRDefault="00500623" w:rsidP="00500623">
            <w:pPr>
              <w:ind w:left="0"/>
              <w:rPr>
                <w:sz w:val="20"/>
                <w:szCs w:val="20"/>
              </w:rPr>
            </w:pPr>
            <w:r w:rsidRPr="00E222C6">
              <w:rPr>
                <w:sz w:val="20"/>
                <w:szCs w:val="20"/>
              </w:rPr>
              <w:t>Under consideration</w:t>
            </w:r>
          </w:p>
        </w:tc>
      </w:tr>
      <w:tr w:rsidR="00AE335C" w:rsidRPr="00E222C6" w14:paraId="2B008CF9" w14:textId="77777777" w:rsidTr="00E222C6">
        <w:tc>
          <w:tcPr>
            <w:tcW w:w="1838" w:type="dxa"/>
          </w:tcPr>
          <w:p w14:paraId="48F1DF40" w14:textId="34CFC993" w:rsidR="00AE335C" w:rsidRPr="00E222C6" w:rsidRDefault="00AB5396" w:rsidP="00AE335C">
            <w:pPr>
              <w:ind w:left="0"/>
              <w:rPr>
                <w:sz w:val="20"/>
                <w:szCs w:val="20"/>
              </w:rPr>
            </w:pPr>
            <w:r w:rsidRPr="00E222C6">
              <w:rPr>
                <w:sz w:val="20"/>
                <w:szCs w:val="20"/>
              </w:rPr>
              <w:t>United K</w:t>
            </w:r>
            <w:r w:rsidR="00AE335C" w:rsidRPr="00E222C6">
              <w:rPr>
                <w:sz w:val="20"/>
                <w:szCs w:val="20"/>
              </w:rPr>
              <w:t>ingdom</w:t>
            </w:r>
          </w:p>
        </w:tc>
        <w:tc>
          <w:tcPr>
            <w:tcW w:w="1701" w:type="dxa"/>
          </w:tcPr>
          <w:p w14:paraId="020E651C" w14:textId="77777777" w:rsidR="00AE335C" w:rsidRPr="00E222C6" w:rsidRDefault="00500623" w:rsidP="00500623">
            <w:pPr>
              <w:ind w:left="0"/>
              <w:rPr>
                <w:sz w:val="20"/>
                <w:szCs w:val="20"/>
              </w:rPr>
            </w:pPr>
            <w:r w:rsidRPr="00E222C6">
              <w:rPr>
                <w:sz w:val="20"/>
                <w:szCs w:val="20"/>
              </w:rPr>
              <w:t>21 July 2020</w:t>
            </w:r>
          </w:p>
          <w:p w14:paraId="7D4981E4" w14:textId="65D31508" w:rsidR="00500623" w:rsidRPr="00E222C6" w:rsidRDefault="00500623" w:rsidP="00500623">
            <w:pPr>
              <w:ind w:left="0"/>
              <w:rPr>
                <w:sz w:val="20"/>
                <w:szCs w:val="20"/>
              </w:rPr>
            </w:pPr>
            <w:r w:rsidRPr="00E222C6">
              <w:rPr>
                <w:sz w:val="20"/>
                <w:szCs w:val="20"/>
              </w:rPr>
              <w:t xml:space="preserve">(as part of </w:t>
            </w:r>
            <w:r w:rsidR="00F131C3" w:rsidRPr="00E222C6">
              <w:rPr>
                <w:sz w:val="20"/>
                <w:szCs w:val="20"/>
              </w:rPr>
              <w:t xml:space="preserve">the </w:t>
            </w:r>
            <w:r w:rsidRPr="00E222C6">
              <w:rPr>
                <w:sz w:val="20"/>
                <w:szCs w:val="20"/>
              </w:rPr>
              <w:t>European Union filing)</w:t>
            </w:r>
          </w:p>
        </w:tc>
        <w:tc>
          <w:tcPr>
            <w:tcW w:w="1985" w:type="dxa"/>
          </w:tcPr>
          <w:p w14:paraId="0808F3CE" w14:textId="77777777" w:rsidR="00AE335C" w:rsidRPr="00E222C6" w:rsidRDefault="00500623" w:rsidP="00500623">
            <w:pPr>
              <w:ind w:left="0"/>
              <w:rPr>
                <w:sz w:val="20"/>
                <w:szCs w:val="20"/>
              </w:rPr>
            </w:pPr>
            <w:r w:rsidRPr="00E222C6">
              <w:rPr>
                <w:sz w:val="20"/>
                <w:szCs w:val="20"/>
              </w:rPr>
              <w:t>Under consideration</w:t>
            </w:r>
          </w:p>
        </w:tc>
        <w:tc>
          <w:tcPr>
            <w:tcW w:w="2970" w:type="dxa"/>
          </w:tcPr>
          <w:p w14:paraId="5A7DE67F" w14:textId="77777777" w:rsidR="00AE335C" w:rsidRPr="00E222C6" w:rsidRDefault="00500623" w:rsidP="00500623">
            <w:pPr>
              <w:ind w:left="0"/>
              <w:rPr>
                <w:sz w:val="20"/>
                <w:szCs w:val="20"/>
              </w:rPr>
            </w:pPr>
            <w:r w:rsidRPr="00E222C6">
              <w:rPr>
                <w:sz w:val="20"/>
                <w:szCs w:val="20"/>
              </w:rPr>
              <w:t>Under consideration</w:t>
            </w:r>
          </w:p>
        </w:tc>
      </w:tr>
    </w:tbl>
    <w:p w14:paraId="4F2D0971" w14:textId="77777777" w:rsidR="008E7846" w:rsidRDefault="008E7846" w:rsidP="00940A89">
      <w:pPr>
        <w:pStyle w:val="Heading3"/>
      </w:pPr>
      <w:bookmarkStart w:id="21" w:name="_Toc82421575"/>
      <w:r>
        <w:lastRenderedPageBreak/>
        <w:t>Product Information</w:t>
      </w:r>
      <w:bookmarkEnd w:id="19"/>
      <w:bookmarkEnd w:id="20"/>
      <w:bookmarkEnd w:id="21"/>
    </w:p>
    <w:p w14:paraId="0DD01DDA" w14:textId="2E71C692"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0415F9F5" w14:textId="77777777" w:rsidR="00500337" w:rsidRDefault="00500337" w:rsidP="00500337">
      <w:pPr>
        <w:pStyle w:val="Heading2"/>
      </w:pPr>
      <w:bookmarkStart w:id="24" w:name="_Toc504480011"/>
      <w:bookmarkStart w:id="25" w:name="_Toc82421576"/>
      <w:r>
        <w:t>II. Registration timeline</w:t>
      </w:r>
      <w:bookmarkEnd w:id="24"/>
      <w:bookmarkEnd w:id="25"/>
    </w:p>
    <w:p w14:paraId="5A22E399"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w:t>
      </w:r>
      <w:proofErr w:type="spellStart"/>
      <w:r>
        <w:t>AusPAR</w:t>
      </w:r>
      <w:proofErr w:type="spellEnd"/>
      <w:r>
        <w:t>.</w:t>
      </w:r>
    </w:p>
    <w:p w14:paraId="07825C3F" w14:textId="3DB71403" w:rsidR="00500337" w:rsidRDefault="00F36448" w:rsidP="00F36448">
      <w:pPr>
        <w:pStyle w:val="TableTitle"/>
      </w:pPr>
      <w:r w:rsidRPr="00F36448">
        <w:t xml:space="preserve">Table </w:t>
      </w:r>
      <w:r w:rsidR="00C27826">
        <w:fldChar w:fldCharType="begin"/>
      </w:r>
      <w:r w:rsidR="00C27826">
        <w:instrText xml:space="preserve"> SEQ Table \* ARABIC </w:instrText>
      </w:r>
      <w:r w:rsidR="00C27826">
        <w:fldChar w:fldCharType="separate"/>
      </w:r>
      <w:r w:rsidR="00710041">
        <w:rPr>
          <w:noProof/>
        </w:rPr>
        <w:t>2</w:t>
      </w:r>
      <w:r w:rsidR="00C27826">
        <w:rPr>
          <w:noProof/>
        </w:rPr>
        <w:fldChar w:fldCharType="end"/>
      </w:r>
      <w:r w:rsidR="00006FAB">
        <w:t>:</w:t>
      </w:r>
      <w:r w:rsidR="006A58A8" w:rsidRPr="006A58A8">
        <w:t xml:space="preserve"> Timeline for Submission PM-20</w:t>
      </w:r>
      <w:r w:rsidR="00324E45">
        <w:t>2</w:t>
      </w:r>
      <w:r w:rsidR="00500623">
        <w:t>0-03580-1-3</w:t>
      </w:r>
    </w:p>
    <w:tbl>
      <w:tblPr>
        <w:tblStyle w:val="TableTGAblue"/>
        <w:tblW w:w="0" w:type="auto"/>
        <w:tblLook w:val="04A0" w:firstRow="1" w:lastRow="0" w:firstColumn="1" w:lastColumn="0" w:noHBand="0" w:noVBand="1"/>
      </w:tblPr>
      <w:tblGrid>
        <w:gridCol w:w="5807"/>
        <w:gridCol w:w="2687"/>
      </w:tblGrid>
      <w:tr w:rsidR="00500337" w14:paraId="60258469" w14:textId="77777777" w:rsidTr="00E222C6">
        <w:trPr>
          <w:cnfStyle w:val="100000000000" w:firstRow="1" w:lastRow="0" w:firstColumn="0" w:lastColumn="0" w:oddVBand="0" w:evenVBand="0" w:oddHBand="0" w:evenHBand="0" w:firstRowFirstColumn="0" w:firstRowLastColumn="0" w:lastRowFirstColumn="0" w:lastRowLastColumn="0"/>
          <w:cantSplit/>
        </w:trPr>
        <w:tc>
          <w:tcPr>
            <w:tcW w:w="5807" w:type="dxa"/>
            <w:tcBorders>
              <w:top w:val="single" w:sz="4" w:space="0" w:color="auto"/>
              <w:left w:val="single" w:sz="4" w:space="0" w:color="auto"/>
              <w:bottom w:val="single" w:sz="4" w:space="0" w:color="auto"/>
              <w:right w:val="single" w:sz="4" w:space="0" w:color="auto"/>
            </w:tcBorders>
          </w:tcPr>
          <w:p w14:paraId="2F199370" w14:textId="77777777" w:rsidR="00500337" w:rsidRDefault="00500337" w:rsidP="00500337">
            <w:pPr>
              <w:ind w:left="0" w:right="0"/>
            </w:pPr>
            <w:r>
              <w:t>Description</w:t>
            </w:r>
          </w:p>
        </w:tc>
        <w:tc>
          <w:tcPr>
            <w:tcW w:w="2687" w:type="dxa"/>
            <w:tcBorders>
              <w:top w:val="single" w:sz="4" w:space="0" w:color="auto"/>
              <w:left w:val="single" w:sz="4" w:space="0" w:color="auto"/>
              <w:bottom w:val="single" w:sz="4" w:space="0" w:color="auto"/>
              <w:right w:val="single" w:sz="4" w:space="0" w:color="auto"/>
            </w:tcBorders>
          </w:tcPr>
          <w:p w14:paraId="0339EC29" w14:textId="77777777" w:rsidR="00500337" w:rsidRDefault="00500337" w:rsidP="00500337">
            <w:pPr>
              <w:ind w:left="0" w:right="0"/>
            </w:pPr>
            <w:r>
              <w:t>Date</w:t>
            </w:r>
          </w:p>
        </w:tc>
      </w:tr>
      <w:tr w:rsidR="00500337" w14:paraId="16141691" w14:textId="77777777" w:rsidTr="00E222C6">
        <w:tc>
          <w:tcPr>
            <w:tcW w:w="5807" w:type="dxa"/>
            <w:tcBorders>
              <w:top w:val="single" w:sz="4" w:space="0" w:color="auto"/>
            </w:tcBorders>
          </w:tcPr>
          <w:p w14:paraId="2A6C7671" w14:textId="0A545926" w:rsidR="00814512" w:rsidRDefault="00814512" w:rsidP="00F33557">
            <w:pPr>
              <w:ind w:left="0" w:right="0"/>
            </w:pPr>
            <w:r>
              <w:t>Positive Designation</w:t>
            </w:r>
            <w:r w:rsidR="00F131C3">
              <w:t xml:space="preserve"> as:</w:t>
            </w:r>
          </w:p>
          <w:p w14:paraId="10FB9465" w14:textId="25FFEEBF" w:rsidR="00814512" w:rsidRDefault="00814512" w:rsidP="00F33557">
            <w:pPr>
              <w:ind w:left="0" w:right="0"/>
            </w:pPr>
            <w:r>
              <w:t>Orphan;</w:t>
            </w:r>
            <w:r w:rsidR="00877910">
              <w:rPr>
                <w:rStyle w:val="FootnoteReference"/>
              </w:rPr>
              <w:footnoteReference w:id="6"/>
            </w:r>
          </w:p>
          <w:p w14:paraId="1A558DBC" w14:textId="11BE22E8" w:rsidR="00500337" w:rsidRDefault="00814512" w:rsidP="00F33557">
            <w:pPr>
              <w:ind w:left="0" w:right="0"/>
            </w:pPr>
            <w:r>
              <w:t>Priority;</w:t>
            </w:r>
            <w:r w:rsidR="00457CE0">
              <w:rPr>
                <w:rStyle w:val="FootnoteReference"/>
              </w:rPr>
              <w:footnoteReference w:id="7"/>
            </w:r>
          </w:p>
        </w:tc>
        <w:tc>
          <w:tcPr>
            <w:tcW w:w="2687" w:type="dxa"/>
            <w:tcBorders>
              <w:top w:val="single" w:sz="4" w:space="0" w:color="auto"/>
            </w:tcBorders>
          </w:tcPr>
          <w:p w14:paraId="146302BB" w14:textId="77777777" w:rsidR="00814512" w:rsidRDefault="00814512" w:rsidP="00500337">
            <w:pPr>
              <w:ind w:left="0" w:right="0"/>
            </w:pPr>
          </w:p>
          <w:p w14:paraId="328496DE" w14:textId="77777777" w:rsidR="00500337" w:rsidRDefault="00F33557" w:rsidP="00500337">
            <w:pPr>
              <w:ind w:left="0" w:right="0"/>
            </w:pPr>
            <w:r>
              <w:t>30 June 2020</w:t>
            </w:r>
          </w:p>
          <w:p w14:paraId="5F2B2AC1" w14:textId="7725AD1D" w:rsidR="00814512" w:rsidRDefault="00814512" w:rsidP="00500337">
            <w:pPr>
              <w:ind w:left="0" w:right="0"/>
            </w:pPr>
            <w:r>
              <w:t>30 June 2020</w:t>
            </w:r>
          </w:p>
        </w:tc>
      </w:tr>
      <w:tr w:rsidR="00500337" w14:paraId="6C051AE7" w14:textId="77777777" w:rsidTr="00E222C6">
        <w:tc>
          <w:tcPr>
            <w:tcW w:w="5807" w:type="dxa"/>
          </w:tcPr>
          <w:p w14:paraId="1BB27419" w14:textId="77777777" w:rsidR="00500337" w:rsidRDefault="00500337" w:rsidP="00500337">
            <w:pPr>
              <w:ind w:left="0" w:right="0"/>
            </w:pPr>
            <w:r>
              <w:t>Submission dossier accepted and first round evaluation commenced</w:t>
            </w:r>
          </w:p>
        </w:tc>
        <w:tc>
          <w:tcPr>
            <w:tcW w:w="2687" w:type="dxa"/>
          </w:tcPr>
          <w:p w14:paraId="281C9822" w14:textId="77777777" w:rsidR="00500337" w:rsidRDefault="00F33557" w:rsidP="00500337">
            <w:pPr>
              <w:ind w:left="0" w:right="0"/>
            </w:pPr>
            <w:r>
              <w:t>31 August 2020</w:t>
            </w:r>
          </w:p>
        </w:tc>
      </w:tr>
      <w:tr w:rsidR="00500337" w14:paraId="6CD62CEF" w14:textId="77777777" w:rsidTr="00E222C6">
        <w:tc>
          <w:tcPr>
            <w:tcW w:w="5807" w:type="dxa"/>
          </w:tcPr>
          <w:p w14:paraId="1AE605DC" w14:textId="77777777" w:rsidR="00500337" w:rsidRDefault="00500337" w:rsidP="00500337">
            <w:pPr>
              <w:ind w:left="0" w:right="0"/>
            </w:pPr>
            <w:r>
              <w:t>Evaluation completed</w:t>
            </w:r>
          </w:p>
        </w:tc>
        <w:tc>
          <w:tcPr>
            <w:tcW w:w="2687" w:type="dxa"/>
          </w:tcPr>
          <w:p w14:paraId="057B78CE" w14:textId="77777777" w:rsidR="00500337" w:rsidRDefault="00F33557" w:rsidP="00500337">
            <w:pPr>
              <w:ind w:left="0" w:right="0"/>
            </w:pPr>
            <w:r>
              <w:t>23 February 2021</w:t>
            </w:r>
          </w:p>
        </w:tc>
      </w:tr>
      <w:tr w:rsidR="00500337" w14:paraId="5ACC6634" w14:textId="77777777" w:rsidTr="00E222C6">
        <w:tc>
          <w:tcPr>
            <w:tcW w:w="5807" w:type="dxa"/>
          </w:tcPr>
          <w:p w14:paraId="6F86AC35" w14:textId="77777777" w:rsidR="00500337" w:rsidRDefault="00324E45" w:rsidP="00F33557">
            <w:pPr>
              <w:ind w:left="0" w:right="0"/>
            </w:pPr>
            <w:r>
              <w:t xml:space="preserve">Delegate’s Overall benefit-risk assessment </w:t>
            </w:r>
            <w:r w:rsidRPr="00500623">
              <w:rPr>
                <w:color w:val="auto"/>
              </w:rPr>
              <w:t>and request</w:t>
            </w:r>
            <w:r w:rsidR="00F33557" w:rsidRPr="00500623">
              <w:rPr>
                <w:color w:val="auto"/>
              </w:rPr>
              <w:t xml:space="preserve"> for Advisory Committee advice</w:t>
            </w:r>
          </w:p>
        </w:tc>
        <w:tc>
          <w:tcPr>
            <w:tcW w:w="2687" w:type="dxa"/>
          </w:tcPr>
          <w:p w14:paraId="1C894FF0" w14:textId="77777777" w:rsidR="00500337" w:rsidRDefault="00A82F51" w:rsidP="00500337">
            <w:pPr>
              <w:ind w:left="0" w:right="0"/>
            </w:pPr>
            <w:r>
              <w:t>3 March 2021</w:t>
            </w:r>
          </w:p>
        </w:tc>
      </w:tr>
      <w:tr w:rsidR="00500337" w14:paraId="6871971C" w14:textId="77777777" w:rsidTr="00E222C6">
        <w:tc>
          <w:tcPr>
            <w:tcW w:w="5807" w:type="dxa"/>
          </w:tcPr>
          <w:p w14:paraId="6E79C5AF" w14:textId="77777777" w:rsidR="00500337" w:rsidRDefault="00500337" w:rsidP="00500337">
            <w:pPr>
              <w:ind w:left="0" w:right="0"/>
            </w:pPr>
            <w:r>
              <w:t>Sponsor’s pre-Advisory Committee response</w:t>
            </w:r>
          </w:p>
        </w:tc>
        <w:tc>
          <w:tcPr>
            <w:tcW w:w="2687" w:type="dxa"/>
          </w:tcPr>
          <w:p w14:paraId="50A1C0E3" w14:textId="77777777" w:rsidR="00500337" w:rsidRDefault="00A82F51" w:rsidP="00500337">
            <w:pPr>
              <w:ind w:left="0" w:right="0"/>
            </w:pPr>
            <w:r>
              <w:t>17 March 2021</w:t>
            </w:r>
          </w:p>
        </w:tc>
      </w:tr>
      <w:tr w:rsidR="00500337" w14:paraId="09BE2FA9" w14:textId="77777777" w:rsidTr="00E222C6">
        <w:tc>
          <w:tcPr>
            <w:tcW w:w="5807" w:type="dxa"/>
          </w:tcPr>
          <w:p w14:paraId="68BEF46C" w14:textId="77777777" w:rsidR="00500337" w:rsidRDefault="00500337" w:rsidP="00500337">
            <w:pPr>
              <w:ind w:left="0" w:right="0"/>
            </w:pPr>
            <w:r>
              <w:t>Advisory Committee meeting</w:t>
            </w:r>
          </w:p>
        </w:tc>
        <w:tc>
          <w:tcPr>
            <w:tcW w:w="2687" w:type="dxa"/>
          </w:tcPr>
          <w:p w14:paraId="00B3B89E" w14:textId="77777777" w:rsidR="00500337" w:rsidRDefault="00A82F51" w:rsidP="00500337">
            <w:pPr>
              <w:ind w:left="0" w:right="0"/>
            </w:pPr>
            <w:r>
              <w:t>8 and 9 April 2021</w:t>
            </w:r>
          </w:p>
        </w:tc>
      </w:tr>
      <w:tr w:rsidR="00500337" w14:paraId="70020B25" w14:textId="77777777" w:rsidTr="00E222C6">
        <w:tc>
          <w:tcPr>
            <w:tcW w:w="5807" w:type="dxa"/>
          </w:tcPr>
          <w:p w14:paraId="60372AF4" w14:textId="77777777" w:rsidR="00500337" w:rsidRDefault="00500337" w:rsidP="00500337">
            <w:pPr>
              <w:ind w:left="0" w:right="0"/>
            </w:pPr>
            <w:r>
              <w:t>Registration decision (Outcome)</w:t>
            </w:r>
          </w:p>
        </w:tc>
        <w:tc>
          <w:tcPr>
            <w:tcW w:w="2687" w:type="dxa"/>
          </w:tcPr>
          <w:p w14:paraId="3F77BFB3" w14:textId="77777777" w:rsidR="00500337" w:rsidRDefault="00A82F51" w:rsidP="00500337">
            <w:pPr>
              <w:ind w:left="0" w:right="0"/>
            </w:pPr>
            <w:r>
              <w:t>2 June 2021</w:t>
            </w:r>
          </w:p>
        </w:tc>
      </w:tr>
      <w:tr w:rsidR="00500337" w14:paraId="4ED21E08" w14:textId="77777777" w:rsidTr="00E222C6">
        <w:tc>
          <w:tcPr>
            <w:tcW w:w="5807" w:type="dxa"/>
          </w:tcPr>
          <w:p w14:paraId="19727178" w14:textId="77777777" w:rsidR="00500337" w:rsidRDefault="00500337" w:rsidP="00500337">
            <w:pPr>
              <w:ind w:left="0" w:right="0"/>
            </w:pPr>
            <w:r>
              <w:t xml:space="preserve">Completion of administrative activities and registration on </w:t>
            </w:r>
            <w:r w:rsidR="00006FAB">
              <w:t xml:space="preserve">the </w:t>
            </w:r>
            <w:r>
              <w:t>ARTG</w:t>
            </w:r>
          </w:p>
        </w:tc>
        <w:tc>
          <w:tcPr>
            <w:tcW w:w="2687" w:type="dxa"/>
          </w:tcPr>
          <w:p w14:paraId="5677D924" w14:textId="77777777" w:rsidR="00500337" w:rsidRDefault="00A82F51" w:rsidP="00500337">
            <w:pPr>
              <w:ind w:left="0" w:right="0"/>
            </w:pPr>
            <w:r>
              <w:t>2 June 2021</w:t>
            </w:r>
          </w:p>
        </w:tc>
      </w:tr>
      <w:tr w:rsidR="00500337" w14:paraId="2BC68291" w14:textId="77777777" w:rsidTr="00E222C6">
        <w:tc>
          <w:tcPr>
            <w:tcW w:w="5807" w:type="dxa"/>
          </w:tcPr>
          <w:p w14:paraId="6DD6FE95" w14:textId="77777777" w:rsidR="00500337" w:rsidRDefault="00500337" w:rsidP="00500337">
            <w:pPr>
              <w:ind w:left="0" w:right="0"/>
            </w:pPr>
            <w:r>
              <w:t>Number of working days from submission dossier acceptance to registration decision*</w:t>
            </w:r>
          </w:p>
        </w:tc>
        <w:tc>
          <w:tcPr>
            <w:tcW w:w="2687" w:type="dxa"/>
          </w:tcPr>
          <w:p w14:paraId="6BF1869F" w14:textId="77777777" w:rsidR="00500337" w:rsidRDefault="00A82F51" w:rsidP="00500337">
            <w:pPr>
              <w:ind w:left="0" w:right="0"/>
            </w:pPr>
            <w:r>
              <w:t>145</w:t>
            </w:r>
          </w:p>
        </w:tc>
      </w:tr>
    </w:tbl>
    <w:p w14:paraId="798BB170" w14:textId="77777777" w:rsidR="00500337" w:rsidRDefault="00500337" w:rsidP="00500337">
      <w:pPr>
        <w:pStyle w:val="TableDescription"/>
      </w:pPr>
      <w:r>
        <w:t>*Target timeframe for priority applications is 150 working days from acceptance for evaluation to the decision.</w:t>
      </w:r>
    </w:p>
    <w:p w14:paraId="7F2321CD"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82421577"/>
      <w:bookmarkEnd w:id="22"/>
      <w:bookmarkEnd w:id="23"/>
      <w:bookmarkEnd w:id="1"/>
      <w:r>
        <w:lastRenderedPageBreak/>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01D4A917" w14:textId="77777777" w:rsidR="00006FAB" w:rsidRDefault="00006FAB" w:rsidP="00006FAB">
      <w:bookmarkStart w:id="31" w:name="_Toc247691528"/>
      <w:r>
        <w:t>The submission was summarised in the following Delegate’s overview and recommendations.</w:t>
      </w:r>
    </w:p>
    <w:p w14:paraId="56679552" w14:textId="77777777" w:rsidR="008E7846" w:rsidRDefault="008E7846" w:rsidP="008E7846">
      <w:pPr>
        <w:pStyle w:val="Heading3"/>
      </w:pPr>
      <w:bookmarkStart w:id="32" w:name="_Toc314842511"/>
      <w:bookmarkStart w:id="33" w:name="_Toc82421578"/>
      <w:r>
        <w:t>Quality</w:t>
      </w:r>
      <w:bookmarkEnd w:id="31"/>
      <w:bookmarkEnd w:id="32"/>
      <w:bookmarkEnd w:id="33"/>
    </w:p>
    <w:p w14:paraId="5ED84CF2" w14:textId="77777777" w:rsidR="00500623" w:rsidRDefault="00500623" w:rsidP="00500623">
      <w:bookmarkStart w:id="34" w:name="_Toc314842512"/>
      <w:r>
        <w:t>The quality</w:t>
      </w:r>
      <w:r w:rsidRPr="00500623">
        <w:t xml:space="preserve"> evaluator recommended approval of the proposed product from a pharmaceutical chemistry perspective. T</w:t>
      </w:r>
      <w:r>
        <w:t>here were no outstanding issues.</w:t>
      </w:r>
    </w:p>
    <w:p w14:paraId="2B0CCECF" w14:textId="643D113E" w:rsidR="009B59BB" w:rsidRDefault="009B59BB" w:rsidP="00500623">
      <w:r>
        <w:t xml:space="preserve">The proposed formulation is a powder for oral solution. </w:t>
      </w:r>
      <w:proofErr w:type="spellStart"/>
      <w:r>
        <w:t>Evrysdi</w:t>
      </w:r>
      <w:proofErr w:type="spellEnd"/>
      <w:r>
        <w:t xml:space="preserve"> is supplied in </w:t>
      </w:r>
      <w:r w:rsidR="003F7FE7">
        <w:t xml:space="preserve">a </w:t>
      </w:r>
      <w:r w:rsidR="008B6FD4">
        <w:t xml:space="preserve">glass bottle filled with 2 </w:t>
      </w:r>
      <w:r>
        <w:t xml:space="preserve">g of powder containing 60 mg of </w:t>
      </w:r>
      <w:proofErr w:type="spellStart"/>
      <w:r>
        <w:t>risdiplam</w:t>
      </w:r>
      <w:proofErr w:type="spellEnd"/>
      <w:r>
        <w:t xml:space="preserve">, in a carton. The powder is reconstituted with 79 mL of purified water or sterile water for injections (not supplied) to form an oral solution containing </w:t>
      </w:r>
      <w:proofErr w:type="spellStart"/>
      <w:r>
        <w:t>risdiplam</w:t>
      </w:r>
      <w:proofErr w:type="spellEnd"/>
      <w:r>
        <w:t xml:space="preserve"> 0.75 mg/</w:t>
      </w:r>
      <w:proofErr w:type="spellStart"/>
      <w:r>
        <w:t>mL.</w:t>
      </w:r>
      <w:proofErr w:type="spellEnd"/>
      <w:r>
        <w:t xml:space="preserve"> Reconstitution of the powder is to be performed by a healthcare professional. </w:t>
      </w:r>
      <w:r>
        <w:rPr>
          <w:lang w:eastAsia="ja-JP"/>
        </w:rPr>
        <w:t>The chemical str</w:t>
      </w:r>
      <w:r w:rsidR="00656A1E">
        <w:rPr>
          <w:lang w:eastAsia="ja-JP"/>
        </w:rPr>
        <w:t xml:space="preserve">ucture of </w:t>
      </w:r>
      <w:proofErr w:type="spellStart"/>
      <w:r w:rsidR="00656A1E">
        <w:rPr>
          <w:lang w:eastAsia="ja-JP"/>
        </w:rPr>
        <w:t>risdiplam</w:t>
      </w:r>
      <w:proofErr w:type="spellEnd"/>
      <w:r w:rsidR="00656A1E">
        <w:rPr>
          <w:lang w:eastAsia="ja-JP"/>
        </w:rPr>
        <w:t xml:space="preserve"> is shown in </w:t>
      </w:r>
      <w:r w:rsidR="00656A1E">
        <w:rPr>
          <w:lang w:eastAsia="ja-JP"/>
        </w:rPr>
        <w:fldChar w:fldCharType="begin"/>
      </w:r>
      <w:r w:rsidR="00656A1E">
        <w:rPr>
          <w:lang w:eastAsia="ja-JP"/>
        </w:rPr>
        <w:instrText xml:space="preserve"> REF _Ref76366261 \h </w:instrText>
      </w:r>
      <w:r w:rsidR="00656A1E">
        <w:rPr>
          <w:lang w:eastAsia="ja-JP"/>
        </w:rPr>
      </w:r>
      <w:r w:rsidR="00656A1E">
        <w:rPr>
          <w:lang w:eastAsia="ja-JP"/>
        </w:rPr>
        <w:fldChar w:fldCharType="separate"/>
      </w:r>
      <w:r w:rsidR="00710041" w:rsidRPr="009B59BB">
        <w:t xml:space="preserve">Figure </w:t>
      </w:r>
      <w:r w:rsidR="00710041">
        <w:rPr>
          <w:noProof/>
        </w:rPr>
        <w:t>1</w:t>
      </w:r>
      <w:r w:rsidR="00656A1E">
        <w:rPr>
          <w:lang w:eastAsia="ja-JP"/>
        </w:rPr>
        <w:fldChar w:fldCharType="end"/>
      </w:r>
      <w:r w:rsidR="00656A1E">
        <w:rPr>
          <w:lang w:eastAsia="ja-JP"/>
        </w:rPr>
        <w:t>.</w:t>
      </w:r>
    </w:p>
    <w:p w14:paraId="2566AE72" w14:textId="591F3F8C" w:rsidR="009B59BB" w:rsidRDefault="009B59BB" w:rsidP="009B59BB">
      <w:pPr>
        <w:pStyle w:val="FigureTitle"/>
        <w:rPr>
          <w:lang w:eastAsia="ja-JP"/>
        </w:rPr>
      </w:pPr>
      <w:bookmarkStart w:id="35" w:name="_Ref76366261"/>
      <w:r w:rsidRPr="009B59BB">
        <w:t xml:space="preserve">Figure </w:t>
      </w:r>
      <w:r w:rsidR="00C27826">
        <w:fldChar w:fldCharType="begin"/>
      </w:r>
      <w:r w:rsidR="00C27826">
        <w:instrText xml:space="preserve"> SEQ Figure \* ARABIC </w:instrText>
      </w:r>
      <w:r w:rsidR="00C27826">
        <w:fldChar w:fldCharType="separate"/>
      </w:r>
      <w:r w:rsidR="00710041">
        <w:rPr>
          <w:noProof/>
        </w:rPr>
        <w:t>1</w:t>
      </w:r>
      <w:r w:rsidR="00C27826">
        <w:rPr>
          <w:noProof/>
        </w:rPr>
        <w:fldChar w:fldCharType="end"/>
      </w:r>
      <w:bookmarkEnd w:id="35"/>
      <w:r>
        <w:t xml:space="preserve">: Chemical structure of </w:t>
      </w:r>
      <w:proofErr w:type="spellStart"/>
      <w:r>
        <w:t>risdiplam</w:t>
      </w:r>
      <w:proofErr w:type="spellEnd"/>
    </w:p>
    <w:p w14:paraId="6F3F1DAF" w14:textId="77777777" w:rsidR="009B59BB" w:rsidRPr="009B59BB" w:rsidRDefault="009B59BB" w:rsidP="00500623">
      <w:r w:rsidRPr="005417CB">
        <w:rPr>
          <w:noProof/>
          <w:lang w:val="en-GB" w:eastAsia="en-GB"/>
        </w:rPr>
        <w:drawing>
          <wp:inline distT="0" distB="0" distL="0" distR="0" wp14:anchorId="61A51CED" wp14:editId="1F0C5074">
            <wp:extent cx="2555792" cy="1381125"/>
            <wp:effectExtent l="0" t="0" r="0" b="0"/>
            <wp:docPr id="63" name="Picture 63" descr="Figure 1: Chemical structure of risdip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Figure 1: Chemical structure of risdiplam"/>
                    <pic:cNvPicPr/>
                  </pic:nvPicPr>
                  <pic:blipFill>
                    <a:blip r:embed="rId17"/>
                    <a:stretch>
                      <a:fillRect/>
                    </a:stretch>
                  </pic:blipFill>
                  <pic:spPr>
                    <a:xfrm>
                      <a:off x="0" y="0"/>
                      <a:ext cx="2601164" cy="1405643"/>
                    </a:xfrm>
                    <a:prstGeom prst="rect">
                      <a:avLst/>
                    </a:prstGeom>
                  </pic:spPr>
                </pic:pic>
              </a:graphicData>
            </a:graphic>
          </wp:inline>
        </w:drawing>
      </w:r>
    </w:p>
    <w:p w14:paraId="6362AD58" w14:textId="77777777" w:rsidR="008E7846" w:rsidRDefault="008E7846" w:rsidP="008E7846">
      <w:pPr>
        <w:pStyle w:val="Heading3"/>
      </w:pPr>
      <w:bookmarkStart w:id="36" w:name="_Toc82421579"/>
      <w:r>
        <w:t>Nonclinical</w:t>
      </w:r>
      <w:bookmarkEnd w:id="34"/>
      <w:bookmarkEnd w:id="36"/>
    </w:p>
    <w:p w14:paraId="5BA10307" w14:textId="71A18C3F" w:rsidR="009B59BB" w:rsidRDefault="009B59BB" w:rsidP="009B59BB">
      <w:r>
        <w:t xml:space="preserve">The nonclinical evaluator did not support the approval of </w:t>
      </w:r>
      <w:proofErr w:type="spellStart"/>
      <w:r>
        <w:t>risdiplam</w:t>
      </w:r>
      <w:proofErr w:type="spellEnd"/>
      <w:r>
        <w:t xml:space="preserve"> on nonclinical grounds. The nonclinical data identified </w:t>
      </w:r>
      <w:proofErr w:type="gramStart"/>
      <w:r>
        <w:t>a number of</w:t>
      </w:r>
      <w:proofErr w:type="gramEnd"/>
      <w:r>
        <w:t xml:space="preserve"> serious toxicities with little or no safety margins at the maximum recommended human dose (MRHD) based on relative exposure. The most serious of these was retinal toxicity, which has a delayed onset and displays irreversibility. There was a narrow margin between exposures that were well tolerated and those associated with severe toxicities, including mortality, in nonclinical studies. Many of the toxicities were related to secondary pharmacological effects, which were associat</w:t>
      </w:r>
      <w:r w:rsidR="008B6FD4">
        <w:t>ed with low relative exposures.</w:t>
      </w:r>
    </w:p>
    <w:p w14:paraId="4AFDF943" w14:textId="77777777" w:rsidR="009B59BB" w:rsidRDefault="009B59BB" w:rsidP="009B59BB">
      <w:r>
        <w:t xml:space="preserve">The primary pharmacology data supported the proposed use, with </w:t>
      </w:r>
      <w:r w:rsidRPr="009B59BB">
        <w:rPr>
          <w:i/>
        </w:rPr>
        <w:t>in vitro</w:t>
      </w:r>
      <w:r>
        <w:t xml:space="preserve"> and </w:t>
      </w:r>
      <w:r w:rsidRPr="009B59BB">
        <w:rPr>
          <w:i/>
        </w:rPr>
        <w:t>in vivo</w:t>
      </w:r>
      <w:r>
        <w:t xml:space="preserve"> studies demonstrating that </w:t>
      </w:r>
      <w:proofErr w:type="spellStart"/>
      <w:r>
        <w:t>risdiplam</w:t>
      </w:r>
      <w:proofErr w:type="spellEnd"/>
      <w:r>
        <w:t xml:space="preserve"> can increase levels of full length </w:t>
      </w:r>
      <w:r w:rsidRPr="009B59BB">
        <w:rPr>
          <w:i/>
        </w:rPr>
        <w:t>SMN2</w:t>
      </w:r>
      <w:r>
        <w:t xml:space="preserve"> transcripts translating to an increase in SMN protein (≤ 3</w:t>
      </w:r>
      <w:r w:rsidR="0029294B">
        <w:t xml:space="preserve"> times</w:t>
      </w:r>
      <w:r>
        <w:t xml:space="preserve">). </w:t>
      </w:r>
      <w:proofErr w:type="spellStart"/>
      <w:r>
        <w:t>Risdiplam</w:t>
      </w:r>
      <w:proofErr w:type="spellEnd"/>
      <w:r>
        <w:t xml:space="preserve"> improved survival, weight gain and neuromuscular connectivity in a mouse model of severe SMA.</w:t>
      </w:r>
    </w:p>
    <w:p w14:paraId="0C505164" w14:textId="1955C60C" w:rsidR="009B59BB" w:rsidRDefault="009B59BB" w:rsidP="009B59BB">
      <w:r>
        <w:t xml:space="preserve">Secondary pharmacology data indicated a lack of specificity of </w:t>
      </w:r>
      <w:proofErr w:type="spellStart"/>
      <w:r>
        <w:t>risdiplam</w:t>
      </w:r>
      <w:proofErr w:type="spellEnd"/>
      <w:r>
        <w:t xml:space="preserve"> for the </w:t>
      </w:r>
      <w:r w:rsidRPr="009B59BB">
        <w:rPr>
          <w:i/>
        </w:rPr>
        <w:t>SMN2</w:t>
      </w:r>
      <w:r>
        <w:t xml:space="preserve"> gene at clinically relevant concentrations. Toxicities associated with these </w:t>
      </w:r>
      <w:proofErr w:type="gramStart"/>
      <w:r>
        <w:t>off target</w:t>
      </w:r>
      <w:proofErr w:type="gramEnd"/>
      <w:r>
        <w:t xml:space="preserve"> effects were seen in repeat dose toxicity studies conducted in adult and juvenile rats and monkeys. Given that </w:t>
      </w:r>
      <w:proofErr w:type="spellStart"/>
      <w:r>
        <w:t>risdiplam</w:t>
      </w:r>
      <w:proofErr w:type="spellEnd"/>
      <w:r>
        <w:t xml:space="preserve"> is not pharmacologically-active in any animal species (due to absence of the </w:t>
      </w:r>
      <w:r w:rsidRPr="009B59BB">
        <w:rPr>
          <w:i/>
        </w:rPr>
        <w:t>SMN2</w:t>
      </w:r>
      <w:r>
        <w:t xml:space="preserve"> gene), the chosen species were appropriate for screening splice modification of off target pre-mRNA of other genes, albeit with the possibility for potential species differences in pre-mRNA consensus positions and SR proteins.</w:t>
      </w:r>
      <w:r w:rsidR="005F06C4">
        <w:rPr>
          <w:rStyle w:val="FootnoteReference"/>
        </w:rPr>
        <w:footnoteReference w:id="8"/>
      </w:r>
      <w:r>
        <w:t xml:space="preserve"> Secondary pharmacological effects were observed in rats and monkeys at low relative exposures, and </w:t>
      </w:r>
      <w:r>
        <w:lastRenderedPageBreak/>
        <w:t xml:space="preserve">are a plausible explanation for some of the observed toxicities in skin, gastrointestinal tissues, male reproductive tissues, bone marrow and possibly retina. It is reasonable to expect that all these effects may occur in patients given their occurrence at relatively low exposure multiples in animals. Six additional genes were identified as having their splicing altered by </w:t>
      </w:r>
      <w:proofErr w:type="spellStart"/>
      <w:r>
        <w:t>risdiplam</w:t>
      </w:r>
      <w:proofErr w:type="spellEnd"/>
      <w:r>
        <w:t>, including those involved in cell cycle regulation:</w:t>
      </w:r>
    </w:p>
    <w:p w14:paraId="004F18D6" w14:textId="069E4AC5" w:rsidR="009B59BB" w:rsidRDefault="00642540" w:rsidP="009B59BB">
      <w:pPr>
        <w:pStyle w:val="ListBullet"/>
      </w:pPr>
      <w:proofErr w:type="spellStart"/>
      <w:r>
        <w:t>f</w:t>
      </w:r>
      <w:r w:rsidR="008B6FD4">
        <w:t>orkhead</w:t>
      </w:r>
      <w:proofErr w:type="spellEnd"/>
      <w:r w:rsidR="008B6FD4">
        <w:t xml:space="preserve"> box protein M1</w:t>
      </w:r>
      <w:r>
        <w:t xml:space="preserve"> (encoded by the </w:t>
      </w:r>
      <w:r w:rsidRPr="00455260">
        <w:rPr>
          <w:i/>
        </w:rPr>
        <w:t>FOXM1</w:t>
      </w:r>
      <w:r>
        <w:t xml:space="preserve"> gene)</w:t>
      </w:r>
      <w:r w:rsidR="009B59BB">
        <w:t>, a transcription factor involved in cell cycle regulation and other cellular functions, with the enrichment of the inactive transcript observed (leading to mitotic arrest).</w:t>
      </w:r>
    </w:p>
    <w:p w14:paraId="7578835C" w14:textId="566DB00C" w:rsidR="009B59BB" w:rsidRDefault="00642540" w:rsidP="009B59BB">
      <w:pPr>
        <w:pStyle w:val="ListBullet"/>
      </w:pPr>
      <w:r>
        <w:t>mitogen activating protein kinase (</w:t>
      </w:r>
      <w:r w:rsidR="009B59BB" w:rsidRPr="00455260">
        <w:rPr>
          <w:i/>
        </w:rPr>
        <w:t>MAP</w:t>
      </w:r>
      <w:r w:rsidRPr="00455260">
        <w:rPr>
          <w:i/>
        </w:rPr>
        <w:t>K</w:t>
      </w:r>
      <w:r>
        <w:t>)</w:t>
      </w:r>
      <w:r w:rsidR="009B59BB">
        <w:t xml:space="preserve"> </w:t>
      </w:r>
      <w:r w:rsidR="008B6FD4">
        <w:t>activating death domain</w:t>
      </w:r>
      <w:r w:rsidR="009B59BB">
        <w:t>, an apoptosis regulator which is involved in spermatogenesis. The nonclinical data indicates enrichment of potential two transcript variants, one of which is pro</w:t>
      </w:r>
      <w:r>
        <w:noBreakHyphen/>
      </w:r>
      <w:r w:rsidR="009B59BB">
        <w:t>apoptotic, and the other with unknown function.</w:t>
      </w:r>
    </w:p>
    <w:p w14:paraId="2B54546A" w14:textId="0A66352F" w:rsidR="009B59BB" w:rsidRDefault="00642540" w:rsidP="00642540">
      <w:pPr>
        <w:pStyle w:val="ListBullet"/>
      </w:pPr>
      <w:proofErr w:type="spellStart"/>
      <w:r>
        <w:t>striatin</w:t>
      </w:r>
      <w:proofErr w:type="spellEnd"/>
      <w:r>
        <w:t xml:space="preserve"> </w:t>
      </w:r>
      <w:r w:rsidR="008B6FD4">
        <w:t>3</w:t>
      </w:r>
      <w:r>
        <w:t xml:space="preserve"> (</w:t>
      </w:r>
      <w:r w:rsidRPr="00455260">
        <w:rPr>
          <w:i/>
        </w:rPr>
        <w:t>STRN3</w:t>
      </w:r>
      <w:r>
        <w:t>)</w:t>
      </w:r>
      <w:r w:rsidR="009B59BB">
        <w:t>, which is a multi-function gene with roles in non-genomic oestrogen signalling, cell cycle progression and signal transduction. The functional consequence of the enriched transcript variant is not known.</w:t>
      </w:r>
    </w:p>
    <w:p w14:paraId="5D372F43" w14:textId="0E1302DA" w:rsidR="009B59BB" w:rsidRDefault="00642540" w:rsidP="009B59BB">
      <w:pPr>
        <w:pStyle w:val="ListBullet"/>
      </w:pPr>
      <w:r>
        <w:t xml:space="preserve">amyloid </w:t>
      </w:r>
      <w:r w:rsidR="008B6FD4">
        <w:t xml:space="preserve">β </w:t>
      </w:r>
      <w:r w:rsidR="009B59BB">
        <w:t>precursor-like protei</w:t>
      </w:r>
      <w:r w:rsidR="008B6FD4">
        <w:t>n 2</w:t>
      </w:r>
      <w:r w:rsidR="009B59BB">
        <w:t>, a transmembrane glycoprotein</w:t>
      </w:r>
      <w:r>
        <w:t xml:space="preserve"> encoded for by the amyloid precursor protein (</w:t>
      </w:r>
      <w:r w:rsidRPr="00455260">
        <w:rPr>
          <w:i/>
        </w:rPr>
        <w:t>APP</w:t>
      </w:r>
      <w:r>
        <w:t>) gene</w:t>
      </w:r>
      <w:r w:rsidR="009B59BB">
        <w:t xml:space="preserve">. The alternative splicing affected an exon expressing a domain which inhibits the coagulation factor </w:t>
      </w:r>
      <w:proofErr w:type="gramStart"/>
      <w:r w:rsidR="009B59BB">
        <w:t>XV1a, and</w:t>
      </w:r>
      <w:proofErr w:type="gramEnd"/>
      <w:r w:rsidR="009B59BB">
        <w:t xml:space="preserve"> plays a role in regulating cerebral thrombosis.</w:t>
      </w:r>
    </w:p>
    <w:p w14:paraId="291D057E" w14:textId="15427910" w:rsidR="009B59BB" w:rsidRDefault="009B59BB" w:rsidP="00642540">
      <w:pPr>
        <w:pStyle w:val="ListBullet"/>
      </w:pPr>
      <w:r>
        <w:t>Solute carrie</w:t>
      </w:r>
      <w:r w:rsidR="008B6FD4">
        <w:t>r family 25 member 17</w:t>
      </w:r>
      <w:r>
        <w:t xml:space="preserve">, </w:t>
      </w:r>
      <w:r w:rsidR="00642540">
        <w:t xml:space="preserve">encoded for by the </w:t>
      </w:r>
      <w:r w:rsidR="00642540" w:rsidRPr="00455260">
        <w:rPr>
          <w:i/>
        </w:rPr>
        <w:t>SLC25A17</w:t>
      </w:r>
      <w:r w:rsidR="00642540" w:rsidRPr="00642540">
        <w:t xml:space="preserve"> </w:t>
      </w:r>
      <w:r w:rsidR="00642540">
        <w:t xml:space="preserve">gene, </w:t>
      </w:r>
      <w:r>
        <w:t>a peroxisomal transporter. The functional effects of splice variants are unknown.</w:t>
      </w:r>
    </w:p>
    <w:p w14:paraId="596878AE" w14:textId="09AE322D" w:rsidR="009B59BB" w:rsidRDefault="009B59BB" w:rsidP="00642540">
      <w:pPr>
        <w:pStyle w:val="ListBullet"/>
      </w:pPr>
      <w:r>
        <w:t>Gamma</w:t>
      </w:r>
      <w:r w:rsidR="008B6FD4">
        <w:t>-</w:t>
      </w:r>
      <w:proofErr w:type="spellStart"/>
      <w:r w:rsidR="008B6FD4">
        <w:t>glutamylcyclotransferase</w:t>
      </w:r>
      <w:proofErr w:type="spellEnd"/>
      <w:r>
        <w:t>,</w:t>
      </w:r>
      <w:r w:rsidR="00642540">
        <w:t xml:space="preserve"> encoded by the </w:t>
      </w:r>
      <w:r w:rsidR="00642540" w:rsidRPr="00455260">
        <w:rPr>
          <w:i/>
        </w:rPr>
        <w:t>GGCT</w:t>
      </w:r>
      <w:r>
        <w:t xml:space="preserve"> </w:t>
      </w:r>
      <w:r w:rsidR="00642540">
        <w:t xml:space="preserve">gene, </w:t>
      </w:r>
      <w:r>
        <w:t xml:space="preserve">involved in glutathione homeostasis and intrinsic apoptosis. The functional effects </w:t>
      </w:r>
      <w:r w:rsidR="0029294B">
        <w:t>of splice variants are unknown.</w:t>
      </w:r>
    </w:p>
    <w:p w14:paraId="17EA971C" w14:textId="77777777" w:rsidR="009B59BB" w:rsidRDefault="009B59BB" w:rsidP="009B59BB">
      <w:r>
        <w:t xml:space="preserve">The nonclinical evaluator considered the identified secondary pharmacology effects were probably monitorable to varying extents. However, the splicing changes reported </w:t>
      </w:r>
      <w:r w:rsidRPr="0029294B">
        <w:rPr>
          <w:i/>
        </w:rPr>
        <w:t>in vitro</w:t>
      </w:r>
      <w:r>
        <w:t xml:space="preserve"> and </w:t>
      </w:r>
      <w:r w:rsidRPr="0029294B">
        <w:rPr>
          <w:i/>
        </w:rPr>
        <w:t>in vivo</w:t>
      </w:r>
      <w:r>
        <w:t xml:space="preserve"> also include increased expression of splice variants with unknown functional effects. The following key target organs for toxicity were identified and are considered to be of likely relevance to patients: retina (reactive gliosis leading to retinopathy which was not clearly reversible), gastrointestinal tract (single cell necrosis and/or apoptosis, crypt micro-abscess), skin/eyelid (hyperplasia, parakeratosis, apoptosis, erosion/ulcer), testis/ epididymis (atrophy, degeneration and/or vacuolation), and haematopoietic system/ bone marrow (micronuclei induction, atrophy of marrow and/or lymphoid tissues, reduced erythrocyte and/or lymphocyte parameters). In skin, hyperplasia was also observed suggesting a regenerative response. The consequences of prolonged cell cycle perturbations, including in tissues such as bone marrow, have not been fully inve</w:t>
      </w:r>
      <w:r w:rsidR="0029294B">
        <w:t>stigated in animal studies (that is</w:t>
      </w:r>
      <w:r>
        <w:t xml:space="preserve"> in lifetime studies).</w:t>
      </w:r>
    </w:p>
    <w:p w14:paraId="1DB3D63B" w14:textId="760E977D" w:rsidR="009B59BB" w:rsidRDefault="009B59BB" w:rsidP="009B59BB">
      <w:proofErr w:type="spellStart"/>
      <w:r>
        <w:t>Risdiplam</w:t>
      </w:r>
      <w:proofErr w:type="spellEnd"/>
      <w:r>
        <w:t xml:space="preserve"> binds strongly to melanin and leads to marked accumulation and retention in pigm</w:t>
      </w:r>
      <w:r w:rsidR="008B6FD4">
        <w:t>ented tissues, including the r</w:t>
      </w:r>
      <w:r w:rsidR="008B6FD4" w:rsidRPr="008B6FD4">
        <w:t>etinal pigment epithelium</w:t>
      </w:r>
      <w:r w:rsidR="008B6FD4">
        <w:t xml:space="preserve"> (RPE)</w:t>
      </w:r>
      <w:r>
        <w:t>, choroid and retinal tissue in the eye. Retina</w:t>
      </w:r>
      <w:r w:rsidR="0029294B">
        <w:t>l toxicity occurred at only 3.3 times</w:t>
      </w:r>
      <w:r>
        <w:t xml:space="preserve"> the anticipated clinical exposure with a delayed onset. Similar toxicity was observed for the related molecule RO6885247 at a similar relative exposure, which led to termination of the clinical trials for this molecule. In pigmented rats, accumulation of </w:t>
      </w:r>
      <w:proofErr w:type="spellStart"/>
      <w:r>
        <w:t>risdiplam</w:t>
      </w:r>
      <w:proofErr w:type="spellEnd"/>
      <w:r>
        <w:t xml:space="preserve"> was more pronounced than that observed for RO6885247, even when administered at a lower dose. The concentrations of </w:t>
      </w:r>
      <w:proofErr w:type="spellStart"/>
      <w:r>
        <w:t>risdiplam</w:t>
      </w:r>
      <w:proofErr w:type="spellEnd"/>
      <w:r>
        <w:t xml:space="preserve"> observed in ocular tissue in rats and monkeys markedly exceeded the levels shown to be cytotoxic, impair lysosome function and lead to autophagosome accumulation </w:t>
      </w:r>
      <w:r w:rsidRPr="0029294B">
        <w:rPr>
          <w:i/>
        </w:rPr>
        <w:t>in vitro</w:t>
      </w:r>
      <w:r>
        <w:t>.</w:t>
      </w:r>
    </w:p>
    <w:p w14:paraId="172E4CBC" w14:textId="21B29258" w:rsidR="008E7846" w:rsidRDefault="009B59BB" w:rsidP="0029294B">
      <w:r>
        <w:t xml:space="preserve">Reductions in sperm count, motility and an increase in morphological abnormalities were observed in male rats that had received oral </w:t>
      </w:r>
      <w:proofErr w:type="spellStart"/>
      <w:r>
        <w:t>risdiplam</w:t>
      </w:r>
      <w:proofErr w:type="spellEnd"/>
      <w:r>
        <w:t xml:space="preserve"> </w:t>
      </w:r>
      <w:r w:rsidR="0029294B">
        <w:t>at low exposure margins (</w:t>
      </w:r>
      <w:r w:rsidR="00F944D4">
        <w:t>a</w:t>
      </w:r>
      <w:r w:rsidR="00F944D4" w:rsidRPr="00F944D4">
        <w:t>pproximately</w:t>
      </w:r>
      <w:r w:rsidR="0029294B">
        <w:t xml:space="preserve"> 4 times</w:t>
      </w:r>
      <w:r>
        <w:t xml:space="preserve">) but there was no effect on mating performance or fertility index. </w:t>
      </w:r>
      <w:r>
        <w:lastRenderedPageBreak/>
        <w:t xml:space="preserve">There were no clear effects on reproductive tissues in female monkeys. </w:t>
      </w:r>
      <w:proofErr w:type="spellStart"/>
      <w:r>
        <w:t>Risdiplam</w:t>
      </w:r>
      <w:proofErr w:type="spellEnd"/>
      <w:r>
        <w:t xml:space="preserve"> caused maternal and embryofetal toxicity without signs of malformations in rats (</w:t>
      </w:r>
      <w:r w:rsidR="00F944D4">
        <w:t>No observ</w:t>
      </w:r>
      <w:r w:rsidR="002971B0">
        <w:t>ed</w:t>
      </w:r>
      <w:r w:rsidR="00F944D4">
        <w:t xml:space="preserve"> effect levels (NOAEL) in exposure ratio based on area under concentration time curve (AUC)</w:t>
      </w:r>
      <w:r w:rsidR="0029294B">
        <w:t xml:space="preserve"> of 3.4 times</w:t>
      </w:r>
      <w:r>
        <w:t xml:space="preserve">). In rabbits, </w:t>
      </w:r>
      <w:proofErr w:type="spellStart"/>
      <w:r>
        <w:t>risdiplam</w:t>
      </w:r>
      <w:proofErr w:type="spellEnd"/>
      <w:r>
        <w:t xml:space="preserve"> was severely </w:t>
      </w:r>
      <w:proofErr w:type="spellStart"/>
      <w:r>
        <w:t>maternotoxic</w:t>
      </w:r>
      <w:proofErr w:type="spellEnd"/>
      <w:r>
        <w:t xml:space="preserve"> and teratogenic. Exposure at the NOAEL was marginally above clinical exposures. Findings in the rat pre-postnatal study included </w:t>
      </w:r>
      <w:r w:rsidR="00FE1E66">
        <w:t>dystocia and</w:t>
      </w:r>
      <w:r>
        <w:t xml:space="preserve"> delayed sexual and impaired reproductive function in female offspring. Exposures at</w:t>
      </w:r>
      <w:r w:rsidR="00F944D4">
        <w:t xml:space="preserve"> the NOAEL were clinically </w:t>
      </w:r>
      <w:r>
        <w:t>relevant. The sponsor has proposed Pregnancy Category D</w:t>
      </w:r>
      <w:r w:rsidR="00A4638D">
        <w:t>;</w:t>
      </w:r>
      <w:r w:rsidR="001E4E52">
        <w:rPr>
          <w:rStyle w:val="FootnoteReference"/>
        </w:rPr>
        <w:footnoteReference w:id="9"/>
      </w:r>
      <w:r>
        <w:t xml:space="preserve"> which is appropriate given concerns over the malformations seen in rabbits and the embryofetal toxicity seen in rats and rabbits at low exposure margins. Even though teratogenicity was only noted in the rabbit at a </w:t>
      </w:r>
      <w:proofErr w:type="spellStart"/>
      <w:r>
        <w:t>maternotoxic</w:t>
      </w:r>
      <w:proofErr w:type="spellEnd"/>
      <w:r>
        <w:t xml:space="preserve"> level, the possibility of a </w:t>
      </w:r>
      <w:proofErr w:type="spellStart"/>
      <w:r>
        <w:t>dysmorphogenic</w:t>
      </w:r>
      <w:proofErr w:type="spellEnd"/>
      <w:r>
        <w:t xml:space="preserve"> effect of </w:t>
      </w:r>
      <w:proofErr w:type="spellStart"/>
      <w:r>
        <w:t>risdiplam</w:t>
      </w:r>
      <w:proofErr w:type="spellEnd"/>
      <w:r>
        <w:t xml:space="preserve"> in the human cannot be discounted</w:t>
      </w:r>
      <w:r w:rsidR="00006FAB">
        <w:t>.</w:t>
      </w:r>
    </w:p>
    <w:p w14:paraId="66427DB8" w14:textId="77777777" w:rsidR="008E7846" w:rsidRDefault="008E7846" w:rsidP="008E7846">
      <w:pPr>
        <w:pStyle w:val="Heading3"/>
      </w:pPr>
      <w:bookmarkStart w:id="37" w:name="_Toc247691530"/>
      <w:bookmarkStart w:id="38" w:name="_Toc314842513"/>
      <w:bookmarkStart w:id="39" w:name="_Toc82421580"/>
      <w:r>
        <w:t>Clinical</w:t>
      </w:r>
      <w:bookmarkEnd w:id="37"/>
      <w:bookmarkEnd w:id="38"/>
      <w:bookmarkEnd w:id="39"/>
    </w:p>
    <w:p w14:paraId="1FDDE93E" w14:textId="77777777" w:rsidR="000A3819" w:rsidRDefault="00006FAB" w:rsidP="000A3819">
      <w:bookmarkStart w:id="40" w:name="_Toc314842514"/>
      <w:r w:rsidRPr="00006FAB">
        <w:t>The clinical dossier cons</w:t>
      </w:r>
      <w:r w:rsidR="000A3819">
        <w:t>isted of:</w:t>
      </w:r>
    </w:p>
    <w:p w14:paraId="1F49AA7F" w14:textId="77777777" w:rsidR="002B394A" w:rsidRDefault="002B394A" w:rsidP="002B394A">
      <w:pPr>
        <w:pStyle w:val="ListBullet"/>
      </w:pPr>
      <w:r>
        <w:t xml:space="preserve">five pharmacology studies (Studies </w:t>
      </w:r>
      <w:r w:rsidRPr="002B394A">
        <w:t>BP29840, BP39122, NP3</w:t>
      </w:r>
      <w:r>
        <w:t>9625, BP41361 and BP40995</w:t>
      </w:r>
      <w:proofErr w:type="gramStart"/>
      <w:r>
        <w:t>);</w:t>
      </w:r>
      <w:proofErr w:type="gramEnd"/>
    </w:p>
    <w:p w14:paraId="681E7BBD" w14:textId="77777777" w:rsidR="002B394A" w:rsidRDefault="002B394A" w:rsidP="002B394A">
      <w:pPr>
        <w:pStyle w:val="ListBullet"/>
      </w:pPr>
      <w:r>
        <w:t>one population pharmacokinetics (</w:t>
      </w:r>
      <w:proofErr w:type="spellStart"/>
      <w:r>
        <w:t>PopPK</w:t>
      </w:r>
      <w:proofErr w:type="spellEnd"/>
      <w:r>
        <w:t xml:space="preserve">) </w:t>
      </w:r>
      <w:proofErr w:type="gramStart"/>
      <w:r>
        <w:t>study;</w:t>
      </w:r>
      <w:proofErr w:type="gramEnd"/>
    </w:p>
    <w:p w14:paraId="747DE4F0" w14:textId="77777777" w:rsidR="002B394A" w:rsidRDefault="002B394A" w:rsidP="002B394A">
      <w:pPr>
        <w:pStyle w:val="ListBullet"/>
      </w:pPr>
      <w:r>
        <w:t>two</w:t>
      </w:r>
      <w:r w:rsidRPr="002B394A">
        <w:t xml:space="preserve"> o</w:t>
      </w:r>
      <w:r>
        <w:t>ngoing pivotal efficacy/safety P</w:t>
      </w:r>
      <w:r w:rsidRPr="002B394A">
        <w:t xml:space="preserve">hase III studies (Part 2 of BP39056 and Part 2 </w:t>
      </w:r>
      <w:r>
        <w:t>of BP39055</w:t>
      </w:r>
      <w:proofErr w:type="gramStart"/>
      <w:r>
        <w:t>);</w:t>
      </w:r>
      <w:proofErr w:type="gramEnd"/>
    </w:p>
    <w:p w14:paraId="1CC4BEE1" w14:textId="77777777" w:rsidR="002B394A" w:rsidRDefault="002B394A" w:rsidP="002B394A">
      <w:pPr>
        <w:pStyle w:val="ListBullet"/>
      </w:pPr>
      <w:r>
        <w:t>two ongoing P</w:t>
      </w:r>
      <w:r w:rsidRPr="002B394A">
        <w:t xml:space="preserve">hase II dose-finding studies (Part 1 of </w:t>
      </w:r>
      <w:r>
        <w:t>BP39056 and Part 1 of BP39055</w:t>
      </w:r>
      <w:proofErr w:type="gramStart"/>
      <w:r>
        <w:t>);</w:t>
      </w:r>
      <w:proofErr w:type="gramEnd"/>
    </w:p>
    <w:p w14:paraId="42DB8299" w14:textId="1D472C84" w:rsidR="007B6132" w:rsidRDefault="002B394A" w:rsidP="002B394A">
      <w:pPr>
        <w:pStyle w:val="ListBullet"/>
      </w:pPr>
      <w:r>
        <w:t>safety data from one ongoing P</w:t>
      </w:r>
      <w:r w:rsidRPr="002B394A">
        <w:t>hase II open</w:t>
      </w:r>
      <w:r>
        <w:t xml:space="preserve"> </w:t>
      </w:r>
      <w:r w:rsidRPr="002B394A">
        <w:t>label (OL) study (</w:t>
      </w:r>
      <w:r>
        <w:t>Study BP39054).</w:t>
      </w:r>
    </w:p>
    <w:p w14:paraId="4E837F39" w14:textId="22EC36C9" w:rsidR="00337C50" w:rsidRPr="00337C50" w:rsidRDefault="00337C50" w:rsidP="00455260">
      <w:r>
        <w:t xml:space="preserve">Note that Study BP39055 is also known as the SUNFISH trial, Study 39056 as the FIREFISH trial and Study </w:t>
      </w:r>
      <w:r w:rsidRPr="00337C50">
        <w:t>BP39054</w:t>
      </w:r>
      <w:r>
        <w:t xml:space="preserve"> as the JEWELFISH trial.</w:t>
      </w:r>
    </w:p>
    <w:p w14:paraId="7A2DFEA5" w14:textId="77777777" w:rsidR="00B344E7" w:rsidRDefault="00B344E7" w:rsidP="00B344E7">
      <w:pPr>
        <w:pStyle w:val="Heading4"/>
      </w:pPr>
      <w:r>
        <w:t>Pharmacology</w:t>
      </w:r>
    </w:p>
    <w:p w14:paraId="518F02B1" w14:textId="77777777" w:rsidR="00B344E7" w:rsidRDefault="00B344E7" w:rsidP="00B344E7">
      <w:pPr>
        <w:pStyle w:val="Heading5"/>
      </w:pPr>
      <w:r>
        <w:t>Pharmacokinetics</w:t>
      </w:r>
    </w:p>
    <w:p w14:paraId="766718CA" w14:textId="6400C72B" w:rsidR="00B344E7" w:rsidRDefault="00B344E7" w:rsidP="00B344E7">
      <w:r>
        <w:t>Pharmacokinetic</w:t>
      </w:r>
      <w:r w:rsidR="00194188">
        <w:t>s</w:t>
      </w:r>
      <w:r>
        <w:t xml:space="preserve"> (PK) parameters for </w:t>
      </w:r>
      <w:proofErr w:type="spellStart"/>
      <w:r>
        <w:t>Evrysdi</w:t>
      </w:r>
      <w:proofErr w:type="spellEnd"/>
      <w:r>
        <w:t xml:space="preserve"> have been characterised in healthy adult subjects and in patients with SMA. No dedicated PK studies were undertaken in patients with SMA.</w:t>
      </w:r>
    </w:p>
    <w:p w14:paraId="6C2EEB13" w14:textId="4766E6A0" w:rsidR="00B344E7" w:rsidRDefault="00B344E7" w:rsidP="00B344E7">
      <w:r>
        <w:t xml:space="preserve">In healthy adult subjects </w:t>
      </w:r>
      <w:proofErr w:type="spellStart"/>
      <w:r>
        <w:t>risdiplam</w:t>
      </w:r>
      <w:proofErr w:type="spellEnd"/>
      <w:r>
        <w:t xml:space="preserve"> was rapidly absorbed, with first quantifiable concentrations observed for all subjects between </w:t>
      </w:r>
      <w:proofErr w:type="gramStart"/>
      <w:r>
        <w:t>0.5 and 1 hours</w:t>
      </w:r>
      <w:proofErr w:type="gramEnd"/>
      <w:r>
        <w:t xml:space="preserve"> pos</w:t>
      </w:r>
      <w:r w:rsidR="00194188">
        <w:t xml:space="preserve">t-dose in the 0.6 to 18 mg dose </w:t>
      </w:r>
      <w:r>
        <w:t xml:space="preserve">range. </w:t>
      </w:r>
      <w:proofErr w:type="spellStart"/>
      <w:r>
        <w:t>Risdiplam</w:t>
      </w:r>
      <w:proofErr w:type="spellEnd"/>
      <w:r>
        <w:t xml:space="preserve"> is classified as highly permeable, with passive diffusion the most likely mechanism for its cell permeability. Median time to maximum plasma concentration (</w:t>
      </w:r>
      <w:proofErr w:type="spellStart"/>
      <w:r w:rsidR="00194188">
        <w:t>T</w:t>
      </w:r>
      <w:r w:rsidRPr="00B344E7">
        <w:rPr>
          <w:vertAlign w:val="subscript"/>
        </w:rPr>
        <w:t>max</w:t>
      </w:r>
      <w:proofErr w:type="spellEnd"/>
      <w:r>
        <w:t xml:space="preserve">) of </w:t>
      </w:r>
      <w:proofErr w:type="spellStart"/>
      <w:r>
        <w:t>risdiplam</w:t>
      </w:r>
      <w:proofErr w:type="spellEnd"/>
      <w:r>
        <w:t xml:space="preserve"> was approximately 2 to 3 hours in healthy adults in the fasted state, after single </w:t>
      </w:r>
      <w:proofErr w:type="spellStart"/>
      <w:r>
        <w:t>risdiplam</w:t>
      </w:r>
      <w:proofErr w:type="spellEnd"/>
      <w:r>
        <w:t xml:space="preserve"> doses and between 2 to 4 hours in healthy subjects at steady state. Most of the absorption is estimated to take place in the duodenum (32.7%) and jejunum (55.1%), with the remaining </w:t>
      </w:r>
      <w:proofErr w:type="spellStart"/>
      <w:r>
        <w:t>risdiplam</w:t>
      </w:r>
      <w:proofErr w:type="spellEnd"/>
      <w:r>
        <w:t xml:space="preserve"> absorbed further down the gastrointestinal tract.</w:t>
      </w:r>
    </w:p>
    <w:p w14:paraId="5EFD351B" w14:textId="77777777" w:rsidR="00B344E7" w:rsidRDefault="00B344E7" w:rsidP="00B344E7">
      <w:r>
        <w:t>No absolute bioavailability study was conducted. Results from the mass balance study were generally supportive of moderate to high oral bioavailability.</w:t>
      </w:r>
    </w:p>
    <w:p w14:paraId="32EB3ABB" w14:textId="36C20CB6" w:rsidR="00B344E7" w:rsidRDefault="00B344E7" w:rsidP="00B344E7">
      <w:r>
        <w:t>The presence o</w:t>
      </w:r>
      <w:r w:rsidR="00194188">
        <w:t xml:space="preserve">f food delayed </w:t>
      </w:r>
      <w:proofErr w:type="spellStart"/>
      <w:r w:rsidR="00194188">
        <w:t>risdiplam</w:t>
      </w:r>
      <w:proofErr w:type="spellEnd"/>
      <w:r w:rsidR="00194188">
        <w:t xml:space="preserve"> median </w:t>
      </w:r>
      <w:proofErr w:type="spellStart"/>
      <w:r w:rsidR="00194188">
        <w:t>T</w:t>
      </w:r>
      <w:r w:rsidRPr="00B344E7">
        <w:rPr>
          <w:vertAlign w:val="subscript"/>
        </w:rPr>
        <w:t>max</w:t>
      </w:r>
      <w:proofErr w:type="spellEnd"/>
      <w:r>
        <w:t xml:space="preserve"> by approximately 2.5 hours. This was not clinically meaningful and is generally consistent with delayed gastric emptying </w:t>
      </w:r>
      <w:r>
        <w:lastRenderedPageBreak/>
        <w:t xml:space="preserve">observed with food administration. Presence of food did not appear to have a clinically meaningful effect on </w:t>
      </w:r>
      <w:proofErr w:type="spellStart"/>
      <w:r>
        <w:t>risdiplam</w:t>
      </w:r>
      <w:proofErr w:type="spellEnd"/>
      <w:r>
        <w:t xml:space="preserve"> exposure (</w:t>
      </w:r>
      <w:r w:rsidR="00194188">
        <w:t>maximum plasma concentration (</w:t>
      </w:r>
      <w:proofErr w:type="spellStart"/>
      <w:r>
        <w:t>C</w:t>
      </w:r>
      <w:r w:rsidRPr="00B344E7">
        <w:rPr>
          <w:vertAlign w:val="subscript"/>
        </w:rPr>
        <w:t>max</w:t>
      </w:r>
      <w:proofErr w:type="spellEnd"/>
      <w:r w:rsidR="00194188">
        <w:t xml:space="preserve">) </w:t>
      </w:r>
      <w:r>
        <w:t xml:space="preserve">and AUC). However, these results should be interpreted with caution, as there was no formal crossover study, the study lacked statistical power and a non-marketed formulation was used. In the clinical efficacy studies, </w:t>
      </w:r>
      <w:proofErr w:type="spellStart"/>
      <w:r>
        <w:t>risdiplam</w:t>
      </w:r>
      <w:proofErr w:type="spellEnd"/>
      <w:r>
        <w:t xml:space="preserve"> was administered with a morning meal or after breastfeeding.</w:t>
      </w:r>
    </w:p>
    <w:p w14:paraId="2F6DEC72" w14:textId="155763B1" w:rsidR="00A71D6B" w:rsidRPr="00337C50" w:rsidRDefault="00B344E7" w:rsidP="00A71D6B">
      <w:r>
        <w:t>The estimated exposure</w:t>
      </w:r>
      <w:r w:rsidR="004E32CE">
        <w:t xml:space="preserve"> based on the mean </w:t>
      </w:r>
      <w:r w:rsidR="00194188">
        <w:rPr>
          <w:rFonts w:cs="Calibri"/>
          <w:color w:val="000000"/>
        </w:rPr>
        <w:t>a</w:t>
      </w:r>
      <w:r w:rsidR="00194188" w:rsidRPr="002B01B1">
        <w:rPr>
          <w:rFonts w:cs="Calibri"/>
          <w:color w:val="000000"/>
        </w:rPr>
        <w:t>rea under the plasma concentration</w:t>
      </w:r>
      <w:r w:rsidR="004E32CE">
        <w:rPr>
          <w:rFonts w:cs="Calibri"/>
          <w:color w:val="000000"/>
        </w:rPr>
        <w:noBreakHyphen/>
      </w:r>
      <w:r w:rsidR="00194188" w:rsidRPr="002B01B1">
        <w:rPr>
          <w:rFonts w:cs="Calibri"/>
          <w:color w:val="000000"/>
        </w:rPr>
        <w:t>time curve</w:t>
      </w:r>
      <w:r w:rsidR="004E32CE">
        <w:rPr>
          <w:rFonts w:cs="Calibri"/>
          <w:color w:val="000000"/>
        </w:rPr>
        <w:t xml:space="preserve"> from time 0 to</w:t>
      </w:r>
      <w:r w:rsidR="00194188" w:rsidRPr="002B01B1">
        <w:rPr>
          <w:rFonts w:cs="Calibri"/>
          <w:color w:val="000000"/>
        </w:rPr>
        <w:t xml:space="preserve"> 24 hours</w:t>
      </w:r>
      <w:r w:rsidR="00194188">
        <w:t xml:space="preserve"> (</w:t>
      </w:r>
      <w:r>
        <w:t>AUC</w:t>
      </w:r>
      <w:r w:rsidRPr="00B344E7">
        <w:rPr>
          <w:vertAlign w:val="subscript"/>
        </w:rPr>
        <w:t>0-24h</w:t>
      </w:r>
      <w:r>
        <w:t>) for infantile onset SMA patients (age 2 to 7 months at enrolment) at the therapeutic dose of 0.2 mg/kg once daily was 1930 ng</w:t>
      </w:r>
      <w:r w:rsidR="00A71D6B">
        <w:t xml:space="preserve"> x </w:t>
      </w:r>
      <w:r>
        <w:t>h/</w:t>
      </w:r>
      <w:proofErr w:type="spellStart"/>
      <w:r>
        <w:t>mL.</w:t>
      </w:r>
      <w:proofErr w:type="spellEnd"/>
      <w:r>
        <w:t xml:space="preserve"> The estimated exposure for later onset SMA patients (2 to 25</w:t>
      </w:r>
      <w:r w:rsidR="00A71D6B">
        <w:t> </w:t>
      </w:r>
      <w:r>
        <w:t>years old at</w:t>
      </w:r>
      <w:r w:rsidR="001B75FE">
        <w:t xml:space="preserve"> enrolment) in </w:t>
      </w:r>
      <w:r w:rsidR="00A71D6B">
        <w:t xml:space="preserve">Part 2 of </w:t>
      </w:r>
      <w:r w:rsidR="001B75FE">
        <w:t>the SUNFISH trial</w:t>
      </w:r>
      <w:r>
        <w:t xml:space="preserve"> (</w:t>
      </w:r>
      <w:r w:rsidR="00A71D6B">
        <w:t>Study BP39055)</w:t>
      </w:r>
    </w:p>
    <w:p w14:paraId="0538DD52" w14:textId="69C3A43C" w:rsidR="00B344E7" w:rsidRDefault="00B344E7" w:rsidP="00B344E7">
      <w:r>
        <w:t>) at the therapeutic dose (0.25 mg/kg once daily for patients with a body weight &lt;</w:t>
      </w:r>
      <w:r w:rsidR="00A71D6B">
        <w:t> </w:t>
      </w:r>
      <w:r>
        <w:t>20 kg; 5 mg once daily for patients with a body weight ≥ 20 kg) was 2070 ng</w:t>
      </w:r>
      <w:r w:rsidR="00A71D6B">
        <w:t xml:space="preserve"> x </w:t>
      </w:r>
      <w:r>
        <w:t>h/</w:t>
      </w:r>
      <w:proofErr w:type="spellStart"/>
      <w:r>
        <w:t>mL.</w:t>
      </w:r>
      <w:proofErr w:type="spellEnd"/>
      <w:r>
        <w:t xml:space="preserve"> The </w:t>
      </w:r>
      <w:r w:rsidR="00A71D6B">
        <w:t xml:space="preserve">mean </w:t>
      </w:r>
      <w:r>
        <w:t xml:space="preserve">observed </w:t>
      </w:r>
      <w:proofErr w:type="spellStart"/>
      <w:r>
        <w:t>C</w:t>
      </w:r>
      <w:r w:rsidRPr="00B344E7">
        <w:rPr>
          <w:vertAlign w:val="subscript"/>
        </w:rPr>
        <w:t>max</w:t>
      </w:r>
      <w:proofErr w:type="spellEnd"/>
      <w:r w:rsidR="00E53523">
        <w:t xml:space="preserve"> was 194 ng</w:t>
      </w:r>
      <w:r>
        <w:t xml:space="preserve">/mL at 0.2 mg/kg in </w:t>
      </w:r>
      <w:r w:rsidR="00A71D6B">
        <w:t xml:space="preserve">Study 39056 (the FIREFISH trial) and Study </w:t>
      </w:r>
      <w:r w:rsidR="00A71D6B" w:rsidRPr="00337C50">
        <w:t>BP39054</w:t>
      </w:r>
      <w:r w:rsidR="00A71D6B">
        <w:t xml:space="preserve"> as the JEWELFISH trial </w:t>
      </w:r>
      <w:r w:rsidR="00E53523">
        <w:t>and 120 ng</w:t>
      </w:r>
      <w:r>
        <w:t>/mL in SUNFISH</w:t>
      </w:r>
      <w:r w:rsidR="001B75FE">
        <w:t xml:space="preserve"> trial</w:t>
      </w:r>
      <w:r>
        <w:t xml:space="preserve"> Part 2</w:t>
      </w:r>
      <w:r w:rsidR="00A71D6B">
        <w:t xml:space="preserve"> (Study BP39055).</w:t>
      </w:r>
    </w:p>
    <w:p w14:paraId="718F4DE8" w14:textId="77777777" w:rsidR="00B344E7" w:rsidRDefault="00B344E7" w:rsidP="00B344E7">
      <w:r>
        <w:t>The population PK parameter estimates were 98 L for the apparent central volume of distribution, 93 L for the peripheral volume, and 0.68 L/hour for the inter-compartment clearance.</w:t>
      </w:r>
    </w:p>
    <w:p w14:paraId="21ACA330" w14:textId="77777777" w:rsidR="00B344E7" w:rsidRDefault="00B344E7" w:rsidP="00B344E7">
      <w:proofErr w:type="spellStart"/>
      <w:r>
        <w:t>Risdiplam</w:t>
      </w:r>
      <w:proofErr w:type="spellEnd"/>
      <w:r>
        <w:t xml:space="preserve"> is predominantly bound to serum albumin, with a free fraction of 11%.</w:t>
      </w:r>
    </w:p>
    <w:p w14:paraId="76FD1D1C" w14:textId="1180741B" w:rsidR="00B344E7" w:rsidRDefault="00B344E7" w:rsidP="00B344E7">
      <w:proofErr w:type="spellStart"/>
      <w:r>
        <w:t>Risdiplam</w:t>
      </w:r>
      <w:proofErr w:type="spellEnd"/>
      <w:r>
        <w:t xml:space="preserve"> turnover was found to be greatest in liver followed by kidney and intestine. Main contributors to the metabolism of </w:t>
      </w:r>
      <w:proofErr w:type="spellStart"/>
      <w:r>
        <w:t>risdiplam</w:t>
      </w:r>
      <w:proofErr w:type="spellEnd"/>
      <w:r>
        <w:t xml:space="preserve"> were flavin monooxygenase 1 and 3 (FMO1 and 3) and cytochrome P450 (CYP) CYP3A enzymes,</w:t>
      </w:r>
      <w:r w:rsidR="00FE2CBD">
        <w:rPr>
          <w:rStyle w:val="FootnoteReference"/>
        </w:rPr>
        <w:footnoteReference w:id="10"/>
      </w:r>
      <w:r>
        <w:t xml:space="preserve"> particularly CYP3A4. Other CYP enzymes included CYP1A and </w:t>
      </w:r>
      <w:r w:rsidR="00A71D6B">
        <w:t>CYP</w:t>
      </w:r>
      <w:r>
        <w:t>2J2.</w:t>
      </w:r>
    </w:p>
    <w:p w14:paraId="6752AF9C" w14:textId="07F2EF47" w:rsidR="00B344E7" w:rsidRDefault="00B344E7" w:rsidP="00B344E7">
      <w:r>
        <w:t xml:space="preserve">No dose adjustments are needed in paediatric (aged 2 months and older) and adult populations when </w:t>
      </w:r>
      <w:proofErr w:type="spellStart"/>
      <w:r>
        <w:t>risdiplam</w:t>
      </w:r>
      <w:proofErr w:type="spellEnd"/>
      <w:r>
        <w:t xml:space="preserve"> is co-administered with strong CYP3A inhibitors (for example, itraconazole) or CYP3A substrates (for example, midazolam).</w:t>
      </w:r>
    </w:p>
    <w:p w14:paraId="6A27D800" w14:textId="77777777" w:rsidR="00B344E7" w:rsidRDefault="00B344E7" w:rsidP="00B344E7">
      <w:r>
        <w:t xml:space="preserve">Population PK analyses estimated an apparent clearance (CL/F) of 2.6 L/h for </w:t>
      </w:r>
      <w:proofErr w:type="spellStart"/>
      <w:r>
        <w:t>risdiplam</w:t>
      </w:r>
      <w:proofErr w:type="spellEnd"/>
      <w:r>
        <w:t xml:space="preserve">. The effective half-life of </w:t>
      </w:r>
      <w:proofErr w:type="spellStart"/>
      <w:r>
        <w:t>risdiplam</w:t>
      </w:r>
      <w:proofErr w:type="spellEnd"/>
      <w:r>
        <w:t xml:space="preserve"> was approximately 50 hours in SMA patients.</w:t>
      </w:r>
    </w:p>
    <w:p w14:paraId="15965A29" w14:textId="36F0322C" w:rsidR="00B344E7" w:rsidRDefault="00B344E7" w:rsidP="00B344E7">
      <w:proofErr w:type="spellStart"/>
      <w:r>
        <w:t>Risdiplam</w:t>
      </w:r>
      <w:proofErr w:type="spellEnd"/>
      <w:r>
        <w:t xml:space="preserve"> is not a substrate of human multidrug re</w:t>
      </w:r>
      <w:r w:rsidR="00FE2CBD">
        <w:t>sistance protein 1.</w:t>
      </w:r>
    </w:p>
    <w:p w14:paraId="440D886C" w14:textId="77777777" w:rsidR="00B344E7" w:rsidRDefault="00B344E7" w:rsidP="00B344E7">
      <w:r>
        <w:t xml:space="preserve">Approximately 53% of the dose (14% unchanged </w:t>
      </w:r>
      <w:proofErr w:type="spellStart"/>
      <w:r>
        <w:t>risdiplam</w:t>
      </w:r>
      <w:proofErr w:type="spellEnd"/>
      <w:r>
        <w:t xml:space="preserve">) was excreted in the faeces and 28% in urine (8% unchanged </w:t>
      </w:r>
      <w:proofErr w:type="spellStart"/>
      <w:r>
        <w:t>risdiplam</w:t>
      </w:r>
      <w:proofErr w:type="spellEnd"/>
      <w:r>
        <w:t xml:space="preserve">). This indicates that the hepatic/biliary route is important for excretion of </w:t>
      </w:r>
      <w:proofErr w:type="spellStart"/>
      <w:r>
        <w:t>risdiplam</w:t>
      </w:r>
      <w:proofErr w:type="spellEnd"/>
      <w:r>
        <w:t xml:space="preserve"> and its metabolites. Parent drug was the major component found in plasma, accounting for 83% of drug related material in circulation. The pharmacologically inactive metabolite M1 was identified as the major circulating metabolite.</w:t>
      </w:r>
    </w:p>
    <w:p w14:paraId="5637738C" w14:textId="77777777" w:rsidR="00B344E7" w:rsidRDefault="00B344E7" w:rsidP="00B344E7">
      <w:r>
        <w:t xml:space="preserve">Mild and moderate hepatic impairment had no impact on the PK of </w:t>
      </w:r>
      <w:proofErr w:type="spellStart"/>
      <w:r>
        <w:t>Evrysdi</w:t>
      </w:r>
      <w:proofErr w:type="spellEnd"/>
      <w:r>
        <w:t xml:space="preserve">. After administration of </w:t>
      </w:r>
      <w:proofErr w:type="spellStart"/>
      <w:r>
        <w:t>Evrysdi</w:t>
      </w:r>
      <w:proofErr w:type="spellEnd"/>
      <w:r>
        <w:t xml:space="preserve"> 5 mg, the mean ratios for </w:t>
      </w:r>
      <w:proofErr w:type="spellStart"/>
      <w:r>
        <w:t>C</w:t>
      </w:r>
      <w:r w:rsidRPr="00B344E7">
        <w:rPr>
          <w:vertAlign w:val="subscript"/>
        </w:rPr>
        <w:t>max</w:t>
      </w:r>
      <w:proofErr w:type="spellEnd"/>
      <w:r w:rsidRPr="00B344E7">
        <w:rPr>
          <w:vertAlign w:val="subscript"/>
        </w:rPr>
        <w:t xml:space="preserve"> </w:t>
      </w:r>
      <w:r>
        <w:t xml:space="preserve">and AUC were 0.95 and 0.80 in mild (n = 8) and 1.20 and 1.08 in moderate hepatic impaired subjects (n = 8) versus </w:t>
      </w:r>
      <w:r>
        <w:lastRenderedPageBreak/>
        <w:t>matched healthy controls (n = 10). The safety and PK in patients with severe hepatic impairment have not been studied.</w:t>
      </w:r>
    </w:p>
    <w:p w14:paraId="4D580D78" w14:textId="3D4BDEAA" w:rsidR="00A71D6B" w:rsidRDefault="00B344E7" w:rsidP="00B344E7">
      <w:r>
        <w:t xml:space="preserve">No studies have been conducted to investigate the PK of </w:t>
      </w:r>
      <w:proofErr w:type="spellStart"/>
      <w:r>
        <w:t>Evrysdi</w:t>
      </w:r>
      <w:proofErr w:type="spellEnd"/>
      <w:r>
        <w:t xml:space="preserve"> in patients with renal impairment. Elimination of </w:t>
      </w:r>
      <w:proofErr w:type="spellStart"/>
      <w:r>
        <w:t>risdiplam</w:t>
      </w:r>
      <w:proofErr w:type="spellEnd"/>
      <w:r>
        <w:t xml:space="preserve"> as an unchanged entity via renal excretion is minor (8%).</w:t>
      </w:r>
    </w:p>
    <w:p w14:paraId="6918022E" w14:textId="5CA9CC9E" w:rsidR="00B344E7" w:rsidRDefault="00B344E7" w:rsidP="00B344E7">
      <w:r>
        <w:t xml:space="preserve">No dedicated studies have been conducted to investigate the PK of </w:t>
      </w:r>
      <w:proofErr w:type="spellStart"/>
      <w:r>
        <w:t>Evrysdi</w:t>
      </w:r>
      <w:proofErr w:type="spellEnd"/>
      <w:r>
        <w:t xml:space="preserve"> in patients with SMA above 60 years of age. Patients with SMA up to 60 years of age were included in </w:t>
      </w:r>
      <w:r w:rsidR="00A71D6B">
        <w:t xml:space="preserve">Study </w:t>
      </w:r>
      <w:r w:rsidR="00A71D6B" w:rsidRPr="00337C50">
        <w:t>BP39054</w:t>
      </w:r>
      <w:r w:rsidR="00A71D6B">
        <w:t xml:space="preserve"> (the JEWELFISH trial)</w:t>
      </w:r>
      <w:r>
        <w:t>. Subjects without SMA up to 69</w:t>
      </w:r>
      <w:r w:rsidR="00A71D6B">
        <w:t> </w:t>
      </w:r>
      <w:r>
        <w:t>years of age were included in clinical PK studies, which indicates that no dose adjustment is required for patients up to 69 years of age.</w:t>
      </w:r>
    </w:p>
    <w:p w14:paraId="59189FA9" w14:textId="791BA316" w:rsidR="00B344E7" w:rsidRDefault="00B344E7" w:rsidP="00B344E7">
      <w:r>
        <w:t>Body weight and age were identified as covariates in the population PK analysis. The dose is therefore adjusted based on age (below and above 2 years) and body weight (up to 20</w:t>
      </w:r>
      <w:r w:rsidR="00A71D6B">
        <w:t> </w:t>
      </w:r>
      <w:r>
        <w:t>kg) to obtain similar exposure across the age and body weight range. No data are available in patients less than 2 months of age.</w:t>
      </w:r>
    </w:p>
    <w:p w14:paraId="20B20763" w14:textId="344C6D17" w:rsidR="00B344E7" w:rsidRDefault="00B344E7" w:rsidP="00906146">
      <w:pPr>
        <w:pStyle w:val="Heading5"/>
      </w:pPr>
      <w:r>
        <w:t xml:space="preserve">Population </w:t>
      </w:r>
      <w:r w:rsidR="00A71D6B">
        <w:t>pharmacokinetic</w:t>
      </w:r>
      <w:r>
        <w:t xml:space="preserve"> data</w:t>
      </w:r>
    </w:p>
    <w:p w14:paraId="68D23781" w14:textId="2BED7363" w:rsidR="00B344E7" w:rsidRDefault="00B344E7" w:rsidP="00B344E7">
      <w:r>
        <w:t>The sub</w:t>
      </w:r>
      <w:r w:rsidR="00FE2CBD">
        <w:t xml:space="preserve">mission included </w:t>
      </w:r>
      <w:r w:rsidR="00A71D6B">
        <w:t>the population pharmacokinetic (</w:t>
      </w:r>
      <w:proofErr w:type="spellStart"/>
      <w:r w:rsidR="00FE2CBD">
        <w:t>P</w:t>
      </w:r>
      <w:r w:rsidR="00906146">
        <w:t>opPK</w:t>
      </w:r>
      <w:proofErr w:type="spellEnd"/>
      <w:r w:rsidR="00A71D6B">
        <w:t>)</w:t>
      </w:r>
      <w:r w:rsidR="00906146">
        <w:t xml:space="preserve"> analysis </w:t>
      </w:r>
      <w:r>
        <w:t xml:space="preserve">1102699 which included rich and sparse plasma concentration data obtained from three ongoing Phase II/III studies in SMA patients (Studies BP39054, BP39055 and BP39056) and two completed Phase I studies </w:t>
      </w:r>
      <w:r w:rsidR="00FE2CBD">
        <w:t>in healthy adult subjects (Studies</w:t>
      </w:r>
      <w:r>
        <w:t xml:space="preserve"> BP29840 and BP41361). The final </w:t>
      </w:r>
      <w:proofErr w:type="spellStart"/>
      <w:r>
        <w:t>PopPK</w:t>
      </w:r>
      <w:proofErr w:type="spellEnd"/>
      <w:r>
        <w:t xml:space="preserve"> model of </w:t>
      </w:r>
      <w:proofErr w:type="spellStart"/>
      <w:r>
        <w:t>risdiplam</w:t>
      </w:r>
      <w:proofErr w:type="spellEnd"/>
      <w:r>
        <w:t xml:space="preserve"> was developed on 10,222 plasma concentration data points of </w:t>
      </w:r>
      <w:proofErr w:type="spellStart"/>
      <w:r>
        <w:t>risdiplam</w:t>
      </w:r>
      <w:proofErr w:type="spellEnd"/>
      <w:r>
        <w:t xml:space="preserve"> collected from 525 subjects (healthy subjects: n = 61; SMA patients: n</w:t>
      </w:r>
      <w:r w:rsidR="00A71D6B">
        <w:t> </w:t>
      </w:r>
      <w:r>
        <w:t>=</w:t>
      </w:r>
      <w:r w:rsidR="00A71D6B">
        <w:t> </w:t>
      </w:r>
      <w:r>
        <w:t>464).</w:t>
      </w:r>
    </w:p>
    <w:p w14:paraId="63A84832" w14:textId="4F706FE9" w:rsidR="00B344E7" w:rsidRDefault="00B344E7" w:rsidP="00B344E7">
      <w:r>
        <w:t>The median age of patients was 12.3 years (Range: 2 months to 61 years), with median body weight of 33.0 kg (Range: 4.1 to 109 kg). There were 279 males, 248 females, 61 healthy subjects, 77 patients with SMA Type 1, 272 patients with SMA Type 2, 93 patients with SMA Type 3 (non-ambulatory) and 23 patients with ambulatory Type 3 SMA. Most participants were White (n = 379; 71.9%).</w:t>
      </w:r>
    </w:p>
    <w:p w14:paraId="49E69B6D" w14:textId="6F39747F" w:rsidR="00B344E7" w:rsidRDefault="00B344E7" w:rsidP="00B344E7">
      <w:r>
        <w:t xml:space="preserve">The PK of </w:t>
      </w:r>
      <w:proofErr w:type="spellStart"/>
      <w:r>
        <w:t>risdiplam</w:t>
      </w:r>
      <w:proofErr w:type="spellEnd"/>
      <w:r>
        <w:t xml:space="preserve"> were described by a </w:t>
      </w:r>
      <w:proofErr w:type="gramStart"/>
      <w:r>
        <w:t>three transit</w:t>
      </w:r>
      <w:proofErr w:type="gramEnd"/>
      <w:r>
        <w:t xml:space="preserve"> compartment absorption model connected to a two compartment model for disposition with first order elimination. PK were comparable in healthy subjects and SMA populations. BW and age had significant effects on PK. Hence, the proposed dose regimens were based on patient age and BW to achieve the targeted mean AUC</w:t>
      </w:r>
      <w:r w:rsidRPr="00B344E7">
        <w:rPr>
          <w:vertAlign w:val="subscript"/>
        </w:rPr>
        <w:t>0-24h</w:t>
      </w:r>
      <w:r>
        <w:t xml:space="preserve"> of approx</w:t>
      </w:r>
      <w:r w:rsidR="00A71D6B">
        <w:t>imately</w:t>
      </w:r>
      <w:r>
        <w:t xml:space="preserve"> 2000 ng</w:t>
      </w:r>
      <w:r w:rsidR="00A71D6B">
        <w:t xml:space="preserve"> </w:t>
      </w:r>
      <w:proofErr w:type="spellStart"/>
      <w:r w:rsidR="00A71D6B">
        <w:t>x</w:t>
      </w:r>
      <w:r>
        <w:t>h</w:t>
      </w:r>
      <w:proofErr w:type="spellEnd"/>
      <w:r>
        <w:t xml:space="preserve">/mL across all studies, irrespective of SMA Type (1, 2 or 3) or gender. Although patient numbers were small, Asian race (Japanese; n = 16 or Chinese; n = 27 origin) was not a statistically or clinically relevant covariate. </w:t>
      </w:r>
      <w:proofErr w:type="spellStart"/>
      <w:r>
        <w:t>Risdiplam</w:t>
      </w:r>
      <w:proofErr w:type="spellEnd"/>
      <w:r>
        <w:t xml:space="preserve"> had an appare</w:t>
      </w:r>
      <w:r w:rsidR="007127DD">
        <w:t>nt clearance (CL/F) of 2.6 L/h.</w:t>
      </w:r>
    </w:p>
    <w:p w14:paraId="2EE588B4" w14:textId="77777777" w:rsidR="00B344E7" w:rsidRDefault="00B344E7" w:rsidP="00B344E7">
      <w:r>
        <w:t xml:space="preserve">There were 41 (7.8%) SMA patients (Type 1; n = 5) with records of </w:t>
      </w:r>
      <w:proofErr w:type="spellStart"/>
      <w:r>
        <w:t>risdiplam</w:t>
      </w:r>
      <w:proofErr w:type="spellEnd"/>
      <w:r>
        <w:t xml:space="preserve"> taken with concomitant antacids (of any class). This percentage did not attain the pre-specified 10% minimum number of patients to be included as a covariate in the </w:t>
      </w:r>
      <w:proofErr w:type="spellStart"/>
      <w:r>
        <w:t>PopPK</w:t>
      </w:r>
      <w:proofErr w:type="spellEnd"/>
      <w:r>
        <w:t xml:space="preserve"> model. The influence of antacid use on relative bioavailability of the final </w:t>
      </w:r>
      <w:proofErr w:type="spellStart"/>
      <w:r>
        <w:t>PopPK</w:t>
      </w:r>
      <w:proofErr w:type="spellEnd"/>
      <w:r>
        <w:t xml:space="preserve"> model was estimated as a reduction of 7.2%, which is not regarded as c</w:t>
      </w:r>
      <w:r w:rsidR="007127DD">
        <w:t xml:space="preserve">linically significant (≥ 20%). </w:t>
      </w:r>
      <w:r>
        <w:t>However, the relative standard error was 57.6%, which is indicative of high uncertainty for the estimate. The transit rate constant remained generally unchanged irr</w:t>
      </w:r>
      <w:r w:rsidR="007127DD">
        <w:t>espective of antacid exposure.</w:t>
      </w:r>
    </w:p>
    <w:p w14:paraId="36BA2EA5" w14:textId="5D303C7A" w:rsidR="00B344E7" w:rsidRDefault="00FE2CBD" w:rsidP="00906146">
      <w:pPr>
        <w:pStyle w:val="Heading5"/>
      </w:pPr>
      <w:r>
        <w:t>Pharmacodynamics</w:t>
      </w:r>
    </w:p>
    <w:p w14:paraId="1F9C2DD6" w14:textId="7E59FDA1" w:rsidR="00B344E7" w:rsidRDefault="00B344E7" w:rsidP="00B344E7">
      <w:r>
        <w:t xml:space="preserve">Median time to maximum effect was reached between </w:t>
      </w:r>
      <w:proofErr w:type="gramStart"/>
      <w:r>
        <w:t>4 and 8 h</w:t>
      </w:r>
      <w:r w:rsidR="007127DD">
        <w:t>ours</w:t>
      </w:r>
      <w:proofErr w:type="gramEnd"/>
      <w:r>
        <w:t xml:space="preserve"> post-dose, across all dose groups. The population analysis found treatment with </w:t>
      </w:r>
      <w:proofErr w:type="spellStart"/>
      <w:r>
        <w:t>risdiplam</w:t>
      </w:r>
      <w:proofErr w:type="spellEnd"/>
      <w:r>
        <w:t xml:space="preserve"> led </w:t>
      </w:r>
      <w:r w:rsidR="00FE2CBD">
        <w:t>to an approximate two</w:t>
      </w:r>
      <w:r w:rsidR="00A71D6B">
        <w:noBreakHyphen/>
      </w:r>
      <w:r>
        <w:t xml:space="preserve">fold median increase in SMN </w:t>
      </w:r>
      <w:r w:rsidR="00906146">
        <w:t xml:space="preserve">protein versus </w:t>
      </w:r>
      <w:r w:rsidR="00A71D6B">
        <w:t>B</w:t>
      </w:r>
      <w:r w:rsidR="00906146">
        <w:t>aseline in the P</w:t>
      </w:r>
      <w:r>
        <w:t>hase III clinical studies in SMA patients. SMN protein increased rapidly within 4 weeks after treatment initiation and the increased SMN protein level was maintained over the entire treatment duration.</w:t>
      </w:r>
    </w:p>
    <w:p w14:paraId="45971F91" w14:textId="77777777" w:rsidR="00B344E7" w:rsidRDefault="00B344E7" w:rsidP="00B344E7">
      <w:r>
        <w:lastRenderedPageBreak/>
        <w:t xml:space="preserve">There was a positive correlation between </w:t>
      </w:r>
      <w:proofErr w:type="spellStart"/>
      <w:r>
        <w:t>risdiplam</w:t>
      </w:r>
      <w:proofErr w:type="spellEnd"/>
      <w:r>
        <w:t xml:space="preserve"> plasma exposure and the effect on the splicing modification expressed as the AU</w:t>
      </w:r>
      <w:r w:rsidR="00906146">
        <w:t>C</w:t>
      </w:r>
      <w:r w:rsidRPr="00906146">
        <w:rPr>
          <w:vertAlign w:val="subscript"/>
        </w:rPr>
        <w:t>0-24h</w:t>
      </w:r>
      <w:r>
        <w:t xml:space="preserve"> of the </w:t>
      </w:r>
      <w:r w:rsidR="00906146">
        <w:t xml:space="preserve">full length </w:t>
      </w:r>
      <w:r w:rsidRPr="00455260">
        <w:rPr>
          <w:i/>
        </w:rPr>
        <w:t>SMN2</w:t>
      </w:r>
      <w:r>
        <w:t xml:space="preserve"> over SMNΔ7 mRNA ratio. At the highest </w:t>
      </w:r>
      <w:proofErr w:type="spellStart"/>
      <w:r>
        <w:t>risdiplam</w:t>
      </w:r>
      <w:proofErr w:type="spellEnd"/>
      <w:r>
        <w:t xml:space="preserve"> concentrations, depletion of SMNΔ7 mRNA was almost complete.</w:t>
      </w:r>
    </w:p>
    <w:p w14:paraId="51A2D9B0" w14:textId="77777777" w:rsidR="00B344E7" w:rsidRDefault="00B344E7" w:rsidP="00B344E7">
      <w:r>
        <w:t>There were no meaningful differences in treatment effect on mRNA or SMN protein between Caucasian and Japanese subjects. The population analysis found no meaningful differences in treatment effect on mRNA or SMN protein, by age or gender distribution.</w:t>
      </w:r>
    </w:p>
    <w:p w14:paraId="4BDAEA0C" w14:textId="61A3BF52" w:rsidR="00A610F0" w:rsidRDefault="00B344E7" w:rsidP="00B344E7">
      <w:r>
        <w:t>No dedicated thorough QT/QTc (</w:t>
      </w:r>
      <w:proofErr w:type="spellStart"/>
      <w:r>
        <w:t>tQ</w:t>
      </w:r>
      <w:r w:rsidR="00906146">
        <w:t>T</w:t>
      </w:r>
      <w:proofErr w:type="spellEnd"/>
      <w:r w:rsidR="00906146">
        <w:t>) study was submitted but the s</w:t>
      </w:r>
      <w:r>
        <w:t>ponsor provided an analys</w:t>
      </w:r>
      <w:r w:rsidR="00FE2CBD">
        <w:t>is of QTc</w:t>
      </w:r>
      <w:r w:rsidR="00877910">
        <w:t>;</w:t>
      </w:r>
      <w:r w:rsidR="00877910">
        <w:rPr>
          <w:rStyle w:val="FootnoteReference"/>
        </w:rPr>
        <w:footnoteReference w:id="11"/>
      </w:r>
      <w:r w:rsidR="00FE2CBD">
        <w:t xml:space="preserve"> based on available </w:t>
      </w:r>
      <w:r w:rsidR="00FE2CBD" w:rsidRPr="00FE2CBD">
        <w:t>electrocardiogram</w:t>
      </w:r>
      <w:r>
        <w:t xml:space="preserve"> and PK data and a </w:t>
      </w:r>
      <w:r w:rsidRPr="00455260">
        <w:rPr>
          <w:i/>
        </w:rPr>
        <w:t>post-hoc</w:t>
      </w:r>
      <w:r>
        <w:t xml:space="preserve"> analysis of paediatric patients from </w:t>
      </w:r>
      <w:r w:rsidR="00906146">
        <w:t xml:space="preserve">Study </w:t>
      </w:r>
      <w:r>
        <w:t>BP39056 Part 2</w:t>
      </w:r>
      <w:r w:rsidR="00A610F0">
        <w:t xml:space="preserve"> (the </w:t>
      </w:r>
      <w:proofErr w:type="spellStart"/>
      <w:r w:rsidR="00A610F0">
        <w:t>Firefish</w:t>
      </w:r>
      <w:proofErr w:type="spellEnd"/>
      <w:r w:rsidR="00A610F0">
        <w:t xml:space="preserve"> trial)</w:t>
      </w:r>
      <w:r>
        <w:t xml:space="preserve">. There was no clear cardiac/QT safety signal following </w:t>
      </w:r>
      <w:proofErr w:type="spellStart"/>
      <w:r>
        <w:t>risdiplam</w:t>
      </w:r>
      <w:proofErr w:type="spellEnd"/>
      <w:r>
        <w:t xml:space="preserve"> exposure. This conclusion is supported by the findings of a Clinical Review issued by the </w:t>
      </w:r>
      <w:r w:rsidR="00A610F0">
        <w:t xml:space="preserve">US </w:t>
      </w:r>
      <w:r w:rsidR="00FE2CBD" w:rsidRPr="00FE2CBD">
        <w:t xml:space="preserve">Food and Drug Administration </w:t>
      </w:r>
      <w:r w:rsidR="00FE2CBD">
        <w:t>(</w:t>
      </w:r>
      <w:r>
        <w:t>FDA</w:t>
      </w:r>
      <w:r w:rsidR="00FE2CBD">
        <w:t>)</w:t>
      </w:r>
      <w:r>
        <w:t xml:space="preserve">, which recommended a </w:t>
      </w:r>
      <w:r w:rsidR="00A610F0">
        <w:t xml:space="preserve">thorough </w:t>
      </w:r>
      <w:r>
        <w:t>QT study be undertaken on a post-approval basis, to meet th</w:t>
      </w:r>
      <w:r w:rsidR="00FE2CBD">
        <w:t>e FDA’s regulatory requirements.</w:t>
      </w:r>
    </w:p>
    <w:p w14:paraId="05423659" w14:textId="77777777" w:rsidR="00906146" w:rsidRDefault="00906146" w:rsidP="00906146">
      <w:pPr>
        <w:pStyle w:val="Heading4"/>
      </w:pPr>
      <w:r>
        <w:t>Efficacy</w:t>
      </w:r>
    </w:p>
    <w:p w14:paraId="582BA735" w14:textId="3E123464" w:rsidR="00906146" w:rsidRDefault="00906146" w:rsidP="00906146">
      <w:r>
        <w:t xml:space="preserve">The submission included </w:t>
      </w:r>
      <w:r w:rsidR="002971B0">
        <w:t xml:space="preserve">primary analysis </w:t>
      </w:r>
      <w:r>
        <w:t>results from two ongoing Phase III pivotal studies (Part 2 of Study BP39056</w:t>
      </w:r>
      <w:r w:rsidR="00A610F0">
        <w:t xml:space="preserve"> (the </w:t>
      </w:r>
      <w:proofErr w:type="spellStart"/>
      <w:r w:rsidR="00A610F0">
        <w:t>Firefish</w:t>
      </w:r>
      <w:proofErr w:type="spellEnd"/>
      <w:r w:rsidR="00A610F0">
        <w:t xml:space="preserve"> trial)</w:t>
      </w:r>
      <w:r>
        <w:t xml:space="preserve"> in infantile onset SMA Type 1 and Part 2 of Study BP39055</w:t>
      </w:r>
      <w:r w:rsidR="00A610F0">
        <w:t xml:space="preserve"> (the Sunfish trial)</w:t>
      </w:r>
      <w:r>
        <w:t xml:space="preserve"> in later onset SMA Types 2 and 3 (non</w:t>
      </w:r>
      <w:r w:rsidR="00A610F0">
        <w:noBreakHyphen/>
      </w:r>
      <w:r>
        <w:t>ambulatory)) and their ongoing Part 1 phases.</w:t>
      </w:r>
    </w:p>
    <w:p w14:paraId="1DBA82E8" w14:textId="0FDC2733" w:rsidR="00906146" w:rsidRDefault="00906146" w:rsidP="00906146">
      <w:pPr>
        <w:pStyle w:val="Heading5"/>
      </w:pPr>
      <w:r>
        <w:t>Pivotal Study BP39056 (FIREFISH</w:t>
      </w:r>
      <w:r w:rsidR="008D509F">
        <w:t xml:space="preserve"> trial</w:t>
      </w:r>
      <w:r>
        <w:t>)</w:t>
      </w:r>
      <w:r w:rsidR="00A610F0">
        <w:t xml:space="preserve">, </w:t>
      </w:r>
      <w:r>
        <w:t>Part 2</w:t>
      </w:r>
    </w:p>
    <w:p w14:paraId="173CD247" w14:textId="5A84F96E" w:rsidR="00906146" w:rsidRDefault="00906146" w:rsidP="00906146">
      <w:r>
        <w:t>Study BP39056 was a two part, multi</w:t>
      </w:r>
      <w:r w:rsidR="00FE2CBD">
        <w:t xml:space="preserve">centre, single arm, </w:t>
      </w:r>
      <w:r w:rsidR="00A610F0">
        <w:t>open label</w:t>
      </w:r>
      <w:r>
        <w:t xml:space="preserve"> study that consisted of an ongoing Phase II dose finding Part 1, an ongoing confirmatory Phase III Part 2, of 24</w:t>
      </w:r>
      <w:r w:rsidR="00A610F0">
        <w:t> </w:t>
      </w:r>
      <w:r>
        <w:t xml:space="preserve">months duration, followed by an </w:t>
      </w:r>
      <w:r w:rsidR="00A610F0">
        <w:t xml:space="preserve">open label </w:t>
      </w:r>
      <w:r>
        <w:t>extension phase (</w:t>
      </w:r>
      <w:r w:rsidR="00A610F0">
        <w:t>open label extension</w:t>
      </w:r>
      <w:r>
        <w:t xml:space="preserve">). The study objectives were to investigate the safety, tolerability, PK, </w:t>
      </w:r>
      <w:proofErr w:type="gramStart"/>
      <w:r w:rsidR="00FE2CBD">
        <w:t>pharmacodynamics</w:t>
      </w:r>
      <w:proofErr w:type="gramEnd"/>
      <w:r>
        <w:t xml:space="preserve"> and efficacy of </w:t>
      </w:r>
      <w:proofErr w:type="spellStart"/>
      <w:r>
        <w:t>risdiplam</w:t>
      </w:r>
      <w:proofErr w:type="spellEnd"/>
      <w:r>
        <w:t xml:space="preserve"> in infants (aged 1 to 7 months at enrolment) with symptomatic SMA Type 1.</w:t>
      </w:r>
    </w:p>
    <w:p w14:paraId="135BB906" w14:textId="77777777" w:rsidR="00906146" w:rsidRDefault="00906146" w:rsidP="00906146">
      <w:r>
        <w:t>The study included infant</w:t>
      </w:r>
      <w:r w:rsidR="00CC0E6D">
        <w:t xml:space="preserve">s born at gestational age of 37 to </w:t>
      </w:r>
      <w:r>
        <w:t>42 weeks, aged 1</w:t>
      </w:r>
      <w:r w:rsidR="00CC0E6D">
        <w:t xml:space="preserve"> to </w:t>
      </w:r>
      <w:r>
        <w:t xml:space="preserve">7 months, with a confirmed diagnosis of 5q-autosomal recessive SMA with two </w:t>
      </w:r>
      <w:r w:rsidRPr="00455260">
        <w:rPr>
          <w:i/>
        </w:rPr>
        <w:t>SMN2</w:t>
      </w:r>
      <w:r>
        <w:t xml:space="preserve"> gene copies. Patients were excluded if they required invasive ventilation, tracheostomy or had hypoxemia </w:t>
      </w:r>
      <w:r w:rsidR="00E53523">
        <w:t xml:space="preserve">with or </w:t>
      </w:r>
      <w:r>
        <w:t xml:space="preserve">without ventilation support. Patients were also excluded if they had been hospitalised for a pulmonary event within the last </w:t>
      </w:r>
      <w:r w:rsidR="00CC0E6D">
        <w:t>two</w:t>
      </w:r>
      <w:r>
        <w:t xml:space="preserve"> months or had received concomitant or previous treatment with a </w:t>
      </w:r>
      <w:r w:rsidRPr="00455260">
        <w:rPr>
          <w:i/>
        </w:rPr>
        <w:t>SMN2</w:t>
      </w:r>
      <w:r w:rsidR="00CC0E6D">
        <w:t xml:space="preserve"> </w:t>
      </w:r>
      <w:r>
        <w:t xml:space="preserve">targeting antisense oligonucleotide, a </w:t>
      </w:r>
      <w:r w:rsidRPr="00455260">
        <w:rPr>
          <w:i/>
        </w:rPr>
        <w:t>SMN2</w:t>
      </w:r>
      <w:r>
        <w:t xml:space="preserve"> spl</w:t>
      </w:r>
      <w:r w:rsidR="00CC0E6D">
        <w:t>icing modifier or gene therapy.</w:t>
      </w:r>
    </w:p>
    <w:p w14:paraId="40D5DCBE" w14:textId="77777777" w:rsidR="00906146" w:rsidRDefault="00906146" w:rsidP="00906146">
      <w:r>
        <w:t xml:space="preserve">The following starting dose levels were selected for </w:t>
      </w:r>
      <w:r w:rsidR="00CC0E6D">
        <w:t xml:space="preserve">Study BP39056 </w:t>
      </w:r>
      <w:r>
        <w:t>Part 2:</w:t>
      </w:r>
    </w:p>
    <w:p w14:paraId="67823C63" w14:textId="77777777" w:rsidR="00906146" w:rsidRDefault="00CC0E6D" w:rsidP="00CC0E6D">
      <w:pPr>
        <w:pStyle w:val="ListBullet"/>
      </w:pPr>
      <w:r>
        <w:t>i</w:t>
      </w:r>
      <w:r w:rsidR="00906146">
        <w:t>nfants &gt;</w:t>
      </w:r>
      <w:r>
        <w:t xml:space="preserve"> </w:t>
      </w:r>
      <w:r w:rsidR="00906146">
        <w:t>1 month old and below 3 months of age at enrolment: 0.04 mg/</w:t>
      </w:r>
      <w:proofErr w:type="gramStart"/>
      <w:r w:rsidR="00906146">
        <w:t>kg;</w:t>
      </w:r>
      <w:proofErr w:type="gramEnd"/>
    </w:p>
    <w:p w14:paraId="0A539A3A" w14:textId="430AB6A7" w:rsidR="00906146" w:rsidRDefault="00CC0E6D" w:rsidP="00CC0E6D">
      <w:pPr>
        <w:pStyle w:val="ListBullet"/>
      </w:pPr>
      <w:r>
        <w:t>i</w:t>
      </w:r>
      <w:r w:rsidR="00906146">
        <w:t xml:space="preserve">nfants at least 3 months of age but below 5 months of age at enrolment: 0.08 </w:t>
      </w:r>
      <w:r w:rsidR="00656A1E">
        <w:t>mg/</w:t>
      </w:r>
      <w:proofErr w:type="gramStart"/>
      <w:r w:rsidR="00656A1E">
        <w:t>kg;</w:t>
      </w:r>
      <w:proofErr w:type="gramEnd"/>
    </w:p>
    <w:p w14:paraId="44506B00" w14:textId="77777777" w:rsidR="00906146" w:rsidRDefault="00CC0E6D" w:rsidP="00CC0E6D">
      <w:pPr>
        <w:pStyle w:val="ListBullet"/>
      </w:pPr>
      <w:r>
        <w:t>i</w:t>
      </w:r>
      <w:r w:rsidR="00906146">
        <w:t>nfants 5 months of age or older at enrolment: 0.2 mg/kg.</w:t>
      </w:r>
    </w:p>
    <w:p w14:paraId="5C25C739" w14:textId="77777777" w:rsidR="00906146" w:rsidRDefault="00906146" w:rsidP="00906146">
      <w:r>
        <w:t>The dose for infants aged &lt; 5 months of age was subsequently increased to 0.2 mg/kg.</w:t>
      </w:r>
    </w:p>
    <w:p w14:paraId="3058C8F3" w14:textId="2211B121" w:rsidR="00906146" w:rsidRDefault="00906146" w:rsidP="00906146">
      <w:r>
        <w:t xml:space="preserve">No randomisation or blinding was undertaken due to the </w:t>
      </w:r>
      <w:r w:rsidR="00A610F0">
        <w:t xml:space="preserve">open label </w:t>
      </w:r>
      <w:r>
        <w:t>study design. 41</w:t>
      </w:r>
      <w:r w:rsidR="00A610F0">
        <w:t> </w:t>
      </w:r>
      <w:r>
        <w:t>patients with SM</w:t>
      </w:r>
      <w:r w:rsidR="00CC0E6D">
        <w:t>A Type 1 across 14 sites from ten</w:t>
      </w:r>
      <w:r>
        <w:t xml:space="preserve"> countries were enrolled into </w:t>
      </w:r>
      <w:r w:rsidR="00CC0E6D">
        <w:t>Study</w:t>
      </w:r>
      <w:r w:rsidR="00A610F0">
        <w:t> </w:t>
      </w:r>
      <w:r w:rsidR="00CC0E6D">
        <w:t xml:space="preserve">BP39056 </w:t>
      </w:r>
      <w:r>
        <w:t xml:space="preserve">Part 2. 53.7% of subjects were female and 46.3% were male. Median age </w:t>
      </w:r>
      <w:r>
        <w:lastRenderedPageBreak/>
        <w:t>at enrolment was 5.3 months (</w:t>
      </w:r>
      <w:r w:rsidR="00A610F0">
        <w:t>r</w:t>
      </w:r>
      <w:r>
        <w:t>ange: 2.2 to 6.9 months). 53.7% of patients were older than 5 months. Most patients were White (53.7%) or Asian (34.1%); and from Europe (58.5%). Patients’ weight</w:t>
      </w:r>
      <w:r w:rsidR="00CC0E6D">
        <w:t xml:space="preserve"> for </w:t>
      </w:r>
      <w:r>
        <w:t>age values were at or below the 50</w:t>
      </w:r>
      <w:r w:rsidRPr="00455260">
        <w:t>th</w:t>
      </w:r>
      <w:r>
        <w:t xml:space="preserve"> percentile</w:t>
      </w:r>
      <w:r w:rsidR="006F4607">
        <w:t xml:space="preserve"> at Baseline</w:t>
      </w:r>
      <w:r>
        <w:t>, based on World Health Organization (W</w:t>
      </w:r>
      <w:r w:rsidR="00F36448">
        <w:t>HO) child growth s</w:t>
      </w:r>
      <w:r w:rsidR="006F4607">
        <w:t xml:space="preserve">tandards, for </w:t>
      </w:r>
      <w:proofErr w:type="gramStart"/>
      <w:r w:rsidR="006F4607">
        <w:t>the majority of</w:t>
      </w:r>
      <w:proofErr w:type="gramEnd"/>
      <w:r w:rsidR="006F4607">
        <w:t xml:space="preserve"> patients (29</w:t>
      </w:r>
      <w:r w:rsidR="00FE2CBD">
        <w:t xml:space="preserve"> </w:t>
      </w:r>
      <w:r w:rsidR="006F4607">
        <w:t xml:space="preserve">out of 41, 70.7%). The </w:t>
      </w:r>
      <w:r w:rsidR="00F36448">
        <w:t xml:space="preserve">median weight for </w:t>
      </w:r>
      <w:r>
        <w:t>age percen</w:t>
      </w:r>
      <w:r w:rsidR="00F36448">
        <w:t>tile of 24 (Range: 0.2 to 99</w:t>
      </w:r>
      <w:r w:rsidRPr="00455260">
        <w:t>th</w:t>
      </w:r>
      <w:r w:rsidR="00F36448">
        <w:t xml:space="preserve"> percentile); and length/height for </w:t>
      </w:r>
      <w:r>
        <w:t>age values were &gt; the 50</w:t>
      </w:r>
      <w:r w:rsidRPr="00455260">
        <w:t>th</w:t>
      </w:r>
      <w:r>
        <w:t xml:space="preserve"> percentile for most patients (63</w:t>
      </w:r>
      <w:r w:rsidR="00F36448">
        <w:t xml:space="preserve">.4%), with median length/height for </w:t>
      </w:r>
      <w:r>
        <w:t>age</w:t>
      </w:r>
      <w:r w:rsidR="00F36448">
        <w:t xml:space="preserve"> percentile of 66.2 (Range: 0.3 to </w:t>
      </w:r>
      <w:r>
        <w:t>100</w:t>
      </w:r>
      <w:r w:rsidRPr="00455260">
        <w:t>th</w:t>
      </w:r>
      <w:r>
        <w:t xml:space="preserve"> percentile).</w:t>
      </w:r>
    </w:p>
    <w:p w14:paraId="5921D3B0" w14:textId="3BFC9B77" w:rsidR="00906146" w:rsidRDefault="00906146" w:rsidP="00906146">
      <w:r>
        <w:t>The primary efficacy endpoint was the proportion of patients sittin</w:t>
      </w:r>
      <w:r w:rsidR="00F36448">
        <w:t>g without support for at least five</w:t>
      </w:r>
      <w:r>
        <w:t xml:space="preserve"> seconds, as assessed by Item 22 of the Bayley Scales of Infant and Toddler Development Third Edition (BSID-III)</w:t>
      </w:r>
      <w:r w:rsidR="00F36448">
        <w:t>;</w:t>
      </w:r>
      <w:bookmarkStart w:id="41" w:name="_Ref75942026"/>
      <w:r w:rsidR="00F36448">
        <w:rPr>
          <w:rStyle w:val="FootnoteReference"/>
        </w:rPr>
        <w:footnoteReference w:id="12"/>
      </w:r>
      <w:bookmarkEnd w:id="41"/>
      <w:r>
        <w:t xml:space="preserve"> gross motor scale at Month 12. </w:t>
      </w:r>
      <w:proofErr w:type="spellStart"/>
      <w:r>
        <w:t>Risdiplam</w:t>
      </w:r>
      <w:proofErr w:type="spellEnd"/>
      <w:r>
        <w:t xml:space="preserve"> treatment was </w:t>
      </w:r>
      <w:r w:rsidR="00FE2CBD">
        <w:t xml:space="preserve">associated with an approximate </w:t>
      </w:r>
      <w:proofErr w:type="spellStart"/>
      <w:r w:rsidR="00FE2CBD">
        <w:t>six</w:t>
      </w:r>
      <w:r w:rsidR="00F36448">
        <w:t xml:space="preserve"> </w:t>
      </w:r>
      <w:r>
        <w:t>fold</w:t>
      </w:r>
      <w:proofErr w:type="spellEnd"/>
      <w:r>
        <w:t xml:space="preserve"> greater improvement compared to the pre-specified natural history </w:t>
      </w:r>
      <w:r w:rsidR="00F36448">
        <w:t xml:space="preserve">performance criterion of 5% (See </w:t>
      </w:r>
      <w:r w:rsidR="00F36448">
        <w:fldChar w:fldCharType="begin"/>
      </w:r>
      <w:r w:rsidR="00F36448">
        <w:instrText xml:space="preserve"> REF _Ref75937534 \h </w:instrText>
      </w:r>
      <w:r w:rsidR="00F36448">
        <w:fldChar w:fldCharType="separate"/>
      </w:r>
      <w:r w:rsidR="00710041" w:rsidRPr="00F36448">
        <w:t xml:space="preserve">Table </w:t>
      </w:r>
      <w:r w:rsidR="00710041">
        <w:rPr>
          <w:noProof/>
        </w:rPr>
        <w:t>3</w:t>
      </w:r>
      <w:r w:rsidR="00F36448">
        <w:fldChar w:fldCharType="end"/>
      </w:r>
      <w:r>
        <w:t xml:space="preserve">). This difference was both statistically significant and clinically meaningful. Compared to the natural history of (untreated) SMA Type 1, with a threshold criterion of 5%, the number of patients needed to treat (NNT) to achieve a positive treatment effect from </w:t>
      </w:r>
      <w:proofErr w:type="spellStart"/>
      <w:r>
        <w:t>risdiplam</w:t>
      </w:r>
      <w:proofErr w:type="spellEnd"/>
      <w:r>
        <w:t xml:space="preserve">, at the pivotal dose, over 12 </w:t>
      </w:r>
      <w:r w:rsidR="00F36448">
        <w:t xml:space="preserve">months of treatment, was approximately </w:t>
      </w:r>
      <w:r>
        <w:t>4.</w:t>
      </w:r>
    </w:p>
    <w:p w14:paraId="01C2F6BC" w14:textId="0153240B" w:rsidR="00906146" w:rsidRDefault="00906146" w:rsidP="00421271">
      <w:r>
        <w:t xml:space="preserve">The results of the sensitivity </w:t>
      </w:r>
      <w:r w:rsidRPr="00421271">
        <w:t xml:space="preserve">analyses and the subgroup analyses </w:t>
      </w:r>
      <w:r w:rsidR="002971B0" w:rsidRPr="00421271">
        <w:t xml:space="preserve">for the primary efficacy endpoint </w:t>
      </w:r>
      <w:r w:rsidRPr="00421271">
        <w:t>were generally consistent with the primary analysis except for male patients, who</w:t>
      </w:r>
      <w:r w:rsidR="00421271" w:rsidRPr="00421271">
        <w:t xml:space="preserve"> had a lower proportion achieving the primary endpoint </w:t>
      </w:r>
      <w:r w:rsidRPr="00421271">
        <w:t>compared to female su</w:t>
      </w:r>
      <w:r w:rsidR="00F36448" w:rsidRPr="00421271">
        <w:t xml:space="preserve">bjects, </w:t>
      </w:r>
      <w:r w:rsidR="0008473C">
        <w:t>that is</w:t>
      </w:r>
      <w:r w:rsidR="00421271" w:rsidRPr="00421271">
        <w:t xml:space="preserve"> </w:t>
      </w:r>
      <w:r w:rsidRPr="00421271">
        <w:t>5.3% (n = 1) v</w:t>
      </w:r>
      <w:r w:rsidR="00F36448" w:rsidRPr="00421271">
        <w:t>ersus</w:t>
      </w:r>
      <w:r w:rsidRPr="00421271">
        <w:t xml:space="preserve"> 50.0% (n = 11), respectively. This comparison included 3 male infants who died before the Month 12 efficacy analysis and were categorised as non-responders, as per protocol</w:t>
      </w:r>
      <w:r>
        <w:t>.</w:t>
      </w:r>
    </w:p>
    <w:p w14:paraId="2F803E13" w14:textId="4DF5B5A4" w:rsidR="00F36448" w:rsidRPr="00F36448" w:rsidRDefault="00F36448" w:rsidP="00F36448">
      <w:pPr>
        <w:pStyle w:val="TableTitle"/>
        <w:rPr>
          <w:rFonts w:eastAsiaTheme="minorHAnsi" w:cs="Arial"/>
        </w:rPr>
      </w:pPr>
      <w:bookmarkStart w:id="42" w:name="_Ref75937534"/>
      <w:r w:rsidRPr="00F36448">
        <w:t xml:space="preserve">Table </w:t>
      </w:r>
      <w:r w:rsidR="00C27826">
        <w:fldChar w:fldCharType="begin"/>
      </w:r>
      <w:r w:rsidR="00C27826">
        <w:instrText xml:space="preserve"> SEQ Table \* ARABIC </w:instrText>
      </w:r>
      <w:r w:rsidR="00C27826">
        <w:fldChar w:fldCharType="separate"/>
      </w:r>
      <w:r w:rsidR="00710041">
        <w:rPr>
          <w:noProof/>
        </w:rPr>
        <w:t>3</w:t>
      </w:r>
      <w:r w:rsidR="00C27826">
        <w:rPr>
          <w:noProof/>
        </w:rPr>
        <w:fldChar w:fldCharType="end"/>
      </w:r>
      <w:bookmarkEnd w:id="42"/>
      <w:r>
        <w:t>: Study BP39056 Results for the primary efficacy endpoint</w:t>
      </w:r>
    </w:p>
    <w:p w14:paraId="65DA2616" w14:textId="2471DCDA" w:rsidR="00F36448" w:rsidRDefault="00F36448" w:rsidP="00F36448">
      <w:r>
        <w:rPr>
          <w:noProof/>
          <w:lang w:val="en-GB" w:eastAsia="en-GB"/>
        </w:rPr>
        <w:drawing>
          <wp:inline distT="0" distB="0" distL="0" distR="0" wp14:anchorId="1D8C319D" wp14:editId="26580B7C">
            <wp:extent cx="5310554" cy="1041401"/>
            <wp:effectExtent l="0" t="0" r="4445" b="6350"/>
            <wp:docPr id="16" name="Picture 16" descr="Study BP39056 Results for the primary efficac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9692" cy="1045154"/>
                    </a:xfrm>
                    <a:prstGeom prst="rect">
                      <a:avLst/>
                    </a:prstGeom>
                  </pic:spPr>
                </pic:pic>
              </a:graphicData>
            </a:graphic>
          </wp:inline>
        </w:drawing>
      </w:r>
    </w:p>
    <w:p w14:paraId="3F32516A" w14:textId="403B5D39" w:rsidR="00A610F0" w:rsidRDefault="00A610F0" w:rsidP="00455260">
      <w:pPr>
        <w:pStyle w:val="TableDescription"/>
      </w:pPr>
      <w:r>
        <w:t>N = number of participants; BSID-III = Bayley Scales of Infant and Toddler Development (third edition); CI = confidence interval.</w:t>
      </w:r>
    </w:p>
    <w:p w14:paraId="7CF3F9E6" w14:textId="77777777" w:rsidR="00F36448" w:rsidRDefault="00F36448" w:rsidP="00F36448">
      <w:r>
        <w:t>The key secondary efficacy endpoints at Month 12 (in hierarchical order) were the:</w:t>
      </w:r>
    </w:p>
    <w:p w14:paraId="36C6D994" w14:textId="77777777" w:rsidR="00F36448" w:rsidRDefault="00F36448" w:rsidP="00F36448">
      <w:pPr>
        <w:pStyle w:val="ListBullet"/>
      </w:pPr>
      <w:r>
        <w:t>proportion of patients who achieve a Children’s Hospital of Philadelphia Infant Test of Neuromuscular Disorders (CHOP-INTEND) score of 40 or higher;</w:t>
      </w:r>
      <w:bookmarkStart w:id="43" w:name="_Ref75942062"/>
      <w:r w:rsidR="008D509F">
        <w:rPr>
          <w:rStyle w:val="FootnoteReference"/>
        </w:rPr>
        <w:footnoteReference w:id="13"/>
      </w:r>
      <w:bookmarkEnd w:id="43"/>
    </w:p>
    <w:p w14:paraId="0595C156" w14:textId="77777777" w:rsidR="00F36448" w:rsidRDefault="00F36448" w:rsidP="00F36448">
      <w:pPr>
        <w:pStyle w:val="ListBullet"/>
      </w:pPr>
      <w:r>
        <w:t xml:space="preserve">proportion of patients who achieve an increase of at least 4 points in their CHOP-INTEND score from </w:t>
      </w:r>
      <w:proofErr w:type="gramStart"/>
      <w:r>
        <w:t>Baseline;</w:t>
      </w:r>
      <w:proofErr w:type="gramEnd"/>
    </w:p>
    <w:p w14:paraId="5D26A70E" w14:textId="77777777" w:rsidR="00F36448" w:rsidRDefault="00F36448" w:rsidP="00F36448">
      <w:pPr>
        <w:pStyle w:val="ListBullet"/>
      </w:pPr>
      <w:r>
        <w:t>proportion of motor milestone responders, as assessed by the Hammersmith Infant Neurological Examination Module 2 (HINE-2)</w:t>
      </w:r>
      <w:r w:rsidR="008D509F">
        <w:t>;</w:t>
      </w:r>
      <w:bookmarkStart w:id="44" w:name="_Ref75942041"/>
      <w:r w:rsidR="008D509F">
        <w:rPr>
          <w:rStyle w:val="FootnoteReference"/>
        </w:rPr>
        <w:footnoteReference w:id="14"/>
      </w:r>
      <w:bookmarkEnd w:id="44"/>
    </w:p>
    <w:p w14:paraId="2EE3A15F" w14:textId="77777777" w:rsidR="00F36448" w:rsidRDefault="00F36448" w:rsidP="00F36448">
      <w:pPr>
        <w:pStyle w:val="ListBullet"/>
      </w:pPr>
      <w:r>
        <w:lastRenderedPageBreak/>
        <w:t>proportion of patients alive without permanent ventilation.</w:t>
      </w:r>
    </w:p>
    <w:p w14:paraId="6DB298D1" w14:textId="234C330E" w:rsidR="00F36448" w:rsidRDefault="00F36448" w:rsidP="00F36448">
      <w:r>
        <w:t xml:space="preserve">After 12 months, </w:t>
      </w:r>
      <w:proofErr w:type="spellStart"/>
      <w:r>
        <w:t>risdiplam</w:t>
      </w:r>
      <w:proofErr w:type="spellEnd"/>
      <w:r>
        <w:t xml:space="preserve"> treatment was associated with statistically significant and clinically meaningful improvements in key motor function and development milestones, as well a</w:t>
      </w:r>
      <w:r w:rsidR="008D509F">
        <w:t xml:space="preserve">s ventilation </w:t>
      </w:r>
      <w:r>
        <w:t>free survival</w:t>
      </w:r>
      <w:r w:rsidR="008D509F">
        <w:t xml:space="preserve"> (See </w:t>
      </w:r>
      <w:r w:rsidR="008D509F">
        <w:fldChar w:fldCharType="begin"/>
      </w:r>
      <w:r w:rsidR="008D509F">
        <w:instrText xml:space="preserve"> REF _Ref75939426 \h </w:instrText>
      </w:r>
      <w:r w:rsidR="008D509F">
        <w:fldChar w:fldCharType="separate"/>
      </w:r>
      <w:r w:rsidR="00710041" w:rsidRPr="008D509F">
        <w:t xml:space="preserve">Table </w:t>
      </w:r>
      <w:r w:rsidR="00710041">
        <w:rPr>
          <w:noProof/>
        </w:rPr>
        <w:t>4</w:t>
      </w:r>
      <w:r w:rsidR="008D509F">
        <w:fldChar w:fldCharType="end"/>
      </w:r>
      <w:r w:rsidR="008D509F">
        <w:t>)</w:t>
      </w:r>
      <w:r>
        <w:t>.</w:t>
      </w:r>
    </w:p>
    <w:p w14:paraId="779D8BEC" w14:textId="667B2853" w:rsidR="008D509F" w:rsidRDefault="008D509F" w:rsidP="008D509F">
      <w:pPr>
        <w:pStyle w:val="TableTitle"/>
      </w:pPr>
      <w:bookmarkStart w:id="45" w:name="_Ref75939426"/>
      <w:r w:rsidRPr="008D509F">
        <w:t xml:space="preserve">Table </w:t>
      </w:r>
      <w:r w:rsidR="00C27826">
        <w:fldChar w:fldCharType="begin"/>
      </w:r>
      <w:r w:rsidR="00C27826">
        <w:instrText xml:space="preserve"> SEQ Table \* ARABIC </w:instrText>
      </w:r>
      <w:r w:rsidR="00C27826">
        <w:fldChar w:fldCharType="separate"/>
      </w:r>
      <w:r w:rsidR="00710041">
        <w:rPr>
          <w:noProof/>
        </w:rPr>
        <w:t>4</w:t>
      </w:r>
      <w:r w:rsidR="00C27826">
        <w:rPr>
          <w:noProof/>
        </w:rPr>
        <w:fldChar w:fldCharType="end"/>
      </w:r>
      <w:bookmarkEnd w:id="45"/>
      <w:r>
        <w:t>:</w:t>
      </w:r>
      <w:r w:rsidRPr="008D509F">
        <w:t xml:space="preserve"> </w:t>
      </w:r>
      <w:r>
        <w:t>Study BP39056 Results for the key secondary efficacy endpoints</w:t>
      </w:r>
    </w:p>
    <w:p w14:paraId="1DC6DDC2" w14:textId="3E1D147C" w:rsidR="00E222C6" w:rsidRDefault="00E222C6" w:rsidP="00E222C6">
      <w:r>
        <w:rPr>
          <w:noProof/>
        </w:rPr>
        <w:drawing>
          <wp:inline distT="0" distB="0" distL="0" distR="0" wp14:anchorId="7CA7B55B" wp14:editId="71B2B679">
            <wp:extent cx="5400040" cy="2085594"/>
            <wp:effectExtent l="0" t="0" r="0" b="0"/>
            <wp:docPr id="3" name="Picture 3" descr="Table 4: Study BP39056 Results for the key secondary efficacy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4: Study BP39056 Results for the key secondary efficacy endpoints"/>
                    <pic:cNvPicPr/>
                  </pic:nvPicPr>
                  <pic:blipFill>
                    <a:blip r:embed="rId19"/>
                    <a:stretch>
                      <a:fillRect/>
                    </a:stretch>
                  </pic:blipFill>
                  <pic:spPr>
                    <a:xfrm>
                      <a:off x="0" y="0"/>
                      <a:ext cx="5400040" cy="2085594"/>
                    </a:xfrm>
                    <a:prstGeom prst="rect">
                      <a:avLst/>
                    </a:prstGeom>
                  </pic:spPr>
                </pic:pic>
              </a:graphicData>
            </a:graphic>
          </wp:inline>
        </w:drawing>
      </w:r>
    </w:p>
    <w:p w14:paraId="56AB423A" w14:textId="5910BF16" w:rsidR="00482A86" w:rsidRDefault="00482A86" w:rsidP="00F72B7A">
      <w:pPr>
        <w:pStyle w:val="TableDescription"/>
      </w:pPr>
      <w:r>
        <w:t xml:space="preserve">CHOP-INTEND = </w:t>
      </w:r>
      <w:r w:rsidRPr="00482A86">
        <w:t>Children’s Hospital of Philadelphia Infant Test of Neuromuscular Disorders</w:t>
      </w:r>
      <w:r>
        <w:t>; HINE-2 = Hammersmith Infant Neurological Examination Module 2; NNT = numbers needed to treat; CI = confidence interval.</w:t>
      </w:r>
    </w:p>
    <w:p w14:paraId="19BC2B1C" w14:textId="0D202C54" w:rsidR="008D509F" w:rsidRDefault="008D509F" w:rsidP="008D509F">
      <w:pPr>
        <w:pStyle w:val="Heading5"/>
      </w:pPr>
      <w:r>
        <w:t>Pivotal Study BP39055 (SUNFISH trial)</w:t>
      </w:r>
      <w:r w:rsidR="00482A86">
        <w:t xml:space="preserve">, </w:t>
      </w:r>
      <w:r>
        <w:t>Part 2</w:t>
      </w:r>
    </w:p>
    <w:p w14:paraId="62CE84F2" w14:textId="0B87E7FD" w:rsidR="008D509F" w:rsidRDefault="008D509F" w:rsidP="008D509F">
      <w:r>
        <w:t xml:space="preserve">Study BP39055 is a two part, multicentre study that consisted of a Phase II, randomised, placebo controlled, double blind dose finding Part 1, and an ongoing pivotal Phase III Part 2, randomised, placebo controlled, double blind period of 12 months duration, followed by a 12 month blinded period at the pivotal dose selected from Part 1, and an </w:t>
      </w:r>
      <w:r w:rsidR="00482A86">
        <w:t xml:space="preserve">open label extension </w:t>
      </w:r>
      <w:r>
        <w:t xml:space="preserve">period (See </w:t>
      </w:r>
      <w:r>
        <w:fldChar w:fldCharType="begin"/>
      </w:r>
      <w:r>
        <w:instrText xml:space="preserve"> REF _Ref75939637 \h </w:instrText>
      </w:r>
      <w:r>
        <w:fldChar w:fldCharType="separate"/>
      </w:r>
      <w:r w:rsidR="00710041" w:rsidRPr="008D509F">
        <w:t xml:space="preserve">Figure </w:t>
      </w:r>
      <w:r w:rsidR="00710041">
        <w:rPr>
          <w:noProof/>
        </w:rPr>
        <w:t>2</w:t>
      </w:r>
      <w:r>
        <w:fldChar w:fldCharType="end"/>
      </w:r>
      <w:r>
        <w:t xml:space="preserve">). The study objectives were to evaluate the efficacy (including motor and respiratory function) of </w:t>
      </w:r>
      <w:proofErr w:type="spellStart"/>
      <w:r>
        <w:t>risdiplam</w:t>
      </w:r>
      <w:proofErr w:type="spellEnd"/>
      <w:r>
        <w:t xml:space="preserve"> in patients with SMA Type 2 and non-ambulant SMA Type 3 in patients aged 2 to 25 years.</w:t>
      </w:r>
    </w:p>
    <w:p w14:paraId="27CF2576" w14:textId="74C66A63" w:rsidR="008D509F" w:rsidRDefault="008D509F" w:rsidP="008D509F">
      <w:pPr>
        <w:pStyle w:val="FigureTitle"/>
      </w:pPr>
      <w:bookmarkStart w:id="46" w:name="_Ref75939637"/>
      <w:r w:rsidRPr="008D509F">
        <w:t xml:space="preserve">Figure </w:t>
      </w:r>
      <w:r w:rsidR="00C27826">
        <w:fldChar w:fldCharType="begin"/>
      </w:r>
      <w:r w:rsidR="00C27826">
        <w:instrText xml:space="preserve"> SEQ Figure \* ARABIC </w:instrText>
      </w:r>
      <w:r w:rsidR="00C27826">
        <w:fldChar w:fldCharType="separate"/>
      </w:r>
      <w:r w:rsidR="00710041">
        <w:rPr>
          <w:noProof/>
        </w:rPr>
        <w:t>2</w:t>
      </w:r>
      <w:r w:rsidR="00C27826">
        <w:rPr>
          <w:noProof/>
        </w:rPr>
        <w:fldChar w:fldCharType="end"/>
      </w:r>
      <w:bookmarkEnd w:id="46"/>
      <w:r>
        <w:t>: Study BP3905 Study plan</w:t>
      </w:r>
    </w:p>
    <w:p w14:paraId="50DCE8C6" w14:textId="77777777" w:rsidR="008D509F" w:rsidRDefault="008D509F" w:rsidP="008D509F">
      <w:r>
        <w:rPr>
          <w:noProof/>
          <w:lang w:val="en-GB" w:eastAsia="en-GB"/>
        </w:rPr>
        <w:drawing>
          <wp:inline distT="0" distB="0" distL="0" distR="0" wp14:anchorId="5F8953E7" wp14:editId="33540B2F">
            <wp:extent cx="5257800" cy="1878659"/>
            <wp:effectExtent l="0" t="0" r="0" b="7620"/>
            <wp:docPr id="41" name="Picture 41" descr="Study BP3905 Study plan.&#10;180 were randomised, in a 2:1 ratio to recieve risdisplam or placebo for 12 months. At 12 months placebo-treated patients were switched to risdiplam in a blinded manned. The open label extension lasted another 3 years post switching all patients to risdip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63393" cy="1880657"/>
                    </a:xfrm>
                    <a:prstGeom prst="rect">
                      <a:avLst/>
                    </a:prstGeom>
                  </pic:spPr>
                </pic:pic>
              </a:graphicData>
            </a:graphic>
          </wp:inline>
        </w:drawing>
      </w:r>
    </w:p>
    <w:p w14:paraId="45DAC3A7" w14:textId="77777777" w:rsidR="008D509F" w:rsidRDefault="008D509F" w:rsidP="008D509F">
      <w:r>
        <w:t xml:space="preserve">The study included subjects aged 2 to 25 years of age at screening, with a confirmed diagnosis of 5q-autosomal recessive SMA, including clinical symptoms attributable to SMA Type 2 or Type 3. Non-ambulant participants had to have </w:t>
      </w:r>
      <w:r w:rsidR="00AA35B2">
        <w:t>revised upper limb m</w:t>
      </w:r>
      <w:r w:rsidR="00AA35B2" w:rsidRPr="00AA35B2">
        <w:t xml:space="preserve">odule </w:t>
      </w:r>
      <w:r w:rsidR="00AA35B2">
        <w:t>(</w:t>
      </w:r>
      <w:r>
        <w:t>RULM</w:t>
      </w:r>
      <w:r w:rsidR="00AA35B2">
        <w:t>)</w:t>
      </w:r>
      <w:r>
        <w:t xml:space="preserve"> entry</w:t>
      </w:r>
      <w:r w:rsidR="00AA35B2">
        <w:t>;</w:t>
      </w:r>
      <w:bookmarkStart w:id="47" w:name="_Ref75940579"/>
      <w:r w:rsidR="00AA35B2">
        <w:rPr>
          <w:rStyle w:val="FootnoteReference"/>
        </w:rPr>
        <w:footnoteReference w:id="15"/>
      </w:r>
      <w:bookmarkEnd w:id="47"/>
      <w:r>
        <w:t xml:space="preserve"> item A at screening ≥ 2 and an ability to sit independently. Excl</w:t>
      </w:r>
      <w:r w:rsidR="00AA35B2">
        <w:t xml:space="preserve">usion </w:t>
      </w:r>
      <w:r w:rsidR="00AA35B2">
        <w:lastRenderedPageBreak/>
        <w:t xml:space="preserve">criteria were </w:t>
      </w:r>
      <w:proofErr w:type="gramStart"/>
      <w:r w:rsidR="00AA35B2">
        <w:t>similar to</w:t>
      </w:r>
      <w:proofErr w:type="gramEnd"/>
      <w:r w:rsidR="00AA35B2">
        <w:t xml:space="preserve"> S</w:t>
      </w:r>
      <w:r>
        <w:t>tudy BP39056 but with additional exclusions for patients with a history of cell therapy, surgery for scoliosis or hip fixation in the past year or planned within 18 months or a history of ophthalmological diseases.</w:t>
      </w:r>
    </w:p>
    <w:p w14:paraId="7490C1B2" w14:textId="77777777" w:rsidR="008D509F" w:rsidRDefault="008D509F" w:rsidP="008D509F">
      <w:r>
        <w:t>S</w:t>
      </w:r>
      <w:r w:rsidR="00AA35B2">
        <w:t xml:space="preserve">ubjects were randomised to once </w:t>
      </w:r>
      <w:r>
        <w:t xml:space="preserve">daily oral </w:t>
      </w:r>
      <w:proofErr w:type="spellStart"/>
      <w:r>
        <w:t>risdiplam</w:t>
      </w:r>
      <w:proofErr w:type="spellEnd"/>
      <w:r>
        <w:t xml:space="preserve"> at the pivotal dose for age and weight, or placebo, in a 2:1 ratio. Rand</w:t>
      </w:r>
      <w:r w:rsidR="00AA35B2">
        <w:t xml:space="preserve">omisation was stratified by age group (2 to 5 years, 6 to 11 years, 12 to </w:t>
      </w:r>
      <w:r>
        <w:t xml:space="preserve">17 </w:t>
      </w:r>
      <w:proofErr w:type="gramStart"/>
      <w:r>
        <w:t>years</w:t>
      </w:r>
      <w:proofErr w:type="gramEnd"/>
      <w:r>
        <w:t xml:space="preserve"> and 18</w:t>
      </w:r>
      <w:r w:rsidR="00AA35B2">
        <w:t xml:space="preserve"> to </w:t>
      </w:r>
      <w:r>
        <w:t xml:space="preserve">25 years). Patients and site personnel (except the pharmacist) were blinded to initial treatment assignment until the last patient completed the </w:t>
      </w:r>
      <w:r w:rsidR="00AA35B2">
        <w:t>Month 24 assessment, while the s</w:t>
      </w:r>
      <w:r>
        <w:t>ponsor remained blinded until the last patient randomised completed their Month 12 assessment.</w:t>
      </w:r>
    </w:p>
    <w:p w14:paraId="7063B64F" w14:textId="347438B8" w:rsidR="008D509F" w:rsidRDefault="008D509F" w:rsidP="008D509F">
      <w:r>
        <w:t xml:space="preserve">Demographic, baseline characteristics and disease baseline characteristics were evenly distributed across treatment arms. 49.4% of subjects were male and 50.6% were female. Median patient age at screening was 9.0 years (Range: 2 </w:t>
      </w:r>
      <w:r w:rsidR="00AA35B2">
        <w:t>to 25 years). Median weight at B</w:t>
      </w:r>
      <w:r>
        <w:t>aseline was 27.1 kg (Range: 10.4 to 112.0 kg) and median BMI was 15.7 kg/m2 (Range: 7.8 to 34.6 kg/m2). Most patients were White (67.2%) or Asian (19.4%) and from Eur</w:t>
      </w:r>
      <w:r w:rsidR="00AA35B2">
        <w:t>ope (68.9%). Most patients had three</w:t>
      </w:r>
      <w:r w:rsidR="00FE2CBD">
        <w:t xml:space="preserve"> </w:t>
      </w:r>
      <w:r w:rsidR="00FE2CBD" w:rsidRPr="00F72B7A">
        <w:rPr>
          <w:i/>
        </w:rPr>
        <w:t>SMN2</w:t>
      </w:r>
      <w:r w:rsidR="00FE2CBD">
        <w:t xml:space="preserve"> copies and SMA Type 2</w:t>
      </w:r>
      <w:r>
        <w:t xml:space="preserve"> disease. Overall median age at onset of symptoms was 12.4 months (Range: 0 to 135 months). Most patients could not stand or walk. More patients in t</w:t>
      </w:r>
      <w:r w:rsidR="00AA35B2">
        <w:t xml:space="preserve">he </w:t>
      </w:r>
      <w:proofErr w:type="spellStart"/>
      <w:r w:rsidR="00AA35B2">
        <w:t>risdiplam</w:t>
      </w:r>
      <w:proofErr w:type="spellEnd"/>
      <w:r w:rsidR="00AA35B2">
        <w:t xml:space="preserve"> group (20.9%) had one</w:t>
      </w:r>
      <w:r>
        <w:t xml:space="preserve"> or more fractures than in the placebo group (11.7%)</w:t>
      </w:r>
      <w:r w:rsidR="00AA35B2">
        <w:t xml:space="preserve">. Most patients had scoliosis: </w:t>
      </w:r>
      <w:proofErr w:type="spellStart"/>
      <w:r w:rsidR="00AA35B2">
        <w:t>r</w:t>
      </w:r>
      <w:r>
        <w:t>isdiplam</w:t>
      </w:r>
      <w:proofErr w:type="spellEnd"/>
      <w:r>
        <w:t xml:space="preserve">, 63.3% and placebo, 73.3%. Fewer patients in the </w:t>
      </w:r>
      <w:proofErr w:type="spellStart"/>
      <w:r>
        <w:t>risdiplam</w:t>
      </w:r>
      <w:proofErr w:type="spellEnd"/>
      <w:r>
        <w:t xml:space="preserve"> ar</w:t>
      </w:r>
      <w:r w:rsidR="00AA35B2">
        <w:t>m had severe scoliosis (28.3% versus</w:t>
      </w:r>
      <w:r>
        <w:t xml:space="preserve"> 38.3%, respectively). Most patients (61.1%) did not require pulmonary care.</w:t>
      </w:r>
    </w:p>
    <w:p w14:paraId="3C55DD3A" w14:textId="18A0DA7F" w:rsidR="008D509F" w:rsidRDefault="008D509F" w:rsidP="008D509F">
      <w:r>
        <w:t xml:space="preserve">The primary endpoint was the change from </w:t>
      </w:r>
      <w:r w:rsidR="00AA35B2">
        <w:t>B</w:t>
      </w:r>
      <w:r>
        <w:t>aseline in the total motor function measure 32 (MFM32)</w:t>
      </w:r>
      <w:r w:rsidR="00334E1D">
        <w:t>;</w:t>
      </w:r>
      <w:bookmarkStart w:id="48" w:name="_Ref75940572"/>
      <w:r w:rsidR="00334E1D">
        <w:rPr>
          <w:rStyle w:val="FootnoteReference"/>
        </w:rPr>
        <w:footnoteReference w:id="16"/>
      </w:r>
      <w:bookmarkEnd w:id="48"/>
      <w:r>
        <w:t xml:space="preserve"> score at Month 12 </w:t>
      </w:r>
      <w:r w:rsidR="00AA35B2">
        <w:t>(</w:t>
      </w:r>
      <w:r w:rsidR="00482A86">
        <w:t xml:space="preserve">mixed model repeated measures </w:t>
      </w:r>
      <w:r w:rsidR="00AA35B2">
        <w:t>(MMRM)</w:t>
      </w:r>
      <w:r>
        <w:t xml:space="preserve"> analysis). Improvement in the MMRM analysis of </w:t>
      </w:r>
      <w:r w:rsidR="00A06917">
        <w:t xml:space="preserve">change from baseline </w:t>
      </w:r>
      <w:r>
        <w:t xml:space="preserve">in MFM32 total score at Month 12 with </w:t>
      </w:r>
      <w:proofErr w:type="spellStart"/>
      <w:r>
        <w:t>risdiplam</w:t>
      </w:r>
      <w:proofErr w:type="spellEnd"/>
      <w:r>
        <w:t xml:space="preserve"> compared to placebo was both clinically and statistically significant. The results of the sensitivity and subgroup analyses were consistent with those of the primary analysis</w:t>
      </w:r>
      <w:r w:rsidR="00334E1D">
        <w:t>. However, for patients aged 18 to 25 years no improvement from B</w:t>
      </w:r>
      <w:r>
        <w:t>aseline was observ</w:t>
      </w:r>
      <w:r w:rsidR="00334E1D">
        <w:t>ed; m</w:t>
      </w:r>
      <w:r>
        <w:t>e</w:t>
      </w:r>
      <w:r w:rsidR="00334E1D">
        <w:t>an treatment difference (95% confidence interval (CI)</w:t>
      </w:r>
      <w:r>
        <w:t xml:space="preserve">) </w:t>
      </w:r>
      <w:r w:rsidRPr="00907438">
        <w:t>was -0.65 (-4.03, 2.74).</w:t>
      </w:r>
      <w:r>
        <w:t xml:space="preserve"> </w:t>
      </w:r>
      <w:r w:rsidR="00334E1D">
        <w:t xml:space="preserve">There appeared to be an inverse </w:t>
      </w:r>
      <w:r>
        <w:t>relationship with age, whereby the youngest patients derived the greatest mean treatment</w:t>
      </w:r>
      <w:r w:rsidR="00334E1D">
        <w:t xml:space="preserve"> benefit. No improvements from B</w:t>
      </w:r>
      <w:r>
        <w:t>aseline were also observed in patients from China and Japan, however there were small patient numbers in the subgroup (≤ 16 per group).</w:t>
      </w:r>
    </w:p>
    <w:p w14:paraId="4514BC88" w14:textId="09F33130" w:rsidR="008D509F" w:rsidRDefault="008D509F" w:rsidP="008D509F">
      <w:r>
        <w:t xml:space="preserve">A </w:t>
      </w:r>
      <w:r w:rsidRPr="00F72B7A">
        <w:rPr>
          <w:i/>
        </w:rPr>
        <w:t>post hoc</w:t>
      </w:r>
      <w:r>
        <w:t xml:space="preserve"> analysis by concomitant use of </w:t>
      </w:r>
      <w:proofErr w:type="spellStart"/>
      <w:r>
        <w:t>risdiplam</w:t>
      </w:r>
      <w:proofErr w:type="spellEnd"/>
      <w:r>
        <w:t xml:space="preserve"> and antacids suggested there may be a potential drug</w:t>
      </w:r>
      <w:r w:rsidR="000C4C49">
        <w:t xml:space="preserve"> </w:t>
      </w:r>
      <w:proofErr w:type="spellStart"/>
      <w:r>
        <w:t>drug</w:t>
      </w:r>
      <w:proofErr w:type="spellEnd"/>
      <w:r>
        <w:t xml:space="preserve"> interaction (DDI) that may result in loss of efficacy in patients who received more than 30 or 90 days of continuous antacid treatment (of any class), based on MFM32</w:t>
      </w:r>
      <w:r w:rsidR="00334E1D">
        <w:t>;</w:t>
      </w:r>
      <w:r w:rsidR="00334E1D">
        <w:fldChar w:fldCharType="begin"/>
      </w:r>
      <w:r w:rsidR="00334E1D">
        <w:instrText xml:space="preserve"> NOTEREF _Ref75940572 \f \h </w:instrText>
      </w:r>
      <w:r w:rsidR="00334E1D">
        <w:fldChar w:fldCharType="separate"/>
      </w:r>
      <w:r w:rsidR="00710041" w:rsidRPr="00710041">
        <w:rPr>
          <w:rStyle w:val="FootnoteReference"/>
        </w:rPr>
        <w:t>16</w:t>
      </w:r>
      <w:r w:rsidR="00334E1D">
        <w:fldChar w:fldCharType="end"/>
      </w:r>
      <w:r>
        <w:t xml:space="preserve"> and RULM</w:t>
      </w:r>
      <w:r w:rsidR="00334E1D">
        <w:t>;</w:t>
      </w:r>
      <w:r w:rsidR="00334E1D">
        <w:fldChar w:fldCharType="begin"/>
      </w:r>
      <w:r w:rsidR="00334E1D">
        <w:instrText xml:space="preserve"> NOTEREF _Ref75940579 \f \h </w:instrText>
      </w:r>
      <w:r w:rsidR="00334E1D">
        <w:fldChar w:fldCharType="separate"/>
      </w:r>
      <w:r w:rsidR="00710041" w:rsidRPr="00710041">
        <w:rPr>
          <w:rStyle w:val="FootnoteReference"/>
        </w:rPr>
        <w:t>15</w:t>
      </w:r>
      <w:r w:rsidR="00334E1D">
        <w:fldChar w:fldCharType="end"/>
      </w:r>
      <w:r>
        <w:t xml:space="preserve"> total scores.</w:t>
      </w:r>
    </w:p>
    <w:p w14:paraId="47918BAA" w14:textId="219AFD10" w:rsidR="00334E1D" w:rsidRDefault="00334E1D" w:rsidP="00334E1D">
      <w:pPr>
        <w:pStyle w:val="TableTitle"/>
      </w:pPr>
      <w:r w:rsidRPr="00334E1D">
        <w:t xml:space="preserve">Table </w:t>
      </w:r>
      <w:r w:rsidR="00C27826">
        <w:fldChar w:fldCharType="begin"/>
      </w:r>
      <w:r w:rsidR="00C27826">
        <w:instrText xml:space="preserve"> SEQ Table \* ARABIC </w:instrText>
      </w:r>
      <w:r w:rsidR="00C27826">
        <w:fldChar w:fldCharType="separate"/>
      </w:r>
      <w:r w:rsidR="00710041">
        <w:rPr>
          <w:noProof/>
        </w:rPr>
        <w:t>5</w:t>
      </w:r>
      <w:r w:rsidR="00C27826">
        <w:rPr>
          <w:noProof/>
        </w:rPr>
        <w:fldChar w:fldCharType="end"/>
      </w:r>
      <w:r>
        <w:t>:</w:t>
      </w:r>
      <w:r w:rsidRPr="00334E1D">
        <w:t xml:space="preserve"> </w:t>
      </w:r>
      <w:r>
        <w:t>Study BP39055 Result for the primary efficacy endpoint</w:t>
      </w:r>
    </w:p>
    <w:p w14:paraId="35A7E5EE" w14:textId="4F15D62C" w:rsidR="00334E1D" w:rsidRDefault="00334E1D" w:rsidP="00334E1D">
      <w:r>
        <w:rPr>
          <w:noProof/>
          <w:lang w:val="en-GB" w:eastAsia="en-GB"/>
        </w:rPr>
        <w:drawing>
          <wp:inline distT="0" distB="0" distL="0" distR="0" wp14:anchorId="5D97D731" wp14:editId="7D16E3F9">
            <wp:extent cx="5140569" cy="1222996"/>
            <wp:effectExtent l="0" t="0" r="3175" b="0"/>
            <wp:docPr id="2" name="Picture 2" descr="Table 5: Study BP39055 Result for the primary efficac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5: Study BP39055 Result for the primary efficacy endpoint"/>
                    <pic:cNvPicPr/>
                  </pic:nvPicPr>
                  <pic:blipFill>
                    <a:blip r:embed="rId21"/>
                    <a:stretch>
                      <a:fillRect/>
                    </a:stretch>
                  </pic:blipFill>
                  <pic:spPr>
                    <a:xfrm>
                      <a:off x="0" y="0"/>
                      <a:ext cx="5157327" cy="1226983"/>
                    </a:xfrm>
                    <a:prstGeom prst="rect">
                      <a:avLst/>
                    </a:prstGeom>
                  </pic:spPr>
                </pic:pic>
              </a:graphicData>
            </a:graphic>
          </wp:inline>
        </w:drawing>
      </w:r>
    </w:p>
    <w:p w14:paraId="13C640D6" w14:textId="24B7A7CD" w:rsidR="00482A86" w:rsidRDefault="00023600" w:rsidP="00F72B7A">
      <w:pPr>
        <w:pStyle w:val="TableDescription"/>
      </w:pPr>
      <w:r>
        <w:t>MFM32 = 32-item Motor Function Measurement scale; LS Mean = least squares of the mean; CI = confidence interval; N = number of participants.</w:t>
      </w:r>
    </w:p>
    <w:p w14:paraId="052CA7E4" w14:textId="77777777" w:rsidR="00334E1D" w:rsidRDefault="00334E1D" w:rsidP="00334E1D">
      <w:r>
        <w:lastRenderedPageBreak/>
        <w:t>The key secondary efficacy endpoints (in hierarchical order) were:</w:t>
      </w:r>
    </w:p>
    <w:p w14:paraId="1D3193CC" w14:textId="6DEAF2DB" w:rsidR="00334E1D" w:rsidRDefault="00334E1D" w:rsidP="00334E1D">
      <w:pPr>
        <w:pStyle w:val="ListBullet"/>
      </w:pPr>
      <w:r>
        <w:t xml:space="preserve">proportion of patients with a </w:t>
      </w:r>
      <w:r w:rsidR="00A06917">
        <w:t>change from Baseline</w:t>
      </w:r>
      <w:r>
        <w:t xml:space="preserve"> MFM32 </w:t>
      </w:r>
      <w:r w:rsidR="00A24A89">
        <w:t xml:space="preserve">total score of ≥ 3 at Month </w:t>
      </w:r>
      <w:proofErr w:type="gramStart"/>
      <w:r w:rsidR="00A24A89">
        <w:t>12</w:t>
      </w:r>
      <w:r>
        <w:t>;</w:t>
      </w:r>
      <w:proofErr w:type="gramEnd"/>
    </w:p>
    <w:p w14:paraId="11FFB4E8" w14:textId="41840E61" w:rsidR="00334E1D" w:rsidRDefault="00A06917" w:rsidP="00334E1D">
      <w:pPr>
        <w:pStyle w:val="ListBullet"/>
      </w:pPr>
      <w:r>
        <w:t>change from Baseline</w:t>
      </w:r>
      <w:r w:rsidR="00334E1D">
        <w:t xml:space="preserve"> in total score of</w:t>
      </w:r>
      <w:r w:rsidR="00145BE2">
        <w:t xml:space="preserve"> the revised upper limb module </w:t>
      </w:r>
      <w:r w:rsidR="00334E1D">
        <w:t>(RULM)</w:t>
      </w:r>
      <w:r w:rsidR="00145BE2">
        <w:t>;</w:t>
      </w:r>
      <w:r w:rsidR="00145BE2">
        <w:fldChar w:fldCharType="begin"/>
      </w:r>
      <w:r w:rsidR="00145BE2">
        <w:instrText xml:space="preserve"> NOTEREF _Ref75940579 \f \h </w:instrText>
      </w:r>
      <w:r w:rsidR="00145BE2">
        <w:fldChar w:fldCharType="separate"/>
      </w:r>
      <w:r w:rsidR="00710041" w:rsidRPr="00710041">
        <w:rPr>
          <w:rStyle w:val="FootnoteReference"/>
        </w:rPr>
        <w:t>15</w:t>
      </w:r>
      <w:r w:rsidR="00145BE2">
        <w:fldChar w:fldCharType="end"/>
      </w:r>
      <w:r w:rsidR="00A24A89">
        <w:t xml:space="preserve"> at Month </w:t>
      </w:r>
      <w:proofErr w:type="gramStart"/>
      <w:r w:rsidR="00A24A89">
        <w:t>12</w:t>
      </w:r>
      <w:r w:rsidR="00334E1D">
        <w:t>;</w:t>
      </w:r>
      <w:proofErr w:type="gramEnd"/>
    </w:p>
    <w:p w14:paraId="19CBD9D0" w14:textId="20AB75DD" w:rsidR="00334E1D" w:rsidRDefault="00A06917" w:rsidP="00334E1D">
      <w:pPr>
        <w:pStyle w:val="ListBullet"/>
      </w:pPr>
      <w:r>
        <w:t>change from Baseline</w:t>
      </w:r>
      <w:r w:rsidR="00334E1D">
        <w:t xml:space="preserve"> in best percentage predicted value of</w:t>
      </w:r>
      <w:r w:rsidR="000C4C49">
        <w:t xml:space="preserve"> the forced vital capacity</w:t>
      </w:r>
      <w:r w:rsidR="00334E1D">
        <w:t xml:space="preserve"> at Month 12; and </w:t>
      </w:r>
      <w:r>
        <w:t>change from Baseline</w:t>
      </w:r>
      <w:r w:rsidR="00334E1D">
        <w:t xml:space="preserve"> in total score of the Hammersmith Functional Motor Scal</w:t>
      </w:r>
      <w:r w:rsidR="00A24A89">
        <w:t xml:space="preserve">e Expanded (HFMSE) at Month </w:t>
      </w:r>
      <w:proofErr w:type="gramStart"/>
      <w:r w:rsidR="00A24A89">
        <w:t>12</w:t>
      </w:r>
      <w:r w:rsidR="00334E1D">
        <w:t>;</w:t>
      </w:r>
      <w:proofErr w:type="gramEnd"/>
    </w:p>
    <w:p w14:paraId="3C6FB683" w14:textId="6CD55AB3" w:rsidR="00334E1D" w:rsidRDefault="00A06917" w:rsidP="00334E1D">
      <w:pPr>
        <w:pStyle w:val="ListBullet"/>
      </w:pPr>
      <w:r>
        <w:t>change from Baseline</w:t>
      </w:r>
      <w:r w:rsidR="00334E1D">
        <w:t xml:space="preserve"> in total score of caregiver-reporte</w:t>
      </w:r>
      <w:r w:rsidR="000C4C49">
        <w:t>d SMA independence scale</w:t>
      </w:r>
      <w:r w:rsidR="00334E1D">
        <w:t xml:space="preserve"> at Month 12 (in patients aged 2 to 25-years on</w:t>
      </w:r>
      <w:r w:rsidR="00A24A89">
        <w:t>ly</w:t>
      </w:r>
      <w:r w:rsidR="00334E1D">
        <w:t xml:space="preserve">); and </w:t>
      </w:r>
    </w:p>
    <w:p w14:paraId="24B9910A" w14:textId="15FE3EC2" w:rsidR="00334E1D" w:rsidRDefault="00334E1D" w:rsidP="000C4C49">
      <w:pPr>
        <w:pStyle w:val="ListBullet"/>
      </w:pPr>
      <w:r>
        <w:t xml:space="preserve">the proportion of patients rated by clinicians as no change or improved (rated as no change, minimally improved, much </w:t>
      </w:r>
      <w:proofErr w:type="gramStart"/>
      <w:r>
        <w:t>improved</w:t>
      </w:r>
      <w:proofErr w:type="gramEnd"/>
      <w:r w:rsidR="000C4C49">
        <w:t xml:space="preserve"> or very much improved) in clinical global impression of c</w:t>
      </w:r>
      <w:r w:rsidR="000C4C49" w:rsidRPr="000C4C49">
        <w:t>hange</w:t>
      </w:r>
      <w:r w:rsidR="00A24A89">
        <w:t xml:space="preserve"> scale at Month 12</w:t>
      </w:r>
      <w:r>
        <w:t>.</w:t>
      </w:r>
    </w:p>
    <w:p w14:paraId="7DFDF11D" w14:textId="243A45DE" w:rsidR="00334E1D" w:rsidRDefault="00334E1D" w:rsidP="00334E1D">
      <w:proofErr w:type="spellStart"/>
      <w:r>
        <w:t>Risdiplam</w:t>
      </w:r>
      <w:proofErr w:type="spellEnd"/>
      <w:r>
        <w:t xml:space="preserve"> treatment demonstrated statistical separation over plac</w:t>
      </w:r>
      <w:r w:rsidR="00145BE2">
        <w:t>ebo treatment for the first two</w:t>
      </w:r>
      <w:r>
        <w:t xml:space="preserve"> key secondary endpoints (See </w:t>
      </w:r>
      <w:r>
        <w:fldChar w:fldCharType="begin"/>
      </w:r>
      <w:r>
        <w:instrText xml:space="preserve"> REF _Ref75941068 \h </w:instrText>
      </w:r>
      <w:r>
        <w:fldChar w:fldCharType="separate"/>
      </w:r>
      <w:r w:rsidR="00710041" w:rsidRPr="00334E1D">
        <w:t xml:space="preserve">Table </w:t>
      </w:r>
      <w:r w:rsidR="00710041">
        <w:rPr>
          <w:noProof/>
        </w:rPr>
        <w:t>6</w:t>
      </w:r>
      <w:r>
        <w:fldChar w:fldCharType="end"/>
      </w:r>
      <w:r>
        <w:t>). Both results were also clinically significant.</w:t>
      </w:r>
    </w:p>
    <w:p w14:paraId="1217E67D" w14:textId="403847EC" w:rsidR="00334E1D" w:rsidRDefault="00334E1D" w:rsidP="00334E1D">
      <w:pPr>
        <w:pStyle w:val="TableTitle"/>
      </w:pPr>
      <w:bookmarkStart w:id="49" w:name="_Ref75941068"/>
      <w:r w:rsidRPr="00334E1D">
        <w:t xml:space="preserve">Table </w:t>
      </w:r>
      <w:r w:rsidR="00C27826">
        <w:fldChar w:fldCharType="begin"/>
      </w:r>
      <w:r w:rsidR="00C27826">
        <w:instrText xml:space="preserve"> SEQ Table \* ARABIC </w:instrText>
      </w:r>
      <w:r w:rsidR="00C27826">
        <w:fldChar w:fldCharType="separate"/>
      </w:r>
      <w:r w:rsidR="00710041">
        <w:rPr>
          <w:noProof/>
        </w:rPr>
        <w:t>6</w:t>
      </w:r>
      <w:r w:rsidR="00C27826">
        <w:rPr>
          <w:noProof/>
        </w:rPr>
        <w:fldChar w:fldCharType="end"/>
      </w:r>
      <w:bookmarkEnd w:id="49"/>
      <w:r>
        <w:t>:</w:t>
      </w:r>
      <w:r w:rsidRPr="00334E1D">
        <w:t xml:space="preserve"> </w:t>
      </w:r>
      <w:r>
        <w:t xml:space="preserve">Study </w:t>
      </w:r>
      <w:r w:rsidRPr="00F1068B">
        <w:t>BP39055</w:t>
      </w:r>
      <w:r>
        <w:t xml:space="preserve"> Results for the f</w:t>
      </w:r>
      <w:r w:rsidRPr="00F1068B">
        <w:t>i</w:t>
      </w:r>
      <w:r>
        <w:t>rst two key secondary efficacy endpoints</w:t>
      </w:r>
    </w:p>
    <w:p w14:paraId="39F2141D" w14:textId="4EB25F77" w:rsidR="00334E1D" w:rsidRDefault="00334E1D" w:rsidP="00334E1D">
      <w:r w:rsidRPr="00F1068B">
        <w:rPr>
          <w:noProof/>
          <w:lang w:val="en-GB" w:eastAsia="en-GB"/>
        </w:rPr>
        <w:drawing>
          <wp:inline distT="0" distB="0" distL="0" distR="0" wp14:anchorId="73855547" wp14:editId="6BE1B453">
            <wp:extent cx="4754880" cy="1525270"/>
            <wp:effectExtent l="0" t="0" r="7620" b="0"/>
            <wp:docPr id="1" name="Picture 1" descr="Table 6: Study BP39055 Results for the first two key secondary efficacy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6: Study BP39055 Results for the first two key secondary efficacy endpoints"/>
                    <pic:cNvPicPr/>
                  </pic:nvPicPr>
                  <pic:blipFill>
                    <a:blip r:embed="rId22"/>
                    <a:stretch>
                      <a:fillRect/>
                    </a:stretch>
                  </pic:blipFill>
                  <pic:spPr>
                    <a:xfrm>
                      <a:off x="0" y="0"/>
                      <a:ext cx="4760779" cy="1527162"/>
                    </a:xfrm>
                    <a:prstGeom prst="rect">
                      <a:avLst/>
                    </a:prstGeom>
                  </pic:spPr>
                </pic:pic>
              </a:graphicData>
            </a:graphic>
          </wp:inline>
        </w:drawing>
      </w:r>
    </w:p>
    <w:p w14:paraId="2C054674" w14:textId="70DB449D" w:rsidR="00023600" w:rsidRDefault="00B009B0" w:rsidP="00F72B7A">
      <w:pPr>
        <w:pStyle w:val="TableDescription"/>
      </w:pPr>
      <w:r>
        <w:t>RULM = revised upper limb module; MFM32 = 32 item motor function measurement scale; CI = confidence interval; LS = least squares; N = number of participants</w:t>
      </w:r>
    </w:p>
    <w:p w14:paraId="16FA7A0C" w14:textId="500586CD" w:rsidR="00145BE2" w:rsidRDefault="00145BE2" w:rsidP="00145BE2">
      <w:pPr>
        <w:pStyle w:val="Heading5"/>
      </w:pPr>
      <w:r>
        <w:t>Supportive Study BP39056</w:t>
      </w:r>
      <w:r w:rsidR="00B009B0">
        <w:t xml:space="preserve">, </w:t>
      </w:r>
      <w:r>
        <w:t>Part 1</w:t>
      </w:r>
    </w:p>
    <w:p w14:paraId="2228EC36" w14:textId="575266E7" w:rsidR="00145BE2" w:rsidRDefault="00145BE2" w:rsidP="00145BE2">
      <w:r>
        <w:t xml:space="preserve">Part 1 of Study BP39056 was a Phase II, multicentre, </w:t>
      </w:r>
      <w:r w:rsidR="00B009B0">
        <w:t xml:space="preserve">open label </w:t>
      </w:r>
      <w:r>
        <w:t xml:space="preserve">study. Patients in this dose finding/dose escalation phase continued into an ongoing </w:t>
      </w:r>
      <w:r w:rsidR="00B009B0">
        <w:t xml:space="preserve">open label extension </w:t>
      </w:r>
      <w:r>
        <w:t xml:space="preserve">phase (at the pivotal dose). Inclusion and exclusion criteria were </w:t>
      </w:r>
      <w:proofErr w:type="gramStart"/>
      <w:r>
        <w:t>similar to</w:t>
      </w:r>
      <w:proofErr w:type="gramEnd"/>
      <w:r>
        <w:t xml:space="preserve"> that described for Part 2 but there were additional age and weight requirements for the first three patients enrolled.</w:t>
      </w:r>
    </w:p>
    <w:p w14:paraId="16FAA2E5" w14:textId="0F42822A" w:rsidR="00145BE2" w:rsidRDefault="00145BE2" w:rsidP="00145BE2">
      <w:r>
        <w:t>Patients were enrolled in a staggered dose escalation manner, initially at dose level 1 (cohort 1; n = 4: target exposure of mean AUC</w:t>
      </w:r>
      <w:r w:rsidRPr="00145BE2">
        <w:rPr>
          <w:vertAlign w:val="subscript"/>
        </w:rPr>
        <w:t>0-24h</w:t>
      </w:r>
      <w:r>
        <w:t>, steady state 700 ng</w:t>
      </w:r>
      <w:r w:rsidR="00B009B0">
        <w:t xml:space="preserve"> </w:t>
      </w:r>
      <w:proofErr w:type="spellStart"/>
      <w:r w:rsidR="00B009B0">
        <w:t>x</w:t>
      </w:r>
      <w:r>
        <w:t>h</w:t>
      </w:r>
      <w:proofErr w:type="spellEnd"/>
      <w:r>
        <w:t>/mL), and subsequently all further enrolled patients were treated at dose level 2 (cohort 2; n = 17: target exposure of mean AUC</w:t>
      </w:r>
      <w:r w:rsidRPr="00145BE2">
        <w:rPr>
          <w:vertAlign w:val="subscript"/>
        </w:rPr>
        <w:t>0-24h</w:t>
      </w:r>
      <w:r>
        <w:t>, steady state ≤ 2000 ng*h/mL that is to maximise SMN protein increase below the exposure cap).</w:t>
      </w:r>
    </w:p>
    <w:p w14:paraId="2847E56A" w14:textId="05883B5C" w:rsidR="00145BE2" w:rsidRDefault="00145BE2" w:rsidP="00145BE2">
      <w:r>
        <w:t>21 symptomatic patients with SMA Type 1 were enrolled. Most wer</w:t>
      </w:r>
      <w:r w:rsidR="006F4607">
        <w:t>e female (71.4%) and White (61.9</w:t>
      </w:r>
      <w:r>
        <w:t xml:space="preserve">%); with median age at enrolment of 6.7 months (Range: 3.3 to 6.9 months); 15 (71.4%) patients were older than 5 months; median age at diagnosis was 3.0 months (Range: 0.9 to 5.4 months); and age at onset of symptoms ranged from 0.9 to 3.0 months. Baseline disease characteristics were generally consistent with Part 2 participants. At the clinical </w:t>
      </w:r>
      <w:proofErr w:type="spellStart"/>
      <w:r>
        <w:t>cutoff</w:t>
      </w:r>
      <w:proofErr w:type="spellEnd"/>
      <w:r>
        <w:t xml:space="preserve"> date (CCOD), 18 of 21 (85.7%) patients were still ongoing. Three (14.3%) deaths due to SMA related respiratory complications were recorded.</w:t>
      </w:r>
    </w:p>
    <w:p w14:paraId="6938CC27" w14:textId="77777777" w:rsidR="00145BE2" w:rsidRDefault="00145BE2" w:rsidP="00145BE2">
      <w:r>
        <w:t>Key efficacy results at Month 12 were:</w:t>
      </w:r>
    </w:p>
    <w:p w14:paraId="42FCDA4C" w14:textId="413FCB89" w:rsidR="00145BE2" w:rsidRDefault="00145BE2" w:rsidP="00145BE2">
      <w:pPr>
        <w:pStyle w:val="ListBullet"/>
      </w:pPr>
      <w:r>
        <w:lastRenderedPageBreak/>
        <w:t>33.3% of patients sat without support (Item 22 of the BSID-III);</w:t>
      </w:r>
      <w:r w:rsidR="00F5211C">
        <w:fldChar w:fldCharType="begin"/>
      </w:r>
      <w:r w:rsidR="00F5211C">
        <w:instrText xml:space="preserve"> NOTEREF _Ref75942026 \f \h </w:instrText>
      </w:r>
      <w:r w:rsidR="00F5211C">
        <w:fldChar w:fldCharType="separate"/>
      </w:r>
      <w:r w:rsidR="00710041" w:rsidRPr="00710041">
        <w:rPr>
          <w:rStyle w:val="FootnoteReference"/>
        </w:rPr>
        <w:t>12</w:t>
      </w:r>
      <w:r w:rsidR="00F5211C">
        <w:fldChar w:fldCharType="end"/>
      </w:r>
    </w:p>
    <w:p w14:paraId="794F5F30" w14:textId="34188CEA" w:rsidR="00145BE2" w:rsidRDefault="00145BE2" w:rsidP="00145BE2">
      <w:pPr>
        <w:pStyle w:val="ListBullet"/>
      </w:pPr>
      <w:r>
        <w:t>66.7% of patients were motor milestone responders (HINE-2);</w:t>
      </w:r>
      <w:r w:rsidR="00F5211C">
        <w:fldChar w:fldCharType="begin"/>
      </w:r>
      <w:r w:rsidR="00F5211C">
        <w:instrText xml:space="preserve"> NOTEREF _Ref75942041 \f \h </w:instrText>
      </w:r>
      <w:r w:rsidR="00F5211C">
        <w:fldChar w:fldCharType="separate"/>
      </w:r>
      <w:r w:rsidR="00710041" w:rsidRPr="00710041">
        <w:rPr>
          <w:rStyle w:val="FootnoteReference"/>
        </w:rPr>
        <w:t>14</w:t>
      </w:r>
      <w:r w:rsidR="00F5211C">
        <w:fldChar w:fldCharType="end"/>
      </w:r>
    </w:p>
    <w:p w14:paraId="75039C83" w14:textId="0FF0E72B" w:rsidR="00145BE2" w:rsidRDefault="00145BE2" w:rsidP="00145BE2">
      <w:pPr>
        <w:pStyle w:val="ListBullet"/>
      </w:pPr>
      <w:r>
        <w:t xml:space="preserve">52.4% of patients achieved a CHOP-INTEND score ≥ 40 and 85.7% had a </w:t>
      </w:r>
      <w:r w:rsidR="00A06917">
        <w:t>change from Baseline</w:t>
      </w:r>
      <w:r>
        <w:t xml:space="preserve"> in the CHOP-INTEND ≥ 4 points;</w:t>
      </w:r>
      <w:r w:rsidR="00F5211C">
        <w:fldChar w:fldCharType="begin"/>
      </w:r>
      <w:r w:rsidR="00F5211C">
        <w:instrText xml:space="preserve"> NOTEREF _Ref75942062 \f \h </w:instrText>
      </w:r>
      <w:r w:rsidR="00F5211C">
        <w:fldChar w:fldCharType="separate"/>
      </w:r>
      <w:r w:rsidR="00710041" w:rsidRPr="00710041">
        <w:rPr>
          <w:rStyle w:val="FootnoteReference"/>
        </w:rPr>
        <w:t>13</w:t>
      </w:r>
      <w:r w:rsidR="00F5211C">
        <w:fldChar w:fldCharType="end"/>
      </w:r>
      <w:r>
        <w:t xml:space="preserve"> and</w:t>
      </w:r>
    </w:p>
    <w:p w14:paraId="269832F8" w14:textId="77777777" w:rsidR="00145BE2" w:rsidRDefault="00145BE2" w:rsidP="00145BE2">
      <w:pPr>
        <w:pStyle w:val="ListBullet"/>
      </w:pPr>
      <w:r>
        <w:t>Most patients were alive without perman</w:t>
      </w:r>
      <w:r w:rsidR="00F5211C">
        <w:t>ent ventilation at Month 12 that is</w:t>
      </w:r>
      <w:r>
        <w:t xml:space="preserve"> 19 (90.5%)</w:t>
      </w:r>
      <w:r w:rsidR="00F5211C">
        <w:t xml:space="preserve"> patients; and at Month 18 that is</w:t>
      </w:r>
      <w:r>
        <w:t xml:space="preserve"> 18 (85.7%) patients.</w:t>
      </w:r>
    </w:p>
    <w:p w14:paraId="37E824CB" w14:textId="53905EA8" w:rsidR="00145BE2" w:rsidRDefault="00F5211C" w:rsidP="00F5211C">
      <w:pPr>
        <w:pStyle w:val="Heading5"/>
      </w:pPr>
      <w:r>
        <w:t>Supportive S</w:t>
      </w:r>
      <w:r w:rsidR="00145BE2">
        <w:t>tudy BP39055</w:t>
      </w:r>
      <w:r w:rsidR="00B009B0">
        <w:t xml:space="preserve">, </w:t>
      </w:r>
      <w:r w:rsidR="00145BE2">
        <w:t>Part 1</w:t>
      </w:r>
    </w:p>
    <w:p w14:paraId="5FD84B46" w14:textId="31FEF4CD" w:rsidR="00145BE2" w:rsidRDefault="00F5211C" w:rsidP="00145BE2">
      <w:r>
        <w:t>Part 1 of Study BP39055 was a P</w:t>
      </w:r>
      <w:r w:rsidR="00145BE2">
        <w:t>hase II, multicentr</w:t>
      </w:r>
      <w:r w:rsidR="000C4C49">
        <w:t>e, randomised, double blinded</w:t>
      </w:r>
      <w:r>
        <w:t xml:space="preserve">, placebo controlled, dose </w:t>
      </w:r>
      <w:r w:rsidR="00145BE2">
        <w:t xml:space="preserve">finding study. Inclusion and exclusion criteria were </w:t>
      </w:r>
      <w:proofErr w:type="gramStart"/>
      <w:r w:rsidR="00145BE2">
        <w:t>similar to</w:t>
      </w:r>
      <w:proofErr w:type="gramEnd"/>
      <w:r w:rsidR="00145BE2">
        <w:t xml:space="preserve"> that described for Part 2 except for t</w:t>
      </w:r>
      <w:r w:rsidR="000C4C49">
        <w:t>he inclusion of ambulatory SMA T</w:t>
      </w:r>
      <w:r w:rsidR="00145BE2">
        <w:t xml:space="preserve">ype 3 patients. Patients were randomised (2:1 </w:t>
      </w:r>
      <w:proofErr w:type="spellStart"/>
      <w:r w:rsidR="00145BE2">
        <w:t>risdiplam</w:t>
      </w:r>
      <w:proofErr w:type="spellEnd"/>
      <w:r w:rsidR="00145BE2">
        <w:t xml:space="preserve"> to placebo). Initial doses (for escalation) we</w:t>
      </w:r>
      <w:r>
        <w:t xml:space="preserve">re 0.02, 0.05, 0.25 mg/kg for 2 to </w:t>
      </w:r>
      <w:proofErr w:type="gramStart"/>
      <w:r>
        <w:t xml:space="preserve">11 year </w:t>
      </w:r>
      <w:r w:rsidR="00145BE2">
        <w:t>old</w:t>
      </w:r>
      <w:proofErr w:type="gramEnd"/>
      <w:r w:rsidR="00145BE2">
        <w:t xml:space="preserve"> </w:t>
      </w:r>
      <w:r>
        <w:t xml:space="preserve">patients; and 3 and 5 mg for 12 to 25 year </w:t>
      </w:r>
      <w:r w:rsidR="00145BE2">
        <w:t>old patients. Patients were switched t</w:t>
      </w:r>
      <w:r>
        <w:t xml:space="preserve">o the pivotal dose after the </w:t>
      </w:r>
      <w:proofErr w:type="gramStart"/>
      <w:r>
        <w:t xml:space="preserve">12 </w:t>
      </w:r>
      <w:r w:rsidR="00145BE2">
        <w:t>week</w:t>
      </w:r>
      <w:proofErr w:type="gramEnd"/>
      <w:r w:rsidR="00145BE2">
        <w:t xml:space="preserve"> placebo</w:t>
      </w:r>
      <w:r>
        <w:t xml:space="preserve"> controlled period that is</w:t>
      </w:r>
      <w:r w:rsidR="00145BE2">
        <w:t xml:space="preserve"> 5 mg (</w:t>
      </w:r>
      <w:r w:rsidR="00B009B0">
        <w:t xml:space="preserve">body </w:t>
      </w:r>
      <w:r w:rsidR="00FE1E66">
        <w:t>weight ≥</w:t>
      </w:r>
      <w:r w:rsidR="00145BE2">
        <w:t xml:space="preserve"> 20 kg) and 0.25 mg/kg (</w:t>
      </w:r>
      <w:r w:rsidR="00B009B0">
        <w:t xml:space="preserve">body weight </w:t>
      </w:r>
      <w:r w:rsidR="00145BE2">
        <w:t>&lt; 20</w:t>
      </w:r>
      <w:r>
        <w:t xml:space="preserve"> kg), orally once </w:t>
      </w:r>
      <w:r w:rsidR="00145BE2">
        <w:t>daily.</w:t>
      </w:r>
    </w:p>
    <w:p w14:paraId="07CC99DE" w14:textId="37E5B0C7" w:rsidR="00145BE2" w:rsidRDefault="00145BE2" w:rsidP="00145BE2">
      <w:r>
        <w:t xml:space="preserve">The study enrolled 51 patients (35 </w:t>
      </w:r>
      <w:proofErr w:type="spellStart"/>
      <w:r>
        <w:t>risdiplam</w:t>
      </w:r>
      <w:proofErr w:type="spellEnd"/>
      <w:r>
        <w:t xml:space="preserve"> and 16 placebo). One patient discontinued during the </w:t>
      </w:r>
      <w:r w:rsidR="00B009B0">
        <w:t xml:space="preserve">open label extension </w:t>
      </w:r>
      <w:r>
        <w:t>phase. Of 51 enrolled patients, 37 (73%) had Type 2 and 14 (27%) had Type 3. There were 7 ambulatory patients (6 in the younger age-group). Most patients were female (52.9%), White (94.1%), wit</w:t>
      </w:r>
      <w:r w:rsidR="00F5211C">
        <w:t xml:space="preserve">h median age at screening of </w:t>
      </w:r>
      <w:proofErr w:type="gramStart"/>
      <w:r w:rsidR="00F5211C">
        <w:t>7 year old</w:t>
      </w:r>
      <w:proofErr w:type="gramEnd"/>
      <w:r w:rsidR="00F5211C">
        <w:t xml:space="preserve"> (Range: 2 to </w:t>
      </w:r>
      <w:r>
        <w:t xml:space="preserve">24 years) and 20 (39.2%) patients were 12 years or older. Mean weight, </w:t>
      </w:r>
      <w:proofErr w:type="gramStart"/>
      <w:r>
        <w:t>height</w:t>
      </w:r>
      <w:proofErr w:type="gramEnd"/>
      <w:r>
        <w:t xml:space="preserve"> and </w:t>
      </w:r>
      <w:r w:rsidR="00F5211C">
        <w:t>body mass index (</w:t>
      </w:r>
      <w:r>
        <w:t>BMI</w:t>
      </w:r>
      <w:r w:rsidR="00F5211C">
        <w:t>)</w:t>
      </w:r>
      <w:r>
        <w:t xml:space="preserve"> were at the </w:t>
      </w:r>
      <w:r w:rsidRPr="00B009B0">
        <w:t>22</w:t>
      </w:r>
      <w:r w:rsidRPr="00F72B7A">
        <w:t>nd</w:t>
      </w:r>
      <w:r w:rsidRPr="00B009B0">
        <w:t>, 30</w:t>
      </w:r>
      <w:r w:rsidRPr="00F72B7A">
        <w:t>th</w:t>
      </w:r>
      <w:r w:rsidRPr="00B009B0">
        <w:t xml:space="preserve"> and 26</w:t>
      </w:r>
      <w:r w:rsidRPr="00F72B7A">
        <w:t>th</w:t>
      </w:r>
      <w:r>
        <w:t xml:space="preserve"> percentile, respectively. Type 2 and Type 3 patients were similarly distributed between the age</w:t>
      </w:r>
      <w:r w:rsidR="00F5211C">
        <w:t xml:space="preserve"> </w:t>
      </w:r>
      <w:r>
        <w:t>groups and most patients (86.3%) were non</w:t>
      </w:r>
      <w:r w:rsidR="00F5211C">
        <w:t>-</w:t>
      </w:r>
      <w:r>
        <w:t>ambulatory, 29 (60%) patients had scoliosis at screening (including 6 with severe scoliosis)</w:t>
      </w:r>
      <w:r w:rsidR="00F5211C">
        <w:t xml:space="preserve"> and most patients (90.2%) had three</w:t>
      </w:r>
      <w:r>
        <w:t xml:space="preserve"> copies of the </w:t>
      </w:r>
      <w:r w:rsidRPr="0008473C">
        <w:rPr>
          <w:i/>
        </w:rPr>
        <w:t>SMN2</w:t>
      </w:r>
      <w:r w:rsidR="00F5211C">
        <w:t xml:space="preserve"> gene.</w:t>
      </w:r>
    </w:p>
    <w:p w14:paraId="4F37A088" w14:textId="7EEBAF7E" w:rsidR="00145BE2" w:rsidRDefault="00145BE2" w:rsidP="00145BE2">
      <w:r>
        <w:t xml:space="preserve">Table 7 summarises the results for the primary endpoint. The improvements in motor function with </w:t>
      </w:r>
      <w:proofErr w:type="spellStart"/>
      <w:r>
        <w:t>risdiplam</w:t>
      </w:r>
      <w:proofErr w:type="spellEnd"/>
      <w:r>
        <w:t xml:space="preserve"> treatment observed at Month 12 were maintained or improved at Month 24, independent of baseline motor function scores, disease duration and age. These results were further supported from results of an exploratory comparison with an historical cohort (weighted on key prognostic factors), in which the positive values of MFM</w:t>
      </w:r>
      <w:r w:rsidR="00F72B7A">
        <w:t>;</w:t>
      </w:r>
      <w:r w:rsidR="00840328">
        <w:fldChar w:fldCharType="begin"/>
      </w:r>
      <w:r w:rsidR="00840328">
        <w:instrText xml:space="preserve"> NOTEREF _Ref75940572 \f \h </w:instrText>
      </w:r>
      <w:r w:rsidR="00840328">
        <w:fldChar w:fldCharType="separate"/>
      </w:r>
      <w:r w:rsidR="00710041" w:rsidRPr="00710041">
        <w:rPr>
          <w:rStyle w:val="FootnoteReference"/>
        </w:rPr>
        <w:t>16</w:t>
      </w:r>
      <w:r w:rsidR="00840328">
        <w:fldChar w:fldCharType="end"/>
      </w:r>
      <w:r>
        <w:t xml:space="preserve"> total </w:t>
      </w:r>
      <w:r w:rsidR="00A06917">
        <w:t>change from Baseline</w:t>
      </w:r>
      <w:r>
        <w:t xml:space="preserve"> in patient</w:t>
      </w:r>
      <w:r w:rsidR="00F5211C">
        <w:t xml:space="preserve">s who received </w:t>
      </w:r>
      <w:proofErr w:type="spellStart"/>
      <w:r w:rsidR="00F5211C">
        <w:t>risdiplam</w:t>
      </w:r>
      <w:proofErr w:type="spellEnd"/>
      <w:r w:rsidR="00F5211C">
        <w:t xml:space="preserve"> for 12 </w:t>
      </w:r>
      <w:r>
        <w:t>months and 24</w:t>
      </w:r>
      <w:r w:rsidR="00F5211C">
        <w:t xml:space="preserve"> </w:t>
      </w:r>
      <w:r>
        <w:t>months, were markedly greater than the corresponding decline in motor function in the natural history cohort. The latter decline in motor function is expected due to disease progression. However, since the efficacy endpoints were exploratory, their generalisability to a broader population shou</w:t>
      </w:r>
      <w:r w:rsidR="00F5211C">
        <w:t>ld be interpreted with caution.</w:t>
      </w:r>
    </w:p>
    <w:p w14:paraId="241654CE" w14:textId="7232AD85" w:rsidR="00334E1D" w:rsidRDefault="00145BE2" w:rsidP="00145BE2">
      <w:r>
        <w:t>Of no</w:t>
      </w:r>
      <w:r w:rsidR="000C4C49">
        <w:t xml:space="preserve">te, patients in the younger age </w:t>
      </w:r>
      <w:r>
        <w:t>group consistently achieved greater cli</w:t>
      </w:r>
      <w:r w:rsidR="000C4C49">
        <w:t xml:space="preserve">nical benefit compared to older </w:t>
      </w:r>
      <w:r>
        <w:t xml:space="preserve">aged patients (adolescents and young adults). However, the treatment effect in older patients was still markedly clinically meaningful compared to the natural history of untreated disease. Although the efficacy results obtained from Part 1 of </w:t>
      </w:r>
      <w:r w:rsidR="00F5211C">
        <w:t xml:space="preserve">Study </w:t>
      </w:r>
      <w:r>
        <w:t xml:space="preserve">BP39055 are exploratory, there is reasonably high concordance at Month 12 with the pivotal Part 2 results at Month 12 for the primary and key secondary efficacy endpoints. The results from Part 1 are both supportive of efficacy in SMA Types 2 and 3, and provided valuable long-term data (up to 2 years) to suggest that efficacy is improved or sustained with </w:t>
      </w:r>
      <w:proofErr w:type="spellStart"/>
      <w:r>
        <w:t>risdiplam</w:t>
      </w:r>
      <w:proofErr w:type="spellEnd"/>
      <w:r>
        <w:t xml:space="preserve"> treatment, at</w:t>
      </w:r>
      <w:r w:rsidR="00840328">
        <w:t xml:space="preserve"> the pivotal dose, for up to 24 </w:t>
      </w:r>
      <w:r>
        <w:t>months.</w:t>
      </w:r>
    </w:p>
    <w:p w14:paraId="07C01CAF" w14:textId="0B44D6DC" w:rsidR="00840328" w:rsidRDefault="00840328" w:rsidP="00840328">
      <w:pPr>
        <w:pStyle w:val="TableTitle"/>
      </w:pPr>
      <w:r w:rsidRPr="00840328">
        <w:lastRenderedPageBreak/>
        <w:t xml:space="preserve">Table </w:t>
      </w:r>
      <w:r w:rsidR="00C27826">
        <w:fldChar w:fldCharType="begin"/>
      </w:r>
      <w:r w:rsidR="00C27826">
        <w:instrText xml:space="preserve"> SEQ Table \* ARABIC </w:instrText>
      </w:r>
      <w:r w:rsidR="00C27826">
        <w:fldChar w:fldCharType="separate"/>
      </w:r>
      <w:r w:rsidR="00710041">
        <w:rPr>
          <w:noProof/>
        </w:rPr>
        <w:t>7</w:t>
      </w:r>
      <w:r w:rsidR="00C27826">
        <w:rPr>
          <w:noProof/>
        </w:rPr>
        <w:fldChar w:fldCharType="end"/>
      </w:r>
      <w:r>
        <w:t>:</w:t>
      </w:r>
      <w:r w:rsidRPr="00840328">
        <w:t xml:space="preserve"> </w:t>
      </w:r>
      <w:r w:rsidR="00B009B0">
        <w:t xml:space="preserve">Study BP39055 (Part 1) </w:t>
      </w:r>
      <w:r>
        <w:t xml:space="preserve">Motor function measurement </w:t>
      </w:r>
      <w:r w:rsidRPr="00840328">
        <w:t>32</w:t>
      </w:r>
      <w:r w:rsidR="006813E8">
        <w:t xml:space="preserve"> (MFM32)</w:t>
      </w:r>
      <w:r w:rsidRPr="00840328">
        <w:t xml:space="preserve"> results at 12 and 24 months of </w:t>
      </w:r>
      <w:proofErr w:type="spellStart"/>
      <w:r w:rsidRPr="00840328">
        <w:t>risdiplam</w:t>
      </w:r>
      <w:proofErr w:type="spellEnd"/>
      <w:r w:rsidRPr="00840328">
        <w:t xml:space="preserve"> treatme</w:t>
      </w:r>
      <w:r>
        <w:t>nt (motor function measurement p</w:t>
      </w:r>
      <w:r w:rsidRPr="00840328">
        <w:t>opulation)</w:t>
      </w:r>
    </w:p>
    <w:p w14:paraId="701921BD" w14:textId="77777777" w:rsidR="00840328" w:rsidRDefault="00840328" w:rsidP="00840328">
      <w:r>
        <w:rPr>
          <w:noProof/>
          <w:lang w:val="en-GB" w:eastAsia="en-GB"/>
        </w:rPr>
        <w:drawing>
          <wp:inline distT="0" distB="0" distL="0" distR="0" wp14:anchorId="00585FD3" wp14:editId="327B4DF0">
            <wp:extent cx="5399054" cy="2485293"/>
            <wp:effectExtent l="0" t="0" r="0" b="0"/>
            <wp:docPr id="35" name="Picture 35" descr="Table 7: Study BP39055 (Part 1) Motor function measurement 32 (MFM32) results at 12 and 24 months of risdiplam treatment (motor function measuremen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able 7: Study BP39055 (Part 1) Motor function measurement 32 (MFM32) results at 12 and 24 months of risdiplam treatment (motor function measurement population)"/>
                    <pic:cNvPicPr/>
                  </pic:nvPicPr>
                  <pic:blipFill rotWithShape="1">
                    <a:blip r:embed="rId23"/>
                    <a:srcRect b="15156"/>
                    <a:stretch/>
                  </pic:blipFill>
                  <pic:spPr bwMode="auto">
                    <a:xfrm>
                      <a:off x="0" y="0"/>
                      <a:ext cx="5400040" cy="2485747"/>
                    </a:xfrm>
                    <a:prstGeom prst="rect">
                      <a:avLst/>
                    </a:prstGeom>
                    <a:ln>
                      <a:noFill/>
                    </a:ln>
                    <a:extLst>
                      <a:ext uri="{53640926-AAD7-44D8-BBD7-CCE9431645EC}">
                        <a14:shadowObscured xmlns:a14="http://schemas.microsoft.com/office/drawing/2010/main"/>
                      </a:ext>
                    </a:extLst>
                  </pic:spPr>
                </pic:pic>
              </a:graphicData>
            </a:graphic>
          </wp:inline>
        </w:drawing>
      </w:r>
    </w:p>
    <w:p w14:paraId="0F304A65" w14:textId="5618E5C8" w:rsidR="00840328" w:rsidRDefault="00840328" w:rsidP="00840328">
      <w:pPr>
        <w:pStyle w:val="TableDescription"/>
      </w:pPr>
      <w:r>
        <w:t>MFM = motor function measure</w:t>
      </w:r>
      <w:r w:rsidR="00B009B0">
        <w:t>; MFM32 = item 32 of the MFM; n = number of participants; SD = standard deviation; CI = confidence interval.</w:t>
      </w:r>
    </w:p>
    <w:p w14:paraId="4AA2CC8C" w14:textId="6CA7CBBC" w:rsidR="00840328" w:rsidRDefault="00840328" w:rsidP="00840328">
      <w:pPr>
        <w:pStyle w:val="TableDescription"/>
      </w:pPr>
      <w:r>
        <w:t>Notes: Baseline is the la</w:t>
      </w:r>
      <w:r w:rsidR="000C4C49">
        <w:t>st measurement prior to patient</w:t>
      </w:r>
      <w:r>
        <w:t xml:space="preserve"> first dose of </w:t>
      </w:r>
      <w:proofErr w:type="spellStart"/>
      <w:r>
        <w:t>risdiplam</w:t>
      </w:r>
      <w:proofErr w:type="spellEnd"/>
    </w:p>
    <w:p w14:paraId="628DF81D" w14:textId="77777777" w:rsidR="00840328" w:rsidRDefault="00840328" w:rsidP="00840328">
      <w:pPr>
        <w:pStyle w:val="TableDescription"/>
      </w:pPr>
      <w:r>
        <w:t xml:space="preserve">Clinical </w:t>
      </w:r>
      <w:proofErr w:type="spellStart"/>
      <w:r>
        <w:t>cutoff</w:t>
      </w:r>
      <w:proofErr w:type="spellEnd"/>
      <w:r>
        <w:t xml:space="preserve"> date: 15 January 2020.</w:t>
      </w:r>
    </w:p>
    <w:p w14:paraId="7B7467E5" w14:textId="77777777" w:rsidR="00840328" w:rsidRDefault="00840328" w:rsidP="00840328">
      <w:pPr>
        <w:pStyle w:val="Heading3"/>
      </w:pPr>
      <w:bookmarkStart w:id="50" w:name="_Toc82421581"/>
      <w:r>
        <w:t>Safety</w:t>
      </w:r>
      <w:bookmarkEnd w:id="50"/>
    </w:p>
    <w:p w14:paraId="3BC2A398" w14:textId="06BF0452" w:rsidR="00840328" w:rsidRDefault="00840328" w:rsidP="00840328">
      <w:r>
        <w:t xml:space="preserve">As the listed Phase II and Phase III clinical studies submitted for safety are still ongoing, the integrated safety analysis provided in this application was not fully comprehensive. The safety profile of </w:t>
      </w:r>
      <w:proofErr w:type="spellStart"/>
      <w:r>
        <w:t>risdiplam</w:t>
      </w:r>
      <w:proofErr w:type="spellEnd"/>
      <w:r>
        <w:t xml:space="preserve"> was characterised in 465 paediatric and adult patients (aged 2 months to 60 years of age) with SMA Types 1, 2 and 3 (non-ambulatory), treated with </w:t>
      </w:r>
      <w:proofErr w:type="spellStart"/>
      <w:r>
        <w:t>risdiplam</w:t>
      </w:r>
      <w:proofErr w:type="spellEnd"/>
      <w:r>
        <w:t xml:space="preserve"> for up to three years, from five ongoing clinical studies. Most patients had SMA Type 2 or 3 (83.4%; n = 388) compared to 16.6% (n = 77) who had SMA Type 1. The overall extent of population exposure was 521.4 patient-years (PY) with 480.9 PY of exposure to the pivotal dose (77.9 PY for SMA Type 1; and 403.0 PY for SMA Types 2 and 3). Median duration of exposure to </w:t>
      </w:r>
      <w:proofErr w:type="spellStart"/>
      <w:r>
        <w:t>risdiplam</w:t>
      </w:r>
      <w:proofErr w:type="spellEnd"/>
      <w:r>
        <w:t xml:space="preserve"> for the SMA Type 1 group was 15.2 months (Range: 0.1 to 34.6) and 9.3 months (</w:t>
      </w:r>
      <w:r w:rsidR="00C73113">
        <w:t>r</w:t>
      </w:r>
      <w:r>
        <w:t>ange: 0.0 to 38.9) for SMA Types 2 and 3 group.</w:t>
      </w:r>
    </w:p>
    <w:p w14:paraId="350ACB2C" w14:textId="5DD13E23" w:rsidR="00840328" w:rsidRDefault="00840328" w:rsidP="00840328">
      <w:r>
        <w:t xml:space="preserve">Across the </w:t>
      </w:r>
      <w:proofErr w:type="spellStart"/>
      <w:r>
        <w:t>risdiplam</w:t>
      </w:r>
      <w:proofErr w:type="spellEnd"/>
      <w:r>
        <w:t xml:space="preserve"> clinical SMA program, adverse events (AE</w:t>
      </w:r>
      <w:r w:rsidR="00F72B7A">
        <w:t>s</w:t>
      </w:r>
      <w:r>
        <w:t>) with the</w:t>
      </w:r>
      <w:r w:rsidR="009647DA">
        <w:t xml:space="preserve"> highest incidence of treatment </w:t>
      </w:r>
      <w:r>
        <w:t>emergent adverse events and adve</w:t>
      </w:r>
      <w:r w:rsidR="009647DA">
        <w:t>rse drug reactions</w:t>
      </w:r>
      <w:r w:rsidR="003A626E">
        <w:t xml:space="preserve"> (ADR)</w:t>
      </w:r>
      <w:r w:rsidR="009647DA">
        <w:t xml:space="preserve"> were in the I</w:t>
      </w:r>
      <w:r>
        <w:t>nfections and infestations; General disorders and administration site conditions and Gastrointestinal disorders System Organ Class (SOC) categories. Across the clinic</w:t>
      </w:r>
      <w:r w:rsidR="009647DA">
        <w:t>al studies, the types of AE by P</w:t>
      </w:r>
      <w:r>
        <w:t>referred Term (PT) experienced by patients were generally similar, apart fr</w:t>
      </w:r>
      <w:r w:rsidR="009647DA">
        <w:t xml:space="preserve">om some </w:t>
      </w:r>
      <w:proofErr w:type="gramStart"/>
      <w:r w:rsidR="009647DA">
        <w:t xml:space="preserve">age </w:t>
      </w:r>
      <w:r>
        <w:t>related</w:t>
      </w:r>
      <w:proofErr w:type="gramEnd"/>
      <w:r>
        <w:t xml:space="preserve"> AEs. Overall AEs with highest incidence </w:t>
      </w:r>
      <w:proofErr w:type="gramStart"/>
      <w:r>
        <w:t>were:</w:t>
      </w:r>
      <w:proofErr w:type="gramEnd"/>
      <w:r>
        <w:t xml:space="preserve"> </w:t>
      </w:r>
      <w:r w:rsidR="009647DA" w:rsidRPr="009647DA">
        <w:t xml:space="preserve">upper respiratory tract infection </w:t>
      </w:r>
      <w:r w:rsidR="009647DA">
        <w:t>(</w:t>
      </w:r>
      <w:r>
        <w:t>URTI</w:t>
      </w:r>
      <w:r w:rsidR="009647DA">
        <w:t>)</w:t>
      </w:r>
      <w:r>
        <w:t xml:space="preserve">, pyrexia, nasopharyngitis, headache and vomiting. A greater proportion of patients with SMA Type 1 had Grade ≥ 3 AEs and </w:t>
      </w:r>
      <w:r w:rsidR="000C4C49">
        <w:t>serious adverse events</w:t>
      </w:r>
      <w:r w:rsidR="009647DA">
        <w:t xml:space="preserve"> (</w:t>
      </w:r>
      <w:r w:rsidR="000C4C49">
        <w:t>SAE</w:t>
      </w:r>
      <w:r w:rsidR="009647DA">
        <w:t>)</w:t>
      </w:r>
      <w:r>
        <w:t xml:space="preserve"> compared to patients with SMA Types 2 and 3 (non-ambulatory). This is generally consistent with the more severe phenotype of patients with SMA Type 1, in which more serious respiratory complications (especially pn</w:t>
      </w:r>
      <w:r w:rsidR="009647DA">
        <w:t>eumonia) occur more frequently.</w:t>
      </w:r>
    </w:p>
    <w:p w14:paraId="7A211F5D" w14:textId="071857E8" w:rsidR="00840328" w:rsidRDefault="009647DA" w:rsidP="00840328">
      <w:r>
        <w:t xml:space="preserve">Dose </w:t>
      </w:r>
      <w:r w:rsidR="00840328">
        <w:t xml:space="preserve">dependency was not investigated in the clinical SMA </w:t>
      </w:r>
      <w:proofErr w:type="gramStart"/>
      <w:r w:rsidR="00840328">
        <w:t>studies, since</w:t>
      </w:r>
      <w:proofErr w:type="gramEnd"/>
      <w:r w:rsidR="00840328">
        <w:t xml:space="preserve"> a single pivotal dose was administered. However, rates of overall AEs, severe AEs</w:t>
      </w:r>
      <w:r>
        <w:t xml:space="preserve"> and SAEs tended to follow time </w:t>
      </w:r>
      <w:r w:rsidR="00840328">
        <w:t xml:space="preserve">dependent reductions over the duration of the clinical studies. Since most reported AEs and SAEs were generally associated with underlying disease or disease </w:t>
      </w:r>
      <w:r w:rsidR="00840328">
        <w:lastRenderedPageBreak/>
        <w:t xml:space="preserve">progression, reduction in AE rates is likely to be indicative of the therapeutic benefit of </w:t>
      </w:r>
      <w:proofErr w:type="spellStart"/>
      <w:r w:rsidR="00840328">
        <w:t>risdiplam</w:t>
      </w:r>
      <w:proofErr w:type="spellEnd"/>
      <w:r w:rsidR="00840328">
        <w:t xml:space="preserve"> treatment.</w:t>
      </w:r>
    </w:p>
    <w:p w14:paraId="63BD1E75" w14:textId="5D608632" w:rsidR="00840328" w:rsidRDefault="00840328" w:rsidP="00840328">
      <w:r>
        <w:t xml:space="preserve">Across the studies, </w:t>
      </w:r>
      <w:r w:rsidR="006813E8">
        <w:t xml:space="preserve">few patients experienced AEs or SAEs leading </w:t>
      </w:r>
      <w:r>
        <w:t xml:space="preserve">to study drug </w:t>
      </w:r>
      <w:r w:rsidRPr="00421271">
        <w:t>discontinuation</w:t>
      </w:r>
      <w:r w:rsidR="006813E8" w:rsidRPr="00421271">
        <w:t xml:space="preserve"> or</w:t>
      </w:r>
      <w:r>
        <w:t xml:space="preserve"> dose</w:t>
      </w:r>
      <w:r w:rsidR="009647DA">
        <w:t xml:space="preserve"> </w:t>
      </w:r>
      <w:r>
        <w:t>interruption</w:t>
      </w:r>
      <w:r w:rsidR="00421271">
        <w:t>.</w:t>
      </w:r>
      <w:r w:rsidR="00F72B7A">
        <w:t xml:space="preserve"> </w:t>
      </w:r>
      <w:r w:rsidR="00421271">
        <w:t>The</w:t>
      </w:r>
      <w:r w:rsidR="00F72B7A">
        <w:t xml:space="preserve"> t</w:t>
      </w:r>
      <w:r>
        <w:t>ypes and distribution of these AEs appeared to be associated with the underlying condition, disease progression or were age</w:t>
      </w:r>
      <w:r w:rsidR="000C4C49">
        <w:t xml:space="preserve"> </w:t>
      </w:r>
      <w:r>
        <w:t xml:space="preserve">related. Most AEs resolved despite ongoing treatment with </w:t>
      </w:r>
      <w:proofErr w:type="spellStart"/>
      <w:r>
        <w:t>r</w:t>
      </w:r>
      <w:r w:rsidR="000C4C49">
        <w:t>isdiplam</w:t>
      </w:r>
      <w:proofErr w:type="spellEnd"/>
      <w:r w:rsidR="000C4C49">
        <w:t xml:space="preserve"> or did not recur on re-</w:t>
      </w:r>
      <w:r>
        <w:t>initi</w:t>
      </w:r>
      <w:r w:rsidR="009647DA">
        <w:t xml:space="preserve">ation with </w:t>
      </w:r>
      <w:proofErr w:type="spellStart"/>
      <w:r w:rsidR="009647DA">
        <w:t>risdiplam</w:t>
      </w:r>
      <w:proofErr w:type="spellEnd"/>
      <w:r w:rsidR="009647DA">
        <w:t xml:space="preserve"> treatment.</w:t>
      </w:r>
    </w:p>
    <w:p w14:paraId="69464917" w14:textId="58911D59" w:rsidR="00840328" w:rsidRDefault="00840328" w:rsidP="00840328">
      <w:r>
        <w:t xml:space="preserve">During the </w:t>
      </w:r>
      <w:proofErr w:type="spellStart"/>
      <w:r>
        <w:t>risdiplam</w:t>
      </w:r>
      <w:proofErr w:type="spellEnd"/>
      <w:r>
        <w:t xml:space="preserve"> clinical development program seven </w:t>
      </w:r>
      <w:r w:rsidR="009647DA">
        <w:t>death</w:t>
      </w:r>
      <w:r w:rsidR="006813E8">
        <w:t>s</w:t>
      </w:r>
      <w:r w:rsidR="009647DA">
        <w:t xml:space="preserve"> were recorded</w:t>
      </w:r>
      <w:r>
        <w:t xml:space="preserve">, all in the SMA Type 1 group. Six deaths occurred during patient participation in </w:t>
      </w:r>
      <w:r w:rsidR="009647DA">
        <w:t>Study BP39056 (three in Part 1 and three</w:t>
      </w:r>
      <w:r>
        <w:t xml:space="preserve"> in Part 2</w:t>
      </w:r>
      <w:r w:rsidR="009647DA">
        <w:t xml:space="preserve"> of the study</w:t>
      </w:r>
      <w:r>
        <w:t xml:space="preserve">). An additional patient death occurred 3.5 months after </w:t>
      </w:r>
      <w:r w:rsidR="006F4607">
        <w:t>treatment</w:t>
      </w:r>
      <w:r>
        <w:t xml:space="preserve"> discontinuation. </w:t>
      </w:r>
      <w:proofErr w:type="gramStart"/>
      <w:r>
        <w:t>All of</w:t>
      </w:r>
      <w:proofErr w:type="gramEnd"/>
      <w:r>
        <w:t xml:space="preserve"> thes</w:t>
      </w:r>
      <w:r w:rsidR="00E958A5">
        <w:t xml:space="preserve">e deaths were attributed to SMA </w:t>
      </w:r>
      <w:r>
        <w:t xml:space="preserve">related respiratory complications. In </w:t>
      </w:r>
      <w:r w:rsidR="00E958A5">
        <w:t xml:space="preserve">Study </w:t>
      </w:r>
      <w:r>
        <w:t>BP39056 Part 2, three (7.3%)</w:t>
      </w:r>
      <w:r w:rsidR="00E958A5">
        <w:t xml:space="preserve"> infants died within the first three</w:t>
      </w:r>
      <w:r>
        <w:t xml:space="preserve"> </w:t>
      </w:r>
      <w:r w:rsidR="00E958A5">
        <w:t xml:space="preserve">months of </w:t>
      </w:r>
      <w:proofErr w:type="spellStart"/>
      <w:r w:rsidR="00E958A5">
        <w:t>risdiplam</w:t>
      </w:r>
      <w:proofErr w:type="spellEnd"/>
      <w:r w:rsidR="00E958A5">
        <w:t xml:space="preserve"> treatment (two</w:t>
      </w:r>
      <w:r>
        <w:t xml:space="preserve"> from pneumonia a</w:t>
      </w:r>
      <w:r w:rsidR="00E958A5">
        <w:t>nd one</w:t>
      </w:r>
      <w:r>
        <w:t xml:space="preserve"> from a</w:t>
      </w:r>
      <w:r w:rsidR="00E958A5">
        <w:t>cute respiratory failure). All three infants were male and died one</w:t>
      </w:r>
      <w:r>
        <w:t xml:space="preserve"> day after receiving their last dose of </w:t>
      </w:r>
      <w:proofErr w:type="spellStart"/>
      <w:r>
        <w:t>risdiplam</w:t>
      </w:r>
      <w:proofErr w:type="spellEnd"/>
      <w:r>
        <w:t xml:space="preserve">. In </w:t>
      </w:r>
      <w:r w:rsidR="00E958A5">
        <w:t xml:space="preserve">Study </w:t>
      </w:r>
      <w:r>
        <w:t xml:space="preserve">BP39056 Part </w:t>
      </w:r>
      <w:r w:rsidR="00E958A5">
        <w:t>1, three (14.3%) infants died (two from</w:t>
      </w:r>
      <w:r>
        <w:t xml:space="preserve"> Grade 5</w:t>
      </w:r>
      <w:r w:rsidR="00E958A5">
        <w:t xml:space="preserve"> respiratory tract infections, one</w:t>
      </w:r>
      <w:r>
        <w:t xml:space="preserve"> from cardiac arrest and respiratory failure)</w:t>
      </w:r>
      <w:r w:rsidR="00E958A5">
        <w:t>. All three</w:t>
      </w:r>
      <w:r>
        <w:t xml:space="preserve"> infants were female and died within 1 to 3 days after receivin</w:t>
      </w:r>
      <w:r w:rsidR="00E958A5">
        <w:t xml:space="preserve">g their last dose of </w:t>
      </w:r>
      <w:proofErr w:type="spellStart"/>
      <w:r w:rsidR="00E958A5">
        <w:t>risdiplam</w:t>
      </w:r>
      <w:proofErr w:type="spellEnd"/>
      <w:r w:rsidR="00E958A5">
        <w:t>.</w:t>
      </w:r>
    </w:p>
    <w:p w14:paraId="486EE859" w14:textId="77777777" w:rsidR="00840328" w:rsidRDefault="00840328" w:rsidP="00840328">
      <w:r>
        <w:t>T</w:t>
      </w:r>
      <w:r w:rsidR="00E958A5">
        <w:t>he clinical evaluator noted non</w:t>
      </w:r>
      <w:r>
        <w:t xml:space="preserve">clinical toxicology findings that included effects on epithelial tissues, retinal </w:t>
      </w:r>
      <w:proofErr w:type="gramStart"/>
      <w:r>
        <w:t>toxicity</w:t>
      </w:r>
      <w:proofErr w:type="gramEnd"/>
      <w:r>
        <w:t xml:space="preserve"> and haematological effects. In particular, the photoreceptor degeneration in the periphery of the retina which was not fully reversible and the microcystic macular degeneration in the central retina, which was reversible with improvement of functional impairment as measured by electro</w:t>
      </w:r>
      <w:r w:rsidR="00E958A5">
        <w:t xml:space="preserve">retinography. Off </w:t>
      </w:r>
      <w:r>
        <w:t xml:space="preserve">target safety effects on epithelial tissues and haematological effects were not observed in any patient in the clinical SMA program, when </w:t>
      </w:r>
      <w:proofErr w:type="spellStart"/>
      <w:r>
        <w:t>risdiplam</w:t>
      </w:r>
      <w:proofErr w:type="spellEnd"/>
      <w:r>
        <w:t xml:space="preserve"> was administered at the pivotal dose. Similarly, despite extensive ophthalmological monitoring, </w:t>
      </w:r>
      <w:proofErr w:type="spellStart"/>
      <w:r>
        <w:t>risdiplam</w:t>
      </w:r>
      <w:proofErr w:type="spellEnd"/>
      <w:r>
        <w:t xml:space="preserve"> exposure did not show any evidence of retina</w:t>
      </w:r>
      <w:r w:rsidR="00E958A5">
        <w:t xml:space="preserve">l toxicity. No ocular </w:t>
      </w:r>
      <w:proofErr w:type="spellStart"/>
      <w:r w:rsidR="00E958A5">
        <w:t>risdiplam</w:t>
      </w:r>
      <w:proofErr w:type="spellEnd"/>
      <w:r w:rsidR="00E958A5">
        <w:t xml:space="preserve"> </w:t>
      </w:r>
      <w:r>
        <w:t>related SAEs or study discontinuations due to ocular AEs were reported.</w:t>
      </w:r>
    </w:p>
    <w:p w14:paraId="61D474DF" w14:textId="5B0913F0" w:rsidR="00840328" w:rsidRDefault="00334AF8" w:rsidP="00840328">
      <w:r w:rsidRPr="00A536B5">
        <w:t xml:space="preserve">No </w:t>
      </w:r>
      <w:proofErr w:type="spellStart"/>
      <w:r w:rsidRPr="00A536B5">
        <w:t>risdiplam</w:t>
      </w:r>
      <w:proofErr w:type="spellEnd"/>
      <w:r w:rsidRPr="00A536B5">
        <w:t xml:space="preserve"> </w:t>
      </w:r>
      <w:r w:rsidR="00840328" w:rsidRPr="00A536B5">
        <w:t xml:space="preserve">associated risks were identified following review of vital signs, </w:t>
      </w:r>
      <w:proofErr w:type="spellStart"/>
      <w:r w:rsidR="00C73113">
        <w:t>electrocardigrams</w:t>
      </w:r>
      <w:proofErr w:type="spellEnd"/>
      <w:r w:rsidR="00840328" w:rsidRPr="00A536B5">
        <w:t>, safety laboratory data</w:t>
      </w:r>
      <w:r w:rsidR="00840328">
        <w:t xml:space="preserve"> and suicidal assessments. </w:t>
      </w:r>
      <w:proofErr w:type="spellStart"/>
      <w:r w:rsidR="00840328">
        <w:t>Risdiplam</w:t>
      </w:r>
      <w:proofErr w:type="spellEnd"/>
      <w:r w:rsidR="00840328">
        <w:t xml:space="preserve"> did not appear to be nephrotoxic and there was no evidence of drug-induced serious liver injury. No Hy’s law</w:t>
      </w:r>
      <w:r w:rsidR="00877910">
        <w:t>;</w:t>
      </w:r>
      <w:r w:rsidR="00877910">
        <w:rPr>
          <w:rStyle w:val="FootnoteReference"/>
        </w:rPr>
        <w:footnoteReference w:id="17"/>
      </w:r>
      <w:r w:rsidR="00840328">
        <w:t xml:space="preserve"> case was identified across </w:t>
      </w:r>
      <w:r w:rsidR="00E958A5">
        <w:t xml:space="preserve">the </w:t>
      </w:r>
      <w:proofErr w:type="spellStart"/>
      <w:r w:rsidR="00E958A5">
        <w:t>risdiplam</w:t>
      </w:r>
      <w:proofErr w:type="spellEnd"/>
      <w:r w:rsidR="00E958A5">
        <w:t xml:space="preserve"> clinical program.</w:t>
      </w:r>
    </w:p>
    <w:p w14:paraId="2E948759" w14:textId="43AE75E3" w:rsidR="00840328" w:rsidRDefault="00840328" w:rsidP="00840328">
      <w:r>
        <w:t>Apart from growth parameters, physical examination findings generally remained unchanged throughout the duration of the studies. SMA patients under 12 yea</w:t>
      </w:r>
      <w:r w:rsidR="003815AF">
        <w:t>rs of age, irrespective of SMA T</w:t>
      </w:r>
      <w:r>
        <w:t xml:space="preserve">ype, consistently demonstrated growth and development for up to 12 months duration in the pivotal studies and for up to 24 </w:t>
      </w:r>
      <w:r w:rsidR="00E958A5">
        <w:t>months in an exploratory study.</w:t>
      </w:r>
    </w:p>
    <w:p w14:paraId="1319303C" w14:textId="2DDD4973" w:rsidR="00840328" w:rsidRDefault="00E958A5" w:rsidP="00840328">
      <w:r>
        <w:t xml:space="preserve">Study </w:t>
      </w:r>
      <w:r w:rsidR="00840328">
        <w:t xml:space="preserve">BP39054 </w:t>
      </w:r>
      <w:r>
        <w:t>(also referred to as JEWELFISH trial</w:t>
      </w:r>
      <w:r w:rsidR="00840328">
        <w:t>) is an ongoing multicentre, OL, non-comparative, single</w:t>
      </w:r>
      <w:r>
        <w:t xml:space="preserve"> arm, exploratory P</w:t>
      </w:r>
      <w:r w:rsidR="00840328">
        <w:t xml:space="preserve">hase II study in SMA patients previously enrolled in </w:t>
      </w:r>
      <w:r>
        <w:t xml:space="preserve">Study </w:t>
      </w:r>
      <w:r w:rsidR="00840328">
        <w:t xml:space="preserve">BP29420 with the splicing modifier RO6885247 (n = 13) or previously treated with </w:t>
      </w:r>
      <w:proofErr w:type="spellStart"/>
      <w:r w:rsidR="00840328">
        <w:t>nusinersen</w:t>
      </w:r>
      <w:proofErr w:type="spellEnd"/>
      <w:r w:rsidR="00840328">
        <w:t xml:space="preserve"> (n = 76),</w:t>
      </w:r>
      <w:r w:rsidR="00416551">
        <w:fldChar w:fldCharType="begin"/>
      </w:r>
      <w:r w:rsidR="00416551">
        <w:instrText xml:space="preserve"> NOTEREF _Ref75955762 \f \h </w:instrText>
      </w:r>
      <w:r w:rsidR="00416551">
        <w:fldChar w:fldCharType="separate"/>
      </w:r>
      <w:r w:rsidR="00710041" w:rsidRPr="00710041">
        <w:rPr>
          <w:rStyle w:val="FootnoteReference"/>
        </w:rPr>
        <w:t>4</w:t>
      </w:r>
      <w:r w:rsidR="00416551">
        <w:fldChar w:fldCharType="end"/>
      </w:r>
      <w:r w:rsidR="00840328">
        <w:t xml:space="preserve"> </w:t>
      </w:r>
      <w:proofErr w:type="spellStart"/>
      <w:r w:rsidR="00840328">
        <w:t>onasemnogene</w:t>
      </w:r>
      <w:proofErr w:type="spellEnd"/>
      <w:r w:rsidR="00840328">
        <w:t xml:space="preserve"> </w:t>
      </w:r>
      <w:proofErr w:type="spellStart"/>
      <w:r w:rsidR="00840328">
        <w:t>abeparvovec</w:t>
      </w:r>
      <w:proofErr w:type="spellEnd"/>
      <w:r w:rsidR="00840328">
        <w:t xml:space="preserve"> (n = 14) or </w:t>
      </w:r>
      <w:proofErr w:type="spellStart"/>
      <w:r w:rsidR="00840328">
        <w:t>olesoxime</w:t>
      </w:r>
      <w:proofErr w:type="spellEnd"/>
      <w:r w:rsidR="00840328">
        <w:t xml:space="preserve"> (n = 71). Treatment with ora</w:t>
      </w:r>
      <w:r>
        <w:t xml:space="preserve">l </w:t>
      </w:r>
      <w:proofErr w:type="spellStart"/>
      <w:r>
        <w:t>risdiplam</w:t>
      </w:r>
      <w:proofErr w:type="spellEnd"/>
      <w:r>
        <w:t xml:space="preserve"> is planned for a </w:t>
      </w:r>
      <w:proofErr w:type="gramStart"/>
      <w:r>
        <w:t xml:space="preserve">24 </w:t>
      </w:r>
      <w:r w:rsidR="00840328">
        <w:t>month</w:t>
      </w:r>
      <w:proofErr w:type="gramEnd"/>
      <w:r w:rsidR="00840328">
        <w:t xml:space="preserve"> period using the pivotal dose. Fifteen patients had SMA Type 1, 108 patients had SMA Type 2 and 51 patients had SMA Type 3, and were aged 6 months to 60 years </w:t>
      </w:r>
      <w:r>
        <w:t xml:space="preserve">at enrolment (27.6% were aged 2 to </w:t>
      </w:r>
      <w:r w:rsidR="00840328">
        <w:t>12 years and 33.3% were aged 12</w:t>
      </w:r>
      <w:r>
        <w:t xml:space="preserve"> to 17 years). Interim clinical study report (C</w:t>
      </w:r>
      <w:r w:rsidR="00840328">
        <w:t>SR</w:t>
      </w:r>
      <w:r>
        <w:t>)</w:t>
      </w:r>
      <w:r w:rsidR="00840328">
        <w:t xml:space="preserve"> safety data collected in </w:t>
      </w:r>
      <w:r>
        <w:t xml:space="preserve">Study </w:t>
      </w:r>
      <w:r w:rsidR="00840328">
        <w:t>BP39054 indicated that patients previously treated with nusinersen</w:t>
      </w:r>
      <w:r w:rsidR="00416551">
        <w:t>;</w:t>
      </w:r>
      <w:r w:rsidR="00416551">
        <w:fldChar w:fldCharType="begin"/>
      </w:r>
      <w:r w:rsidR="00416551">
        <w:instrText xml:space="preserve"> NOTEREF _Ref75955762 \f \h </w:instrText>
      </w:r>
      <w:r w:rsidR="00416551">
        <w:fldChar w:fldCharType="separate"/>
      </w:r>
      <w:r w:rsidR="00710041" w:rsidRPr="00710041">
        <w:rPr>
          <w:rStyle w:val="FootnoteReference"/>
        </w:rPr>
        <w:t>4</w:t>
      </w:r>
      <w:r w:rsidR="00416551">
        <w:fldChar w:fldCharType="end"/>
      </w:r>
      <w:r w:rsidR="00840328">
        <w:t xml:space="preserve"> and AVXS-101 (</w:t>
      </w:r>
      <w:proofErr w:type="spellStart"/>
      <w:r w:rsidR="00840328">
        <w:t>onasemnogene</w:t>
      </w:r>
      <w:proofErr w:type="spellEnd"/>
      <w:r w:rsidR="00840328">
        <w:t xml:space="preserve">) can be safely switched to </w:t>
      </w:r>
      <w:proofErr w:type="spellStart"/>
      <w:r w:rsidR="00840328">
        <w:t>risdiplam</w:t>
      </w:r>
      <w:proofErr w:type="spellEnd"/>
      <w:r w:rsidR="00840328">
        <w:t xml:space="preserve"> after a previous SMA </w:t>
      </w:r>
      <w:r w:rsidR="00840328">
        <w:lastRenderedPageBreak/>
        <w:t>disease modifying treatmen</w:t>
      </w:r>
      <w:r>
        <w:t xml:space="preserve">t. The AE profile for treatment </w:t>
      </w:r>
      <w:r w:rsidR="00840328">
        <w:t>naïve and previously treated pat</w:t>
      </w:r>
      <w:r>
        <w:t>ients was generally comparable.</w:t>
      </w:r>
    </w:p>
    <w:p w14:paraId="485C2B8A" w14:textId="77777777" w:rsidR="00840328" w:rsidRDefault="00840328" w:rsidP="00840328">
      <w:r>
        <w:t xml:space="preserve">In general, there were no clinically meaningful differences in </w:t>
      </w:r>
      <w:proofErr w:type="spellStart"/>
      <w:r>
        <w:t>risdiplam</w:t>
      </w:r>
      <w:proofErr w:type="spellEnd"/>
      <w:r w:rsidR="00E958A5">
        <w:t xml:space="preserve"> </w:t>
      </w:r>
      <w:r>
        <w:t>re</w:t>
      </w:r>
      <w:r w:rsidR="00E958A5">
        <w:t xml:space="preserve">lated AEs based on gender, race group or age </w:t>
      </w:r>
      <w:r>
        <w:t xml:space="preserve">category. Since few subjects older than 65 years of age were dosed with </w:t>
      </w:r>
      <w:proofErr w:type="spellStart"/>
      <w:r>
        <w:t>risdiplam</w:t>
      </w:r>
      <w:proofErr w:type="spellEnd"/>
      <w:r>
        <w:t xml:space="preserve"> in the clinical studies, caution </w:t>
      </w:r>
      <w:r w:rsidR="00E958A5">
        <w:t xml:space="preserve">should be exercised in this age </w:t>
      </w:r>
      <w:r>
        <w:t>group.</w:t>
      </w:r>
    </w:p>
    <w:p w14:paraId="12FF1A63" w14:textId="064ECDFC" w:rsidR="00840328" w:rsidRDefault="00840328" w:rsidP="00840328">
      <w:r>
        <w:t xml:space="preserve">There was no clear evidence of </w:t>
      </w:r>
      <w:proofErr w:type="spellStart"/>
      <w:r>
        <w:t>risdiplam</w:t>
      </w:r>
      <w:proofErr w:type="spellEnd"/>
      <w:r w:rsidR="00E958A5">
        <w:t xml:space="preserve"> </w:t>
      </w:r>
      <w:r>
        <w:t>related cardiotoxicity or QT</w:t>
      </w:r>
      <w:r w:rsidR="00877910">
        <w:t>;</w:t>
      </w:r>
      <w:r w:rsidR="00877910">
        <w:rPr>
          <w:rStyle w:val="FootnoteReference"/>
        </w:rPr>
        <w:footnoteReference w:id="18"/>
      </w:r>
      <w:r>
        <w:t xml:space="preserve"> prolongation in the clinical SMA program. These findings were generally supporte</w:t>
      </w:r>
      <w:r w:rsidR="00E958A5">
        <w:t xml:space="preserve">d by the results of an exposure </w:t>
      </w:r>
      <w:r w:rsidR="00645280">
        <w:t>QT analysis and a c</w:t>
      </w:r>
      <w:r>
        <w:t>linic</w:t>
      </w:r>
      <w:r w:rsidR="00645280">
        <w:t>al r</w:t>
      </w:r>
      <w:r w:rsidR="00E958A5">
        <w:t xml:space="preserve">eview issued by the </w:t>
      </w:r>
      <w:r w:rsidR="008776E4">
        <w:t xml:space="preserve">US </w:t>
      </w:r>
      <w:r w:rsidR="00334AF8">
        <w:t>FDA</w:t>
      </w:r>
      <w:r w:rsidR="00E958A5">
        <w:t>.</w:t>
      </w:r>
    </w:p>
    <w:p w14:paraId="5FA405DB" w14:textId="1840F053" w:rsidR="00840328" w:rsidRPr="00334E1D" w:rsidRDefault="00840328" w:rsidP="00840328">
      <w:r>
        <w:t xml:space="preserve">There were no clinical data from use of </w:t>
      </w:r>
      <w:proofErr w:type="spellStart"/>
      <w:r>
        <w:t>risdiplam</w:t>
      </w:r>
      <w:proofErr w:type="spellEnd"/>
      <w:r>
        <w:t xml:space="preserve"> in pregnant women. </w:t>
      </w:r>
      <w:proofErr w:type="spellStart"/>
      <w:r>
        <w:t>Risdip</w:t>
      </w:r>
      <w:r w:rsidR="00645280">
        <w:t>lam</w:t>
      </w:r>
      <w:proofErr w:type="spellEnd"/>
      <w:r w:rsidR="00645280">
        <w:t xml:space="preserve"> has been shown to be embryo </w:t>
      </w:r>
      <w:r>
        <w:t xml:space="preserve">fetotoxic and teratogenic in animals. </w:t>
      </w:r>
      <w:proofErr w:type="spellStart"/>
      <w:r>
        <w:t>Risdiplam</w:t>
      </w:r>
      <w:proofErr w:type="spellEnd"/>
      <w:r>
        <w:t xml:space="preserve"> should not be used during pregnancy unless the benefit to the mother outweighs the potential risks to the foetus. Although </w:t>
      </w:r>
      <w:proofErr w:type="spellStart"/>
      <w:r>
        <w:t>risdiplam</w:t>
      </w:r>
      <w:proofErr w:type="spellEnd"/>
      <w:r>
        <w:t xml:space="preserve"> is excreted into the milk of rats, it is not known whether </w:t>
      </w:r>
      <w:proofErr w:type="spellStart"/>
      <w:r>
        <w:t>risdiplam</w:t>
      </w:r>
      <w:proofErr w:type="spellEnd"/>
      <w:r>
        <w:t xml:space="preserve"> is excreted in human breast milk. </w:t>
      </w:r>
      <w:proofErr w:type="spellStart"/>
      <w:r>
        <w:t>Risdiplam</w:t>
      </w:r>
      <w:proofErr w:type="spellEnd"/>
      <w:r>
        <w:t xml:space="preserve"> treatment is therefore not recommended for breastfeeding mothers. </w:t>
      </w:r>
      <w:proofErr w:type="spellStart"/>
      <w:r>
        <w:t>Risdiplam</w:t>
      </w:r>
      <w:proofErr w:type="spellEnd"/>
      <w:r>
        <w:t xml:space="preserve"> has be categorised as a Pregnancy </w:t>
      </w:r>
      <w:r w:rsidR="00645280">
        <w:t>C</w:t>
      </w:r>
      <w:r>
        <w:t>ategory D medicine.</w:t>
      </w:r>
      <w:r w:rsidR="008776E4">
        <w:rPr>
          <w:rStyle w:val="FootnoteReference"/>
        </w:rPr>
        <w:footnoteReference w:id="19"/>
      </w:r>
    </w:p>
    <w:p w14:paraId="32817DBF" w14:textId="77777777" w:rsidR="007B6132" w:rsidRDefault="007B6132" w:rsidP="00555280">
      <w:pPr>
        <w:pStyle w:val="Heading4"/>
      </w:pPr>
      <w:r w:rsidRPr="00A536B5">
        <w:t>Clinical evaluator’s recommendation</w:t>
      </w:r>
    </w:p>
    <w:p w14:paraId="2CC1E466" w14:textId="681EF3CA" w:rsidR="00B344E7" w:rsidRDefault="00B344E7" w:rsidP="00B344E7">
      <w:r>
        <w:t xml:space="preserve">The clinical evaluator recommended approval of </w:t>
      </w:r>
      <w:proofErr w:type="spellStart"/>
      <w:r>
        <w:t>risdiplam</w:t>
      </w:r>
      <w:proofErr w:type="spellEnd"/>
      <w:r>
        <w:t xml:space="preserve"> for the proposed indication. Conditions for approval outlined by the clinical evaluator included requested changes to the P</w:t>
      </w:r>
      <w:r w:rsidR="00A536B5">
        <w:t xml:space="preserve">roduct </w:t>
      </w:r>
      <w:r>
        <w:t>I</w:t>
      </w:r>
      <w:r w:rsidR="00A536B5">
        <w:t>nformation (PI)</w:t>
      </w:r>
      <w:r>
        <w:t xml:space="preserve"> and </w:t>
      </w:r>
      <w:r w:rsidR="00A536B5">
        <w:t>Consumer Medicines Information (</w:t>
      </w:r>
      <w:r>
        <w:t>CMI</w:t>
      </w:r>
      <w:r w:rsidR="00A536B5">
        <w:t>)</w:t>
      </w:r>
      <w:r>
        <w:t xml:space="preserve">, the submission of the results of ongoing clinical studies (including a comprehensive safety analysis), the </w:t>
      </w:r>
      <w:r w:rsidR="00A536B5">
        <w:t xml:space="preserve">thorough QT study, and the drug </w:t>
      </w:r>
      <w:proofErr w:type="spellStart"/>
      <w:r>
        <w:t>drug</w:t>
      </w:r>
      <w:proofErr w:type="spellEnd"/>
      <w:r>
        <w:t xml:space="preserve"> interaction study with omeprazole; and to closely monitor </w:t>
      </w:r>
      <w:proofErr w:type="spellStart"/>
      <w:r>
        <w:t>risdiplam</w:t>
      </w:r>
      <w:proofErr w:type="spellEnd"/>
      <w:r>
        <w:t xml:space="preserve"> in the post-market and clinical trial setting for new safety signals including clarification of retinal risk.</w:t>
      </w:r>
    </w:p>
    <w:p w14:paraId="2563F8FE" w14:textId="77777777" w:rsidR="008E7846" w:rsidRDefault="00386150" w:rsidP="007B6132">
      <w:pPr>
        <w:pStyle w:val="Heading3"/>
        <w:rPr>
          <w:lang w:eastAsia="en-AU"/>
        </w:rPr>
      </w:pPr>
      <w:bookmarkStart w:id="51" w:name="_Toc82421582"/>
      <w:r>
        <w:rPr>
          <w:lang w:eastAsia="en-AU"/>
        </w:rPr>
        <w:t>Risk m</w:t>
      </w:r>
      <w:r w:rsidR="008E7846">
        <w:rPr>
          <w:lang w:eastAsia="en-AU"/>
        </w:rPr>
        <w:t xml:space="preserve">anagement </w:t>
      </w:r>
      <w:r>
        <w:rPr>
          <w:lang w:eastAsia="en-AU"/>
        </w:rPr>
        <w:t>p</w:t>
      </w:r>
      <w:r w:rsidR="008E7846">
        <w:rPr>
          <w:lang w:eastAsia="en-AU"/>
        </w:rPr>
        <w:t>lan</w:t>
      </w:r>
      <w:bookmarkEnd w:id="40"/>
      <w:bookmarkEnd w:id="51"/>
    </w:p>
    <w:p w14:paraId="0753FD3F" w14:textId="3AF3DA5C" w:rsidR="00997955" w:rsidRDefault="00997955" w:rsidP="00997955">
      <w:r>
        <w:t>The sponsor</w:t>
      </w:r>
      <w:r w:rsidRPr="00997955">
        <w:t xml:space="preserve"> has submitted EU-</w:t>
      </w:r>
      <w:r w:rsidR="005B48A0">
        <w:t>Risk management plan (</w:t>
      </w:r>
      <w:r w:rsidRPr="00997955">
        <w:t>RMP</w:t>
      </w:r>
      <w:r w:rsidR="005B48A0">
        <w:t>)</w:t>
      </w:r>
      <w:r w:rsidRPr="00997955">
        <w:t xml:space="preserve"> version 0.1 (date 24 June 2020; </w:t>
      </w:r>
      <w:r>
        <w:t>data lock point (</w:t>
      </w:r>
      <w:r w:rsidRPr="00997955">
        <w:t>DLP</w:t>
      </w:r>
      <w:r>
        <w:t>)</w:t>
      </w:r>
      <w:r w:rsidRPr="00997955">
        <w:t xml:space="preserve"> 31 </w:t>
      </w:r>
      <w:r>
        <w:t>January</w:t>
      </w:r>
      <w:r w:rsidRPr="00997955">
        <w:t xml:space="preserve"> 2020) and A</w:t>
      </w:r>
      <w:r>
        <w:t xml:space="preserve">ustralia </w:t>
      </w:r>
      <w:r w:rsidRPr="00997955">
        <w:t>S</w:t>
      </w:r>
      <w:r>
        <w:t>pecific annex (ASA)</w:t>
      </w:r>
      <w:r w:rsidRPr="00997955">
        <w:t xml:space="preserve"> version 1.0 (date 1 July 2020) in support of this application. In the response to </w:t>
      </w:r>
      <w:r>
        <w:t>TGA</w:t>
      </w:r>
      <w:r w:rsidRPr="00997955">
        <w:t xml:space="preserve"> questions, the sponsor submitted ASA version 2.0 (date 19 </w:t>
      </w:r>
      <w:r>
        <w:t>November</w:t>
      </w:r>
      <w:r w:rsidRPr="00997955">
        <w:t xml:space="preserve"> 2020). In the response to </w:t>
      </w:r>
      <w:r>
        <w:t xml:space="preserve">further TGA </w:t>
      </w:r>
      <w:r w:rsidRPr="00997955">
        <w:t>questions, the sponsor submitted ASA version 3.0 (date 6 Jan</w:t>
      </w:r>
      <w:r>
        <w:t xml:space="preserve">uary 2021). In the response to </w:t>
      </w:r>
      <w:r w:rsidR="00A536B5">
        <w:t>rolling</w:t>
      </w:r>
      <w:r>
        <w:t xml:space="preserve"> questions by TGA</w:t>
      </w:r>
      <w:r w:rsidRPr="00997955">
        <w:t>, the sponsor submitted ASA version 4.0 (date 8</w:t>
      </w:r>
      <w:r w:rsidR="008776E4">
        <w:t> </w:t>
      </w:r>
      <w:r w:rsidRPr="00997955">
        <w:t>Febr</w:t>
      </w:r>
      <w:r>
        <w:t>uary 2021). In response to the second round of RMP</w:t>
      </w:r>
      <w:r w:rsidRPr="00997955">
        <w:t xml:space="preserve"> evaluation the sponsor submitted ASA version 1.5 (date 25 February 2021). </w:t>
      </w:r>
      <w:r>
        <w:t>At fourth round of RMP evaluation,</w:t>
      </w:r>
      <w:r w:rsidRPr="00997955">
        <w:t xml:space="preserve"> the sponsor submitted EU-RMP version 1.0 (date 5 March </w:t>
      </w:r>
      <w:proofErr w:type="gramStart"/>
      <w:r w:rsidRPr="00997955">
        <w:t>2021;</w:t>
      </w:r>
      <w:proofErr w:type="gramEnd"/>
      <w:r w:rsidRPr="00997955">
        <w:t xml:space="preserve"> DLP 31 January 2020) and ASA </w:t>
      </w:r>
      <w:r>
        <w:t>version 2.1 (date 27 May 2021).</w:t>
      </w:r>
    </w:p>
    <w:p w14:paraId="3C270C9D" w14:textId="301E4006" w:rsidR="007D53B6" w:rsidRDefault="007D53B6" w:rsidP="007D53B6">
      <w:r>
        <w:t>The summary of safety concerns and their associated risk monitoring and mitigation strat</w:t>
      </w:r>
      <w:r w:rsidR="00997955">
        <w:t xml:space="preserve">egies are summarised in </w:t>
      </w:r>
      <w:r w:rsidR="00997955">
        <w:fldChar w:fldCharType="begin"/>
      </w:r>
      <w:r w:rsidR="00997955">
        <w:instrText xml:space="preserve"> REF _Ref75944983 \h </w:instrText>
      </w:r>
      <w:r w:rsidR="00997955">
        <w:fldChar w:fldCharType="separate"/>
      </w:r>
      <w:r w:rsidR="00710041" w:rsidRPr="00997955">
        <w:t xml:space="preserve">Table </w:t>
      </w:r>
      <w:r w:rsidR="00710041">
        <w:rPr>
          <w:noProof/>
        </w:rPr>
        <w:t>8</w:t>
      </w:r>
      <w:r w:rsidR="00997955">
        <w:fldChar w:fldCharType="end"/>
      </w:r>
      <w:r>
        <w:t>.</w:t>
      </w:r>
      <w:r>
        <w:rPr>
          <w:rStyle w:val="FootnoteReference"/>
        </w:rPr>
        <w:footnoteReference w:id="20"/>
      </w:r>
    </w:p>
    <w:p w14:paraId="411BBBC0" w14:textId="17862F11" w:rsidR="00997955" w:rsidRDefault="00997955" w:rsidP="00997955">
      <w:pPr>
        <w:pStyle w:val="TableTitle"/>
      </w:pPr>
      <w:bookmarkStart w:id="52" w:name="_Ref75944983"/>
      <w:r w:rsidRPr="00997955">
        <w:lastRenderedPageBreak/>
        <w:t xml:space="preserve">Table </w:t>
      </w:r>
      <w:r w:rsidR="00C27826">
        <w:fldChar w:fldCharType="begin"/>
      </w:r>
      <w:r w:rsidR="00C27826">
        <w:instrText xml:space="preserve"> SEQ Table \* ARABIC </w:instrText>
      </w:r>
      <w:r w:rsidR="00C27826">
        <w:fldChar w:fldCharType="separate"/>
      </w:r>
      <w:r w:rsidR="00710041">
        <w:rPr>
          <w:noProof/>
        </w:rPr>
        <w:t>8</w:t>
      </w:r>
      <w:r w:rsidR="00C27826">
        <w:rPr>
          <w:noProof/>
        </w:rPr>
        <w:fldChar w:fldCharType="end"/>
      </w:r>
      <w:bookmarkEnd w:id="52"/>
      <w:r>
        <w:t>: Summary of safety concerns and their associated risk monitoring and mitigation strategies</w:t>
      </w:r>
    </w:p>
    <w:tbl>
      <w:tblPr>
        <w:tblStyle w:val="TableTGAblue"/>
        <w:tblW w:w="5000" w:type="pct"/>
        <w:tblLook w:val="04A0" w:firstRow="1" w:lastRow="0" w:firstColumn="1" w:lastColumn="0" w:noHBand="0" w:noVBand="1"/>
      </w:tblPr>
      <w:tblGrid>
        <w:gridCol w:w="1442"/>
        <w:gridCol w:w="2004"/>
        <w:gridCol w:w="1162"/>
        <w:gridCol w:w="1362"/>
        <w:gridCol w:w="1162"/>
        <w:gridCol w:w="1362"/>
      </w:tblGrid>
      <w:tr w:rsidR="00997955" w:rsidRPr="00BF52F4" w14:paraId="198B030A" w14:textId="77777777" w:rsidTr="005B48A0">
        <w:trPr>
          <w:cnfStyle w:val="100000000000" w:firstRow="1" w:lastRow="0" w:firstColumn="0" w:lastColumn="0" w:oddVBand="0" w:evenVBand="0" w:oddHBand="0" w:evenHBand="0" w:firstRowFirstColumn="0" w:firstRowLastColumn="0" w:lastRowFirstColumn="0" w:lastRowLastColumn="0"/>
          <w:trHeight w:val="131"/>
        </w:trPr>
        <w:tc>
          <w:tcPr>
            <w:tcW w:w="2028" w:type="pct"/>
            <w:gridSpan w:val="2"/>
            <w:vMerge w:val="restart"/>
            <w:tcBorders>
              <w:top w:val="single" w:sz="4" w:space="0" w:color="auto"/>
              <w:left w:val="single" w:sz="4" w:space="0" w:color="auto"/>
              <w:bottom w:val="single" w:sz="4" w:space="0" w:color="auto"/>
              <w:right w:val="single" w:sz="4" w:space="0" w:color="auto"/>
            </w:tcBorders>
          </w:tcPr>
          <w:p w14:paraId="5FFE90FC" w14:textId="77777777" w:rsidR="00997955" w:rsidRPr="00BF52F4" w:rsidRDefault="00997955" w:rsidP="00997955">
            <w:pPr>
              <w:pStyle w:val="Tabletext"/>
              <w:rPr>
                <w:b w:val="0"/>
              </w:rPr>
            </w:pPr>
            <w:r w:rsidRPr="00BF52F4">
              <w:t>Summary of safety concerns</w:t>
            </w:r>
          </w:p>
        </w:tc>
        <w:tc>
          <w:tcPr>
            <w:tcW w:w="1486" w:type="pct"/>
            <w:gridSpan w:val="2"/>
            <w:tcBorders>
              <w:top w:val="single" w:sz="4" w:space="0" w:color="auto"/>
              <w:left w:val="single" w:sz="4" w:space="0" w:color="auto"/>
              <w:bottom w:val="single" w:sz="4" w:space="0" w:color="auto"/>
              <w:right w:val="single" w:sz="4" w:space="0" w:color="auto"/>
            </w:tcBorders>
          </w:tcPr>
          <w:p w14:paraId="440D0464" w14:textId="77777777" w:rsidR="00997955" w:rsidRPr="00BF52F4" w:rsidRDefault="00997955" w:rsidP="00997955">
            <w:pPr>
              <w:pStyle w:val="Tabletext"/>
              <w:rPr>
                <w:b w:val="0"/>
                <w:sz w:val="18"/>
              </w:rPr>
            </w:pPr>
            <w:r w:rsidRPr="00BF52F4">
              <w:rPr>
                <w:sz w:val="18"/>
              </w:rPr>
              <w:t>Pharmacovigilance</w:t>
            </w:r>
          </w:p>
        </w:tc>
        <w:tc>
          <w:tcPr>
            <w:tcW w:w="1486" w:type="pct"/>
            <w:gridSpan w:val="2"/>
            <w:tcBorders>
              <w:top w:val="single" w:sz="4" w:space="0" w:color="auto"/>
              <w:left w:val="single" w:sz="4" w:space="0" w:color="auto"/>
              <w:bottom w:val="single" w:sz="4" w:space="0" w:color="auto"/>
              <w:right w:val="single" w:sz="4" w:space="0" w:color="auto"/>
            </w:tcBorders>
          </w:tcPr>
          <w:p w14:paraId="426E38EF" w14:textId="77777777" w:rsidR="00997955" w:rsidRPr="00BF52F4" w:rsidRDefault="00997955" w:rsidP="00997955">
            <w:pPr>
              <w:pStyle w:val="Tabletext"/>
              <w:rPr>
                <w:b w:val="0"/>
                <w:sz w:val="18"/>
              </w:rPr>
            </w:pPr>
            <w:r w:rsidRPr="00BF52F4">
              <w:rPr>
                <w:sz w:val="18"/>
              </w:rPr>
              <w:t>Risk Minimisation</w:t>
            </w:r>
          </w:p>
        </w:tc>
      </w:tr>
      <w:tr w:rsidR="00997955" w:rsidRPr="00BF52F4" w14:paraId="4C909582" w14:textId="77777777" w:rsidTr="005B48A0">
        <w:trPr>
          <w:trHeight w:val="150"/>
        </w:trPr>
        <w:tc>
          <w:tcPr>
            <w:tcW w:w="2028" w:type="pct"/>
            <w:gridSpan w:val="2"/>
            <w:vMerge/>
            <w:tcBorders>
              <w:top w:val="single" w:sz="4" w:space="0" w:color="auto"/>
              <w:left w:val="single" w:sz="4" w:space="0" w:color="auto"/>
              <w:bottom w:val="single" w:sz="4" w:space="0" w:color="auto"/>
              <w:right w:val="single" w:sz="4" w:space="0" w:color="auto"/>
            </w:tcBorders>
          </w:tcPr>
          <w:p w14:paraId="050064C9" w14:textId="77777777" w:rsidR="00997955" w:rsidRPr="00BF52F4" w:rsidRDefault="00997955" w:rsidP="00997955">
            <w:pPr>
              <w:pStyle w:val="Tabletext"/>
              <w:rPr>
                <w:b/>
              </w:rPr>
            </w:pP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7B2737CD" w14:textId="77777777" w:rsidR="00997955" w:rsidRPr="00997955" w:rsidRDefault="00997955" w:rsidP="00997955">
            <w:pPr>
              <w:pStyle w:val="Tabletext"/>
              <w:rPr>
                <w:color w:val="FFFFFF" w:themeColor="background1"/>
                <w:sz w:val="18"/>
              </w:rPr>
            </w:pPr>
            <w:r w:rsidRPr="00997955">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2A94A9F0" w14:textId="77777777" w:rsidR="00997955" w:rsidRPr="00997955" w:rsidRDefault="00997955" w:rsidP="00997955">
            <w:pPr>
              <w:pStyle w:val="Tabletext"/>
              <w:rPr>
                <w:color w:val="FFFFFF" w:themeColor="background1"/>
                <w:sz w:val="18"/>
              </w:rPr>
            </w:pPr>
            <w:r w:rsidRPr="00997955">
              <w:rPr>
                <w:color w:val="FFFFFF" w:themeColor="background1"/>
                <w:sz w:val="18"/>
              </w:rPr>
              <w:t>Additional</w:t>
            </w: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24481669" w14:textId="77777777" w:rsidR="00997955" w:rsidRPr="00997955" w:rsidRDefault="00997955" w:rsidP="00997955">
            <w:pPr>
              <w:pStyle w:val="Tabletext"/>
              <w:rPr>
                <w:color w:val="FFFFFF" w:themeColor="background1"/>
                <w:sz w:val="18"/>
              </w:rPr>
            </w:pPr>
            <w:r w:rsidRPr="00997955">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7C9072C9" w14:textId="77777777" w:rsidR="00997955" w:rsidRPr="00997955" w:rsidRDefault="00997955" w:rsidP="00997955">
            <w:pPr>
              <w:pStyle w:val="Tabletext"/>
              <w:rPr>
                <w:color w:val="FFFFFF" w:themeColor="background1"/>
                <w:sz w:val="18"/>
              </w:rPr>
            </w:pPr>
            <w:r w:rsidRPr="00997955">
              <w:rPr>
                <w:color w:val="FFFFFF" w:themeColor="background1"/>
                <w:sz w:val="18"/>
              </w:rPr>
              <w:t>Additional</w:t>
            </w:r>
          </w:p>
        </w:tc>
      </w:tr>
      <w:tr w:rsidR="00997955" w:rsidRPr="00BF52F4" w14:paraId="0AC38DA1" w14:textId="77777777" w:rsidTr="005B48A0">
        <w:trPr>
          <w:trHeight w:val="137"/>
        </w:trPr>
        <w:tc>
          <w:tcPr>
            <w:tcW w:w="849" w:type="pct"/>
            <w:tcBorders>
              <w:top w:val="single" w:sz="4" w:space="0" w:color="auto"/>
            </w:tcBorders>
          </w:tcPr>
          <w:p w14:paraId="61C48C3E" w14:textId="77777777" w:rsidR="00997955" w:rsidRPr="00997955" w:rsidRDefault="00997955" w:rsidP="00997955">
            <w:pPr>
              <w:pStyle w:val="Tabletext"/>
              <w:ind w:left="0"/>
              <w:rPr>
                <w:b/>
                <w:color w:val="auto"/>
              </w:rPr>
            </w:pPr>
            <w:r w:rsidRPr="00997955">
              <w:rPr>
                <w:b/>
                <w:color w:val="auto"/>
              </w:rPr>
              <w:t>Important identified risks</w:t>
            </w:r>
          </w:p>
        </w:tc>
        <w:tc>
          <w:tcPr>
            <w:tcW w:w="1180" w:type="pct"/>
            <w:tcBorders>
              <w:top w:val="single" w:sz="4" w:space="0" w:color="auto"/>
            </w:tcBorders>
          </w:tcPr>
          <w:p w14:paraId="4C451591" w14:textId="77777777" w:rsidR="00997955" w:rsidRPr="00997955" w:rsidRDefault="00997955" w:rsidP="00997955">
            <w:pPr>
              <w:pStyle w:val="Tabletext"/>
              <w:rPr>
                <w:color w:val="auto"/>
              </w:rPr>
            </w:pPr>
            <w:r w:rsidRPr="00997955">
              <w:rPr>
                <w:color w:val="auto"/>
              </w:rPr>
              <w:t>None</w:t>
            </w:r>
          </w:p>
        </w:tc>
        <w:tc>
          <w:tcPr>
            <w:tcW w:w="684" w:type="pct"/>
            <w:tcBorders>
              <w:top w:val="single" w:sz="4" w:space="0" w:color="auto"/>
            </w:tcBorders>
          </w:tcPr>
          <w:p w14:paraId="11593CDC" w14:textId="77777777" w:rsidR="00997955" w:rsidRPr="00997955" w:rsidRDefault="00997955" w:rsidP="00997955">
            <w:pPr>
              <w:pStyle w:val="Tabletext"/>
              <w:jc w:val="center"/>
              <w:rPr>
                <w:color w:val="auto"/>
              </w:rPr>
            </w:pPr>
            <w:r w:rsidRPr="00997955">
              <w:rPr>
                <w:color w:val="auto"/>
              </w:rPr>
              <w:t>–</w:t>
            </w:r>
          </w:p>
        </w:tc>
        <w:tc>
          <w:tcPr>
            <w:tcW w:w="802" w:type="pct"/>
            <w:tcBorders>
              <w:top w:val="single" w:sz="4" w:space="0" w:color="auto"/>
            </w:tcBorders>
          </w:tcPr>
          <w:p w14:paraId="27808DF4" w14:textId="77777777" w:rsidR="00997955" w:rsidRPr="00997955" w:rsidRDefault="00997955" w:rsidP="00997955">
            <w:pPr>
              <w:pStyle w:val="Tabletext"/>
              <w:jc w:val="center"/>
              <w:rPr>
                <w:color w:val="auto"/>
              </w:rPr>
            </w:pPr>
            <w:r w:rsidRPr="00997955">
              <w:rPr>
                <w:color w:val="auto"/>
              </w:rPr>
              <w:t>–</w:t>
            </w:r>
          </w:p>
        </w:tc>
        <w:tc>
          <w:tcPr>
            <w:tcW w:w="684" w:type="pct"/>
            <w:tcBorders>
              <w:top w:val="single" w:sz="4" w:space="0" w:color="auto"/>
            </w:tcBorders>
          </w:tcPr>
          <w:p w14:paraId="09D28ECE" w14:textId="77777777" w:rsidR="00997955" w:rsidRPr="00997955" w:rsidRDefault="00997955" w:rsidP="00997955">
            <w:pPr>
              <w:pStyle w:val="Tabletext"/>
              <w:jc w:val="center"/>
              <w:rPr>
                <w:color w:val="auto"/>
              </w:rPr>
            </w:pPr>
            <w:r w:rsidRPr="00997955">
              <w:rPr>
                <w:color w:val="auto"/>
              </w:rPr>
              <w:t>–</w:t>
            </w:r>
          </w:p>
        </w:tc>
        <w:tc>
          <w:tcPr>
            <w:tcW w:w="802" w:type="pct"/>
            <w:tcBorders>
              <w:top w:val="single" w:sz="4" w:space="0" w:color="auto"/>
            </w:tcBorders>
          </w:tcPr>
          <w:p w14:paraId="6DBD1B0C" w14:textId="77777777" w:rsidR="00997955" w:rsidRPr="00997955" w:rsidRDefault="00997955" w:rsidP="00997955">
            <w:pPr>
              <w:pStyle w:val="Tabletext"/>
              <w:jc w:val="center"/>
              <w:rPr>
                <w:color w:val="auto"/>
              </w:rPr>
            </w:pPr>
            <w:r w:rsidRPr="00997955">
              <w:rPr>
                <w:color w:val="auto"/>
              </w:rPr>
              <w:t>–</w:t>
            </w:r>
          </w:p>
        </w:tc>
      </w:tr>
      <w:tr w:rsidR="00997955" w:rsidRPr="00BF52F4" w14:paraId="65FACCE0" w14:textId="77777777" w:rsidTr="005B48A0">
        <w:trPr>
          <w:trHeight w:val="125"/>
        </w:trPr>
        <w:tc>
          <w:tcPr>
            <w:tcW w:w="849" w:type="pct"/>
            <w:vMerge w:val="restart"/>
          </w:tcPr>
          <w:p w14:paraId="0B1D0D1E" w14:textId="77777777" w:rsidR="00997955" w:rsidRPr="00997955" w:rsidRDefault="00997955" w:rsidP="00997955">
            <w:pPr>
              <w:pStyle w:val="Tabletext"/>
              <w:ind w:left="0"/>
              <w:rPr>
                <w:b/>
                <w:color w:val="auto"/>
              </w:rPr>
            </w:pPr>
            <w:r w:rsidRPr="00997955">
              <w:rPr>
                <w:b/>
                <w:color w:val="auto"/>
              </w:rPr>
              <w:t>Important potential risks</w:t>
            </w:r>
          </w:p>
        </w:tc>
        <w:tc>
          <w:tcPr>
            <w:tcW w:w="1180" w:type="pct"/>
          </w:tcPr>
          <w:p w14:paraId="748CF124" w14:textId="77777777" w:rsidR="00997955" w:rsidRPr="00997955" w:rsidRDefault="00997955" w:rsidP="00997955">
            <w:pPr>
              <w:pStyle w:val="Tabletext"/>
              <w:rPr>
                <w:color w:val="auto"/>
              </w:rPr>
            </w:pPr>
            <w:r w:rsidRPr="00997955">
              <w:rPr>
                <w:color w:val="auto"/>
              </w:rPr>
              <w:t>Retinal toxicity</w:t>
            </w:r>
          </w:p>
        </w:tc>
        <w:tc>
          <w:tcPr>
            <w:tcW w:w="684" w:type="pct"/>
          </w:tcPr>
          <w:p w14:paraId="5E0BE996"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0A0D14E9" w14:textId="77777777" w:rsidR="00997955" w:rsidRPr="00997955" w:rsidRDefault="00997955" w:rsidP="00997955">
            <w:pPr>
              <w:pStyle w:val="Tabletext"/>
              <w:jc w:val="center"/>
              <w:rPr>
                <w:color w:val="auto"/>
              </w:rPr>
            </w:pPr>
            <w:r w:rsidRPr="00997955">
              <w:rPr>
                <w:color w:val="auto"/>
              </w:rPr>
              <w:sym w:font="Wingdings" w:char="F0FC"/>
            </w:r>
            <w:r w:rsidRPr="00997955">
              <w:rPr>
                <w:color w:val="auto"/>
              </w:rPr>
              <w:t>‡</w:t>
            </w:r>
          </w:p>
        </w:tc>
        <w:tc>
          <w:tcPr>
            <w:tcW w:w="684" w:type="pct"/>
          </w:tcPr>
          <w:p w14:paraId="32E7D3F6"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02BB4961" w14:textId="77777777" w:rsidR="00997955" w:rsidRPr="00997955" w:rsidRDefault="00997955" w:rsidP="00997955">
            <w:pPr>
              <w:pStyle w:val="Tabletext"/>
              <w:jc w:val="center"/>
              <w:rPr>
                <w:color w:val="auto"/>
              </w:rPr>
            </w:pPr>
            <w:r w:rsidRPr="00997955">
              <w:rPr>
                <w:color w:val="auto"/>
              </w:rPr>
              <w:t>–</w:t>
            </w:r>
          </w:p>
        </w:tc>
      </w:tr>
      <w:tr w:rsidR="00997955" w:rsidRPr="00BF52F4" w14:paraId="468B6C3D" w14:textId="77777777" w:rsidTr="005B48A0">
        <w:trPr>
          <w:trHeight w:val="96"/>
        </w:trPr>
        <w:tc>
          <w:tcPr>
            <w:tcW w:w="849" w:type="pct"/>
            <w:vMerge/>
          </w:tcPr>
          <w:p w14:paraId="6192A7E2" w14:textId="77777777" w:rsidR="00997955" w:rsidRPr="00997955" w:rsidRDefault="00997955" w:rsidP="00997955">
            <w:pPr>
              <w:pStyle w:val="Tabletext"/>
              <w:rPr>
                <w:b/>
                <w:color w:val="auto"/>
              </w:rPr>
            </w:pPr>
          </w:p>
        </w:tc>
        <w:tc>
          <w:tcPr>
            <w:tcW w:w="1180" w:type="pct"/>
          </w:tcPr>
          <w:p w14:paraId="523F7945" w14:textId="77777777" w:rsidR="00997955" w:rsidRPr="00997955" w:rsidRDefault="00997955" w:rsidP="00997955">
            <w:pPr>
              <w:pStyle w:val="Tabletext"/>
              <w:rPr>
                <w:color w:val="auto"/>
              </w:rPr>
            </w:pPr>
            <w:r w:rsidRPr="00997955">
              <w:rPr>
                <w:color w:val="auto"/>
              </w:rPr>
              <w:t>Medication error†</w:t>
            </w:r>
          </w:p>
        </w:tc>
        <w:tc>
          <w:tcPr>
            <w:tcW w:w="684" w:type="pct"/>
          </w:tcPr>
          <w:p w14:paraId="681C22AE"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1A6B6C84" w14:textId="77777777" w:rsidR="00997955" w:rsidRPr="00997955" w:rsidRDefault="00997955" w:rsidP="00997955">
            <w:pPr>
              <w:pStyle w:val="Tabletext"/>
              <w:jc w:val="center"/>
              <w:rPr>
                <w:color w:val="auto"/>
              </w:rPr>
            </w:pPr>
            <w:r w:rsidRPr="00997955">
              <w:rPr>
                <w:color w:val="auto"/>
              </w:rPr>
              <w:t>–</w:t>
            </w:r>
          </w:p>
        </w:tc>
        <w:tc>
          <w:tcPr>
            <w:tcW w:w="684" w:type="pct"/>
          </w:tcPr>
          <w:p w14:paraId="262ECEBC"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6CBDC069" w14:textId="77777777" w:rsidR="00997955" w:rsidRPr="00997955" w:rsidRDefault="00997955" w:rsidP="00997955">
            <w:pPr>
              <w:pStyle w:val="Tabletext"/>
              <w:jc w:val="center"/>
              <w:rPr>
                <w:color w:val="auto"/>
              </w:rPr>
            </w:pPr>
            <w:r w:rsidRPr="00997955">
              <w:rPr>
                <w:color w:val="auto"/>
              </w:rPr>
              <w:t>–</w:t>
            </w:r>
          </w:p>
        </w:tc>
      </w:tr>
      <w:tr w:rsidR="00997955" w:rsidRPr="00BF52F4" w14:paraId="1F584BFB" w14:textId="77777777" w:rsidTr="005B48A0">
        <w:trPr>
          <w:trHeight w:val="96"/>
        </w:trPr>
        <w:tc>
          <w:tcPr>
            <w:tcW w:w="849" w:type="pct"/>
            <w:vMerge/>
          </w:tcPr>
          <w:p w14:paraId="6DC42FCE" w14:textId="77777777" w:rsidR="00997955" w:rsidRPr="00997955" w:rsidRDefault="00997955" w:rsidP="00997955">
            <w:pPr>
              <w:pStyle w:val="Tabletext"/>
              <w:rPr>
                <w:b/>
                <w:color w:val="auto"/>
              </w:rPr>
            </w:pPr>
          </w:p>
        </w:tc>
        <w:tc>
          <w:tcPr>
            <w:tcW w:w="1180" w:type="pct"/>
          </w:tcPr>
          <w:p w14:paraId="1A6AF543" w14:textId="77777777" w:rsidR="00997955" w:rsidRPr="00997955" w:rsidRDefault="00997955" w:rsidP="00997955">
            <w:pPr>
              <w:pStyle w:val="Tabletext"/>
              <w:rPr>
                <w:color w:val="auto"/>
              </w:rPr>
            </w:pPr>
            <w:r w:rsidRPr="00997955">
              <w:rPr>
                <w:color w:val="auto"/>
              </w:rPr>
              <w:t>Drug-drug interaction with antacids*†</w:t>
            </w:r>
          </w:p>
        </w:tc>
        <w:tc>
          <w:tcPr>
            <w:tcW w:w="684" w:type="pct"/>
          </w:tcPr>
          <w:p w14:paraId="144FD5E6"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55CD81C4" w14:textId="77777777" w:rsidR="00997955" w:rsidRPr="00997955" w:rsidRDefault="00997955" w:rsidP="00997955">
            <w:pPr>
              <w:pStyle w:val="Tabletext"/>
              <w:jc w:val="center"/>
              <w:rPr>
                <w:color w:val="auto"/>
              </w:rPr>
            </w:pPr>
            <w:r w:rsidRPr="00997955">
              <w:rPr>
                <w:color w:val="auto"/>
              </w:rPr>
              <w:sym w:font="Wingdings" w:char="F0FC"/>
            </w:r>
            <w:r w:rsidRPr="00997955">
              <w:rPr>
                <w:color w:val="auto"/>
              </w:rPr>
              <w:t>*</w:t>
            </w:r>
          </w:p>
        </w:tc>
        <w:tc>
          <w:tcPr>
            <w:tcW w:w="684" w:type="pct"/>
          </w:tcPr>
          <w:p w14:paraId="47F8124C"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12E2BC23" w14:textId="77777777" w:rsidR="00997955" w:rsidRPr="00997955" w:rsidRDefault="00997955" w:rsidP="00997955">
            <w:pPr>
              <w:pStyle w:val="Tabletext"/>
              <w:jc w:val="center"/>
              <w:rPr>
                <w:color w:val="auto"/>
              </w:rPr>
            </w:pPr>
            <w:r w:rsidRPr="00997955">
              <w:rPr>
                <w:color w:val="auto"/>
              </w:rPr>
              <w:t>–</w:t>
            </w:r>
          </w:p>
        </w:tc>
      </w:tr>
      <w:tr w:rsidR="00997955" w:rsidRPr="00BF52F4" w14:paraId="0C287019" w14:textId="77777777" w:rsidTr="005B48A0">
        <w:trPr>
          <w:trHeight w:val="96"/>
        </w:trPr>
        <w:tc>
          <w:tcPr>
            <w:tcW w:w="849" w:type="pct"/>
            <w:vMerge/>
          </w:tcPr>
          <w:p w14:paraId="196797AE" w14:textId="77777777" w:rsidR="00997955" w:rsidRPr="00997955" w:rsidRDefault="00997955" w:rsidP="00997955">
            <w:pPr>
              <w:pStyle w:val="Tabletext"/>
              <w:rPr>
                <w:b/>
                <w:color w:val="auto"/>
              </w:rPr>
            </w:pPr>
          </w:p>
        </w:tc>
        <w:tc>
          <w:tcPr>
            <w:tcW w:w="1180" w:type="pct"/>
          </w:tcPr>
          <w:p w14:paraId="3632AA3B" w14:textId="77777777" w:rsidR="00997955" w:rsidRPr="00997955" w:rsidRDefault="00997955" w:rsidP="00997955">
            <w:pPr>
              <w:pStyle w:val="Tabletext"/>
              <w:rPr>
                <w:color w:val="auto"/>
              </w:rPr>
            </w:pPr>
            <w:r w:rsidRPr="00997955">
              <w:rPr>
                <w:color w:val="auto"/>
              </w:rPr>
              <w:t>Embryofoetal toxicity</w:t>
            </w:r>
          </w:p>
        </w:tc>
        <w:tc>
          <w:tcPr>
            <w:tcW w:w="684" w:type="pct"/>
          </w:tcPr>
          <w:p w14:paraId="50B95FDE"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729F9798" w14:textId="77777777" w:rsidR="00997955" w:rsidRPr="00997955" w:rsidRDefault="00997955" w:rsidP="00997955">
            <w:pPr>
              <w:pStyle w:val="Tabletext"/>
              <w:jc w:val="center"/>
              <w:rPr>
                <w:color w:val="auto"/>
              </w:rPr>
            </w:pPr>
            <w:r w:rsidRPr="00997955">
              <w:rPr>
                <w:color w:val="auto"/>
              </w:rPr>
              <w:sym w:font="Wingdings" w:char="F0FC"/>
            </w:r>
            <w:r w:rsidRPr="00997955">
              <w:rPr>
                <w:color w:val="auto"/>
              </w:rPr>
              <w:t>§</w:t>
            </w:r>
          </w:p>
        </w:tc>
        <w:tc>
          <w:tcPr>
            <w:tcW w:w="684" w:type="pct"/>
          </w:tcPr>
          <w:p w14:paraId="6F879B27"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4058079A" w14:textId="77777777" w:rsidR="00997955" w:rsidRPr="00997955" w:rsidRDefault="00997955" w:rsidP="00997955">
            <w:pPr>
              <w:pStyle w:val="Tabletext"/>
              <w:jc w:val="center"/>
              <w:rPr>
                <w:color w:val="auto"/>
              </w:rPr>
            </w:pPr>
            <w:r w:rsidRPr="00997955">
              <w:rPr>
                <w:color w:val="auto"/>
              </w:rPr>
              <w:t>–</w:t>
            </w:r>
          </w:p>
        </w:tc>
      </w:tr>
      <w:tr w:rsidR="00997955" w:rsidRPr="00BF52F4" w14:paraId="68EDC1D0" w14:textId="77777777" w:rsidTr="005B48A0">
        <w:trPr>
          <w:trHeight w:val="96"/>
        </w:trPr>
        <w:tc>
          <w:tcPr>
            <w:tcW w:w="849" w:type="pct"/>
            <w:vMerge/>
          </w:tcPr>
          <w:p w14:paraId="066117B2" w14:textId="77777777" w:rsidR="00997955" w:rsidRPr="00997955" w:rsidRDefault="00997955" w:rsidP="00997955">
            <w:pPr>
              <w:pStyle w:val="Tabletext"/>
              <w:rPr>
                <w:b/>
                <w:color w:val="auto"/>
              </w:rPr>
            </w:pPr>
          </w:p>
        </w:tc>
        <w:tc>
          <w:tcPr>
            <w:tcW w:w="1180" w:type="pct"/>
          </w:tcPr>
          <w:p w14:paraId="55D6CC5F" w14:textId="77777777" w:rsidR="00997955" w:rsidRPr="00997955" w:rsidRDefault="00997955" w:rsidP="00997955">
            <w:pPr>
              <w:pStyle w:val="Tabletext"/>
              <w:rPr>
                <w:color w:val="auto"/>
              </w:rPr>
            </w:pPr>
            <w:r w:rsidRPr="00997955">
              <w:rPr>
                <w:color w:val="auto"/>
              </w:rPr>
              <w:t>Effect on epithelial tissues</w:t>
            </w:r>
          </w:p>
        </w:tc>
        <w:tc>
          <w:tcPr>
            <w:tcW w:w="684" w:type="pct"/>
          </w:tcPr>
          <w:p w14:paraId="2C6B4802"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2AB632FE" w14:textId="77777777" w:rsidR="00997955" w:rsidRPr="00997955" w:rsidRDefault="00997955" w:rsidP="00997955">
            <w:pPr>
              <w:pStyle w:val="Tabletext"/>
              <w:jc w:val="center"/>
              <w:rPr>
                <w:color w:val="auto"/>
              </w:rPr>
            </w:pPr>
            <w:r w:rsidRPr="00997955">
              <w:rPr>
                <w:color w:val="auto"/>
              </w:rPr>
              <w:sym w:font="Wingdings" w:char="F0FC"/>
            </w:r>
            <w:r w:rsidRPr="00997955">
              <w:rPr>
                <w:color w:val="auto"/>
              </w:rPr>
              <w:t>‡</w:t>
            </w:r>
          </w:p>
        </w:tc>
        <w:tc>
          <w:tcPr>
            <w:tcW w:w="684" w:type="pct"/>
          </w:tcPr>
          <w:p w14:paraId="2ACF11F1"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64F011F5" w14:textId="77777777" w:rsidR="00997955" w:rsidRPr="00997955" w:rsidRDefault="00997955" w:rsidP="00997955">
            <w:pPr>
              <w:pStyle w:val="Tabletext"/>
              <w:jc w:val="center"/>
              <w:rPr>
                <w:color w:val="auto"/>
              </w:rPr>
            </w:pPr>
            <w:r w:rsidRPr="00997955">
              <w:rPr>
                <w:color w:val="auto"/>
              </w:rPr>
              <w:t>–</w:t>
            </w:r>
          </w:p>
        </w:tc>
      </w:tr>
      <w:tr w:rsidR="00997955" w:rsidRPr="00BF52F4" w14:paraId="64918553" w14:textId="77777777" w:rsidTr="005B48A0">
        <w:trPr>
          <w:trHeight w:val="178"/>
        </w:trPr>
        <w:tc>
          <w:tcPr>
            <w:tcW w:w="849" w:type="pct"/>
            <w:vMerge w:val="restart"/>
          </w:tcPr>
          <w:p w14:paraId="0431324A" w14:textId="77777777" w:rsidR="00997955" w:rsidRPr="00997955" w:rsidRDefault="00997955" w:rsidP="00997955">
            <w:pPr>
              <w:pStyle w:val="Tabletext"/>
              <w:ind w:left="0"/>
              <w:rPr>
                <w:b/>
                <w:color w:val="auto"/>
              </w:rPr>
            </w:pPr>
            <w:r w:rsidRPr="00997955">
              <w:rPr>
                <w:b/>
                <w:color w:val="auto"/>
              </w:rPr>
              <w:t>Missing information</w:t>
            </w:r>
          </w:p>
        </w:tc>
        <w:tc>
          <w:tcPr>
            <w:tcW w:w="1180" w:type="pct"/>
          </w:tcPr>
          <w:p w14:paraId="6E62FFAC" w14:textId="77777777" w:rsidR="00997955" w:rsidRPr="00997955" w:rsidRDefault="00997955" w:rsidP="00997955">
            <w:pPr>
              <w:pStyle w:val="Tabletext"/>
              <w:rPr>
                <w:color w:val="auto"/>
              </w:rPr>
            </w:pPr>
            <w:r w:rsidRPr="00997955">
              <w:rPr>
                <w:color w:val="auto"/>
              </w:rPr>
              <w:t>Withdrawal and rebound effects†</w:t>
            </w:r>
          </w:p>
        </w:tc>
        <w:tc>
          <w:tcPr>
            <w:tcW w:w="684" w:type="pct"/>
          </w:tcPr>
          <w:p w14:paraId="66F74B90"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381ACAAD" w14:textId="77777777" w:rsidR="00997955" w:rsidRPr="00997955" w:rsidRDefault="00997955" w:rsidP="00997955">
            <w:pPr>
              <w:pStyle w:val="Tabletext"/>
              <w:jc w:val="center"/>
              <w:rPr>
                <w:color w:val="auto"/>
              </w:rPr>
            </w:pPr>
            <w:r w:rsidRPr="00997955">
              <w:rPr>
                <w:color w:val="auto"/>
              </w:rPr>
              <w:t>–</w:t>
            </w:r>
          </w:p>
        </w:tc>
        <w:tc>
          <w:tcPr>
            <w:tcW w:w="684" w:type="pct"/>
          </w:tcPr>
          <w:p w14:paraId="76DE0FE2" w14:textId="77777777" w:rsidR="00997955" w:rsidRPr="00997955" w:rsidRDefault="00997955" w:rsidP="00997955">
            <w:pPr>
              <w:pStyle w:val="Tabletext"/>
              <w:jc w:val="center"/>
              <w:rPr>
                <w:color w:val="auto"/>
              </w:rPr>
            </w:pPr>
            <w:r w:rsidRPr="00997955">
              <w:rPr>
                <w:color w:val="auto"/>
              </w:rPr>
              <w:t>–</w:t>
            </w:r>
          </w:p>
        </w:tc>
        <w:tc>
          <w:tcPr>
            <w:tcW w:w="802" w:type="pct"/>
          </w:tcPr>
          <w:p w14:paraId="4014446B" w14:textId="77777777" w:rsidR="00997955" w:rsidRPr="00997955" w:rsidRDefault="00997955" w:rsidP="00997955">
            <w:pPr>
              <w:pStyle w:val="Tabletext"/>
              <w:jc w:val="center"/>
              <w:rPr>
                <w:color w:val="auto"/>
              </w:rPr>
            </w:pPr>
            <w:r w:rsidRPr="00997955">
              <w:rPr>
                <w:color w:val="auto"/>
              </w:rPr>
              <w:t>–</w:t>
            </w:r>
          </w:p>
        </w:tc>
      </w:tr>
      <w:tr w:rsidR="00997955" w:rsidRPr="00BF52F4" w14:paraId="022EFE41" w14:textId="77777777" w:rsidTr="005B48A0">
        <w:trPr>
          <w:trHeight w:val="607"/>
        </w:trPr>
        <w:tc>
          <w:tcPr>
            <w:tcW w:w="849" w:type="pct"/>
            <w:vMerge/>
          </w:tcPr>
          <w:p w14:paraId="3DB4B3CB" w14:textId="77777777" w:rsidR="00997955" w:rsidRPr="00997955" w:rsidRDefault="00997955" w:rsidP="00997955">
            <w:pPr>
              <w:pStyle w:val="Tabletext"/>
              <w:rPr>
                <w:b/>
                <w:color w:val="auto"/>
              </w:rPr>
            </w:pPr>
          </w:p>
        </w:tc>
        <w:tc>
          <w:tcPr>
            <w:tcW w:w="1180" w:type="pct"/>
          </w:tcPr>
          <w:p w14:paraId="58624923" w14:textId="77777777" w:rsidR="00997955" w:rsidRPr="00997955" w:rsidRDefault="00997955" w:rsidP="00997955">
            <w:pPr>
              <w:pStyle w:val="Tabletext"/>
              <w:rPr>
                <w:color w:val="auto"/>
              </w:rPr>
            </w:pPr>
            <w:r w:rsidRPr="00997955">
              <w:rPr>
                <w:color w:val="auto"/>
              </w:rPr>
              <w:t xml:space="preserve">Concomitant use of </w:t>
            </w:r>
            <w:proofErr w:type="spellStart"/>
            <w:r w:rsidRPr="00997955">
              <w:rPr>
                <w:color w:val="auto"/>
              </w:rPr>
              <w:t>risdiplam</w:t>
            </w:r>
            <w:proofErr w:type="spellEnd"/>
            <w:r w:rsidRPr="00997955">
              <w:rPr>
                <w:color w:val="auto"/>
              </w:rPr>
              <w:t xml:space="preserve"> with the available</w:t>
            </w:r>
            <w:r>
              <w:rPr>
                <w:color w:val="auto"/>
              </w:rPr>
              <w:t xml:space="preserve"> </w:t>
            </w:r>
            <w:r w:rsidRPr="00997955">
              <w:rPr>
                <w:color w:val="auto"/>
              </w:rPr>
              <w:t>5q SMA targeting agents†</w:t>
            </w:r>
          </w:p>
        </w:tc>
        <w:tc>
          <w:tcPr>
            <w:tcW w:w="684" w:type="pct"/>
          </w:tcPr>
          <w:p w14:paraId="4D9CAE1D"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0ED065AE" w14:textId="77777777" w:rsidR="00997955" w:rsidRPr="00997955" w:rsidRDefault="00997955" w:rsidP="00997955">
            <w:pPr>
              <w:pStyle w:val="Tabletext"/>
              <w:jc w:val="center"/>
              <w:rPr>
                <w:color w:val="auto"/>
              </w:rPr>
            </w:pPr>
            <w:r w:rsidRPr="00997955">
              <w:rPr>
                <w:color w:val="auto"/>
              </w:rPr>
              <w:t>–</w:t>
            </w:r>
          </w:p>
        </w:tc>
        <w:tc>
          <w:tcPr>
            <w:tcW w:w="684" w:type="pct"/>
          </w:tcPr>
          <w:p w14:paraId="6BD98133" w14:textId="77777777" w:rsidR="00997955" w:rsidRPr="00997955" w:rsidRDefault="00997955" w:rsidP="00997955">
            <w:pPr>
              <w:pStyle w:val="Tabletext"/>
              <w:jc w:val="center"/>
              <w:rPr>
                <w:color w:val="auto"/>
              </w:rPr>
            </w:pPr>
            <w:r w:rsidRPr="00997955">
              <w:rPr>
                <w:color w:val="auto"/>
              </w:rPr>
              <w:t>–</w:t>
            </w:r>
          </w:p>
        </w:tc>
        <w:tc>
          <w:tcPr>
            <w:tcW w:w="802" w:type="pct"/>
          </w:tcPr>
          <w:p w14:paraId="123E7C30" w14:textId="77777777" w:rsidR="00997955" w:rsidRPr="00997955" w:rsidRDefault="00997955" w:rsidP="00997955">
            <w:pPr>
              <w:pStyle w:val="Tabletext"/>
              <w:jc w:val="center"/>
              <w:rPr>
                <w:color w:val="auto"/>
              </w:rPr>
            </w:pPr>
            <w:r w:rsidRPr="00997955">
              <w:rPr>
                <w:color w:val="auto"/>
              </w:rPr>
              <w:t>–</w:t>
            </w:r>
          </w:p>
        </w:tc>
      </w:tr>
      <w:tr w:rsidR="00997955" w:rsidRPr="00BF52F4" w14:paraId="16ED8912" w14:textId="77777777" w:rsidTr="005B48A0">
        <w:trPr>
          <w:trHeight w:val="178"/>
        </w:trPr>
        <w:tc>
          <w:tcPr>
            <w:tcW w:w="849" w:type="pct"/>
            <w:vMerge/>
          </w:tcPr>
          <w:p w14:paraId="5FDCBBA8" w14:textId="77777777" w:rsidR="00997955" w:rsidRPr="00997955" w:rsidRDefault="00997955" w:rsidP="00997955">
            <w:pPr>
              <w:pStyle w:val="Tabletext"/>
              <w:rPr>
                <w:b/>
                <w:color w:val="auto"/>
              </w:rPr>
            </w:pPr>
          </w:p>
        </w:tc>
        <w:tc>
          <w:tcPr>
            <w:tcW w:w="1180" w:type="pct"/>
          </w:tcPr>
          <w:p w14:paraId="32181724" w14:textId="77777777" w:rsidR="00997955" w:rsidRPr="00997955" w:rsidRDefault="00997955" w:rsidP="00997955">
            <w:pPr>
              <w:pStyle w:val="Tabletext"/>
              <w:rPr>
                <w:color w:val="auto"/>
              </w:rPr>
            </w:pPr>
            <w:r w:rsidRPr="00997955">
              <w:rPr>
                <w:color w:val="auto"/>
              </w:rPr>
              <w:t>Long-term safety</w:t>
            </w:r>
          </w:p>
        </w:tc>
        <w:tc>
          <w:tcPr>
            <w:tcW w:w="684" w:type="pct"/>
          </w:tcPr>
          <w:p w14:paraId="613C9B44" w14:textId="77777777" w:rsidR="00997955" w:rsidRPr="00997955" w:rsidRDefault="00997955" w:rsidP="00997955">
            <w:pPr>
              <w:pStyle w:val="Tabletext"/>
              <w:jc w:val="center"/>
              <w:rPr>
                <w:color w:val="auto"/>
              </w:rPr>
            </w:pPr>
            <w:r w:rsidRPr="00997955">
              <w:rPr>
                <w:color w:val="auto"/>
              </w:rPr>
              <w:sym w:font="Wingdings" w:char="F0FC"/>
            </w:r>
          </w:p>
        </w:tc>
        <w:tc>
          <w:tcPr>
            <w:tcW w:w="802" w:type="pct"/>
          </w:tcPr>
          <w:p w14:paraId="6D1D5BB6" w14:textId="77777777" w:rsidR="00997955" w:rsidRPr="00997955" w:rsidRDefault="00997955" w:rsidP="00997955">
            <w:pPr>
              <w:pStyle w:val="Tabletext"/>
              <w:jc w:val="center"/>
              <w:rPr>
                <w:color w:val="auto"/>
              </w:rPr>
            </w:pPr>
            <w:r w:rsidRPr="00997955">
              <w:rPr>
                <w:color w:val="auto"/>
              </w:rPr>
              <w:sym w:font="Wingdings" w:char="F0FC"/>
            </w:r>
            <w:r w:rsidRPr="00997955">
              <w:rPr>
                <w:color w:val="auto"/>
              </w:rPr>
              <w:t>‡</w:t>
            </w:r>
          </w:p>
        </w:tc>
        <w:tc>
          <w:tcPr>
            <w:tcW w:w="684" w:type="pct"/>
          </w:tcPr>
          <w:p w14:paraId="1A54576C" w14:textId="77777777" w:rsidR="00997955" w:rsidRPr="00997955" w:rsidRDefault="00997955" w:rsidP="00997955">
            <w:pPr>
              <w:pStyle w:val="Tabletext"/>
              <w:jc w:val="center"/>
              <w:rPr>
                <w:color w:val="auto"/>
              </w:rPr>
            </w:pPr>
            <w:r w:rsidRPr="00997955">
              <w:rPr>
                <w:color w:val="auto"/>
              </w:rPr>
              <w:t>–</w:t>
            </w:r>
          </w:p>
        </w:tc>
        <w:tc>
          <w:tcPr>
            <w:tcW w:w="802" w:type="pct"/>
          </w:tcPr>
          <w:p w14:paraId="30AA78EA" w14:textId="77777777" w:rsidR="00997955" w:rsidRPr="00997955" w:rsidRDefault="00997955" w:rsidP="00997955">
            <w:pPr>
              <w:pStyle w:val="Tabletext"/>
              <w:jc w:val="center"/>
              <w:rPr>
                <w:color w:val="auto"/>
              </w:rPr>
            </w:pPr>
            <w:r w:rsidRPr="00997955">
              <w:rPr>
                <w:color w:val="auto"/>
              </w:rPr>
              <w:t>–</w:t>
            </w:r>
          </w:p>
        </w:tc>
      </w:tr>
    </w:tbl>
    <w:p w14:paraId="0D075904" w14:textId="77777777" w:rsidR="00CC4FD0" w:rsidRDefault="00CC4FD0" w:rsidP="00CC4FD0">
      <w:pPr>
        <w:pStyle w:val="TableDescription"/>
      </w:pPr>
      <w:r>
        <w:t xml:space="preserve">* Bioavailability study </w:t>
      </w:r>
    </w:p>
    <w:p w14:paraId="6DEEAA95" w14:textId="77777777" w:rsidR="00CC4FD0" w:rsidRDefault="00CC4FD0" w:rsidP="00CC4FD0">
      <w:pPr>
        <w:pStyle w:val="TableDescription"/>
      </w:pPr>
      <w:r>
        <w:t>† Australian specific safety concerns</w:t>
      </w:r>
    </w:p>
    <w:p w14:paraId="7812FA31" w14:textId="77777777" w:rsidR="00CC4FD0" w:rsidRDefault="00CC4FD0" w:rsidP="00CC4FD0">
      <w:pPr>
        <w:pStyle w:val="TableDescription"/>
      </w:pPr>
      <w:r>
        <w:t>‡ Clinical studies</w:t>
      </w:r>
    </w:p>
    <w:p w14:paraId="444DE105" w14:textId="0B152D27" w:rsidR="00CC4FD0" w:rsidRDefault="00CC4FD0" w:rsidP="00CC4FD0">
      <w:pPr>
        <w:pStyle w:val="TableDescription"/>
      </w:pPr>
      <w:r>
        <w:t>§ Pregnancy surveillance study</w:t>
      </w:r>
    </w:p>
    <w:p w14:paraId="31B025C5" w14:textId="758373EB" w:rsidR="005B48A0" w:rsidRDefault="005B48A0" w:rsidP="005B48A0">
      <w:r>
        <w:t xml:space="preserve">The sponsor was asked to consider adding cardiovascular, hepatic, renal and immunocompromised patients to the summary of safety concerns as missing information, as these populations were not studied in clinical trials. In the response to TGA’s questions, the sponsor justified the exclusion of these safety concerns by stating that </w:t>
      </w:r>
      <w:proofErr w:type="spellStart"/>
      <w:r>
        <w:t>Evrysdi</w:t>
      </w:r>
      <w:proofErr w:type="spellEnd"/>
      <w:r>
        <w:t xml:space="preserve"> does not pose an increased risk in these patient groups. In response to the recommendations of the clinical evaluator, the sponsor agreed to add ‘Medication error’ and ‘Drug-drug interaction with antacids’ as important potential risks, and ‘Withdrawal and rebound effects’ as missing information, however the sponsor did not amend the summary of safety concerns in ASA version 3. In ASA version 4.0 and subsequent ASA version 1.5, the </w:t>
      </w:r>
      <w:r>
        <w:lastRenderedPageBreak/>
        <w:t xml:space="preserve">sponsor has included ‘Concomitant use of </w:t>
      </w:r>
      <w:proofErr w:type="spellStart"/>
      <w:r>
        <w:t>risdiplam</w:t>
      </w:r>
      <w:proofErr w:type="spellEnd"/>
      <w:r>
        <w:t xml:space="preserve"> with the available 5q SMA targeting agents’ as missing </w:t>
      </w:r>
      <w:r w:rsidR="00FE1E66">
        <w:t>information and</w:t>
      </w:r>
      <w:r>
        <w:t xml:space="preserve"> added the safety concerns recommended by the clinical evaluator. The summary of safety concerns is acceptable.</w:t>
      </w:r>
    </w:p>
    <w:p w14:paraId="4DA5D32D" w14:textId="60BA0D5D" w:rsidR="005B48A0" w:rsidRDefault="005B48A0" w:rsidP="005B48A0">
      <w:r>
        <w:t xml:space="preserve">The sponsor proposes routine pharmacovigilance but no additional pharmacovigilance, however in response to TGA’s questions the sponsor has clarified that OLE phases of the pivotal studies will be conducted, and that collaboration with multinational established SMA patient registries will ensure long term follow up of patients treated with </w:t>
      </w:r>
      <w:proofErr w:type="spellStart"/>
      <w:r>
        <w:t>risdiplam</w:t>
      </w:r>
      <w:proofErr w:type="spellEnd"/>
      <w:r>
        <w:t>. In response to the second round of TGA’s questions, the sponsor confirmed collaboration with Australian patient registries. The sponsor also committed to including a bioavailability study for the dispersible t</w:t>
      </w:r>
      <w:r w:rsidR="00CC4FD0">
        <w:t>ablet formulation for the ‘Drug</w:t>
      </w:r>
      <w:r w:rsidR="008776E4">
        <w:noBreakHyphen/>
      </w:r>
      <w:r>
        <w:t>drug interactions with antacids’ safety concern. In response to TGA’s questions, the bioavailability Study</w:t>
      </w:r>
      <w:r w:rsidR="008776E4">
        <w:t> </w:t>
      </w:r>
      <w:r>
        <w:t>BP42066 was described in ASA version 4.0 but was not added</w:t>
      </w:r>
      <w:r w:rsidR="003F7FE7">
        <w:t xml:space="preserve"> to</w:t>
      </w:r>
      <w:r>
        <w:t xml:space="preserve"> the table of additional pharmacovigilance activities for the important potential risk ‘Drug-drug interaction with </w:t>
      </w:r>
      <w:proofErr w:type="gramStart"/>
      <w:r>
        <w:t>antacids’</w:t>
      </w:r>
      <w:proofErr w:type="gramEnd"/>
      <w:r>
        <w:t xml:space="preserve">. In ASA version 1.5 the sponsor has populated the additional pharmacovigilance table as requested, with further additional pharmacovigilance activities added to the ASA at fourth round of evaluation for retinal and embryofetal toxicity, effect on epithelial tissues and </w:t>
      </w:r>
      <w:proofErr w:type="gramStart"/>
      <w:r>
        <w:t>long term</w:t>
      </w:r>
      <w:proofErr w:type="gramEnd"/>
      <w:r>
        <w:t xml:space="preserve"> safety. The pharmacovigilance plan is acceptable.</w:t>
      </w:r>
    </w:p>
    <w:p w14:paraId="6DA352AA" w14:textId="3E2EA033" w:rsidR="005B48A0" w:rsidRDefault="005B48A0" w:rsidP="005B48A0">
      <w:r>
        <w:t xml:space="preserve">Routine risk minimisation activities only are </w:t>
      </w:r>
      <w:proofErr w:type="gramStart"/>
      <w:r w:rsidR="00FE1E66">
        <w:t>proposed</w:t>
      </w:r>
      <w:proofErr w:type="gramEnd"/>
      <w:r>
        <w:t xml:space="preserve"> and this is acceptable at this stage. The sponsor proposes to include Instructions for Reconstitution and Instructions for Use documents in the product packaging. The sponsor has updated the safety documents in response to rolling questions and the instructions for reconstitution and instructions for use documents are acceptable. In response to the </w:t>
      </w:r>
      <w:proofErr w:type="gramStart"/>
      <w:r>
        <w:t>second round</w:t>
      </w:r>
      <w:proofErr w:type="gramEnd"/>
      <w:r>
        <w:t xml:space="preserve"> evaluation the </w:t>
      </w:r>
      <w:r w:rsidR="00CC4FD0">
        <w:t>CMI</w:t>
      </w:r>
      <w:r>
        <w:t xml:space="preserve"> was revised as requested and is acceptable. At </w:t>
      </w:r>
      <w:r w:rsidR="003F7FE7">
        <w:t xml:space="preserve">the </w:t>
      </w:r>
      <w:r>
        <w:t xml:space="preserve">fourth round of evaluation, the sponsor submitted a </w:t>
      </w:r>
      <w:r w:rsidRPr="005B48A0">
        <w:t>Dear Health Care Provider</w:t>
      </w:r>
      <w:r>
        <w:t xml:space="preserve"> letter to minimise the risk of leaking bottles, which was not tied to a specific safety concern. The risk minimisation plan is acceptable.</w:t>
      </w:r>
    </w:p>
    <w:p w14:paraId="2DA7447C" w14:textId="77777777" w:rsidR="005B48A0" w:rsidRDefault="005B48A0" w:rsidP="005B48A0">
      <w:pPr>
        <w:pStyle w:val="Heading4"/>
      </w:pPr>
      <w:r>
        <w:t>Wording for conditions of registration</w:t>
      </w:r>
    </w:p>
    <w:p w14:paraId="04FB254A" w14:textId="77777777" w:rsidR="005B48A0" w:rsidRDefault="005B48A0" w:rsidP="005B48A0">
      <w:r>
        <w:t xml:space="preserve">Any changes to which the sponsor has agreed should be included in a revised RMP and ASA. However, irrespective of </w:t>
      </w:r>
      <w:proofErr w:type="gramStart"/>
      <w:r>
        <w:t>whether or not</w:t>
      </w:r>
      <w:proofErr w:type="gramEnd"/>
      <w:r>
        <w:t xml:space="preserve"> they are included in the currently available version of the RMP document, the agreed changes become part</w:t>
      </w:r>
      <w:r w:rsidR="00416551">
        <w:t xml:space="preserve"> of the risk management system.</w:t>
      </w:r>
    </w:p>
    <w:p w14:paraId="31D22C00" w14:textId="77777777" w:rsidR="005B48A0" w:rsidRPr="00416551" w:rsidRDefault="005B48A0" w:rsidP="005B48A0">
      <w:pPr>
        <w:rPr>
          <w:i/>
        </w:rPr>
      </w:pPr>
      <w:r w:rsidRPr="00416551">
        <w:rPr>
          <w:i/>
        </w:rPr>
        <w:t xml:space="preserve">The </w:t>
      </w:r>
      <w:proofErr w:type="spellStart"/>
      <w:r w:rsidRPr="00416551">
        <w:rPr>
          <w:i/>
        </w:rPr>
        <w:t>Evrysdi</w:t>
      </w:r>
      <w:proofErr w:type="spellEnd"/>
      <w:r w:rsidRPr="00416551">
        <w:rPr>
          <w:i/>
        </w:rPr>
        <w:t xml:space="preserve"> EU-RMP (version 1.0, dated 5 March 2021, data lock point 31 January 2020), with Australian Specific annex (version 2.1, dated 27 May 2021), included with submission PM-2020-03580-1-3, and any subsequent revisions, as agreed with the TGA will be implemented in Australia.</w:t>
      </w:r>
    </w:p>
    <w:p w14:paraId="66EEC49A" w14:textId="77777777" w:rsidR="005B48A0" w:rsidRPr="00416551" w:rsidRDefault="005B48A0" w:rsidP="005B48A0">
      <w:pPr>
        <w:rPr>
          <w:i/>
        </w:rPr>
      </w:pPr>
      <w:r w:rsidRPr="00416551">
        <w:rPr>
          <w:i/>
        </w:rPr>
        <w:t>An obligatory component of risk management plans is routine pharmacovigilance. Routine pharmacovigilance includes the submission of periodic safety update reports (PSURs).</w:t>
      </w:r>
    </w:p>
    <w:p w14:paraId="70F94885" w14:textId="77777777" w:rsidR="005B48A0" w:rsidRPr="00416551" w:rsidRDefault="005B48A0" w:rsidP="005B48A0">
      <w:pPr>
        <w:rPr>
          <w:i/>
        </w:rPr>
      </w:pPr>
      <w:r w:rsidRPr="00416551">
        <w:rPr>
          <w:i/>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26600AD5" w14:textId="77777777" w:rsidR="005B48A0" w:rsidRPr="00416551" w:rsidRDefault="005B48A0" w:rsidP="005B48A0">
      <w:pPr>
        <w:rPr>
          <w:i/>
        </w:rPr>
      </w:pPr>
      <w:r w:rsidRPr="00416551">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D8C523D" w14:textId="77777777" w:rsidR="005B48A0" w:rsidRPr="00416551" w:rsidRDefault="005B48A0" w:rsidP="005B48A0">
      <w:r w:rsidRPr="00416551">
        <w:t xml:space="preserve">As </w:t>
      </w:r>
      <w:proofErr w:type="spellStart"/>
      <w:r w:rsidRPr="00416551">
        <w:t>E</w:t>
      </w:r>
      <w:r w:rsidR="00416551" w:rsidRPr="00416551">
        <w:t>vrysdi</w:t>
      </w:r>
      <w:proofErr w:type="spellEnd"/>
      <w:r w:rsidRPr="00416551">
        <w:t xml:space="preserve"> is a new chemical entity it should be included in the Black Triangle Scheme as a condition of registration. The following wording is recommended for</w:t>
      </w:r>
      <w:r w:rsidR="00416551">
        <w:t xml:space="preserve"> the condition of registration:</w:t>
      </w:r>
    </w:p>
    <w:p w14:paraId="1B3BC53B" w14:textId="77777777" w:rsidR="00416551" w:rsidRPr="00416551" w:rsidRDefault="005B48A0" w:rsidP="00416551">
      <w:pPr>
        <w:rPr>
          <w:i/>
        </w:rPr>
      </w:pPr>
      <w:proofErr w:type="spellStart"/>
      <w:r w:rsidRPr="00416551">
        <w:rPr>
          <w:i/>
        </w:rPr>
        <w:lastRenderedPageBreak/>
        <w:t>E</w:t>
      </w:r>
      <w:r w:rsidR="00416551" w:rsidRPr="00416551">
        <w:rPr>
          <w:i/>
        </w:rPr>
        <w:t>vrysdi</w:t>
      </w:r>
      <w:proofErr w:type="spellEnd"/>
      <w:r w:rsidRPr="00416551">
        <w:rPr>
          <w:i/>
        </w:rPr>
        <w:t xml:space="preserve"> (</w:t>
      </w:r>
      <w:proofErr w:type="spellStart"/>
      <w:r w:rsidRPr="00416551">
        <w:rPr>
          <w:i/>
        </w:rPr>
        <w:t>risdiplam</w:t>
      </w:r>
      <w:proofErr w:type="spellEnd"/>
      <w:r w:rsidRPr="00416551">
        <w:rPr>
          <w:i/>
        </w:rPr>
        <w:t xml:space="preserve">) is to be included in the Black Triangle Scheme. The PI and CMI for </w:t>
      </w:r>
      <w:proofErr w:type="spellStart"/>
      <w:r w:rsidRPr="00416551">
        <w:rPr>
          <w:i/>
        </w:rPr>
        <w:t>Evrysdi</w:t>
      </w:r>
      <w:proofErr w:type="spellEnd"/>
      <w:r w:rsidRPr="00416551">
        <w:rPr>
          <w:i/>
        </w:rPr>
        <w:t xml:space="preserve"> must include the black triangle symbol and mandatory accompanying text for five years, which starts from the date that the sponsor notifies the TGA of supply of the product.</w:t>
      </w:r>
    </w:p>
    <w:p w14:paraId="5F0A1E75" w14:textId="77777777" w:rsidR="008E7846" w:rsidRDefault="00AA0ED0" w:rsidP="008E7846">
      <w:pPr>
        <w:pStyle w:val="Heading3"/>
      </w:pPr>
      <w:bookmarkStart w:id="53" w:name="_Toc247691531"/>
      <w:bookmarkStart w:id="54" w:name="_Toc314842515"/>
      <w:bookmarkStart w:id="55" w:name="_Toc196046505"/>
      <w:bookmarkStart w:id="56" w:name="_Toc196046949"/>
      <w:bookmarkStart w:id="57" w:name="_Toc82421583"/>
      <w:r>
        <w:t>Risk-benefit a</w:t>
      </w:r>
      <w:r w:rsidR="008E7846">
        <w:t>nalysis</w:t>
      </w:r>
      <w:bookmarkEnd w:id="53"/>
      <w:bookmarkEnd w:id="54"/>
      <w:bookmarkEnd w:id="57"/>
    </w:p>
    <w:p w14:paraId="223F46EC" w14:textId="77777777" w:rsidR="00D23139" w:rsidRDefault="007D53B6" w:rsidP="00D23139">
      <w:pPr>
        <w:pStyle w:val="Heading4"/>
      </w:pPr>
      <w:r>
        <w:t>Delegate’s considerations</w:t>
      </w:r>
    </w:p>
    <w:p w14:paraId="70908C18" w14:textId="52E93B64" w:rsidR="00416551" w:rsidRDefault="00416551" w:rsidP="00416551">
      <w:r>
        <w:t>S</w:t>
      </w:r>
      <w:r w:rsidRPr="00416551">
        <w:t>pinal muscular atrophy</w:t>
      </w:r>
      <w:r>
        <w:t xml:space="preserve"> is a rare, progressive neurodegenerative condition. In Australia, there is currently one approved treatment for SMA, the intrathecally administered antisense oligonucleotide nusinersen.</w:t>
      </w:r>
      <w:r>
        <w:fldChar w:fldCharType="begin"/>
      </w:r>
      <w:r>
        <w:instrText xml:space="preserve"> NOTEREF _Ref75955762 \f \h </w:instrText>
      </w:r>
      <w:r>
        <w:fldChar w:fldCharType="separate"/>
      </w:r>
      <w:r w:rsidR="00710041" w:rsidRPr="00710041">
        <w:rPr>
          <w:rStyle w:val="FootnoteReference"/>
        </w:rPr>
        <w:t>4</w:t>
      </w:r>
      <w:r>
        <w:fldChar w:fldCharType="end"/>
      </w:r>
      <w:r>
        <w:t xml:space="preserve"> Both </w:t>
      </w:r>
      <w:proofErr w:type="spellStart"/>
      <w:r>
        <w:t>nusinersen</w:t>
      </w:r>
      <w:proofErr w:type="spellEnd"/>
      <w:r>
        <w:t xml:space="preserve"> and </w:t>
      </w:r>
      <w:proofErr w:type="spellStart"/>
      <w:r>
        <w:t>risdiplam</w:t>
      </w:r>
      <w:proofErr w:type="spellEnd"/>
      <w:r>
        <w:t xml:space="preserve"> are intended for long-term use, but </w:t>
      </w:r>
      <w:proofErr w:type="spellStart"/>
      <w:r>
        <w:t>risdiplam</w:t>
      </w:r>
      <w:proofErr w:type="spellEnd"/>
      <w:r>
        <w:t xml:space="preserve"> has an advantage in that it can be administered orally and may be used in the home environment. </w:t>
      </w:r>
    </w:p>
    <w:p w14:paraId="745B760B" w14:textId="77777777" w:rsidR="00416551" w:rsidRDefault="00416551" w:rsidP="00416551">
      <w:r>
        <w:t xml:space="preserve">The submission presents data from 465 patients treated with the orally administered splicing modifier </w:t>
      </w:r>
      <w:proofErr w:type="spellStart"/>
      <w:r>
        <w:t>risdiplam</w:t>
      </w:r>
      <w:proofErr w:type="spellEnd"/>
      <w:r>
        <w:t>, with a median duration of exposure of 15.2 months in SMA Type 1 and 9.3 months in SMA Types 2 and 3. At present, only 12 months of efficacy data is available and the maintenance of beneficial effects in the longer term is yet to be established.</w:t>
      </w:r>
    </w:p>
    <w:p w14:paraId="73CC719D" w14:textId="5C9F8240" w:rsidR="00416551" w:rsidRDefault="006813E8" w:rsidP="00416551">
      <w:r>
        <w:t>R</w:t>
      </w:r>
      <w:r w:rsidR="00416551">
        <w:t>esults from</w:t>
      </w:r>
      <w:r>
        <w:t xml:space="preserve"> </w:t>
      </w:r>
      <w:r w:rsidR="003F7FE7">
        <w:t xml:space="preserve">the </w:t>
      </w:r>
      <w:r>
        <w:t>primary analysis of</w:t>
      </w:r>
      <w:r w:rsidR="00416551">
        <w:t xml:space="preserve"> the two pivotal studies indicate that </w:t>
      </w:r>
      <w:proofErr w:type="spellStart"/>
      <w:r w:rsidR="00416551">
        <w:t>risdiplam</w:t>
      </w:r>
      <w:proofErr w:type="spellEnd"/>
      <w:r w:rsidR="00416551">
        <w:t xml:space="preserve"> supported the efficacy of 12 months of </w:t>
      </w:r>
      <w:proofErr w:type="spellStart"/>
      <w:r w:rsidR="00416551">
        <w:t>risdiplam</w:t>
      </w:r>
      <w:proofErr w:type="spellEnd"/>
      <w:r w:rsidR="00416551">
        <w:t xml:space="preserve"> treatment in symptomatic SMA patients. In pivotal Study BP39056 Part 2 (SMA Type 1), 29.3% of patients were able to sit unassisted for at least 5 seconds. This result was both statistically and clinically significant. Treatment was also associated with statistically significant and clinically meaningful improvements in key motor function and development milestones, as well as ventilation free survival. The study used a historical control group which was acceptable given the well described natural history of SMA and the severity of the condition. Study results diverged markedly from the natural history of Type 1 SMA. At 12 months of age, 92.7% of patients were alive and had attained major motor milestones when only 60% of untreated patients would be ex</w:t>
      </w:r>
      <w:r w:rsidR="006153BB">
        <w:t xml:space="preserve">pected to be alive at this time </w:t>
      </w:r>
      <w:r w:rsidR="00416551">
        <w:t xml:space="preserve">point. </w:t>
      </w:r>
    </w:p>
    <w:p w14:paraId="052F8A5A" w14:textId="77777777" w:rsidR="00416551" w:rsidRDefault="00416551" w:rsidP="00416551">
      <w:r>
        <w:t>In pivotal Study BP39055 Part 2 (SMA Types 2 and 3), patients achieved statistically and clinically significant improvement and/or stabilisation in motor functi</w:t>
      </w:r>
      <w:r w:rsidR="006153BB">
        <w:t xml:space="preserve">on at 12 months, in the </w:t>
      </w:r>
      <w:proofErr w:type="gramStart"/>
      <w:r w:rsidR="006153BB">
        <w:t xml:space="preserve">placebo </w:t>
      </w:r>
      <w:r>
        <w:t>controlled</w:t>
      </w:r>
      <w:proofErr w:type="gramEnd"/>
      <w:r>
        <w:t xml:space="preserve"> period. </w:t>
      </w:r>
      <w:r w:rsidR="006153BB">
        <w:t xml:space="preserve">Younger </w:t>
      </w:r>
      <w:r>
        <w:t xml:space="preserve">aged patients, particularly the 2 to &lt; 6 years group, obtained the greatest benefit from </w:t>
      </w:r>
      <w:proofErr w:type="spellStart"/>
      <w:r>
        <w:t>risdiplam</w:t>
      </w:r>
      <w:proofErr w:type="spellEnd"/>
      <w:r>
        <w:t xml:space="preserve"> treatment compared to older children and young adults. Although stabilisation of SMA was generally achieved in most older patients. This suggests there is a benefit to early diagnosis and initiation of </w:t>
      </w:r>
      <w:proofErr w:type="spellStart"/>
      <w:r>
        <w:t>risdiplam</w:t>
      </w:r>
      <w:proofErr w:type="spellEnd"/>
      <w:r>
        <w:t xml:space="preserve"> treatment.</w:t>
      </w:r>
    </w:p>
    <w:p w14:paraId="0BDB4AFB" w14:textId="77777777" w:rsidR="00416551" w:rsidRDefault="00416551" w:rsidP="00416551">
      <w:r>
        <w:t xml:space="preserve">The submitted data from the pivotal studies included </w:t>
      </w:r>
      <w:proofErr w:type="gramStart"/>
      <w:r>
        <w:t>12 month</w:t>
      </w:r>
      <w:proofErr w:type="gramEnd"/>
      <w:r>
        <w:t xml:space="preserve"> efficacy data but whether these effects are maintained long-term remains unknown. However, </w:t>
      </w:r>
      <w:r w:rsidR="006153BB">
        <w:t>S</w:t>
      </w:r>
      <w:r>
        <w:t>tudy BP39055 Part 1 provided supportive evidence that efficacy is improved or maintained for up to 24 months. Further clinical efficacy data is expected to become available later this year.</w:t>
      </w:r>
    </w:p>
    <w:p w14:paraId="76D84012" w14:textId="126A9114" w:rsidR="00416551" w:rsidRDefault="006153BB" w:rsidP="00416551">
      <w:r>
        <w:t>The D</w:t>
      </w:r>
      <w:r w:rsidR="00416551">
        <w:t>elegate has some concerns regarding the potential for use in patient subgroups not included in the submitted clinic</w:t>
      </w:r>
      <w:r>
        <w:t xml:space="preserve">al studies. </w:t>
      </w:r>
      <w:proofErr w:type="gramStart"/>
      <w:r>
        <w:t>In particular, SMA</w:t>
      </w:r>
      <w:proofErr w:type="gramEnd"/>
      <w:r>
        <w:t xml:space="preserve"> Types 0 and IV</w:t>
      </w:r>
      <w:r w:rsidR="00416551">
        <w:t xml:space="preserve">, patients who already require invasive or permanent ventilation, </w:t>
      </w:r>
      <w:proofErr w:type="spellStart"/>
      <w:r w:rsidR="00416551">
        <w:t>presymptomatic</w:t>
      </w:r>
      <w:proofErr w:type="spellEnd"/>
      <w:r w:rsidR="00416551">
        <w:t xml:space="preserve"> in</w:t>
      </w:r>
      <w:r>
        <w:t>dividuals, and those less than two</w:t>
      </w:r>
      <w:r w:rsidR="003815AF">
        <w:t xml:space="preserve"> months of age. The D</w:t>
      </w:r>
      <w:r w:rsidR="00416551">
        <w:t xml:space="preserve">elegate seeks the </w:t>
      </w:r>
      <w:r w:rsidRPr="00456765">
        <w:rPr>
          <w:bCs/>
        </w:rPr>
        <w:t>Advisory Committee on Medicines</w:t>
      </w:r>
      <w:r>
        <w:rPr>
          <w:bCs/>
        </w:rPr>
        <w:t xml:space="preserve"> (ACM)</w:t>
      </w:r>
      <w:r w:rsidR="00416551">
        <w:t xml:space="preserve"> advice on whether the proposed wording of the indication is appropriate:</w:t>
      </w:r>
    </w:p>
    <w:p w14:paraId="611ED7EA" w14:textId="0EE4D600" w:rsidR="00416551" w:rsidRDefault="00416551" w:rsidP="00416551">
      <w:r>
        <w:t xml:space="preserve">The use of </w:t>
      </w:r>
      <w:proofErr w:type="spellStart"/>
      <w:r>
        <w:t>risdiplam</w:t>
      </w:r>
      <w:proofErr w:type="spellEnd"/>
      <w:r>
        <w:t xml:space="preserve"> in more advanced disease, such as SMA Type 0, and patients who already require invasive or permanent ventilation, have not been established. </w:t>
      </w:r>
      <w:r w:rsidR="00FE1E66">
        <w:t>However,</w:t>
      </w:r>
      <w:r>
        <w:t xml:space="preserve"> the inclusion of these patients in the broad SMA indication is probably acceptable based on the known mechanism of action, the potential for stabilisation of disease and the small proportion of the total SMA population diagnosed Types 0. There </w:t>
      </w:r>
      <w:r w:rsidR="006813E8">
        <w:t xml:space="preserve">is </w:t>
      </w:r>
      <w:r>
        <w:t xml:space="preserve">a potential for benefit from </w:t>
      </w:r>
      <w:proofErr w:type="spellStart"/>
      <w:r>
        <w:t>risdiplam</w:t>
      </w:r>
      <w:proofErr w:type="spellEnd"/>
      <w:r>
        <w:t xml:space="preserve"> treatment in this patient group. Similarly, </w:t>
      </w:r>
      <w:proofErr w:type="spellStart"/>
      <w:r>
        <w:t>risdiplam</w:t>
      </w:r>
      <w:proofErr w:type="spellEnd"/>
      <w:r>
        <w:t xml:space="preserve"> may offer benefit stabilising disease in those with less adva</w:t>
      </w:r>
      <w:r w:rsidR="006153BB">
        <w:t>nced disease, such as SMA Type IV</w:t>
      </w:r>
      <w:r>
        <w:t xml:space="preserve">. Previous </w:t>
      </w:r>
      <w:r>
        <w:lastRenderedPageBreak/>
        <w:t>ACM advice has supported</w:t>
      </w:r>
      <w:r w:rsidR="006153BB">
        <w:t xml:space="preserve"> the inclusion SMA Types 0 and IV</w:t>
      </w:r>
      <w:r>
        <w:t xml:space="preserve"> under the broad SMA </w:t>
      </w:r>
      <w:r w:rsidR="006153BB">
        <w:t>indication. The D</w:t>
      </w:r>
      <w:r>
        <w:t>elegate proposes inclusion of a precautionary s</w:t>
      </w:r>
      <w:r w:rsidR="006153BB">
        <w:t>tatement in PI indicating that T</w:t>
      </w:r>
      <w:r>
        <w:t xml:space="preserve">ypes 0 and IV have not been studied. The clinical studies for </w:t>
      </w:r>
      <w:proofErr w:type="spellStart"/>
      <w:r>
        <w:t>nusinersen</w:t>
      </w:r>
      <w:proofErr w:type="spellEnd"/>
      <w:r>
        <w:t xml:space="preserve"> did not include patients with SMA Types 0 and IV and a si</w:t>
      </w:r>
      <w:r w:rsidR="006153BB">
        <w:t>milar statement is included in S</w:t>
      </w:r>
      <w:r>
        <w:t xml:space="preserve">ection 4.4 of the </w:t>
      </w:r>
      <w:proofErr w:type="spellStart"/>
      <w:r>
        <w:t>Spin</w:t>
      </w:r>
      <w:r w:rsidR="006153BB">
        <w:t>raza</w:t>
      </w:r>
      <w:proofErr w:type="spellEnd"/>
      <w:r w:rsidR="006153BB">
        <w:t xml:space="preserve"> (</w:t>
      </w:r>
      <w:proofErr w:type="spellStart"/>
      <w:r w:rsidR="006153BB">
        <w:t>nusinersen</w:t>
      </w:r>
      <w:proofErr w:type="spellEnd"/>
      <w:r w:rsidR="006153BB">
        <w:t>) PI.</w:t>
      </w:r>
      <w:r w:rsidR="006153BB">
        <w:fldChar w:fldCharType="begin"/>
      </w:r>
      <w:r w:rsidR="006153BB">
        <w:instrText xml:space="preserve"> NOTEREF _Ref75955762 \f \h </w:instrText>
      </w:r>
      <w:r w:rsidR="006153BB">
        <w:fldChar w:fldCharType="separate"/>
      </w:r>
      <w:r w:rsidR="00710041" w:rsidRPr="00710041">
        <w:rPr>
          <w:rStyle w:val="FootnoteReference"/>
        </w:rPr>
        <w:t>4</w:t>
      </w:r>
      <w:r w:rsidR="006153BB">
        <w:fldChar w:fldCharType="end"/>
      </w:r>
    </w:p>
    <w:p w14:paraId="774E2311" w14:textId="38DE98A3" w:rsidR="006153BB" w:rsidRDefault="00416551" w:rsidP="00416551">
      <w:r>
        <w:t xml:space="preserve">The benefit of </w:t>
      </w:r>
      <w:proofErr w:type="spellStart"/>
      <w:r>
        <w:t>risdiplam</w:t>
      </w:r>
      <w:proofErr w:type="spellEnd"/>
      <w:r>
        <w:t xml:space="preserve"> treatment for </w:t>
      </w:r>
      <w:proofErr w:type="spellStart"/>
      <w:r>
        <w:t>presymptomatic</w:t>
      </w:r>
      <w:proofErr w:type="spellEnd"/>
      <w:r>
        <w:t xml:space="preserve"> individuals has not yet been established but the results of </w:t>
      </w:r>
      <w:r w:rsidR="00CC4FD0">
        <w:t xml:space="preserve">Study </w:t>
      </w:r>
      <w:r>
        <w:t xml:space="preserve">BP39055 suggest there is a benefit from the early initiation of </w:t>
      </w:r>
      <w:proofErr w:type="spellStart"/>
      <w:r>
        <w:t>risdiplam</w:t>
      </w:r>
      <w:proofErr w:type="spellEnd"/>
      <w:r>
        <w:t xml:space="preserve"> </w:t>
      </w:r>
      <w:r w:rsidR="006153BB">
        <w:t>treatment. The RAINBOWFISH trial</w:t>
      </w:r>
      <w:r>
        <w:t xml:space="preserve"> (</w:t>
      </w:r>
      <w:r w:rsidR="006153BB">
        <w:t xml:space="preserve">Study </w:t>
      </w:r>
      <w:r>
        <w:t>BN40703) is an ongoing study in pre-symptomatic S</w:t>
      </w:r>
      <w:r w:rsidR="006153BB">
        <w:t>MA patients aged from birth to six</w:t>
      </w:r>
      <w:r>
        <w:t xml:space="preserve"> weeks. This study was not formally evaluated in this application. The proposed wording of the PI potentially allows for the treatment of </w:t>
      </w:r>
      <w:proofErr w:type="spellStart"/>
      <w:r>
        <w:t>presymptomatic</w:t>
      </w:r>
      <w:proofErr w:type="spellEnd"/>
      <w:r>
        <w:t xml:space="preserve"> individuals. Historically, </w:t>
      </w:r>
      <w:proofErr w:type="spellStart"/>
      <w:r>
        <w:t>presymptomatic</w:t>
      </w:r>
      <w:proofErr w:type="spellEnd"/>
      <w:r>
        <w:t xml:space="preserve"> SMA tended to be diagnosed on screening after the diagnosis of a sibling or relative. Changes to Australian genetic screening programs could potentially increase the proportion of patients that receive a diagnosis prior to symptom onset. Given the progressive nature of the disease and the suggested benefits of earl</w:t>
      </w:r>
      <w:r w:rsidR="006153BB">
        <w:t>y diagnosis and treatment, the D</w:t>
      </w:r>
      <w:r>
        <w:t xml:space="preserve">elegate is of the opinion that the indication does not need to be restricted to </w:t>
      </w:r>
      <w:r w:rsidR="006153BB">
        <w:t>those with symptomatic disease.</w:t>
      </w:r>
    </w:p>
    <w:p w14:paraId="0BA43512" w14:textId="6E54A671" w:rsidR="00416551" w:rsidRDefault="00416551" w:rsidP="009F3A5B">
      <w:r>
        <w:t xml:space="preserve">The safety and efficacy of </w:t>
      </w:r>
      <w:proofErr w:type="spellStart"/>
      <w:r>
        <w:t>risdiplam</w:t>
      </w:r>
      <w:proofErr w:type="spellEnd"/>
      <w:r>
        <w:t xml:space="preserve"> i</w:t>
      </w:r>
      <w:r w:rsidR="006153BB">
        <w:t>n patients less than two</w:t>
      </w:r>
      <w:r>
        <w:t xml:space="preserve"> months of age has not been established. The proposed P</w:t>
      </w:r>
      <w:r w:rsidR="006153BB">
        <w:t>I includes this information in S</w:t>
      </w:r>
      <w:r>
        <w:t>ection 4.2</w:t>
      </w:r>
      <w:r w:rsidR="006153BB">
        <w:t xml:space="preserve"> of the </w:t>
      </w:r>
      <w:proofErr w:type="gramStart"/>
      <w:r w:rsidR="006153BB">
        <w:t>PI</w:t>
      </w:r>
      <w:proofErr w:type="gramEnd"/>
      <w:r>
        <w:t xml:space="preserve"> but it is noted that the US</w:t>
      </w:r>
      <w:r w:rsidR="006153BB">
        <w:t xml:space="preserve"> PI includes the minimum two</w:t>
      </w:r>
      <w:r>
        <w:t xml:space="preserve"> month age limit in the indication. The </w:t>
      </w:r>
      <w:r w:rsidR="006153BB">
        <w:t>D</w:t>
      </w:r>
      <w:r>
        <w:t>elegate is of the opinion that inclusion o</w:t>
      </w:r>
      <w:r w:rsidR="006153BB">
        <w:t>f this information in S</w:t>
      </w:r>
      <w:r>
        <w:t>ection 4.2</w:t>
      </w:r>
      <w:r w:rsidR="006153BB">
        <w:t xml:space="preserve"> of the PI</w:t>
      </w:r>
      <w:r>
        <w:t xml:space="preserve"> is appropriate and aligns with the TGA’s general approach to produc</w:t>
      </w:r>
      <w:r w:rsidR="006153BB">
        <w:t>ts intended for paediatric use.</w:t>
      </w:r>
    </w:p>
    <w:p w14:paraId="3594AA9D" w14:textId="3007F7F3" w:rsidR="00416551" w:rsidRDefault="00416551" w:rsidP="009F3A5B">
      <w:r>
        <w:t>The proposed PI allows for the initiation of treatment by non</w:t>
      </w:r>
      <w:r w:rsidR="006153BB">
        <w:t>-specialist practitioners. The D</w:t>
      </w:r>
      <w:r>
        <w:t xml:space="preserve">elegate suggests including a </w:t>
      </w:r>
      <w:r w:rsidR="006153BB">
        <w:t>statement in S</w:t>
      </w:r>
      <w:r>
        <w:t xml:space="preserve">ection 4.2 of the PI restricting the initiation and supervision of treatment to specialist medical practitioners experienced in the diagnosis and management of SMA. A similar requirement has been included in the </w:t>
      </w:r>
      <w:proofErr w:type="spellStart"/>
      <w:r>
        <w:t>Spinraza</w:t>
      </w:r>
      <w:proofErr w:type="spellEnd"/>
      <w:r>
        <w:t xml:space="preserve"> (</w:t>
      </w:r>
      <w:proofErr w:type="spellStart"/>
      <w:r>
        <w:t>nusinersen</w:t>
      </w:r>
      <w:proofErr w:type="spellEnd"/>
      <w:r>
        <w:t>) PI.</w:t>
      </w:r>
      <w:r w:rsidR="006153BB">
        <w:fldChar w:fldCharType="begin"/>
      </w:r>
      <w:r w:rsidR="006153BB">
        <w:instrText xml:space="preserve"> NOTEREF _Ref75955762 \f \h </w:instrText>
      </w:r>
      <w:r w:rsidR="009F3A5B">
        <w:instrText xml:space="preserve"> \* MERGEFORMAT </w:instrText>
      </w:r>
      <w:r w:rsidR="006153BB">
        <w:fldChar w:fldCharType="separate"/>
      </w:r>
      <w:r w:rsidR="00710041" w:rsidRPr="00710041">
        <w:rPr>
          <w:rStyle w:val="FootnoteReference"/>
        </w:rPr>
        <w:t>4</w:t>
      </w:r>
      <w:r w:rsidR="006153BB">
        <w:fldChar w:fldCharType="end"/>
      </w:r>
    </w:p>
    <w:p w14:paraId="23620FEB" w14:textId="218A6961" w:rsidR="00416551" w:rsidRDefault="00416551" w:rsidP="009F3A5B">
      <w:r>
        <w:t xml:space="preserve">The safety profile of </w:t>
      </w:r>
      <w:proofErr w:type="spellStart"/>
      <w:r>
        <w:t>risdiplam</w:t>
      </w:r>
      <w:proofErr w:type="spellEnd"/>
      <w:r>
        <w:t xml:space="preserve"> has not yet been fully </w:t>
      </w:r>
      <w:r w:rsidR="00FE1E66">
        <w:t>characterised but</w:t>
      </w:r>
      <w:r>
        <w:t xml:space="preserve"> will become clearer when the results from the </w:t>
      </w:r>
      <w:r w:rsidR="00991360">
        <w:t xml:space="preserve">open label extension </w:t>
      </w:r>
      <w:r>
        <w:t xml:space="preserve">phases of ongoing clinical studies become available. The initial benefit-risk balance for </w:t>
      </w:r>
      <w:proofErr w:type="spellStart"/>
      <w:r>
        <w:t>risdiplam</w:t>
      </w:r>
      <w:proofErr w:type="spellEnd"/>
      <w:r>
        <w:t xml:space="preserve"> for safety is positive. Although overall patient exposure is considered sufficient for registration, the initial conclusions are based on interim results</w:t>
      </w:r>
      <w:r w:rsidRPr="002971B0">
        <w:t xml:space="preserve">. Incidences of </w:t>
      </w:r>
      <w:r w:rsidR="002971B0" w:rsidRPr="002971B0">
        <w:t xml:space="preserve">AEs or </w:t>
      </w:r>
      <w:r w:rsidR="006153BB" w:rsidRPr="002971B0">
        <w:t>S</w:t>
      </w:r>
      <w:r w:rsidRPr="002971B0">
        <w:t>AEs that led to study drug discontinuation were generally low.</w:t>
      </w:r>
      <w:r>
        <w:t xml:space="preserve"> The overall incidence of AEs, SAEs (including deaths) and severe AEs were generally higher in SMA Type 1 patients than in patients with less severe SMA disease, particularly respiratory conditions such as pneumonia. These findings are consistent with a more severe phenotype. The reductions in observed AE rates over time for all SMA patients, irrespective of </w:t>
      </w:r>
      <w:r w:rsidR="00991360">
        <w:t>t</w:t>
      </w:r>
      <w:r>
        <w:t xml:space="preserve">ype, are likely to be indicative of the therapeutic benefit of </w:t>
      </w:r>
      <w:proofErr w:type="spellStart"/>
      <w:r>
        <w:t>risdiplam</w:t>
      </w:r>
      <w:proofErr w:type="spellEnd"/>
      <w:r>
        <w:t xml:space="preserve"> treatment.</w:t>
      </w:r>
    </w:p>
    <w:p w14:paraId="04097DC5" w14:textId="77777777" w:rsidR="00416551" w:rsidRDefault="00416551" w:rsidP="009F3A5B">
      <w:r>
        <w:t>Overall, there were seven deaths across the c</w:t>
      </w:r>
      <w:r w:rsidR="006153BB">
        <w:t xml:space="preserve">linical program at the time of clinical </w:t>
      </w:r>
      <w:proofErr w:type="spellStart"/>
      <w:r w:rsidR="006153BB">
        <w:t>cutoff</w:t>
      </w:r>
      <w:proofErr w:type="spellEnd"/>
      <w:r w:rsidR="006153BB">
        <w:t xml:space="preserve"> date</w:t>
      </w:r>
      <w:r>
        <w:t xml:space="preserve">. All seven deaths occurred in SMA Type 1 patients and for all patients the cause of death was considered unrelated to </w:t>
      </w:r>
      <w:proofErr w:type="spellStart"/>
      <w:r>
        <w:t>risdiplam</w:t>
      </w:r>
      <w:proofErr w:type="spellEnd"/>
      <w:r>
        <w:t xml:space="preserve"> treatment and attributed to the underlying disease. This is consistent with the more severe phenotype seen with SMA Type 1 compared to S</w:t>
      </w:r>
      <w:r w:rsidR="006153BB">
        <w:t>MA Types 2 and 3.</w:t>
      </w:r>
    </w:p>
    <w:p w14:paraId="7B2AA868" w14:textId="2A0EFD36" w:rsidR="00416551" w:rsidRDefault="00416551" w:rsidP="009F3A5B">
      <w:r>
        <w:t>There remain concerns that the limited duration of exposure makes it difficult to characterise the risk</w:t>
      </w:r>
      <w:r w:rsidR="006153BB">
        <w:t xml:space="preserve"> of less common events. The </w:t>
      </w:r>
      <w:proofErr w:type="gramStart"/>
      <w:r w:rsidR="006153BB">
        <w:t xml:space="preserve">off </w:t>
      </w:r>
      <w:r>
        <w:t>target</w:t>
      </w:r>
      <w:proofErr w:type="gramEnd"/>
      <w:r>
        <w:t xml:space="preserve"> safety effects on epithelial tissues, haematological effects and retinal toxicity identified fr</w:t>
      </w:r>
      <w:r w:rsidR="006153BB">
        <w:t>om non</w:t>
      </w:r>
      <w:r>
        <w:t>clinical safety findings, were not observed in any patient in the clinical SMA program. The risk of retinal toxicity has been included in the summary of safety concerns as an important pote</w:t>
      </w:r>
      <w:r w:rsidR="006153BB">
        <w:t>ntial risk and is described in S</w:t>
      </w:r>
      <w:r>
        <w:t xml:space="preserve">ection 5.3 of the PI but there are no recommendations for clinicians regarding monitoring patients for this potential reaction. </w:t>
      </w:r>
      <w:r w:rsidR="004641D7">
        <w:t>The D</w:t>
      </w:r>
      <w:r>
        <w:t xml:space="preserve">elegate is </w:t>
      </w:r>
      <w:r>
        <w:lastRenderedPageBreak/>
        <w:t xml:space="preserve">concerned about the potential for the delayed onset of irreversible retinal toxicity and the associated challenges of identifying associated changes in a paediatric patient population. Advice is sought from the </w:t>
      </w:r>
      <w:r w:rsidR="006153BB">
        <w:t>ACM</w:t>
      </w:r>
      <w:r>
        <w:t xml:space="preserve"> about whether a precautionary st</w:t>
      </w:r>
      <w:r w:rsidR="006153BB">
        <w:t>atement in the PI is warranted.</w:t>
      </w:r>
    </w:p>
    <w:p w14:paraId="2E8BA6AD" w14:textId="38B03374" w:rsidR="00416551" w:rsidRDefault="006153BB" w:rsidP="009F3A5B">
      <w:r>
        <w:t xml:space="preserve">The other off </w:t>
      </w:r>
      <w:r w:rsidR="00416551">
        <w:t xml:space="preserve">target effects from the nonclinical program that did not appear in the target population were included skin, gastrointestinal tract, male reproductive </w:t>
      </w:r>
      <w:proofErr w:type="gramStart"/>
      <w:r w:rsidR="00416551">
        <w:t>system</w:t>
      </w:r>
      <w:proofErr w:type="gramEnd"/>
      <w:r w:rsidR="00416551">
        <w:t xml:space="preserve"> and bone marrow effects. Male fertility effects were not evaluat</w:t>
      </w:r>
      <w:r>
        <w:t>ed in clinical studies. The non</w:t>
      </w:r>
      <w:r w:rsidR="00416551">
        <w:t>clinical evaluator has indicated that patients can probably be monitored for these effects. The effects on epithelial tissues in a</w:t>
      </w:r>
      <w:r>
        <w:t>nimal studies are described in Section 5.3 of the PI and S</w:t>
      </w:r>
      <w:r w:rsidR="00416551">
        <w:t xml:space="preserve">ection 4.6 </w:t>
      </w:r>
      <w:r w:rsidR="004641D7">
        <w:t xml:space="preserve">of the PI </w:t>
      </w:r>
      <w:r w:rsidR="00416551">
        <w:t xml:space="preserve">discusses the effects on the male reproductive system including fertility </w:t>
      </w:r>
      <w:r>
        <w:t>preservation advice. The D</w:t>
      </w:r>
      <w:r w:rsidR="00416551">
        <w:t>elegate considers this adequate but welcomes comment f</w:t>
      </w:r>
      <w:r>
        <w:t>rom the ACM committee.</w:t>
      </w:r>
    </w:p>
    <w:p w14:paraId="3E860F4B" w14:textId="77777777" w:rsidR="00416551" w:rsidRDefault="00416551" w:rsidP="009F3A5B">
      <w:r>
        <w:t xml:space="preserve">Potential risks from medication errors and a potential DDI between </w:t>
      </w:r>
      <w:proofErr w:type="spellStart"/>
      <w:r>
        <w:t>risdiplam</w:t>
      </w:r>
      <w:proofErr w:type="spellEnd"/>
      <w:r>
        <w:t xml:space="preserve"> and antacids were identified by the clinical evaluator. In regards to medication errors, </w:t>
      </w:r>
      <w:proofErr w:type="spellStart"/>
      <w:r>
        <w:t>risdiplam</w:t>
      </w:r>
      <w:proofErr w:type="spellEnd"/>
      <w:r>
        <w:t xml:space="preserve"> administration to the youngest patients with more severe disease, gave rise to considerably more dosing errors than patients with SMA Ty</w:t>
      </w:r>
      <w:r w:rsidR="006153BB">
        <w:t>pes 2 and 3. In Australia, the s</w:t>
      </w:r>
      <w:r>
        <w:t>ponsor pr</w:t>
      </w:r>
      <w:r w:rsidR="006153BB">
        <w:t xml:space="preserve">oposes to include two different </w:t>
      </w:r>
      <w:r>
        <w:t>sized oral syringes in the carton, with the reconst</w:t>
      </w:r>
      <w:r w:rsidR="006153BB">
        <w:t xml:space="preserve">ituted </w:t>
      </w:r>
      <w:proofErr w:type="spellStart"/>
      <w:r w:rsidR="006153BB">
        <w:t>risdiplam</w:t>
      </w:r>
      <w:proofErr w:type="spellEnd"/>
      <w:r w:rsidR="006153BB">
        <w:t xml:space="preserve"> solution. The D</w:t>
      </w:r>
      <w:r>
        <w:t>elegate agrees with the clinical evaluator’s assessment that provision of both syringes to the parent/carer may inadvertently contribute towards dosing errors and that provision of a single syringe size to the parent/carer at the time of dispensin</w:t>
      </w:r>
      <w:r w:rsidR="006153BB">
        <w:t>g, may help mitigate this risk.</w:t>
      </w:r>
    </w:p>
    <w:p w14:paraId="38057EEC" w14:textId="77777777" w:rsidR="00416551" w:rsidRDefault="00416551" w:rsidP="009F3A5B">
      <w:r>
        <w:t xml:space="preserve">A DDI with antacids cannot be excluded based on the available efficacy evidence. There is a theoretical risk that </w:t>
      </w:r>
      <w:proofErr w:type="spellStart"/>
      <w:r>
        <w:t>risdiplam</w:t>
      </w:r>
      <w:proofErr w:type="spellEnd"/>
      <w:r>
        <w:t xml:space="preserve"> will precipitate out of solution in alkaline or near alkaline conditions. The evaluator has recommended a dedicated DDI study be undertaken post approval and a bioavailability study is planned to address this issue.</w:t>
      </w:r>
      <w:r w:rsidR="00713D81">
        <w:rPr>
          <w:rStyle w:val="FootnoteReference"/>
        </w:rPr>
        <w:footnoteReference w:id="21"/>
      </w:r>
      <w:r>
        <w:t xml:space="preserve"> DDI with antacid is listed as an important potential risk in </w:t>
      </w:r>
      <w:r w:rsidR="009F3A5B">
        <w:t>the summary of safety concerns.</w:t>
      </w:r>
    </w:p>
    <w:p w14:paraId="45E2F2EF" w14:textId="52E374EE" w:rsidR="00416551" w:rsidRPr="00456765" w:rsidRDefault="00416551" w:rsidP="009F3A5B">
      <w:r>
        <w:t>There was</w:t>
      </w:r>
      <w:r w:rsidR="009F3A5B">
        <w:t xml:space="preserve"> no clear evidence of </w:t>
      </w:r>
      <w:proofErr w:type="spellStart"/>
      <w:r w:rsidR="009F3A5B">
        <w:t>risdiplam</w:t>
      </w:r>
      <w:proofErr w:type="spellEnd"/>
      <w:r w:rsidR="009F3A5B">
        <w:t xml:space="preserve"> </w:t>
      </w:r>
      <w:r>
        <w:t>related cardiotoxicity or QT prolongation in the cl</w:t>
      </w:r>
      <w:r w:rsidR="00FE2CBD">
        <w:t>inical SMA program and the FDA clinical r</w:t>
      </w:r>
      <w:r>
        <w:t>eview did not find a cardiac safety signal fol</w:t>
      </w:r>
      <w:r w:rsidR="009F3A5B">
        <w:t xml:space="preserve">lowing </w:t>
      </w:r>
      <w:proofErr w:type="spellStart"/>
      <w:r w:rsidR="009F3A5B">
        <w:t>risdiplam</w:t>
      </w:r>
      <w:proofErr w:type="spellEnd"/>
      <w:r w:rsidR="009F3A5B">
        <w:t xml:space="preserve"> exposure. The s</w:t>
      </w:r>
      <w:r>
        <w:t>ponsor has committed to a pos</w:t>
      </w:r>
      <w:r w:rsidR="009F3A5B">
        <w:t xml:space="preserve">t-approval dedicated positively </w:t>
      </w:r>
      <w:r>
        <w:t>controlled t</w:t>
      </w:r>
      <w:r w:rsidR="00991360">
        <w:t xml:space="preserve">horough </w:t>
      </w:r>
      <w:r>
        <w:t>QT study. Based on the available evidence, no routine cardiac monitoring is recommended in younger SMA Type 1 patients, unless clinically indicated.</w:t>
      </w:r>
    </w:p>
    <w:p w14:paraId="2E8E9471" w14:textId="77777777" w:rsidR="00456765" w:rsidRDefault="00D23139" w:rsidP="009F3A5B">
      <w:pPr>
        <w:pStyle w:val="Heading4"/>
      </w:pPr>
      <w:r w:rsidRPr="00D23139">
        <w:t>Proposed action</w:t>
      </w:r>
    </w:p>
    <w:p w14:paraId="2EE16FD2" w14:textId="51CEFFF1" w:rsidR="009F3A5B" w:rsidRPr="00456765" w:rsidRDefault="009F3A5B" w:rsidP="009F3A5B">
      <w:r w:rsidRPr="009F3A5B">
        <w:t xml:space="preserve">As outlined above, there are several limitations to the clinical data, such as the lack of completed studies, long-term </w:t>
      </w:r>
      <w:proofErr w:type="gramStart"/>
      <w:r w:rsidRPr="009F3A5B">
        <w:t>data</w:t>
      </w:r>
      <w:proofErr w:type="gramEnd"/>
      <w:r w:rsidRPr="009F3A5B">
        <w:t xml:space="preserve"> and a comprehensive integrated safety analysis. These limitations make the characterisation of less common AEs challenging. As a result</w:t>
      </w:r>
      <w:r w:rsidR="00991360">
        <w:t>,</w:t>
      </w:r>
      <w:r w:rsidRPr="009F3A5B">
        <w:t xml:space="preserve"> there are outstanding concerns regarding the potential for toxicity related to off</w:t>
      </w:r>
      <w:r>
        <w:t xml:space="preserve"> </w:t>
      </w:r>
      <w:r w:rsidRPr="009F3A5B">
        <w:t xml:space="preserve">target effects identified in the nonclinical studies. Due to the serious, life limiting nature of this progressive neurodegenerative condition, subject to advice from ACM, the preliminary view tends towards a favourable benefit-risk profile for </w:t>
      </w:r>
      <w:proofErr w:type="spellStart"/>
      <w:r w:rsidRPr="009F3A5B">
        <w:t>risdiplam</w:t>
      </w:r>
      <w:proofErr w:type="spellEnd"/>
      <w:r w:rsidRPr="009F3A5B">
        <w:t xml:space="preserve"> for the treatment of SMA patients ≥ 2 months of age, based on the interim results of the submitted pivotal clinical studies.</w:t>
      </w:r>
    </w:p>
    <w:p w14:paraId="198B8AAE" w14:textId="77777777" w:rsidR="007D53B6" w:rsidRDefault="007D53B6" w:rsidP="007D53B6">
      <w:pPr>
        <w:pStyle w:val="Heading4"/>
      </w:pPr>
      <w:r>
        <w:t xml:space="preserve">Questions for </w:t>
      </w:r>
      <w:r w:rsidR="00744121">
        <w:t xml:space="preserve">the </w:t>
      </w:r>
      <w:r>
        <w:t>sponsor</w:t>
      </w:r>
    </w:p>
    <w:p w14:paraId="19540251" w14:textId="77777777" w:rsidR="00744121" w:rsidRPr="00955A16" w:rsidRDefault="00744121" w:rsidP="00744121">
      <w:r>
        <w:t>The sponsor provided the following response to questions from the Delegate.</w:t>
      </w:r>
    </w:p>
    <w:p w14:paraId="46E98D61" w14:textId="09D6C4BB" w:rsidR="009F3A5B" w:rsidRPr="009F3A5B" w:rsidRDefault="009F3A5B" w:rsidP="009F3A5B">
      <w:pPr>
        <w:pStyle w:val="Numberbullet0"/>
        <w:rPr>
          <w:rFonts w:eastAsia="MS Mincho"/>
          <w:b/>
          <w:i/>
        </w:rPr>
      </w:pPr>
      <w:r w:rsidRPr="009F3A5B">
        <w:rPr>
          <w:b/>
          <w:i/>
        </w:rPr>
        <w:lastRenderedPageBreak/>
        <w:t xml:space="preserve">Please provide an update on the current international regulatory status of similar submissions </w:t>
      </w:r>
      <w:proofErr w:type="gramStart"/>
      <w:r w:rsidRPr="009F3A5B">
        <w:rPr>
          <w:b/>
          <w:i/>
        </w:rPr>
        <w:t>overseas?</w:t>
      </w:r>
      <w:proofErr w:type="gramEnd"/>
      <w:r w:rsidRPr="009F3A5B">
        <w:rPr>
          <w:b/>
          <w:i/>
        </w:rPr>
        <w:t xml:space="preserve"> </w:t>
      </w:r>
      <w:proofErr w:type="gramStart"/>
      <w:r w:rsidRPr="009F3A5B">
        <w:rPr>
          <w:b/>
          <w:i/>
        </w:rPr>
        <w:t>Have</w:t>
      </w:r>
      <w:proofErr w:type="gramEnd"/>
      <w:r w:rsidRPr="009F3A5B">
        <w:rPr>
          <w:b/>
          <w:i/>
        </w:rPr>
        <w:t xml:space="preserve"> the submission been rejected, withdrawn or deferred in any country or region?</w:t>
      </w:r>
    </w:p>
    <w:p w14:paraId="08E1A5AC" w14:textId="4741092C" w:rsidR="00D96FBA" w:rsidRPr="00D96FBA" w:rsidRDefault="00D96FBA" w:rsidP="00D96FBA">
      <w:proofErr w:type="spellStart"/>
      <w:r w:rsidRPr="00D96FBA">
        <w:t>Risdiplam</w:t>
      </w:r>
      <w:proofErr w:type="spellEnd"/>
      <w:r w:rsidRPr="00D96FBA">
        <w:t xml:space="preserve"> has been gran</w:t>
      </w:r>
      <w:r>
        <w:t>ted Marketing Authorisation in seven</w:t>
      </w:r>
      <w:r w:rsidRPr="00D96FBA">
        <w:t xml:space="preserve"> countrie</w:t>
      </w:r>
      <w:r>
        <w:t xml:space="preserve">s: USA, Brazil, Chile, Georgia, </w:t>
      </w:r>
      <w:r w:rsidRPr="00D96FBA">
        <w:t>South</w:t>
      </w:r>
      <w:r w:rsidR="00991360">
        <w:t xml:space="preserve"> </w:t>
      </w:r>
      <w:r w:rsidRPr="00D96FBA">
        <w:t xml:space="preserve">Korea, </w:t>
      </w:r>
      <w:proofErr w:type="gramStart"/>
      <w:r w:rsidRPr="00D96FBA">
        <w:t>Russia</w:t>
      </w:r>
      <w:proofErr w:type="gramEnd"/>
      <w:r w:rsidRPr="00D96FBA">
        <w:t xml:space="preserve"> and Ukraine.</w:t>
      </w:r>
    </w:p>
    <w:p w14:paraId="539D6C62" w14:textId="2509C3CA" w:rsidR="00D96FBA" w:rsidRPr="00D96FBA" w:rsidRDefault="00D96FBA" w:rsidP="00D96FBA">
      <w:r w:rsidRPr="00D96FBA">
        <w:t>Applications for Marketing Authorisation are under review in 58</w:t>
      </w:r>
      <w:r>
        <w:t xml:space="preserve"> countries worldwide, including </w:t>
      </w:r>
      <w:r w:rsidR="00907438">
        <w:t xml:space="preserve">review by the </w:t>
      </w:r>
      <w:r w:rsidR="009970EE">
        <w:t>EU’s EMA</w:t>
      </w:r>
      <w:r w:rsidRPr="00D96FBA">
        <w:t>, which granted a</w:t>
      </w:r>
      <w:r w:rsidR="00907438">
        <w:t xml:space="preserve"> positive </w:t>
      </w:r>
      <w:r w:rsidR="00907438" w:rsidRPr="00907438">
        <w:t>Committee for Medicinal Products for Human Use</w:t>
      </w:r>
      <w:r>
        <w:t xml:space="preserve"> opinion on 26 February</w:t>
      </w:r>
      <w:r w:rsidRPr="00D96FBA">
        <w:t xml:space="preserve"> 2021.</w:t>
      </w:r>
    </w:p>
    <w:p w14:paraId="5953CE95" w14:textId="77777777" w:rsidR="009F3A5B" w:rsidRPr="009F3A5B" w:rsidRDefault="00D96FBA" w:rsidP="00D96FBA">
      <w:r w:rsidRPr="00D96FBA">
        <w:t>The application was not rejected, withdrawn, or deferred in any region or country.</w:t>
      </w:r>
    </w:p>
    <w:p w14:paraId="7F2901F1" w14:textId="77777777" w:rsidR="009F3A5B" w:rsidRPr="009F3A5B" w:rsidRDefault="009F3A5B" w:rsidP="009F3A5B">
      <w:pPr>
        <w:pStyle w:val="Numberbullet0"/>
        <w:rPr>
          <w:b/>
          <w:i/>
        </w:rPr>
      </w:pPr>
      <w:r w:rsidRPr="009F3A5B">
        <w:rPr>
          <w:b/>
          <w:i/>
        </w:rPr>
        <w:t xml:space="preserve">It is noted that </w:t>
      </w:r>
      <w:proofErr w:type="spellStart"/>
      <w:r w:rsidRPr="009F3A5B">
        <w:rPr>
          <w:b/>
          <w:i/>
        </w:rPr>
        <w:t>risdiplam</w:t>
      </w:r>
      <w:proofErr w:type="spellEnd"/>
      <w:r w:rsidRPr="009F3A5B">
        <w:rPr>
          <w:b/>
          <w:i/>
        </w:rPr>
        <w:t xml:space="preserve"> and related molecule RO6885247 displayed similar retinal toxicity at a similar relative exposure and that this led to the termination of clinical trials with RO6885247. What were the reasons for terminating clinical trials with RO6885247? What was the rationale for continuing clinical trials with </w:t>
      </w:r>
      <w:proofErr w:type="spellStart"/>
      <w:r w:rsidRPr="009F3A5B">
        <w:rPr>
          <w:b/>
          <w:i/>
        </w:rPr>
        <w:t>risdiplam</w:t>
      </w:r>
      <w:proofErr w:type="spellEnd"/>
      <w:r w:rsidRPr="009F3A5B">
        <w:rPr>
          <w:b/>
          <w:i/>
        </w:rPr>
        <w:t>?</w:t>
      </w:r>
    </w:p>
    <w:p w14:paraId="633C7641" w14:textId="5D656149" w:rsidR="00D96FBA" w:rsidRDefault="00D96FBA" w:rsidP="00D96FBA">
      <w:r>
        <w:t xml:space="preserve">Retinal toxicity for RO6885247 was initially discovered by tissue histopathology at the end of the dosing phase of a chronic toxicity </w:t>
      </w:r>
      <w:proofErr w:type="gramStart"/>
      <w:r>
        <w:t>39 week</w:t>
      </w:r>
      <w:proofErr w:type="gramEnd"/>
      <w:r>
        <w:t xml:space="preserve"> study in monkeys. At that time, it was unknown whether this type of toxicity could be monitored in-life and therefore as a precautionary measure, the clinical trials with RO6885247 were put on hold. Several months later, the feasibility of monitoring the histopathology findings in life by o</w:t>
      </w:r>
      <w:r w:rsidR="004641D7">
        <w:t>ptical coherence tomography</w:t>
      </w:r>
      <w:r>
        <w:t xml:space="preserve"> was demonstrated in animals (in the recovery phase animals of the same 39 week chronic toxicity study in monkeys for RO6885247 and also during the chronic toxicity study for </w:t>
      </w:r>
      <w:proofErr w:type="spellStart"/>
      <w:r>
        <w:t>risdiplam</w:t>
      </w:r>
      <w:proofErr w:type="spellEnd"/>
      <w:r>
        <w:t xml:space="preserve">, which had been selected as a </w:t>
      </w:r>
      <w:proofErr w:type="spellStart"/>
      <w:r>
        <w:t>back up</w:t>
      </w:r>
      <w:proofErr w:type="spellEnd"/>
      <w:r>
        <w:t xml:space="preserve"> clinical candidate for RO6885247).</w:t>
      </w:r>
    </w:p>
    <w:p w14:paraId="2191979F" w14:textId="71231E49" w:rsidR="00D96FBA" w:rsidRDefault="00D96FBA" w:rsidP="00D96FBA">
      <w:proofErr w:type="gramStart"/>
      <w:r>
        <w:t>Subsequent to</w:t>
      </w:r>
      <w:proofErr w:type="gramEnd"/>
      <w:r>
        <w:t xml:space="preserve"> having determined the feasibility to monitor the retinal toxicity by </w:t>
      </w:r>
      <w:r w:rsidR="00F72B7A">
        <w:t>o</w:t>
      </w:r>
      <w:r w:rsidR="009970EE" w:rsidRPr="00F72B7A">
        <w:t>ptical coherence tomography</w:t>
      </w:r>
      <w:r>
        <w:t xml:space="preserve">, clinical trials with RO6885247 were not resumed. Further efforts in clinical development were focussed on </w:t>
      </w:r>
      <w:proofErr w:type="spellStart"/>
      <w:r>
        <w:t>risdiplam</w:t>
      </w:r>
      <w:proofErr w:type="spellEnd"/>
      <w:r>
        <w:t xml:space="preserve"> instead as </w:t>
      </w:r>
      <w:proofErr w:type="spellStart"/>
      <w:r>
        <w:t>risdiplam</w:t>
      </w:r>
      <w:proofErr w:type="spellEnd"/>
      <w:r>
        <w:t xml:space="preserve"> offered a better therapeutic window. This was later substantiated in clinical trials that the full ability to force </w:t>
      </w:r>
      <w:r w:rsidRPr="00F72B7A">
        <w:rPr>
          <w:i/>
        </w:rPr>
        <w:t>SMN2</w:t>
      </w:r>
      <w:r>
        <w:t xml:space="preserve"> exon 7 inclusion and to generate </w:t>
      </w:r>
      <w:r w:rsidRPr="00F72B7A">
        <w:rPr>
          <w:i/>
        </w:rPr>
        <w:t>SMN2</w:t>
      </w:r>
      <w:r>
        <w:t xml:space="preserve">-driven protein was established with </w:t>
      </w:r>
      <w:proofErr w:type="spellStart"/>
      <w:r>
        <w:t>risdiplam</w:t>
      </w:r>
      <w:proofErr w:type="spellEnd"/>
      <w:r>
        <w:t xml:space="preserve"> rather than RO6885247 at the no observed </w:t>
      </w:r>
      <w:r w:rsidR="004641D7">
        <w:t>adverse-effect level</w:t>
      </w:r>
      <w:r>
        <w:t xml:space="preserve"> of retinal toxicity in monkeys. Further, </w:t>
      </w:r>
      <w:proofErr w:type="spellStart"/>
      <w:r>
        <w:t>risdiplam</w:t>
      </w:r>
      <w:proofErr w:type="spellEnd"/>
      <w:r>
        <w:t xml:space="preserve"> offered </w:t>
      </w:r>
      <w:proofErr w:type="gramStart"/>
      <w:r>
        <w:t>a number of</w:t>
      </w:r>
      <w:proofErr w:type="gramEnd"/>
      <w:r>
        <w:t xml:space="preserve"> distinct safety advantages over RO6885247, which were important for patients, such as absence of phototoxicity, absence of </w:t>
      </w:r>
      <w:proofErr w:type="spellStart"/>
      <w:r>
        <w:t>hERG</w:t>
      </w:r>
      <w:proofErr w:type="spellEnd"/>
      <w:r>
        <w:t xml:space="preserve"> </w:t>
      </w:r>
      <w:r w:rsidR="00F72B7A">
        <w:t>(</w:t>
      </w:r>
      <w:r w:rsidR="009970EE">
        <w:t>cardiac potassium ion</w:t>
      </w:r>
      <w:r w:rsidR="00F72B7A">
        <w:t>)</w:t>
      </w:r>
      <w:r w:rsidR="009970EE">
        <w:t xml:space="preserve"> </w:t>
      </w:r>
      <w:r>
        <w:t xml:space="preserve">channel affinity and QT prolongation, and a lower volume of distribution. The details are published in </w:t>
      </w:r>
      <w:proofErr w:type="spellStart"/>
      <w:r>
        <w:t>Ratni</w:t>
      </w:r>
      <w:proofErr w:type="spellEnd"/>
      <w:r>
        <w:t xml:space="preserve"> et al., 2018.</w:t>
      </w:r>
      <w:r>
        <w:rPr>
          <w:rStyle w:val="FootnoteReference"/>
        </w:rPr>
        <w:footnoteReference w:id="22"/>
      </w:r>
    </w:p>
    <w:p w14:paraId="697279D6" w14:textId="77777777" w:rsidR="00D96FBA" w:rsidRDefault="00D96FBA" w:rsidP="00D96FBA">
      <w:r>
        <w:t>In conclusion, the reasons for:</w:t>
      </w:r>
    </w:p>
    <w:p w14:paraId="67B90718" w14:textId="61C99EF4" w:rsidR="00D96FBA" w:rsidRDefault="00D96FBA" w:rsidP="00D96FBA">
      <w:pPr>
        <w:pStyle w:val="ListBullet"/>
      </w:pPr>
      <w:r>
        <w:t>Termination of the clinical trial with RO6885247: at the time, there was no knowledge on how to perform a proper retinal safety follow up in humans; thus, to ensure safety, the program was interrupted</w:t>
      </w:r>
      <w:r w:rsidR="009970EE">
        <w:t>.</w:t>
      </w:r>
    </w:p>
    <w:p w14:paraId="40520354" w14:textId="6B4DD4D9" w:rsidR="009F3A5B" w:rsidRPr="00D96FBA" w:rsidRDefault="00D96FBA" w:rsidP="009970EE">
      <w:pPr>
        <w:pStyle w:val="ListBullet"/>
      </w:pPr>
      <w:r>
        <w:t xml:space="preserve">Starting clinical development of </w:t>
      </w:r>
      <w:proofErr w:type="spellStart"/>
      <w:r>
        <w:t>risdiplam</w:t>
      </w:r>
      <w:proofErr w:type="spellEnd"/>
      <w:r>
        <w:t xml:space="preserve">: </w:t>
      </w:r>
      <w:proofErr w:type="spellStart"/>
      <w:r>
        <w:t>risdiplam</w:t>
      </w:r>
      <w:proofErr w:type="spellEnd"/>
      <w:r>
        <w:t xml:space="preserve"> offered a better safety profile in general and a better therapeutic window for retinal toxicity compared to RO6885247, and </w:t>
      </w:r>
      <w:r w:rsidR="009970EE">
        <w:t>optical coherence tomography</w:t>
      </w:r>
      <w:r>
        <w:t xml:space="preserve"> was established as an optimal method for evaluation of retinal abnormalities by the time of the clinical development start</w:t>
      </w:r>
      <w:r w:rsidR="009970EE">
        <w:t>.</w:t>
      </w:r>
    </w:p>
    <w:p w14:paraId="25567EAA" w14:textId="77777777" w:rsidR="009F3A5B" w:rsidRPr="009F3A5B" w:rsidRDefault="009F3A5B" w:rsidP="009F3A5B">
      <w:pPr>
        <w:pStyle w:val="Numberbullet0"/>
        <w:rPr>
          <w:rFonts w:asciiTheme="minorHAnsi" w:hAnsiTheme="minorHAnsi"/>
          <w:b/>
          <w:i/>
        </w:rPr>
      </w:pPr>
      <w:r w:rsidRPr="009F3A5B">
        <w:rPr>
          <w:rFonts w:asciiTheme="minorHAnsi" w:hAnsiTheme="minorHAnsi"/>
          <w:b/>
          <w:i/>
        </w:rPr>
        <w:t xml:space="preserve">Given that the longer-term ongoing studies are </w:t>
      </w:r>
      <w:proofErr w:type="gramStart"/>
      <w:r w:rsidRPr="009F3A5B">
        <w:rPr>
          <w:rFonts w:asciiTheme="minorHAnsi" w:hAnsiTheme="minorHAnsi"/>
          <w:b/>
          <w:i/>
        </w:rPr>
        <w:t>open-label</w:t>
      </w:r>
      <w:proofErr w:type="gramEnd"/>
      <w:r w:rsidRPr="009F3A5B">
        <w:rPr>
          <w:rFonts w:asciiTheme="minorHAnsi" w:hAnsiTheme="minorHAnsi"/>
          <w:b/>
          <w:i/>
        </w:rPr>
        <w:t xml:space="preserve">, how does the sponsor propose to distinguish the long-term safety of </w:t>
      </w:r>
      <w:proofErr w:type="spellStart"/>
      <w:r w:rsidRPr="009F3A5B">
        <w:rPr>
          <w:rFonts w:asciiTheme="minorHAnsi" w:hAnsiTheme="minorHAnsi"/>
          <w:b/>
          <w:i/>
        </w:rPr>
        <w:t>risdiplam</w:t>
      </w:r>
      <w:proofErr w:type="spellEnd"/>
      <w:r w:rsidRPr="009F3A5B">
        <w:rPr>
          <w:rFonts w:asciiTheme="minorHAnsi" w:hAnsiTheme="minorHAnsi"/>
          <w:b/>
          <w:i/>
        </w:rPr>
        <w:t xml:space="preserve"> from the natural history of SMA?</w:t>
      </w:r>
    </w:p>
    <w:p w14:paraId="02460EBC" w14:textId="77777777" w:rsidR="00D96FBA" w:rsidRDefault="00D96FBA" w:rsidP="00D96FBA">
      <w:r>
        <w:lastRenderedPageBreak/>
        <w:t xml:space="preserve">The sponsor will not perform a systematic analysis of the safety profile of </w:t>
      </w:r>
      <w:proofErr w:type="spellStart"/>
      <w:r>
        <w:t>risdiplam</w:t>
      </w:r>
      <w:proofErr w:type="spellEnd"/>
      <w:r>
        <w:t xml:space="preserve"> compared to the natural history of SMA for all safety endpoints due to the lack of comparable datasets in untreated patients with SMA.</w:t>
      </w:r>
    </w:p>
    <w:p w14:paraId="54B00701" w14:textId="77777777" w:rsidR="00D96FBA" w:rsidRDefault="00D96FBA" w:rsidP="00D96FBA">
      <w:r>
        <w:t>Nevertheless, endpoints such as survival in patients with Type 1 SMA and hospitalisations will be compared with available natural history data also in the long term.</w:t>
      </w:r>
    </w:p>
    <w:p w14:paraId="0009A0DD" w14:textId="31462F7C" w:rsidR="00D96FBA" w:rsidRDefault="00D96FBA" w:rsidP="00D96FBA">
      <w:r>
        <w:t>Furthermore, adverse events and serious adverse event rates will be analysed over time to rule out any increased rates over long term exposure. In the event of unexpected rare events, the sponsor may rely on registries or insurance claim databases to contextualise the findings in addition to an evaluation of the causal association using an algorithm adapted from the Bradford Hill criteria.</w:t>
      </w:r>
      <w:r w:rsidR="009970EE">
        <w:rPr>
          <w:rStyle w:val="FootnoteReference"/>
        </w:rPr>
        <w:footnoteReference w:id="23"/>
      </w:r>
    </w:p>
    <w:p w14:paraId="0C6CED32" w14:textId="77777777" w:rsidR="009F3A5B" w:rsidRDefault="00D96FBA" w:rsidP="00D96FBA">
      <w:r>
        <w:t xml:space="preserve">Laboratory parameters including also haematological parameters will be analysed for trends over time over the </w:t>
      </w:r>
      <w:proofErr w:type="gramStart"/>
      <w:r>
        <w:t>five year</w:t>
      </w:r>
      <w:proofErr w:type="gramEnd"/>
      <w:r>
        <w:t xml:space="preserve"> treatment period.</w:t>
      </w:r>
    </w:p>
    <w:p w14:paraId="49D43F67"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4"/>
      </w:r>
    </w:p>
    <w:p w14:paraId="6E91284D" w14:textId="5CE48B25" w:rsidR="00744121" w:rsidRDefault="00744121" w:rsidP="00744121">
      <w:pPr>
        <w:rPr>
          <w:bCs/>
        </w:rPr>
      </w:pPr>
      <w:bookmarkStart w:id="58" w:name="_Toc247691532"/>
      <w:bookmarkStart w:id="59" w:name="_Toc314842516"/>
      <w:bookmarkEnd w:id="29"/>
      <w:bookmarkEnd w:id="55"/>
      <w:bookmarkEnd w:id="56"/>
      <w:r w:rsidRPr="00456765">
        <w:rPr>
          <w:bCs/>
        </w:rPr>
        <w:t>The Advis</w:t>
      </w:r>
      <w:r w:rsidR="004641D7">
        <w:rPr>
          <w:bCs/>
        </w:rPr>
        <w:t>ory Committee on Medicines</w:t>
      </w:r>
      <w:r w:rsidR="009970EE">
        <w:rPr>
          <w:bCs/>
        </w:rPr>
        <w:t xml:space="preserve"> (ACM)</w:t>
      </w:r>
      <w:r w:rsidRPr="00456765">
        <w:rPr>
          <w:bCs/>
        </w:rPr>
        <w:t>, having considered the evaluations and the Delegate’s overview, as well as the sponsor’s response to these documents, advised the following</w:t>
      </w:r>
      <w:r>
        <w:rPr>
          <w:bCs/>
        </w:rPr>
        <w:t>.</w:t>
      </w:r>
    </w:p>
    <w:p w14:paraId="51C41073" w14:textId="77777777" w:rsidR="00744121" w:rsidRDefault="00744121" w:rsidP="00744121">
      <w:pPr>
        <w:pStyle w:val="Heading5"/>
      </w:pPr>
      <w:r>
        <w:t>Specific advice to the Delegate</w:t>
      </w:r>
    </w:p>
    <w:p w14:paraId="527187B8" w14:textId="77777777" w:rsidR="006E5BD5" w:rsidRPr="006E5BD5" w:rsidRDefault="006E5BD5" w:rsidP="006E5BD5">
      <w:pPr>
        <w:pStyle w:val="Numberbullet0"/>
        <w:numPr>
          <w:ilvl w:val="0"/>
          <w:numId w:val="36"/>
        </w:numPr>
        <w:rPr>
          <w:b/>
          <w:i/>
        </w:rPr>
      </w:pPr>
      <w:r w:rsidRPr="006E5BD5">
        <w:rPr>
          <w:b/>
          <w:i/>
        </w:rPr>
        <w:t xml:space="preserve">Can the committee comment on the process for diagnosing 5q SMA in </w:t>
      </w:r>
      <w:proofErr w:type="gramStart"/>
      <w:r w:rsidRPr="006E5BD5">
        <w:rPr>
          <w:b/>
          <w:i/>
        </w:rPr>
        <w:t>Australia.</w:t>
      </w:r>
      <w:proofErr w:type="gramEnd"/>
      <w:r w:rsidRPr="006E5BD5">
        <w:rPr>
          <w:b/>
          <w:i/>
        </w:rPr>
        <w:t xml:space="preserve"> Do </w:t>
      </w:r>
      <w:proofErr w:type="gramStart"/>
      <w:r w:rsidRPr="006E5BD5">
        <w:rPr>
          <w:b/>
          <w:i/>
        </w:rPr>
        <w:t>the majority of</w:t>
      </w:r>
      <w:proofErr w:type="gramEnd"/>
      <w:r w:rsidRPr="006E5BD5">
        <w:rPr>
          <w:b/>
          <w:i/>
        </w:rPr>
        <w:t xml:space="preserve"> patients receive formal genetic testing/screening to confirm the diagnosis?</w:t>
      </w:r>
    </w:p>
    <w:p w14:paraId="687089D0" w14:textId="77777777" w:rsidR="006E5BD5" w:rsidRDefault="006E5BD5" w:rsidP="006E5BD5">
      <w:r>
        <w:t xml:space="preserve">The ACM advised that the standard pathway for diagnosing 5q SMA in Australia consists of clinical suspicion (for example, a child presenting with floppiness), followed by formal genetic testing for </w:t>
      </w:r>
      <w:r>
        <w:rPr>
          <w:i/>
          <w:iCs/>
        </w:rPr>
        <w:t xml:space="preserve">SMN1 </w:t>
      </w:r>
      <w:r>
        <w:t xml:space="preserve">deletion and then </w:t>
      </w:r>
      <w:r>
        <w:rPr>
          <w:i/>
          <w:iCs/>
        </w:rPr>
        <w:t xml:space="preserve">SMN2 </w:t>
      </w:r>
      <w:r>
        <w:t>copy number, followed by confirmation and then appropriate treatment. The ACM highlighted that within Australia, treatment should not occur without a confirmed diagnosis.</w:t>
      </w:r>
    </w:p>
    <w:p w14:paraId="4063E6F3" w14:textId="77777777" w:rsidR="006E5BD5" w:rsidRDefault="006E5BD5" w:rsidP="006E5BD5">
      <w:r>
        <w:t>The ACM advised that there is a push in Australia for an expansion of newborn screening to include 5q SMA.</w:t>
      </w:r>
    </w:p>
    <w:p w14:paraId="539FD1D1" w14:textId="77777777" w:rsidR="006E5BD5" w:rsidRDefault="006E5BD5" w:rsidP="006E5BD5">
      <w:pPr>
        <w:pStyle w:val="Numberbullet0"/>
        <w:rPr>
          <w:b/>
          <w:i/>
        </w:rPr>
      </w:pPr>
      <w:r w:rsidRPr="006E5BD5">
        <w:rPr>
          <w:b/>
          <w:i/>
        </w:rPr>
        <w:t>Can the committee comment on the proposed wording o</w:t>
      </w:r>
      <w:r>
        <w:rPr>
          <w:b/>
          <w:i/>
        </w:rPr>
        <w:t xml:space="preserve">f the indication, </w:t>
      </w:r>
      <w:proofErr w:type="gramStart"/>
      <w:r>
        <w:rPr>
          <w:b/>
          <w:i/>
        </w:rPr>
        <w:t>specifically:</w:t>
      </w:r>
      <w:proofErr w:type="gramEnd"/>
    </w:p>
    <w:p w14:paraId="35411B17" w14:textId="77777777" w:rsidR="006E5BD5" w:rsidRDefault="006E5BD5" w:rsidP="006E5BD5">
      <w:pPr>
        <w:pStyle w:val="Numberbullet2"/>
        <w:rPr>
          <w:b/>
          <w:i/>
        </w:rPr>
      </w:pPr>
      <w:r w:rsidRPr="006E5BD5">
        <w:rPr>
          <w:b/>
          <w:i/>
        </w:rPr>
        <w:t>whether an age limit of 2 months and older should be included in the indication</w:t>
      </w:r>
    </w:p>
    <w:p w14:paraId="1DB904DE" w14:textId="77777777" w:rsidR="006E5BD5" w:rsidRPr="006E5BD5" w:rsidRDefault="006E5BD5" w:rsidP="006E5BD5">
      <w:r>
        <w:t xml:space="preserve">The ACM advised that an age limit of 2 months and older should be included in the indication as no evidence has been provided in the clinical data set to support the use of </w:t>
      </w:r>
      <w:proofErr w:type="spellStart"/>
      <w:r>
        <w:t>risdiplam</w:t>
      </w:r>
      <w:proofErr w:type="spellEnd"/>
      <w:r>
        <w:t xml:space="preserve"> in patients less than 2 months of age.</w:t>
      </w:r>
    </w:p>
    <w:p w14:paraId="5DFC8560" w14:textId="25109411" w:rsidR="006E5BD5" w:rsidRDefault="006E5BD5" w:rsidP="006E5BD5">
      <w:pPr>
        <w:pStyle w:val="Numberbullet2"/>
        <w:rPr>
          <w:b/>
          <w:i/>
        </w:rPr>
      </w:pPr>
      <w:r w:rsidRPr="006E5BD5">
        <w:rPr>
          <w:b/>
          <w:i/>
        </w:rPr>
        <w:t>the inclusion of patie</w:t>
      </w:r>
      <w:r w:rsidR="003815AF">
        <w:rPr>
          <w:b/>
          <w:i/>
        </w:rPr>
        <w:t>nts with Type 0 and T</w:t>
      </w:r>
      <w:r>
        <w:rPr>
          <w:b/>
          <w:i/>
        </w:rPr>
        <w:t>ype IV SMA</w:t>
      </w:r>
    </w:p>
    <w:p w14:paraId="3B958DB7" w14:textId="56969320" w:rsidR="006E5BD5" w:rsidRDefault="006E5BD5" w:rsidP="006E5BD5">
      <w:r>
        <w:lastRenderedPageBreak/>
        <w:t xml:space="preserve">The ACM was </w:t>
      </w:r>
      <w:r w:rsidR="004641D7">
        <w:t>of the view that patients with T</w:t>
      </w:r>
      <w:r>
        <w:t xml:space="preserve">ype 0 SMA are unlikely to benefit from treatment due to the severity of disease, the early age of onset and the </w:t>
      </w:r>
      <w:r w:rsidR="004641D7">
        <w:t xml:space="preserve">low </w:t>
      </w:r>
      <w:r w:rsidR="004641D7" w:rsidRPr="00F72B7A">
        <w:rPr>
          <w:i/>
        </w:rPr>
        <w:t>SMN2</w:t>
      </w:r>
      <w:r w:rsidR="004641D7">
        <w:t xml:space="preserve"> copy number. However, T</w:t>
      </w:r>
      <w:r>
        <w:t>ype 0 SMA is very rare and the age limit of 2 months and older would exclude these patients</w:t>
      </w:r>
      <w:r w:rsidR="00D372DD">
        <w:t xml:space="preserve"> from treatment with </w:t>
      </w:r>
      <w:proofErr w:type="spellStart"/>
      <w:r w:rsidR="00D372DD">
        <w:t>risdiplam</w:t>
      </w:r>
      <w:proofErr w:type="spellEnd"/>
      <w:r w:rsidR="00D372DD">
        <w:t>.</w:t>
      </w:r>
    </w:p>
    <w:p w14:paraId="736A7726" w14:textId="503F7F66" w:rsidR="006E5BD5" w:rsidRPr="006E5BD5" w:rsidRDefault="006E5BD5" w:rsidP="006E5BD5">
      <w:r>
        <w:t>The ACM we</w:t>
      </w:r>
      <w:r w:rsidR="004641D7">
        <w:t>re supportive of patients with T</w:t>
      </w:r>
      <w:r>
        <w:t>ype IV SMA having access to this treatment option. While th</w:t>
      </w:r>
      <w:r w:rsidR="004641D7">
        <w:t>e ACM noted that patients with T</w:t>
      </w:r>
      <w:r>
        <w:t xml:space="preserve">ype IV SMA were not included within the clinical trials, they were of the view that it is likely this treatment would be efficacious within this population. </w:t>
      </w:r>
      <w:proofErr w:type="gramStart"/>
      <w:r>
        <w:t>Additionally</w:t>
      </w:r>
      <w:proofErr w:type="gramEnd"/>
      <w:r>
        <w:t xml:space="preserve"> the oral dose form is appropriate for this cohort and clini</w:t>
      </w:r>
      <w:r w:rsidR="004641D7">
        <w:t>cal practice suggests that the Type IIIc and T</w:t>
      </w:r>
      <w:r>
        <w:t xml:space="preserve">ype IV </w:t>
      </w:r>
      <w:r w:rsidR="00D372DD">
        <w:t>SMA symptom picture is similar.</w:t>
      </w:r>
    </w:p>
    <w:p w14:paraId="5669EC8E" w14:textId="77777777" w:rsidR="006E5BD5" w:rsidRPr="006E5BD5" w:rsidRDefault="006E5BD5" w:rsidP="006E5BD5">
      <w:pPr>
        <w:pStyle w:val="Numberbullet2"/>
        <w:rPr>
          <w:b/>
          <w:i/>
        </w:rPr>
      </w:pPr>
      <w:r w:rsidRPr="006E5BD5">
        <w:rPr>
          <w:b/>
          <w:i/>
        </w:rPr>
        <w:t xml:space="preserve">the inclusion of pre-symptomatic patients </w:t>
      </w:r>
    </w:p>
    <w:p w14:paraId="38A4F840" w14:textId="77777777" w:rsidR="006E5BD5" w:rsidRPr="006E5BD5" w:rsidRDefault="006E5BD5" w:rsidP="006E5BD5">
      <w:r w:rsidRPr="006E5BD5">
        <w:t xml:space="preserve">While the benefit of </w:t>
      </w:r>
      <w:proofErr w:type="spellStart"/>
      <w:r w:rsidRPr="006E5BD5">
        <w:t>risdiplam</w:t>
      </w:r>
      <w:proofErr w:type="spellEnd"/>
      <w:r w:rsidRPr="006E5BD5">
        <w:t xml:space="preserve"> treatment for pre-symptomatic individuals has not yet been established, the ACM was of the view that the results of Study BP39055 suggest there is benefit from early initiation of </w:t>
      </w:r>
      <w:proofErr w:type="spellStart"/>
      <w:r w:rsidRPr="006E5BD5">
        <w:t>risdiplam</w:t>
      </w:r>
      <w:proofErr w:type="spellEnd"/>
      <w:r w:rsidRPr="006E5BD5">
        <w:t xml:space="preserve"> treatment and that pre-symptomatic patients should not be excluded from the indication. In providing this advice, the ACM commented that other SMA treatments have shown increased efficacy with earlier treatment, particularly </w:t>
      </w:r>
      <w:r>
        <w:t>in pre-symptomatic individuals.</w:t>
      </w:r>
    </w:p>
    <w:p w14:paraId="2BD481F9" w14:textId="77777777" w:rsidR="006E5BD5" w:rsidRPr="006E5BD5" w:rsidRDefault="006E5BD5" w:rsidP="006E5BD5">
      <w:r w:rsidRPr="006E5BD5">
        <w:t>The ACM noted that the RAINBOWFISH trial (Study BN40703) is an ongoing study in pre-symptomatic S</w:t>
      </w:r>
      <w:r>
        <w:t>MA patients aged from birth to six</w:t>
      </w:r>
      <w:r w:rsidRPr="006E5BD5">
        <w:t xml:space="preserve"> weeks, however this study was not formally</w:t>
      </w:r>
      <w:r>
        <w:t xml:space="preserve"> evaluated in this application.</w:t>
      </w:r>
    </w:p>
    <w:p w14:paraId="128AF551" w14:textId="77777777" w:rsidR="006E5BD5" w:rsidRDefault="006E5BD5" w:rsidP="006E5BD5">
      <w:r w:rsidRPr="006E5BD5">
        <w:t>The ACM advised that there may be an increase in the number of pre-symptomatic patients in the future due to increasing rates of preconception and prenatal SMA genetic testing, and expressed support for the inclusion of 5q SMA screening within the newborn screening panel.</w:t>
      </w:r>
    </w:p>
    <w:p w14:paraId="77F1DF51" w14:textId="77777777" w:rsidR="00D372DD" w:rsidRPr="00D372DD" w:rsidRDefault="00D372DD" w:rsidP="00D372DD">
      <w:pPr>
        <w:pStyle w:val="Numberbullet0"/>
        <w:rPr>
          <w:b/>
          <w:i/>
        </w:rPr>
      </w:pPr>
      <w:r w:rsidRPr="00D372DD">
        <w:rPr>
          <w:b/>
          <w:i/>
        </w:rPr>
        <w:t xml:space="preserve">The Delegate proposes to limit to medical specialists with experience in the diagnosis and management of patients with SMA. Is this reasonable in the context of the likely use of </w:t>
      </w:r>
      <w:proofErr w:type="spellStart"/>
      <w:r w:rsidRPr="00D372DD">
        <w:rPr>
          <w:b/>
          <w:i/>
        </w:rPr>
        <w:t>risdiplam</w:t>
      </w:r>
      <w:proofErr w:type="spellEnd"/>
      <w:r w:rsidRPr="00D372DD">
        <w:rPr>
          <w:b/>
          <w:i/>
        </w:rPr>
        <w:t xml:space="preserve"> in clinical practice?</w:t>
      </w:r>
    </w:p>
    <w:p w14:paraId="15111DCA" w14:textId="77777777" w:rsidR="00D372DD" w:rsidRDefault="00D372DD" w:rsidP="00D372DD">
      <w:r>
        <w:t xml:space="preserve">The ACM advised that the current practice is that children with SMA are treated within specialised clinics, with care from a multidisciplinary team due to the complexity of managing this </w:t>
      </w:r>
      <w:proofErr w:type="gramStart"/>
      <w:r>
        <w:t>particular condition</w:t>
      </w:r>
      <w:proofErr w:type="gramEnd"/>
      <w:r>
        <w:t xml:space="preserve">. While the ACM acknowledged that this is an oral therapy, they expressed strong support for patients receiving </w:t>
      </w:r>
      <w:proofErr w:type="spellStart"/>
      <w:r>
        <w:t>risdiplam</w:t>
      </w:r>
      <w:proofErr w:type="spellEnd"/>
      <w:r>
        <w:t xml:space="preserve"> to have ongoing treatment under the supervision of an expert in SMA within a specialised clinic. This is especially important given the concerns detailed in Question 5, below, regarding the potential for dosing errors.</w:t>
      </w:r>
    </w:p>
    <w:p w14:paraId="4CB08F7F" w14:textId="77777777" w:rsidR="00D372DD" w:rsidRPr="00D372DD" w:rsidRDefault="00D372DD" w:rsidP="00D372DD">
      <w:pPr>
        <w:pStyle w:val="Numberbullet0"/>
        <w:rPr>
          <w:b/>
          <w:i/>
        </w:rPr>
      </w:pPr>
      <w:r w:rsidRPr="00D372DD">
        <w:rPr>
          <w:b/>
          <w:i/>
        </w:rPr>
        <w:t xml:space="preserve">The nonclinical evaluator has raised concerns about the toxicity of </w:t>
      </w:r>
      <w:proofErr w:type="spellStart"/>
      <w:r w:rsidRPr="00D372DD">
        <w:rPr>
          <w:b/>
          <w:i/>
        </w:rPr>
        <w:t>risdiplam</w:t>
      </w:r>
      <w:proofErr w:type="spellEnd"/>
      <w:r w:rsidRPr="00D372DD">
        <w:rPr>
          <w:b/>
          <w:i/>
        </w:rPr>
        <w:t xml:space="preserve"> in retina, skin, gastrointestinal tract, male reproductive </w:t>
      </w:r>
      <w:proofErr w:type="gramStart"/>
      <w:r w:rsidRPr="00D372DD">
        <w:rPr>
          <w:b/>
          <w:i/>
        </w:rPr>
        <w:t>system</w:t>
      </w:r>
      <w:proofErr w:type="gramEnd"/>
      <w:r w:rsidRPr="00D372DD">
        <w:rPr>
          <w:b/>
          <w:i/>
        </w:rPr>
        <w:t xml:space="preserve"> and bone marrow.</w:t>
      </w:r>
    </w:p>
    <w:p w14:paraId="2C7DCF0F" w14:textId="6F09D3CB" w:rsidR="00D372DD" w:rsidRPr="00D372DD" w:rsidRDefault="009970EE" w:rsidP="00D372DD">
      <w:pPr>
        <w:pStyle w:val="Numberbullet2"/>
        <w:rPr>
          <w:rFonts w:cstheme="minorBidi"/>
          <w:b/>
          <w:i/>
        </w:rPr>
      </w:pPr>
      <w:r>
        <w:rPr>
          <w:b/>
          <w:i/>
        </w:rPr>
        <w:t>r</w:t>
      </w:r>
      <w:r w:rsidR="00D372DD" w:rsidRPr="00D372DD">
        <w:rPr>
          <w:b/>
          <w:i/>
        </w:rPr>
        <w:t xml:space="preserve">etinal toxicity has been included as an important potential risk in the RMP. Does the committee consider this sufficient? Is a precautionary statement in </w:t>
      </w:r>
      <w:r w:rsidR="00D372DD" w:rsidRPr="00D372DD">
        <w:rPr>
          <w:rFonts w:cstheme="minorBidi"/>
          <w:b/>
          <w:i/>
        </w:rPr>
        <w:t xml:space="preserve">the </w:t>
      </w:r>
      <w:r>
        <w:rPr>
          <w:rFonts w:cstheme="minorBidi"/>
          <w:b/>
          <w:i/>
        </w:rPr>
        <w:t>Product Information</w:t>
      </w:r>
      <w:r w:rsidRPr="00D372DD">
        <w:rPr>
          <w:rFonts w:cstheme="minorBidi"/>
          <w:b/>
          <w:i/>
        </w:rPr>
        <w:t xml:space="preserve"> </w:t>
      </w:r>
      <w:r w:rsidR="00D372DD" w:rsidRPr="00D372DD">
        <w:rPr>
          <w:rFonts w:cstheme="minorBidi"/>
          <w:b/>
          <w:i/>
        </w:rPr>
        <w:t>warranted? If so, what advice should be provided to clinicians regarding monitoring?</w:t>
      </w:r>
    </w:p>
    <w:p w14:paraId="717D36B5" w14:textId="77777777" w:rsidR="00D372DD" w:rsidRDefault="00D372DD" w:rsidP="00D372DD">
      <w:r>
        <w:t>The ACM agreed that the potential for retinal toxicity is significant based on the toxicities observed in the nonclinical studies at doses near or marginally above the proposed clinical dose regime. They also noted that similar toxicities were observed in nonclinical studies with a related drug.</w:t>
      </w:r>
    </w:p>
    <w:p w14:paraId="6BA8A9CC" w14:textId="154BCA55" w:rsidR="00D372DD" w:rsidRDefault="00D372DD" w:rsidP="00D372DD">
      <w:r>
        <w:t>The ACM noted that there has been no evidence of retinal toxicity in the clinical studies to date, consisting of 474 patients with 200 of these followed up to 2 years. The ACM also discussed a recently published</w:t>
      </w:r>
      <w:r w:rsidR="006D0ED0">
        <w:t xml:space="preserve"> paper by </w:t>
      </w:r>
      <w:proofErr w:type="spellStart"/>
      <w:r w:rsidR="006D0ED0">
        <w:t>Sergott</w:t>
      </w:r>
      <w:proofErr w:type="spellEnd"/>
      <w:r w:rsidR="006D0ED0">
        <w:t xml:space="preserve"> et al. (2021)</w:t>
      </w:r>
      <w:r w:rsidR="009970EE">
        <w:t>;</w:t>
      </w:r>
      <w:r w:rsidR="006D0ED0">
        <w:rPr>
          <w:rStyle w:val="FootnoteReference"/>
        </w:rPr>
        <w:footnoteReference w:id="25"/>
      </w:r>
      <w:r>
        <w:t xml:space="preserve"> reporting ophthalmologic </w:t>
      </w:r>
      <w:r>
        <w:lastRenderedPageBreak/>
        <w:t xml:space="preserve">assessments of 245 patients treated with </w:t>
      </w:r>
      <w:proofErr w:type="spellStart"/>
      <w:r>
        <w:t>risdiplam</w:t>
      </w:r>
      <w:proofErr w:type="spellEnd"/>
      <w:r>
        <w:t>, which found no evidence of retinal toxicity in any of the patients.</w:t>
      </w:r>
    </w:p>
    <w:p w14:paraId="4086F49D" w14:textId="77777777" w:rsidR="00D372DD" w:rsidRDefault="00D372DD" w:rsidP="00D372DD">
      <w:r>
        <w:t xml:space="preserve">The ACM agreed that the clinical findings thus far are reassuring, however, they emphasised the importance of the sponsor providing ongoing studies evaluating the eyes of </w:t>
      </w:r>
      <w:proofErr w:type="spellStart"/>
      <w:r>
        <w:t>risdiplam</w:t>
      </w:r>
      <w:proofErr w:type="spellEnd"/>
      <w:r>
        <w:t xml:space="preserve">-treated patients in order to add to the understanding of the safety profile of </w:t>
      </w:r>
      <w:proofErr w:type="spellStart"/>
      <w:r>
        <w:t>risdiplam</w:t>
      </w:r>
      <w:proofErr w:type="spellEnd"/>
      <w:r>
        <w:t>, particularly to determine if there is a cumulative effect over time.</w:t>
      </w:r>
    </w:p>
    <w:p w14:paraId="14630E78" w14:textId="77777777" w:rsidR="00D372DD" w:rsidRDefault="00D372DD" w:rsidP="00D372DD">
      <w:r>
        <w:t>The ACM was of the view that the risks of retinal toxicity have been adequately addressed in the RMP and draft PI.</w:t>
      </w:r>
    </w:p>
    <w:p w14:paraId="372EC67E" w14:textId="670F0CCD" w:rsidR="00D372DD" w:rsidRDefault="00D372DD" w:rsidP="00D372DD">
      <w:pPr>
        <w:pStyle w:val="Numberbullet2"/>
        <w:rPr>
          <w:b/>
          <w:i/>
        </w:rPr>
      </w:pPr>
      <w:r w:rsidRPr="00D372DD">
        <w:rPr>
          <w:b/>
          <w:i/>
        </w:rPr>
        <w:t xml:space="preserve">The other potential off-target effects are described in Sections 4.6 and 5.3 of the </w:t>
      </w:r>
      <w:r w:rsidR="009970EE">
        <w:rPr>
          <w:b/>
          <w:i/>
        </w:rPr>
        <w:t>Product Information</w:t>
      </w:r>
      <w:r w:rsidRPr="00D372DD">
        <w:rPr>
          <w:b/>
          <w:i/>
        </w:rPr>
        <w:t>. Does the committee consider this sufficient?</w:t>
      </w:r>
    </w:p>
    <w:p w14:paraId="1881B2C2" w14:textId="0BCF25D5" w:rsidR="00D372DD" w:rsidRDefault="00D372DD" w:rsidP="00D372DD">
      <w:r w:rsidRPr="00D372DD">
        <w:t>The ACM advised that the warning relating to effects on epithelial tissue in Section 5.3 is appropriate and should provide for adequate risk management. The ACM also considered the warnings relating to potential effects on male fertility in Section 4.6 to be appropriate, as is the Pregnancy Category D classification based on the nonclinical findings. The ACM was of the view that the potential for cardiotoxicity or QT prolongation has been adequately addressed and is consistent with the US FDA approach. The warning of potential interaction with antacids is also considered to be appropriate.</w:t>
      </w:r>
    </w:p>
    <w:p w14:paraId="0679AC2E" w14:textId="476B10A1" w:rsidR="005070E9" w:rsidRPr="005070E9" w:rsidRDefault="005070E9" w:rsidP="005070E9">
      <w:pPr>
        <w:pStyle w:val="Numberbullet2"/>
        <w:rPr>
          <w:b/>
          <w:i/>
        </w:rPr>
      </w:pPr>
      <w:r w:rsidRPr="005070E9">
        <w:rPr>
          <w:b/>
          <w:i/>
        </w:rPr>
        <w:t xml:space="preserve">Should the sponsor be requested to do ongoing studies into these </w:t>
      </w:r>
      <w:r w:rsidR="009970EE">
        <w:rPr>
          <w:b/>
          <w:i/>
        </w:rPr>
        <w:t>adverse events</w:t>
      </w:r>
      <w:r w:rsidRPr="005070E9">
        <w:rPr>
          <w:b/>
          <w:i/>
        </w:rPr>
        <w:t>?</w:t>
      </w:r>
    </w:p>
    <w:p w14:paraId="67C90A36" w14:textId="77777777" w:rsidR="005070E9" w:rsidRDefault="005070E9" w:rsidP="005070E9">
      <w:r>
        <w:t xml:space="preserve">The ACM advised that the limited data available to date suggest the risks of these AEs should be manageable and will be better informed by longer-term follow-up of clinical trial patients. As such, the ACM agreed that the sponsor should be requested to submit to the TGA, the planned ongoing studies into these AEs in order to better understand the safety profile of </w:t>
      </w:r>
      <w:proofErr w:type="spellStart"/>
      <w:r>
        <w:t>risdiplam</w:t>
      </w:r>
      <w:proofErr w:type="spellEnd"/>
      <w:r>
        <w:t>, and particularly to identify any cumulative effects of the drug.</w:t>
      </w:r>
    </w:p>
    <w:p w14:paraId="24EB23B6" w14:textId="59B86856" w:rsidR="005070E9" w:rsidRDefault="005070E9" w:rsidP="005070E9">
      <w:r>
        <w:t>The ACM also highlighted that inclusion in an SMA registry should be an important aspect of post market surveillance.</w:t>
      </w:r>
    </w:p>
    <w:p w14:paraId="6AAC82B8" w14:textId="77777777" w:rsidR="005070E9" w:rsidRPr="00176C78" w:rsidRDefault="005070E9" w:rsidP="005070E9">
      <w:pPr>
        <w:pStyle w:val="Numberbullet0"/>
        <w:numPr>
          <w:ilvl w:val="0"/>
          <w:numId w:val="8"/>
        </w:numPr>
        <w:spacing w:before="180" w:after="180"/>
        <w:rPr>
          <w:b/>
          <w:i/>
        </w:rPr>
      </w:pPr>
      <w:r w:rsidRPr="00176C78">
        <w:rPr>
          <w:b/>
          <w:i/>
        </w:rPr>
        <w:t xml:space="preserve">The committee is also requested to provide advice on any other issues that it thinks may be relevant to a decision on </w:t>
      </w:r>
      <w:proofErr w:type="gramStart"/>
      <w:r w:rsidRPr="00176C78">
        <w:rPr>
          <w:b/>
          <w:i/>
        </w:rPr>
        <w:t>whether or not</w:t>
      </w:r>
      <w:proofErr w:type="gramEnd"/>
      <w:r w:rsidRPr="00176C78">
        <w:rPr>
          <w:b/>
          <w:i/>
        </w:rPr>
        <w:t xml:space="preserve"> to approve this application.</w:t>
      </w:r>
    </w:p>
    <w:p w14:paraId="128796B1" w14:textId="67288102" w:rsidR="005070E9" w:rsidRPr="006E5BD5" w:rsidRDefault="005070E9" w:rsidP="005070E9">
      <w:r w:rsidRPr="00176C78">
        <w:t xml:space="preserve">The ACM noted that medication error has been added to the RMP and discussed whether the dosing instructions in the draft PI are sufficient to help mitigate potential dosing errors. The ACM advised that the dosing instructions in the draft PI seem reasonable, </w:t>
      </w:r>
      <w:proofErr w:type="gramStart"/>
      <w:r w:rsidRPr="00176C78">
        <w:t>provided that</w:t>
      </w:r>
      <w:proofErr w:type="gramEnd"/>
      <w:r w:rsidRPr="00176C78">
        <w:t xml:space="preserve"> prescription of the drug is limited to medical specialists with experience in the diagnosis and management of patients with SMA.</w:t>
      </w:r>
    </w:p>
    <w:p w14:paraId="42B36DEE" w14:textId="77777777" w:rsidR="00744121" w:rsidRDefault="00744121" w:rsidP="00744121">
      <w:pPr>
        <w:pStyle w:val="Heading5"/>
      </w:pPr>
      <w:r>
        <w:t>Conclusion</w:t>
      </w:r>
    </w:p>
    <w:p w14:paraId="3EA0D302" w14:textId="77777777" w:rsidR="005070E9" w:rsidRDefault="005070E9" w:rsidP="005070E9">
      <w:r>
        <w:t>The ACM considered this product to have an overall positive benefit-risk profile for the indication:</w:t>
      </w:r>
    </w:p>
    <w:p w14:paraId="2E1B1516" w14:textId="7A462F52" w:rsidR="005070E9" w:rsidRPr="005070E9" w:rsidRDefault="005070E9" w:rsidP="005070E9">
      <w:pPr>
        <w:ind w:left="720"/>
        <w:rPr>
          <w:i/>
        </w:rPr>
      </w:pPr>
      <w:proofErr w:type="spellStart"/>
      <w:r w:rsidRPr="005070E9">
        <w:rPr>
          <w:i/>
        </w:rPr>
        <w:t>E</w:t>
      </w:r>
      <w:r>
        <w:rPr>
          <w:i/>
        </w:rPr>
        <w:t>vrysdi</w:t>
      </w:r>
      <w:proofErr w:type="spellEnd"/>
      <w:r w:rsidRPr="005070E9">
        <w:rPr>
          <w:i/>
        </w:rPr>
        <w:t xml:space="preserve"> is indicated for the treatment of 5q spinal muscular atrophy (SMA) in patients aged 2 months and older, excluding those with type 0 SMA.</w:t>
      </w:r>
    </w:p>
    <w:p w14:paraId="294D8F34" w14:textId="77777777" w:rsidR="008E7846" w:rsidRPr="002E238E" w:rsidRDefault="008E7846" w:rsidP="008E7846">
      <w:pPr>
        <w:pStyle w:val="Heading3"/>
      </w:pPr>
      <w:bookmarkStart w:id="60" w:name="_Toc82421584"/>
      <w:r>
        <w:t>Outcome</w:t>
      </w:r>
      <w:bookmarkEnd w:id="58"/>
      <w:bookmarkEnd w:id="59"/>
      <w:bookmarkEnd w:id="60"/>
    </w:p>
    <w:p w14:paraId="62D1FA1B" w14:textId="341F17A8" w:rsidR="007D53B6" w:rsidRDefault="00744121" w:rsidP="00744121">
      <w:bookmarkStart w:id="61" w:name="_Toc247691533"/>
      <w:bookmarkStart w:id="62" w:name="_Toc314842517"/>
      <w:r>
        <w:t xml:space="preserve">Based on a review of quality, </w:t>
      </w:r>
      <w:proofErr w:type="gramStart"/>
      <w:r>
        <w:t>safety</w:t>
      </w:r>
      <w:proofErr w:type="gramEnd"/>
      <w:r>
        <w:t xml:space="preserve"> and efficacy, the TGA approved the registration of </w:t>
      </w:r>
      <w:proofErr w:type="spellStart"/>
      <w:r w:rsidR="005070E9">
        <w:t>Evrysdi</w:t>
      </w:r>
      <w:proofErr w:type="spellEnd"/>
      <w:r w:rsidR="005070E9">
        <w:t xml:space="preserve"> (</w:t>
      </w:r>
      <w:proofErr w:type="spellStart"/>
      <w:r w:rsidR="005070E9" w:rsidRPr="005070E9">
        <w:t>risdiplam</w:t>
      </w:r>
      <w:proofErr w:type="spellEnd"/>
      <w:r w:rsidRPr="00250271">
        <w:t xml:space="preserve">) </w:t>
      </w:r>
      <w:r w:rsidR="005070E9">
        <w:t>0.75 mg/mL, powder for oral liquid, bottle</w:t>
      </w:r>
      <w:r>
        <w:t>, indicated f</w:t>
      </w:r>
      <w:r w:rsidR="005070E9">
        <w:t>or:</w:t>
      </w:r>
    </w:p>
    <w:p w14:paraId="7B23988D" w14:textId="1865D0E2" w:rsidR="00D23139" w:rsidRPr="005070E9" w:rsidRDefault="005070E9" w:rsidP="005070E9">
      <w:pPr>
        <w:ind w:left="720"/>
        <w:rPr>
          <w:i/>
        </w:rPr>
      </w:pPr>
      <w:proofErr w:type="spellStart"/>
      <w:r w:rsidRPr="005070E9">
        <w:rPr>
          <w:i/>
        </w:rPr>
        <w:t>Evrysdi</w:t>
      </w:r>
      <w:proofErr w:type="spellEnd"/>
      <w:r w:rsidRPr="005070E9">
        <w:rPr>
          <w:i/>
        </w:rPr>
        <w:t xml:space="preserve"> is indicated for the treatment of 5q spinal muscular atrophy (SMA) in patients aged 2 months and older</w:t>
      </w:r>
      <w:r>
        <w:rPr>
          <w:i/>
        </w:rPr>
        <w:t>.</w:t>
      </w:r>
    </w:p>
    <w:p w14:paraId="1FA0408D" w14:textId="3B29F6ED" w:rsidR="00D23139" w:rsidRDefault="00D23139" w:rsidP="00D23139">
      <w:pPr>
        <w:pStyle w:val="Heading4"/>
      </w:pPr>
      <w:r w:rsidRPr="00D23139">
        <w:lastRenderedPageBreak/>
        <w:t>Specific conditions of registration applying to these goods</w:t>
      </w:r>
    </w:p>
    <w:p w14:paraId="42CB7892" w14:textId="173C9139" w:rsidR="005070E9" w:rsidRDefault="005070E9" w:rsidP="000E7E05">
      <w:pPr>
        <w:pStyle w:val="ListBullet"/>
      </w:pPr>
      <w:proofErr w:type="spellStart"/>
      <w:r>
        <w:t>Evrysdi</w:t>
      </w:r>
      <w:proofErr w:type="spellEnd"/>
      <w:r>
        <w:t xml:space="preserve"> (</w:t>
      </w:r>
      <w:proofErr w:type="spellStart"/>
      <w:r>
        <w:t>risdiplam</w:t>
      </w:r>
      <w:proofErr w:type="spellEnd"/>
      <w:r>
        <w:t xml:space="preserve">) is to be included in the Black Triangle Scheme. The PI and CMI for </w:t>
      </w:r>
      <w:proofErr w:type="spellStart"/>
      <w:r>
        <w:t>Evrysdi</w:t>
      </w:r>
      <w:proofErr w:type="spellEnd"/>
      <w:r>
        <w:t xml:space="preserve"> must include the black triangle symbol and mandatory accompanying text for five years, which starts from the date that the sponsor notifies the TGA of supply of the product.</w:t>
      </w:r>
    </w:p>
    <w:p w14:paraId="185511C8" w14:textId="41C7B970" w:rsidR="000E7E05" w:rsidRDefault="005070E9" w:rsidP="000E7E05">
      <w:pPr>
        <w:pStyle w:val="ListBullet"/>
      </w:pPr>
      <w:r>
        <w:t xml:space="preserve">The </w:t>
      </w:r>
      <w:proofErr w:type="spellStart"/>
      <w:r w:rsidR="000841E9">
        <w:t>Evrysdi</w:t>
      </w:r>
      <w:proofErr w:type="spellEnd"/>
      <w:r>
        <w:t xml:space="preserve"> EU-</w:t>
      </w:r>
      <w:r w:rsidR="000841E9">
        <w:t>RMP</w:t>
      </w:r>
      <w:r>
        <w:t xml:space="preserve"> (version 1.0, dated 5 March 2021, </w:t>
      </w:r>
      <w:r w:rsidR="00085D2E">
        <w:t>DLP</w:t>
      </w:r>
      <w:r>
        <w:t xml:space="preserve"> 31 January 2</w:t>
      </w:r>
      <w:r w:rsidR="000841E9">
        <w:t xml:space="preserve">020), with </w:t>
      </w:r>
      <w:r w:rsidR="00085D2E">
        <w:t>ASA</w:t>
      </w:r>
      <w:r>
        <w:t xml:space="preserve"> (version 2.1, dated 27 May 2021), included with submission PM-2020-03580-1-3, and any subsequent revisions, as agreed with the TGA will be implemented in Australia.</w:t>
      </w:r>
    </w:p>
    <w:p w14:paraId="37F55146" w14:textId="77777777" w:rsidR="000E7E05" w:rsidRDefault="005070E9" w:rsidP="000E7E05">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5162BAC9" w14:textId="77777777" w:rsidR="000E7E05" w:rsidRDefault="005070E9" w:rsidP="000E7E05">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2F42D7F7" w14:textId="74D2AD46" w:rsidR="005070E9" w:rsidRDefault="005070E9" w:rsidP="000E7E05">
      <w:pPr>
        <w:pStyle w:val="ListBullet"/>
        <w:numPr>
          <w:ilvl w:val="0"/>
          <w:numId w:val="0"/>
        </w:numPr>
        <w:ind w:left="360"/>
      </w:pPr>
      <w:r>
        <w:t>The reports are to at least meet the requirements for PSURs as described in the European M</w:t>
      </w:r>
      <w:r w:rsidR="00085D2E">
        <w:t>edicines Agency’s Guideline on Good Pharmacovigilance P</w:t>
      </w:r>
      <w:r>
        <w:t>ractices (GVP) Module VII-periodic safety update report (Rev 1), Part VII.B Structures and processes. Note that submission of a PSUR does not constitute an application to vary the registration.</w:t>
      </w:r>
    </w:p>
    <w:p w14:paraId="1338FA2B" w14:textId="77777777" w:rsidR="005070E9" w:rsidRDefault="005070E9" w:rsidP="000E7E05">
      <w:pPr>
        <w:pStyle w:val="ListBullet"/>
      </w:pPr>
      <w:r>
        <w:t>Provide the final study reports for each of the following studies:</w:t>
      </w:r>
    </w:p>
    <w:p w14:paraId="0BE20B2E" w14:textId="61480482" w:rsidR="005070E9" w:rsidRDefault="005070E9" w:rsidP="000E7E05">
      <w:pPr>
        <w:pStyle w:val="ListBullet2"/>
      </w:pPr>
      <w:r>
        <w:t>BP39056</w:t>
      </w:r>
    </w:p>
    <w:p w14:paraId="79D3A917" w14:textId="1274E4A6" w:rsidR="005070E9" w:rsidRDefault="005070E9" w:rsidP="000E7E05">
      <w:pPr>
        <w:pStyle w:val="ListBullet2"/>
      </w:pPr>
      <w:r>
        <w:t>BP39055</w:t>
      </w:r>
    </w:p>
    <w:p w14:paraId="480ADF33" w14:textId="3B3C8A47" w:rsidR="005070E9" w:rsidRDefault="005070E9" w:rsidP="000E7E05">
      <w:pPr>
        <w:pStyle w:val="ListBullet2"/>
      </w:pPr>
      <w:r>
        <w:t>BP39054</w:t>
      </w:r>
    </w:p>
    <w:p w14:paraId="64218D81" w14:textId="4FA6F124" w:rsidR="005070E9" w:rsidRDefault="005070E9" w:rsidP="000E7E05">
      <w:pPr>
        <w:pStyle w:val="ListBullet2"/>
      </w:pPr>
      <w:r>
        <w:t>BP42066</w:t>
      </w:r>
    </w:p>
    <w:p w14:paraId="763E6FDE" w14:textId="421882DF" w:rsidR="005070E9" w:rsidRDefault="005070E9" w:rsidP="000E7E05">
      <w:pPr>
        <w:pStyle w:val="ListBullet2"/>
      </w:pPr>
      <w:r>
        <w:t>Integrated safety analysis</w:t>
      </w:r>
    </w:p>
    <w:p w14:paraId="770A3660" w14:textId="63AD8AD8" w:rsidR="005070E9" w:rsidRPr="005070E9" w:rsidRDefault="005070E9" w:rsidP="000E7E05">
      <w:pPr>
        <w:pStyle w:val="ListBullet2"/>
      </w:pPr>
      <w:r>
        <w:t>Thorough QT study</w:t>
      </w:r>
    </w:p>
    <w:p w14:paraId="62C4C8A0" w14:textId="77777777" w:rsidR="008E7846" w:rsidRDefault="00A80B5B" w:rsidP="00D23139">
      <w:pPr>
        <w:pStyle w:val="Heading2"/>
      </w:pPr>
      <w:bookmarkStart w:id="63" w:name="_Toc82421585"/>
      <w:r>
        <w:t xml:space="preserve">Attachment 1. </w:t>
      </w:r>
      <w:r w:rsidR="008E7846">
        <w:t xml:space="preserve">Product </w:t>
      </w:r>
      <w:r w:rsidR="00AA0ED0">
        <w:t>I</w:t>
      </w:r>
      <w:r w:rsidR="008E7846">
        <w:t>nformation</w:t>
      </w:r>
      <w:bookmarkEnd w:id="61"/>
      <w:bookmarkEnd w:id="62"/>
      <w:bookmarkEnd w:id="63"/>
    </w:p>
    <w:p w14:paraId="3251894D" w14:textId="1F07BFA4" w:rsidR="00C80137" w:rsidRDefault="006136D7" w:rsidP="00C80137">
      <w:pPr>
        <w:rPr>
          <w:color w:val="000000"/>
          <w:lang w:eastAsia="en-AU"/>
        </w:rPr>
      </w:pPr>
      <w:r w:rsidRPr="002B3624">
        <w:t xml:space="preserve">The </w:t>
      </w:r>
      <w:r>
        <w:t>PI</w:t>
      </w:r>
      <w:r w:rsidRPr="002B3624">
        <w:t xml:space="preserve"> for </w:t>
      </w:r>
      <w:proofErr w:type="spellStart"/>
      <w:r w:rsidR="000841E9">
        <w:t>Evrysdi</w:t>
      </w:r>
      <w:proofErr w:type="spellEnd"/>
      <w:r w:rsidR="000841E9">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24" w:history="1">
        <w:r w:rsidR="007C6B9B" w:rsidRPr="007C6B9B">
          <w:rPr>
            <w:rStyle w:val="Hyperlink"/>
          </w:rPr>
          <w:t>https://www.tga.gov.au/product-information-pi</w:t>
        </w:r>
      </w:hyperlink>
      <w:r w:rsidR="000841E9">
        <w:t>&gt;.</w:t>
      </w:r>
    </w:p>
    <w:p w14:paraId="3E565D39" w14:textId="4BC6872D" w:rsidR="00744121" w:rsidRDefault="008E7846" w:rsidP="00907438">
      <w:pPr>
        <w:autoSpaceDE w:val="0"/>
        <w:autoSpaceDN w:val="0"/>
        <w:adjustRightInd w:val="0"/>
        <w:spacing w:after="0"/>
        <w:rPr>
          <w:lang w:eastAsia="ja-JP"/>
        </w:rPr>
      </w:pPr>
      <w:r w:rsidRPr="00C80137">
        <w:rPr>
          <w:b/>
        </w:rPr>
        <w:br w:type="page"/>
      </w:r>
    </w:p>
    <w:p w14:paraId="124330B2" w14:textId="77777777" w:rsidR="00C80137" w:rsidRPr="001D043B" w:rsidRDefault="00C80137" w:rsidP="003A7F6C">
      <w:pPr>
        <w:pStyle w:val="TableTitle"/>
        <w:sectPr w:rsidR="00C80137" w:rsidRPr="001D043B" w:rsidSect="00B452CE">
          <w:headerReference w:type="even" r:id="rId25"/>
          <w:head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4350B35" w14:textId="77777777" w:rsidTr="00A05FA4">
        <w:trPr>
          <w:trHeight w:hRule="exact" w:val="704"/>
        </w:trPr>
        <w:tc>
          <w:tcPr>
            <w:tcW w:w="9175" w:type="dxa"/>
          </w:tcPr>
          <w:p w14:paraId="36AFE01A" w14:textId="77777777" w:rsidR="001C32CD" w:rsidRPr="00487162" w:rsidRDefault="001C32CD" w:rsidP="00A05FA4">
            <w:pPr>
              <w:pStyle w:val="TGASignoff"/>
            </w:pPr>
            <w:r w:rsidRPr="00487162">
              <w:lastRenderedPageBreak/>
              <w:t>Therapeutic Goods Administration</w:t>
            </w:r>
          </w:p>
        </w:tc>
      </w:tr>
      <w:tr w:rsidR="001C32CD" w:rsidRPr="004C239D" w14:paraId="7487C167" w14:textId="77777777" w:rsidTr="00A05FA4">
        <w:trPr>
          <w:trHeight w:val="1221"/>
        </w:trPr>
        <w:tc>
          <w:tcPr>
            <w:tcW w:w="9175" w:type="dxa"/>
            <w:tcMar>
              <w:top w:w="28" w:type="dxa"/>
            </w:tcMar>
          </w:tcPr>
          <w:p w14:paraId="51FBA7DA" w14:textId="77777777" w:rsidR="001C32CD" w:rsidRPr="00487162" w:rsidRDefault="001C32CD" w:rsidP="00A05FA4">
            <w:pPr>
              <w:pStyle w:val="Address"/>
            </w:pPr>
            <w:r w:rsidRPr="00487162">
              <w:t>PO Box 100 Woden ACT 2606 Australia</w:t>
            </w:r>
          </w:p>
          <w:p w14:paraId="3E63277E" w14:textId="074FBD2A" w:rsidR="001C32CD" w:rsidRPr="00487162" w:rsidRDefault="001C32CD" w:rsidP="00A05FA4">
            <w:pPr>
              <w:pStyle w:val="Address"/>
            </w:pPr>
            <w:r w:rsidRPr="00487162">
              <w:t xml:space="preserve">Email: </w:t>
            </w:r>
            <w:hyperlink r:id="rId29"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7CEEE9AE" w14:textId="1918ABC8" w:rsidR="001C32CD" w:rsidRPr="004C239D" w:rsidRDefault="00C27826" w:rsidP="00A05FA4">
            <w:pPr>
              <w:pStyle w:val="Address"/>
              <w:spacing w:line="260" w:lineRule="atLeast"/>
              <w:rPr>
                <w:b/>
                <w:color w:val="0000FF"/>
                <w:u w:val="single"/>
              </w:rPr>
            </w:pPr>
            <w:hyperlink r:id="rId30" w:history="1">
              <w:r w:rsidR="007C6B9B" w:rsidRPr="007C6B9B">
                <w:rPr>
                  <w:rStyle w:val="Hyperlink"/>
                  <w:b/>
                </w:rPr>
                <w:t>https://www.tga.gov.au</w:t>
              </w:r>
            </w:hyperlink>
          </w:p>
        </w:tc>
      </w:tr>
    </w:tbl>
    <w:p w14:paraId="17137CBD"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2C495" w14:textId="77777777" w:rsidR="00C27826" w:rsidRDefault="00C27826" w:rsidP="00C40A36">
      <w:pPr>
        <w:spacing w:after="0"/>
      </w:pPr>
      <w:r>
        <w:separator/>
      </w:r>
    </w:p>
  </w:endnote>
  <w:endnote w:type="continuationSeparator" w:id="0">
    <w:p w14:paraId="5DCD8130" w14:textId="77777777" w:rsidR="00C27826" w:rsidRDefault="00C2782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EBE03" w14:textId="77777777" w:rsidR="00C27826" w:rsidRDefault="00C2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27826" w:rsidRPr="00487162" w14:paraId="06C671CC" w14:textId="77777777" w:rsidTr="00DB750B">
      <w:trPr>
        <w:trHeight w:val="269"/>
      </w:trPr>
      <w:tc>
        <w:tcPr>
          <w:tcW w:w="7371" w:type="dxa"/>
          <w:tcMar>
            <w:top w:w="142" w:type="dxa"/>
            <w:bottom w:w="0" w:type="dxa"/>
          </w:tcMar>
        </w:tcPr>
        <w:p w14:paraId="52827DA9" w14:textId="442727A5" w:rsidR="00C27826" w:rsidRPr="00487162" w:rsidRDefault="00C27826" w:rsidP="0008473C">
          <w:pPr>
            <w:pStyle w:val="Footer"/>
          </w:pPr>
          <w:proofErr w:type="spellStart"/>
          <w:r w:rsidRPr="00487162">
            <w:t>AusPA</w:t>
          </w:r>
          <w:r>
            <w:t>R</w:t>
          </w:r>
          <w:proofErr w:type="spellEnd"/>
          <w:r>
            <w:t xml:space="preserve"> – </w:t>
          </w:r>
          <w:proofErr w:type="spellStart"/>
          <w:r w:rsidRPr="006832A1">
            <w:t>E</w:t>
          </w:r>
          <w:r>
            <w:t>vrysdi</w:t>
          </w:r>
          <w:proofErr w:type="spellEnd"/>
          <w:r w:rsidRPr="006832A1">
            <w:t xml:space="preserve"> - </w:t>
          </w:r>
          <w:proofErr w:type="spellStart"/>
          <w:r w:rsidRPr="006832A1">
            <w:t>risdiplam</w:t>
          </w:r>
          <w:proofErr w:type="spellEnd"/>
          <w:r w:rsidRPr="006832A1">
            <w:t xml:space="preserve"> - Roche Products Pty Ltd - PM-2020-03580-1-3</w:t>
          </w:r>
          <w:r>
            <w:br/>
            <w:t>FINAL 6 August 2021</w:t>
          </w:r>
        </w:p>
      </w:tc>
      <w:tc>
        <w:tcPr>
          <w:tcW w:w="1490" w:type="dxa"/>
          <w:tcMar>
            <w:top w:w="142" w:type="dxa"/>
            <w:bottom w:w="0" w:type="dxa"/>
          </w:tcMar>
        </w:tcPr>
        <w:p w14:paraId="731BA644" w14:textId="76808E3A" w:rsidR="00C27826" w:rsidRPr="00487162" w:rsidRDefault="00C27826" w:rsidP="00B43D7D">
          <w:pPr>
            <w:pStyle w:val="Footer"/>
            <w:jc w:val="right"/>
          </w:pPr>
          <w:r w:rsidRPr="00487162">
            <w:t xml:space="preserve">Page </w:t>
          </w:r>
          <w:r>
            <w:fldChar w:fldCharType="begin"/>
          </w:r>
          <w:r>
            <w:instrText xml:space="preserve"> PAGE  \* Arabic </w:instrText>
          </w:r>
          <w:r>
            <w:fldChar w:fldCharType="separate"/>
          </w:r>
          <w:r>
            <w:rPr>
              <w:noProof/>
            </w:rPr>
            <w:t>22</w:t>
          </w:r>
          <w:r>
            <w:fldChar w:fldCharType="end"/>
          </w:r>
          <w:r w:rsidRPr="00487162">
            <w:t xml:space="preserve"> of </w:t>
          </w:r>
          <w:r>
            <w:fldChar w:fldCharType="begin"/>
          </w:r>
          <w:r>
            <w:instrText xml:space="preserve"> NUMPAGES  \* Arabic </w:instrText>
          </w:r>
          <w:r>
            <w:fldChar w:fldCharType="separate"/>
          </w:r>
          <w:r>
            <w:rPr>
              <w:noProof/>
            </w:rPr>
            <w:t>37</w:t>
          </w:r>
          <w:r>
            <w:rPr>
              <w:noProof/>
            </w:rPr>
            <w:fldChar w:fldCharType="end"/>
          </w:r>
        </w:p>
      </w:tc>
    </w:tr>
  </w:tbl>
  <w:p w14:paraId="06085297" w14:textId="77777777" w:rsidR="00C27826" w:rsidRDefault="00C27826"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EC11" w14:textId="77777777" w:rsidR="00C27826" w:rsidRDefault="00C27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27826" w:rsidRPr="00487162" w14:paraId="0915E99E" w14:textId="77777777" w:rsidTr="00E45619">
      <w:trPr>
        <w:trHeight w:val="269"/>
      </w:trPr>
      <w:tc>
        <w:tcPr>
          <w:tcW w:w="4519" w:type="dxa"/>
          <w:tcBorders>
            <w:top w:val="single" w:sz="4" w:space="0" w:color="auto"/>
          </w:tcBorders>
          <w:tcMar>
            <w:top w:w="142" w:type="dxa"/>
            <w:bottom w:w="0" w:type="dxa"/>
          </w:tcMar>
        </w:tcPr>
        <w:p w14:paraId="27F2851B" w14:textId="77777777" w:rsidR="00C27826" w:rsidRPr="00487162" w:rsidRDefault="00C27826" w:rsidP="00FE1DEE">
          <w:pPr>
            <w:pStyle w:val="Footer"/>
          </w:pPr>
          <w:r w:rsidRPr="00487162">
            <w:t>Document title, Part #, Section # - Section title</w:t>
          </w:r>
        </w:p>
        <w:p w14:paraId="1DE93500" w14:textId="77777777" w:rsidR="00C27826" w:rsidRPr="00487162" w:rsidRDefault="00C27826" w:rsidP="00FE1DEE">
          <w:pPr>
            <w:pStyle w:val="Footer"/>
          </w:pPr>
          <w:r w:rsidRPr="00487162">
            <w:t>V1.0 October 2010</w:t>
          </w:r>
        </w:p>
      </w:tc>
      <w:tc>
        <w:tcPr>
          <w:tcW w:w="4342" w:type="dxa"/>
          <w:tcBorders>
            <w:top w:val="single" w:sz="4" w:space="0" w:color="auto"/>
          </w:tcBorders>
          <w:tcMar>
            <w:top w:w="142" w:type="dxa"/>
            <w:bottom w:w="0" w:type="dxa"/>
          </w:tcMar>
        </w:tcPr>
        <w:p w14:paraId="16A312D3" w14:textId="77777777" w:rsidR="00C27826" w:rsidRPr="00487162" w:rsidRDefault="00C2782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2</w:t>
          </w:r>
          <w:r>
            <w:rPr>
              <w:noProof/>
            </w:rPr>
            <w:fldChar w:fldCharType="end"/>
          </w:r>
        </w:p>
      </w:tc>
    </w:tr>
  </w:tbl>
  <w:p w14:paraId="28B01862" w14:textId="77777777" w:rsidR="00C27826" w:rsidRDefault="00C278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F0145" w14:textId="77777777" w:rsidR="00C27826" w:rsidRPr="001C32CD" w:rsidRDefault="00C27826"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27826" w14:paraId="0A9F0CF7" w14:textId="77777777" w:rsidTr="0010601F">
      <w:trPr>
        <w:trHeight w:val="108"/>
      </w:trPr>
      <w:tc>
        <w:tcPr>
          <w:tcW w:w="8875" w:type="dxa"/>
          <w:gridSpan w:val="2"/>
          <w:tcBorders>
            <w:bottom w:val="single" w:sz="4" w:space="0" w:color="auto"/>
          </w:tcBorders>
          <w:tcMar>
            <w:right w:w="284" w:type="dxa"/>
          </w:tcMar>
        </w:tcPr>
        <w:p w14:paraId="63D0D24B" w14:textId="77777777" w:rsidR="00C27826" w:rsidRDefault="00C27826" w:rsidP="006E08B3">
          <w:pPr>
            <w:pStyle w:val="Heading3"/>
          </w:pPr>
          <w:r>
            <w:t>Copyright</w:t>
          </w:r>
        </w:p>
        <w:p w14:paraId="5D206894" w14:textId="77777777" w:rsidR="00C27826" w:rsidRDefault="00C27826" w:rsidP="006E08B3">
          <w:r>
            <w:rPr>
              <w:rFonts w:cs="Arial"/>
            </w:rPr>
            <w:t>©</w:t>
          </w:r>
          <w:r>
            <w:t xml:space="preserve"> Commonwealth of Australia [add year]</w:t>
          </w:r>
        </w:p>
        <w:p w14:paraId="3F58DC1E" w14:textId="77777777" w:rsidR="00C27826" w:rsidRDefault="00C27826" w:rsidP="006E08B3"/>
        <w:p w14:paraId="4F014962" w14:textId="77777777" w:rsidR="00C27826" w:rsidRDefault="00C2782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7F69104F" w14:textId="77777777" w:rsidR="00C27826" w:rsidRDefault="00C27826" w:rsidP="006E08B3"/>
        <w:p w14:paraId="7CA3B37C" w14:textId="77777777" w:rsidR="00C27826" w:rsidRDefault="00C27826" w:rsidP="006E08B3">
          <w:pPr>
            <w:pStyle w:val="Heading3"/>
          </w:pPr>
          <w:r>
            <w:t>Confidentiality</w:t>
          </w:r>
        </w:p>
        <w:p w14:paraId="2F29A7F0" w14:textId="77777777" w:rsidR="00C27826" w:rsidRDefault="00C2782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C1C80D2" w14:textId="77777777" w:rsidR="00C27826" w:rsidRDefault="00C27826" w:rsidP="006E08B3"/>
        <w:p w14:paraId="1C86E1F1" w14:textId="77777777" w:rsidR="00C27826" w:rsidRDefault="00C27826" w:rsidP="006E08B3">
          <w:r>
            <w:t>For submission made by individuals, all personal details, other than your name, will be removed from your submission before it is published on the TGA’s Internet site.</w:t>
          </w:r>
        </w:p>
        <w:p w14:paraId="7D969285" w14:textId="77777777" w:rsidR="00C27826" w:rsidRDefault="00C27826" w:rsidP="006E08B3"/>
        <w:p w14:paraId="147FEC75" w14:textId="77777777" w:rsidR="00C27826" w:rsidRDefault="00C2782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27826" w14:paraId="06AE4EF0" w14:textId="77777777" w:rsidTr="0010601F">
      <w:trPr>
        <w:trHeight w:val="417"/>
      </w:trPr>
      <w:tc>
        <w:tcPr>
          <w:tcW w:w="4519" w:type="dxa"/>
          <w:tcBorders>
            <w:top w:val="single" w:sz="4" w:space="0" w:color="auto"/>
          </w:tcBorders>
          <w:tcMar>
            <w:top w:w="142" w:type="dxa"/>
            <w:bottom w:w="0" w:type="dxa"/>
          </w:tcMar>
        </w:tcPr>
        <w:p w14:paraId="12C105A6" w14:textId="77777777" w:rsidR="00C27826" w:rsidRDefault="00C27826" w:rsidP="006E08B3">
          <w:r>
            <w:t>Document title, Part #, Section # - Section title</w:t>
          </w:r>
        </w:p>
        <w:p w14:paraId="12026156" w14:textId="77777777" w:rsidR="00C27826" w:rsidRDefault="00C27826" w:rsidP="006E08B3">
          <w:r>
            <w:t>V1.0 October 2010</w:t>
          </w:r>
        </w:p>
      </w:tc>
      <w:tc>
        <w:tcPr>
          <w:tcW w:w="4356" w:type="dxa"/>
          <w:tcBorders>
            <w:top w:val="single" w:sz="4" w:space="0" w:color="auto"/>
          </w:tcBorders>
          <w:tcMar>
            <w:top w:w="142" w:type="dxa"/>
            <w:bottom w:w="0" w:type="dxa"/>
          </w:tcMar>
        </w:tcPr>
        <w:p w14:paraId="005CE448" w14:textId="77777777" w:rsidR="00C27826" w:rsidRDefault="00C2782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2</w:t>
          </w:r>
          <w:r>
            <w:rPr>
              <w:noProof/>
            </w:rPr>
            <w:fldChar w:fldCharType="end"/>
          </w:r>
          <w:r>
            <w:t xml:space="preserve">  </w:t>
          </w:r>
        </w:p>
      </w:tc>
    </w:tr>
  </w:tbl>
  <w:p w14:paraId="68170A2E" w14:textId="77777777" w:rsidR="00C27826" w:rsidRDefault="00C27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1060D" w14:textId="77777777" w:rsidR="00C27826" w:rsidRDefault="00C27826" w:rsidP="00C40A36">
      <w:pPr>
        <w:spacing w:after="0"/>
      </w:pPr>
      <w:r>
        <w:separator/>
      </w:r>
    </w:p>
  </w:footnote>
  <w:footnote w:type="continuationSeparator" w:id="0">
    <w:p w14:paraId="46DF4993" w14:textId="77777777" w:rsidR="00C27826" w:rsidRDefault="00C27826" w:rsidP="00C40A36">
      <w:pPr>
        <w:spacing w:after="0"/>
      </w:pPr>
      <w:r>
        <w:continuationSeparator/>
      </w:r>
    </w:p>
  </w:footnote>
  <w:footnote w:id="1">
    <w:p w14:paraId="4DFC695B" w14:textId="77777777" w:rsidR="00C27826" w:rsidRDefault="00C27826">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06D63BFE" w14:textId="63AC3842" w:rsidR="00C27826" w:rsidRPr="00455260" w:rsidRDefault="00C27826">
      <w:pPr>
        <w:pStyle w:val="FootnoteText"/>
        <w:rPr>
          <w:lang w:val="en-US"/>
        </w:rPr>
      </w:pPr>
      <w:r>
        <w:rPr>
          <w:rStyle w:val="FootnoteReference"/>
        </w:rPr>
        <w:footnoteRef/>
      </w:r>
      <w:r>
        <w:t xml:space="preserve"> </w:t>
      </w:r>
      <w:r w:rsidRPr="00354CDC">
        <w:t>Autosomal recessive proximal spinal muscu</w:t>
      </w:r>
      <w:r>
        <w:t xml:space="preserve">lar atrophy, responsible for 90 to </w:t>
      </w:r>
      <w:r w:rsidRPr="00354CDC">
        <w:t xml:space="preserve">95% of cases </w:t>
      </w:r>
      <w:r>
        <w:t xml:space="preserve">is </w:t>
      </w:r>
      <w:r w:rsidRPr="00354CDC">
        <w:t xml:space="preserve">usually </w:t>
      </w:r>
      <w:r>
        <w:t xml:space="preserve">referred to </w:t>
      </w:r>
      <w:r w:rsidRPr="00354CDC">
        <w:t xml:space="preserve">simply </w:t>
      </w:r>
      <w:r>
        <w:t xml:space="preserve">as spinal muscular atrophy (SMA), </w:t>
      </w:r>
      <w:r w:rsidRPr="00354CDC">
        <w:t xml:space="preserve">associated with a genetic mutation on the </w:t>
      </w:r>
      <w:r w:rsidRPr="00455260">
        <w:rPr>
          <w:i/>
        </w:rPr>
        <w:t>SMN1</w:t>
      </w:r>
      <w:r w:rsidRPr="00354CDC">
        <w:t xml:space="preserve"> gene</w:t>
      </w:r>
      <w:r>
        <w:t xml:space="preserve"> on chromosome 5q (locus 5q13). The h</w:t>
      </w:r>
      <w:r w:rsidRPr="00481490">
        <w:t>uman c</w:t>
      </w:r>
      <w:r>
        <w:t xml:space="preserve">hromosome 5 contains two near </w:t>
      </w:r>
      <w:r w:rsidRPr="00481490">
        <w:t xml:space="preserve">identical genes at location 5q13: a telomeric copy </w:t>
      </w:r>
      <w:r w:rsidRPr="00455260">
        <w:rPr>
          <w:i/>
        </w:rPr>
        <w:t xml:space="preserve">SMN1 </w:t>
      </w:r>
      <w:r w:rsidRPr="00481490">
        <w:t xml:space="preserve">and a centromeric copy </w:t>
      </w:r>
      <w:r w:rsidRPr="00455260">
        <w:rPr>
          <w:i/>
        </w:rPr>
        <w:t>SMN2</w:t>
      </w:r>
      <w:r w:rsidRPr="00481490">
        <w:t xml:space="preserve">. In healthy individuals, the </w:t>
      </w:r>
      <w:r w:rsidRPr="00455260">
        <w:rPr>
          <w:i/>
        </w:rPr>
        <w:t xml:space="preserve">SMN1 </w:t>
      </w:r>
      <w:r w:rsidRPr="00481490">
        <w:t xml:space="preserve">gene codes the survival of motor neuron protein (SMN) which, plays a crucial role in survival of motor neurons. The </w:t>
      </w:r>
      <w:r w:rsidRPr="00455260">
        <w:rPr>
          <w:i/>
        </w:rPr>
        <w:t>SMN2</w:t>
      </w:r>
      <w:r w:rsidRPr="00481490">
        <w:t xml:space="preserve"> gene, due to a variation in </w:t>
      </w:r>
      <w:r>
        <w:t xml:space="preserve">a single nucleotide (840.C→T) </w:t>
      </w:r>
      <w:r w:rsidRPr="00481490">
        <w:t>undergoes alternative splicing at the junction of i</w:t>
      </w:r>
      <w:r>
        <w:t xml:space="preserve">ntron 6 to exon 8, with only 10 to </w:t>
      </w:r>
      <w:r w:rsidRPr="00481490">
        <w:t xml:space="preserve">20% of </w:t>
      </w:r>
      <w:r w:rsidRPr="00455260">
        <w:rPr>
          <w:i/>
        </w:rPr>
        <w:t>SMN2</w:t>
      </w:r>
      <w:r w:rsidRPr="00481490">
        <w:t xml:space="preserve"> transcripts coding a fully functional survival of motor</w:t>
      </w:r>
      <w:r>
        <w:t xml:space="preserve"> neuron protein (SMN-</w:t>
      </w:r>
      <w:proofErr w:type="spellStart"/>
      <w:r>
        <w:t>fl</w:t>
      </w:r>
      <w:proofErr w:type="spellEnd"/>
      <w:r>
        <w:t xml:space="preserve">) and 80 to </w:t>
      </w:r>
      <w:r w:rsidRPr="00481490">
        <w:t>90% of transcripts resulting in a truncated protein compound (SMNΔ7) which is rapidly degraded in the cell.</w:t>
      </w:r>
      <w:r>
        <w:br/>
      </w:r>
      <w:r>
        <w:rPr>
          <w:lang w:val="en-US"/>
        </w:rPr>
        <w:t xml:space="preserve">The </w:t>
      </w:r>
      <w:proofErr w:type="spellStart"/>
      <w:r>
        <w:rPr>
          <w:lang w:val="en-US"/>
        </w:rPr>
        <w:t>l</w:t>
      </w:r>
      <w:r w:rsidRPr="00354CDC">
        <w:rPr>
          <w:lang w:val="en-US"/>
        </w:rPr>
        <w:t>ocali</w:t>
      </w:r>
      <w:r>
        <w:rPr>
          <w:lang w:val="en-US"/>
        </w:rPr>
        <w:t>sed</w:t>
      </w:r>
      <w:proofErr w:type="spellEnd"/>
      <w:r>
        <w:rPr>
          <w:lang w:val="en-US"/>
        </w:rPr>
        <w:t xml:space="preserve"> spinal muscular atrophies (5 to 10% of cases) are </w:t>
      </w:r>
      <w:r w:rsidRPr="00354CDC">
        <w:rPr>
          <w:lang w:val="en-US"/>
        </w:rPr>
        <w:t xml:space="preserve">much more rare conditions, in some instances described in but a few patients in the world, which are associated with mutations of genes other than </w:t>
      </w:r>
      <w:r w:rsidRPr="00455260">
        <w:rPr>
          <w:i/>
          <w:lang w:val="en-US"/>
        </w:rPr>
        <w:t>SMN1</w:t>
      </w:r>
      <w:r w:rsidRPr="00354CDC">
        <w:rPr>
          <w:lang w:val="en-US"/>
        </w:rPr>
        <w:t xml:space="preserve"> and for this reason sometimes termed simply </w:t>
      </w:r>
      <w:r w:rsidRPr="00455260">
        <w:rPr>
          <w:i/>
          <w:lang w:val="en-US"/>
        </w:rPr>
        <w:t>non-5q spinal muscular atrophies</w:t>
      </w:r>
      <w:r w:rsidRPr="00354CDC">
        <w:rPr>
          <w:lang w:val="en-US"/>
        </w:rPr>
        <w:t>.</w:t>
      </w:r>
    </w:p>
  </w:footnote>
  <w:footnote w:id="3">
    <w:p w14:paraId="3E59E2F0" w14:textId="0FDA5DCD" w:rsidR="00C27826" w:rsidRDefault="00C27826" w:rsidP="00900BD1">
      <w:pPr>
        <w:pStyle w:val="FootnoteText"/>
      </w:pPr>
      <w:r>
        <w:rPr>
          <w:rStyle w:val="FootnoteReference"/>
        </w:rPr>
        <w:footnoteRef/>
      </w:r>
      <w:r>
        <w:t xml:space="preserve"> Classically, the types of SMA are characterised as follows:</w:t>
      </w:r>
      <w:r>
        <w:br/>
      </w:r>
      <w:r w:rsidRPr="00455260">
        <w:rPr>
          <w:b/>
        </w:rPr>
        <w:t xml:space="preserve">SMA Type 0 </w:t>
      </w:r>
      <w:r>
        <w:t xml:space="preserve">is the most severe form, characterised by decreased </w:t>
      </w:r>
      <w:proofErr w:type="spellStart"/>
      <w:r>
        <w:t>fetal</w:t>
      </w:r>
      <w:proofErr w:type="spellEnd"/>
      <w:r>
        <w:t xml:space="preserve"> movement, joint abnormalities, difficulty swallowing and respiratory failure.</w:t>
      </w:r>
    </w:p>
    <w:p w14:paraId="2B75639C" w14:textId="5B8B155F" w:rsidR="00C27826" w:rsidRDefault="00C27826" w:rsidP="00900BD1">
      <w:pPr>
        <w:pStyle w:val="FootnoteText"/>
      </w:pPr>
      <w:r w:rsidRPr="00455260">
        <w:rPr>
          <w:b/>
        </w:rPr>
        <w:t>SMA Type 1</w:t>
      </w:r>
      <w:r>
        <w:t xml:space="preserve"> is the most common type and is also a severe form. Infants with SMA Type 1 experience severe weakness before 6 months of age and never sit independently. Muscle weakness, lack of motor development and poor muscle tone are major clinical manifestations of SMA type 1. Infants with the gravest prognosis have problems sucking or swallowing. Abdominal breathing may be present in the first few months of life. Muscle weakness occurs on both sides of the body and the ocular muscles are not affected. Twitching of the tongue is often seen. Intelligence is normal. Most affected children die before two years of </w:t>
      </w:r>
      <w:proofErr w:type="gramStart"/>
      <w:r>
        <w:t>age</w:t>
      </w:r>
      <w:proofErr w:type="gramEnd"/>
      <w:r>
        <w:t xml:space="preserve"> but survival may be dependent on the degree of respiratory function.</w:t>
      </w:r>
    </w:p>
    <w:p w14:paraId="7C8952E2" w14:textId="70C8B39B" w:rsidR="00C27826" w:rsidRDefault="00C27826" w:rsidP="00900BD1">
      <w:pPr>
        <w:pStyle w:val="FootnoteText"/>
      </w:pPr>
      <w:r w:rsidRPr="00455260">
        <w:rPr>
          <w:b/>
        </w:rPr>
        <w:t>SMA Type 2</w:t>
      </w:r>
      <w:r>
        <w:t xml:space="preserve"> has an onset of muscle weakness typically between 6 and 12 months. Affected children </w:t>
      </w:r>
      <w:proofErr w:type="gramStart"/>
      <w:r>
        <w:t>are able to</w:t>
      </w:r>
      <w:proofErr w:type="gramEnd"/>
      <w:r>
        <w:t xml:space="preserve"> sit independently early in development but are unable to walk less than 3 metres independently. Tremor of the fingers is notable. Approximately 70% of those affected do not have deep tendon reflexes. Those affected with SMA Type 2 are usually not able to sit independently by the mid-teens or later.</w:t>
      </w:r>
    </w:p>
    <w:p w14:paraId="444F6E09" w14:textId="18D79BF5" w:rsidR="00C27826" w:rsidRDefault="00C27826" w:rsidP="00900BD1">
      <w:pPr>
        <w:pStyle w:val="FootnoteText"/>
      </w:pPr>
      <w:r w:rsidRPr="00455260">
        <w:rPr>
          <w:b/>
        </w:rPr>
        <w:t>SMA Type 3</w:t>
      </w:r>
      <w:r>
        <w:t xml:space="preserve"> may be characterised by the ability to learn to walk but fall frequently, with great trouble walking up and down stairs at 2 to 3 years of age. The legs are more severely affected than the arms. The long-term prognosis depends on the degree of motor function attained as a child.</w:t>
      </w:r>
    </w:p>
    <w:p w14:paraId="638FC6A5" w14:textId="7A0DAA50" w:rsidR="00C27826" w:rsidRDefault="00C27826" w:rsidP="00900BD1">
      <w:pPr>
        <w:pStyle w:val="FootnoteText"/>
      </w:pPr>
      <w:r w:rsidRPr="00455260">
        <w:rPr>
          <w:b/>
        </w:rPr>
        <w:t>SMA Type 4</w:t>
      </w:r>
      <w:r>
        <w:t xml:space="preserve"> presents with the onset of muscle weakness typically after the age of 10 years; patients with SMA Type 4 are usually ambulatory until age 60 years.</w:t>
      </w:r>
    </w:p>
    <w:p w14:paraId="2C6084CF" w14:textId="3D4ADFA6" w:rsidR="00C27826" w:rsidRPr="00A06917" w:rsidRDefault="00C27826">
      <w:pPr>
        <w:pStyle w:val="FootnoteText"/>
      </w:pPr>
      <w:r w:rsidRPr="00455260">
        <w:rPr>
          <w:b/>
        </w:rPr>
        <w:t>Complications of SMA</w:t>
      </w:r>
      <w:r>
        <w:t xml:space="preserve"> include respiratory difficulty and distress, scoliosis, joint contractures, </w:t>
      </w:r>
      <w:proofErr w:type="gramStart"/>
      <w:r>
        <w:t>pneumonia</w:t>
      </w:r>
      <w:proofErr w:type="gramEnd"/>
      <w:r>
        <w:t xml:space="preserve"> and metabolic abnormalities such as severe metabolic acidosis and dicarboxylic aciduria.</w:t>
      </w:r>
    </w:p>
  </w:footnote>
  <w:footnote w:id="4">
    <w:p w14:paraId="6762A172" w14:textId="4E337A45" w:rsidR="00C27826" w:rsidRDefault="00C27826" w:rsidP="00A06917">
      <w:pPr>
        <w:pStyle w:val="FootnoteText"/>
      </w:pPr>
      <w:r>
        <w:rPr>
          <w:rStyle w:val="FootnoteReference"/>
        </w:rPr>
        <w:footnoteRef/>
      </w:r>
      <w:r>
        <w:t xml:space="preserve"> </w:t>
      </w:r>
      <w:proofErr w:type="spellStart"/>
      <w:r w:rsidRPr="00455260">
        <w:rPr>
          <w:b/>
        </w:rPr>
        <w:t>Spinraza</w:t>
      </w:r>
      <w:proofErr w:type="spellEnd"/>
      <w:r>
        <w:t xml:space="preserve"> is registered on the ARTG on 3 November 2017, ARTG number: 282522. See the </w:t>
      </w:r>
      <w:proofErr w:type="spellStart"/>
      <w:r>
        <w:t>AusPAR</w:t>
      </w:r>
      <w:proofErr w:type="spellEnd"/>
      <w:r w:rsidRPr="00A06917">
        <w:t xml:space="preserve">: </w:t>
      </w:r>
      <w:proofErr w:type="spellStart"/>
      <w:r>
        <w:t>Spinraza</w:t>
      </w:r>
      <w:proofErr w:type="spellEnd"/>
      <w:r>
        <w:t xml:space="preserve"> </w:t>
      </w:r>
      <w:proofErr w:type="spellStart"/>
      <w:r w:rsidRPr="00A06917">
        <w:t>Nusinersen</w:t>
      </w:r>
      <w:proofErr w:type="spellEnd"/>
      <w:r w:rsidRPr="00A06917">
        <w:t xml:space="preserve"> (as </w:t>
      </w:r>
      <w:proofErr w:type="spellStart"/>
      <w:r w:rsidRPr="00A06917">
        <w:t>heptadecasodium</w:t>
      </w:r>
      <w:proofErr w:type="spellEnd"/>
      <w:r w:rsidRPr="00A06917">
        <w:t>)</w:t>
      </w:r>
      <w:r>
        <w:t xml:space="preserve"> Biogen Australia Pty Ltd PM-2016-04042-1-3 at </w:t>
      </w:r>
      <w:r w:rsidRPr="00A06917">
        <w:t>https://www.tga.gov.au/auspar/auspar-nusinersen-heptadecasodium</w:t>
      </w:r>
    </w:p>
  </w:footnote>
  <w:footnote w:id="5">
    <w:p w14:paraId="4DD88701" w14:textId="15492C8F" w:rsidR="00C27826" w:rsidRDefault="00C27826" w:rsidP="00A06917">
      <w:pPr>
        <w:pStyle w:val="FootnoteText"/>
      </w:pPr>
      <w:r>
        <w:rPr>
          <w:rStyle w:val="FootnoteReference"/>
        </w:rPr>
        <w:footnoteRef/>
      </w:r>
      <w:r>
        <w:t xml:space="preserve"> </w:t>
      </w:r>
      <w:proofErr w:type="spellStart"/>
      <w:r w:rsidRPr="00455260">
        <w:rPr>
          <w:b/>
        </w:rPr>
        <w:t>Zolgensma</w:t>
      </w:r>
      <w:proofErr w:type="spellEnd"/>
      <w:r>
        <w:t xml:space="preserve"> is registered on the ARTG on 4 March 2021, ARTG number: 327905, 327906 and 327907. See the </w:t>
      </w:r>
      <w:proofErr w:type="spellStart"/>
      <w:r>
        <w:t>AusPAR</w:t>
      </w:r>
      <w:proofErr w:type="spellEnd"/>
      <w:r w:rsidRPr="00A06917">
        <w:t xml:space="preserve"> </w:t>
      </w:r>
      <w:proofErr w:type="spellStart"/>
      <w:r>
        <w:t>Zolgensma</w:t>
      </w:r>
      <w:proofErr w:type="spellEnd"/>
      <w:r>
        <w:t xml:space="preserve"> </w:t>
      </w:r>
      <w:proofErr w:type="spellStart"/>
      <w:r w:rsidRPr="00A06917">
        <w:t>Onasemnogene</w:t>
      </w:r>
      <w:proofErr w:type="spellEnd"/>
      <w:r w:rsidRPr="00A06917">
        <w:t xml:space="preserve"> </w:t>
      </w:r>
      <w:proofErr w:type="spellStart"/>
      <w:r w:rsidRPr="00A06917">
        <w:t>abeparvovec</w:t>
      </w:r>
      <w:proofErr w:type="spellEnd"/>
      <w:r>
        <w:t xml:space="preserve"> Novartis Pharmaceuticals Australia Pty Ltd PM-2019-05979-1-3 at </w:t>
      </w:r>
      <w:r w:rsidRPr="00A06917">
        <w:t>https://www.tga.gov.au/auspar/auspar-onasemnogene-abeparvovec</w:t>
      </w:r>
    </w:p>
  </w:footnote>
  <w:footnote w:id="6">
    <w:p w14:paraId="14390C5B" w14:textId="07A0FA15" w:rsidR="00C27826" w:rsidRDefault="00C27826">
      <w:pPr>
        <w:pStyle w:val="FootnoteText"/>
      </w:pPr>
      <w:r>
        <w:rPr>
          <w:rStyle w:val="FootnoteReference"/>
        </w:rPr>
        <w:footnoteRef/>
      </w:r>
      <w:r>
        <w:t xml:space="preserve"> </w:t>
      </w:r>
      <w:r w:rsidRPr="005C0841">
        <w:t xml:space="preserve">'Orphan drugs' are often developed to treat small and very specific patient populations who suffer from rare diseases and conditions. </w:t>
      </w:r>
      <w:proofErr w:type="gramStart"/>
      <w:r w:rsidRPr="005C0841">
        <w:t>In order to</w:t>
      </w:r>
      <w:proofErr w:type="gramEnd"/>
      <w:r w:rsidRPr="005C0841">
        <w:t xml:space="preserve"> facilitate orphan drug access to the Australian marketplace and help offset orphan drug development costs the TGA waives application and evaluation fees for prescription medicine registration applications if a related </w:t>
      </w:r>
      <w:r w:rsidRPr="005C0841">
        <w:rPr>
          <w:b/>
        </w:rPr>
        <w:t>orphan designation</w:t>
      </w:r>
      <w:r w:rsidRPr="005C0841">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7">
    <w:p w14:paraId="75CA68CA" w14:textId="140A38A1" w:rsidR="00C27826" w:rsidRDefault="00C27826">
      <w:pPr>
        <w:pStyle w:val="FootnoteText"/>
      </w:pPr>
      <w:r>
        <w:rPr>
          <w:rStyle w:val="FootnoteReference"/>
        </w:rPr>
        <w:footnoteRef/>
      </w:r>
      <w:r>
        <w:t xml:space="preserve"> T</w:t>
      </w:r>
      <w:r w:rsidRPr="004F1766">
        <w:t xml:space="preserve">he TGA has implemented a </w:t>
      </w:r>
      <w:r w:rsidRPr="004F1766">
        <w:rPr>
          <w:b/>
        </w:rPr>
        <w:t>priority pathway</w:t>
      </w:r>
      <w:r w:rsidRPr="004F1766">
        <w:t xml:space="preserve"> for the registration of novel prescription medicines for Australian patients.</w:t>
      </w:r>
      <w:r>
        <w:t xml:space="preserve"> </w:t>
      </w:r>
      <w:r w:rsidRPr="004F1766">
        <w:t>The priority pathway provides a formal mechanism for faster assessment of vital and life-saving prescription medicines. The target timeframe of 150 working days is up to three months shorter than the standard prescription medicines registration process.</w:t>
      </w:r>
    </w:p>
  </w:footnote>
  <w:footnote w:id="8">
    <w:p w14:paraId="0A9B83B8" w14:textId="3D802B82" w:rsidR="00C27826" w:rsidRPr="00455260" w:rsidRDefault="00C27826">
      <w:pPr>
        <w:pStyle w:val="FootnoteText"/>
        <w:rPr>
          <w:lang w:val="en-US"/>
        </w:rPr>
      </w:pPr>
      <w:r>
        <w:rPr>
          <w:rStyle w:val="FootnoteReference"/>
        </w:rPr>
        <w:footnoteRef/>
      </w:r>
      <w:r>
        <w:t xml:space="preserve"> </w:t>
      </w:r>
      <w:r>
        <w:rPr>
          <w:lang w:val="en-US"/>
        </w:rPr>
        <w:t xml:space="preserve">SR proteins are a highly conserved family of proteins involved in ribonucleic acid (RNA) splicing. </w:t>
      </w:r>
      <w:r w:rsidRPr="005F06C4">
        <w:rPr>
          <w:lang w:val="en-US"/>
        </w:rPr>
        <w:t>SR proteins are named because they contain a protein domain with long repeats of serine and arginine amino acid residues, wh</w:t>
      </w:r>
      <w:r>
        <w:rPr>
          <w:lang w:val="en-US"/>
        </w:rPr>
        <w:t>ose standard abbreviations are ‘S’ (for serine) and ‘R’ for arginine</w:t>
      </w:r>
      <w:r w:rsidRPr="005F06C4">
        <w:rPr>
          <w:lang w:val="en-US"/>
        </w:rPr>
        <w:t>.</w:t>
      </w:r>
    </w:p>
  </w:footnote>
  <w:footnote w:id="9">
    <w:p w14:paraId="377581EE" w14:textId="77777777" w:rsidR="00C27826" w:rsidRPr="00A4638D" w:rsidRDefault="00C27826" w:rsidP="001E4E52">
      <w:pPr>
        <w:pStyle w:val="FootnoteText"/>
      </w:pPr>
      <w:r>
        <w:rPr>
          <w:rStyle w:val="FootnoteReference"/>
        </w:rPr>
        <w:footnoteRef/>
      </w:r>
      <w:r>
        <w:t xml:space="preserve"> </w:t>
      </w:r>
      <w:r w:rsidRPr="002945FC">
        <w:rPr>
          <w:b/>
        </w:rPr>
        <w:t>Pregnancy Category D</w:t>
      </w:r>
      <w:r>
        <w:t xml:space="preserve">: 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 Accompanying texts should be consulted for further details.</w:t>
      </w:r>
    </w:p>
  </w:footnote>
  <w:footnote w:id="10">
    <w:p w14:paraId="3813FBEF" w14:textId="77777777" w:rsidR="00C27826" w:rsidRPr="00BD271A" w:rsidRDefault="00C27826" w:rsidP="00FE2CBD">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5D496156" w14:textId="427A45DC" w:rsidR="00C27826" w:rsidRDefault="00C27826" w:rsidP="00FE2CBD">
      <w:pPr>
        <w:pStyle w:val="FootnoteText"/>
      </w:pPr>
      <w:r>
        <w:rPr>
          <w:lang w:eastAsia="ja-JP"/>
        </w:rPr>
        <w:t xml:space="preserve">Many drugs may increase or decrease the activity of various CYP isozymes either by inducing the biosynthesis of an isozyme (enzyme induction) or by directly inhibiting the activity of the CYP (enzyme inhibition). This is a major source of adverse drug </w:t>
      </w:r>
      <w:proofErr w:type="gramStart"/>
      <w:r>
        <w:rPr>
          <w:lang w:eastAsia="ja-JP"/>
        </w:rPr>
        <w:t>interactions, since</w:t>
      </w:r>
      <w:proofErr w:type="gramEnd"/>
      <w:r>
        <w:rPr>
          <w:lang w:eastAsia="ja-JP"/>
        </w:rPr>
        <w:t xml:space="preserv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1">
    <w:p w14:paraId="120F5BA8" w14:textId="1C09BA63" w:rsidR="00C27826" w:rsidRDefault="00C27826" w:rsidP="00877910">
      <w:pPr>
        <w:pStyle w:val="FootnoteText"/>
        <w:rPr>
          <w:rStyle w:val="FootnoteTextChar"/>
        </w:rPr>
      </w:pPr>
      <w:r>
        <w:rPr>
          <w:rStyle w:val="FootnoteReference"/>
        </w:rPr>
        <w:footnoteRef/>
      </w:r>
      <w:r>
        <w:t xml:space="preserve"> </w:t>
      </w:r>
      <w:r w:rsidRPr="000F1877">
        <w:t>The QT interval is the time from the start of the Q</w:t>
      </w:r>
      <w:r>
        <w:t>RS</w:t>
      </w:r>
      <w:r w:rsidRPr="000F1877">
        <w:t xml:space="preserve"> wave</w:t>
      </w:r>
      <w:r>
        <w:t xml:space="preserve"> complex</w:t>
      </w:r>
      <w:r w:rsidRPr="000F1877">
        <w:t xml:space="preserve"> to the end of the</w:t>
      </w:r>
      <w:r>
        <w:t xml:space="preserve"> corresponding</w:t>
      </w:r>
      <w:r w:rsidRPr="000F1877">
        <w:t xml:space="preserve"> T wave. It </w:t>
      </w:r>
      <w:r>
        <w:t xml:space="preserve">approximates to </w:t>
      </w:r>
      <w:r w:rsidRPr="000F1877">
        <w:t>the time taken for ventricular depolarisation and repolarisation</w:t>
      </w:r>
      <w:proofErr w:type="gramStart"/>
      <w:r w:rsidRPr="000F1877">
        <w:t xml:space="preserve">, </w:t>
      </w:r>
      <w:r>
        <w:t>that is to say, the</w:t>
      </w:r>
      <w:proofErr w:type="gramEnd"/>
      <w:r w:rsidRPr="000F1877">
        <w:t xml:space="preserve"> period of ventricular systole from ventricular isovolumetric contraction to isovolumetric relaxation.</w:t>
      </w:r>
    </w:p>
    <w:p w14:paraId="04F79732" w14:textId="01FB2D69" w:rsidR="00C27826" w:rsidRDefault="00C27826" w:rsidP="00877910">
      <w:pPr>
        <w:pStyle w:val="FootnoteText"/>
      </w:pPr>
      <w:r w:rsidRPr="00436FD3">
        <w:rPr>
          <w:rStyle w:val="FootnoteTextChar"/>
        </w:rPr>
        <w:t xml:space="preserve">The </w:t>
      </w:r>
      <w:r w:rsidRPr="00D104F0">
        <w:rPr>
          <w:rStyle w:val="FootnoteTextChar"/>
          <w:b/>
        </w:rPr>
        <w:t>corrected QT interval (QTc)</w:t>
      </w:r>
      <w:r w:rsidRPr="00436FD3">
        <w:rPr>
          <w:rStyle w:val="FootnoteTextChar"/>
        </w:rPr>
        <w:t> estimates the QT interval at a standard heart rate. This allows comparison of QT values over time at different heart rates and improves detection of patients at increased risk of arrhythmias.</w:t>
      </w:r>
    </w:p>
  </w:footnote>
  <w:footnote w:id="12">
    <w:p w14:paraId="06BFFD1F" w14:textId="7169C980" w:rsidR="00C27826" w:rsidRDefault="00C27826" w:rsidP="00F36448">
      <w:pPr>
        <w:pStyle w:val="FootnoteText"/>
      </w:pPr>
      <w:r>
        <w:rPr>
          <w:rStyle w:val="FootnoteReference"/>
        </w:rPr>
        <w:footnoteRef/>
      </w:r>
      <w:r>
        <w:t xml:space="preserve"> The </w:t>
      </w:r>
      <w:r w:rsidRPr="00F72B7A">
        <w:rPr>
          <w:b/>
        </w:rPr>
        <w:t>Bayley Scales of Infant and Toddler Development (third edition)</w:t>
      </w:r>
      <w:r>
        <w:t xml:space="preserve"> (BSID-</w:t>
      </w:r>
      <w:proofErr w:type="gramStart"/>
      <w:r>
        <w:t>III)is</w:t>
      </w:r>
      <w:proofErr w:type="gramEnd"/>
      <w:r>
        <w:t xml:space="preserve"> one of the most comprehensive tools to assess children from as young as one-month-old.</w:t>
      </w:r>
    </w:p>
    <w:p w14:paraId="0E5E33E1" w14:textId="77777777" w:rsidR="00C27826" w:rsidRDefault="00C27826" w:rsidP="00F36448">
      <w:pPr>
        <w:pStyle w:val="FootnoteText"/>
      </w:pPr>
      <w:r>
        <w:t>Children are assessed in the five key developmental domains of: cognition; language; social-emotional; motor and adaptive behaviour. Bayley-III identifies infant and toddler strengths and competencies, as well as their weakness. It also provides a valid and reliable measure of a child's abilities.</w:t>
      </w:r>
    </w:p>
  </w:footnote>
  <w:footnote w:id="13">
    <w:p w14:paraId="4EF8F942" w14:textId="3196E91D" w:rsidR="00C27826" w:rsidRDefault="00C27826">
      <w:pPr>
        <w:pStyle w:val="FootnoteText"/>
      </w:pPr>
      <w:r>
        <w:rPr>
          <w:rStyle w:val="FootnoteReference"/>
        </w:rPr>
        <w:footnoteRef/>
      </w:r>
      <w:r>
        <w:t xml:space="preserve"> </w:t>
      </w:r>
      <w:r w:rsidRPr="008D509F">
        <w:t xml:space="preserve">The </w:t>
      </w:r>
      <w:r w:rsidRPr="00F72B7A">
        <w:rPr>
          <w:b/>
        </w:rPr>
        <w:t>Children’s Hospital of Philadelphia Infant Test of Neuromuscular Disorders</w:t>
      </w:r>
      <w:r>
        <w:t xml:space="preserve"> (CHOP-INTEND) </w:t>
      </w:r>
      <w:r w:rsidRPr="008D509F">
        <w:t>is a reliable measure of motor skills in patients with SMA-I and neuromuscular disorders presenting in infancy</w:t>
      </w:r>
      <w:r>
        <w:t>.</w:t>
      </w:r>
    </w:p>
  </w:footnote>
  <w:footnote w:id="14">
    <w:p w14:paraId="407F2D7F" w14:textId="2175B419" w:rsidR="00C27826" w:rsidRDefault="00C27826">
      <w:pPr>
        <w:pStyle w:val="FootnoteText"/>
      </w:pPr>
      <w:r>
        <w:rPr>
          <w:rStyle w:val="FootnoteReference"/>
        </w:rPr>
        <w:footnoteRef/>
      </w:r>
      <w:r>
        <w:t xml:space="preserve"> </w:t>
      </w:r>
      <w:r w:rsidRPr="008D509F">
        <w:t xml:space="preserve">The </w:t>
      </w:r>
      <w:r w:rsidRPr="00F72B7A">
        <w:rPr>
          <w:b/>
        </w:rPr>
        <w:t>Hammersmith Infant Neurological Examination</w:t>
      </w:r>
      <w:r>
        <w:t xml:space="preserve"> (HINE-2) </w:t>
      </w:r>
      <w:r w:rsidRPr="008D509F">
        <w:t>consists of 26 items that assess different aspects of neurological function: cranial nerve function, movements, reflexes and protective reactions and</w:t>
      </w:r>
      <w:r>
        <w:t xml:space="preserve"> behaviour, as well as some age </w:t>
      </w:r>
      <w:r w:rsidRPr="008D509F">
        <w:t>dependent items that reflect the development of gross and fine motor function. The HINE is aimed to be used for infants between 3 and 24 months of age.</w:t>
      </w:r>
    </w:p>
  </w:footnote>
  <w:footnote w:id="15">
    <w:p w14:paraId="6A0136C7" w14:textId="02642B9D" w:rsidR="00C27826" w:rsidRDefault="00C27826" w:rsidP="00AA35B2">
      <w:pPr>
        <w:pStyle w:val="FootnoteText"/>
      </w:pPr>
      <w:r>
        <w:rPr>
          <w:rStyle w:val="FootnoteReference"/>
        </w:rPr>
        <w:footnoteRef/>
      </w:r>
      <w:r>
        <w:t xml:space="preserve"> The revised upper limb module for SMA has been devised to assess motor performance in the upper limbs for individuals with spinal muscular atrophy. This scale consisted of 20 items that test proximal and distal motor functions of the arm, administered by a trained physiotherapist or other trained administrator. It is simple to administer, measures functions related to everyday life and is applicable to children from 2 years of age. The scores range from 0 = no tasks completed to 37 = all tasks independently completed. Based on natural history for SMA Type 2 and non-ambulant Type 3, an increase ≥ 2 points reflects a clinically meaningful benefit. </w:t>
      </w:r>
      <w:r w:rsidRPr="00145BE2">
        <w:t xml:space="preserve">Note: </w:t>
      </w:r>
      <w:r>
        <w:t xml:space="preserve">Over a </w:t>
      </w:r>
      <w:proofErr w:type="gramStart"/>
      <w:r>
        <w:t>12 month</w:t>
      </w:r>
      <w:proofErr w:type="gramEnd"/>
      <w:r>
        <w:t xml:space="preserve"> period, the natural history is for a mean of a -0.4 point decline.</w:t>
      </w:r>
    </w:p>
  </w:footnote>
  <w:footnote w:id="16">
    <w:p w14:paraId="4B9F61BC" w14:textId="50FDF314" w:rsidR="00C27826" w:rsidRDefault="00C27826">
      <w:pPr>
        <w:pStyle w:val="FootnoteText"/>
      </w:pPr>
      <w:r>
        <w:rPr>
          <w:rStyle w:val="FootnoteReference"/>
        </w:rPr>
        <w:footnoteRef/>
      </w:r>
      <w:r>
        <w:t xml:space="preserve"> The </w:t>
      </w:r>
      <w:r w:rsidRPr="00F72B7A">
        <w:rPr>
          <w:b/>
        </w:rPr>
        <w:t>Motor Function Measurement</w:t>
      </w:r>
      <w:r>
        <w:rPr>
          <w:b/>
        </w:rPr>
        <w:t xml:space="preserve"> 32</w:t>
      </w:r>
      <w:r>
        <w:t xml:space="preserve"> (MFM32) </w:t>
      </w:r>
      <w:r w:rsidRPr="00334E1D">
        <w:t xml:space="preserve">is a </w:t>
      </w:r>
      <w:proofErr w:type="gramStart"/>
      <w:r>
        <w:t>32 item</w:t>
      </w:r>
      <w:proofErr w:type="gramEnd"/>
      <w:r>
        <w:t xml:space="preserve"> </w:t>
      </w:r>
      <w:r w:rsidRPr="00334E1D">
        <w:t>quantitative scale that measures motor functional abilities in a person with neuromuscular disease.</w:t>
      </w:r>
    </w:p>
  </w:footnote>
  <w:footnote w:id="17">
    <w:p w14:paraId="26B01443" w14:textId="59C6F51F" w:rsidR="00C27826" w:rsidRDefault="00C27826">
      <w:pPr>
        <w:pStyle w:val="FootnoteText"/>
      </w:pPr>
      <w:r>
        <w:rPr>
          <w:rStyle w:val="FootnoteReference"/>
        </w:rPr>
        <w:footnoteRef/>
      </w:r>
      <w:r>
        <w:t xml:space="preserve"> </w:t>
      </w:r>
      <w:r w:rsidRPr="005C0841">
        <w:rPr>
          <w:b/>
        </w:rPr>
        <w:t>Hy’s Law</w:t>
      </w:r>
      <w:r w:rsidRPr="005C0841">
        <w:t>: Evidence of hepatocellular injury with a rise in alanine aminotransferase (ALT) and/or aspartate aminotransferase (AST) &gt; 3 x the upper limit of normal (ULN) and total bilirubin &gt; 2 x ULN, and no other reason to explain rise in aminotransferases and total bilirubin. Hy's law is a rule of thumb that a patient is at high risk of a fatal drug-induced liver injury if given a medication that causes hepatocellular injury with jaundice.</w:t>
      </w:r>
    </w:p>
  </w:footnote>
  <w:footnote w:id="18">
    <w:p w14:paraId="657E10B8" w14:textId="2059F7F4" w:rsidR="00C27826" w:rsidRDefault="00C27826">
      <w:pPr>
        <w:pStyle w:val="FootnoteText"/>
      </w:pPr>
      <w:r>
        <w:rPr>
          <w:rStyle w:val="FootnoteReference"/>
        </w:rPr>
        <w:footnoteRef/>
      </w:r>
      <w:r>
        <w:t xml:space="preserve"> </w:t>
      </w:r>
      <w:r w:rsidRPr="00AD0F3B">
        <w:t xml:space="preserve">The </w:t>
      </w:r>
      <w:r w:rsidRPr="00AD0F3B">
        <w:rPr>
          <w:b/>
        </w:rPr>
        <w:t>QT interval</w:t>
      </w:r>
      <w:r w:rsidRPr="00AD0F3B">
        <w:t xml:space="preserve"> is the time from the start of the QRS wave complex to the end of the corresponding T wave. It approximates to the time taken for ventricular depolarisation and repolarisation</w:t>
      </w:r>
      <w:proofErr w:type="gramStart"/>
      <w:r w:rsidRPr="00AD0F3B">
        <w:t>, that is to say, the</w:t>
      </w:r>
      <w:proofErr w:type="gramEnd"/>
      <w:r w:rsidRPr="00AD0F3B">
        <w:t xml:space="preserve"> period of ventricular systole from ventricular isovolumetric contraction to isovolumetric relaxation.</w:t>
      </w:r>
    </w:p>
  </w:footnote>
  <w:footnote w:id="19">
    <w:p w14:paraId="610996E3" w14:textId="3FE044C3" w:rsidR="00C27826" w:rsidRPr="00F72B7A" w:rsidRDefault="00C27826">
      <w:pPr>
        <w:pStyle w:val="FootnoteText"/>
        <w:rPr>
          <w:lang w:val="en-US"/>
        </w:rPr>
      </w:pPr>
      <w:r>
        <w:rPr>
          <w:rStyle w:val="FootnoteReference"/>
        </w:rPr>
        <w:footnoteRef/>
      </w:r>
      <w:r>
        <w:t xml:space="preserve"> </w:t>
      </w:r>
      <w:r w:rsidRPr="00F72B7A">
        <w:rPr>
          <w:b/>
        </w:rPr>
        <w:t>Pregnancy Category D:</w:t>
      </w:r>
      <w:r>
        <w:t xml:space="preserve"> </w:t>
      </w:r>
      <w:r w:rsidRPr="008776E4">
        <w:t xml:space="preserve">Drugs which have caused, are suspected to have caused or may be expected to cause, an increased incidence of human </w:t>
      </w:r>
      <w:proofErr w:type="spellStart"/>
      <w:r w:rsidRPr="008776E4">
        <w:t>fetal</w:t>
      </w:r>
      <w:proofErr w:type="spellEnd"/>
      <w:r w:rsidRPr="008776E4">
        <w:t xml:space="preserve"> malformations or irreversible damage. These drugs may also have adverse pharmacological effects. Accompanying texts should be consulted for further details.</w:t>
      </w:r>
    </w:p>
  </w:footnote>
  <w:footnote w:id="20">
    <w:p w14:paraId="3C754349" w14:textId="77777777" w:rsidR="00C27826" w:rsidRDefault="00C27826"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79A32720" w14:textId="77777777" w:rsidR="00C27826" w:rsidRDefault="00C27826" w:rsidP="007D53B6">
      <w:pPr>
        <w:pStyle w:val="FootnoteText"/>
      </w:pPr>
      <w:r w:rsidRPr="007D53B6">
        <w:rPr>
          <w:i/>
        </w:rPr>
        <w:t>Routine pharmacovigilance</w:t>
      </w:r>
      <w:r>
        <w:t xml:space="preserve"> practices involve the following activities:</w:t>
      </w:r>
    </w:p>
    <w:p w14:paraId="0320EE24" w14:textId="77777777" w:rsidR="00C27826" w:rsidRDefault="00C27826" w:rsidP="007D53B6">
      <w:pPr>
        <w:pStyle w:val="FootnoteText"/>
        <w:numPr>
          <w:ilvl w:val="0"/>
          <w:numId w:val="32"/>
        </w:numPr>
        <w:ind w:left="284" w:hanging="284"/>
      </w:pPr>
      <w:r>
        <w:t xml:space="preserve">All suspected adverse reactions that are reported to the personnel of the company are collected and collated in an accessible </w:t>
      </w:r>
      <w:proofErr w:type="gramStart"/>
      <w:r>
        <w:t>manner;</w:t>
      </w:r>
      <w:proofErr w:type="gramEnd"/>
    </w:p>
    <w:p w14:paraId="215C83C4" w14:textId="77777777" w:rsidR="00C27826" w:rsidRDefault="00C27826" w:rsidP="007D53B6">
      <w:pPr>
        <w:pStyle w:val="FootnoteText"/>
        <w:numPr>
          <w:ilvl w:val="0"/>
          <w:numId w:val="32"/>
        </w:numPr>
        <w:ind w:left="284" w:hanging="284"/>
      </w:pPr>
      <w:r>
        <w:t xml:space="preserve">Reporting to regulatory </w:t>
      </w:r>
      <w:proofErr w:type="gramStart"/>
      <w:r>
        <w:t>authorities;</w:t>
      </w:r>
      <w:proofErr w:type="gramEnd"/>
    </w:p>
    <w:p w14:paraId="7537C1E1" w14:textId="77777777" w:rsidR="00C27826" w:rsidRDefault="00C27826" w:rsidP="007D53B6">
      <w:pPr>
        <w:pStyle w:val="FootnoteText"/>
        <w:numPr>
          <w:ilvl w:val="0"/>
          <w:numId w:val="32"/>
        </w:numPr>
        <w:ind w:left="284" w:hanging="284"/>
      </w:pPr>
      <w:r>
        <w:t xml:space="preserve">Continuous monitoring of the safety profiles of approved products including signal detection and updating of </w:t>
      </w:r>
      <w:proofErr w:type="gramStart"/>
      <w:r>
        <w:t>labelling;</w:t>
      </w:r>
      <w:proofErr w:type="gramEnd"/>
    </w:p>
    <w:p w14:paraId="7715D71C" w14:textId="77777777" w:rsidR="00C27826" w:rsidRDefault="00C27826" w:rsidP="007D53B6">
      <w:pPr>
        <w:pStyle w:val="FootnoteText"/>
        <w:numPr>
          <w:ilvl w:val="0"/>
          <w:numId w:val="32"/>
        </w:numPr>
        <w:ind w:left="284" w:hanging="284"/>
      </w:pPr>
      <w:r>
        <w:t xml:space="preserve">Submission of </w:t>
      </w:r>
      <w:proofErr w:type="gramStart"/>
      <w:r>
        <w:t>PSURs;</w:t>
      </w:r>
      <w:proofErr w:type="gramEnd"/>
    </w:p>
    <w:p w14:paraId="1BEA4F7A" w14:textId="77777777" w:rsidR="00C27826" w:rsidRDefault="00C27826" w:rsidP="007D53B6">
      <w:pPr>
        <w:pStyle w:val="FootnoteText"/>
        <w:numPr>
          <w:ilvl w:val="0"/>
          <w:numId w:val="32"/>
        </w:numPr>
        <w:ind w:left="284" w:hanging="284"/>
      </w:pPr>
      <w:r>
        <w:t>Meeting other local regulatory agency requirements.</w:t>
      </w:r>
    </w:p>
  </w:footnote>
  <w:footnote w:id="21">
    <w:p w14:paraId="06F7AA01" w14:textId="036D0E0E" w:rsidR="00C27826" w:rsidRPr="00713D81" w:rsidRDefault="00C27826" w:rsidP="00713D81">
      <w:pPr>
        <w:pStyle w:val="FootnoteText"/>
      </w:pPr>
      <w:r w:rsidRPr="00713D81">
        <w:rPr>
          <w:rStyle w:val="FootnoteReference"/>
        </w:rPr>
        <w:footnoteRef/>
      </w:r>
      <w:r w:rsidRPr="00713D81">
        <w:rPr>
          <w:vertAlign w:val="superscript"/>
        </w:rPr>
        <w:t xml:space="preserve"> </w:t>
      </w:r>
      <w:r w:rsidRPr="00713D81">
        <w:t>Sponsor clarification</w:t>
      </w:r>
      <w:r>
        <w:t>: The sponsor has set up a bioequivalence study in healthy volunteers, a phase I, open label, multi-period crossover study to investigate the safety, food effect, bioavailability and bioequivalence of oral doses of two different formulations in healthy subjects. Omeprazole will be used to assess the food effect.</w:t>
      </w:r>
    </w:p>
  </w:footnote>
  <w:footnote w:id="22">
    <w:p w14:paraId="6641A20E" w14:textId="57E9E01A" w:rsidR="00C27826" w:rsidRDefault="00C27826">
      <w:pPr>
        <w:pStyle w:val="FootnoteText"/>
      </w:pPr>
      <w:r>
        <w:rPr>
          <w:rStyle w:val="FootnoteReference"/>
        </w:rPr>
        <w:footnoteRef/>
      </w:r>
      <w:r>
        <w:t xml:space="preserve"> </w:t>
      </w:r>
      <w:proofErr w:type="spellStart"/>
      <w:r>
        <w:t>Ratni</w:t>
      </w:r>
      <w:proofErr w:type="spellEnd"/>
      <w:r>
        <w:t xml:space="preserve"> H, </w:t>
      </w:r>
      <w:r w:rsidRPr="00D96FBA">
        <w:t xml:space="preserve">et al. Discovery of </w:t>
      </w:r>
      <w:proofErr w:type="spellStart"/>
      <w:r w:rsidRPr="00D96FBA">
        <w:t>Risdiplam</w:t>
      </w:r>
      <w:proofErr w:type="spellEnd"/>
      <w:r w:rsidRPr="00D96FBA">
        <w:t>, a Selective Survival of Motor Neuron-2 (</w:t>
      </w:r>
      <w:r w:rsidRPr="00F72B7A">
        <w:rPr>
          <w:i/>
        </w:rPr>
        <w:t>SMN2</w:t>
      </w:r>
      <w:r w:rsidRPr="00D96FBA">
        <w:t xml:space="preserve">) Gene Splicing Modifier for the Treatment of Spinal Muscular Atrophy (SMA). </w:t>
      </w:r>
      <w:r w:rsidRPr="00D96FBA">
        <w:rPr>
          <w:i/>
        </w:rPr>
        <w:t>J Med Chem</w:t>
      </w:r>
      <w:r>
        <w:t>. 2018;61(15):6501-6517.</w:t>
      </w:r>
    </w:p>
  </w:footnote>
  <w:footnote w:id="23">
    <w:p w14:paraId="6C987B5D" w14:textId="0AC530B4" w:rsidR="00C27826" w:rsidRPr="00F72B7A" w:rsidRDefault="00C27826">
      <w:pPr>
        <w:pStyle w:val="FootnoteText"/>
        <w:rPr>
          <w:lang w:val="en-US"/>
        </w:rPr>
      </w:pPr>
      <w:r>
        <w:rPr>
          <w:rStyle w:val="FootnoteReference"/>
        </w:rPr>
        <w:footnoteRef/>
      </w:r>
      <w:r>
        <w:t xml:space="preserve"> </w:t>
      </w:r>
      <w:r w:rsidRPr="009970EE">
        <w:t>Hil</w:t>
      </w:r>
      <w:r>
        <w:t>l, Austin Bradford (1965). ‘</w:t>
      </w:r>
      <w:r w:rsidRPr="009970EE">
        <w:t>The Environment and Dis</w:t>
      </w:r>
      <w:r>
        <w:t>ease: Association or Causation?’</w:t>
      </w:r>
      <w:r w:rsidRPr="009970EE">
        <w:t>. Proceedings of the Royal Society of Medicine. 58 (5): 295–300.</w:t>
      </w:r>
    </w:p>
  </w:footnote>
  <w:footnote w:id="24">
    <w:p w14:paraId="7EF2EE0A" w14:textId="77777777" w:rsidR="00C27826" w:rsidRDefault="00C27826"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8A2F89B" w14:textId="77777777" w:rsidR="00C27826" w:rsidRPr="00456765" w:rsidRDefault="00C27826"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 w:id="25">
    <w:p w14:paraId="50828B4E" w14:textId="29BCD673" w:rsidR="00C27826" w:rsidRDefault="00C27826">
      <w:pPr>
        <w:pStyle w:val="FootnoteText"/>
      </w:pPr>
      <w:r>
        <w:rPr>
          <w:rStyle w:val="FootnoteReference"/>
        </w:rPr>
        <w:footnoteRef/>
      </w:r>
      <w:r w:rsidRPr="002B11CD">
        <w:rPr>
          <w:lang w:val="fr-FR"/>
        </w:rPr>
        <w:t xml:space="preserve"> </w:t>
      </w:r>
      <w:proofErr w:type="spellStart"/>
      <w:r w:rsidRPr="002B11CD">
        <w:rPr>
          <w:lang w:val="fr-FR"/>
        </w:rPr>
        <w:t>Sergott</w:t>
      </w:r>
      <w:proofErr w:type="spellEnd"/>
      <w:r w:rsidRPr="002B11CD">
        <w:rPr>
          <w:lang w:val="fr-FR"/>
        </w:rPr>
        <w:t xml:space="preserve">, R.C. et al. </w:t>
      </w:r>
      <w:proofErr w:type="spellStart"/>
      <w:r w:rsidRPr="006D0ED0">
        <w:t>Risdiplam</w:t>
      </w:r>
      <w:proofErr w:type="spellEnd"/>
      <w:r w:rsidRPr="006D0ED0">
        <w:t xml:space="preserve"> treatment has not led to retinal toxicity in patients with spinal muscular atrophy. </w:t>
      </w:r>
      <w:r w:rsidRPr="006D0ED0">
        <w:rPr>
          <w:i/>
        </w:rPr>
        <w:t xml:space="preserve">Ann Clin </w:t>
      </w:r>
      <w:proofErr w:type="spellStart"/>
      <w:r w:rsidRPr="006D0ED0">
        <w:rPr>
          <w:i/>
        </w:rPr>
        <w:t>Transl</w:t>
      </w:r>
      <w:proofErr w:type="spellEnd"/>
      <w:r w:rsidRPr="006D0ED0">
        <w:rPr>
          <w:i/>
        </w:rPr>
        <w:t xml:space="preserve"> Neurol</w:t>
      </w:r>
      <w:r w:rsidRPr="006D0ED0">
        <w:t>, 2021; 8: 54-65.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D4082" w14:textId="77777777" w:rsidR="00C27826" w:rsidRDefault="00C2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98661" w14:textId="77777777" w:rsidR="00C27826" w:rsidRDefault="00C27826"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22A6" w14:textId="77777777" w:rsidR="00C27826" w:rsidRDefault="00C27826">
    <w:pPr>
      <w:rPr>
        <w:noProof/>
        <w:lang w:eastAsia="en-AU"/>
      </w:rPr>
    </w:pPr>
    <w:r w:rsidRPr="00347824">
      <w:rPr>
        <w:noProof/>
        <w:lang w:val="en-GB" w:eastAsia="en-GB"/>
      </w:rPr>
      <w:drawing>
        <wp:anchor distT="0" distB="0" distL="114300" distR="114300" simplePos="0" relativeHeight="251659264" behindDoc="1" locked="0" layoutInCell="1" allowOverlap="1" wp14:anchorId="2524627E" wp14:editId="7FE34C8B">
          <wp:simplePos x="0" y="0"/>
          <wp:positionH relativeFrom="column">
            <wp:posOffset>-1089660</wp:posOffset>
          </wp:positionH>
          <wp:positionV relativeFrom="paragraph">
            <wp:posOffset>-585470</wp:posOffset>
          </wp:positionV>
          <wp:extent cx="7572375" cy="10706100"/>
          <wp:effectExtent l="19050" t="0" r="0" b="0"/>
          <wp:wrapNone/>
          <wp:docPr id="1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0E7E0888" w14:textId="77777777" w:rsidR="00C27826" w:rsidRDefault="00C27826"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91DF" w14:textId="77777777" w:rsidR="00C27826" w:rsidRDefault="00C27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3DB6" w14:textId="77777777" w:rsidR="00C27826" w:rsidRDefault="00C27826">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B7EA" w14:textId="77777777" w:rsidR="00C27826" w:rsidRDefault="00C27826">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FB4BE" w14:textId="77777777" w:rsidR="00C27826" w:rsidRDefault="00C278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606B7" w14:textId="77777777" w:rsidR="00C27826" w:rsidRDefault="00C27826"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2E70" w14:textId="77777777" w:rsidR="00C27826" w:rsidRDefault="00C27826" w:rsidP="006E08B3">
    <w:r>
      <w:t>Therapeutic Goods Administration</w:t>
    </w:r>
  </w:p>
  <w:p w14:paraId="31435C59" w14:textId="77777777" w:rsidR="00C27826" w:rsidRDefault="00C27826"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BBE03B52"/>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94226C0"/>
    <w:multiLevelType w:val="hybridMultilevel"/>
    <w:tmpl w:val="A31AA7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CD1F22"/>
    <w:multiLevelType w:val="hybridMultilevel"/>
    <w:tmpl w:val="1F3A5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6"/>
  </w:num>
  <w:num w:numId="30">
    <w:abstractNumId w:val="9"/>
  </w:num>
  <w:num w:numId="31">
    <w:abstractNumId w:val="4"/>
  </w:num>
  <w:num w:numId="32">
    <w:abstractNumId w:val="11"/>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A1"/>
    <w:rsid w:val="00002031"/>
    <w:rsid w:val="00004734"/>
    <w:rsid w:val="00006B22"/>
    <w:rsid w:val="00006FAB"/>
    <w:rsid w:val="0001276A"/>
    <w:rsid w:val="00023600"/>
    <w:rsid w:val="000246AE"/>
    <w:rsid w:val="00025C67"/>
    <w:rsid w:val="00044772"/>
    <w:rsid w:val="0004541C"/>
    <w:rsid w:val="00045BCA"/>
    <w:rsid w:val="0005559E"/>
    <w:rsid w:val="000604D6"/>
    <w:rsid w:val="00066391"/>
    <w:rsid w:val="000734D8"/>
    <w:rsid w:val="00077775"/>
    <w:rsid w:val="000841E9"/>
    <w:rsid w:val="0008473C"/>
    <w:rsid w:val="00085D2E"/>
    <w:rsid w:val="00090471"/>
    <w:rsid w:val="00096AA7"/>
    <w:rsid w:val="000A3819"/>
    <w:rsid w:val="000A3AED"/>
    <w:rsid w:val="000B3532"/>
    <w:rsid w:val="000B3A75"/>
    <w:rsid w:val="000B475F"/>
    <w:rsid w:val="000C00C2"/>
    <w:rsid w:val="000C403A"/>
    <w:rsid w:val="000C4C49"/>
    <w:rsid w:val="000C690F"/>
    <w:rsid w:val="000D1295"/>
    <w:rsid w:val="000D391B"/>
    <w:rsid w:val="000D3D6D"/>
    <w:rsid w:val="000D4FC7"/>
    <w:rsid w:val="000E6196"/>
    <w:rsid w:val="000E7E05"/>
    <w:rsid w:val="000E7FCD"/>
    <w:rsid w:val="000F3EC2"/>
    <w:rsid w:val="000F4869"/>
    <w:rsid w:val="000F5B42"/>
    <w:rsid w:val="000F6E6F"/>
    <w:rsid w:val="0010601F"/>
    <w:rsid w:val="0010788A"/>
    <w:rsid w:val="00107A31"/>
    <w:rsid w:val="00110EA5"/>
    <w:rsid w:val="00112F56"/>
    <w:rsid w:val="00122C2E"/>
    <w:rsid w:val="00124ACD"/>
    <w:rsid w:val="00125318"/>
    <w:rsid w:val="001305A2"/>
    <w:rsid w:val="00133238"/>
    <w:rsid w:val="00133A1B"/>
    <w:rsid w:val="0014197B"/>
    <w:rsid w:val="001447CD"/>
    <w:rsid w:val="00145BE2"/>
    <w:rsid w:val="001516B1"/>
    <w:rsid w:val="00154EBB"/>
    <w:rsid w:val="00156316"/>
    <w:rsid w:val="00161181"/>
    <w:rsid w:val="00162D14"/>
    <w:rsid w:val="00163780"/>
    <w:rsid w:val="00165389"/>
    <w:rsid w:val="0017693F"/>
    <w:rsid w:val="0018110E"/>
    <w:rsid w:val="00181684"/>
    <w:rsid w:val="001843C6"/>
    <w:rsid w:val="001850E0"/>
    <w:rsid w:val="00194188"/>
    <w:rsid w:val="001A03AF"/>
    <w:rsid w:val="001A2158"/>
    <w:rsid w:val="001A525F"/>
    <w:rsid w:val="001B09F9"/>
    <w:rsid w:val="001B5C90"/>
    <w:rsid w:val="001B6448"/>
    <w:rsid w:val="001B75FE"/>
    <w:rsid w:val="001C26ED"/>
    <w:rsid w:val="001C32CD"/>
    <w:rsid w:val="001D2984"/>
    <w:rsid w:val="001E07CF"/>
    <w:rsid w:val="001E4E52"/>
    <w:rsid w:val="001E59F1"/>
    <w:rsid w:val="001E5AB5"/>
    <w:rsid w:val="001F2CEE"/>
    <w:rsid w:val="001F49EB"/>
    <w:rsid w:val="001F6CBA"/>
    <w:rsid w:val="00201D4E"/>
    <w:rsid w:val="002076C9"/>
    <w:rsid w:val="00220B8A"/>
    <w:rsid w:val="002257F3"/>
    <w:rsid w:val="00233456"/>
    <w:rsid w:val="002339A5"/>
    <w:rsid w:val="00250271"/>
    <w:rsid w:val="00257848"/>
    <w:rsid w:val="002578E8"/>
    <w:rsid w:val="0027084A"/>
    <w:rsid w:val="00280265"/>
    <w:rsid w:val="00286434"/>
    <w:rsid w:val="00286C59"/>
    <w:rsid w:val="002906EF"/>
    <w:rsid w:val="00291957"/>
    <w:rsid w:val="0029294B"/>
    <w:rsid w:val="002942D1"/>
    <w:rsid w:val="0029501A"/>
    <w:rsid w:val="002971B0"/>
    <w:rsid w:val="002A3721"/>
    <w:rsid w:val="002B11CD"/>
    <w:rsid w:val="002B1638"/>
    <w:rsid w:val="002B3624"/>
    <w:rsid w:val="002B394A"/>
    <w:rsid w:val="002D0952"/>
    <w:rsid w:val="002D554F"/>
    <w:rsid w:val="002E40B3"/>
    <w:rsid w:val="002E4C9A"/>
    <w:rsid w:val="002F11F8"/>
    <w:rsid w:val="002F3F56"/>
    <w:rsid w:val="002F44B5"/>
    <w:rsid w:val="002F5122"/>
    <w:rsid w:val="00311AC0"/>
    <w:rsid w:val="003176FC"/>
    <w:rsid w:val="00324E45"/>
    <w:rsid w:val="0032583B"/>
    <w:rsid w:val="00327883"/>
    <w:rsid w:val="00334AF8"/>
    <w:rsid w:val="00334E1D"/>
    <w:rsid w:val="00335504"/>
    <w:rsid w:val="00337C50"/>
    <w:rsid w:val="00340C18"/>
    <w:rsid w:val="003442FD"/>
    <w:rsid w:val="00346109"/>
    <w:rsid w:val="00347824"/>
    <w:rsid w:val="00350567"/>
    <w:rsid w:val="003521E8"/>
    <w:rsid w:val="00354CDC"/>
    <w:rsid w:val="00370CE3"/>
    <w:rsid w:val="00370EBB"/>
    <w:rsid w:val="003728F3"/>
    <w:rsid w:val="003735BC"/>
    <w:rsid w:val="0037496E"/>
    <w:rsid w:val="003815AF"/>
    <w:rsid w:val="00383221"/>
    <w:rsid w:val="00386150"/>
    <w:rsid w:val="003874CE"/>
    <w:rsid w:val="00390900"/>
    <w:rsid w:val="003A5BB2"/>
    <w:rsid w:val="003A626E"/>
    <w:rsid w:val="003A7F6C"/>
    <w:rsid w:val="003B4D60"/>
    <w:rsid w:val="003B7E39"/>
    <w:rsid w:val="003C58DC"/>
    <w:rsid w:val="003D1E62"/>
    <w:rsid w:val="003E0B99"/>
    <w:rsid w:val="003E2486"/>
    <w:rsid w:val="003E3208"/>
    <w:rsid w:val="003F0B04"/>
    <w:rsid w:val="003F7FE7"/>
    <w:rsid w:val="0040134E"/>
    <w:rsid w:val="00416551"/>
    <w:rsid w:val="00421271"/>
    <w:rsid w:val="004334C7"/>
    <w:rsid w:val="00440A2D"/>
    <w:rsid w:val="00441C3F"/>
    <w:rsid w:val="004420CD"/>
    <w:rsid w:val="00444D1A"/>
    <w:rsid w:val="0045186A"/>
    <w:rsid w:val="00455260"/>
    <w:rsid w:val="004564A7"/>
    <w:rsid w:val="00456765"/>
    <w:rsid w:val="00457CE0"/>
    <w:rsid w:val="00460036"/>
    <w:rsid w:val="004617BF"/>
    <w:rsid w:val="00463658"/>
    <w:rsid w:val="004637A0"/>
    <w:rsid w:val="004641D7"/>
    <w:rsid w:val="004722CC"/>
    <w:rsid w:val="00481490"/>
    <w:rsid w:val="00482A86"/>
    <w:rsid w:val="00490483"/>
    <w:rsid w:val="004936E4"/>
    <w:rsid w:val="00494E60"/>
    <w:rsid w:val="00497487"/>
    <w:rsid w:val="004A2771"/>
    <w:rsid w:val="004A6189"/>
    <w:rsid w:val="004A7390"/>
    <w:rsid w:val="004B7B76"/>
    <w:rsid w:val="004C239D"/>
    <w:rsid w:val="004C2DCA"/>
    <w:rsid w:val="004C4FBE"/>
    <w:rsid w:val="004C61D2"/>
    <w:rsid w:val="004E32CE"/>
    <w:rsid w:val="004F0C4A"/>
    <w:rsid w:val="004F0F38"/>
    <w:rsid w:val="004F47D6"/>
    <w:rsid w:val="00500337"/>
    <w:rsid w:val="00500623"/>
    <w:rsid w:val="00501921"/>
    <w:rsid w:val="005070E9"/>
    <w:rsid w:val="00530354"/>
    <w:rsid w:val="00533C5D"/>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B3315"/>
    <w:rsid w:val="005B48A0"/>
    <w:rsid w:val="005C5570"/>
    <w:rsid w:val="005C5B66"/>
    <w:rsid w:val="005C79A4"/>
    <w:rsid w:val="005D1044"/>
    <w:rsid w:val="005D5442"/>
    <w:rsid w:val="005E0442"/>
    <w:rsid w:val="005F06C4"/>
    <w:rsid w:val="00603F32"/>
    <w:rsid w:val="00605AD4"/>
    <w:rsid w:val="006136D7"/>
    <w:rsid w:val="00615359"/>
    <w:rsid w:val="006153BB"/>
    <w:rsid w:val="00623ABC"/>
    <w:rsid w:val="00625A6E"/>
    <w:rsid w:val="00632398"/>
    <w:rsid w:val="00640FC3"/>
    <w:rsid w:val="00642020"/>
    <w:rsid w:val="00642540"/>
    <w:rsid w:val="006430EE"/>
    <w:rsid w:val="00645280"/>
    <w:rsid w:val="0065337B"/>
    <w:rsid w:val="0065419D"/>
    <w:rsid w:val="00656A1E"/>
    <w:rsid w:val="006603BC"/>
    <w:rsid w:val="006604D8"/>
    <w:rsid w:val="00664A5B"/>
    <w:rsid w:val="0066735C"/>
    <w:rsid w:val="006763D2"/>
    <w:rsid w:val="00680C08"/>
    <w:rsid w:val="006813E8"/>
    <w:rsid w:val="006832A1"/>
    <w:rsid w:val="006916A0"/>
    <w:rsid w:val="006931B1"/>
    <w:rsid w:val="006A15C0"/>
    <w:rsid w:val="006A58A8"/>
    <w:rsid w:val="006C3E2A"/>
    <w:rsid w:val="006C642F"/>
    <w:rsid w:val="006D03E5"/>
    <w:rsid w:val="006D0ED0"/>
    <w:rsid w:val="006D5D3E"/>
    <w:rsid w:val="006E08B3"/>
    <w:rsid w:val="006E5BD5"/>
    <w:rsid w:val="006F17AC"/>
    <w:rsid w:val="006F25B8"/>
    <w:rsid w:val="006F4607"/>
    <w:rsid w:val="006F572E"/>
    <w:rsid w:val="007046D6"/>
    <w:rsid w:val="00705DB0"/>
    <w:rsid w:val="00710041"/>
    <w:rsid w:val="007127DD"/>
    <w:rsid w:val="00713D81"/>
    <w:rsid w:val="00722B57"/>
    <w:rsid w:val="00730F8A"/>
    <w:rsid w:val="00735A8C"/>
    <w:rsid w:val="0074253D"/>
    <w:rsid w:val="00744121"/>
    <w:rsid w:val="0074429B"/>
    <w:rsid w:val="00760DA5"/>
    <w:rsid w:val="007615BC"/>
    <w:rsid w:val="00762F05"/>
    <w:rsid w:val="007652FF"/>
    <w:rsid w:val="00770CAC"/>
    <w:rsid w:val="00770EF1"/>
    <w:rsid w:val="00773EF7"/>
    <w:rsid w:val="00774E1D"/>
    <w:rsid w:val="007765D8"/>
    <w:rsid w:val="0077675A"/>
    <w:rsid w:val="00780355"/>
    <w:rsid w:val="007819FD"/>
    <w:rsid w:val="00785470"/>
    <w:rsid w:val="00785717"/>
    <w:rsid w:val="00785721"/>
    <w:rsid w:val="00793A59"/>
    <w:rsid w:val="007A46F5"/>
    <w:rsid w:val="007A6505"/>
    <w:rsid w:val="007B6132"/>
    <w:rsid w:val="007B6E9F"/>
    <w:rsid w:val="007C1216"/>
    <w:rsid w:val="007C1AF7"/>
    <w:rsid w:val="007C6B9B"/>
    <w:rsid w:val="007D53B6"/>
    <w:rsid w:val="00805D27"/>
    <w:rsid w:val="00806DCB"/>
    <w:rsid w:val="00814512"/>
    <w:rsid w:val="00821776"/>
    <w:rsid w:val="008321F5"/>
    <w:rsid w:val="00832369"/>
    <w:rsid w:val="00834660"/>
    <w:rsid w:val="00836BC2"/>
    <w:rsid w:val="00840328"/>
    <w:rsid w:val="0085156D"/>
    <w:rsid w:val="00852B28"/>
    <w:rsid w:val="0085641B"/>
    <w:rsid w:val="00857136"/>
    <w:rsid w:val="008729F5"/>
    <w:rsid w:val="00875A6B"/>
    <w:rsid w:val="008776E4"/>
    <w:rsid w:val="00877910"/>
    <w:rsid w:val="00885B11"/>
    <w:rsid w:val="00886D15"/>
    <w:rsid w:val="00887DD8"/>
    <w:rsid w:val="00891BA9"/>
    <w:rsid w:val="00896018"/>
    <w:rsid w:val="008960DD"/>
    <w:rsid w:val="0089635C"/>
    <w:rsid w:val="008A2B9D"/>
    <w:rsid w:val="008A3D9F"/>
    <w:rsid w:val="008A5E0B"/>
    <w:rsid w:val="008A6D59"/>
    <w:rsid w:val="008B4B03"/>
    <w:rsid w:val="008B596F"/>
    <w:rsid w:val="008B6FD4"/>
    <w:rsid w:val="008C159F"/>
    <w:rsid w:val="008C1623"/>
    <w:rsid w:val="008C1850"/>
    <w:rsid w:val="008C51A9"/>
    <w:rsid w:val="008D4355"/>
    <w:rsid w:val="008D509F"/>
    <w:rsid w:val="008E7846"/>
    <w:rsid w:val="008F02E5"/>
    <w:rsid w:val="008F1CCC"/>
    <w:rsid w:val="008F2967"/>
    <w:rsid w:val="008F6943"/>
    <w:rsid w:val="00900BD1"/>
    <w:rsid w:val="00902A21"/>
    <w:rsid w:val="00906146"/>
    <w:rsid w:val="00907438"/>
    <w:rsid w:val="00914D2C"/>
    <w:rsid w:val="0091523F"/>
    <w:rsid w:val="00920330"/>
    <w:rsid w:val="009219D7"/>
    <w:rsid w:val="00922D53"/>
    <w:rsid w:val="00923B70"/>
    <w:rsid w:val="00924482"/>
    <w:rsid w:val="00930237"/>
    <w:rsid w:val="00937C17"/>
    <w:rsid w:val="00940A89"/>
    <w:rsid w:val="00940C20"/>
    <w:rsid w:val="00941F77"/>
    <w:rsid w:val="00946EA5"/>
    <w:rsid w:val="00960520"/>
    <w:rsid w:val="00963C08"/>
    <w:rsid w:val="009647DA"/>
    <w:rsid w:val="00974D9D"/>
    <w:rsid w:val="009752A5"/>
    <w:rsid w:val="0098585A"/>
    <w:rsid w:val="00991360"/>
    <w:rsid w:val="009970EE"/>
    <w:rsid w:val="00997955"/>
    <w:rsid w:val="009A3436"/>
    <w:rsid w:val="009A4CED"/>
    <w:rsid w:val="009A690D"/>
    <w:rsid w:val="009B1D12"/>
    <w:rsid w:val="009B416B"/>
    <w:rsid w:val="009B59BB"/>
    <w:rsid w:val="009C4BD5"/>
    <w:rsid w:val="009D7B77"/>
    <w:rsid w:val="009E0BB0"/>
    <w:rsid w:val="009E3FBB"/>
    <w:rsid w:val="009F3A5B"/>
    <w:rsid w:val="009F7353"/>
    <w:rsid w:val="00A04F85"/>
    <w:rsid w:val="00A05FA4"/>
    <w:rsid w:val="00A06917"/>
    <w:rsid w:val="00A102E4"/>
    <w:rsid w:val="00A1219C"/>
    <w:rsid w:val="00A12C42"/>
    <w:rsid w:val="00A14DF7"/>
    <w:rsid w:val="00A22D57"/>
    <w:rsid w:val="00A24A89"/>
    <w:rsid w:val="00A3246D"/>
    <w:rsid w:val="00A36FA7"/>
    <w:rsid w:val="00A44DDB"/>
    <w:rsid w:val="00A4638D"/>
    <w:rsid w:val="00A475B7"/>
    <w:rsid w:val="00A47AF7"/>
    <w:rsid w:val="00A47C3E"/>
    <w:rsid w:val="00A50226"/>
    <w:rsid w:val="00A536B5"/>
    <w:rsid w:val="00A54981"/>
    <w:rsid w:val="00A60BAD"/>
    <w:rsid w:val="00A610F0"/>
    <w:rsid w:val="00A71D6B"/>
    <w:rsid w:val="00A77F87"/>
    <w:rsid w:val="00A80B5B"/>
    <w:rsid w:val="00A82F51"/>
    <w:rsid w:val="00A84E36"/>
    <w:rsid w:val="00A964D1"/>
    <w:rsid w:val="00AA0ED0"/>
    <w:rsid w:val="00AA35B2"/>
    <w:rsid w:val="00AB5396"/>
    <w:rsid w:val="00AB5D38"/>
    <w:rsid w:val="00AC2B40"/>
    <w:rsid w:val="00AC2BB2"/>
    <w:rsid w:val="00AC2C3C"/>
    <w:rsid w:val="00AC512D"/>
    <w:rsid w:val="00AD0083"/>
    <w:rsid w:val="00AD3935"/>
    <w:rsid w:val="00AE335C"/>
    <w:rsid w:val="00AE65EB"/>
    <w:rsid w:val="00AE67A7"/>
    <w:rsid w:val="00AF1D94"/>
    <w:rsid w:val="00AF60C5"/>
    <w:rsid w:val="00B009B0"/>
    <w:rsid w:val="00B009C6"/>
    <w:rsid w:val="00B01548"/>
    <w:rsid w:val="00B130C5"/>
    <w:rsid w:val="00B13EBD"/>
    <w:rsid w:val="00B21D29"/>
    <w:rsid w:val="00B25034"/>
    <w:rsid w:val="00B33588"/>
    <w:rsid w:val="00B33863"/>
    <w:rsid w:val="00B34033"/>
    <w:rsid w:val="00B344E7"/>
    <w:rsid w:val="00B37D17"/>
    <w:rsid w:val="00B4175E"/>
    <w:rsid w:val="00B41C85"/>
    <w:rsid w:val="00B43D7D"/>
    <w:rsid w:val="00B452CE"/>
    <w:rsid w:val="00B54C25"/>
    <w:rsid w:val="00B76B91"/>
    <w:rsid w:val="00B77EB1"/>
    <w:rsid w:val="00B811C6"/>
    <w:rsid w:val="00B855B0"/>
    <w:rsid w:val="00B87972"/>
    <w:rsid w:val="00B92E08"/>
    <w:rsid w:val="00BC622A"/>
    <w:rsid w:val="00BE0A78"/>
    <w:rsid w:val="00BE79F0"/>
    <w:rsid w:val="00BF046D"/>
    <w:rsid w:val="00BF1190"/>
    <w:rsid w:val="00BF3774"/>
    <w:rsid w:val="00BF5D04"/>
    <w:rsid w:val="00C009AA"/>
    <w:rsid w:val="00C1164D"/>
    <w:rsid w:val="00C16861"/>
    <w:rsid w:val="00C23A54"/>
    <w:rsid w:val="00C27826"/>
    <w:rsid w:val="00C346AB"/>
    <w:rsid w:val="00C404A6"/>
    <w:rsid w:val="00C40A36"/>
    <w:rsid w:val="00C42859"/>
    <w:rsid w:val="00C44419"/>
    <w:rsid w:val="00C45E7B"/>
    <w:rsid w:val="00C471B1"/>
    <w:rsid w:val="00C525A2"/>
    <w:rsid w:val="00C52E24"/>
    <w:rsid w:val="00C6316B"/>
    <w:rsid w:val="00C634A9"/>
    <w:rsid w:val="00C64586"/>
    <w:rsid w:val="00C70A36"/>
    <w:rsid w:val="00C70D53"/>
    <w:rsid w:val="00C726DB"/>
    <w:rsid w:val="00C73113"/>
    <w:rsid w:val="00C73D0B"/>
    <w:rsid w:val="00C74F5C"/>
    <w:rsid w:val="00C772FF"/>
    <w:rsid w:val="00C80137"/>
    <w:rsid w:val="00C801AF"/>
    <w:rsid w:val="00C80256"/>
    <w:rsid w:val="00C94CD4"/>
    <w:rsid w:val="00C96764"/>
    <w:rsid w:val="00C9747E"/>
    <w:rsid w:val="00CA0B88"/>
    <w:rsid w:val="00CB6BC0"/>
    <w:rsid w:val="00CC0E6D"/>
    <w:rsid w:val="00CC1B7C"/>
    <w:rsid w:val="00CC4FD0"/>
    <w:rsid w:val="00CC727F"/>
    <w:rsid w:val="00CF15C3"/>
    <w:rsid w:val="00CF2B6F"/>
    <w:rsid w:val="00CF2F3E"/>
    <w:rsid w:val="00CF3F19"/>
    <w:rsid w:val="00CF58B6"/>
    <w:rsid w:val="00CF5DAD"/>
    <w:rsid w:val="00D0062D"/>
    <w:rsid w:val="00D017ED"/>
    <w:rsid w:val="00D040D3"/>
    <w:rsid w:val="00D04C65"/>
    <w:rsid w:val="00D153D8"/>
    <w:rsid w:val="00D201D2"/>
    <w:rsid w:val="00D224FE"/>
    <w:rsid w:val="00D23139"/>
    <w:rsid w:val="00D372DD"/>
    <w:rsid w:val="00D425BB"/>
    <w:rsid w:val="00D453FA"/>
    <w:rsid w:val="00D6493E"/>
    <w:rsid w:val="00D7195D"/>
    <w:rsid w:val="00D7301E"/>
    <w:rsid w:val="00D82567"/>
    <w:rsid w:val="00D83AE1"/>
    <w:rsid w:val="00D855D4"/>
    <w:rsid w:val="00D902C9"/>
    <w:rsid w:val="00D93466"/>
    <w:rsid w:val="00D96FBA"/>
    <w:rsid w:val="00DA1124"/>
    <w:rsid w:val="00DA64CB"/>
    <w:rsid w:val="00DB06B8"/>
    <w:rsid w:val="00DB0B6E"/>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22C6"/>
    <w:rsid w:val="00E235F7"/>
    <w:rsid w:val="00E23659"/>
    <w:rsid w:val="00E239D4"/>
    <w:rsid w:val="00E26130"/>
    <w:rsid w:val="00E33D42"/>
    <w:rsid w:val="00E40B22"/>
    <w:rsid w:val="00E44ED1"/>
    <w:rsid w:val="00E45619"/>
    <w:rsid w:val="00E4588F"/>
    <w:rsid w:val="00E46DA3"/>
    <w:rsid w:val="00E51BB1"/>
    <w:rsid w:val="00E53523"/>
    <w:rsid w:val="00E55CB0"/>
    <w:rsid w:val="00E624A5"/>
    <w:rsid w:val="00E64BA4"/>
    <w:rsid w:val="00E7344E"/>
    <w:rsid w:val="00E82665"/>
    <w:rsid w:val="00E958A5"/>
    <w:rsid w:val="00E959BD"/>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AB9"/>
    <w:rsid w:val="00F04F68"/>
    <w:rsid w:val="00F12670"/>
    <w:rsid w:val="00F131C3"/>
    <w:rsid w:val="00F14B27"/>
    <w:rsid w:val="00F3148D"/>
    <w:rsid w:val="00F325C5"/>
    <w:rsid w:val="00F32FE0"/>
    <w:rsid w:val="00F33557"/>
    <w:rsid w:val="00F35298"/>
    <w:rsid w:val="00F36448"/>
    <w:rsid w:val="00F459EB"/>
    <w:rsid w:val="00F47333"/>
    <w:rsid w:val="00F47E37"/>
    <w:rsid w:val="00F5211C"/>
    <w:rsid w:val="00F53C07"/>
    <w:rsid w:val="00F54B65"/>
    <w:rsid w:val="00F6026F"/>
    <w:rsid w:val="00F63DBF"/>
    <w:rsid w:val="00F640B6"/>
    <w:rsid w:val="00F66DF2"/>
    <w:rsid w:val="00F72B7A"/>
    <w:rsid w:val="00F80E40"/>
    <w:rsid w:val="00F848D9"/>
    <w:rsid w:val="00F944D4"/>
    <w:rsid w:val="00FA5069"/>
    <w:rsid w:val="00FA5B82"/>
    <w:rsid w:val="00FA639E"/>
    <w:rsid w:val="00FC1FCA"/>
    <w:rsid w:val="00FC25E4"/>
    <w:rsid w:val="00FC4EF7"/>
    <w:rsid w:val="00FD0824"/>
    <w:rsid w:val="00FD119B"/>
    <w:rsid w:val="00FD1EDC"/>
    <w:rsid w:val="00FE1DEE"/>
    <w:rsid w:val="00FE1E66"/>
    <w:rsid w:val="00FE2CBD"/>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B3B5A0"/>
  <w15:docId w15:val="{EFDA875D-B12A-4673-81AB-5325E7CE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222C6"/>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3"/>
    <w:qFormat/>
    <w:rsid w:val="004C2DCA"/>
    <w:pPr>
      <w:numPr>
        <w:numId w:val="24"/>
      </w:numPr>
    </w:pPr>
  </w:style>
  <w:style w:type="paragraph" w:customStyle="1" w:styleId="Numberbullet2">
    <w:name w:val="Number bullet 2"/>
    <w:basedOn w:val="ListBullet2"/>
    <w:uiPriority w:val="3"/>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997955"/>
    <w:rPr>
      <w:rFonts w:ascii="Cambria" w:eastAsia="Cambria" w:hAnsi="Cambria" w:cs="Times New Roman"/>
      <w:sz w:val="19"/>
    </w:rPr>
  </w:style>
  <w:style w:type="paragraph" w:styleId="ListParagraph">
    <w:name w:val="List Paragraph"/>
    <w:basedOn w:val="Normal"/>
    <w:uiPriority w:val="34"/>
    <w:qFormat/>
    <w:rsid w:val="009F3A5B"/>
    <w:pPr>
      <w:adjustRightInd w:val="0"/>
      <w:snapToGrid w:val="0"/>
      <w:spacing w:before="180" w:after="180"/>
      <w:ind w:left="720"/>
      <w:contextualSpacing/>
    </w:pPr>
    <w:rPr>
      <w:rFonts w:eastAsia="MS Mincho"/>
      <w:szCs w:val="20"/>
      <w:lang w:eastAsia="ja-JP"/>
    </w:rPr>
  </w:style>
  <w:style w:type="paragraph" w:customStyle="1" w:styleId="Default">
    <w:name w:val="Default"/>
    <w:rsid w:val="006E5BD5"/>
    <w:pPr>
      <w:autoSpaceDE w:val="0"/>
      <w:autoSpaceDN w:val="0"/>
      <w:adjustRightInd w:val="0"/>
      <w:spacing w:after="0" w:line="240" w:lineRule="auto"/>
    </w:pPr>
    <w:rPr>
      <w:rFonts w:ascii="Cambria" w:hAnsi="Cambria" w:cs="Cambria"/>
      <w:color w:val="000000"/>
      <w:sz w:val="24"/>
      <w:szCs w:val="24"/>
    </w:rPr>
  </w:style>
  <w:style w:type="paragraph" w:styleId="TOC6">
    <w:name w:val="toc 6"/>
    <w:basedOn w:val="Normal"/>
    <w:next w:val="Normal"/>
    <w:autoRedefine/>
    <w:uiPriority w:val="39"/>
    <w:semiHidden/>
    <w:unhideWhenUsed/>
    <w:rsid w:val="00FE2CB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6835">
      <w:bodyDiv w:val="1"/>
      <w:marLeft w:val="0"/>
      <w:marRight w:val="0"/>
      <w:marTop w:val="0"/>
      <w:marBottom w:val="0"/>
      <w:divBdr>
        <w:top w:val="none" w:sz="0" w:space="0" w:color="auto"/>
        <w:left w:val="none" w:sz="0" w:space="0" w:color="auto"/>
        <w:bottom w:val="none" w:sz="0" w:space="0" w:color="auto"/>
        <w:right w:val="none" w:sz="0" w:space="0" w:color="auto"/>
      </w:divBdr>
    </w:div>
    <w:div w:id="68160024">
      <w:bodyDiv w:val="1"/>
      <w:marLeft w:val="0"/>
      <w:marRight w:val="0"/>
      <w:marTop w:val="0"/>
      <w:marBottom w:val="0"/>
      <w:divBdr>
        <w:top w:val="none" w:sz="0" w:space="0" w:color="auto"/>
        <w:left w:val="none" w:sz="0" w:space="0" w:color="auto"/>
        <w:bottom w:val="none" w:sz="0" w:space="0" w:color="auto"/>
        <w:right w:val="none" w:sz="0" w:space="0" w:color="auto"/>
      </w:divBdr>
    </w:div>
    <w:div w:id="260921567">
      <w:bodyDiv w:val="1"/>
      <w:marLeft w:val="0"/>
      <w:marRight w:val="0"/>
      <w:marTop w:val="0"/>
      <w:marBottom w:val="0"/>
      <w:divBdr>
        <w:top w:val="none" w:sz="0" w:space="0" w:color="auto"/>
        <w:left w:val="none" w:sz="0" w:space="0" w:color="auto"/>
        <w:bottom w:val="none" w:sz="0" w:space="0" w:color="auto"/>
        <w:right w:val="none" w:sz="0" w:space="0" w:color="auto"/>
      </w:divBdr>
    </w:div>
    <w:div w:id="441074904">
      <w:bodyDiv w:val="1"/>
      <w:marLeft w:val="0"/>
      <w:marRight w:val="0"/>
      <w:marTop w:val="0"/>
      <w:marBottom w:val="0"/>
      <w:divBdr>
        <w:top w:val="none" w:sz="0" w:space="0" w:color="auto"/>
        <w:left w:val="none" w:sz="0" w:space="0" w:color="auto"/>
        <w:bottom w:val="none" w:sz="0" w:space="0" w:color="auto"/>
        <w:right w:val="none" w:sz="0" w:space="0" w:color="auto"/>
      </w:divBdr>
    </w:div>
    <w:div w:id="576986807">
      <w:bodyDiv w:val="1"/>
      <w:marLeft w:val="0"/>
      <w:marRight w:val="0"/>
      <w:marTop w:val="0"/>
      <w:marBottom w:val="0"/>
      <w:divBdr>
        <w:top w:val="none" w:sz="0" w:space="0" w:color="auto"/>
        <w:left w:val="none" w:sz="0" w:space="0" w:color="auto"/>
        <w:bottom w:val="none" w:sz="0" w:space="0" w:color="auto"/>
        <w:right w:val="none" w:sz="0" w:space="0" w:color="auto"/>
      </w:divBdr>
    </w:div>
    <w:div w:id="700979759">
      <w:bodyDiv w:val="1"/>
      <w:marLeft w:val="0"/>
      <w:marRight w:val="0"/>
      <w:marTop w:val="0"/>
      <w:marBottom w:val="0"/>
      <w:divBdr>
        <w:top w:val="none" w:sz="0" w:space="0" w:color="auto"/>
        <w:left w:val="none" w:sz="0" w:space="0" w:color="auto"/>
        <w:bottom w:val="none" w:sz="0" w:space="0" w:color="auto"/>
        <w:right w:val="none" w:sz="0" w:space="0" w:color="auto"/>
      </w:divBdr>
    </w:div>
    <w:div w:id="914894459">
      <w:bodyDiv w:val="1"/>
      <w:marLeft w:val="0"/>
      <w:marRight w:val="0"/>
      <w:marTop w:val="0"/>
      <w:marBottom w:val="0"/>
      <w:divBdr>
        <w:top w:val="none" w:sz="0" w:space="0" w:color="auto"/>
        <w:left w:val="none" w:sz="0" w:space="0" w:color="auto"/>
        <w:bottom w:val="none" w:sz="0" w:space="0" w:color="auto"/>
        <w:right w:val="none" w:sz="0" w:space="0" w:color="auto"/>
      </w:divBdr>
    </w:div>
    <w:div w:id="1092818073">
      <w:bodyDiv w:val="1"/>
      <w:marLeft w:val="0"/>
      <w:marRight w:val="0"/>
      <w:marTop w:val="0"/>
      <w:marBottom w:val="0"/>
      <w:divBdr>
        <w:top w:val="none" w:sz="0" w:space="0" w:color="auto"/>
        <w:left w:val="none" w:sz="0" w:space="0" w:color="auto"/>
        <w:bottom w:val="none" w:sz="0" w:space="0" w:color="auto"/>
        <w:right w:val="none" w:sz="0" w:space="0" w:color="auto"/>
      </w:divBdr>
    </w:div>
    <w:div w:id="1601599217">
      <w:bodyDiv w:val="1"/>
      <w:marLeft w:val="0"/>
      <w:marRight w:val="0"/>
      <w:marTop w:val="0"/>
      <w:marBottom w:val="0"/>
      <w:divBdr>
        <w:top w:val="none" w:sz="0" w:space="0" w:color="auto"/>
        <w:left w:val="none" w:sz="0" w:space="0" w:color="auto"/>
        <w:bottom w:val="none" w:sz="0" w:space="0" w:color="auto"/>
        <w:right w:val="none" w:sz="0" w:space="0" w:color="auto"/>
      </w:divBdr>
    </w:div>
    <w:div w:id="2060930990">
      <w:bodyDiv w:val="1"/>
      <w:marLeft w:val="0"/>
      <w:marRight w:val="0"/>
      <w:marTop w:val="0"/>
      <w:marBottom w:val="0"/>
      <w:divBdr>
        <w:top w:val="none" w:sz="0" w:space="0" w:color="auto"/>
        <w:left w:val="none" w:sz="0" w:space="0" w:color="auto"/>
        <w:bottom w:val="none" w:sz="0" w:space="0" w:color="auto"/>
        <w:right w:val="none" w:sz="0" w:space="0" w:color="auto"/>
      </w:divBdr>
    </w:div>
    <w:div w:id="21385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product-information-pi"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hyperlink" Target="https://www.tga.gov.au" TargetMode="External"/><Relationship Id="rId35"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14728\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2FBA-6D44-4AD9-B8BE-73C72A28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10</TotalTime>
  <Pages>35</Pages>
  <Words>13047</Words>
  <Characters>74369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Australian public assessment report for Risdiplam</vt:lpstr>
    </vt:vector>
  </TitlesOfParts>
  <Company>Department of Health Therapeutic Goods Administration</Company>
  <LinksUpToDate>false</LinksUpToDate>
  <CharactersWithSpaces>87242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Risdiplam</dc:title>
  <dc:subject>prescription medicines</dc:subject>
  <dc:creator> Therapeutic Goods Administration</dc:creator>
  <cp:keywords/>
  <cp:lastPrinted>2019-08-14T04:30:00Z</cp:lastPrinted>
  <dcterms:created xsi:type="dcterms:W3CDTF">2021-09-13T00:20:00Z</dcterms:created>
  <dcterms:modified xsi:type="dcterms:W3CDTF">2021-09-13T00:32:00Z</dcterms:modified>
  <cp:category/>
</cp:coreProperties>
</file>