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DE887" w14:textId="3EBD710D" w:rsidR="00800E20" w:rsidRDefault="00800E20" w:rsidP="00800E20">
      <w:pPr>
        <w:tabs>
          <w:tab w:val="left" w:pos="284"/>
        </w:tabs>
        <w:spacing w:after="480"/>
      </w:pPr>
      <w:r>
        <w:rPr>
          <w:noProof/>
          <w:lang w:val="en-AU"/>
        </w:rPr>
        <mc:AlternateContent>
          <mc:Choice Requires="wps">
            <w:drawing>
              <wp:inline distT="0" distB="0" distL="0" distR="0" wp14:anchorId="349E5816" wp14:editId="39A6240D">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00180" w14:textId="77777777" w:rsidR="007A519F" w:rsidRPr="00BE2A26" w:rsidRDefault="007A519F" w:rsidP="00800E20">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349E5816"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" stroked="f">
                <v:textbox inset="0,0,0,0">
                  <w:txbxContent>
                    <w:p w14:paraId="3C900180" w14:textId="77777777" w:rsidR="007A519F" w:rsidRPr="00BE2A26" w:rsidRDefault="007A519F" w:rsidP="00800E20">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B9034D">
        <w:t xml:space="preserve">This medicinal product is subject to additional monitoring </w:t>
      </w:r>
      <w:r w:rsidRPr="009626BC">
        <w:t>in Australia.</w:t>
      </w:r>
      <w:r w:rsidRPr="00B9034D">
        <w:t xml:space="preserve"> This will allow quick identification of new safety information. Healthcare professionals are asked to report any suspected adverse events at </w:t>
      </w:r>
      <w:hyperlink r:id="rId7" w:history="1">
        <w:r w:rsidRPr="00B9034D">
          <w:rPr>
            <w:rStyle w:val="Hyperlink"/>
          </w:rPr>
          <w:t>www.tga.gov.au/reporting-problems</w:t>
        </w:r>
      </w:hyperlink>
      <w:r w:rsidRPr="00B9034D">
        <w:t>.</w:t>
      </w:r>
    </w:p>
    <w:p w14:paraId="21C64BD3" w14:textId="1A7704A3" w:rsidR="00671ECF" w:rsidRPr="00FF7244" w:rsidRDefault="00343240" w:rsidP="00343240">
      <w:pPr>
        <w:jc w:val="center"/>
        <w:rPr>
          <w:b/>
          <w:color w:val="auto"/>
          <w:sz w:val="28"/>
          <w:szCs w:val="28"/>
          <w:lang w:val="en-AU"/>
        </w:rPr>
      </w:pPr>
      <w:r w:rsidRPr="00FF7244">
        <w:rPr>
          <w:b/>
          <w:color w:val="auto"/>
          <w:sz w:val="28"/>
          <w:szCs w:val="28"/>
          <w:lang w:val="en-AU"/>
        </w:rPr>
        <w:t xml:space="preserve">AUSTRALIAN PRODUCT INFORMATION </w:t>
      </w:r>
    </w:p>
    <w:p w14:paraId="4EA16B10" w14:textId="29F29DF4" w:rsidR="00343240" w:rsidRPr="00FF7244" w:rsidRDefault="00FF7244" w:rsidP="00343240">
      <w:pPr>
        <w:jc w:val="center"/>
        <w:rPr>
          <w:b/>
          <w:color w:val="auto"/>
          <w:sz w:val="28"/>
          <w:szCs w:val="28"/>
          <w:lang w:val="en-AU"/>
        </w:rPr>
      </w:pPr>
      <w:proofErr w:type="spellStart"/>
      <w:r w:rsidRPr="00FF7244">
        <w:rPr>
          <w:b/>
          <w:color w:val="auto"/>
          <w:sz w:val="28"/>
          <w:szCs w:val="28"/>
          <w:lang w:val="en-AU"/>
        </w:rPr>
        <w:t>Evrysdi</w:t>
      </w:r>
      <w:proofErr w:type="spellEnd"/>
      <w:r w:rsidR="00343240" w:rsidRPr="00FF7244">
        <w:rPr>
          <w:b/>
          <w:color w:val="auto"/>
          <w:sz w:val="28"/>
          <w:szCs w:val="28"/>
          <w:vertAlign w:val="superscript"/>
          <w:lang w:val="en-AU"/>
        </w:rPr>
        <w:t>®</w:t>
      </w:r>
      <w:r w:rsidR="00343240" w:rsidRPr="00FF7244">
        <w:rPr>
          <w:b/>
          <w:color w:val="auto"/>
          <w:sz w:val="28"/>
          <w:szCs w:val="28"/>
          <w:lang w:val="en-AU"/>
        </w:rPr>
        <w:t xml:space="preserve"> (</w:t>
      </w:r>
      <w:proofErr w:type="spellStart"/>
      <w:r w:rsidRPr="00FF7244">
        <w:rPr>
          <w:b/>
          <w:color w:val="auto"/>
          <w:sz w:val="28"/>
          <w:szCs w:val="28"/>
          <w:lang w:val="en-AU"/>
        </w:rPr>
        <w:t>risdiplam</w:t>
      </w:r>
      <w:proofErr w:type="spellEnd"/>
      <w:r w:rsidR="00343240" w:rsidRPr="00FF7244">
        <w:rPr>
          <w:b/>
          <w:color w:val="auto"/>
          <w:sz w:val="28"/>
          <w:szCs w:val="28"/>
          <w:lang w:val="en-AU"/>
        </w:rPr>
        <w:t>)</w:t>
      </w:r>
      <w:r w:rsidR="001D7B9B" w:rsidRPr="00FF7244">
        <w:rPr>
          <w:b/>
          <w:color w:val="auto"/>
          <w:sz w:val="28"/>
          <w:szCs w:val="28"/>
          <w:lang w:val="en-AU"/>
        </w:rPr>
        <w:t xml:space="preserve"> </w:t>
      </w:r>
      <w:r w:rsidRPr="00FF7244">
        <w:rPr>
          <w:b/>
          <w:color w:val="auto"/>
          <w:sz w:val="28"/>
          <w:szCs w:val="28"/>
          <w:lang w:val="en-AU"/>
        </w:rPr>
        <w:t>powder for oral solution</w:t>
      </w:r>
    </w:p>
    <w:p w14:paraId="7616D93F" w14:textId="0890E9C1" w:rsidR="00D52399" w:rsidRPr="00435230" w:rsidRDefault="006C73C2" w:rsidP="00435230">
      <w:pPr>
        <w:pStyle w:val="Heading1"/>
      </w:pPr>
      <w:r w:rsidRPr="00435230">
        <w:t>NAME OF THE MEDICINE</w:t>
      </w:r>
    </w:p>
    <w:p w14:paraId="7BEF6039" w14:textId="77777777" w:rsidR="00517FED" w:rsidRDefault="00517FED"/>
    <w:p w14:paraId="65994F61" w14:textId="0D0B1E01" w:rsidR="00D52399" w:rsidRDefault="00FF7244">
      <w:proofErr w:type="spellStart"/>
      <w:r>
        <w:t>Risdiplam</w:t>
      </w:r>
      <w:proofErr w:type="spellEnd"/>
      <w:r>
        <w:t>.</w:t>
      </w:r>
    </w:p>
    <w:p w14:paraId="5DD4CE34" w14:textId="0B7F3D78" w:rsidR="00D52399" w:rsidRDefault="00615052" w:rsidP="00435230">
      <w:pPr>
        <w:pStyle w:val="Heading1"/>
      </w:pPr>
      <w:r>
        <w:t>QUALITATIVE AND QUANTITATIVE COMPOSITION</w:t>
      </w:r>
    </w:p>
    <w:p w14:paraId="4A0F092C" w14:textId="6FC40A4B" w:rsidR="00D52399" w:rsidRPr="004C1CF8" w:rsidRDefault="00D52399"/>
    <w:p w14:paraId="4ECBD5DB" w14:textId="0B505E11" w:rsidR="004C1CF8" w:rsidRPr="004C1CF8" w:rsidRDefault="004C1CF8">
      <w:proofErr w:type="spellStart"/>
      <w:r w:rsidRPr="004C1CF8">
        <w:t>Evr</w:t>
      </w:r>
      <w:r>
        <w:t>ysdi</w:t>
      </w:r>
      <w:proofErr w:type="spellEnd"/>
      <w:r>
        <w:t xml:space="preserve"> is available as a powder for oral solution. </w:t>
      </w:r>
      <w:r w:rsidR="00A22B75">
        <w:t xml:space="preserve">Each bottle is filled with 2.0 g of powder containing 60 mg of </w:t>
      </w:r>
      <w:proofErr w:type="spellStart"/>
      <w:r w:rsidR="00A22B75">
        <w:t>risdiplam</w:t>
      </w:r>
      <w:proofErr w:type="spellEnd"/>
      <w:r w:rsidR="00A22B75">
        <w:t xml:space="preserve">. </w:t>
      </w:r>
      <w:r>
        <w:t>The powder is reconstituted to form an oral solution con</w:t>
      </w:r>
      <w:r w:rsidR="00A22B75">
        <w:t xml:space="preserve">taining </w:t>
      </w:r>
      <w:proofErr w:type="spellStart"/>
      <w:r w:rsidR="00A22B75">
        <w:t>risdiplam</w:t>
      </w:r>
      <w:proofErr w:type="spellEnd"/>
      <w:r w:rsidR="00A22B75">
        <w:t xml:space="preserve"> </w:t>
      </w:r>
      <w:r w:rsidR="003E2C7F">
        <w:t>0.75 mg/mL</w:t>
      </w:r>
    </w:p>
    <w:p w14:paraId="66D1B467" w14:textId="67858E6F" w:rsidR="002F0E1A" w:rsidRDefault="002F0E1A" w:rsidP="002F0E1A">
      <w:pPr>
        <w:pStyle w:val="Heading4"/>
      </w:pPr>
      <w:r>
        <w:t>Excipients with known effect</w:t>
      </w:r>
    </w:p>
    <w:p w14:paraId="7FAA9B59" w14:textId="77777777" w:rsidR="002F0E1A" w:rsidRDefault="002F0E1A">
      <w:pPr>
        <w:rPr>
          <w:u w:val="single"/>
        </w:rPr>
      </w:pPr>
    </w:p>
    <w:p w14:paraId="1DE891ED" w14:textId="77777777" w:rsidR="00F956EC" w:rsidRDefault="001D71F3">
      <w:bookmarkStart w:id="0" w:name="_gjdgxs" w:colFirst="0" w:colLast="0"/>
      <w:bookmarkEnd w:id="0"/>
      <w:proofErr w:type="spellStart"/>
      <w:r w:rsidRPr="001D71F3">
        <w:t>Evrysdi</w:t>
      </w:r>
      <w:proofErr w:type="spellEnd"/>
      <w:r w:rsidRPr="001D71F3">
        <w:t xml:space="preserve"> contains less than 1 mmol sodium (23 mg) per dose, i.e. essentially ‘sodium-free’.</w:t>
      </w:r>
    </w:p>
    <w:p w14:paraId="049D94DA" w14:textId="78C3E107" w:rsidR="00F956EC" w:rsidRDefault="00F956EC">
      <w:proofErr w:type="spellStart"/>
      <w:r>
        <w:t>Evrys</w:t>
      </w:r>
      <w:r w:rsidR="00710419">
        <w:t>di</w:t>
      </w:r>
      <w:proofErr w:type="spellEnd"/>
      <w:r w:rsidR="00710419">
        <w:t xml:space="preserve"> contains sodium benzoate</w:t>
      </w:r>
      <w:r w:rsidR="007001B0">
        <w:t xml:space="preserve"> and </w:t>
      </w:r>
      <w:r>
        <w:t>sucralose</w:t>
      </w:r>
      <w:r w:rsidR="00710419">
        <w:t>.</w:t>
      </w:r>
    </w:p>
    <w:p w14:paraId="3DDFB12B" w14:textId="0F532ACC" w:rsidR="00D52399" w:rsidRDefault="00615052">
      <w:pPr>
        <w:rPr>
          <w:u w:val="single"/>
        </w:rPr>
      </w:pPr>
      <w:r>
        <w:t>For the full list of excipients, see section 6.1.</w:t>
      </w:r>
    </w:p>
    <w:p w14:paraId="499C880D" w14:textId="77777777" w:rsidR="00D52399" w:rsidRPr="00435230" w:rsidRDefault="00615052" w:rsidP="00FD32C0">
      <w:pPr>
        <w:pStyle w:val="Heading1"/>
      </w:pPr>
      <w:r w:rsidRPr="00435230">
        <w:t>PHARMACEUTICAL FORM</w:t>
      </w:r>
    </w:p>
    <w:p w14:paraId="151C34DD" w14:textId="77777777" w:rsidR="00D52399" w:rsidRDefault="00D52399" w:rsidP="0093644E"/>
    <w:p w14:paraId="6585CB96" w14:textId="44450177" w:rsidR="0093644E" w:rsidRDefault="004C1CF8" w:rsidP="0093644E">
      <w:r>
        <w:t>Powder for oral solution.</w:t>
      </w:r>
    </w:p>
    <w:p w14:paraId="6CC12D21" w14:textId="77777777" w:rsidR="0093644E" w:rsidRDefault="0093644E" w:rsidP="0093644E"/>
    <w:p w14:paraId="1E5EB0CE" w14:textId="3F25D9D6" w:rsidR="004C1CF8" w:rsidRDefault="004C1CF8" w:rsidP="004C1CF8">
      <w:proofErr w:type="spellStart"/>
      <w:r>
        <w:t>Evrysdi</w:t>
      </w:r>
      <w:proofErr w:type="spellEnd"/>
      <w:r>
        <w:t xml:space="preserve"> is supplied as a powder in an amber glass bottle. </w:t>
      </w:r>
    </w:p>
    <w:p w14:paraId="31B19C9D" w14:textId="77777777" w:rsidR="004C1CF8" w:rsidRDefault="004C1CF8" w:rsidP="004C1CF8"/>
    <w:p w14:paraId="31BA925D" w14:textId="181714A7" w:rsidR="00343240" w:rsidRDefault="004C1CF8" w:rsidP="00EA7411">
      <w:r>
        <w:t xml:space="preserve">The powder is reconstituted with purified water or water for injections to yield an oral solution containing </w:t>
      </w:r>
      <w:r w:rsidR="003E2C7F">
        <w:t>0.75 mg/mL</w:t>
      </w:r>
      <w:r>
        <w:t xml:space="preserve"> of </w:t>
      </w:r>
      <w:proofErr w:type="spellStart"/>
      <w:r>
        <w:t>risdiplam</w:t>
      </w:r>
      <w:proofErr w:type="spellEnd"/>
      <w:r>
        <w:t xml:space="preserve"> (see section 4.2 </w:t>
      </w:r>
      <w:r w:rsidR="00DC496F">
        <w:t xml:space="preserve">Preparation of </w:t>
      </w:r>
      <w:r w:rsidR="00EA794E">
        <w:t xml:space="preserve">the </w:t>
      </w:r>
      <w:r w:rsidR="00DC496F">
        <w:t>powder for oral solution</w:t>
      </w:r>
      <w:r>
        <w:t>).</w:t>
      </w:r>
      <w:r w:rsidR="00435230" w:rsidRPr="00786B90">
        <w:t xml:space="preserve"> </w:t>
      </w:r>
      <w:r w:rsidR="00EA7411">
        <w:t xml:space="preserve">The reconstituted solution </w:t>
      </w:r>
      <w:r w:rsidR="00895A9A" w:rsidRPr="00895A9A">
        <w:rPr>
          <w:lang w:val="en-AU"/>
        </w:rPr>
        <w:t>is clear, greenish yellow to yellow in colour</w:t>
      </w:r>
      <w:r w:rsidR="00EA7411">
        <w:t>.</w:t>
      </w:r>
    </w:p>
    <w:p w14:paraId="2A0765AF" w14:textId="7C6B0C0F" w:rsidR="00D52399" w:rsidRDefault="00615052" w:rsidP="00343240">
      <w:pPr>
        <w:pStyle w:val="Heading1"/>
      </w:pPr>
      <w:r>
        <w:t>CLINICAL PARTICULARS</w:t>
      </w:r>
    </w:p>
    <w:p w14:paraId="78D4B3B3" w14:textId="77777777" w:rsidR="00D52399" w:rsidRDefault="004C2563">
      <w:pPr>
        <w:pStyle w:val="Heading2"/>
        <w:numPr>
          <w:ilvl w:val="0"/>
          <w:numId w:val="1"/>
        </w:numPr>
        <w:ind w:left="0" w:firstLine="0"/>
      </w:pPr>
      <w:r>
        <w:t>THERAPEUTIC INDICATIONS</w:t>
      </w:r>
    </w:p>
    <w:p w14:paraId="12FEE506" w14:textId="77777777" w:rsidR="00D52399" w:rsidRDefault="00D52399"/>
    <w:p w14:paraId="15406FE2" w14:textId="594719FB" w:rsidR="005847BA" w:rsidRDefault="00DC496F" w:rsidP="00BE5798">
      <w:proofErr w:type="spellStart"/>
      <w:r w:rsidRPr="00DC496F">
        <w:t>Evrysdi</w:t>
      </w:r>
      <w:proofErr w:type="spellEnd"/>
      <w:r w:rsidRPr="00DC496F">
        <w:t xml:space="preserve"> is indicated for the treatment of </w:t>
      </w:r>
      <w:r>
        <w:t xml:space="preserve">5q </w:t>
      </w:r>
      <w:r w:rsidRPr="00DC496F">
        <w:t>spinal muscular atrophy (SMA)</w:t>
      </w:r>
      <w:r w:rsidR="00233E32">
        <w:t xml:space="preserve"> </w:t>
      </w:r>
      <w:r w:rsidR="00233E32" w:rsidRPr="002007E8">
        <w:t xml:space="preserve">in patients aged </w:t>
      </w:r>
      <w:r w:rsidR="00233E32" w:rsidRPr="003872E7">
        <w:rPr>
          <w:lang w:val="en-US"/>
        </w:rPr>
        <w:t>2 months and older</w:t>
      </w:r>
      <w:r>
        <w:t>.</w:t>
      </w:r>
    </w:p>
    <w:p w14:paraId="49642F36" w14:textId="77777777" w:rsidR="00FC0A0D" w:rsidRDefault="00FC0A0D" w:rsidP="0058021C">
      <w:pPr>
        <w:pStyle w:val="Heading2"/>
        <w:keepNext/>
        <w:numPr>
          <w:ilvl w:val="1"/>
          <w:numId w:val="2"/>
        </w:numPr>
        <w:ind w:left="0" w:firstLine="0"/>
      </w:pPr>
      <w:r>
        <w:t>DOSE AND METHOD OF ADMINISTRATION</w:t>
      </w:r>
    </w:p>
    <w:p w14:paraId="3B7A1DD8" w14:textId="77777777" w:rsidR="00947662" w:rsidRDefault="00947662" w:rsidP="00947662"/>
    <w:p w14:paraId="6B47BB57" w14:textId="0289CFE6" w:rsidR="00947662" w:rsidRDefault="00DC496F" w:rsidP="00840C56">
      <w:proofErr w:type="spellStart"/>
      <w:r w:rsidRPr="00DC496F">
        <w:lastRenderedPageBreak/>
        <w:t>Evrysdi</w:t>
      </w:r>
      <w:proofErr w:type="spellEnd"/>
      <w:r w:rsidRPr="00DC496F">
        <w:t xml:space="preserve"> oral solution must be </w:t>
      </w:r>
      <w:r>
        <w:t>re</w:t>
      </w:r>
      <w:r w:rsidRPr="00DC496F">
        <w:t>constituted by a health</w:t>
      </w:r>
      <w:r>
        <w:t>care professional</w:t>
      </w:r>
      <w:r w:rsidRPr="00DC496F">
        <w:t xml:space="preserve"> prior to being dispensed.  </w:t>
      </w:r>
    </w:p>
    <w:p w14:paraId="0B3F5970" w14:textId="18732556" w:rsidR="00DC496F" w:rsidRDefault="00DC496F" w:rsidP="00840C56"/>
    <w:p w14:paraId="3C7479AE" w14:textId="1261BE7C" w:rsidR="00DC496F" w:rsidRDefault="00DC496F" w:rsidP="00DC496F">
      <w:r>
        <w:t>SMA treatment should be initiated as early as possible after diagnosis.</w:t>
      </w:r>
    </w:p>
    <w:p w14:paraId="3C744121" w14:textId="4EE5F5A2" w:rsidR="00F12D13" w:rsidRDefault="00F12D13" w:rsidP="00DC496F">
      <w:r w:rsidRPr="00F12D13">
        <w:t xml:space="preserve">Treatment with </w:t>
      </w:r>
      <w:proofErr w:type="spellStart"/>
      <w:r w:rsidRPr="00F12D13">
        <w:t>Evrysdi</w:t>
      </w:r>
      <w:proofErr w:type="spellEnd"/>
      <w:r w:rsidRPr="00F12D13">
        <w:t xml:space="preserve"> should be initiated</w:t>
      </w:r>
      <w:r w:rsidR="00233E32">
        <w:t xml:space="preserve"> </w:t>
      </w:r>
      <w:r w:rsidR="003A2517">
        <w:t xml:space="preserve">and monitored </w:t>
      </w:r>
      <w:r w:rsidRPr="00F12D13">
        <w:t xml:space="preserve">by a specialist medical practitioner experienced in the diagnosis </w:t>
      </w:r>
      <w:r w:rsidR="007A519F">
        <w:t>and</w:t>
      </w:r>
      <w:r w:rsidR="007A519F" w:rsidRPr="00F12D13">
        <w:t xml:space="preserve"> </w:t>
      </w:r>
      <w:r w:rsidRPr="00F12D13">
        <w:t>management of SMA</w:t>
      </w:r>
      <w:r w:rsidR="007C3A33">
        <w:t>.</w:t>
      </w:r>
      <w:r>
        <w:t xml:space="preserve"> </w:t>
      </w:r>
    </w:p>
    <w:p w14:paraId="298A0C4E" w14:textId="77777777" w:rsidR="00DC496F" w:rsidRDefault="00DC496F" w:rsidP="00DC496F"/>
    <w:p w14:paraId="146C22EB" w14:textId="19F53CA8" w:rsidR="00DC496F" w:rsidRDefault="00DC496F" w:rsidP="00DC496F">
      <w:proofErr w:type="spellStart"/>
      <w:r>
        <w:t>Evrysdi</w:t>
      </w:r>
      <w:proofErr w:type="spellEnd"/>
      <w:r>
        <w:t xml:space="preserve"> is taken orally once daily </w:t>
      </w:r>
      <w:r w:rsidR="00C82631">
        <w:t xml:space="preserve">after a meal </w:t>
      </w:r>
      <w:r>
        <w:t>using the oral syringe provided, at approximately the same time each day.</w:t>
      </w:r>
    </w:p>
    <w:p w14:paraId="26174952" w14:textId="353C106C" w:rsidR="00B37259" w:rsidRDefault="00B37259" w:rsidP="00DC496F"/>
    <w:p w14:paraId="5C4EBC86" w14:textId="55D5983E" w:rsidR="00B37259" w:rsidRPr="00B37259" w:rsidRDefault="00B37259" w:rsidP="00DC496F">
      <w:r w:rsidRPr="00B37259">
        <w:t>In in</w:t>
      </w:r>
      <w:r>
        <w:t xml:space="preserve">fants who are breastfed, </w:t>
      </w:r>
      <w:proofErr w:type="spellStart"/>
      <w:r>
        <w:t>Evrysdi</w:t>
      </w:r>
      <w:proofErr w:type="spellEnd"/>
      <w:r w:rsidRPr="00B37259">
        <w:t xml:space="preserve"> should be administered after breastfeeding. </w:t>
      </w:r>
      <w:proofErr w:type="spellStart"/>
      <w:r w:rsidRPr="00B37259">
        <w:t>E</w:t>
      </w:r>
      <w:r>
        <w:t>vrysdi</w:t>
      </w:r>
      <w:proofErr w:type="spellEnd"/>
      <w:r w:rsidRPr="00B37259">
        <w:t xml:space="preserve"> cannot be mixed with formula or milk.</w:t>
      </w:r>
    </w:p>
    <w:p w14:paraId="39EAE135" w14:textId="77777777" w:rsidR="00D52399" w:rsidRDefault="00615052" w:rsidP="005A5476">
      <w:pPr>
        <w:pStyle w:val="Heading3"/>
        <w:keepNext/>
      </w:pPr>
      <w:r>
        <w:t>Dose</w:t>
      </w:r>
    </w:p>
    <w:p w14:paraId="34BBCE77" w14:textId="1729ED80" w:rsidR="00947662" w:rsidRDefault="00947662" w:rsidP="00625458">
      <w:pPr>
        <w:keepNext/>
      </w:pPr>
    </w:p>
    <w:p w14:paraId="1C2D48D8" w14:textId="7D779EAA" w:rsidR="00DC496F" w:rsidRDefault="00DC496F" w:rsidP="00947662">
      <w:r w:rsidRPr="00DC496F">
        <w:t xml:space="preserve">The recommended once daily dose of </w:t>
      </w:r>
      <w:proofErr w:type="spellStart"/>
      <w:r w:rsidRPr="00DC496F">
        <w:t>Evrysdi</w:t>
      </w:r>
      <w:proofErr w:type="spellEnd"/>
      <w:r w:rsidRPr="00DC496F">
        <w:t xml:space="preserve"> for SMA patients is determined by age and body weight (see Table 1)</w:t>
      </w:r>
      <w:r>
        <w:t>.</w:t>
      </w:r>
    </w:p>
    <w:p w14:paraId="3F3D810F" w14:textId="2EA828A9" w:rsidR="00B62885" w:rsidRPr="00B41F0E" w:rsidRDefault="00B62885" w:rsidP="00B62885">
      <w:pPr>
        <w:pStyle w:val="Tableheading"/>
      </w:pPr>
      <w:r>
        <w:t>Table 1</w:t>
      </w:r>
      <w:r w:rsidRPr="00B41F0E">
        <w:tab/>
      </w:r>
      <w:r w:rsidR="00DC496F" w:rsidRPr="00DC496F">
        <w:t>Dosing Regimen by Age and Body Weight</w:t>
      </w:r>
    </w:p>
    <w:tbl>
      <w:tblPr>
        <w:tblStyle w:val="TableGrid"/>
        <w:tblW w:w="0" w:type="auto"/>
        <w:jc w:val="center"/>
        <w:tblLook w:val="04A0" w:firstRow="1" w:lastRow="0" w:firstColumn="1" w:lastColumn="0" w:noHBand="0" w:noVBand="1"/>
      </w:tblPr>
      <w:tblGrid>
        <w:gridCol w:w="4765"/>
        <w:gridCol w:w="4295"/>
      </w:tblGrid>
      <w:tr w:rsidR="00B62885" w:rsidRPr="00DC496F" w14:paraId="2480FD52" w14:textId="77777777" w:rsidTr="00055A77">
        <w:trPr>
          <w:jc w:val="center"/>
        </w:trPr>
        <w:tc>
          <w:tcPr>
            <w:tcW w:w="4765" w:type="dxa"/>
          </w:tcPr>
          <w:p w14:paraId="5B771C1D" w14:textId="7499DAB4" w:rsidR="00B62885" w:rsidRPr="00DC496F" w:rsidRDefault="00DC496F" w:rsidP="00B62885">
            <w:pPr>
              <w:pBdr>
                <w:top w:val="none" w:sz="0" w:space="0" w:color="auto"/>
                <w:left w:val="none" w:sz="0" w:space="0" w:color="auto"/>
                <w:bottom w:val="none" w:sz="0" w:space="0" w:color="auto"/>
                <w:right w:val="none" w:sz="0" w:space="0" w:color="auto"/>
                <w:between w:val="none" w:sz="0" w:space="0" w:color="auto"/>
              </w:pBdr>
              <w:spacing w:before="40" w:after="40"/>
              <w:jc w:val="center"/>
              <w:rPr>
                <w:b/>
                <w:sz w:val="22"/>
                <w:lang w:val="en-AU"/>
              </w:rPr>
            </w:pPr>
            <w:r w:rsidRPr="00DC496F">
              <w:rPr>
                <w:b/>
                <w:sz w:val="22"/>
                <w:lang w:val="en-AU"/>
              </w:rPr>
              <w:t>Age and Body Weight</w:t>
            </w:r>
          </w:p>
        </w:tc>
        <w:tc>
          <w:tcPr>
            <w:tcW w:w="4295" w:type="dxa"/>
          </w:tcPr>
          <w:p w14:paraId="037E6F50" w14:textId="59027FC5" w:rsidR="00B62885" w:rsidRPr="00DC496F" w:rsidRDefault="00DC496F" w:rsidP="00B62885">
            <w:pPr>
              <w:pBdr>
                <w:top w:val="none" w:sz="0" w:space="0" w:color="auto"/>
                <w:left w:val="none" w:sz="0" w:space="0" w:color="auto"/>
                <w:bottom w:val="none" w:sz="0" w:space="0" w:color="auto"/>
                <w:right w:val="none" w:sz="0" w:space="0" w:color="auto"/>
                <w:between w:val="none" w:sz="0" w:space="0" w:color="auto"/>
              </w:pBdr>
              <w:spacing w:before="40" w:after="40"/>
              <w:jc w:val="center"/>
              <w:rPr>
                <w:b/>
                <w:sz w:val="22"/>
                <w:lang w:val="en-AU"/>
              </w:rPr>
            </w:pPr>
            <w:r w:rsidRPr="00DC496F">
              <w:rPr>
                <w:b/>
                <w:sz w:val="22"/>
                <w:lang w:val="en-AU"/>
              </w:rPr>
              <w:t>Recommended Daily Dose</w:t>
            </w:r>
          </w:p>
        </w:tc>
      </w:tr>
      <w:tr w:rsidR="00B62885" w:rsidRPr="00B62885" w14:paraId="28761C78" w14:textId="77777777" w:rsidTr="00055A77">
        <w:trPr>
          <w:jc w:val="center"/>
        </w:trPr>
        <w:tc>
          <w:tcPr>
            <w:tcW w:w="4765" w:type="dxa"/>
          </w:tcPr>
          <w:p w14:paraId="0383018B" w14:textId="40A39CFE" w:rsidR="00B62885" w:rsidRPr="00B62885" w:rsidRDefault="00DC496F" w:rsidP="00C82631">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DC496F">
              <w:rPr>
                <w:sz w:val="22"/>
                <w:lang w:val="en-AU"/>
              </w:rPr>
              <w:t xml:space="preserve">2 months to </w:t>
            </w:r>
            <w:r w:rsidR="00C82631">
              <w:rPr>
                <w:sz w:val="22"/>
                <w:lang w:val="en-AU"/>
              </w:rPr>
              <w:t>less than</w:t>
            </w:r>
            <w:r w:rsidR="00C82631" w:rsidRPr="00DC496F">
              <w:rPr>
                <w:sz w:val="22"/>
                <w:lang w:val="en-AU"/>
              </w:rPr>
              <w:t xml:space="preserve"> </w:t>
            </w:r>
            <w:r w:rsidRPr="00DC496F">
              <w:rPr>
                <w:sz w:val="22"/>
                <w:lang w:val="en-AU"/>
              </w:rPr>
              <w:t>2 years of age</w:t>
            </w:r>
          </w:p>
        </w:tc>
        <w:tc>
          <w:tcPr>
            <w:tcW w:w="4295" w:type="dxa"/>
          </w:tcPr>
          <w:p w14:paraId="53DEE14D" w14:textId="78557E03" w:rsidR="00B62885" w:rsidRPr="00B62885" w:rsidRDefault="00DC496F" w:rsidP="00B62885">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DC496F">
              <w:rPr>
                <w:sz w:val="22"/>
                <w:lang w:val="en-AU"/>
              </w:rPr>
              <w:t>0.20 mg/kg</w:t>
            </w:r>
          </w:p>
        </w:tc>
      </w:tr>
      <w:tr w:rsidR="00B62885" w:rsidRPr="00B62885" w14:paraId="6827CA83" w14:textId="77777777" w:rsidTr="00055A77">
        <w:trPr>
          <w:jc w:val="center"/>
        </w:trPr>
        <w:tc>
          <w:tcPr>
            <w:tcW w:w="4765" w:type="dxa"/>
          </w:tcPr>
          <w:p w14:paraId="1861A3BD" w14:textId="7068D5D5" w:rsidR="00B62885" w:rsidRDefault="00DC496F" w:rsidP="00C82631">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DC496F">
              <w:rPr>
                <w:sz w:val="22"/>
                <w:lang w:val="en-AU"/>
              </w:rPr>
              <w:t>2 years of age</w:t>
            </w:r>
            <w:r w:rsidR="00C82631">
              <w:rPr>
                <w:sz w:val="22"/>
                <w:lang w:val="en-AU"/>
              </w:rPr>
              <w:t xml:space="preserve"> and older weighing less than</w:t>
            </w:r>
            <w:r w:rsidRPr="00DC496F">
              <w:rPr>
                <w:sz w:val="22"/>
                <w:lang w:val="en-AU"/>
              </w:rPr>
              <w:t xml:space="preserve"> 20 kg</w:t>
            </w:r>
          </w:p>
        </w:tc>
        <w:tc>
          <w:tcPr>
            <w:tcW w:w="4295" w:type="dxa"/>
          </w:tcPr>
          <w:p w14:paraId="74D345C0" w14:textId="51CBB4CE" w:rsidR="00B62885" w:rsidRDefault="00DC496F" w:rsidP="00B62885">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DC496F">
              <w:rPr>
                <w:sz w:val="22"/>
                <w:lang w:val="en-AU"/>
              </w:rPr>
              <w:t>0.25 mg/kg</w:t>
            </w:r>
          </w:p>
        </w:tc>
      </w:tr>
      <w:tr w:rsidR="00475B6E" w:rsidRPr="00B62885" w14:paraId="4BC2F5F4" w14:textId="77777777" w:rsidTr="00055A77">
        <w:trPr>
          <w:jc w:val="center"/>
        </w:trPr>
        <w:tc>
          <w:tcPr>
            <w:tcW w:w="4765" w:type="dxa"/>
          </w:tcPr>
          <w:p w14:paraId="7FA40A8C" w14:textId="3D82B957" w:rsidR="00475B6E" w:rsidRDefault="00475B6E" w:rsidP="00C82631">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DC496F">
              <w:rPr>
                <w:sz w:val="22"/>
                <w:lang w:val="en-AU"/>
              </w:rPr>
              <w:t>2 years of age</w:t>
            </w:r>
            <w:r w:rsidR="00C82631">
              <w:rPr>
                <w:sz w:val="22"/>
                <w:lang w:val="en-AU"/>
              </w:rPr>
              <w:t xml:space="preserve"> and older weighing </w:t>
            </w:r>
            <w:r w:rsidRPr="00DC496F">
              <w:rPr>
                <w:sz w:val="22"/>
                <w:lang w:val="en-AU"/>
              </w:rPr>
              <w:t>20 kg</w:t>
            </w:r>
            <w:r w:rsidR="00C82631">
              <w:rPr>
                <w:sz w:val="22"/>
                <w:lang w:val="en-AU"/>
              </w:rPr>
              <w:t xml:space="preserve"> or more</w:t>
            </w:r>
          </w:p>
        </w:tc>
        <w:tc>
          <w:tcPr>
            <w:tcW w:w="4295" w:type="dxa"/>
          </w:tcPr>
          <w:p w14:paraId="5335A334" w14:textId="10BE4C00" w:rsidR="00475B6E" w:rsidRPr="00DC496F" w:rsidRDefault="00475B6E" w:rsidP="00B62885">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5 mg</w:t>
            </w:r>
          </w:p>
        </w:tc>
      </w:tr>
    </w:tbl>
    <w:p w14:paraId="43B8DEDC" w14:textId="20613BC4" w:rsidR="00947662" w:rsidRDefault="00947662" w:rsidP="00947662"/>
    <w:p w14:paraId="264A6A93" w14:textId="4954BD70" w:rsidR="00947662" w:rsidRDefault="00475B6E" w:rsidP="00947662">
      <w:r w:rsidRPr="00475B6E">
        <w:t xml:space="preserve">Dose changes must be made under the supervision of a </w:t>
      </w:r>
      <w:r w:rsidRPr="00DC496F">
        <w:t>health</w:t>
      </w:r>
      <w:r>
        <w:t>care professional</w:t>
      </w:r>
      <w:r w:rsidRPr="00475B6E">
        <w:t>. Treatment with a daily dose above 5 mg has not been studied. No data are available in infants below 2 months of age.</w:t>
      </w:r>
      <w:r w:rsidR="00947662">
        <w:t xml:space="preserve"> </w:t>
      </w:r>
    </w:p>
    <w:p w14:paraId="01396CC9" w14:textId="77777777" w:rsidR="009D3DBF" w:rsidRDefault="009D3DBF" w:rsidP="00F52738">
      <w:pPr>
        <w:pStyle w:val="Heading4"/>
      </w:pPr>
      <w:r>
        <w:t>Delayed or missed doses</w:t>
      </w:r>
    </w:p>
    <w:p w14:paraId="130F0775" w14:textId="77777777" w:rsidR="009D3DBF" w:rsidRDefault="009D3DBF" w:rsidP="009D3DBF">
      <w:pPr>
        <w:keepNext/>
      </w:pPr>
    </w:p>
    <w:p w14:paraId="429DBBF7" w14:textId="77777777" w:rsidR="009D3DBF" w:rsidRDefault="009D3DBF" w:rsidP="009D3DBF">
      <w:proofErr w:type="spellStart"/>
      <w:r>
        <w:t>Evrysdi</w:t>
      </w:r>
      <w:proofErr w:type="spellEnd"/>
      <w:r>
        <w:t xml:space="preserve"> is taken orally once daily at approximately the same time each day. If a dose of </w:t>
      </w:r>
      <w:proofErr w:type="spellStart"/>
      <w:r>
        <w:t>Evrysdi</w:t>
      </w:r>
      <w:proofErr w:type="spellEnd"/>
      <w:r>
        <w:t xml:space="preserve"> is missed, administer as soon as possible if still within 6 hours of the scheduled dose. Otherwise, skip the missed dose and take the next dose at the regularly scheduled time the next day. </w:t>
      </w:r>
    </w:p>
    <w:p w14:paraId="3840DB5E" w14:textId="77777777" w:rsidR="009D3DBF" w:rsidRDefault="009D3DBF" w:rsidP="009D3DBF"/>
    <w:p w14:paraId="2B2C8535" w14:textId="77777777" w:rsidR="009D3DBF" w:rsidRPr="00DE6334" w:rsidRDefault="009D3DBF" w:rsidP="009D3DBF">
      <w:r>
        <w:t xml:space="preserve">If a dose is not fully swallowed or vomiting occurs after taking a dose of </w:t>
      </w:r>
      <w:proofErr w:type="spellStart"/>
      <w:r>
        <w:t>Evrysdi</w:t>
      </w:r>
      <w:proofErr w:type="spellEnd"/>
      <w:r>
        <w:t>, do not administer another dose to make up for the incomplete dose. Wait until the next day to administer the next dose at the regularly scheduled time.</w:t>
      </w:r>
    </w:p>
    <w:p w14:paraId="465033EF" w14:textId="09DD2AE4" w:rsidR="009D3DBF" w:rsidRDefault="009D3DBF" w:rsidP="009D3DBF">
      <w:pPr>
        <w:pStyle w:val="Heading3"/>
        <w:keepNext/>
      </w:pPr>
      <w:r>
        <w:t>Preparation of the powder for oral solution</w:t>
      </w:r>
      <w:r w:rsidR="00E9614D">
        <w:t xml:space="preserve"> by a healthcare professional</w:t>
      </w:r>
    </w:p>
    <w:p w14:paraId="0DE53E41" w14:textId="77777777" w:rsidR="009D3DBF" w:rsidRDefault="009D3DBF" w:rsidP="009D3DBF"/>
    <w:p w14:paraId="2E9202B4" w14:textId="77777777" w:rsidR="009D3DBF" w:rsidRPr="00D760FE" w:rsidRDefault="009D3DBF" w:rsidP="009D3DBF">
      <w:r>
        <w:t>Refer to the “Instructions for Reconstitution” provided in the pack.</w:t>
      </w:r>
    </w:p>
    <w:p w14:paraId="6226639A" w14:textId="77777777" w:rsidR="00E9614D" w:rsidRDefault="00E9614D" w:rsidP="009D3DBF"/>
    <w:p w14:paraId="3BA6A5FC" w14:textId="3F98C0BA" w:rsidR="009D3DBF" w:rsidRDefault="009D3DBF" w:rsidP="009D3DBF">
      <w:r>
        <w:t xml:space="preserve">Caution should be exercised during handling. Avoid inhalation and avoid direct contact with skin or mucous membranes with the dry powder and the reconstituted solution. </w:t>
      </w:r>
    </w:p>
    <w:p w14:paraId="033A967B" w14:textId="77777777" w:rsidR="009D3DBF" w:rsidRDefault="009D3DBF" w:rsidP="009D3DBF"/>
    <w:p w14:paraId="79ABAFAB" w14:textId="725CA8F7" w:rsidR="009D3DBF" w:rsidRDefault="009D3DBF" w:rsidP="009D3DBF">
      <w:r>
        <w:t xml:space="preserve">Wear disposable gloves during reconstitution and while wiping the outer surface of the bottle/cap and cleaning the working surface after </w:t>
      </w:r>
      <w:r w:rsidR="00C277AD">
        <w:t>re</w:t>
      </w:r>
      <w:r>
        <w:t xml:space="preserve">constitution. If contact occurs, wash thoroughly with soap and water; rinse eyes with water.  </w:t>
      </w:r>
    </w:p>
    <w:p w14:paraId="67CAF2D4" w14:textId="21A26B38" w:rsidR="00F52738" w:rsidRDefault="00F52738" w:rsidP="009D3DBF"/>
    <w:p w14:paraId="36D0F8E0" w14:textId="7509A657" w:rsidR="00F52738" w:rsidRDefault="00F52738" w:rsidP="00F52738">
      <w:r>
        <w:lastRenderedPageBreak/>
        <w:t>Instructions for reconstitution:</w:t>
      </w:r>
    </w:p>
    <w:p w14:paraId="09E875E1" w14:textId="7D6C1E6A" w:rsidR="00F52738" w:rsidRDefault="00F52738" w:rsidP="00F52738">
      <w:pPr>
        <w:pStyle w:val="ListParagraph"/>
        <w:numPr>
          <w:ilvl w:val="0"/>
          <w:numId w:val="17"/>
        </w:numPr>
        <w:spacing w:before="120"/>
        <w:contextualSpacing w:val="0"/>
      </w:pPr>
      <w:r>
        <w:t>Gently tap the bottom of the closed glass bottle to loosen the powder.</w:t>
      </w:r>
    </w:p>
    <w:p w14:paraId="35FEFDAC" w14:textId="30783592" w:rsidR="00F52738" w:rsidRDefault="00F52738" w:rsidP="00F52738">
      <w:pPr>
        <w:pStyle w:val="ListParagraph"/>
        <w:numPr>
          <w:ilvl w:val="0"/>
          <w:numId w:val="17"/>
        </w:numPr>
        <w:spacing w:before="120"/>
        <w:contextualSpacing w:val="0"/>
      </w:pPr>
      <w:r>
        <w:t>Remove the cap. Do not throw away the cap.</w:t>
      </w:r>
    </w:p>
    <w:p w14:paraId="12568D86" w14:textId="31252806" w:rsidR="00F52738" w:rsidRDefault="00F52738" w:rsidP="00F52738">
      <w:pPr>
        <w:pStyle w:val="ListParagraph"/>
        <w:numPr>
          <w:ilvl w:val="0"/>
          <w:numId w:val="17"/>
        </w:numPr>
        <w:spacing w:before="120"/>
        <w:contextualSpacing w:val="0"/>
      </w:pPr>
      <w:r>
        <w:t xml:space="preserve">Carefully pour 79 mL of purified water or sterile water for injections into the bottle to yield the </w:t>
      </w:r>
      <w:r w:rsidR="003E2C7F">
        <w:t xml:space="preserve">0.75 mg/mL </w:t>
      </w:r>
      <w:r>
        <w:t xml:space="preserve">oral solution. </w:t>
      </w:r>
    </w:p>
    <w:p w14:paraId="1D7FFF96" w14:textId="2C1CF2E5" w:rsidR="00F52738" w:rsidRDefault="00F52738" w:rsidP="00F52738">
      <w:pPr>
        <w:pStyle w:val="ListParagraph"/>
        <w:numPr>
          <w:ilvl w:val="0"/>
          <w:numId w:val="17"/>
        </w:numPr>
        <w:spacing w:before="120"/>
        <w:contextualSpacing w:val="0"/>
      </w:pPr>
      <w:r>
        <w:t>Hold the medicine bottle on the table with one hand. Insert the press-in bottle adapter into the opening by pushing it down with the other hand. Ensure the adapter is completely pressed against the bottle lip.</w:t>
      </w:r>
    </w:p>
    <w:p w14:paraId="527CCFEB" w14:textId="78C656A2" w:rsidR="00F52738" w:rsidRDefault="00F52738" w:rsidP="00F52738">
      <w:pPr>
        <w:pStyle w:val="ListParagraph"/>
        <w:numPr>
          <w:ilvl w:val="0"/>
          <w:numId w:val="17"/>
        </w:numPr>
        <w:spacing w:before="120"/>
        <w:contextualSpacing w:val="0"/>
      </w:pPr>
      <w:r>
        <w:t xml:space="preserve">Put the cap back on the bottle and close the bottle tightly. Ensure it is completely closed and then shake well for 15 seconds. Wait for 10 minutes. You should have obtained a clear solution. If not, shake well again for after 15 seconds. </w:t>
      </w:r>
    </w:p>
    <w:p w14:paraId="6EF80BCC" w14:textId="79AD647D" w:rsidR="00F52738" w:rsidRDefault="00F52738" w:rsidP="00F52738">
      <w:pPr>
        <w:pStyle w:val="ListParagraph"/>
        <w:numPr>
          <w:ilvl w:val="0"/>
          <w:numId w:val="17"/>
        </w:numPr>
        <w:spacing w:before="120"/>
        <w:contextualSpacing w:val="0"/>
      </w:pPr>
      <w:r>
        <w:t>Write the “Discard after” date of the solution on the bottle label. (The “Discard after” date is calculated as 64 days after reconstitution, the day of reconstitution is counted as day 0). Put the bottle back in its original carton with syringes (in pouches) and “Instructions for Use – Administration” booklet.</w:t>
      </w:r>
    </w:p>
    <w:p w14:paraId="52F44C93" w14:textId="1E8193E0" w:rsidR="00475B6E" w:rsidRDefault="00475B6E" w:rsidP="00475B6E">
      <w:pPr>
        <w:pStyle w:val="Heading3"/>
        <w:keepNext/>
      </w:pPr>
      <w:r>
        <w:t>Method of administration</w:t>
      </w:r>
    </w:p>
    <w:p w14:paraId="4A6362A9" w14:textId="730C026A" w:rsidR="00475B6E" w:rsidRDefault="00475B6E" w:rsidP="00475B6E"/>
    <w:p w14:paraId="2EC581F6" w14:textId="18DAAF79" w:rsidR="009D3DBF" w:rsidRDefault="009D3DBF" w:rsidP="00475B6E">
      <w:r>
        <w:t>Refer to the “Instructions for Use – Administration” provided in the pack.</w:t>
      </w:r>
    </w:p>
    <w:p w14:paraId="3664C6E8" w14:textId="77777777" w:rsidR="009D3DBF" w:rsidRDefault="009D3DBF" w:rsidP="00475B6E"/>
    <w:p w14:paraId="7DB3B19D" w14:textId="3AEC3605" w:rsidR="00475B6E" w:rsidRDefault="00475B6E" w:rsidP="00475B6E">
      <w:r>
        <w:t xml:space="preserve">Use the re-usable oral syringe provided to deliver the daily dose of </w:t>
      </w:r>
      <w:proofErr w:type="spellStart"/>
      <w:r>
        <w:t>Evrysdi</w:t>
      </w:r>
      <w:proofErr w:type="spellEnd"/>
      <w:r>
        <w:t>. It is recommended that a healthcare professional discuss with the patient or caregiver how to prepare the prescribed daily dose prior to administration of the first dose.</w:t>
      </w:r>
    </w:p>
    <w:p w14:paraId="12E11EEF" w14:textId="728A6265" w:rsidR="00475B6E" w:rsidRDefault="00475B6E" w:rsidP="00475B6E"/>
    <w:p w14:paraId="41EDC49D" w14:textId="349EF212" w:rsidR="00475B6E" w:rsidRDefault="00475B6E" w:rsidP="00475B6E">
      <w:r w:rsidRPr="00475B6E">
        <w:t xml:space="preserve">For the calculation of dosing volume, the syringe </w:t>
      </w:r>
      <w:r w:rsidR="002007E8">
        <w:t>markings</w:t>
      </w:r>
      <w:r w:rsidR="002007E8" w:rsidRPr="00475B6E">
        <w:t xml:space="preserve"> </w:t>
      </w:r>
      <w:r w:rsidRPr="00475B6E">
        <w:t>need to be considered. Round</w:t>
      </w:r>
      <w:r w:rsidR="002007E8">
        <w:t xml:space="preserve"> up or round down</w:t>
      </w:r>
      <w:r w:rsidRPr="00475B6E">
        <w:t xml:space="preserve"> the dose volume to the </w:t>
      </w:r>
      <w:r w:rsidR="002007E8">
        <w:t>nearest graduation mark on</w:t>
      </w:r>
      <w:r w:rsidRPr="00475B6E">
        <w:t xml:space="preserve"> the selected oral syringe</w:t>
      </w:r>
      <w:r>
        <w:t xml:space="preserve"> (see Table 2)</w:t>
      </w:r>
      <w:r w:rsidRPr="00475B6E">
        <w:t>.</w:t>
      </w:r>
    </w:p>
    <w:p w14:paraId="356DA257" w14:textId="51B8434F" w:rsidR="00475B6E" w:rsidRPr="00800E20" w:rsidRDefault="00475B6E" w:rsidP="00625458">
      <w:pPr>
        <w:pStyle w:val="Tableheading"/>
        <w:rPr>
          <w:lang w:val="en-US"/>
        </w:rPr>
      </w:pPr>
      <w:r>
        <w:t>Table 2</w:t>
      </w:r>
      <w:r w:rsidRPr="00B41F0E">
        <w:tab/>
      </w:r>
      <w:r w:rsidRPr="00475B6E">
        <w:t xml:space="preserve">Selecting the Oral Syringe for the Prescribed Daily Dose of </w:t>
      </w:r>
      <w:proofErr w:type="spellStart"/>
      <w:r w:rsidRPr="00475B6E">
        <w:t>Evrysdi</w:t>
      </w:r>
      <w:proofErr w:type="spellEnd"/>
    </w:p>
    <w:tbl>
      <w:tblPr>
        <w:tblStyle w:val="TableGrid"/>
        <w:tblW w:w="0" w:type="auto"/>
        <w:jc w:val="center"/>
        <w:tblLook w:val="04A0" w:firstRow="1" w:lastRow="0" w:firstColumn="1" w:lastColumn="0" w:noHBand="0" w:noVBand="1"/>
      </w:tblPr>
      <w:tblGrid>
        <w:gridCol w:w="3005"/>
        <w:gridCol w:w="3005"/>
        <w:gridCol w:w="3005"/>
      </w:tblGrid>
      <w:tr w:rsidR="00475B6E" w:rsidRPr="00DC496F" w14:paraId="3426789F" w14:textId="7F85446E" w:rsidTr="00DE6334">
        <w:trPr>
          <w:jc w:val="center"/>
        </w:trPr>
        <w:tc>
          <w:tcPr>
            <w:tcW w:w="3005" w:type="dxa"/>
          </w:tcPr>
          <w:p w14:paraId="3663D718" w14:textId="6BCF94E8" w:rsidR="00475B6E" w:rsidRPr="00DC496F" w:rsidRDefault="00DE6334" w:rsidP="00625458">
            <w:pPr>
              <w:keepNext/>
              <w:pBdr>
                <w:top w:val="none" w:sz="0" w:space="0" w:color="auto"/>
                <w:left w:val="none" w:sz="0" w:space="0" w:color="auto"/>
                <w:bottom w:val="none" w:sz="0" w:space="0" w:color="auto"/>
                <w:right w:val="none" w:sz="0" w:space="0" w:color="auto"/>
                <w:between w:val="none" w:sz="0" w:space="0" w:color="auto"/>
              </w:pBdr>
              <w:spacing w:before="40" w:after="40"/>
              <w:jc w:val="center"/>
              <w:rPr>
                <w:b/>
                <w:sz w:val="22"/>
                <w:lang w:val="en-AU"/>
              </w:rPr>
            </w:pPr>
            <w:r>
              <w:rPr>
                <w:b/>
                <w:sz w:val="22"/>
                <w:lang w:val="en-AU"/>
              </w:rPr>
              <w:t>Syringe Size</w:t>
            </w:r>
          </w:p>
        </w:tc>
        <w:tc>
          <w:tcPr>
            <w:tcW w:w="3005" w:type="dxa"/>
          </w:tcPr>
          <w:p w14:paraId="2F3F8D8F" w14:textId="339ADBAF" w:rsidR="00475B6E" w:rsidRPr="00DC496F" w:rsidRDefault="00DE6334" w:rsidP="00625458">
            <w:pPr>
              <w:keepNext/>
              <w:pBdr>
                <w:top w:val="none" w:sz="0" w:space="0" w:color="auto"/>
                <w:left w:val="none" w:sz="0" w:space="0" w:color="auto"/>
                <w:bottom w:val="none" w:sz="0" w:space="0" w:color="auto"/>
                <w:right w:val="none" w:sz="0" w:space="0" w:color="auto"/>
                <w:between w:val="none" w:sz="0" w:space="0" w:color="auto"/>
              </w:pBdr>
              <w:spacing w:before="40" w:after="40"/>
              <w:jc w:val="center"/>
              <w:rPr>
                <w:b/>
                <w:sz w:val="22"/>
                <w:lang w:val="en-AU"/>
              </w:rPr>
            </w:pPr>
            <w:r>
              <w:rPr>
                <w:b/>
                <w:sz w:val="22"/>
                <w:lang w:val="en-AU"/>
              </w:rPr>
              <w:t>Dosing Volume</w:t>
            </w:r>
          </w:p>
        </w:tc>
        <w:tc>
          <w:tcPr>
            <w:tcW w:w="3005" w:type="dxa"/>
          </w:tcPr>
          <w:p w14:paraId="369F1DA8" w14:textId="7375200D" w:rsidR="00475B6E" w:rsidRPr="00DC496F" w:rsidRDefault="00DE6334" w:rsidP="002007E8">
            <w:pPr>
              <w:keepNext/>
              <w:pBdr>
                <w:top w:val="none" w:sz="0" w:space="0" w:color="auto"/>
                <w:left w:val="none" w:sz="0" w:space="0" w:color="auto"/>
                <w:bottom w:val="none" w:sz="0" w:space="0" w:color="auto"/>
                <w:right w:val="none" w:sz="0" w:space="0" w:color="auto"/>
                <w:between w:val="none" w:sz="0" w:space="0" w:color="auto"/>
              </w:pBdr>
              <w:spacing w:before="40" w:after="40"/>
              <w:jc w:val="center"/>
              <w:rPr>
                <w:b/>
                <w:sz w:val="22"/>
                <w:lang w:val="en-AU"/>
              </w:rPr>
            </w:pPr>
            <w:r>
              <w:rPr>
                <w:b/>
                <w:sz w:val="22"/>
                <w:lang w:val="en-AU"/>
              </w:rPr>
              <w:t xml:space="preserve">Syringe </w:t>
            </w:r>
            <w:r w:rsidR="002007E8">
              <w:rPr>
                <w:b/>
                <w:sz w:val="22"/>
                <w:lang w:val="en-AU"/>
              </w:rPr>
              <w:t>Markings</w:t>
            </w:r>
          </w:p>
        </w:tc>
      </w:tr>
      <w:tr w:rsidR="00475B6E" w:rsidRPr="00B62885" w14:paraId="268B6972" w14:textId="11418CE0" w:rsidTr="00DE6334">
        <w:trPr>
          <w:jc w:val="center"/>
        </w:trPr>
        <w:tc>
          <w:tcPr>
            <w:tcW w:w="3005" w:type="dxa"/>
          </w:tcPr>
          <w:p w14:paraId="42EE4527" w14:textId="5162FE07" w:rsidR="00475B6E" w:rsidRPr="00B62885" w:rsidRDefault="00DE6334" w:rsidP="00696A1B">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6 mL</w:t>
            </w:r>
          </w:p>
        </w:tc>
        <w:tc>
          <w:tcPr>
            <w:tcW w:w="3005" w:type="dxa"/>
          </w:tcPr>
          <w:p w14:paraId="49DFB765" w14:textId="46B44F54" w:rsidR="00475B6E" w:rsidRPr="00B62885" w:rsidRDefault="00DE6334" w:rsidP="00696A1B">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DE6334">
              <w:rPr>
                <w:sz w:val="22"/>
                <w:lang w:val="en-AU"/>
              </w:rPr>
              <w:t>1.0 mL to 6.0 mL</w:t>
            </w:r>
          </w:p>
        </w:tc>
        <w:tc>
          <w:tcPr>
            <w:tcW w:w="3005" w:type="dxa"/>
          </w:tcPr>
          <w:p w14:paraId="1AC634DC" w14:textId="1693E500" w:rsidR="00475B6E" w:rsidRPr="00DC496F" w:rsidRDefault="00DE6334" w:rsidP="00696A1B">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0.1 mL</w:t>
            </w:r>
          </w:p>
        </w:tc>
      </w:tr>
      <w:tr w:rsidR="00475B6E" w:rsidRPr="00B62885" w14:paraId="0555EB24" w14:textId="40E69A56" w:rsidTr="00DE6334">
        <w:trPr>
          <w:jc w:val="center"/>
        </w:trPr>
        <w:tc>
          <w:tcPr>
            <w:tcW w:w="3005" w:type="dxa"/>
          </w:tcPr>
          <w:p w14:paraId="4D590664" w14:textId="5675A0D0" w:rsidR="00475B6E" w:rsidRDefault="00DE6334" w:rsidP="00696A1B">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12 mL</w:t>
            </w:r>
          </w:p>
        </w:tc>
        <w:tc>
          <w:tcPr>
            <w:tcW w:w="3005" w:type="dxa"/>
          </w:tcPr>
          <w:p w14:paraId="6B570B35" w14:textId="78590B03" w:rsidR="00475B6E" w:rsidRDefault="00DE6334" w:rsidP="00696A1B">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DE6334">
              <w:rPr>
                <w:sz w:val="22"/>
                <w:lang w:val="en-AU"/>
              </w:rPr>
              <w:t>6.2 mL to 6.6 mL</w:t>
            </w:r>
          </w:p>
        </w:tc>
        <w:tc>
          <w:tcPr>
            <w:tcW w:w="3005" w:type="dxa"/>
          </w:tcPr>
          <w:p w14:paraId="69BBBAD8" w14:textId="3CB5B569" w:rsidR="00475B6E" w:rsidRPr="00DC496F" w:rsidRDefault="00DE6334" w:rsidP="00696A1B">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0.2 mL</w:t>
            </w:r>
          </w:p>
        </w:tc>
      </w:tr>
    </w:tbl>
    <w:p w14:paraId="72EE39AF" w14:textId="4970DD2C" w:rsidR="00475B6E" w:rsidRDefault="00475B6E" w:rsidP="00475B6E">
      <w:pPr>
        <w:rPr>
          <w:lang w:val="en-AU"/>
        </w:rPr>
      </w:pPr>
    </w:p>
    <w:p w14:paraId="09E1C8D7" w14:textId="266EB8C1" w:rsidR="001852D4" w:rsidRDefault="00772B1C" w:rsidP="00475B6E">
      <w:pPr>
        <w:rPr>
          <w:lang w:val="en-US"/>
        </w:rPr>
      </w:pPr>
      <w:r>
        <w:rPr>
          <w:lang w:val="en-AU"/>
        </w:rPr>
        <w:t>Select</w:t>
      </w:r>
      <w:r w:rsidR="001852D4">
        <w:rPr>
          <w:lang w:val="en-US"/>
        </w:rPr>
        <w:t xml:space="preserve"> the </w:t>
      </w:r>
      <w:r>
        <w:rPr>
          <w:lang w:val="en-US"/>
        </w:rPr>
        <w:t>correct</w:t>
      </w:r>
      <w:r w:rsidR="001852D4">
        <w:rPr>
          <w:lang w:val="en-US"/>
        </w:rPr>
        <w:t xml:space="preserve"> oral syringe</w:t>
      </w:r>
      <w:r>
        <w:rPr>
          <w:lang w:val="en-US"/>
        </w:rPr>
        <w:t>s</w:t>
      </w:r>
      <w:r w:rsidR="001852D4" w:rsidRPr="001852D4">
        <w:rPr>
          <w:lang w:val="en-US"/>
        </w:rPr>
        <w:t xml:space="preserve"> (6 mL or 12 mL) based on the patient’s dosage an</w:t>
      </w:r>
      <w:r w:rsidR="001852D4">
        <w:rPr>
          <w:lang w:val="en-US"/>
        </w:rPr>
        <w:t>d remove the other oral syringe</w:t>
      </w:r>
      <w:r>
        <w:rPr>
          <w:lang w:val="en-US"/>
        </w:rPr>
        <w:t>s</w:t>
      </w:r>
      <w:r w:rsidR="001852D4" w:rsidRPr="001852D4">
        <w:rPr>
          <w:lang w:val="en-US"/>
        </w:rPr>
        <w:t xml:space="preserve"> from the carton</w:t>
      </w:r>
      <w:r w:rsidR="00C72836">
        <w:rPr>
          <w:lang w:val="en-US"/>
        </w:rPr>
        <w:t>/dispensing pack</w:t>
      </w:r>
      <w:r w:rsidR="001852D4" w:rsidRPr="001852D4">
        <w:rPr>
          <w:lang w:val="en-US"/>
        </w:rPr>
        <w:t>.</w:t>
      </w:r>
    </w:p>
    <w:p w14:paraId="64EDACBE" w14:textId="77777777" w:rsidR="001852D4" w:rsidRDefault="001852D4" w:rsidP="00475B6E">
      <w:pPr>
        <w:rPr>
          <w:lang w:val="en-AU"/>
        </w:rPr>
      </w:pPr>
    </w:p>
    <w:p w14:paraId="06572B03" w14:textId="1768DD31" w:rsidR="00DE6334" w:rsidRPr="00475B6E" w:rsidRDefault="00DE6334" w:rsidP="00475B6E">
      <w:pPr>
        <w:rPr>
          <w:lang w:val="en-AU"/>
        </w:rPr>
      </w:pPr>
      <w:r w:rsidRPr="00DE6334">
        <w:rPr>
          <w:lang w:val="en-AU"/>
        </w:rPr>
        <w:t xml:space="preserve">Patients should take </w:t>
      </w:r>
      <w:proofErr w:type="spellStart"/>
      <w:r w:rsidRPr="00DE6334">
        <w:rPr>
          <w:lang w:val="en-AU"/>
        </w:rPr>
        <w:t>Evrysdi</w:t>
      </w:r>
      <w:proofErr w:type="spellEnd"/>
      <w:r w:rsidRPr="00DE6334">
        <w:rPr>
          <w:lang w:val="en-AU"/>
        </w:rPr>
        <w:t xml:space="preserve"> immediately after it is drawn up into the oral syringe. If it is not taken within 5 minutes, the dose should be discarded and a new dose should be prepared.  </w:t>
      </w:r>
    </w:p>
    <w:p w14:paraId="229244AF" w14:textId="77777777" w:rsidR="00475B6E" w:rsidRDefault="00475B6E" w:rsidP="00475B6E"/>
    <w:p w14:paraId="3F39E190" w14:textId="07740F5B" w:rsidR="00475B6E" w:rsidRDefault="00475B6E" w:rsidP="00475B6E">
      <w:r>
        <w:t xml:space="preserve">The patient should drink </w:t>
      </w:r>
      <w:r w:rsidR="00645033">
        <w:t xml:space="preserve">some </w:t>
      </w:r>
      <w:r>
        <w:t xml:space="preserve">water after taking </w:t>
      </w:r>
      <w:proofErr w:type="spellStart"/>
      <w:r>
        <w:t>Evrysdi</w:t>
      </w:r>
      <w:proofErr w:type="spellEnd"/>
      <w:r>
        <w:t xml:space="preserve"> to ensure the drug has been completely swallowed. If the patient is unable to swallow and has a nasogastric or gastrostomy tube, administer </w:t>
      </w:r>
      <w:proofErr w:type="spellStart"/>
      <w:r>
        <w:t>Evrysdi</w:t>
      </w:r>
      <w:proofErr w:type="spellEnd"/>
      <w:r>
        <w:t xml:space="preserve"> via the tube. The tube should be flushed with water after delivering </w:t>
      </w:r>
      <w:proofErr w:type="spellStart"/>
      <w:r>
        <w:t>Evrysdi</w:t>
      </w:r>
      <w:proofErr w:type="spellEnd"/>
      <w:r>
        <w:t>.</w:t>
      </w:r>
    </w:p>
    <w:p w14:paraId="6C9B78F4" w14:textId="77777777" w:rsidR="00D52399" w:rsidRDefault="00615052" w:rsidP="00DE6334">
      <w:pPr>
        <w:pStyle w:val="Heading3"/>
        <w:keepNext/>
      </w:pPr>
      <w:r>
        <w:lastRenderedPageBreak/>
        <w:t>Special populations</w:t>
      </w:r>
    </w:p>
    <w:p w14:paraId="6DA660C8" w14:textId="77777777" w:rsidR="00981E9B" w:rsidRPr="00D760FE" w:rsidRDefault="00981E9B" w:rsidP="009D3DBF">
      <w:pPr>
        <w:pStyle w:val="Heading5"/>
        <w:keepNext/>
      </w:pPr>
      <w:r w:rsidRPr="00D760FE">
        <w:t>Hepatic impairment</w:t>
      </w:r>
    </w:p>
    <w:p w14:paraId="22DBC54E" w14:textId="77777777" w:rsidR="00981E9B" w:rsidRPr="00B11D1D" w:rsidRDefault="00981E9B" w:rsidP="00981E9B">
      <w:r w:rsidRPr="00EB60A1">
        <w:t>No dose adjustment is required in patients with mild</w:t>
      </w:r>
      <w:r>
        <w:t xml:space="preserve"> or moderate hepatic impairment</w:t>
      </w:r>
      <w:r w:rsidRPr="00EB60A1">
        <w:t xml:space="preserve"> </w:t>
      </w:r>
      <w:r w:rsidRPr="008F4CFE">
        <w:t xml:space="preserve">(see section 5.2 Pharmacokinetics in special populations, Hepatic impairment). </w:t>
      </w:r>
      <w:proofErr w:type="spellStart"/>
      <w:r w:rsidRPr="00EB60A1">
        <w:t>Evrysdi</w:t>
      </w:r>
      <w:proofErr w:type="spellEnd"/>
      <w:r w:rsidRPr="00EB60A1">
        <w:t xml:space="preserve"> has not been studied in patients </w:t>
      </w:r>
      <w:r>
        <w:t>with severe hepatic impairment.</w:t>
      </w:r>
    </w:p>
    <w:p w14:paraId="1C3983EA" w14:textId="77777777" w:rsidR="00981E9B" w:rsidRPr="00D760FE" w:rsidRDefault="00981E9B" w:rsidP="00981E9B">
      <w:pPr>
        <w:pStyle w:val="Heading5"/>
      </w:pPr>
      <w:r w:rsidRPr="00D760FE">
        <w:t>Renal impairment</w:t>
      </w:r>
    </w:p>
    <w:p w14:paraId="65865BC8" w14:textId="77777777" w:rsidR="00981E9B" w:rsidRDefault="00981E9B" w:rsidP="00981E9B">
      <w:r w:rsidRPr="00EB60A1">
        <w:t xml:space="preserve">The safety and efficacy of </w:t>
      </w:r>
      <w:proofErr w:type="spellStart"/>
      <w:r w:rsidRPr="00EB60A1">
        <w:t>Evrysdi</w:t>
      </w:r>
      <w:proofErr w:type="spellEnd"/>
      <w:r w:rsidRPr="00EB60A1">
        <w:t xml:space="preserve"> in patients with renal impairment have not been studied. No dose adjustment is expected to be required in patients with renal impairment </w:t>
      </w:r>
      <w:r w:rsidRPr="008F4CFE">
        <w:t>(see section 5.2 Pharmacokinetics in special populations, Renal impairment).</w:t>
      </w:r>
    </w:p>
    <w:p w14:paraId="70FF7225" w14:textId="77777777" w:rsidR="00981E9B" w:rsidRPr="00D760FE" w:rsidRDefault="00981E9B" w:rsidP="00981E9B">
      <w:pPr>
        <w:pStyle w:val="Heading5"/>
        <w:keepNext/>
      </w:pPr>
      <w:r>
        <w:t>Elderly</w:t>
      </w:r>
    </w:p>
    <w:p w14:paraId="12CADECB" w14:textId="7139CB52" w:rsidR="00981E9B" w:rsidRPr="00D760FE" w:rsidRDefault="00981E9B" w:rsidP="00981E9B">
      <w:proofErr w:type="spellStart"/>
      <w:r w:rsidRPr="00EB60A1">
        <w:t>Evrysdi</w:t>
      </w:r>
      <w:proofErr w:type="spellEnd"/>
      <w:r w:rsidRPr="00EB60A1">
        <w:t xml:space="preserve"> has not been studied in patients with SMA above 60 years of age </w:t>
      </w:r>
      <w:r w:rsidRPr="001871BC">
        <w:t xml:space="preserve">(see section </w:t>
      </w:r>
      <w:r>
        <w:t>5.2</w:t>
      </w:r>
      <w:r w:rsidRPr="001871BC">
        <w:t xml:space="preserve"> Pharmacokinetics in </w:t>
      </w:r>
      <w:r>
        <w:t>s</w:t>
      </w:r>
      <w:r w:rsidRPr="001871BC">
        <w:t xml:space="preserve">pecial </w:t>
      </w:r>
      <w:r>
        <w:t>p</w:t>
      </w:r>
      <w:r w:rsidRPr="001871BC">
        <w:t xml:space="preserve">opulations, </w:t>
      </w:r>
      <w:r>
        <w:t>Elderly</w:t>
      </w:r>
      <w:r w:rsidRPr="001871BC">
        <w:t>).</w:t>
      </w:r>
      <w:r w:rsidRPr="00D760FE">
        <w:t xml:space="preserve"> </w:t>
      </w:r>
    </w:p>
    <w:p w14:paraId="2671B3C3" w14:textId="77777777" w:rsidR="00DE6334" w:rsidRPr="00947662" w:rsidRDefault="00DE6334" w:rsidP="00DE6334">
      <w:pPr>
        <w:pStyle w:val="Heading5"/>
        <w:keepNext/>
      </w:pPr>
      <w:r w:rsidRPr="00947662">
        <w:t>P</w:t>
      </w:r>
      <w:r>
        <w:t>a</w:t>
      </w:r>
      <w:r w:rsidRPr="00947662">
        <w:t>ediatric populations</w:t>
      </w:r>
    </w:p>
    <w:p w14:paraId="7309F7A9" w14:textId="7F593312" w:rsidR="00DE6334" w:rsidRDefault="00EB60A1" w:rsidP="00DE6334">
      <w:r w:rsidRPr="00EB60A1">
        <w:t xml:space="preserve">The safety and efficacy of </w:t>
      </w:r>
      <w:proofErr w:type="spellStart"/>
      <w:r w:rsidRPr="00EB60A1">
        <w:t>Evrysdi</w:t>
      </w:r>
      <w:proofErr w:type="spellEnd"/>
      <w:r w:rsidRPr="00EB60A1">
        <w:t xml:space="preserve"> in p</w:t>
      </w:r>
      <w:r>
        <w:t>a</w:t>
      </w:r>
      <w:r w:rsidRPr="00EB60A1">
        <w:t>ediatric patients &lt; 2 months of age have not yet been established (see section</w:t>
      </w:r>
      <w:r w:rsidR="005F7BAD">
        <w:t>s</w:t>
      </w:r>
      <w:r w:rsidRPr="00EB60A1">
        <w:t xml:space="preserve"> </w:t>
      </w:r>
      <w:r>
        <w:t>5.1 Clinical trials</w:t>
      </w:r>
      <w:r w:rsidR="005F7BAD">
        <w:t xml:space="preserve"> and 5.3 </w:t>
      </w:r>
      <w:r w:rsidR="005F7BAD" w:rsidRPr="005F7BAD">
        <w:t>Preclinical safety data; Juvenile animal studies</w:t>
      </w:r>
      <w:r w:rsidRPr="00EB60A1">
        <w:t>)</w:t>
      </w:r>
      <w:r>
        <w:t>.</w:t>
      </w:r>
    </w:p>
    <w:p w14:paraId="4A9E20A3" w14:textId="00DD2AFD" w:rsidR="00D52399" w:rsidRDefault="007828E3" w:rsidP="00627B2B">
      <w:pPr>
        <w:pStyle w:val="Heading2"/>
        <w:keepNext/>
        <w:numPr>
          <w:ilvl w:val="1"/>
          <w:numId w:val="2"/>
        </w:numPr>
        <w:ind w:left="0" w:firstLine="0"/>
      </w:pPr>
      <w:r>
        <w:t>CONTRAINDICATIONS</w:t>
      </w:r>
    </w:p>
    <w:p w14:paraId="2F56E3C2" w14:textId="77777777" w:rsidR="00D52399" w:rsidRDefault="00D52399" w:rsidP="00627B2B">
      <w:pPr>
        <w:keepNext/>
      </w:pPr>
    </w:p>
    <w:p w14:paraId="5EFD19AD" w14:textId="4651FDDE" w:rsidR="00D52399" w:rsidRDefault="001A590A">
      <w:proofErr w:type="spellStart"/>
      <w:r w:rsidRPr="001A590A">
        <w:t>Evrysdi</w:t>
      </w:r>
      <w:proofErr w:type="spellEnd"/>
      <w:r w:rsidRPr="001A590A">
        <w:t xml:space="preserve"> is contraindicated in patients with a known hypersensitivity to </w:t>
      </w:r>
      <w:proofErr w:type="spellStart"/>
      <w:r w:rsidRPr="001A590A">
        <w:t>risdiplam</w:t>
      </w:r>
      <w:proofErr w:type="spellEnd"/>
      <w:r w:rsidRPr="001A590A">
        <w:t xml:space="preserve"> or </w:t>
      </w:r>
      <w:r>
        <w:t xml:space="preserve">to </w:t>
      </w:r>
      <w:r w:rsidRPr="001A590A">
        <w:t>any of the excipients.</w:t>
      </w:r>
    </w:p>
    <w:p w14:paraId="2ECEE5F4" w14:textId="67C76176" w:rsidR="00D52399" w:rsidRDefault="00615052" w:rsidP="00417E6D">
      <w:pPr>
        <w:pStyle w:val="Heading2"/>
        <w:keepNext/>
        <w:ind w:hanging="786"/>
      </w:pPr>
      <w:r>
        <w:t>4.4</w:t>
      </w:r>
      <w:r>
        <w:tab/>
      </w:r>
      <w:r w:rsidR="007828E3">
        <w:t>SPECIAL WARNINGS AND PRECAUTIONS FOR USE</w:t>
      </w:r>
    </w:p>
    <w:p w14:paraId="14311151" w14:textId="00FDEE94" w:rsidR="00A707C5" w:rsidRDefault="001A590A" w:rsidP="001A590A">
      <w:pPr>
        <w:pStyle w:val="Heading3"/>
        <w:keepNext/>
      </w:pPr>
      <w:r>
        <w:t>Embryo-</w:t>
      </w:r>
      <w:proofErr w:type="spellStart"/>
      <w:r>
        <w:t>fetal</w:t>
      </w:r>
      <w:proofErr w:type="spellEnd"/>
      <w:r>
        <w:t xml:space="preserve"> t</w:t>
      </w:r>
      <w:r w:rsidRPr="001A590A">
        <w:t>oxicity</w:t>
      </w:r>
    </w:p>
    <w:p w14:paraId="0E4F929B" w14:textId="77777777" w:rsidR="001A590A" w:rsidRDefault="001A590A" w:rsidP="00A707C5"/>
    <w:p w14:paraId="31FAABC5" w14:textId="492C7B22" w:rsidR="00A707C5" w:rsidRPr="00A707C5" w:rsidRDefault="001A590A" w:rsidP="00A707C5">
      <w:r w:rsidRPr="001A590A">
        <w:t>Embryo-</w:t>
      </w:r>
      <w:proofErr w:type="spellStart"/>
      <w:r w:rsidRPr="001A590A">
        <w:t>fetal</w:t>
      </w:r>
      <w:proofErr w:type="spellEnd"/>
      <w:r w:rsidRPr="001A590A">
        <w:t xml:space="preserve"> toxicity has been observed in animal studies</w:t>
      </w:r>
      <w:r>
        <w:t xml:space="preserve"> (see section 4.6 Use in pregnancy)</w:t>
      </w:r>
      <w:r w:rsidRPr="001A590A">
        <w:t xml:space="preserve">. Patients of reproductive potential should be informed of the risks and must use highly effective contraception during treatment and until at least 1 month after the last dose of </w:t>
      </w:r>
      <w:proofErr w:type="spellStart"/>
      <w:r w:rsidRPr="001A590A">
        <w:t>Evrysdi</w:t>
      </w:r>
      <w:proofErr w:type="spellEnd"/>
      <w:r w:rsidRPr="001A590A">
        <w:t xml:space="preserve"> in female patients, and 4 months after the last dose of </w:t>
      </w:r>
      <w:proofErr w:type="spellStart"/>
      <w:r w:rsidRPr="001A590A">
        <w:t>Evrysdi</w:t>
      </w:r>
      <w:proofErr w:type="spellEnd"/>
      <w:r w:rsidRPr="001A590A">
        <w:t xml:space="preserve"> in male patients</w:t>
      </w:r>
      <w:r>
        <w:t xml:space="preserve"> (see section 4.6 Contraception in males and females</w:t>
      </w:r>
      <w:r w:rsidRPr="001A590A">
        <w:t>)</w:t>
      </w:r>
      <w:r>
        <w:t>.</w:t>
      </w:r>
    </w:p>
    <w:p w14:paraId="684CC387" w14:textId="43F74217" w:rsidR="001A590A" w:rsidRDefault="001A590A" w:rsidP="001A590A">
      <w:pPr>
        <w:pStyle w:val="Heading3"/>
        <w:keepNext/>
      </w:pPr>
      <w:r>
        <w:t>Potential effects on male fertility</w:t>
      </w:r>
    </w:p>
    <w:p w14:paraId="7FAF32B6" w14:textId="4EBFC70A" w:rsidR="001A590A" w:rsidRDefault="001A590A" w:rsidP="001A590A"/>
    <w:p w14:paraId="49EAA2C7" w14:textId="591C5DD7" w:rsidR="003D66FF" w:rsidRDefault="00981E9B" w:rsidP="001A590A">
      <w:r>
        <w:t>M</w:t>
      </w:r>
      <w:r w:rsidR="001A590A" w:rsidRPr="001A590A">
        <w:t xml:space="preserve">ale patients should not donate sperm while on treatment and for 4 months after the last dose of </w:t>
      </w:r>
      <w:proofErr w:type="spellStart"/>
      <w:r w:rsidR="001A590A" w:rsidRPr="001A590A">
        <w:t>Evrysdi</w:t>
      </w:r>
      <w:proofErr w:type="spellEnd"/>
      <w:r w:rsidRPr="00981E9B">
        <w:t xml:space="preserve"> </w:t>
      </w:r>
      <w:r>
        <w:t>d</w:t>
      </w:r>
      <w:r w:rsidRPr="001A590A">
        <w:t xml:space="preserve">ue to reversible effects of </w:t>
      </w:r>
      <w:proofErr w:type="spellStart"/>
      <w:r w:rsidRPr="001A590A">
        <w:t>Evrysdi</w:t>
      </w:r>
      <w:proofErr w:type="spellEnd"/>
      <w:r w:rsidRPr="001A590A">
        <w:t xml:space="preserve"> on male fertility</w:t>
      </w:r>
      <w:r>
        <w:t>,</w:t>
      </w:r>
      <w:r w:rsidRPr="001A590A">
        <w:t xml:space="preserve"> based on observations from animal studies</w:t>
      </w:r>
      <w:r w:rsidR="001A590A">
        <w:t xml:space="preserve"> (see section 4.6 Effects on fertility)</w:t>
      </w:r>
      <w:r w:rsidR="001A590A" w:rsidRPr="001A590A">
        <w:t>.</w:t>
      </w:r>
    </w:p>
    <w:p w14:paraId="34C8AD8A" w14:textId="57F834FD" w:rsidR="003D66FF" w:rsidRDefault="003D66FF" w:rsidP="003D66FF">
      <w:pPr>
        <w:pStyle w:val="Heading3"/>
        <w:keepNext/>
      </w:pPr>
      <w:r>
        <w:t>Retinal toxicity</w:t>
      </w:r>
    </w:p>
    <w:p w14:paraId="6815B426" w14:textId="77777777" w:rsidR="003D66FF" w:rsidRPr="003D66FF" w:rsidRDefault="003D66FF" w:rsidP="003D66FF"/>
    <w:p w14:paraId="74195D74" w14:textId="6EFA34F1" w:rsidR="003D66FF" w:rsidRDefault="003D66FF" w:rsidP="001A590A">
      <w:r w:rsidRPr="003D66FF">
        <w:t xml:space="preserve">The effects of </w:t>
      </w:r>
      <w:proofErr w:type="spellStart"/>
      <w:r w:rsidRPr="003D66FF">
        <w:t>Evrysdi</w:t>
      </w:r>
      <w:proofErr w:type="spellEnd"/>
      <w:r w:rsidRPr="003D66FF">
        <w:t xml:space="preserve"> on retinal structure observed in the non-clinical safety studies have not been observed in clinical stud</w:t>
      </w:r>
      <w:r>
        <w:t>ies with SMA patients. However,</w:t>
      </w:r>
      <w:r w:rsidRPr="003D66FF">
        <w:t xml:space="preserve"> long-term data are still limited. The clinical relevance of these nonclinical findings in the long-term has therefore not been established (see section 5.3</w:t>
      </w:r>
      <w:r>
        <w:t xml:space="preserve"> Preclinical safety data, Retinal toxicity</w:t>
      </w:r>
      <w:r w:rsidRPr="003D66FF">
        <w:t>).</w:t>
      </w:r>
    </w:p>
    <w:p w14:paraId="641E5C94" w14:textId="0313A552" w:rsidR="00327D22" w:rsidRDefault="00327D22" w:rsidP="00C20C56">
      <w:pPr>
        <w:pStyle w:val="Heading3"/>
        <w:keepNext/>
        <w:pageBreakBefore/>
      </w:pPr>
      <w:r w:rsidRPr="002007E8">
        <w:lastRenderedPageBreak/>
        <w:t>Type 0 or IV SMA</w:t>
      </w:r>
    </w:p>
    <w:p w14:paraId="5FAAB390" w14:textId="77777777" w:rsidR="007631AE" w:rsidRPr="007631AE" w:rsidRDefault="007631AE" w:rsidP="007631AE"/>
    <w:p w14:paraId="2DDA4969" w14:textId="7952A7BF" w:rsidR="00327D22" w:rsidRPr="001A590A" w:rsidRDefault="00327D22" w:rsidP="00327D22">
      <w:r w:rsidRPr="002007E8">
        <w:t xml:space="preserve">Patients most likely to develop type 0 or IV SMA have not been included in the clinical development program for </w:t>
      </w:r>
      <w:proofErr w:type="spellStart"/>
      <w:r w:rsidRPr="002007E8">
        <w:t>Evrysdi</w:t>
      </w:r>
      <w:proofErr w:type="spellEnd"/>
      <w:r w:rsidRPr="002007E8">
        <w:t xml:space="preserve">. The decision to treat should be based on individualised expert evaluation of the expected benefits of treatment for that individual, balanced against the potential risk of treatment with </w:t>
      </w:r>
      <w:proofErr w:type="spellStart"/>
      <w:r w:rsidRPr="002007E8">
        <w:t>Evrysdi</w:t>
      </w:r>
      <w:proofErr w:type="spellEnd"/>
      <w:r w:rsidRPr="002007E8">
        <w:t>. The full benefits and risks are unknown among patients diagnosed with type 0 or IV SMA.</w:t>
      </w:r>
    </w:p>
    <w:p w14:paraId="3B9235BB" w14:textId="59D64C74" w:rsidR="008D29EE" w:rsidRDefault="008D29EE" w:rsidP="008D29EE">
      <w:pPr>
        <w:pStyle w:val="Heading3"/>
        <w:keepNext/>
      </w:pPr>
      <w:r>
        <w:t>Use in hepatic impairment</w:t>
      </w:r>
    </w:p>
    <w:p w14:paraId="0A2086DB" w14:textId="5F527CEA" w:rsidR="008D29EE" w:rsidRDefault="008D29EE" w:rsidP="008D29EE">
      <w:pPr>
        <w:keepNext/>
      </w:pPr>
    </w:p>
    <w:p w14:paraId="7A8EFC2A" w14:textId="3E819911" w:rsidR="008D29EE" w:rsidRDefault="00981E9B" w:rsidP="008D29EE">
      <w:r w:rsidRPr="00981E9B">
        <w:rPr>
          <w:lang w:val="en-AU"/>
        </w:rPr>
        <w:t xml:space="preserve">The PK, safety and tolerability of a single dose of 5 mg </w:t>
      </w:r>
      <w:proofErr w:type="spellStart"/>
      <w:r w:rsidRPr="00981E9B">
        <w:rPr>
          <w:lang w:val="en-AU"/>
        </w:rPr>
        <w:t>risdiplam</w:t>
      </w:r>
      <w:proofErr w:type="spellEnd"/>
      <w:r w:rsidRPr="00981E9B">
        <w:rPr>
          <w:lang w:val="en-AU"/>
        </w:rPr>
        <w:t xml:space="preserve"> were evaluated in subjects with mild or moderate hepatic impairment in a dedicated clinical study. Mild or moderate hepatic impairment had no impact on the PK of </w:t>
      </w:r>
      <w:proofErr w:type="spellStart"/>
      <w:r w:rsidRPr="00981E9B">
        <w:rPr>
          <w:lang w:val="en-AU"/>
        </w:rPr>
        <w:t>risdiplam</w:t>
      </w:r>
      <w:proofErr w:type="spellEnd"/>
      <w:r w:rsidRPr="00981E9B">
        <w:rPr>
          <w:lang w:val="en-AU"/>
        </w:rPr>
        <w:t xml:space="preserve">. No dose adjustment is therefore required in patients with mild or moderate hepatic impairment. </w:t>
      </w:r>
      <w:proofErr w:type="spellStart"/>
      <w:r w:rsidRPr="00981E9B">
        <w:rPr>
          <w:lang w:val="en-AU"/>
        </w:rPr>
        <w:t>Evrysdi</w:t>
      </w:r>
      <w:proofErr w:type="spellEnd"/>
      <w:r w:rsidRPr="00981E9B">
        <w:rPr>
          <w:lang w:val="en-AU"/>
        </w:rPr>
        <w:t xml:space="preserve"> has not been studied in patients with severe hepatic impairment</w:t>
      </w:r>
      <w:r>
        <w:rPr>
          <w:lang w:val="en-AU"/>
        </w:rPr>
        <w:t xml:space="preserve"> (see</w:t>
      </w:r>
      <w:r w:rsidR="00784EC0" w:rsidRPr="00784EC0">
        <w:rPr>
          <w:lang w:val="en-AU"/>
        </w:rPr>
        <w:t xml:space="preserve"> sections </w:t>
      </w:r>
      <w:r w:rsidR="00784EC0">
        <w:rPr>
          <w:lang w:val="en-AU"/>
        </w:rPr>
        <w:t>4.2 Dose, Special populations, Hepatic impairment</w:t>
      </w:r>
      <w:r w:rsidR="00784EC0" w:rsidRPr="00784EC0">
        <w:rPr>
          <w:lang w:val="en-AU"/>
        </w:rPr>
        <w:t xml:space="preserve"> and </w:t>
      </w:r>
      <w:r w:rsidR="00EF6316">
        <w:rPr>
          <w:lang w:val="en-AU"/>
        </w:rPr>
        <w:t>5.2 </w:t>
      </w:r>
      <w:r w:rsidR="00784EC0">
        <w:rPr>
          <w:lang w:val="en-AU"/>
        </w:rPr>
        <w:t>Pharmacokinetics in special populations, Hepatic impairment</w:t>
      </w:r>
      <w:r>
        <w:rPr>
          <w:lang w:val="en-AU"/>
        </w:rPr>
        <w:t>)</w:t>
      </w:r>
      <w:r w:rsidR="00784EC0" w:rsidRPr="00784EC0">
        <w:rPr>
          <w:lang w:val="en-AU"/>
        </w:rPr>
        <w:t>.</w:t>
      </w:r>
    </w:p>
    <w:p w14:paraId="60E1ABCB" w14:textId="077D4E3A" w:rsidR="008D29EE" w:rsidRDefault="008D29EE" w:rsidP="00AE69EE">
      <w:pPr>
        <w:pStyle w:val="Heading3"/>
        <w:keepNext/>
      </w:pPr>
      <w:r>
        <w:t>Use in renal impairment</w:t>
      </w:r>
    </w:p>
    <w:p w14:paraId="6D2EC449" w14:textId="7C51BAC4" w:rsidR="008D29EE" w:rsidRDefault="008D29EE" w:rsidP="00AE69EE">
      <w:pPr>
        <w:keepNext/>
      </w:pPr>
    </w:p>
    <w:p w14:paraId="6676F24D" w14:textId="05395618" w:rsidR="008D29EE" w:rsidRPr="00784EC0" w:rsidRDefault="00981E9B" w:rsidP="00784EC0">
      <w:r w:rsidRPr="00981E9B">
        <w:t xml:space="preserve">The safety and efficacy of </w:t>
      </w:r>
      <w:proofErr w:type="spellStart"/>
      <w:r w:rsidRPr="00981E9B">
        <w:t>Evrysdi</w:t>
      </w:r>
      <w:proofErr w:type="spellEnd"/>
      <w:r w:rsidRPr="00981E9B">
        <w:t xml:space="preserve"> in patients with renal impairment have not been studied. A change in dose is not expected to be required for patients with renal impairment </w:t>
      </w:r>
      <w:r>
        <w:t>(see</w:t>
      </w:r>
      <w:r w:rsidR="00784EC0" w:rsidRPr="00784EC0">
        <w:rPr>
          <w:lang w:val="en-AU"/>
        </w:rPr>
        <w:t xml:space="preserve"> sections </w:t>
      </w:r>
      <w:r w:rsidR="00784EC0">
        <w:rPr>
          <w:lang w:val="en-AU"/>
        </w:rPr>
        <w:t>4.2 Dose, Special populations, Renal impairment</w:t>
      </w:r>
      <w:r w:rsidR="00784EC0" w:rsidRPr="00784EC0">
        <w:rPr>
          <w:lang w:val="en-AU"/>
        </w:rPr>
        <w:t xml:space="preserve"> and </w:t>
      </w:r>
      <w:r w:rsidR="00784EC0">
        <w:rPr>
          <w:lang w:val="en-AU"/>
        </w:rPr>
        <w:t>5.2 Pharmacokinetics in special populations, Renal impairment</w:t>
      </w:r>
      <w:r>
        <w:rPr>
          <w:lang w:val="en-AU"/>
        </w:rPr>
        <w:t>)</w:t>
      </w:r>
      <w:r w:rsidR="00784EC0" w:rsidRPr="00784EC0">
        <w:rPr>
          <w:lang w:val="en-AU"/>
        </w:rPr>
        <w:t>.</w:t>
      </w:r>
    </w:p>
    <w:p w14:paraId="64E75C37" w14:textId="77777777" w:rsidR="008D29EE" w:rsidRDefault="008D29EE" w:rsidP="0043279A">
      <w:pPr>
        <w:pStyle w:val="Heading3"/>
        <w:keepNext/>
      </w:pPr>
      <w:r>
        <w:t>Use in the elderly</w:t>
      </w:r>
    </w:p>
    <w:p w14:paraId="3A059C5B" w14:textId="77777777" w:rsidR="008D29EE" w:rsidRDefault="008D29EE" w:rsidP="0043279A">
      <w:pPr>
        <w:keepNext/>
        <w:rPr>
          <w:lang w:val="en-AU"/>
        </w:rPr>
      </w:pPr>
    </w:p>
    <w:p w14:paraId="1AC9A311" w14:textId="7D057675" w:rsidR="008D29EE" w:rsidRPr="00BA738F" w:rsidRDefault="00981E9B" w:rsidP="008D29EE">
      <w:pPr>
        <w:rPr>
          <w:lang w:val="en-AU"/>
        </w:rPr>
      </w:pPr>
      <w:proofErr w:type="spellStart"/>
      <w:r w:rsidRPr="00981E9B">
        <w:rPr>
          <w:lang w:val="en-AU"/>
        </w:rPr>
        <w:t>Evrysdi</w:t>
      </w:r>
      <w:proofErr w:type="spellEnd"/>
      <w:r w:rsidRPr="00981E9B">
        <w:rPr>
          <w:lang w:val="en-AU"/>
        </w:rPr>
        <w:t xml:space="preserve"> has not bee</w:t>
      </w:r>
      <w:r>
        <w:rPr>
          <w:lang w:val="en-AU"/>
        </w:rPr>
        <w:t xml:space="preserve">n studied in patients with SMA </w:t>
      </w:r>
      <w:r w:rsidRPr="00981E9B">
        <w:rPr>
          <w:lang w:val="en-AU"/>
        </w:rPr>
        <w:t>above 60 years of age</w:t>
      </w:r>
      <w:r>
        <w:rPr>
          <w:lang w:val="en-AU"/>
        </w:rPr>
        <w:t xml:space="preserve"> (see</w:t>
      </w:r>
      <w:r w:rsidR="00784EC0" w:rsidRPr="00784EC0">
        <w:rPr>
          <w:lang w:val="en-AU"/>
        </w:rPr>
        <w:t xml:space="preserve"> sections </w:t>
      </w:r>
      <w:r w:rsidR="00784EC0">
        <w:rPr>
          <w:lang w:val="en-AU"/>
        </w:rPr>
        <w:t>4.2 Dose, Special populations, Elderly</w:t>
      </w:r>
      <w:r w:rsidR="00784EC0" w:rsidRPr="00784EC0">
        <w:rPr>
          <w:lang w:val="en-AU"/>
        </w:rPr>
        <w:t xml:space="preserve"> and </w:t>
      </w:r>
      <w:r w:rsidR="00784EC0">
        <w:rPr>
          <w:lang w:val="en-AU"/>
        </w:rPr>
        <w:t>5.2 Pharmacokinetics in special populations, Elderly</w:t>
      </w:r>
      <w:r>
        <w:rPr>
          <w:lang w:val="en-AU"/>
        </w:rPr>
        <w:t>)</w:t>
      </w:r>
      <w:r w:rsidR="00784EC0" w:rsidRPr="00784EC0">
        <w:rPr>
          <w:lang w:val="en-AU"/>
        </w:rPr>
        <w:t>.</w:t>
      </w:r>
    </w:p>
    <w:p w14:paraId="3B48487A" w14:textId="4BE8C31E" w:rsidR="007828E3" w:rsidRDefault="007828E3" w:rsidP="008D29EE">
      <w:pPr>
        <w:pStyle w:val="Heading3"/>
      </w:pPr>
      <w:r>
        <w:t>Paediatric use</w:t>
      </w:r>
    </w:p>
    <w:p w14:paraId="2448BF66" w14:textId="77777777" w:rsidR="008D29EE" w:rsidRDefault="008D29EE" w:rsidP="007828E3">
      <w:pPr>
        <w:rPr>
          <w:lang w:val="en-AU"/>
        </w:rPr>
      </w:pPr>
    </w:p>
    <w:p w14:paraId="65F53BFF" w14:textId="2D474136" w:rsidR="007631AE" w:rsidRPr="00544DD2" w:rsidRDefault="00D57F0C" w:rsidP="00544DD2">
      <w:pPr>
        <w:rPr>
          <w:lang w:val="en-AU"/>
        </w:rPr>
      </w:pPr>
      <w:proofErr w:type="spellStart"/>
      <w:r w:rsidRPr="00544DD2">
        <w:rPr>
          <w:lang w:val="en-AU"/>
        </w:rPr>
        <w:t>Evrysdi</w:t>
      </w:r>
      <w:proofErr w:type="spellEnd"/>
      <w:r w:rsidRPr="00544DD2">
        <w:rPr>
          <w:lang w:val="en-AU"/>
        </w:rPr>
        <w:t xml:space="preserve"> has not been studied in paediatric patients below the age of 2 months (see section 5.1 Clinical trials and 5.3 Preclinical safety data; Juvenile animal studies).</w:t>
      </w:r>
    </w:p>
    <w:p w14:paraId="79894CD7" w14:textId="77777777" w:rsidR="007828E3" w:rsidRPr="00544DD2" w:rsidRDefault="007828E3" w:rsidP="00544DD2">
      <w:pPr>
        <w:pStyle w:val="Heading3"/>
        <w:keepNext/>
      </w:pPr>
      <w:r w:rsidRPr="00544DD2">
        <w:t>Effects on laboratory tests</w:t>
      </w:r>
    </w:p>
    <w:p w14:paraId="7367A72F" w14:textId="77777777" w:rsidR="00E96BC3" w:rsidRDefault="00E96BC3" w:rsidP="007828E3">
      <w:pPr>
        <w:rPr>
          <w:lang w:val="en-AU"/>
        </w:rPr>
      </w:pPr>
    </w:p>
    <w:p w14:paraId="2AFBB7B2" w14:textId="2D30786A" w:rsidR="007828E3" w:rsidRPr="004D1592" w:rsidRDefault="00A52E15" w:rsidP="007828E3">
      <w:pPr>
        <w:rPr>
          <w:lang w:val="en-AU"/>
        </w:rPr>
      </w:pPr>
      <w:r>
        <w:rPr>
          <w:lang w:val="en-AU"/>
        </w:rPr>
        <w:t>No data available.</w:t>
      </w:r>
    </w:p>
    <w:p w14:paraId="71BFF1D0" w14:textId="0B4C2979" w:rsidR="00D52399" w:rsidRDefault="00615052" w:rsidP="00674CFD">
      <w:pPr>
        <w:pStyle w:val="Heading2"/>
        <w:ind w:hanging="786"/>
      </w:pPr>
      <w:r>
        <w:t>4.5</w:t>
      </w:r>
      <w:r>
        <w:tab/>
      </w:r>
      <w:r w:rsidR="00E96BC3">
        <w:t>INTERACTIONS WITH OTHER MEDICINES AND OTHER FORMS OF INTERACTIONS</w:t>
      </w:r>
    </w:p>
    <w:p w14:paraId="6BACBAEF" w14:textId="397FCF6D" w:rsidR="00D52399" w:rsidRDefault="00D52399"/>
    <w:p w14:paraId="215D1101" w14:textId="62E5BCF8" w:rsidR="006E1417" w:rsidRDefault="00320D86" w:rsidP="006A16FA">
      <w:proofErr w:type="spellStart"/>
      <w:r>
        <w:t>Risdiplam</w:t>
      </w:r>
      <w:proofErr w:type="spellEnd"/>
      <w:r>
        <w:t xml:space="preserve"> is primarily metabolis</w:t>
      </w:r>
      <w:r w:rsidRPr="00320D86">
        <w:t xml:space="preserve">ed by flavin monooxygenase 1 and 3 (FMO1 and 3), </w:t>
      </w:r>
      <w:proofErr w:type="gramStart"/>
      <w:r w:rsidRPr="00320D86">
        <w:t>and also</w:t>
      </w:r>
      <w:proofErr w:type="gramEnd"/>
      <w:r w:rsidRPr="00320D86">
        <w:t xml:space="preserve"> by </w:t>
      </w:r>
      <w:r>
        <w:t>c</w:t>
      </w:r>
      <w:r w:rsidRPr="00320D86">
        <w:t>ytochrome P450</w:t>
      </w:r>
      <w:r>
        <w:t xml:space="preserve"> (</w:t>
      </w:r>
      <w:r w:rsidRPr="00320D86">
        <w:t>CYP</w:t>
      </w:r>
      <w:r>
        <w:t>)</w:t>
      </w:r>
      <w:r w:rsidRPr="00320D86">
        <w:t xml:space="preserve">1A1, 2J2, 3A4 and 3A7. </w:t>
      </w:r>
      <w:proofErr w:type="spellStart"/>
      <w:r w:rsidRPr="00320D86">
        <w:t>Risdiplam</w:t>
      </w:r>
      <w:proofErr w:type="spellEnd"/>
      <w:r w:rsidRPr="00320D86">
        <w:t xml:space="preserve"> is not a substrate of human multidrug resistance protein 1 (MDR1)</w:t>
      </w:r>
      <w:r>
        <w:t>.</w:t>
      </w:r>
    </w:p>
    <w:p w14:paraId="7EAE4133" w14:textId="031070A5" w:rsidR="006A16FA" w:rsidRDefault="006A16FA" w:rsidP="008E39AB">
      <w:pPr>
        <w:pStyle w:val="Heading3"/>
        <w:keepNext/>
      </w:pPr>
      <w:r>
        <w:t>E</w:t>
      </w:r>
      <w:r w:rsidRPr="006A16FA">
        <w:t xml:space="preserve">ffects of </w:t>
      </w:r>
      <w:r>
        <w:t>o</w:t>
      </w:r>
      <w:r w:rsidRPr="006A16FA">
        <w:t xml:space="preserve">ther </w:t>
      </w:r>
      <w:r>
        <w:t>medicines</w:t>
      </w:r>
      <w:r w:rsidRPr="006A16FA">
        <w:t xml:space="preserve"> on </w:t>
      </w:r>
      <w:proofErr w:type="spellStart"/>
      <w:r w:rsidR="00320D86">
        <w:t>Evrysdi</w:t>
      </w:r>
      <w:proofErr w:type="spellEnd"/>
    </w:p>
    <w:p w14:paraId="015EC9DE" w14:textId="3F4E7F93" w:rsidR="006A16FA" w:rsidRDefault="006A16FA" w:rsidP="008E39AB">
      <w:pPr>
        <w:keepNext/>
      </w:pPr>
    </w:p>
    <w:p w14:paraId="64A3B7D4" w14:textId="137AB7C2" w:rsidR="00320D86" w:rsidRDefault="00320D86" w:rsidP="00320D86">
      <w:r>
        <w:t xml:space="preserve">Co-administration of 200 mg itraconazole twice daily, a strong CYP3A inhibitor, with a single oral dose of 6 mg </w:t>
      </w:r>
      <w:proofErr w:type="spellStart"/>
      <w:r>
        <w:t>risdiplam</w:t>
      </w:r>
      <w:proofErr w:type="spellEnd"/>
      <w:r>
        <w:t xml:space="preserve"> did not exhibit a clinically relevant effect on the PK of </w:t>
      </w:r>
      <w:proofErr w:type="spellStart"/>
      <w:r>
        <w:t>risdiplam</w:t>
      </w:r>
      <w:proofErr w:type="spellEnd"/>
      <w:r>
        <w:t xml:space="preserve"> (11% increase in AUC, 9% decrease in </w:t>
      </w:r>
      <w:proofErr w:type="spellStart"/>
      <w:r>
        <w:t>C</w:t>
      </w:r>
      <w:r w:rsidRPr="00320D86">
        <w:rPr>
          <w:vertAlign w:val="subscript"/>
        </w:rPr>
        <w:t>max</w:t>
      </w:r>
      <w:proofErr w:type="spellEnd"/>
      <w:r>
        <w:t xml:space="preserve">). No dose adjustments are required when </w:t>
      </w:r>
      <w:proofErr w:type="spellStart"/>
      <w:r>
        <w:t>Evrysdi</w:t>
      </w:r>
      <w:proofErr w:type="spellEnd"/>
      <w:r>
        <w:t xml:space="preserve"> is co-administered with a CYP3A inhibitor. </w:t>
      </w:r>
    </w:p>
    <w:p w14:paraId="65E851A9" w14:textId="77777777" w:rsidR="00320D86" w:rsidRDefault="00320D86" w:rsidP="00320D86"/>
    <w:p w14:paraId="418105BD" w14:textId="66DA9F78" w:rsidR="006A16FA" w:rsidRDefault="00BA127B" w:rsidP="00320D86">
      <w:r w:rsidRPr="00BA127B">
        <w:t xml:space="preserve">The potential of co-administered FMO1/3 inducers or inhibitors to affect </w:t>
      </w:r>
      <w:proofErr w:type="spellStart"/>
      <w:r w:rsidRPr="00BA127B">
        <w:t>risdiplam</w:t>
      </w:r>
      <w:proofErr w:type="spellEnd"/>
      <w:r w:rsidRPr="00BA127B">
        <w:t xml:space="preserve"> or M1 metabolite exposure was not investigated</w:t>
      </w:r>
      <w:r w:rsidR="00320D86">
        <w:t>.</w:t>
      </w:r>
    </w:p>
    <w:p w14:paraId="147FD1E8" w14:textId="52D8EC05" w:rsidR="006F410D" w:rsidRDefault="006F410D" w:rsidP="006F410D">
      <w:pPr>
        <w:pStyle w:val="Heading3"/>
      </w:pPr>
      <w:r w:rsidRPr="006F410D">
        <w:t xml:space="preserve">Effects of </w:t>
      </w:r>
      <w:proofErr w:type="spellStart"/>
      <w:r w:rsidR="00320D86">
        <w:t>Evrysdi</w:t>
      </w:r>
      <w:proofErr w:type="spellEnd"/>
      <w:r w:rsidRPr="006F410D">
        <w:t xml:space="preserve"> on </w:t>
      </w:r>
      <w:r>
        <w:t>o</w:t>
      </w:r>
      <w:r w:rsidRPr="006F410D">
        <w:t xml:space="preserve">ther </w:t>
      </w:r>
      <w:r>
        <w:t>medicines</w:t>
      </w:r>
    </w:p>
    <w:p w14:paraId="3C4669DD" w14:textId="4751EF6B" w:rsidR="006F410D" w:rsidRDefault="006F410D" w:rsidP="006F410D"/>
    <w:p w14:paraId="6DF7C8FD" w14:textId="163632B1" w:rsidR="00320D86" w:rsidRDefault="00320D86" w:rsidP="00320D86">
      <w:r w:rsidRPr="00320D86">
        <w:rPr>
          <w:i/>
        </w:rPr>
        <w:t>In vitro</w:t>
      </w:r>
      <w:r>
        <w:t xml:space="preserve"> </w:t>
      </w:r>
      <w:proofErr w:type="spellStart"/>
      <w:r>
        <w:t>risdiplam</w:t>
      </w:r>
      <w:proofErr w:type="spellEnd"/>
      <w:r>
        <w:t xml:space="preserve"> and its major circulating metabolite M1 did not induce CYP1A2, 2B6, 2C8, 2C9, 2C19 or 3A4. </w:t>
      </w:r>
      <w:r w:rsidRPr="00320D86">
        <w:rPr>
          <w:i/>
        </w:rPr>
        <w:t>In vitro</w:t>
      </w:r>
      <w:r>
        <w:t xml:space="preserve"> </w:t>
      </w:r>
      <w:proofErr w:type="spellStart"/>
      <w:r>
        <w:t>risdiplam</w:t>
      </w:r>
      <w:proofErr w:type="spellEnd"/>
      <w:r>
        <w:t xml:space="preserve"> and M1 did not inhibit (reversible or Time-Dependent Inhibition) any of the CYP enzymes tested (CYP1A2, 2B6, 2C8, 2C9, 2C19, 2D6) with the exception of CYP3A.</w:t>
      </w:r>
    </w:p>
    <w:p w14:paraId="38437BAE" w14:textId="77777777" w:rsidR="00320D86" w:rsidRDefault="00320D86" w:rsidP="00320D86"/>
    <w:p w14:paraId="55E67437" w14:textId="75F187F7" w:rsidR="00320D86" w:rsidRDefault="00320D86" w:rsidP="00320D86">
      <w:proofErr w:type="spellStart"/>
      <w:r>
        <w:t>Evrysdi</w:t>
      </w:r>
      <w:proofErr w:type="spellEnd"/>
      <w:r>
        <w:t xml:space="preserve"> is a weak inhibitor of CYP3A. In healthy adult subjects, administration of </w:t>
      </w:r>
      <w:proofErr w:type="spellStart"/>
      <w:r>
        <w:t>Evrysdi</w:t>
      </w:r>
      <w:proofErr w:type="spellEnd"/>
      <w:r>
        <w:t xml:space="preserve"> once daily for 2 weeks slightly increased the exposure of midazolam, a sensitive CYP3A substrate (AUC 11%; </w:t>
      </w:r>
      <w:proofErr w:type="spellStart"/>
      <w:r>
        <w:t>C</w:t>
      </w:r>
      <w:r w:rsidRPr="00320D86">
        <w:rPr>
          <w:vertAlign w:val="subscript"/>
        </w:rPr>
        <w:t>max</w:t>
      </w:r>
      <w:proofErr w:type="spellEnd"/>
      <w:r>
        <w:t xml:space="preserve"> 16%). The extent of the interaction is not considered clinically relevant and therefore no dose adjustment is required for CYP3A substrates. Based on physiologically based pharmacokinetic (PBPK) modelling</w:t>
      </w:r>
      <w:r w:rsidR="009F4A88">
        <w:t>,</w:t>
      </w:r>
      <w:r>
        <w:t xml:space="preserve"> a similar magnitude of the effect is expected in children and infants as young as 2 months old.</w:t>
      </w:r>
    </w:p>
    <w:p w14:paraId="1597BF76" w14:textId="7B045CC9" w:rsidR="003D66FF" w:rsidRDefault="00320D86" w:rsidP="00320D86">
      <w:r w:rsidRPr="009F4A88">
        <w:rPr>
          <w:i/>
        </w:rPr>
        <w:t>In vitro</w:t>
      </w:r>
      <w:r>
        <w:t xml:space="preserve"> studies have shown that </w:t>
      </w:r>
      <w:proofErr w:type="spellStart"/>
      <w:r>
        <w:t>risdiplam</w:t>
      </w:r>
      <w:proofErr w:type="spellEnd"/>
      <w:r>
        <w:t xml:space="preserve"> and its major metabolite are not significant inhibitors of human MDR1, organic anion-transporting polypeptide (OATP)1B1, OATP1B3, organic anion transporter 1 and 3 (OAT 1 and 3)</w:t>
      </w:r>
      <w:r w:rsidR="00BA127B">
        <w:t xml:space="preserve"> </w:t>
      </w:r>
      <w:r w:rsidR="00BA127B" w:rsidRPr="00BA127B">
        <w:t>or organic cation transporter 2 (OCT2)</w:t>
      </w:r>
      <w:r>
        <w:t xml:space="preserve">. </w:t>
      </w:r>
      <w:proofErr w:type="spellStart"/>
      <w:r>
        <w:t>Risdiplam</w:t>
      </w:r>
      <w:proofErr w:type="spellEnd"/>
      <w:r>
        <w:t xml:space="preserve"> and its metabolite are, however, </w:t>
      </w:r>
      <w:r w:rsidRPr="009F4A88">
        <w:rPr>
          <w:i/>
        </w:rPr>
        <w:t>in vitro</w:t>
      </w:r>
      <w:r>
        <w:t xml:space="preserve"> inhibitors of the multidrug and toxin extrusion (MATE)1 and MATE2-K transporters. </w:t>
      </w:r>
      <w:r w:rsidR="00385258" w:rsidRPr="00385258">
        <w:t xml:space="preserve">The effect of coadministration of </w:t>
      </w:r>
      <w:proofErr w:type="spellStart"/>
      <w:r w:rsidR="00385258" w:rsidRPr="00385258">
        <w:t>risdiplam</w:t>
      </w:r>
      <w:proofErr w:type="spellEnd"/>
      <w:r w:rsidR="00385258" w:rsidRPr="00385258">
        <w:t xml:space="preserve"> on the pharmacokinetics of MATE1 and MATE2-K substrates in humans is unknown. Based on in vitro data, </w:t>
      </w:r>
      <w:proofErr w:type="spellStart"/>
      <w:r w:rsidR="00385258" w:rsidRPr="00385258">
        <w:t>Evrysdi</w:t>
      </w:r>
      <w:proofErr w:type="spellEnd"/>
      <w:r w:rsidR="00385258" w:rsidRPr="00385258">
        <w:t xml:space="preserve"> may increase plasma concentrations of drugs </w:t>
      </w:r>
      <w:r w:rsidR="00385258">
        <w:t xml:space="preserve">eliminated via MATE1 or MATE2-K, </w:t>
      </w:r>
      <w:r w:rsidR="00385258" w:rsidRPr="00385258">
        <w:t xml:space="preserve">such as metformin and fexofenadine. If co-administration cannot be avoided, monitor for drug-related toxicities and consider dosage reduction of the co-administered drug (based on the </w:t>
      </w:r>
      <w:r w:rsidR="00BA127B" w:rsidRPr="00385258">
        <w:t>labelling</w:t>
      </w:r>
      <w:r w:rsidR="00385258" w:rsidRPr="00385258">
        <w:t xml:space="preserve"> of that drug) if needed</w:t>
      </w:r>
      <w:r>
        <w:t xml:space="preserve">. </w:t>
      </w:r>
    </w:p>
    <w:p w14:paraId="282C0CF4" w14:textId="71A83412" w:rsidR="003D66FF" w:rsidRDefault="003D66FF" w:rsidP="003D66FF">
      <w:pPr>
        <w:pStyle w:val="Heading3"/>
      </w:pPr>
      <w:r>
        <w:t xml:space="preserve">Concomitant </w:t>
      </w:r>
      <w:r w:rsidRPr="003D66FF">
        <w:t>administration with other SMA therapies</w:t>
      </w:r>
    </w:p>
    <w:p w14:paraId="5CE2934B" w14:textId="77777777" w:rsidR="003D66FF" w:rsidRPr="003D66FF" w:rsidRDefault="003D66FF" w:rsidP="003D66FF"/>
    <w:p w14:paraId="0275FDE6" w14:textId="382203CB" w:rsidR="003D66FF" w:rsidRDefault="003D66FF" w:rsidP="00320D86">
      <w:r w:rsidRPr="003D66FF">
        <w:t xml:space="preserve">There is no efficacy or safety data to support the concomitant use of </w:t>
      </w:r>
      <w:proofErr w:type="spellStart"/>
      <w:r w:rsidRPr="003D66FF">
        <w:t>risdiplam</w:t>
      </w:r>
      <w:proofErr w:type="spellEnd"/>
      <w:r w:rsidRPr="003D66FF">
        <w:t xml:space="preserve"> and </w:t>
      </w:r>
      <w:proofErr w:type="spellStart"/>
      <w:r w:rsidRPr="003D66FF">
        <w:t>nusinersen</w:t>
      </w:r>
      <w:proofErr w:type="spellEnd"/>
      <w:r w:rsidRPr="003D66FF">
        <w:t xml:space="preserve">. Efficacy data for </w:t>
      </w:r>
      <w:proofErr w:type="spellStart"/>
      <w:r w:rsidRPr="003D66FF">
        <w:t>Evrysdi</w:t>
      </w:r>
      <w:proofErr w:type="spellEnd"/>
      <w:r w:rsidRPr="003D66FF">
        <w:t xml:space="preserve"> treatment when used in patients that previously received SMN1 gene therapy is not available.</w:t>
      </w:r>
    </w:p>
    <w:p w14:paraId="5E98E414" w14:textId="1D4751AD" w:rsidR="003D66FF" w:rsidRDefault="003D66FF" w:rsidP="003D66FF">
      <w:pPr>
        <w:pStyle w:val="Heading3"/>
      </w:pPr>
      <w:r>
        <w:t>C</w:t>
      </w:r>
      <w:r w:rsidRPr="003D66FF">
        <w:t xml:space="preserve">oncomitant use with </w:t>
      </w:r>
      <w:proofErr w:type="spellStart"/>
      <w:r w:rsidRPr="003D66FF">
        <w:t>retinotoxic</w:t>
      </w:r>
      <w:proofErr w:type="spellEnd"/>
      <w:r w:rsidRPr="003D66FF">
        <w:t xml:space="preserve"> drugs</w:t>
      </w:r>
    </w:p>
    <w:p w14:paraId="5415230D" w14:textId="77777777" w:rsidR="003D66FF" w:rsidRPr="003D66FF" w:rsidRDefault="003D66FF" w:rsidP="003D66FF"/>
    <w:p w14:paraId="048AD3CF" w14:textId="31B7F1BC" w:rsidR="003D66FF" w:rsidRDefault="003D66FF" w:rsidP="00320D86">
      <w:r w:rsidRPr="003D66FF">
        <w:t xml:space="preserve">The potential for synergistic effects of concomitant administration of </w:t>
      </w:r>
      <w:proofErr w:type="spellStart"/>
      <w:r w:rsidRPr="003D66FF">
        <w:t>risdiplam</w:t>
      </w:r>
      <w:proofErr w:type="spellEnd"/>
      <w:r w:rsidRPr="003D66FF">
        <w:t xml:space="preserve"> with </w:t>
      </w:r>
      <w:proofErr w:type="spellStart"/>
      <w:r w:rsidRPr="003D66FF">
        <w:t>retinotoxic</w:t>
      </w:r>
      <w:proofErr w:type="spellEnd"/>
      <w:r w:rsidRPr="003D66FF">
        <w:t xml:space="preserve"> drugs has not been studied. Therefore, caution in using concomitant medications with known or suspected retinal toxicity is recommended.</w:t>
      </w:r>
    </w:p>
    <w:p w14:paraId="41A1B929" w14:textId="3B57BE6E" w:rsidR="00D52399" w:rsidRDefault="00615052" w:rsidP="006C5801">
      <w:pPr>
        <w:pStyle w:val="Heading2"/>
        <w:keepNext/>
        <w:ind w:hanging="786"/>
      </w:pPr>
      <w:r>
        <w:t>4.6</w:t>
      </w:r>
      <w:r>
        <w:tab/>
      </w:r>
      <w:r w:rsidR="00E96BC3">
        <w:t>FERTILITY, PREGNANCY AND LACTATION</w:t>
      </w:r>
    </w:p>
    <w:p w14:paraId="7054AB6E" w14:textId="77777777" w:rsidR="00E96BC3" w:rsidRDefault="00E96BC3" w:rsidP="006C5801">
      <w:pPr>
        <w:pStyle w:val="Heading3"/>
        <w:keepNext/>
      </w:pPr>
      <w:r>
        <w:t>Effects on fertility</w:t>
      </w:r>
    </w:p>
    <w:p w14:paraId="5176CB6C" w14:textId="6F021B65" w:rsidR="00E96BC3" w:rsidRDefault="009A27DA" w:rsidP="009A27DA">
      <w:pPr>
        <w:pStyle w:val="Heading4"/>
        <w:rPr>
          <w:lang w:val="en-AU"/>
        </w:rPr>
      </w:pPr>
      <w:r>
        <w:rPr>
          <w:lang w:val="en-AU"/>
        </w:rPr>
        <w:t>Male patients</w:t>
      </w:r>
    </w:p>
    <w:p w14:paraId="3EE1EBE6" w14:textId="3DAABF38" w:rsidR="009A27DA" w:rsidRDefault="009A27DA" w:rsidP="009A27DA">
      <w:pPr>
        <w:rPr>
          <w:lang w:val="en-AU"/>
        </w:rPr>
      </w:pPr>
    </w:p>
    <w:p w14:paraId="717971E0" w14:textId="49ADDFCC" w:rsidR="009A27DA" w:rsidRDefault="009A27DA" w:rsidP="009A27DA">
      <w:pPr>
        <w:rPr>
          <w:lang w:val="en-AU"/>
        </w:rPr>
      </w:pPr>
      <w:r>
        <w:rPr>
          <w:lang w:val="en-AU"/>
        </w:rPr>
        <w:t>B</w:t>
      </w:r>
      <w:r w:rsidRPr="009A27DA">
        <w:rPr>
          <w:lang w:val="en-AU"/>
        </w:rPr>
        <w:t>ased on nonclinical findings</w:t>
      </w:r>
      <w:r>
        <w:rPr>
          <w:lang w:val="en-AU"/>
        </w:rPr>
        <w:t>,</w:t>
      </w:r>
      <w:r w:rsidRPr="009A27DA">
        <w:rPr>
          <w:lang w:val="en-AU"/>
        </w:rPr>
        <w:t xml:space="preserve"> </w:t>
      </w:r>
      <w:r>
        <w:rPr>
          <w:lang w:val="en-AU"/>
        </w:rPr>
        <w:t>m</w:t>
      </w:r>
      <w:r w:rsidRPr="009A27DA">
        <w:rPr>
          <w:lang w:val="en-AU"/>
        </w:rPr>
        <w:t xml:space="preserve">ale fertility may be compromised while on treatment with </w:t>
      </w:r>
      <w:proofErr w:type="spellStart"/>
      <w:r w:rsidRPr="009A27DA">
        <w:rPr>
          <w:lang w:val="en-AU"/>
        </w:rPr>
        <w:t>Evrysdi</w:t>
      </w:r>
      <w:proofErr w:type="spellEnd"/>
      <w:r w:rsidRPr="009A27DA">
        <w:rPr>
          <w:lang w:val="en-AU"/>
        </w:rPr>
        <w:t xml:space="preserve">. </w:t>
      </w:r>
      <w:r w:rsidR="002007E8" w:rsidRPr="002007E8">
        <w:rPr>
          <w:lang w:val="en-AU"/>
        </w:rPr>
        <w:t xml:space="preserve">Based on observations from animal studies, the effects on sperm cells are expected to be reversible upon discontinuation of </w:t>
      </w:r>
      <w:proofErr w:type="spellStart"/>
      <w:r w:rsidR="002007E8" w:rsidRPr="002007E8">
        <w:rPr>
          <w:lang w:val="en-AU"/>
        </w:rPr>
        <w:t>risdiplam</w:t>
      </w:r>
      <w:proofErr w:type="spellEnd"/>
      <w:r w:rsidR="002007E8" w:rsidRPr="002007E8">
        <w:rPr>
          <w:lang w:val="en-AU"/>
        </w:rPr>
        <w:t>.</w:t>
      </w:r>
    </w:p>
    <w:p w14:paraId="1A19FDAB" w14:textId="30DF9A24" w:rsidR="00A3552F" w:rsidRDefault="00A3552F" w:rsidP="009A27DA">
      <w:pPr>
        <w:rPr>
          <w:lang w:val="en-AU"/>
        </w:rPr>
      </w:pPr>
    </w:p>
    <w:p w14:paraId="0D2925FB" w14:textId="1A7B359C" w:rsidR="00A3552F" w:rsidRDefault="00A3552F" w:rsidP="009A27DA">
      <w:pPr>
        <w:rPr>
          <w:lang w:val="en-AU"/>
        </w:rPr>
      </w:pPr>
      <w:r w:rsidRPr="00A3552F">
        <w:rPr>
          <w:lang w:val="en-AU"/>
        </w:rPr>
        <w:lastRenderedPageBreak/>
        <w:t xml:space="preserve">Oral administration of </w:t>
      </w:r>
      <w:proofErr w:type="spellStart"/>
      <w:r w:rsidRPr="00A3552F">
        <w:rPr>
          <w:lang w:val="en-AU"/>
        </w:rPr>
        <w:t>risdiplam</w:t>
      </w:r>
      <w:proofErr w:type="spellEnd"/>
      <w:r w:rsidRPr="00A3552F">
        <w:rPr>
          <w:lang w:val="en-AU"/>
        </w:rPr>
        <w:t xml:space="preserve"> to rats for 4 (0, 1, 3, or 9 mg/kg/day) or 26 (0, 1, 3, or 7.5 mg/kg/day) weeks resulted in histopathological effects in the testis (degenerated spermatocytes, degeneration/atrophy of the seminiferous tubules) and epididymis (degeneration/necrosis of ductular epithelium) at the mid and/or high doses. At the high dose in the 26-week study, the testicular lesions </w:t>
      </w:r>
      <w:r w:rsidR="003A2517">
        <w:rPr>
          <w:lang w:val="en-AU"/>
        </w:rPr>
        <w:t xml:space="preserve">persisted to </w:t>
      </w:r>
      <w:r w:rsidRPr="00A3552F">
        <w:rPr>
          <w:lang w:val="en-AU"/>
        </w:rPr>
        <w:t>the end of the recovery period, which corresponds, in rat, to approximately one spermatogenic cycle. The no-effect dose for adverse reproductive system effects in adult male rats (1 mg/kg/day) was associated with plasma drug exposures (unbound AUC) si</w:t>
      </w:r>
      <w:r w:rsidR="00EA2ADF">
        <w:rPr>
          <w:lang w:val="en-AU"/>
        </w:rPr>
        <w:t>milar to that in humans at the Maximum Recommended Human D</w:t>
      </w:r>
      <w:r w:rsidRPr="00A3552F">
        <w:rPr>
          <w:lang w:val="en-AU"/>
        </w:rPr>
        <w:t>ose (MRHD) of 5 mg/day.</w:t>
      </w:r>
    </w:p>
    <w:p w14:paraId="616D2F0E" w14:textId="6C4F5BB2" w:rsidR="00A3552F" w:rsidRDefault="00A3552F" w:rsidP="009A27DA">
      <w:pPr>
        <w:rPr>
          <w:lang w:val="en-AU"/>
        </w:rPr>
      </w:pPr>
    </w:p>
    <w:p w14:paraId="3B7DA9F6" w14:textId="719A7B8C" w:rsidR="00A3552F" w:rsidRDefault="00A3552F" w:rsidP="009A27DA">
      <w:pPr>
        <w:rPr>
          <w:lang w:val="en-AU"/>
        </w:rPr>
      </w:pPr>
      <w:r w:rsidRPr="00A3552F">
        <w:rPr>
          <w:lang w:val="en-AU"/>
        </w:rPr>
        <w:t xml:space="preserve">Adverse effects of </w:t>
      </w:r>
      <w:proofErr w:type="spellStart"/>
      <w:r w:rsidRPr="00A3552F">
        <w:rPr>
          <w:lang w:val="en-AU"/>
        </w:rPr>
        <w:t>risdiplam</w:t>
      </w:r>
      <w:proofErr w:type="spellEnd"/>
      <w:r w:rsidRPr="00A3552F">
        <w:rPr>
          <w:lang w:val="en-AU"/>
        </w:rPr>
        <w:t xml:space="preserve"> on the testis could not be fully evaluated in the monkey because the majority of monkeys tested were sexually immature. However, oral administration of </w:t>
      </w:r>
      <w:proofErr w:type="spellStart"/>
      <w:r w:rsidRPr="00A3552F">
        <w:rPr>
          <w:lang w:val="en-AU"/>
        </w:rPr>
        <w:t>risdiplam</w:t>
      </w:r>
      <w:proofErr w:type="spellEnd"/>
      <w:r w:rsidRPr="00A3552F">
        <w:rPr>
          <w:lang w:val="en-AU"/>
        </w:rPr>
        <w:t xml:space="preserve"> (0, 2, 4, or 6 mg/kg/day) for 2 weeks resulted in histopathological changes in the testis (increases in multinucleate cells, germ cell degeneration) at the highest dose. At the no-effect dose for testicular toxicity in monkeys, plasma exposures were approximately 1.6 times (unbound AUC) that in humans at the MRHD. Oral administration of </w:t>
      </w:r>
      <w:proofErr w:type="spellStart"/>
      <w:r w:rsidRPr="00A3552F">
        <w:rPr>
          <w:lang w:val="en-AU"/>
        </w:rPr>
        <w:t>risdiplam</w:t>
      </w:r>
      <w:proofErr w:type="spellEnd"/>
      <w:r w:rsidRPr="00A3552F">
        <w:rPr>
          <w:lang w:val="en-AU"/>
        </w:rPr>
        <w:t xml:space="preserve"> to post</w:t>
      </w:r>
      <w:r>
        <w:rPr>
          <w:lang w:val="en-AU"/>
        </w:rPr>
        <w:t>-</w:t>
      </w:r>
      <w:r w:rsidRPr="00A3552F">
        <w:rPr>
          <w:lang w:val="en-AU"/>
        </w:rPr>
        <w:t>weaning juvenile rats resulted in male reproductive toxicity (degeneration/necrosis of the testis seminiferous epithelium with associated oligo/aspermia in the epididymis and abnormal sperm parameters). The no-effect dose for adverse reproductive effects in post</w:t>
      </w:r>
      <w:r>
        <w:rPr>
          <w:lang w:val="en-AU"/>
        </w:rPr>
        <w:t>-</w:t>
      </w:r>
      <w:r w:rsidRPr="00A3552F">
        <w:rPr>
          <w:lang w:val="en-AU"/>
        </w:rPr>
        <w:t>weaning male juvenile rats was associated with plasma exposures approximately 2.4 times (unbound AUC) that in humans at the MRHD.</w:t>
      </w:r>
      <w:r w:rsidR="002007E8">
        <w:rPr>
          <w:lang w:val="en-AU"/>
        </w:rPr>
        <w:t xml:space="preserve"> </w:t>
      </w:r>
    </w:p>
    <w:p w14:paraId="0CCA2A1F" w14:textId="77777777" w:rsidR="009A27DA" w:rsidRPr="009A27DA" w:rsidRDefault="009A27DA" w:rsidP="009A27DA">
      <w:pPr>
        <w:rPr>
          <w:lang w:val="en-AU"/>
        </w:rPr>
      </w:pPr>
    </w:p>
    <w:p w14:paraId="2CAB4E14" w14:textId="054E25F0" w:rsidR="00055A77" w:rsidRDefault="009A27DA" w:rsidP="009A27DA">
      <w:pPr>
        <w:rPr>
          <w:lang w:val="en-AU"/>
        </w:rPr>
      </w:pPr>
      <w:r w:rsidRPr="009A27DA">
        <w:rPr>
          <w:lang w:val="en-AU"/>
        </w:rPr>
        <w:t xml:space="preserve">Prior to initiating treatment with </w:t>
      </w:r>
      <w:proofErr w:type="spellStart"/>
      <w:r w:rsidRPr="009A27DA">
        <w:rPr>
          <w:lang w:val="en-AU"/>
        </w:rPr>
        <w:t>Evrysdi</w:t>
      </w:r>
      <w:proofErr w:type="spellEnd"/>
      <w:r w:rsidRPr="009A27DA">
        <w:rPr>
          <w:lang w:val="en-AU"/>
        </w:rPr>
        <w:t xml:space="preserve">, fertility preservation strategies should be discussed with male patients receiving </w:t>
      </w:r>
      <w:proofErr w:type="spellStart"/>
      <w:r w:rsidRPr="009A27DA">
        <w:rPr>
          <w:lang w:val="en-AU"/>
        </w:rPr>
        <w:t>Evrysdi</w:t>
      </w:r>
      <w:proofErr w:type="spellEnd"/>
      <w:r w:rsidRPr="009A27DA">
        <w:rPr>
          <w:lang w:val="en-AU"/>
        </w:rPr>
        <w:t xml:space="preserve">. Male patients may consider sperm preservation, prior to treatment </w:t>
      </w:r>
      <w:r w:rsidR="00C277AD">
        <w:rPr>
          <w:lang w:val="en-AU"/>
        </w:rPr>
        <w:t>initiation or after a treatment-</w:t>
      </w:r>
      <w:r w:rsidRPr="009A27DA">
        <w:rPr>
          <w:lang w:val="en-AU"/>
        </w:rPr>
        <w:t xml:space="preserve">free period of at least 4 months. Male patients who wish to father a child should stop treatment with </w:t>
      </w:r>
      <w:proofErr w:type="spellStart"/>
      <w:r w:rsidRPr="009A27DA">
        <w:rPr>
          <w:lang w:val="en-AU"/>
        </w:rPr>
        <w:t>Evrysdi</w:t>
      </w:r>
      <w:proofErr w:type="spellEnd"/>
      <w:r w:rsidRPr="009A27DA">
        <w:rPr>
          <w:lang w:val="en-AU"/>
        </w:rPr>
        <w:t xml:space="preserve"> for a minimum of 4 months. Treatment may be re-started after conception</w:t>
      </w:r>
      <w:r>
        <w:rPr>
          <w:lang w:val="en-AU"/>
        </w:rPr>
        <w:t>.</w:t>
      </w:r>
    </w:p>
    <w:p w14:paraId="723922B7" w14:textId="2BB08CA2" w:rsidR="009A27DA" w:rsidRDefault="009A27DA" w:rsidP="009A27DA">
      <w:pPr>
        <w:pStyle w:val="Heading4"/>
        <w:rPr>
          <w:lang w:val="en-AU"/>
        </w:rPr>
      </w:pPr>
      <w:r>
        <w:rPr>
          <w:lang w:val="en-AU"/>
        </w:rPr>
        <w:t>Female patients</w:t>
      </w:r>
    </w:p>
    <w:p w14:paraId="5E2E7742" w14:textId="589832F4" w:rsidR="009A27DA" w:rsidRDefault="009A27DA" w:rsidP="009A27DA">
      <w:pPr>
        <w:rPr>
          <w:lang w:val="en-AU"/>
        </w:rPr>
      </w:pPr>
    </w:p>
    <w:p w14:paraId="61E78D49" w14:textId="2D4B158B" w:rsidR="009A27DA" w:rsidRPr="009A27DA" w:rsidRDefault="00A84C7A" w:rsidP="009A27DA">
      <w:pPr>
        <w:rPr>
          <w:lang w:val="en-AU"/>
        </w:rPr>
      </w:pPr>
      <w:r w:rsidRPr="00A84C7A">
        <w:rPr>
          <w:lang w:val="en-AU"/>
        </w:rPr>
        <w:t xml:space="preserve">Based on nonclinical data, an impact of </w:t>
      </w:r>
      <w:proofErr w:type="spellStart"/>
      <w:r w:rsidRPr="00A84C7A">
        <w:rPr>
          <w:lang w:val="en-AU"/>
        </w:rPr>
        <w:t>Evrysdi</w:t>
      </w:r>
      <w:proofErr w:type="spellEnd"/>
      <w:r w:rsidRPr="00A84C7A">
        <w:rPr>
          <w:lang w:val="en-AU"/>
        </w:rPr>
        <w:t xml:space="preserve"> on female fertility is not expected</w:t>
      </w:r>
      <w:r>
        <w:rPr>
          <w:lang w:val="en-AU"/>
        </w:rPr>
        <w:t xml:space="preserve">. </w:t>
      </w:r>
      <w:r w:rsidRPr="00A84C7A">
        <w:rPr>
          <w:lang w:val="en-AU"/>
        </w:rPr>
        <w:t xml:space="preserve">No effects were seen on female reproductive organs in rats and monkeys after treatment with </w:t>
      </w:r>
      <w:proofErr w:type="spellStart"/>
      <w:r w:rsidRPr="00A84C7A">
        <w:rPr>
          <w:lang w:val="en-AU"/>
        </w:rPr>
        <w:t>risdiplam</w:t>
      </w:r>
      <w:proofErr w:type="spellEnd"/>
      <w:r>
        <w:rPr>
          <w:lang w:val="en-AU"/>
        </w:rPr>
        <w:t>.</w:t>
      </w:r>
    </w:p>
    <w:p w14:paraId="7C8970C9" w14:textId="07466AB6" w:rsidR="0046575A" w:rsidRDefault="0046575A" w:rsidP="008E39AB">
      <w:pPr>
        <w:pStyle w:val="Heading3"/>
        <w:keepNext/>
      </w:pPr>
      <w:r>
        <w:t>Patients of reproductive potential</w:t>
      </w:r>
    </w:p>
    <w:p w14:paraId="6A2E0F45" w14:textId="08854A8B" w:rsidR="00625458" w:rsidRDefault="00625458" w:rsidP="0046575A">
      <w:pPr>
        <w:pStyle w:val="Heading4"/>
      </w:pPr>
      <w:r>
        <w:t>Contraception in males and females</w:t>
      </w:r>
    </w:p>
    <w:p w14:paraId="7E539A16" w14:textId="77777777" w:rsidR="007425B4" w:rsidRDefault="007425B4" w:rsidP="00625458"/>
    <w:p w14:paraId="440B38A5" w14:textId="005B75B6" w:rsidR="007425B4" w:rsidRDefault="007425B4" w:rsidP="007425B4">
      <w:r>
        <w:t>Male and female patients of reproductive potential should adhere to the following contraception requirements:</w:t>
      </w:r>
    </w:p>
    <w:p w14:paraId="7D88E08A" w14:textId="3D386DE5" w:rsidR="007425B4" w:rsidRDefault="007425B4" w:rsidP="007425B4">
      <w:pPr>
        <w:pStyle w:val="ListParagraph"/>
        <w:numPr>
          <w:ilvl w:val="0"/>
          <w:numId w:val="16"/>
        </w:numPr>
        <w:spacing w:before="120"/>
        <w:ind w:left="714" w:hanging="357"/>
        <w:contextualSpacing w:val="0"/>
      </w:pPr>
      <w:r>
        <w:t xml:space="preserve">Female patients of childbearing potential should use highly effective contraception during treatment with </w:t>
      </w:r>
      <w:proofErr w:type="spellStart"/>
      <w:r>
        <w:t>Evrysdi</w:t>
      </w:r>
      <w:proofErr w:type="spellEnd"/>
      <w:r>
        <w:t xml:space="preserve"> and for at least 1 month after the last dose. </w:t>
      </w:r>
    </w:p>
    <w:p w14:paraId="785E5FE6" w14:textId="008AFCA1" w:rsidR="00625458" w:rsidRDefault="007425B4" w:rsidP="007425B4">
      <w:pPr>
        <w:pStyle w:val="ListParagraph"/>
        <w:numPr>
          <w:ilvl w:val="0"/>
          <w:numId w:val="16"/>
        </w:numPr>
        <w:spacing w:before="120"/>
        <w:ind w:left="714" w:hanging="357"/>
        <w:contextualSpacing w:val="0"/>
      </w:pPr>
      <w:r>
        <w:t xml:space="preserve">Male patients and their female partners of childbearing potential should both use highly effective contraception during treatment with </w:t>
      </w:r>
      <w:proofErr w:type="spellStart"/>
      <w:r>
        <w:t>Evrysdi</w:t>
      </w:r>
      <w:proofErr w:type="spellEnd"/>
      <w:r>
        <w:t xml:space="preserve"> and for at least 4 months after his last dose.</w:t>
      </w:r>
    </w:p>
    <w:p w14:paraId="6F0A4A28" w14:textId="628A5162" w:rsidR="0046575A" w:rsidRPr="00625458" w:rsidRDefault="0046575A" w:rsidP="0046575A">
      <w:pPr>
        <w:pStyle w:val="Heading4"/>
      </w:pPr>
      <w:r>
        <w:t>Pregnancy testing</w:t>
      </w:r>
    </w:p>
    <w:p w14:paraId="4DAF5A97" w14:textId="77777777" w:rsidR="0046575A" w:rsidRDefault="0046575A" w:rsidP="0046575A"/>
    <w:p w14:paraId="5B3333A9" w14:textId="77777777" w:rsidR="0046575A" w:rsidRDefault="0046575A" w:rsidP="0046575A">
      <w:r w:rsidRPr="007425B4">
        <w:t xml:space="preserve">The pregnancy status of females of reproductive potential should be verified prior to initiating </w:t>
      </w:r>
      <w:proofErr w:type="spellStart"/>
      <w:r w:rsidRPr="007425B4">
        <w:t>Evrysdi</w:t>
      </w:r>
      <w:proofErr w:type="spellEnd"/>
      <w:r w:rsidRPr="007425B4">
        <w:t xml:space="preserve"> therapy. Pregnant women should be clearly advised of the potential risk to the </w:t>
      </w:r>
      <w:proofErr w:type="spellStart"/>
      <w:r w:rsidRPr="007425B4">
        <w:t>fetus</w:t>
      </w:r>
      <w:proofErr w:type="spellEnd"/>
      <w:r>
        <w:t>.</w:t>
      </w:r>
    </w:p>
    <w:p w14:paraId="1D57FE1D" w14:textId="78BF9E6F" w:rsidR="00E96BC3" w:rsidRDefault="00E96BC3" w:rsidP="008E39AB">
      <w:pPr>
        <w:pStyle w:val="Heading3"/>
        <w:keepNext/>
      </w:pPr>
      <w:r>
        <w:lastRenderedPageBreak/>
        <w:t>Use in pregnancy</w:t>
      </w:r>
      <w:r w:rsidRPr="00442E89">
        <w:t xml:space="preserve"> </w:t>
      </w:r>
      <w:r>
        <w:t xml:space="preserve">- Category </w:t>
      </w:r>
      <w:r w:rsidR="00591759">
        <w:t>D</w:t>
      </w:r>
    </w:p>
    <w:p w14:paraId="0C547D0C" w14:textId="77777777" w:rsidR="00E96BC3" w:rsidRDefault="00E96BC3" w:rsidP="00591759">
      <w:pPr>
        <w:rPr>
          <w:lang w:val="en-AU"/>
        </w:rPr>
      </w:pPr>
    </w:p>
    <w:p w14:paraId="7A72792A" w14:textId="25CAF470" w:rsidR="00591759" w:rsidRDefault="00591759" w:rsidP="00591759">
      <w:pPr>
        <w:rPr>
          <w:lang w:val="en-AU"/>
        </w:rPr>
      </w:pPr>
      <w:r w:rsidRPr="00591759">
        <w:rPr>
          <w:lang w:val="en-AU"/>
        </w:rPr>
        <w:t xml:space="preserve">There are no clinical data from the use of </w:t>
      </w:r>
      <w:proofErr w:type="spellStart"/>
      <w:r w:rsidRPr="00591759">
        <w:rPr>
          <w:lang w:val="en-AU"/>
        </w:rPr>
        <w:t>Evrysdi</w:t>
      </w:r>
      <w:proofErr w:type="spellEnd"/>
      <w:r w:rsidRPr="00591759">
        <w:rPr>
          <w:lang w:val="en-AU"/>
        </w:rPr>
        <w:t xml:space="preserve"> in pregnant women. </w:t>
      </w:r>
      <w:proofErr w:type="spellStart"/>
      <w:r w:rsidRPr="00591759">
        <w:rPr>
          <w:lang w:val="en-AU"/>
        </w:rPr>
        <w:t>Risdiplam</w:t>
      </w:r>
      <w:proofErr w:type="spellEnd"/>
      <w:r w:rsidRPr="00591759">
        <w:rPr>
          <w:lang w:val="en-AU"/>
        </w:rPr>
        <w:t xml:space="preserve"> has been shown to be embryo-fetotoxic and teratogenic in animals. Based on the findings from animal studies, </w:t>
      </w:r>
      <w:proofErr w:type="spellStart"/>
      <w:r w:rsidRPr="00591759">
        <w:rPr>
          <w:lang w:val="en-AU"/>
        </w:rPr>
        <w:t>risdiplam</w:t>
      </w:r>
      <w:proofErr w:type="spellEnd"/>
      <w:r w:rsidRPr="00591759">
        <w:rPr>
          <w:lang w:val="en-AU"/>
        </w:rPr>
        <w:t xml:space="preserve"> crosses the placental barrier and may cause </w:t>
      </w:r>
      <w:proofErr w:type="spellStart"/>
      <w:r w:rsidRPr="00591759">
        <w:rPr>
          <w:lang w:val="en-AU"/>
        </w:rPr>
        <w:t>fetal</w:t>
      </w:r>
      <w:proofErr w:type="spellEnd"/>
      <w:r w:rsidRPr="00591759">
        <w:rPr>
          <w:lang w:val="en-AU"/>
        </w:rPr>
        <w:t xml:space="preserve"> harm.</w:t>
      </w:r>
    </w:p>
    <w:p w14:paraId="76102C13" w14:textId="75CA403B" w:rsidR="00A3552F" w:rsidRDefault="00A3552F" w:rsidP="00591759">
      <w:pPr>
        <w:rPr>
          <w:lang w:val="en-AU"/>
        </w:rPr>
      </w:pPr>
    </w:p>
    <w:p w14:paraId="6B0F1DED" w14:textId="54CE617B" w:rsidR="00A3552F" w:rsidRDefault="00A3552F" w:rsidP="00591759">
      <w:pPr>
        <w:rPr>
          <w:lang w:val="en-AU"/>
        </w:rPr>
      </w:pPr>
      <w:r w:rsidRPr="00A3552F">
        <w:rPr>
          <w:lang w:val="en-AU"/>
        </w:rPr>
        <w:t xml:space="preserve">Oral administration of </w:t>
      </w:r>
      <w:proofErr w:type="spellStart"/>
      <w:r w:rsidRPr="00A3552F">
        <w:rPr>
          <w:lang w:val="en-AU"/>
        </w:rPr>
        <w:t>risdiplam</w:t>
      </w:r>
      <w:proofErr w:type="spellEnd"/>
      <w:r w:rsidRPr="00A3552F">
        <w:rPr>
          <w:lang w:val="en-AU"/>
        </w:rPr>
        <w:t xml:space="preserve"> (0, 1, 3, or 7.5 mg/kg) to pregnant rats throughout organogenesis resulted in decreased </w:t>
      </w:r>
      <w:proofErr w:type="spellStart"/>
      <w:r w:rsidRPr="00A3552F">
        <w:rPr>
          <w:lang w:val="en-AU"/>
        </w:rPr>
        <w:t>fetal</w:t>
      </w:r>
      <w:proofErr w:type="spellEnd"/>
      <w:r w:rsidRPr="00A3552F">
        <w:rPr>
          <w:lang w:val="en-AU"/>
        </w:rPr>
        <w:t xml:space="preserve"> body weights and increased incidences of </w:t>
      </w:r>
      <w:proofErr w:type="spellStart"/>
      <w:r w:rsidRPr="00A3552F">
        <w:rPr>
          <w:lang w:val="en-AU"/>
        </w:rPr>
        <w:t>fetal</w:t>
      </w:r>
      <w:proofErr w:type="spellEnd"/>
      <w:r w:rsidRPr="00A3552F">
        <w:rPr>
          <w:lang w:val="en-AU"/>
        </w:rPr>
        <w:t xml:space="preserve"> structural variations at the highest dose tested, which was not associated with maternal toxicity. The no-effect level for adverse effects on embryofetal development (3 mg/kg/day) was associated with maternal plasma exposure (unbound AUC) approximately 3 times that in humans at the maximum recommended human dose (MRHD) of 5 mg.</w:t>
      </w:r>
    </w:p>
    <w:p w14:paraId="0C7E90EA" w14:textId="383C325F" w:rsidR="00A3552F" w:rsidRDefault="00A3552F" w:rsidP="00591759">
      <w:pPr>
        <w:rPr>
          <w:lang w:val="en-AU"/>
        </w:rPr>
      </w:pPr>
    </w:p>
    <w:p w14:paraId="746C04EC" w14:textId="77777777" w:rsidR="00A3552F" w:rsidRPr="00A3552F" w:rsidRDefault="00A3552F" w:rsidP="00A3552F">
      <w:pPr>
        <w:rPr>
          <w:lang w:val="en-AU"/>
        </w:rPr>
      </w:pPr>
      <w:r w:rsidRPr="00A3552F">
        <w:rPr>
          <w:lang w:val="en-AU"/>
        </w:rPr>
        <w:t xml:space="preserve">Oral administration of </w:t>
      </w:r>
      <w:proofErr w:type="spellStart"/>
      <w:r w:rsidRPr="00A3552F">
        <w:rPr>
          <w:lang w:val="en-AU"/>
        </w:rPr>
        <w:t>risdiplam</w:t>
      </w:r>
      <w:proofErr w:type="spellEnd"/>
      <w:r w:rsidRPr="00A3552F">
        <w:rPr>
          <w:lang w:val="en-AU"/>
        </w:rPr>
        <w:t xml:space="preserve"> (0, 1, 4, or 12 mg/kg) to pregnant rabbits throughout organogenesis resulted in embryofetal mortality, </w:t>
      </w:r>
      <w:proofErr w:type="spellStart"/>
      <w:r w:rsidRPr="00A3552F">
        <w:rPr>
          <w:lang w:val="en-AU"/>
        </w:rPr>
        <w:t>fetal</w:t>
      </w:r>
      <w:proofErr w:type="spellEnd"/>
      <w:r w:rsidRPr="00A3552F">
        <w:rPr>
          <w:lang w:val="en-AU"/>
        </w:rPr>
        <w:t xml:space="preserve"> malformations (hydrocephaly), and structural variations at the highest dose tested, which was associated with maternal toxicity. The no-effect dose for adverse effects on embryofetal development (4 mg/kg/day) was associated with maternal plasma exposure (unbound AUC) approximately 3 times that in humans at the MRHD. </w:t>
      </w:r>
    </w:p>
    <w:p w14:paraId="609622E0" w14:textId="361530F0" w:rsidR="00591759" w:rsidRDefault="00591759" w:rsidP="00591759">
      <w:pPr>
        <w:rPr>
          <w:lang w:val="en-AU"/>
        </w:rPr>
      </w:pPr>
    </w:p>
    <w:p w14:paraId="445DFD5C" w14:textId="600578E2" w:rsidR="00591759" w:rsidRDefault="00591759" w:rsidP="00591759">
      <w:pPr>
        <w:rPr>
          <w:lang w:val="en-AU"/>
        </w:rPr>
      </w:pPr>
      <w:r w:rsidRPr="00591759">
        <w:rPr>
          <w:lang w:val="en-AU"/>
        </w:rPr>
        <w:t xml:space="preserve">In a pre- and post-natal study in rats treated daily with </w:t>
      </w:r>
      <w:proofErr w:type="spellStart"/>
      <w:r w:rsidRPr="00591759">
        <w:rPr>
          <w:lang w:val="en-AU"/>
        </w:rPr>
        <w:t>risdiplam</w:t>
      </w:r>
      <w:proofErr w:type="spellEnd"/>
      <w:r w:rsidRPr="00591759">
        <w:rPr>
          <w:lang w:val="en-AU"/>
        </w:rPr>
        <w:t xml:space="preserve">, </w:t>
      </w:r>
      <w:proofErr w:type="spellStart"/>
      <w:r w:rsidRPr="00591759">
        <w:rPr>
          <w:lang w:val="en-AU"/>
        </w:rPr>
        <w:t>risdiplam</w:t>
      </w:r>
      <w:proofErr w:type="spellEnd"/>
      <w:r w:rsidRPr="00591759">
        <w:rPr>
          <w:lang w:val="en-AU"/>
        </w:rPr>
        <w:t xml:space="preserve"> caused a slight delay in gestation length. No adverse effects were recorded on the survival, growth, functional (behavio</w:t>
      </w:r>
      <w:r>
        <w:rPr>
          <w:lang w:val="en-AU"/>
        </w:rPr>
        <w:t>u</w:t>
      </w:r>
      <w:r w:rsidRPr="00591759">
        <w:rPr>
          <w:lang w:val="en-AU"/>
        </w:rPr>
        <w:t>ral or reproductive) performance of the offspring. There were no effects on female germ cells, as assessed by primordial follicle counts and ovarian histopathology.</w:t>
      </w:r>
    </w:p>
    <w:p w14:paraId="510FEB1E" w14:textId="77777777" w:rsidR="00591759" w:rsidRPr="00591759" w:rsidRDefault="00591759" w:rsidP="00591759">
      <w:pPr>
        <w:rPr>
          <w:lang w:val="en-AU"/>
        </w:rPr>
      </w:pPr>
    </w:p>
    <w:p w14:paraId="6603284C" w14:textId="5420940E" w:rsidR="00591759" w:rsidRDefault="00591759" w:rsidP="00591759">
      <w:pPr>
        <w:rPr>
          <w:lang w:val="en-AU"/>
        </w:rPr>
      </w:pPr>
      <w:r w:rsidRPr="00591759">
        <w:rPr>
          <w:lang w:val="en-AU"/>
        </w:rPr>
        <w:t xml:space="preserve">Studies in pregnant rats showed that </w:t>
      </w:r>
      <w:proofErr w:type="spellStart"/>
      <w:r w:rsidRPr="00591759">
        <w:rPr>
          <w:lang w:val="en-AU"/>
        </w:rPr>
        <w:t>risdiplam</w:t>
      </w:r>
      <w:proofErr w:type="spellEnd"/>
      <w:r w:rsidRPr="00591759">
        <w:rPr>
          <w:lang w:val="en-AU"/>
        </w:rPr>
        <w:t xml:space="preserve"> crosses the placenta barrier</w:t>
      </w:r>
      <w:r>
        <w:rPr>
          <w:lang w:val="en-AU"/>
        </w:rPr>
        <w:t>.</w:t>
      </w:r>
    </w:p>
    <w:p w14:paraId="7ADD5EF4" w14:textId="77777777" w:rsidR="00591759" w:rsidRPr="00591759" w:rsidRDefault="00591759" w:rsidP="00591759">
      <w:pPr>
        <w:rPr>
          <w:lang w:val="en-AU"/>
        </w:rPr>
      </w:pPr>
    </w:p>
    <w:p w14:paraId="033EA8B9" w14:textId="084EE131" w:rsidR="00591759" w:rsidRPr="00591759" w:rsidRDefault="00591759" w:rsidP="00591759">
      <w:pPr>
        <w:rPr>
          <w:lang w:val="en-AU"/>
        </w:rPr>
      </w:pPr>
      <w:proofErr w:type="spellStart"/>
      <w:r w:rsidRPr="00591759">
        <w:rPr>
          <w:lang w:val="en-AU"/>
        </w:rPr>
        <w:t>Evrysdi</w:t>
      </w:r>
      <w:proofErr w:type="spellEnd"/>
      <w:r w:rsidRPr="00591759">
        <w:rPr>
          <w:lang w:val="en-AU"/>
        </w:rPr>
        <w:t xml:space="preserve"> should not be used during pregnancy unless the benefit to the mother outweighs the potential risks to the </w:t>
      </w:r>
      <w:proofErr w:type="spellStart"/>
      <w:r w:rsidRPr="00591759">
        <w:rPr>
          <w:lang w:val="en-AU"/>
        </w:rPr>
        <w:t>fetus</w:t>
      </w:r>
      <w:proofErr w:type="spellEnd"/>
      <w:r w:rsidRPr="00591759">
        <w:rPr>
          <w:lang w:val="en-AU"/>
        </w:rPr>
        <w:t xml:space="preserve">. If a pregnant woman needs to be treated with </w:t>
      </w:r>
      <w:proofErr w:type="spellStart"/>
      <w:r w:rsidRPr="00591759">
        <w:rPr>
          <w:lang w:val="en-AU"/>
        </w:rPr>
        <w:t>Evrysdi</w:t>
      </w:r>
      <w:proofErr w:type="spellEnd"/>
      <w:r w:rsidRPr="00591759">
        <w:rPr>
          <w:lang w:val="en-AU"/>
        </w:rPr>
        <w:t xml:space="preserve">, she should be clearly advised on </w:t>
      </w:r>
      <w:r>
        <w:rPr>
          <w:lang w:val="en-AU"/>
        </w:rPr>
        <w:t xml:space="preserve">the potential risk to the </w:t>
      </w:r>
      <w:proofErr w:type="spellStart"/>
      <w:r>
        <w:rPr>
          <w:lang w:val="en-AU"/>
        </w:rPr>
        <w:t>fetus</w:t>
      </w:r>
      <w:proofErr w:type="spellEnd"/>
      <w:r w:rsidRPr="00591759">
        <w:rPr>
          <w:lang w:val="en-AU"/>
        </w:rPr>
        <w:t>.</w:t>
      </w:r>
    </w:p>
    <w:p w14:paraId="7BD980CB" w14:textId="77777777" w:rsidR="00E96BC3" w:rsidRDefault="00E96BC3" w:rsidP="008417DD">
      <w:pPr>
        <w:pStyle w:val="Heading4"/>
        <w:keepNext/>
        <w:rPr>
          <w:lang w:val="en-AU"/>
        </w:rPr>
      </w:pPr>
      <w:r>
        <w:rPr>
          <w:lang w:val="en-AU"/>
        </w:rPr>
        <w:t>Labour and delivery</w:t>
      </w:r>
    </w:p>
    <w:p w14:paraId="6AECE309" w14:textId="77777777" w:rsidR="00E96BC3" w:rsidRDefault="00E96BC3" w:rsidP="00E96BC3">
      <w:pPr>
        <w:rPr>
          <w:lang w:val="en-AU"/>
        </w:rPr>
      </w:pPr>
    </w:p>
    <w:p w14:paraId="622ED46B" w14:textId="599A79D0" w:rsidR="00E96BC3" w:rsidRDefault="00591759" w:rsidP="00E96BC3">
      <w:pPr>
        <w:rPr>
          <w:lang w:val="en-AU"/>
        </w:rPr>
      </w:pPr>
      <w:r w:rsidRPr="00591759">
        <w:rPr>
          <w:lang w:val="en-AU"/>
        </w:rPr>
        <w:t xml:space="preserve">The safe use of </w:t>
      </w:r>
      <w:proofErr w:type="spellStart"/>
      <w:r w:rsidRPr="00591759">
        <w:rPr>
          <w:lang w:val="en-AU"/>
        </w:rPr>
        <w:t>Evrysdi</w:t>
      </w:r>
      <w:proofErr w:type="spellEnd"/>
      <w:r w:rsidRPr="00591759">
        <w:rPr>
          <w:lang w:val="en-AU"/>
        </w:rPr>
        <w:t xml:space="preserve"> during labo</w:t>
      </w:r>
      <w:r>
        <w:rPr>
          <w:lang w:val="en-AU"/>
        </w:rPr>
        <w:t>u</w:t>
      </w:r>
      <w:r w:rsidRPr="00591759">
        <w:rPr>
          <w:lang w:val="en-AU"/>
        </w:rPr>
        <w:t>r and delivery has not been established.</w:t>
      </w:r>
    </w:p>
    <w:p w14:paraId="399803A2" w14:textId="77777777" w:rsidR="00E96BC3" w:rsidRDefault="00E96BC3" w:rsidP="00591759">
      <w:pPr>
        <w:pStyle w:val="Heading3"/>
        <w:keepNext/>
      </w:pPr>
      <w:r>
        <w:t>Use in lactation</w:t>
      </w:r>
    </w:p>
    <w:p w14:paraId="371476F2" w14:textId="77777777" w:rsidR="00E96BC3" w:rsidRDefault="00E96BC3" w:rsidP="00591759">
      <w:pPr>
        <w:rPr>
          <w:lang w:val="en-AU"/>
        </w:rPr>
      </w:pPr>
    </w:p>
    <w:p w14:paraId="05D1F087" w14:textId="45ECC435" w:rsidR="00BA0878" w:rsidRPr="00E96BC3" w:rsidRDefault="00591759" w:rsidP="00717BC0">
      <w:pPr>
        <w:rPr>
          <w:lang w:val="en-AU"/>
        </w:rPr>
      </w:pPr>
      <w:r w:rsidRPr="00591759">
        <w:rPr>
          <w:lang w:val="en-AU"/>
        </w:rPr>
        <w:t xml:space="preserve">It is not known whether </w:t>
      </w:r>
      <w:proofErr w:type="spellStart"/>
      <w:r w:rsidRPr="00591759">
        <w:rPr>
          <w:lang w:val="en-AU"/>
        </w:rPr>
        <w:t>Evrysdi</w:t>
      </w:r>
      <w:proofErr w:type="spellEnd"/>
      <w:r w:rsidRPr="00591759">
        <w:rPr>
          <w:lang w:val="en-AU"/>
        </w:rPr>
        <w:t xml:space="preserve"> is excreted in human breast milk. Studies in rats show that </w:t>
      </w:r>
      <w:proofErr w:type="spellStart"/>
      <w:r w:rsidRPr="00591759">
        <w:rPr>
          <w:lang w:val="en-AU"/>
        </w:rPr>
        <w:t>risdiplam</w:t>
      </w:r>
      <w:proofErr w:type="spellEnd"/>
      <w:r w:rsidRPr="00591759">
        <w:rPr>
          <w:lang w:val="en-AU"/>
        </w:rPr>
        <w:t xml:space="preserve"> is excreted into milk. As the potential for harm to the nursing infant is unknown, a decision must be made with the treating physician. It is recommended not to breastfeed during treatment with </w:t>
      </w:r>
      <w:proofErr w:type="spellStart"/>
      <w:r w:rsidRPr="00591759">
        <w:rPr>
          <w:lang w:val="en-AU"/>
        </w:rPr>
        <w:t>Evrysdi</w:t>
      </w:r>
      <w:proofErr w:type="spellEnd"/>
      <w:r>
        <w:rPr>
          <w:lang w:val="en-AU"/>
        </w:rPr>
        <w:t>.</w:t>
      </w:r>
    </w:p>
    <w:p w14:paraId="620513CD" w14:textId="1FA373BB" w:rsidR="00D52399" w:rsidRDefault="00615052" w:rsidP="008903F2">
      <w:pPr>
        <w:pStyle w:val="Heading2"/>
        <w:ind w:hanging="786"/>
      </w:pPr>
      <w:r>
        <w:t>4.7</w:t>
      </w:r>
      <w:r>
        <w:tab/>
      </w:r>
      <w:r w:rsidR="00E96BC3">
        <w:t>EFFECTS ON ABILITY TO DRIVE AND USE MACHINES</w:t>
      </w:r>
    </w:p>
    <w:p w14:paraId="77D5987B" w14:textId="087D643B" w:rsidR="00D52399" w:rsidRDefault="00D52399"/>
    <w:p w14:paraId="59849AC9" w14:textId="2CA4FCD8" w:rsidR="00E96BC3" w:rsidRPr="00726AAA" w:rsidRDefault="00981E9B" w:rsidP="00E96BC3">
      <w:pPr>
        <w:rPr>
          <w:lang w:val="en-AU"/>
        </w:rPr>
      </w:pPr>
      <w:proofErr w:type="spellStart"/>
      <w:r w:rsidRPr="00981E9B">
        <w:rPr>
          <w:lang w:val="en-AU"/>
        </w:rPr>
        <w:t>Evrysdi</w:t>
      </w:r>
      <w:proofErr w:type="spellEnd"/>
      <w:r w:rsidRPr="00981E9B">
        <w:rPr>
          <w:lang w:val="en-AU"/>
        </w:rPr>
        <w:t xml:space="preserve"> has no influence on the ability to drive and use machines</w:t>
      </w:r>
      <w:r>
        <w:rPr>
          <w:lang w:val="en-AU"/>
        </w:rPr>
        <w:t>.</w:t>
      </w:r>
    </w:p>
    <w:p w14:paraId="53967BF1" w14:textId="512991B9" w:rsidR="00D52399" w:rsidRPr="00CF3BFF" w:rsidRDefault="00615052" w:rsidP="00625458">
      <w:pPr>
        <w:pStyle w:val="Heading2"/>
        <w:keepNext/>
        <w:ind w:hanging="786"/>
      </w:pPr>
      <w:r>
        <w:t>4.8</w:t>
      </w:r>
      <w:r>
        <w:tab/>
      </w:r>
      <w:r w:rsidR="00CF3BFF">
        <w:t>ADVERSE EFFECTS (UNDESIRABLE EFFECTS)</w:t>
      </w:r>
    </w:p>
    <w:p w14:paraId="5D24EEE0" w14:textId="77777777" w:rsidR="004020B3" w:rsidRPr="00FF64E1" w:rsidRDefault="004020B3" w:rsidP="00C20C56">
      <w:pPr>
        <w:pStyle w:val="Heading3"/>
        <w:keepNext/>
        <w:pageBreakBefore/>
      </w:pPr>
      <w:r>
        <w:lastRenderedPageBreak/>
        <w:t>Clinical trials</w:t>
      </w:r>
    </w:p>
    <w:p w14:paraId="5F99BDB7" w14:textId="77777777" w:rsidR="00E803F3" w:rsidRDefault="00E803F3" w:rsidP="00C1244F"/>
    <w:p w14:paraId="3DF94F57" w14:textId="2EBA259C" w:rsidR="00C1244F" w:rsidRDefault="00E803F3" w:rsidP="00C1244F">
      <w:r w:rsidRPr="00E803F3">
        <w:t xml:space="preserve">The safety profile of </w:t>
      </w:r>
      <w:proofErr w:type="spellStart"/>
      <w:r w:rsidRPr="00E803F3">
        <w:t>Evrysdi</w:t>
      </w:r>
      <w:proofErr w:type="spellEnd"/>
      <w:r w:rsidRPr="00E803F3">
        <w:t xml:space="preserve"> is based on three clinical trials FIREFISH, SUNFISH, and JEWELFISH</w:t>
      </w:r>
      <w:r>
        <w:t xml:space="preserve"> (see section 5.1 Clinical trials)</w:t>
      </w:r>
      <w:r w:rsidRPr="00E803F3">
        <w:t>.</w:t>
      </w:r>
    </w:p>
    <w:p w14:paraId="69B19895" w14:textId="77777777" w:rsidR="00E803F3" w:rsidRDefault="00E803F3" w:rsidP="00C1244F"/>
    <w:p w14:paraId="6D72AFE3" w14:textId="31B64A91" w:rsidR="00C1244F" w:rsidRDefault="001E2208" w:rsidP="00C1244F">
      <w:r w:rsidRPr="001E2208">
        <w:t xml:space="preserve">The safety profile for infantile-onset SMA patients is based on the pooled analysis of 62 patients from </w:t>
      </w:r>
      <w:r>
        <w:t xml:space="preserve">the </w:t>
      </w:r>
      <w:r w:rsidRPr="001E2208">
        <w:t xml:space="preserve">FIREFISH </w:t>
      </w:r>
      <w:r>
        <w:t>study Part 1 and 2</w:t>
      </w:r>
      <w:r w:rsidRPr="001E2208">
        <w:t xml:space="preserve">. </w:t>
      </w:r>
      <w:r w:rsidR="00C1244F">
        <w:t xml:space="preserve">FIREFISH is a two-part, open-label study that enrolled 62 patients with infantile-onset SMA between 2.2 and 6.9 months of age. Fifty-five patients received </w:t>
      </w:r>
      <w:proofErr w:type="spellStart"/>
      <w:r w:rsidR="00C1244F">
        <w:t>Evrysdi</w:t>
      </w:r>
      <w:proofErr w:type="spellEnd"/>
      <w:r w:rsidR="00C1244F">
        <w:t xml:space="preserve"> treatment for more than 12 months. </w:t>
      </w:r>
      <w:r w:rsidR="00C1244F" w:rsidRPr="00C1244F">
        <w:t xml:space="preserve">The adverse </w:t>
      </w:r>
      <w:r w:rsidR="00472744">
        <w:t>events</w:t>
      </w:r>
      <w:r w:rsidR="00C1244F" w:rsidRPr="00C1244F">
        <w:t xml:space="preserve"> observed in clinical trials for infantile-onset SMA</w:t>
      </w:r>
      <w:r w:rsidR="00C1244F">
        <w:t xml:space="preserve"> are based on the pooled analysis of patients from FIREFISH Part 1 and 2</w:t>
      </w:r>
      <w:r w:rsidR="008417DD">
        <w:t xml:space="preserve"> (see Table 3)</w:t>
      </w:r>
      <w:r w:rsidR="00C1244F">
        <w:t xml:space="preserve">. </w:t>
      </w:r>
    </w:p>
    <w:p w14:paraId="590D0240" w14:textId="77777777" w:rsidR="00C1244F" w:rsidRDefault="00C1244F" w:rsidP="00C1244F"/>
    <w:p w14:paraId="25D0727C" w14:textId="4B3FF435" w:rsidR="00B7020F" w:rsidRDefault="001E2208" w:rsidP="00C1244F">
      <w:r w:rsidRPr="001E2208">
        <w:t>The safety profile for later-onset SMA patients is based on the SU</w:t>
      </w:r>
      <w:r>
        <w:t>NFISH Part 2 study</w:t>
      </w:r>
      <w:r w:rsidRPr="001E2208">
        <w:t>.</w:t>
      </w:r>
      <w:r>
        <w:t xml:space="preserve"> </w:t>
      </w:r>
      <w:r w:rsidR="00C1244F">
        <w:t>The SUNFISH study is a two-part study with later-onset SMA between 2-25 years of age</w:t>
      </w:r>
      <w:r w:rsidR="00E803F3">
        <w:t xml:space="preserve">. </w:t>
      </w:r>
      <w:r w:rsidR="00C1244F">
        <w:t xml:space="preserve">The </w:t>
      </w:r>
      <w:r w:rsidR="007A519F">
        <w:t xml:space="preserve">adverse events </w:t>
      </w:r>
      <w:r w:rsidR="00C1244F">
        <w:t>observed in clinical trials for later-onset SMA are based on SUNFISH Part 2 (n=180), the randomised double-blind, placebo-controlled portion of the study with a follow-up duration of at least 12 months</w:t>
      </w:r>
      <w:r w:rsidR="008417DD">
        <w:t xml:space="preserve"> (see Table 4)</w:t>
      </w:r>
      <w:r w:rsidR="00C1244F">
        <w:t xml:space="preserve">. </w:t>
      </w:r>
      <w:r w:rsidR="00472744">
        <w:t xml:space="preserve">Adverse events </w:t>
      </w:r>
      <w:r w:rsidR="00BE3587" w:rsidRPr="00BE3587">
        <w:t xml:space="preserve">occurring in ≥ 5% of </w:t>
      </w:r>
      <w:proofErr w:type="spellStart"/>
      <w:r w:rsidR="00BE3587" w:rsidRPr="00BE3587">
        <w:t>Evrysdi</w:t>
      </w:r>
      <w:proofErr w:type="spellEnd"/>
      <w:r w:rsidR="00BE3587" w:rsidRPr="00BE3587">
        <w:t xml:space="preserve"> treated patients which occurred ≥ 5% more frequently</w:t>
      </w:r>
      <w:r w:rsidR="00BE3587">
        <w:t>,</w:t>
      </w:r>
      <w:r w:rsidR="00BE3587" w:rsidRPr="00BE3587">
        <w:t xml:space="preserve"> or at least 2 times as frequently</w:t>
      </w:r>
      <w:r w:rsidR="00BE3587">
        <w:t>,</w:t>
      </w:r>
      <w:r w:rsidR="00BE3587" w:rsidRPr="00BE3587">
        <w:t xml:space="preserve"> as in placebo control patients</w:t>
      </w:r>
      <w:r w:rsidR="00472744">
        <w:t>, is provided in Table 4</w:t>
      </w:r>
      <w:r w:rsidR="00C1244F">
        <w:t>.</w:t>
      </w:r>
    </w:p>
    <w:p w14:paraId="2EF81FE4" w14:textId="77777777" w:rsidR="008417DD" w:rsidRDefault="008417DD" w:rsidP="00C1244F"/>
    <w:p w14:paraId="04AB7924" w14:textId="23FAB398" w:rsidR="008417DD" w:rsidRDefault="008417DD" w:rsidP="008417DD">
      <w:r>
        <w:t xml:space="preserve">Tables 3 and 4 summarise the adverse </w:t>
      </w:r>
      <w:r w:rsidR="00472744">
        <w:t xml:space="preserve">events </w:t>
      </w:r>
      <w:r>
        <w:t>that have been reported</w:t>
      </w:r>
      <w:r w:rsidR="00055A77">
        <w:t xml:space="preserve"> </w:t>
      </w:r>
      <w:r>
        <w:t xml:space="preserve">with the use of </w:t>
      </w:r>
      <w:proofErr w:type="spellStart"/>
      <w:r>
        <w:t>Evrysdi</w:t>
      </w:r>
      <w:proofErr w:type="spellEnd"/>
      <w:r>
        <w:t xml:space="preserve"> in </w:t>
      </w:r>
      <w:r w:rsidR="001253DE">
        <w:t>FIREFISH Part 1 and 2 and SUNFISH Part 2</w:t>
      </w:r>
      <w:r w:rsidR="00472744">
        <w:t>, regardless of causality</w:t>
      </w:r>
      <w:r w:rsidRPr="009C5802">
        <w:rPr>
          <w:color w:val="auto"/>
        </w:rPr>
        <w:t>.</w:t>
      </w:r>
      <w:r w:rsidR="009C5802" w:rsidRPr="009C5802">
        <w:rPr>
          <w:color w:val="auto"/>
        </w:rPr>
        <w:t xml:space="preserve"> </w:t>
      </w:r>
    </w:p>
    <w:p w14:paraId="046D3545" w14:textId="149F4CA2" w:rsidR="008417DD" w:rsidRDefault="008417DD" w:rsidP="00C1244F"/>
    <w:p w14:paraId="7C9E6A75" w14:textId="0B9AFE8D" w:rsidR="008417DD" w:rsidRDefault="008417DD" w:rsidP="008417DD">
      <w:r>
        <w:t xml:space="preserve">The corresponding frequency category for each adverse </w:t>
      </w:r>
      <w:r w:rsidR="00327D22">
        <w:t>events</w:t>
      </w:r>
      <w:r>
        <w:t xml:space="preserve"> is based on the following convention: very common (≥1/10), common (≥1/100 to &lt;1/10), uncommon (≥1/1,000 to &lt;1/100), rare (≥1/10,000 to &lt;1/1,000), very rare (&lt;1/10,000). Adverse </w:t>
      </w:r>
      <w:r w:rsidR="003A2517">
        <w:t>events</w:t>
      </w:r>
      <w:r>
        <w:t xml:space="preserve"> from clinical trials are listed by MedDRA system organ class.</w:t>
      </w:r>
    </w:p>
    <w:p w14:paraId="64671738" w14:textId="77777777" w:rsidR="008417DD" w:rsidRDefault="008417DD" w:rsidP="008417DD"/>
    <w:p w14:paraId="6B481EFD" w14:textId="5372EE78" w:rsidR="00B7020F" w:rsidRDefault="00C1244F" w:rsidP="00EF2045">
      <w:pPr>
        <w:pStyle w:val="Tableheading"/>
      </w:pPr>
      <w:r>
        <w:t>Table 3</w:t>
      </w:r>
      <w:r w:rsidR="00B7020F" w:rsidRPr="00B7020F">
        <w:tab/>
      </w:r>
      <w:r w:rsidRPr="00C1244F">
        <w:t xml:space="preserve">Summary of adverse </w:t>
      </w:r>
      <w:r w:rsidR="00472744">
        <w:t>events</w:t>
      </w:r>
      <w:r w:rsidRPr="00C1244F">
        <w:t xml:space="preserve"> for infantile-onset SMA patients observed in </w:t>
      </w:r>
      <w:r>
        <w:t xml:space="preserve">the </w:t>
      </w:r>
      <w:r w:rsidRPr="00C1244F">
        <w:t>FIREFISH study</w:t>
      </w:r>
      <w:r>
        <w:t xml:space="preserve"> </w:t>
      </w:r>
      <w:r w:rsidRPr="00C1244F">
        <w:t>(Part</w:t>
      </w:r>
      <w:r>
        <w:t>s</w:t>
      </w:r>
      <w:r w:rsidRPr="00C1244F">
        <w:t xml:space="preserve"> 1 and 2)</w:t>
      </w:r>
      <w:r w:rsidR="002969AF">
        <w:t xml:space="preserve"> with an incidence </w:t>
      </w:r>
      <w:r w:rsidR="002969AF" w:rsidRPr="002969AF">
        <w:t>≥</w:t>
      </w:r>
      <w:r w:rsidR="00055A77" w:rsidRPr="003A2517">
        <w:t xml:space="preserve"> </w:t>
      </w:r>
      <w:r w:rsidR="002007E8">
        <w:t>5</w:t>
      </w:r>
      <w:r w:rsidR="002969AF">
        <w:t xml:space="preserve">% </w:t>
      </w:r>
    </w:p>
    <w:tbl>
      <w:tblPr>
        <w:tblStyle w:val="TableGrid"/>
        <w:tblW w:w="0" w:type="auto"/>
        <w:tblLook w:val="04A0" w:firstRow="1" w:lastRow="0" w:firstColumn="1" w:lastColumn="0" w:noHBand="0" w:noVBand="1"/>
      </w:tblPr>
      <w:tblGrid>
        <w:gridCol w:w="3055"/>
        <w:gridCol w:w="3330"/>
        <w:gridCol w:w="2675"/>
      </w:tblGrid>
      <w:tr w:rsidR="00055A77" w:rsidRPr="00E638BF" w14:paraId="458A4D8F" w14:textId="075E962D" w:rsidTr="00055A77">
        <w:tc>
          <w:tcPr>
            <w:tcW w:w="3055" w:type="dxa"/>
          </w:tcPr>
          <w:p w14:paraId="607BC948" w14:textId="777C3E00" w:rsidR="00055A77" w:rsidRPr="00C1244F"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rPr>
                <w:b/>
                <w:sz w:val="22"/>
              </w:rPr>
            </w:pPr>
            <w:r>
              <w:rPr>
                <w:b/>
                <w:sz w:val="22"/>
              </w:rPr>
              <w:t>System Organ Class</w:t>
            </w:r>
          </w:p>
        </w:tc>
        <w:tc>
          <w:tcPr>
            <w:tcW w:w="3330" w:type="dxa"/>
            <w:vMerge w:val="restart"/>
          </w:tcPr>
          <w:p w14:paraId="373F1797" w14:textId="77777777" w:rsidR="00055A77"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b/>
                <w:sz w:val="22"/>
              </w:rPr>
            </w:pPr>
            <w:r w:rsidRPr="002A4B68">
              <w:rPr>
                <w:b/>
                <w:sz w:val="22"/>
              </w:rPr>
              <w:t>Incidence</w:t>
            </w:r>
          </w:p>
          <w:p w14:paraId="37868C5D" w14:textId="32F3D6CB" w:rsidR="00055A77"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N=62</w:t>
            </w:r>
          </w:p>
          <w:p w14:paraId="1077317A" w14:textId="1DE8DE71" w:rsidR="00055A77" w:rsidRPr="002A4B68"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n (%)</w:t>
            </w:r>
          </w:p>
        </w:tc>
        <w:tc>
          <w:tcPr>
            <w:tcW w:w="2675" w:type="dxa"/>
            <w:vMerge w:val="restart"/>
          </w:tcPr>
          <w:p w14:paraId="52B3E8A1" w14:textId="7956FA5E" w:rsidR="00055A77" w:rsidRPr="002A4B68"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b/>
                <w:sz w:val="22"/>
              </w:rPr>
            </w:pPr>
            <w:r w:rsidRPr="002A4B68">
              <w:rPr>
                <w:b/>
                <w:sz w:val="22"/>
              </w:rPr>
              <w:t>Frequency Category</w:t>
            </w:r>
          </w:p>
        </w:tc>
      </w:tr>
      <w:tr w:rsidR="00055A77" w:rsidRPr="00B7020F" w14:paraId="56ADB059" w14:textId="77777777" w:rsidTr="00055A77">
        <w:tc>
          <w:tcPr>
            <w:tcW w:w="3055" w:type="dxa"/>
          </w:tcPr>
          <w:p w14:paraId="048F359E" w14:textId="51C45970" w:rsidR="00055A77" w:rsidRPr="00B7020F" w:rsidRDefault="00055A77" w:rsidP="002969AF">
            <w:pPr>
              <w:keepNext/>
              <w:pBdr>
                <w:top w:val="none" w:sz="0" w:space="0" w:color="auto"/>
                <w:left w:val="none" w:sz="0" w:space="0" w:color="auto"/>
                <w:bottom w:val="none" w:sz="0" w:space="0" w:color="auto"/>
                <w:right w:val="none" w:sz="0" w:space="0" w:color="auto"/>
                <w:between w:val="none" w:sz="0" w:space="0" w:color="auto"/>
              </w:pBdr>
              <w:spacing w:before="40" w:after="40"/>
              <w:rPr>
                <w:sz w:val="22"/>
              </w:rPr>
            </w:pPr>
            <w:r>
              <w:rPr>
                <w:sz w:val="22"/>
              </w:rPr>
              <w:t>Adverse Events</w:t>
            </w:r>
          </w:p>
        </w:tc>
        <w:tc>
          <w:tcPr>
            <w:tcW w:w="3330" w:type="dxa"/>
            <w:vMerge/>
          </w:tcPr>
          <w:p w14:paraId="0508ABFE" w14:textId="77777777" w:rsidR="00055A77" w:rsidRPr="00B7020F"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p>
        </w:tc>
        <w:tc>
          <w:tcPr>
            <w:tcW w:w="2675" w:type="dxa"/>
            <w:vMerge/>
          </w:tcPr>
          <w:p w14:paraId="765FDCFC" w14:textId="77777777" w:rsidR="00055A77" w:rsidRPr="00B7020F"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p>
        </w:tc>
      </w:tr>
      <w:tr w:rsidR="00472744" w:rsidRPr="00B7020F" w14:paraId="4765E908" w14:textId="77777777" w:rsidTr="002969AF">
        <w:tc>
          <w:tcPr>
            <w:tcW w:w="9060" w:type="dxa"/>
            <w:gridSpan w:val="3"/>
          </w:tcPr>
          <w:p w14:paraId="4387AF89" w14:textId="22DD9A4F" w:rsidR="00472744" w:rsidRPr="00575C92" w:rsidRDefault="000D504F" w:rsidP="000D504F">
            <w:pPr>
              <w:keepNext/>
              <w:pBdr>
                <w:top w:val="none" w:sz="0" w:space="0" w:color="auto"/>
                <w:left w:val="none" w:sz="0" w:space="0" w:color="auto"/>
                <w:bottom w:val="none" w:sz="0" w:space="0" w:color="auto"/>
                <w:right w:val="none" w:sz="0" w:space="0" w:color="auto"/>
                <w:between w:val="none" w:sz="0" w:space="0" w:color="auto"/>
              </w:pBdr>
              <w:spacing w:before="40" w:after="40"/>
              <w:rPr>
                <w:sz w:val="22"/>
                <w:szCs w:val="22"/>
              </w:rPr>
            </w:pPr>
            <w:r w:rsidRPr="00575C92">
              <w:rPr>
                <w:b/>
                <w:sz w:val="22"/>
                <w:szCs w:val="22"/>
              </w:rPr>
              <w:t>Respiratory, thoracic and mediastinal disorders:</w:t>
            </w:r>
          </w:p>
        </w:tc>
      </w:tr>
      <w:tr w:rsidR="00055A77" w:rsidRPr="002969AF" w14:paraId="4BDF9A9C" w14:textId="77777777" w:rsidTr="00055A77">
        <w:tc>
          <w:tcPr>
            <w:tcW w:w="3055" w:type="dxa"/>
          </w:tcPr>
          <w:p w14:paraId="20CD88FF" w14:textId="590E3B3C" w:rsidR="00055A77" w:rsidRPr="00575C92"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rPr>
                <w:sz w:val="22"/>
                <w:szCs w:val="22"/>
              </w:rPr>
            </w:pPr>
            <w:r w:rsidRPr="00575C92">
              <w:rPr>
                <w:sz w:val="22"/>
                <w:szCs w:val="22"/>
              </w:rPr>
              <w:t>URTI</w:t>
            </w:r>
            <w:r w:rsidRPr="00575C92">
              <w:rPr>
                <w:sz w:val="22"/>
                <w:szCs w:val="22"/>
                <w:vertAlign w:val="superscript"/>
              </w:rPr>
              <w:t>1</w:t>
            </w:r>
          </w:p>
        </w:tc>
        <w:tc>
          <w:tcPr>
            <w:tcW w:w="3330" w:type="dxa"/>
          </w:tcPr>
          <w:p w14:paraId="080D6E5D" w14:textId="594D4885" w:rsidR="00055A77" w:rsidRPr="00575C92"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46 (74)</w:t>
            </w:r>
          </w:p>
        </w:tc>
        <w:tc>
          <w:tcPr>
            <w:tcW w:w="2675" w:type="dxa"/>
          </w:tcPr>
          <w:p w14:paraId="383E5F6D" w14:textId="157D0ECD" w:rsidR="00055A77" w:rsidRPr="00575C92"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Very common</w:t>
            </w:r>
          </w:p>
        </w:tc>
      </w:tr>
      <w:tr w:rsidR="00055A77" w:rsidRPr="002969AF" w14:paraId="7EB2D744" w14:textId="77777777" w:rsidTr="00055A77">
        <w:tc>
          <w:tcPr>
            <w:tcW w:w="3055" w:type="dxa"/>
          </w:tcPr>
          <w:p w14:paraId="061AC28C" w14:textId="6A1C2DA8" w:rsidR="00055A77" w:rsidRPr="00575C92"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rPr>
                <w:sz w:val="22"/>
                <w:szCs w:val="22"/>
              </w:rPr>
            </w:pPr>
            <w:r w:rsidRPr="00575C92">
              <w:rPr>
                <w:sz w:val="22"/>
                <w:szCs w:val="22"/>
              </w:rPr>
              <w:t>Pneumonia</w:t>
            </w:r>
          </w:p>
        </w:tc>
        <w:tc>
          <w:tcPr>
            <w:tcW w:w="3330" w:type="dxa"/>
          </w:tcPr>
          <w:p w14:paraId="4BA61D3F" w14:textId="3853F1D5" w:rsidR="00055A77" w:rsidRPr="00575C92" w:rsidRDefault="00055A77" w:rsidP="002969AF">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20 (32)</w:t>
            </w:r>
          </w:p>
        </w:tc>
        <w:tc>
          <w:tcPr>
            <w:tcW w:w="2675" w:type="dxa"/>
          </w:tcPr>
          <w:p w14:paraId="6C867E94" w14:textId="786A454E" w:rsidR="00055A77" w:rsidRPr="00575C92"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Very common</w:t>
            </w:r>
          </w:p>
        </w:tc>
      </w:tr>
      <w:tr w:rsidR="00055A77" w:rsidRPr="002969AF" w14:paraId="33807AB2" w14:textId="77777777" w:rsidTr="00055A77">
        <w:tc>
          <w:tcPr>
            <w:tcW w:w="3055" w:type="dxa"/>
          </w:tcPr>
          <w:p w14:paraId="4C2053C7" w14:textId="2CF3117C" w:rsidR="00055A77" w:rsidRPr="00575C92"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rPr>
                <w:sz w:val="22"/>
                <w:szCs w:val="22"/>
              </w:rPr>
            </w:pPr>
            <w:r w:rsidRPr="00575C92">
              <w:rPr>
                <w:sz w:val="22"/>
                <w:szCs w:val="22"/>
              </w:rPr>
              <w:t>Cough</w:t>
            </w:r>
          </w:p>
        </w:tc>
        <w:tc>
          <w:tcPr>
            <w:tcW w:w="3330" w:type="dxa"/>
          </w:tcPr>
          <w:p w14:paraId="0F3ADEC0" w14:textId="30C46BA4" w:rsidR="00055A77" w:rsidRPr="00575C92" w:rsidRDefault="00055A77" w:rsidP="002969AF">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6 (9.7)</w:t>
            </w:r>
          </w:p>
        </w:tc>
        <w:tc>
          <w:tcPr>
            <w:tcW w:w="2675" w:type="dxa"/>
          </w:tcPr>
          <w:p w14:paraId="2DE489A0" w14:textId="4A8CC4D6" w:rsidR="00055A77" w:rsidRPr="00575C92"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Common</w:t>
            </w:r>
          </w:p>
        </w:tc>
      </w:tr>
      <w:tr w:rsidR="00055A77" w:rsidRPr="002969AF" w14:paraId="0F0C277B" w14:textId="77777777" w:rsidTr="00055A77">
        <w:tc>
          <w:tcPr>
            <w:tcW w:w="3055" w:type="dxa"/>
          </w:tcPr>
          <w:p w14:paraId="5F35C804" w14:textId="141672CF" w:rsidR="00055A77" w:rsidRPr="00575C92"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rPr>
                <w:sz w:val="22"/>
                <w:szCs w:val="22"/>
              </w:rPr>
            </w:pPr>
            <w:r w:rsidRPr="00575C92">
              <w:rPr>
                <w:sz w:val="22"/>
                <w:szCs w:val="22"/>
              </w:rPr>
              <w:t>Respiratory Failure</w:t>
            </w:r>
          </w:p>
        </w:tc>
        <w:tc>
          <w:tcPr>
            <w:tcW w:w="3330" w:type="dxa"/>
          </w:tcPr>
          <w:p w14:paraId="2D47313F" w14:textId="0B63B0A7" w:rsidR="00055A77" w:rsidRPr="00575C92" w:rsidRDefault="00055A77" w:rsidP="002969AF">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4 (6.5)</w:t>
            </w:r>
          </w:p>
        </w:tc>
        <w:tc>
          <w:tcPr>
            <w:tcW w:w="2675" w:type="dxa"/>
          </w:tcPr>
          <w:p w14:paraId="6C5B8BB9" w14:textId="60101681" w:rsidR="00055A77" w:rsidRPr="00575C92"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Common</w:t>
            </w:r>
          </w:p>
        </w:tc>
      </w:tr>
      <w:tr w:rsidR="00A94FCD" w:rsidRPr="002969AF" w14:paraId="43DBC55E" w14:textId="77777777" w:rsidTr="002969AF">
        <w:tc>
          <w:tcPr>
            <w:tcW w:w="9060" w:type="dxa"/>
            <w:gridSpan w:val="3"/>
          </w:tcPr>
          <w:p w14:paraId="624D2044" w14:textId="77777777" w:rsidR="00A94FCD" w:rsidRPr="00575C92" w:rsidRDefault="00A94FCD" w:rsidP="002969AF">
            <w:pPr>
              <w:keepNext/>
              <w:pBdr>
                <w:top w:val="none" w:sz="0" w:space="0" w:color="auto"/>
                <w:left w:val="none" w:sz="0" w:space="0" w:color="auto"/>
                <w:bottom w:val="none" w:sz="0" w:space="0" w:color="auto"/>
                <w:right w:val="none" w:sz="0" w:space="0" w:color="auto"/>
                <w:between w:val="none" w:sz="0" w:space="0" w:color="auto"/>
              </w:pBdr>
              <w:spacing w:before="40" w:after="40"/>
              <w:rPr>
                <w:sz w:val="22"/>
                <w:szCs w:val="22"/>
              </w:rPr>
            </w:pPr>
            <w:r w:rsidRPr="00575C92">
              <w:rPr>
                <w:b/>
                <w:sz w:val="22"/>
                <w:szCs w:val="22"/>
              </w:rPr>
              <w:t>General disorders and administration site conditions</w:t>
            </w:r>
          </w:p>
        </w:tc>
      </w:tr>
      <w:tr w:rsidR="00055A77" w:rsidRPr="002969AF" w14:paraId="6F5DF113" w14:textId="77777777" w:rsidTr="00055A77">
        <w:tc>
          <w:tcPr>
            <w:tcW w:w="3055" w:type="dxa"/>
          </w:tcPr>
          <w:p w14:paraId="337D0F6A" w14:textId="77777777" w:rsidR="00055A77" w:rsidRPr="00575C92" w:rsidRDefault="00055A77" w:rsidP="002969AF">
            <w:pPr>
              <w:keepNext/>
              <w:pBdr>
                <w:top w:val="none" w:sz="0" w:space="0" w:color="auto"/>
                <w:left w:val="none" w:sz="0" w:space="0" w:color="auto"/>
                <w:bottom w:val="none" w:sz="0" w:space="0" w:color="auto"/>
                <w:right w:val="none" w:sz="0" w:space="0" w:color="auto"/>
                <w:between w:val="none" w:sz="0" w:space="0" w:color="auto"/>
              </w:pBdr>
              <w:spacing w:before="40" w:after="40"/>
              <w:rPr>
                <w:sz w:val="22"/>
                <w:szCs w:val="22"/>
              </w:rPr>
            </w:pPr>
            <w:r w:rsidRPr="00575C92">
              <w:rPr>
                <w:sz w:val="22"/>
                <w:szCs w:val="22"/>
              </w:rPr>
              <w:t>Pyrexia</w:t>
            </w:r>
          </w:p>
        </w:tc>
        <w:tc>
          <w:tcPr>
            <w:tcW w:w="3330" w:type="dxa"/>
          </w:tcPr>
          <w:p w14:paraId="5FC517F8" w14:textId="2DCEFE54" w:rsidR="00055A77" w:rsidRPr="00575C92" w:rsidRDefault="00055A77" w:rsidP="002969AF">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30 (48)</w:t>
            </w:r>
          </w:p>
        </w:tc>
        <w:tc>
          <w:tcPr>
            <w:tcW w:w="2675" w:type="dxa"/>
          </w:tcPr>
          <w:p w14:paraId="463160DE" w14:textId="77777777" w:rsidR="00055A77" w:rsidRPr="00575C92" w:rsidRDefault="00055A77" w:rsidP="002969AF">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Very common</w:t>
            </w:r>
          </w:p>
        </w:tc>
      </w:tr>
      <w:tr w:rsidR="00055A77" w:rsidRPr="002969AF" w14:paraId="0BF366AE" w14:textId="77777777" w:rsidTr="00055A77">
        <w:tc>
          <w:tcPr>
            <w:tcW w:w="3055" w:type="dxa"/>
          </w:tcPr>
          <w:p w14:paraId="3704DBFA" w14:textId="5E237E2A" w:rsidR="00055A77" w:rsidRPr="00575C92" w:rsidRDefault="00055A77" w:rsidP="002969AF">
            <w:pPr>
              <w:keepNext/>
              <w:pBdr>
                <w:top w:val="none" w:sz="0" w:space="0" w:color="auto"/>
                <w:left w:val="none" w:sz="0" w:space="0" w:color="auto"/>
                <w:bottom w:val="none" w:sz="0" w:space="0" w:color="auto"/>
                <w:right w:val="none" w:sz="0" w:space="0" w:color="auto"/>
                <w:between w:val="none" w:sz="0" w:space="0" w:color="auto"/>
              </w:pBdr>
              <w:spacing w:before="40" w:after="40"/>
              <w:rPr>
                <w:sz w:val="22"/>
                <w:szCs w:val="22"/>
              </w:rPr>
            </w:pPr>
            <w:r w:rsidRPr="00575C92">
              <w:rPr>
                <w:sz w:val="22"/>
                <w:szCs w:val="22"/>
              </w:rPr>
              <w:t>Teething</w:t>
            </w:r>
          </w:p>
        </w:tc>
        <w:tc>
          <w:tcPr>
            <w:tcW w:w="3330" w:type="dxa"/>
          </w:tcPr>
          <w:p w14:paraId="5077C3DC" w14:textId="43325685" w:rsidR="00055A77" w:rsidRPr="00575C92" w:rsidRDefault="00055A77" w:rsidP="002969AF">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8 (13)</w:t>
            </w:r>
          </w:p>
        </w:tc>
        <w:tc>
          <w:tcPr>
            <w:tcW w:w="2675" w:type="dxa"/>
          </w:tcPr>
          <w:p w14:paraId="601E7821" w14:textId="7A1488BC" w:rsidR="00055A77" w:rsidRPr="00575C92" w:rsidRDefault="00055A77" w:rsidP="002969AF">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Very common</w:t>
            </w:r>
          </w:p>
        </w:tc>
      </w:tr>
      <w:tr w:rsidR="002A4B68" w:rsidRPr="002969AF" w14:paraId="7274209D" w14:textId="5AF04FBD" w:rsidTr="00696A1B">
        <w:tc>
          <w:tcPr>
            <w:tcW w:w="9060" w:type="dxa"/>
            <w:gridSpan w:val="3"/>
          </w:tcPr>
          <w:p w14:paraId="502FEB0A" w14:textId="4E751963" w:rsidR="002A4B68" w:rsidRPr="00575C92" w:rsidRDefault="002A4B68" w:rsidP="002A4B68">
            <w:pPr>
              <w:keepNext/>
              <w:pBdr>
                <w:top w:val="none" w:sz="0" w:space="0" w:color="auto"/>
                <w:left w:val="none" w:sz="0" w:space="0" w:color="auto"/>
                <w:bottom w:val="none" w:sz="0" w:space="0" w:color="auto"/>
                <w:right w:val="none" w:sz="0" w:space="0" w:color="auto"/>
                <w:between w:val="none" w:sz="0" w:space="0" w:color="auto"/>
              </w:pBdr>
              <w:spacing w:before="40" w:after="40"/>
              <w:rPr>
                <w:b/>
                <w:sz w:val="22"/>
                <w:szCs w:val="22"/>
              </w:rPr>
            </w:pPr>
            <w:r w:rsidRPr="00575C92">
              <w:rPr>
                <w:b/>
                <w:sz w:val="22"/>
                <w:szCs w:val="22"/>
              </w:rPr>
              <w:t>Gastrointestinal disorders</w:t>
            </w:r>
          </w:p>
        </w:tc>
      </w:tr>
      <w:tr w:rsidR="00055A77" w:rsidRPr="002969AF" w14:paraId="12ECE853" w14:textId="77777777" w:rsidTr="00055A77">
        <w:tc>
          <w:tcPr>
            <w:tcW w:w="3055" w:type="dxa"/>
          </w:tcPr>
          <w:p w14:paraId="1842E830" w14:textId="16C29BE1" w:rsidR="00055A77" w:rsidRPr="00575C92"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rPr>
                <w:sz w:val="22"/>
                <w:szCs w:val="22"/>
              </w:rPr>
            </w:pPr>
            <w:r w:rsidRPr="00575C92">
              <w:rPr>
                <w:sz w:val="22"/>
                <w:szCs w:val="22"/>
              </w:rPr>
              <w:t>Constipation</w:t>
            </w:r>
          </w:p>
        </w:tc>
        <w:tc>
          <w:tcPr>
            <w:tcW w:w="3330" w:type="dxa"/>
          </w:tcPr>
          <w:p w14:paraId="59D23D2C" w14:textId="12D49F11" w:rsidR="00055A77" w:rsidRPr="00575C92" w:rsidRDefault="00055A77" w:rsidP="002969AF">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12 (19)</w:t>
            </w:r>
          </w:p>
        </w:tc>
        <w:tc>
          <w:tcPr>
            <w:tcW w:w="2675" w:type="dxa"/>
          </w:tcPr>
          <w:p w14:paraId="154854E1" w14:textId="38B3194B" w:rsidR="00055A77" w:rsidRPr="00575C92"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Very common</w:t>
            </w:r>
          </w:p>
        </w:tc>
      </w:tr>
      <w:tr w:rsidR="00055A77" w:rsidRPr="002969AF" w14:paraId="7BF49520" w14:textId="5958AF41" w:rsidTr="00055A77">
        <w:tc>
          <w:tcPr>
            <w:tcW w:w="3055" w:type="dxa"/>
          </w:tcPr>
          <w:p w14:paraId="6C1410E8" w14:textId="2551EF3E" w:rsidR="00055A77" w:rsidRPr="00575C92"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rPr>
                <w:sz w:val="22"/>
                <w:szCs w:val="22"/>
              </w:rPr>
            </w:pPr>
            <w:r w:rsidRPr="00575C92">
              <w:rPr>
                <w:sz w:val="22"/>
                <w:szCs w:val="22"/>
              </w:rPr>
              <w:t>Diarrhoea</w:t>
            </w:r>
          </w:p>
        </w:tc>
        <w:tc>
          <w:tcPr>
            <w:tcW w:w="3330" w:type="dxa"/>
          </w:tcPr>
          <w:p w14:paraId="58D98772" w14:textId="5766FEA4" w:rsidR="00055A77" w:rsidRPr="00575C92"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10 (16)</w:t>
            </w:r>
          </w:p>
        </w:tc>
        <w:tc>
          <w:tcPr>
            <w:tcW w:w="2675" w:type="dxa"/>
          </w:tcPr>
          <w:p w14:paraId="3A483B89" w14:textId="1488F2EA" w:rsidR="00055A77" w:rsidRPr="00575C92" w:rsidRDefault="00055A77"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Very common</w:t>
            </w:r>
          </w:p>
        </w:tc>
      </w:tr>
      <w:tr w:rsidR="00055A77" w:rsidRPr="002969AF" w14:paraId="7A7C65E9" w14:textId="77777777" w:rsidTr="00727EAF">
        <w:tc>
          <w:tcPr>
            <w:tcW w:w="3055" w:type="dxa"/>
          </w:tcPr>
          <w:p w14:paraId="26D894BD" w14:textId="77777777" w:rsidR="00055A77" w:rsidRPr="00575C92" w:rsidRDefault="00055A77" w:rsidP="002969AF">
            <w:pPr>
              <w:keepNext/>
              <w:pBdr>
                <w:top w:val="none" w:sz="0" w:space="0" w:color="auto"/>
                <w:left w:val="none" w:sz="0" w:space="0" w:color="auto"/>
                <w:bottom w:val="none" w:sz="0" w:space="0" w:color="auto"/>
                <w:right w:val="none" w:sz="0" w:space="0" w:color="auto"/>
                <w:between w:val="none" w:sz="0" w:space="0" w:color="auto"/>
              </w:pBdr>
              <w:spacing w:before="40" w:after="40"/>
              <w:rPr>
                <w:sz w:val="22"/>
                <w:szCs w:val="22"/>
              </w:rPr>
            </w:pPr>
            <w:r w:rsidRPr="00575C92">
              <w:rPr>
                <w:sz w:val="22"/>
                <w:szCs w:val="22"/>
              </w:rPr>
              <w:t>Vomiting</w:t>
            </w:r>
          </w:p>
        </w:tc>
        <w:tc>
          <w:tcPr>
            <w:tcW w:w="3330" w:type="dxa"/>
          </w:tcPr>
          <w:p w14:paraId="5DCED5D3" w14:textId="395BBAAB" w:rsidR="00055A77" w:rsidRPr="00575C92" w:rsidRDefault="00055A77" w:rsidP="002969AF">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9 (</w:t>
            </w:r>
            <w:r w:rsidRPr="00055A77">
              <w:rPr>
                <w:color w:val="auto"/>
                <w:sz w:val="22"/>
                <w:szCs w:val="22"/>
                <w:lang w:val="en-029"/>
              </w:rPr>
              <w:t>15)</w:t>
            </w:r>
          </w:p>
        </w:tc>
        <w:tc>
          <w:tcPr>
            <w:tcW w:w="2675" w:type="dxa"/>
          </w:tcPr>
          <w:p w14:paraId="5A72A04C" w14:textId="77777777" w:rsidR="00055A77" w:rsidRPr="00575C92" w:rsidRDefault="00055A77" w:rsidP="002969AF">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Very common</w:t>
            </w:r>
          </w:p>
        </w:tc>
      </w:tr>
      <w:tr w:rsidR="002A4B68" w:rsidRPr="002969AF" w14:paraId="24B83A26" w14:textId="0020D855" w:rsidTr="00696A1B">
        <w:tc>
          <w:tcPr>
            <w:tcW w:w="9060" w:type="dxa"/>
            <w:gridSpan w:val="3"/>
          </w:tcPr>
          <w:p w14:paraId="0717D507" w14:textId="0AF1946A" w:rsidR="002A4B68" w:rsidRPr="00575C92" w:rsidRDefault="002A4B68" w:rsidP="002A4B68">
            <w:pPr>
              <w:pBdr>
                <w:top w:val="none" w:sz="0" w:space="0" w:color="auto"/>
                <w:left w:val="none" w:sz="0" w:space="0" w:color="auto"/>
                <w:bottom w:val="none" w:sz="0" w:space="0" w:color="auto"/>
                <w:right w:val="none" w:sz="0" w:space="0" w:color="auto"/>
                <w:between w:val="none" w:sz="0" w:space="0" w:color="auto"/>
              </w:pBdr>
              <w:spacing w:before="40" w:after="40"/>
              <w:rPr>
                <w:b/>
                <w:sz w:val="22"/>
                <w:szCs w:val="22"/>
              </w:rPr>
            </w:pPr>
            <w:r w:rsidRPr="00575C92">
              <w:rPr>
                <w:b/>
                <w:sz w:val="22"/>
                <w:szCs w:val="22"/>
              </w:rPr>
              <w:t>Skin and Subcutaneous Tissue Disorders</w:t>
            </w:r>
          </w:p>
        </w:tc>
      </w:tr>
      <w:tr w:rsidR="00055A77" w:rsidRPr="002969AF" w14:paraId="65E33629" w14:textId="38541E19" w:rsidTr="00727EAF">
        <w:tc>
          <w:tcPr>
            <w:tcW w:w="3055" w:type="dxa"/>
          </w:tcPr>
          <w:p w14:paraId="4A9B9135" w14:textId="2EE745D4" w:rsidR="00055A77" w:rsidRPr="00575C92" w:rsidRDefault="00055A77" w:rsidP="007C2740">
            <w:pPr>
              <w:pBdr>
                <w:top w:val="none" w:sz="0" w:space="0" w:color="auto"/>
                <w:left w:val="none" w:sz="0" w:space="0" w:color="auto"/>
                <w:bottom w:val="none" w:sz="0" w:space="0" w:color="auto"/>
                <w:right w:val="none" w:sz="0" w:space="0" w:color="auto"/>
                <w:between w:val="none" w:sz="0" w:space="0" w:color="auto"/>
              </w:pBdr>
              <w:spacing w:before="40" w:after="40"/>
              <w:rPr>
                <w:sz w:val="22"/>
                <w:szCs w:val="22"/>
              </w:rPr>
            </w:pPr>
            <w:r w:rsidRPr="00575C92">
              <w:rPr>
                <w:sz w:val="22"/>
                <w:szCs w:val="22"/>
              </w:rPr>
              <w:lastRenderedPageBreak/>
              <w:t>Rash</w:t>
            </w:r>
            <w:r w:rsidRPr="00055A77">
              <w:rPr>
                <w:sz w:val="22"/>
                <w:szCs w:val="22"/>
                <w:vertAlign w:val="superscript"/>
              </w:rPr>
              <w:t>2</w:t>
            </w:r>
          </w:p>
        </w:tc>
        <w:tc>
          <w:tcPr>
            <w:tcW w:w="3330" w:type="dxa"/>
          </w:tcPr>
          <w:p w14:paraId="4D1E6A15" w14:textId="2B6DA6C6" w:rsidR="00055A77" w:rsidRPr="00575C92" w:rsidRDefault="00055A77" w:rsidP="002969AF">
            <w:pPr>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17 (27)</w:t>
            </w:r>
          </w:p>
        </w:tc>
        <w:tc>
          <w:tcPr>
            <w:tcW w:w="2675" w:type="dxa"/>
          </w:tcPr>
          <w:p w14:paraId="0E1381EA" w14:textId="52A57B10" w:rsidR="00055A77" w:rsidRPr="00575C92" w:rsidRDefault="00055A77" w:rsidP="00CE5F5B">
            <w:pPr>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Very common</w:t>
            </w:r>
          </w:p>
        </w:tc>
      </w:tr>
      <w:tr w:rsidR="002007E8" w:rsidRPr="002007E8" w14:paraId="1186DF17" w14:textId="77777777" w:rsidTr="002007E8">
        <w:tc>
          <w:tcPr>
            <w:tcW w:w="9060" w:type="dxa"/>
            <w:gridSpan w:val="3"/>
          </w:tcPr>
          <w:p w14:paraId="2690868F" w14:textId="4FCEFDF4" w:rsidR="002007E8" w:rsidRPr="00575C92" w:rsidRDefault="002007E8" w:rsidP="002007E8">
            <w:pPr>
              <w:keepNext/>
              <w:pBdr>
                <w:top w:val="none" w:sz="0" w:space="0" w:color="auto"/>
                <w:left w:val="none" w:sz="0" w:space="0" w:color="auto"/>
                <w:bottom w:val="none" w:sz="0" w:space="0" w:color="auto"/>
                <w:right w:val="none" w:sz="0" w:space="0" w:color="auto"/>
                <w:between w:val="none" w:sz="0" w:space="0" w:color="auto"/>
              </w:pBdr>
              <w:spacing w:before="40" w:after="40"/>
              <w:rPr>
                <w:b/>
                <w:sz w:val="22"/>
                <w:szCs w:val="22"/>
              </w:rPr>
            </w:pPr>
            <w:r w:rsidRPr="00575C92">
              <w:rPr>
                <w:b/>
                <w:sz w:val="22"/>
                <w:szCs w:val="22"/>
              </w:rPr>
              <w:t>Infections and infestations</w:t>
            </w:r>
          </w:p>
        </w:tc>
      </w:tr>
      <w:tr w:rsidR="00055A77" w:rsidRPr="002969AF" w14:paraId="02A8B42A" w14:textId="77777777" w:rsidTr="00727EAF">
        <w:tc>
          <w:tcPr>
            <w:tcW w:w="3055" w:type="dxa"/>
          </w:tcPr>
          <w:p w14:paraId="1752DBD6" w14:textId="6CB6D180" w:rsidR="00055A77" w:rsidRPr="00575C92" w:rsidRDefault="00055A77" w:rsidP="00CE5F5B">
            <w:pPr>
              <w:pBdr>
                <w:top w:val="none" w:sz="0" w:space="0" w:color="auto"/>
                <w:left w:val="none" w:sz="0" w:space="0" w:color="auto"/>
                <w:bottom w:val="none" w:sz="0" w:space="0" w:color="auto"/>
                <w:right w:val="none" w:sz="0" w:space="0" w:color="auto"/>
                <w:between w:val="none" w:sz="0" w:space="0" w:color="auto"/>
              </w:pBdr>
              <w:spacing w:before="40" w:after="40"/>
              <w:rPr>
                <w:sz w:val="22"/>
                <w:szCs w:val="22"/>
              </w:rPr>
            </w:pPr>
            <w:r w:rsidRPr="00575C92">
              <w:rPr>
                <w:sz w:val="22"/>
                <w:szCs w:val="22"/>
              </w:rPr>
              <w:t>Ear infection</w:t>
            </w:r>
          </w:p>
        </w:tc>
        <w:tc>
          <w:tcPr>
            <w:tcW w:w="3330" w:type="dxa"/>
          </w:tcPr>
          <w:p w14:paraId="60C85B69" w14:textId="5DFF4F73" w:rsidR="00055A77" w:rsidRPr="00575C92" w:rsidRDefault="00055A77" w:rsidP="002969AF">
            <w:pPr>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4 (6.5%)</w:t>
            </w:r>
          </w:p>
        </w:tc>
        <w:tc>
          <w:tcPr>
            <w:tcW w:w="2675" w:type="dxa"/>
          </w:tcPr>
          <w:p w14:paraId="017BBA5A" w14:textId="6CC24697" w:rsidR="00055A77" w:rsidRPr="00575C92" w:rsidRDefault="00055A77" w:rsidP="00CE5F5B">
            <w:pPr>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Common</w:t>
            </w:r>
          </w:p>
        </w:tc>
      </w:tr>
      <w:tr w:rsidR="00055A77" w:rsidRPr="002969AF" w14:paraId="7E8C4A16" w14:textId="77777777" w:rsidTr="00727EAF">
        <w:tc>
          <w:tcPr>
            <w:tcW w:w="3055" w:type="dxa"/>
          </w:tcPr>
          <w:p w14:paraId="7A0B1771" w14:textId="3F1CAC83" w:rsidR="00055A77" w:rsidRPr="00575C92" w:rsidRDefault="00055A77" w:rsidP="00CE5F5B">
            <w:pPr>
              <w:pBdr>
                <w:top w:val="none" w:sz="0" w:space="0" w:color="auto"/>
                <w:left w:val="none" w:sz="0" w:space="0" w:color="auto"/>
                <w:bottom w:val="none" w:sz="0" w:space="0" w:color="auto"/>
                <w:right w:val="none" w:sz="0" w:space="0" w:color="auto"/>
                <w:between w:val="none" w:sz="0" w:space="0" w:color="auto"/>
              </w:pBdr>
              <w:spacing w:before="40" w:after="40"/>
              <w:rPr>
                <w:sz w:val="22"/>
                <w:szCs w:val="22"/>
              </w:rPr>
            </w:pPr>
            <w:r w:rsidRPr="00575C92">
              <w:rPr>
                <w:sz w:val="22"/>
                <w:szCs w:val="22"/>
              </w:rPr>
              <w:t>Urinary Tract Infection</w:t>
            </w:r>
          </w:p>
        </w:tc>
        <w:tc>
          <w:tcPr>
            <w:tcW w:w="3330" w:type="dxa"/>
          </w:tcPr>
          <w:p w14:paraId="168F4DB4" w14:textId="02959141" w:rsidR="00055A77" w:rsidRPr="00575C92" w:rsidRDefault="00055A77" w:rsidP="002969AF">
            <w:pPr>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4 (6.5%)</w:t>
            </w:r>
          </w:p>
        </w:tc>
        <w:tc>
          <w:tcPr>
            <w:tcW w:w="2675" w:type="dxa"/>
          </w:tcPr>
          <w:p w14:paraId="5250BDC0" w14:textId="6DDC4293" w:rsidR="00055A77" w:rsidRPr="00575C92" w:rsidRDefault="00055A77" w:rsidP="00CE5F5B">
            <w:pPr>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Common</w:t>
            </w:r>
          </w:p>
        </w:tc>
      </w:tr>
      <w:tr w:rsidR="00055A77" w:rsidRPr="002969AF" w14:paraId="614DB759" w14:textId="77777777" w:rsidTr="00727EAF">
        <w:tc>
          <w:tcPr>
            <w:tcW w:w="3055" w:type="dxa"/>
          </w:tcPr>
          <w:p w14:paraId="4CB07B73" w14:textId="23FD0DCF" w:rsidR="00055A77" w:rsidRPr="00575C92" w:rsidRDefault="00055A77" w:rsidP="00CE5F5B">
            <w:pPr>
              <w:pBdr>
                <w:top w:val="none" w:sz="0" w:space="0" w:color="auto"/>
                <w:left w:val="none" w:sz="0" w:space="0" w:color="auto"/>
                <w:bottom w:val="none" w:sz="0" w:space="0" w:color="auto"/>
                <w:right w:val="none" w:sz="0" w:space="0" w:color="auto"/>
                <w:between w:val="none" w:sz="0" w:space="0" w:color="auto"/>
              </w:pBdr>
              <w:spacing w:before="40" w:after="40"/>
              <w:rPr>
                <w:sz w:val="22"/>
                <w:szCs w:val="22"/>
              </w:rPr>
            </w:pPr>
            <w:r w:rsidRPr="00575C92">
              <w:rPr>
                <w:sz w:val="22"/>
                <w:szCs w:val="22"/>
              </w:rPr>
              <w:t>Viral Infections</w:t>
            </w:r>
          </w:p>
        </w:tc>
        <w:tc>
          <w:tcPr>
            <w:tcW w:w="3330" w:type="dxa"/>
          </w:tcPr>
          <w:p w14:paraId="297CC657" w14:textId="5DD0B3AF" w:rsidR="00055A77" w:rsidRPr="00575C92" w:rsidRDefault="00055A77" w:rsidP="002969AF">
            <w:pPr>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sidRPr="00575C92">
              <w:rPr>
                <w:sz w:val="22"/>
                <w:szCs w:val="22"/>
              </w:rPr>
              <w:t>4 (6.5%)</w:t>
            </w:r>
          </w:p>
        </w:tc>
        <w:tc>
          <w:tcPr>
            <w:tcW w:w="2675" w:type="dxa"/>
          </w:tcPr>
          <w:p w14:paraId="3629166A" w14:textId="0C7B3097" w:rsidR="00055A77" w:rsidRPr="00575C92" w:rsidRDefault="00055A77" w:rsidP="00CE5F5B">
            <w:pPr>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rPr>
            </w:pPr>
            <w:r>
              <w:rPr>
                <w:sz w:val="22"/>
                <w:szCs w:val="22"/>
              </w:rPr>
              <w:t>Common</w:t>
            </w:r>
          </w:p>
        </w:tc>
      </w:tr>
    </w:tbl>
    <w:p w14:paraId="40E01C4E" w14:textId="7E6AC999" w:rsidR="00472744" w:rsidRPr="00472744" w:rsidRDefault="00472744" w:rsidP="00472744">
      <w:pPr>
        <w:spacing w:before="40"/>
        <w:ind w:left="142" w:hanging="142"/>
        <w:rPr>
          <w:sz w:val="22"/>
        </w:rPr>
      </w:pPr>
      <w:r w:rsidRPr="00472744">
        <w:rPr>
          <w:sz w:val="22"/>
          <w:vertAlign w:val="superscript"/>
        </w:rPr>
        <w:t>1</w:t>
      </w:r>
      <w:r w:rsidRPr="00472744">
        <w:rPr>
          <w:sz w:val="22"/>
        </w:rPr>
        <w:t xml:space="preserve"> Includes </w:t>
      </w:r>
      <w:r w:rsidR="002969AF" w:rsidRPr="002969AF">
        <w:rPr>
          <w:sz w:val="22"/>
        </w:rPr>
        <w:t xml:space="preserve">PTs upper respiratory tract infection, nasopharyngitis, respiratory tract infection, rhinitis, influenza, pharyngitis, respiratory tract infection viral, upper respiratory tract infection </w:t>
      </w:r>
      <w:r w:rsidR="002007E8">
        <w:rPr>
          <w:sz w:val="22"/>
        </w:rPr>
        <w:t>(</w:t>
      </w:r>
      <w:r w:rsidR="002969AF" w:rsidRPr="002969AF">
        <w:rPr>
          <w:sz w:val="22"/>
        </w:rPr>
        <w:t>bacterial</w:t>
      </w:r>
      <w:r w:rsidR="002007E8">
        <w:rPr>
          <w:sz w:val="22"/>
        </w:rPr>
        <w:t xml:space="preserve"> and viral)</w:t>
      </w:r>
    </w:p>
    <w:p w14:paraId="232741B6" w14:textId="76C7DE2E" w:rsidR="002A4B68" w:rsidRPr="00472744" w:rsidRDefault="00472744" w:rsidP="00472744">
      <w:pPr>
        <w:spacing w:before="40"/>
        <w:ind w:left="142" w:hanging="142"/>
        <w:rPr>
          <w:sz w:val="22"/>
        </w:rPr>
      </w:pPr>
      <w:r w:rsidRPr="00472744">
        <w:rPr>
          <w:sz w:val="22"/>
          <w:vertAlign w:val="superscript"/>
        </w:rPr>
        <w:t>2</w:t>
      </w:r>
      <w:r w:rsidRPr="00472744">
        <w:rPr>
          <w:sz w:val="22"/>
        </w:rPr>
        <w:t xml:space="preserve"> Includes </w:t>
      </w:r>
      <w:r w:rsidR="002969AF" w:rsidRPr="002969AF">
        <w:rPr>
          <w:sz w:val="22"/>
        </w:rPr>
        <w:t xml:space="preserve">PTs rash, rash maculo-papular, erythema, dermatitis, dermatitis allergic, rash </w:t>
      </w:r>
      <w:proofErr w:type="spellStart"/>
      <w:r w:rsidR="002969AF" w:rsidRPr="002969AF">
        <w:rPr>
          <w:sz w:val="22"/>
        </w:rPr>
        <w:t>papular</w:t>
      </w:r>
      <w:proofErr w:type="spellEnd"/>
      <w:r w:rsidR="002969AF" w:rsidRPr="002969AF">
        <w:rPr>
          <w:sz w:val="22"/>
        </w:rPr>
        <w:t>, folliculitis</w:t>
      </w:r>
    </w:p>
    <w:p w14:paraId="36B55956" w14:textId="5A52E54F" w:rsidR="002A4B68" w:rsidRDefault="002A4B68" w:rsidP="002A4B68">
      <w:pPr>
        <w:pStyle w:val="Tableheading"/>
      </w:pPr>
      <w:r>
        <w:t>Table 4</w:t>
      </w:r>
      <w:r w:rsidRPr="00B7020F">
        <w:tab/>
      </w:r>
      <w:r w:rsidRPr="002A4B68">
        <w:t xml:space="preserve">Summary of adverse </w:t>
      </w:r>
      <w:r w:rsidR="00472744">
        <w:t>events</w:t>
      </w:r>
      <w:r w:rsidRPr="002A4B68">
        <w:t xml:space="preserve"> </w:t>
      </w:r>
      <w:r w:rsidR="00472744">
        <w:t>reported in ≥ 5% of p</w:t>
      </w:r>
      <w:r w:rsidR="00472744" w:rsidRPr="00472744">
        <w:t xml:space="preserve">atients </w:t>
      </w:r>
      <w:r w:rsidR="00472744">
        <w:t>t</w:t>
      </w:r>
      <w:r w:rsidR="00472744" w:rsidRPr="00472744">
        <w:t xml:space="preserve">reated with </w:t>
      </w:r>
      <w:proofErr w:type="spellStart"/>
      <w:r w:rsidR="00472744" w:rsidRPr="00472744">
        <w:t>Evrysdi</w:t>
      </w:r>
      <w:proofErr w:type="spellEnd"/>
      <w:r w:rsidR="00472744">
        <w:t xml:space="preserve"> and with an incidence g</w:t>
      </w:r>
      <w:r w:rsidR="00472744" w:rsidRPr="00472744">
        <w:t xml:space="preserve">reater </w:t>
      </w:r>
      <w:r w:rsidR="00472744">
        <w:t>than on p</w:t>
      </w:r>
      <w:r w:rsidR="00472744" w:rsidRPr="00472744">
        <w:t xml:space="preserve">lacebo </w:t>
      </w:r>
      <w:r w:rsidRPr="002A4B68">
        <w:t xml:space="preserve">observed in </w:t>
      </w:r>
      <w:r>
        <w:t xml:space="preserve">the </w:t>
      </w:r>
      <w:r w:rsidRPr="002A4B68">
        <w:t>SUNFISH study</w:t>
      </w:r>
      <w:r w:rsidR="00472744">
        <w:t xml:space="preserve"> (</w:t>
      </w:r>
      <w:r w:rsidR="00472744" w:rsidRPr="00472744">
        <w:t>Part 2</w:t>
      </w:r>
      <w:r w:rsidR="00472744">
        <w:t>)</w:t>
      </w:r>
    </w:p>
    <w:tbl>
      <w:tblPr>
        <w:tblStyle w:val="TableGrid"/>
        <w:tblW w:w="0" w:type="auto"/>
        <w:tblLook w:val="04A0" w:firstRow="1" w:lastRow="0" w:firstColumn="1" w:lastColumn="0" w:noHBand="0" w:noVBand="1"/>
      </w:tblPr>
      <w:tblGrid>
        <w:gridCol w:w="2695"/>
        <w:gridCol w:w="2160"/>
        <w:gridCol w:w="1941"/>
        <w:gridCol w:w="2264"/>
      </w:tblGrid>
      <w:tr w:rsidR="002A4B68" w:rsidRPr="00E638BF" w14:paraId="776432E6" w14:textId="77777777" w:rsidTr="00055A77">
        <w:tc>
          <w:tcPr>
            <w:tcW w:w="2695" w:type="dxa"/>
          </w:tcPr>
          <w:p w14:paraId="66311B12" w14:textId="77777777" w:rsidR="002A4B68" w:rsidRPr="00C1244F" w:rsidRDefault="002A4B68" w:rsidP="00696A1B">
            <w:pPr>
              <w:keepNext/>
              <w:pBdr>
                <w:top w:val="none" w:sz="0" w:space="0" w:color="auto"/>
                <w:left w:val="none" w:sz="0" w:space="0" w:color="auto"/>
                <w:bottom w:val="none" w:sz="0" w:space="0" w:color="auto"/>
                <w:right w:val="none" w:sz="0" w:space="0" w:color="auto"/>
                <w:between w:val="none" w:sz="0" w:space="0" w:color="auto"/>
              </w:pBdr>
              <w:spacing w:before="40" w:after="40"/>
              <w:rPr>
                <w:b/>
                <w:sz w:val="22"/>
              </w:rPr>
            </w:pPr>
            <w:r>
              <w:rPr>
                <w:b/>
                <w:sz w:val="22"/>
              </w:rPr>
              <w:t>System Organ Class</w:t>
            </w:r>
          </w:p>
        </w:tc>
        <w:tc>
          <w:tcPr>
            <w:tcW w:w="2160" w:type="dxa"/>
            <w:vMerge w:val="restart"/>
          </w:tcPr>
          <w:p w14:paraId="1A579658" w14:textId="1A7DC011" w:rsidR="002A4B68" w:rsidRPr="002A4B68" w:rsidRDefault="00FB6154" w:rsidP="00FB6154">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proofErr w:type="spellStart"/>
            <w:r w:rsidRPr="00FB6154">
              <w:rPr>
                <w:b/>
                <w:sz w:val="22"/>
              </w:rPr>
              <w:t>Evrysdi</w:t>
            </w:r>
            <w:proofErr w:type="spellEnd"/>
            <w:r>
              <w:rPr>
                <w:b/>
                <w:sz w:val="22"/>
              </w:rPr>
              <w:br/>
            </w:r>
            <w:r w:rsidRPr="00FB6154">
              <w:rPr>
                <w:sz w:val="22"/>
              </w:rPr>
              <w:t>N=120</w:t>
            </w:r>
            <w:r>
              <w:rPr>
                <w:sz w:val="22"/>
              </w:rPr>
              <w:br/>
            </w:r>
            <w:r w:rsidRPr="00FB6154">
              <w:rPr>
                <w:sz w:val="22"/>
              </w:rPr>
              <w:t>n (%)</w:t>
            </w:r>
          </w:p>
        </w:tc>
        <w:tc>
          <w:tcPr>
            <w:tcW w:w="1941" w:type="dxa"/>
            <w:vMerge w:val="restart"/>
          </w:tcPr>
          <w:p w14:paraId="11467B39" w14:textId="2ED22112" w:rsidR="002A4B68" w:rsidRPr="00E638BF" w:rsidRDefault="00FB6154" w:rsidP="00FB6154">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sidRPr="00FB6154">
              <w:rPr>
                <w:b/>
                <w:sz w:val="22"/>
              </w:rPr>
              <w:t>Placebo</w:t>
            </w:r>
            <w:r>
              <w:rPr>
                <w:b/>
                <w:sz w:val="22"/>
              </w:rPr>
              <w:br/>
            </w:r>
            <w:r w:rsidRPr="00FB6154">
              <w:rPr>
                <w:sz w:val="22"/>
              </w:rPr>
              <w:t>N=60</w:t>
            </w:r>
            <w:r>
              <w:rPr>
                <w:sz w:val="22"/>
              </w:rPr>
              <w:br/>
            </w:r>
            <w:r w:rsidRPr="00FB6154">
              <w:rPr>
                <w:sz w:val="22"/>
              </w:rPr>
              <w:t>n (%)</w:t>
            </w:r>
          </w:p>
        </w:tc>
        <w:tc>
          <w:tcPr>
            <w:tcW w:w="2264" w:type="dxa"/>
            <w:vMerge w:val="restart"/>
          </w:tcPr>
          <w:p w14:paraId="57F1EED4" w14:textId="77777777" w:rsidR="002A4B68" w:rsidRPr="002A4B68" w:rsidRDefault="002A4B68" w:rsidP="00696A1B">
            <w:pPr>
              <w:keepNext/>
              <w:pBdr>
                <w:top w:val="none" w:sz="0" w:space="0" w:color="auto"/>
                <w:left w:val="none" w:sz="0" w:space="0" w:color="auto"/>
                <w:bottom w:val="none" w:sz="0" w:space="0" w:color="auto"/>
                <w:right w:val="none" w:sz="0" w:space="0" w:color="auto"/>
                <w:between w:val="none" w:sz="0" w:space="0" w:color="auto"/>
              </w:pBdr>
              <w:spacing w:before="40" w:after="40"/>
              <w:jc w:val="center"/>
              <w:rPr>
                <w:b/>
                <w:sz w:val="22"/>
              </w:rPr>
            </w:pPr>
            <w:r w:rsidRPr="002A4B68">
              <w:rPr>
                <w:b/>
                <w:sz w:val="22"/>
              </w:rPr>
              <w:t>Frequency Category</w:t>
            </w:r>
          </w:p>
        </w:tc>
      </w:tr>
      <w:tr w:rsidR="002A4B68" w:rsidRPr="00B7020F" w14:paraId="17A93584" w14:textId="77777777" w:rsidTr="00055A77">
        <w:tc>
          <w:tcPr>
            <w:tcW w:w="2695" w:type="dxa"/>
          </w:tcPr>
          <w:p w14:paraId="5A01935F" w14:textId="22617BF9" w:rsidR="002A4B68" w:rsidRPr="00B7020F" w:rsidRDefault="002A4B68" w:rsidP="002969AF">
            <w:pPr>
              <w:keepNext/>
              <w:pBdr>
                <w:top w:val="none" w:sz="0" w:space="0" w:color="auto"/>
                <w:left w:val="none" w:sz="0" w:space="0" w:color="auto"/>
                <w:bottom w:val="none" w:sz="0" w:space="0" w:color="auto"/>
                <w:right w:val="none" w:sz="0" w:space="0" w:color="auto"/>
                <w:between w:val="none" w:sz="0" w:space="0" w:color="auto"/>
              </w:pBdr>
              <w:spacing w:before="40" w:after="40"/>
              <w:rPr>
                <w:sz w:val="22"/>
              </w:rPr>
            </w:pPr>
            <w:r>
              <w:rPr>
                <w:sz w:val="22"/>
              </w:rPr>
              <w:t xml:space="preserve">Adverse </w:t>
            </w:r>
            <w:r w:rsidR="002969AF">
              <w:rPr>
                <w:sz w:val="22"/>
              </w:rPr>
              <w:t>Events</w:t>
            </w:r>
          </w:p>
        </w:tc>
        <w:tc>
          <w:tcPr>
            <w:tcW w:w="2160" w:type="dxa"/>
            <w:vMerge/>
          </w:tcPr>
          <w:p w14:paraId="097F7A0F" w14:textId="77777777" w:rsidR="002A4B68" w:rsidRPr="00B7020F" w:rsidRDefault="002A4B68" w:rsidP="00696A1B">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p>
        </w:tc>
        <w:tc>
          <w:tcPr>
            <w:tcW w:w="1941" w:type="dxa"/>
            <w:vMerge/>
          </w:tcPr>
          <w:p w14:paraId="7A7A3D0E" w14:textId="77777777" w:rsidR="002A4B68" w:rsidRPr="00B7020F" w:rsidRDefault="002A4B68" w:rsidP="00696A1B">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p>
        </w:tc>
        <w:tc>
          <w:tcPr>
            <w:tcW w:w="2264" w:type="dxa"/>
            <w:vMerge/>
          </w:tcPr>
          <w:p w14:paraId="3E853759" w14:textId="77777777" w:rsidR="002A4B68" w:rsidRPr="00B7020F" w:rsidRDefault="002A4B68" w:rsidP="00696A1B">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p>
        </w:tc>
      </w:tr>
      <w:tr w:rsidR="00567DE3" w:rsidRPr="00B7020F" w14:paraId="40BE794E" w14:textId="77777777" w:rsidTr="002969AF">
        <w:tc>
          <w:tcPr>
            <w:tcW w:w="9060" w:type="dxa"/>
            <w:gridSpan w:val="4"/>
          </w:tcPr>
          <w:p w14:paraId="2C07C287" w14:textId="245662C5" w:rsidR="00567DE3" w:rsidRPr="00B7020F" w:rsidRDefault="00A94FCD" w:rsidP="00A94FCD">
            <w:pPr>
              <w:keepNext/>
              <w:pBdr>
                <w:top w:val="none" w:sz="0" w:space="0" w:color="auto"/>
                <w:left w:val="none" w:sz="0" w:space="0" w:color="auto"/>
                <w:bottom w:val="none" w:sz="0" w:space="0" w:color="auto"/>
                <w:right w:val="none" w:sz="0" w:space="0" w:color="auto"/>
                <w:between w:val="none" w:sz="0" w:space="0" w:color="auto"/>
              </w:pBdr>
              <w:spacing w:before="40" w:after="40"/>
              <w:rPr>
                <w:sz w:val="22"/>
              </w:rPr>
            </w:pPr>
            <w:r w:rsidRPr="00A94FCD">
              <w:rPr>
                <w:b/>
                <w:sz w:val="22"/>
              </w:rPr>
              <w:t>General disorders and administration site conditions</w:t>
            </w:r>
          </w:p>
        </w:tc>
      </w:tr>
      <w:tr w:rsidR="00472744" w:rsidRPr="00B7020F" w14:paraId="7037E76D" w14:textId="77777777" w:rsidTr="00055A77">
        <w:tc>
          <w:tcPr>
            <w:tcW w:w="2695" w:type="dxa"/>
          </w:tcPr>
          <w:p w14:paraId="699C234A" w14:textId="1DF9522B" w:rsidR="00472744" w:rsidRDefault="00472744" w:rsidP="00696A1B">
            <w:pPr>
              <w:keepNext/>
              <w:pBdr>
                <w:top w:val="none" w:sz="0" w:space="0" w:color="auto"/>
                <w:left w:val="none" w:sz="0" w:space="0" w:color="auto"/>
                <w:bottom w:val="none" w:sz="0" w:space="0" w:color="auto"/>
                <w:right w:val="none" w:sz="0" w:space="0" w:color="auto"/>
                <w:between w:val="none" w:sz="0" w:space="0" w:color="auto"/>
              </w:pBdr>
              <w:spacing w:before="40" w:after="40"/>
              <w:rPr>
                <w:sz w:val="22"/>
              </w:rPr>
            </w:pPr>
            <w:r>
              <w:rPr>
                <w:sz w:val="22"/>
              </w:rPr>
              <w:t>Fever</w:t>
            </w:r>
            <w:r w:rsidRPr="00472744">
              <w:rPr>
                <w:sz w:val="22"/>
                <w:vertAlign w:val="superscript"/>
              </w:rPr>
              <w:t>1</w:t>
            </w:r>
          </w:p>
        </w:tc>
        <w:tc>
          <w:tcPr>
            <w:tcW w:w="2160" w:type="dxa"/>
          </w:tcPr>
          <w:p w14:paraId="2602B86F" w14:textId="33AC1ACE" w:rsidR="00472744" w:rsidRPr="00B7020F" w:rsidRDefault="007867E5" w:rsidP="007867E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26</w:t>
            </w:r>
            <w:r w:rsidR="00567DE3">
              <w:rPr>
                <w:sz w:val="22"/>
              </w:rPr>
              <w:t xml:space="preserve"> </w:t>
            </w:r>
            <w:r w:rsidR="00472744">
              <w:rPr>
                <w:sz w:val="22"/>
              </w:rPr>
              <w:t>(22)</w:t>
            </w:r>
          </w:p>
        </w:tc>
        <w:tc>
          <w:tcPr>
            <w:tcW w:w="1941" w:type="dxa"/>
          </w:tcPr>
          <w:p w14:paraId="516A390A" w14:textId="58E86103" w:rsidR="00472744" w:rsidRPr="00B7020F" w:rsidRDefault="00567DE3" w:rsidP="007867E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1</w:t>
            </w:r>
            <w:r w:rsidR="007867E5">
              <w:rPr>
                <w:sz w:val="22"/>
              </w:rPr>
              <w:t>0</w:t>
            </w:r>
            <w:r>
              <w:rPr>
                <w:sz w:val="22"/>
              </w:rPr>
              <w:t xml:space="preserve"> </w:t>
            </w:r>
            <w:r w:rsidR="00472744">
              <w:rPr>
                <w:sz w:val="22"/>
              </w:rPr>
              <w:t>(1</w:t>
            </w:r>
            <w:r w:rsidR="007867E5">
              <w:rPr>
                <w:sz w:val="22"/>
              </w:rPr>
              <w:t>7</w:t>
            </w:r>
            <w:r w:rsidR="00472744">
              <w:rPr>
                <w:sz w:val="22"/>
              </w:rPr>
              <w:t>)</w:t>
            </w:r>
          </w:p>
        </w:tc>
        <w:tc>
          <w:tcPr>
            <w:tcW w:w="2264" w:type="dxa"/>
          </w:tcPr>
          <w:p w14:paraId="731B0FBE" w14:textId="1FACE273" w:rsidR="00472744" w:rsidRPr="00B7020F" w:rsidRDefault="00472744" w:rsidP="00696A1B">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Very common</w:t>
            </w:r>
          </w:p>
        </w:tc>
      </w:tr>
      <w:tr w:rsidR="002A4B68" w:rsidRPr="00B7020F" w14:paraId="52500355" w14:textId="77777777" w:rsidTr="00696A1B">
        <w:tc>
          <w:tcPr>
            <w:tcW w:w="9060" w:type="dxa"/>
            <w:gridSpan w:val="4"/>
          </w:tcPr>
          <w:p w14:paraId="5176B6CF" w14:textId="77777777" w:rsidR="002A4B68" w:rsidRPr="002A4B68" w:rsidRDefault="002A4B68" w:rsidP="00696A1B">
            <w:pPr>
              <w:keepNext/>
              <w:pBdr>
                <w:top w:val="none" w:sz="0" w:space="0" w:color="auto"/>
                <w:left w:val="none" w:sz="0" w:space="0" w:color="auto"/>
                <w:bottom w:val="none" w:sz="0" w:space="0" w:color="auto"/>
                <w:right w:val="none" w:sz="0" w:space="0" w:color="auto"/>
                <w:between w:val="none" w:sz="0" w:space="0" w:color="auto"/>
              </w:pBdr>
              <w:spacing w:before="40" w:after="40"/>
              <w:rPr>
                <w:b/>
                <w:sz w:val="22"/>
              </w:rPr>
            </w:pPr>
            <w:r>
              <w:rPr>
                <w:b/>
                <w:sz w:val="22"/>
              </w:rPr>
              <w:t>Gastrointestinal disorders</w:t>
            </w:r>
          </w:p>
        </w:tc>
      </w:tr>
      <w:tr w:rsidR="002A4B68" w:rsidRPr="00B7020F" w14:paraId="17968368" w14:textId="77777777" w:rsidTr="00055A77">
        <w:tc>
          <w:tcPr>
            <w:tcW w:w="2695" w:type="dxa"/>
          </w:tcPr>
          <w:p w14:paraId="629CAF71" w14:textId="77777777" w:rsidR="002A4B68" w:rsidRPr="00B7020F" w:rsidRDefault="002A4B68" w:rsidP="00696A1B">
            <w:pPr>
              <w:keepNext/>
              <w:pBdr>
                <w:top w:val="none" w:sz="0" w:space="0" w:color="auto"/>
                <w:left w:val="none" w:sz="0" w:space="0" w:color="auto"/>
                <w:bottom w:val="none" w:sz="0" w:space="0" w:color="auto"/>
                <w:right w:val="none" w:sz="0" w:space="0" w:color="auto"/>
                <w:between w:val="none" w:sz="0" w:space="0" w:color="auto"/>
              </w:pBdr>
              <w:spacing w:before="40" w:after="40"/>
              <w:rPr>
                <w:sz w:val="22"/>
              </w:rPr>
            </w:pPr>
            <w:r>
              <w:rPr>
                <w:sz w:val="22"/>
              </w:rPr>
              <w:t>Diarrhoea</w:t>
            </w:r>
          </w:p>
        </w:tc>
        <w:tc>
          <w:tcPr>
            <w:tcW w:w="2160" w:type="dxa"/>
          </w:tcPr>
          <w:p w14:paraId="30035A8B" w14:textId="357BB8C3" w:rsidR="002A4B68" w:rsidRPr="00B7020F" w:rsidRDefault="00FB6154" w:rsidP="007867E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sidRPr="00FB6154">
              <w:rPr>
                <w:sz w:val="22"/>
              </w:rPr>
              <w:t>20 (17)</w:t>
            </w:r>
          </w:p>
        </w:tc>
        <w:tc>
          <w:tcPr>
            <w:tcW w:w="1941" w:type="dxa"/>
          </w:tcPr>
          <w:p w14:paraId="0BB54DD5" w14:textId="12C1B414" w:rsidR="002A4B68" w:rsidRPr="00B7020F" w:rsidRDefault="00FB6154" w:rsidP="007867E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sidRPr="00FB6154">
              <w:rPr>
                <w:sz w:val="22"/>
              </w:rPr>
              <w:t>5 (8)</w:t>
            </w:r>
          </w:p>
        </w:tc>
        <w:tc>
          <w:tcPr>
            <w:tcW w:w="2264" w:type="dxa"/>
          </w:tcPr>
          <w:p w14:paraId="457794DC" w14:textId="77777777" w:rsidR="002A4B68" w:rsidRPr="00B7020F" w:rsidRDefault="002A4B68" w:rsidP="00696A1B">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Very common</w:t>
            </w:r>
          </w:p>
        </w:tc>
      </w:tr>
      <w:tr w:rsidR="005D6C3C" w:rsidRPr="00B7020F" w14:paraId="70B7C820" w14:textId="77777777" w:rsidTr="00055A77">
        <w:tc>
          <w:tcPr>
            <w:tcW w:w="2695" w:type="dxa"/>
          </w:tcPr>
          <w:p w14:paraId="4F803B13" w14:textId="51CB7F22" w:rsidR="005D6C3C" w:rsidRDefault="005D6C3C" w:rsidP="00696A1B">
            <w:pPr>
              <w:keepNext/>
              <w:pBdr>
                <w:top w:val="none" w:sz="0" w:space="0" w:color="auto"/>
                <w:left w:val="none" w:sz="0" w:space="0" w:color="auto"/>
                <w:bottom w:val="none" w:sz="0" w:space="0" w:color="auto"/>
                <w:right w:val="none" w:sz="0" w:space="0" w:color="auto"/>
                <w:between w:val="none" w:sz="0" w:space="0" w:color="auto"/>
              </w:pBdr>
              <w:spacing w:before="40" w:after="40"/>
              <w:rPr>
                <w:sz w:val="22"/>
              </w:rPr>
            </w:pPr>
            <w:r>
              <w:rPr>
                <w:sz w:val="22"/>
              </w:rPr>
              <w:t>Nausea</w:t>
            </w:r>
          </w:p>
        </w:tc>
        <w:tc>
          <w:tcPr>
            <w:tcW w:w="2160" w:type="dxa"/>
          </w:tcPr>
          <w:p w14:paraId="05671755" w14:textId="4E32B5F8" w:rsidR="005D6C3C" w:rsidRPr="00FB6154" w:rsidRDefault="00AB2FC4" w:rsidP="007867E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11</w:t>
            </w:r>
            <w:r w:rsidR="00FA39A6">
              <w:rPr>
                <w:sz w:val="22"/>
              </w:rPr>
              <w:t xml:space="preserve"> </w:t>
            </w:r>
            <w:r>
              <w:rPr>
                <w:sz w:val="22"/>
              </w:rPr>
              <w:t>(9)</w:t>
            </w:r>
          </w:p>
        </w:tc>
        <w:tc>
          <w:tcPr>
            <w:tcW w:w="1941" w:type="dxa"/>
          </w:tcPr>
          <w:p w14:paraId="5EF6B9AC" w14:textId="780E50E6" w:rsidR="005D6C3C" w:rsidRPr="00FB6154" w:rsidRDefault="00AB2FC4" w:rsidP="007867E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3</w:t>
            </w:r>
            <w:r w:rsidR="00FA39A6">
              <w:rPr>
                <w:sz w:val="22"/>
              </w:rPr>
              <w:t xml:space="preserve"> </w:t>
            </w:r>
            <w:r>
              <w:rPr>
                <w:sz w:val="22"/>
              </w:rPr>
              <w:t>(5)</w:t>
            </w:r>
          </w:p>
        </w:tc>
        <w:tc>
          <w:tcPr>
            <w:tcW w:w="2264" w:type="dxa"/>
          </w:tcPr>
          <w:p w14:paraId="3A3DD241" w14:textId="1BD397E4" w:rsidR="005D6C3C" w:rsidRDefault="00AB2FC4" w:rsidP="00696A1B">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Common</w:t>
            </w:r>
          </w:p>
        </w:tc>
      </w:tr>
      <w:tr w:rsidR="005D6C3C" w:rsidRPr="00B7020F" w14:paraId="2BFAC8AA" w14:textId="77777777" w:rsidTr="00055A77">
        <w:tc>
          <w:tcPr>
            <w:tcW w:w="2695" w:type="dxa"/>
          </w:tcPr>
          <w:p w14:paraId="59617631" w14:textId="2304A511" w:rsidR="005D6C3C" w:rsidRDefault="00AB2FC4" w:rsidP="00696A1B">
            <w:pPr>
              <w:keepNext/>
              <w:pBdr>
                <w:top w:val="none" w:sz="0" w:space="0" w:color="auto"/>
                <w:left w:val="none" w:sz="0" w:space="0" w:color="auto"/>
                <w:bottom w:val="none" w:sz="0" w:space="0" w:color="auto"/>
                <w:right w:val="none" w:sz="0" w:space="0" w:color="auto"/>
                <w:between w:val="none" w:sz="0" w:space="0" w:color="auto"/>
              </w:pBdr>
              <w:spacing w:before="40" w:after="40"/>
              <w:rPr>
                <w:sz w:val="22"/>
              </w:rPr>
            </w:pPr>
            <w:r>
              <w:rPr>
                <w:sz w:val="22"/>
              </w:rPr>
              <w:t>Constipation</w:t>
            </w:r>
          </w:p>
        </w:tc>
        <w:tc>
          <w:tcPr>
            <w:tcW w:w="2160" w:type="dxa"/>
          </w:tcPr>
          <w:p w14:paraId="0B0026DF" w14:textId="656F9E88" w:rsidR="005D6C3C" w:rsidRPr="00FB6154" w:rsidRDefault="00AB2FC4" w:rsidP="007867E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10</w:t>
            </w:r>
            <w:r w:rsidR="00FA39A6">
              <w:rPr>
                <w:sz w:val="22"/>
              </w:rPr>
              <w:t xml:space="preserve"> </w:t>
            </w:r>
            <w:r>
              <w:rPr>
                <w:sz w:val="22"/>
              </w:rPr>
              <w:t>(8)</w:t>
            </w:r>
          </w:p>
        </w:tc>
        <w:tc>
          <w:tcPr>
            <w:tcW w:w="1941" w:type="dxa"/>
          </w:tcPr>
          <w:p w14:paraId="1FDFF029" w14:textId="0AA05A1A" w:rsidR="005D6C3C" w:rsidRPr="00FB6154" w:rsidRDefault="00AB2FC4" w:rsidP="007867E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3</w:t>
            </w:r>
            <w:r w:rsidR="00FA39A6">
              <w:rPr>
                <w:sz w:val="22"/>
              </w:rPr>
              <w:t xml:space="preserve"> </w:t>
            </w:r>
            <w:r>
              <w:rPr>
                <w:sz w:val="22"/>
              </w:rPr>
              <w:t>(5)</w:t>
            </w:r>
          </w:p>
        </w:tc>
        <w:tc>
          <w:tcPr>
            <w:tcW w:w="2264" w:type="dxa"/>
          </w:tcPr>
          <w:p w14:paraId="6D0D22BE" w14:textId="5165C673" w:rsidR="005D6C3C" w:rsidRDefault="00AB2FC4" w:rsidP="00696A1B">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Common</w:t>
            </w:r>
          </w:p>
        </w:tc>
      </w:tr>
      <w:tr w:rsidR="00AB2FC4" w:rsidRPr="00B7020F" w14:paraId="5C0E6FAE" w14:textId="77777777" w:rsidTr="00055A77">
        <w:tc>
          <w:tcPr>
            <w:tcW w:w="2695" w:type="dxa"/>
          </w:tcPr>
          <w:p w14:paraId="3BD03F70" w14:textId="3F7C1A49" w:rsidR="00AB2FC4" w:rsidRDefault="00AB2FC4" w:rsidP="00696A1B">
            <w:pPr>
              <w:keepNext/>
              <w:pBdr>
                <w:top w:val="none" w:sz="0" w:space="0" w:color="auto"/>
                <w:left w:val="none" w:sz="0" w:space="0" w:color="auto"/>
                <w:bottom w:val="none" w:sz="0" w:space="0" w:color="auto"/>
                <w:right w:val="none" w:sz="0" w:space="0" w:color="auto"/>
                <w:between w:val="none" w:sz="0" w:space="0" w:color="auto"/>
              </w:pBdr>
              <w:spacing w:before="40" w:after="40"/>
              <w:rPr>
                <w:sz w:val="22"/>
              </w:rPr>
            </w:pPr>
            <w:r>
              <w:rPr>
                <w:sz w:val="22"/>
              </w:rPr>
              <w:t>Abdominal pain upper</w:t>
            </w:r>
          </w:p>
        </w:tc>
        <w:tc>
          <w:tcPr>
            <w:tcW w:w="2160" w:type="dxa"/>
          </w:tcPr>
          <w:p w14:paraId="3F1E9184" w14:textId="2E8AE138" w:rsidR="00AB2FC4" w:rsidRDefault="00AB2FC4" w:rsidP="007867E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7</w:t>
            </w:r>
            <w:r w:rsidR="00FA39A6">
              <w:rPr>
                <w:sz w:val="22"/>
              </w:rPr>
              <w:t xml:space="preserve"> </w:t>
            </w:r>
            <w:r>
              <w:rPr>
                <w:sz w:val="22"/>
              </w:rPr>
              <w:t>(6)</w:t>
            </w:r>
          </w:p>
        </w:tc>
        <w:tc>
          <w:tcPr>
            <w:tcW w:w="1941" w:type="dxa"/>
          </w:tcPr>
          <w:p w14:paraId="12C14907" w14:textId="58523B21" w:rsidR="00AB2FC4" w:rsidRDefault="00AB2FC4" w:rsidP="007867E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2</w:t>
            </w:r>
            <w:r w:rsidR="00FA39A6">
              <w:rPr>
                <w:sz w:val="22"/>
              </w:rPr>
              <w:t xml:space="preserve"> </w:t>
            </w:r>
            <w:r>
              <w:rPr>
                <w:sz w:val="22"/>
              </w:rPr>
              <w:t>(3)</w:t>
            </w:r>
          </w:p>
        </w:tc>
        <w:tc>
          <w:tcPr>
            <w:tcW w:w="2264" w:type="dxa"/>
          </w:tcPr>
          <w:p w14:paraId="1C1B3D61" w14:textId="5896D6D8" w:rsidR="00AB2FC4" w:rsidRDefault="00AB2FC4" w:rsidP="00696A1B">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Common</w:t>
            </w:r>
          </w:p>
        </w:tc>
      </w:tr>
      <w:tr w:rsidR="002A4B68" w:rsidRPr="00B7020F" w14:paraId="09BAC2C5" w14:textId="77777777" w:rsidTr="00696A1B">
        <w:tc>
          <w:tcPr>
            <w:tcW w:w="9060" w:type="dxa"/>
            <w:gridSpan w:val="4"/>
          </w:tcPr>
          <w:p w14:paraId="043BEB33" w14:textId="77777777" w:rsidR="002A4B68" w:rsidRPr="002A4B68" w:rsidRDefault="002A4B68" w:rsidP="00696A1B">
            <w:pPr>
              <w:pBdr>
                <w:top w:val="none" w:sz="0" w:space="0" w:color="auto"/>
                <w:left w:val="none" w:sz="0" w:space="0" w:color="auto"/>
                <w:bottom w:val="none" w:sz="0" w:space="0" w:color="auto"/>
                <w:right w:val="none" w:sz="0" w:space="0" w:color="auto"/>
                <w:between w:val="none" w:sz="0" w:space="0" w:color="auto"/>
              </w:pBdr>
              <w:spacing w:before="40" w:after="40"/>
              <w:rPr>
                <w:b/>
                <w:sz w:val="22"/>
              </w:rPr>
            </w:pPr>
            <w:r w:rsidRPr="002A4B68">
              <w:rPr>
                <w:b/>
                <w:sz w:val="22"/>
              </w:rPr>
              <w:t>Skin and Subcutaneous Tissue Disorders</w:t>
            </w:r>
          </w:p>
        </w:tc>
      </w:tr>
      <w:tr w:rsidR="002A4B68" w:rsidRPr="00B7020F" w14:paraId="08013C40" w14:textId="77777777" w:rsidTr="00055A77">
        <w:tc>
          <w:tcPr>
            <w:tcW w:w="2695" w:type="dxa"/>
          </w:tcPr>
          <w:p w14:paraId="5CCEBEBB" w14:textId="170B32AD" w:rsidR="002A4B68" w:rsidRPr="00B7020F" w:rsidRDefault="002A4B68" w:rsidP="00696A1B">
            <w:pPr>
              <w:pBdr>
                <w:top w:val="none" w:sz="0" w:space="0" w:color="auto"/>
                <w:left w:val="none" w:sz="0" w:space="0" w:color="auto"/>
                <w:bottom w:val="none" w:sz="0" w:space="0" w:color="auto"/>
                <w:right w:val="none" w:sz="0" w:space="0" w:color="auto"/>
                <w:between w:val="none" w:sz="0" w:space="0" w:color="auto"/>
              </w:pBdr>
              <w:spacing w:before="40" w:after="40"/>
              <w:rPr>
                <w:sz w:val="22"/>
              </w:rPr>
            </w:pPr>
            <w:r>
              <w:rPr>
                <w:sz w:val="22"/>
              </w:rPr>
              <w:t>Rash</w:t>
            </w:r>
            <w:r w:rsidR="00472744" w:rsidRPr="00472744">
              <w:rPr>
                <w:sz w:val="22"/>
                <w:vertAlign w:val="superscript"/>
              </w:rPr>
              <w:t>2</w:t>
            </w:r>
          </w:p>
        </w:tc>
        <w:tc>
          <w:tcPr>
            <w:tcW w:w="2160" w:type="dxa"/>
          </w:tcPr>
          <w:p w14:paraId="0277EA7F" w14:textId="49D527C0" w:rsidR="002A4B68" w:rsidRPr="00B7020F" w:rsidRDefault="00FB6154" w:rsidP="007867E5">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sidRPr="00FB6154">
              <w:rPr>
                <w:sz w:val="22"/>
              </w:rPr>
              <w:t>20 (17)</w:t>
            </w:r>
          </w:p>
        </w:tc>
        <w:tc>
          <w:tcPr>
            <w:tcW w:w="1941" w:type="dxa"/>
          </w:tcPr>
          <w:p w14:paraId="4D6BC674" w14:textId="1749C8F5" w:rsidR="002A4B68" w:rsidRPr="00B7020F" w:rsidRDefault="00FB6154" w:rsidP="007867E5">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sidRPr="00FB6154">
              <w:rPr>
                <w:sz w:val="22"/>
              </w:rPr>
              <w:t>1 (</w:t>
            </w:r>
            <w:r w:rsidR="007867E5">
              <w:rPr>
                <w:sz w:val="22"/>
              </w:rPr>
              <w:t>2</w:t>
            </w:r>
            <w:r w:rsidRPr="00FB6154">
              <w:rPr>
                <w:sz w:val="22"/>
              </w:rPr>
              <w:t>)</w:t>
            </w:r>
          </w:p>
        </w:tc>
        <w:tc>
          <w:tcPr>
            <w:tcW w:w="2264" w:type="dxa"/>
          </w:tcPr>
          <w:p w14:paraId="3AA93273" w14:textId="77777777" w:rsidR="002A4B68" w:rsidRPr="00B7020F" w:rsidRDefault="002A4B68" w:rsidP="00696A1B">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Very common</w:t>
            </w:r>
          </w:p>
        </w:tc>
      </w:tr>
      <w:tr w:rsidR="00472744" w:rsidRPr="00B7020F" w14:paraId="7DEFF4F0" w14:textId="77777777" w:rsidTr="00055A77">
        <w:tc>
          <w:tcPr>
            <w:tcW w:w="2695" w:type="dxa"/>
          </w:tcPr>
          <w:p w14:paraId="61FD0266" w14:textId="42A9D932" w:rsidR="00472744" w:rsidRDefault="00472744" w:rsidP="00696A1B">
            <w:pPr>
              <w:pBdr>
                <w:top w:val="none" w:sz="0" w:space="0" w:color="auto"/>
                <w:left w:val="none" w:sz="0" w:space="0" w:color="auto"/>
                <w:bottom w:val="none" w:sz="0" w:space="0" w:color="auto"/>
                <w:right w:val="none" w:sz="0" w:space="0" w:color="auto"/>
                <w:between w:val="none" w:sz="0" w:space="0" w:color="auto"/>
              </w:pBdr>
              <w:spacing w:before="40" w:after="40"/>
              <w:rPr>
                <w:sz w:val="22"/>
              </w:rPr>
            </w:pPr>
            <w:r w:rsidRPr="00472744">
              <w:rPr>
                <w:sz w:val="22"/>
              </w:rPr>
              <w:t>Mouth and aphthous ulcers</w:t>
            </w:r>
          </w:p>
        </w:tc>
        <w:tc>
          <w:tcPr>
            <w:tcW w:w="2160" w:type="dxa"/>
          </w:tcPr>
          <w:p w14:paraId="4251EEF4" w14:textId="48E98736" w:rsidR="00472744" w:rsidRPr="00FB6154" w:rsidRDefault="00567DE3" w:rsidP="007867E5">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 xml:space="preserve">8 </w:t>
            </w:r>
            <w:r w:rsidR="00472744">
              <w:rPr>
                <w:sz w:val="22"/>
              </w:rPr>
              <w:t>(7)</w:t>
            </w:r>
          </w:p>
        </w:tc>
        <w:tc>
          <w:tcPr>
            <w:tcW w:w="1941" w:type="dxa"/>
          </w:tcPr>
          <w:p w14:paraId="5C48CFB2" w14:textId="0130704C" w:rsidR="00472744" w:rsidRPr="00FB6154" w:rsidRDefault="00472744" w:rsidP="00696A1B">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0 (0)</w:t>
            </w:r>
          </w:p>
        </w:tc>
        <w:tc>
          <w:tcPr>
            <w:tcW w:w="2264" w:type="dxa"/>
          </w:tcPr>
          <w:p w14:paraId="7054BD52" w14:textId="4D013C5E" w:rsidR="00472744" w:rsidRDefault="00472744" w:rsidP="00696A1B">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Common</w:t>
            </w:r>
          </w:p>
        </w:tc>
      </w:tr>
      <w:tr w:rsidR="00A94FCD" w:rsidRPr="00B7020F" w14:paraId="523F971E" w14:textId="77777777" w:rsidTr="002969AF">
        <w:tc>
          <w:tcPr>
            <w:tcW w:w="9060" w:type="dxa"/>
            <w:gridSpan w:val="4"/>
          </w:tcPr>
          <w:p w14:paraId="5C916E41" w14:textId="05E8E0F0" w:rsidR="00A94FCD" w:rsidRDefault="00A94FCD" w:rsidP="00A94FCD">
            <w:pPr>
              <w:pBdr>
                <w:top w:val="none" w:sz="0" w:space="0" w:color="auto"/>
                <w:left w:val="none" w:sz="0" w:space="0" w:color="auto"/>
                <w:bottom w:val="none" w:sz="0" w:space="0" w:color="auto"/>
                <w:right w:val="none" w:sz="0" w:space="0" w:color="auto"/>
                <w:between w:val="none" w:sz="0" w:space="0" w:color="auto"/>
              </w:pBdr>
              <w:spacing w:before="40" w:after="40"/>
              <w:rPr>
                <w:sz w:val="22"/>
              </w:rPr>
            </w:pPr>
            <w:r w:rsidRPr="00A94FCD">
              <w:rPr>
                <w:b/>
                <w:sz w:val="22"/>
              </w:rPr>
              <w:t>Musculoskeletal and connective tissue disorders</w:t>
            </w:r>
          </w:p>
        </w:tc>
      </w:tr>
      <w:tr w:rsidR="00472744" w:rsidRPr="00B7020F" w14:paraId="11AB5EBE" w14:textId="77777777" w:rsidTr="00055A77">
        <w:tc>
          <w:tcPr>
            <w:tcW w:w="2695" w:type="dxa"/>
          </w:tcPr>
          <w:p w14:paraId="5D161FED" w14:textId="31AAE30E" w:rsidR="00472744" w:rsidRPr="00472744" w:rsidRDefault="00472744" w:rsidP="00696A1B">
            <w:pPr>
              <w:pBdr>
                <w:top w:val="none" w:sz="0" w:space="0" w:color="auto"/>
                <w:left w:val="none" w:sz="0" w:space="0" w:color="auto"/>
                <w:bottom w:val="none" w:sz="0" w:space="0" w:color="auto"/>
                <w:right w:val="none" w:sz="0" w:space="0" w:color="auto"/>
                <w:between w:val="none" w:sz="0" w:space="0" w:color="auto"/>
              </w:pBdr>
              <w:spacing w:before="40" w:after="40"/>
              <w:rPr>
                <w:sz w:val="22"/>
              </w:rPr>
            </w:pPr>
            <w:r>
              <w:rPr>
                <w:sz w:val="22"/>
              </w:rPr>
              <w:t>Arthralgia</w:t>
            </w:r>
          </w:p>
        </w:tc>
        <w:tc>
          <w:tcPr>
            <w:tcW w:w="2160" w:type="dxa"/>
          </w:tcPr>
          <w:p w14:paraId="34D3B804" w14:textId="0939E175" w:rsidR="00472744" w:rsidRDefault="007867E5" w:rsidP="007867E5">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6</w:t>
            </w:r>
            <w:r w:rsidR="00567DE3">
              <w:rPr>
                <w:sz w:val="22"/>
              </w:rPr>
              <w:t xml:space="preserve"> </w:t>
            </w:r>
            <w:r w:rsidR="00472744">
              <w:rPr>
                <w:sz w:val="22"/>
              </w:rPr>
              <w:t>(5)</w:t>
            </w:r>
          </w:p>
        </w:tc>
        <w:tc>
          <w:tcPr>
            <w:tcW w:w="1941" w:type="dxa"/>
          </w:tcPr>
          <w:p w14:paraId="39474107" w14:textId="04DB4314" w:rsidR="00472744" w:rsidRDefault="007867E5" w:rsidP="00696A1B">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0</w:t>
            </w:r>
            <w:r w:rsidR="00472744">
              <w:rPr>
                <w:sz w:val="22"/>
              </w:rPr>
              <w:t xml:space="preserve"> (0)</w:t>
            </w:r>
          </w:p>
        </w:tc>
        <w:tc>
          <w:tcPr>
            <w:tcW w:w="2264" w:type="dxa"/>
          </w:tcPr>
          <w:p w14:paraId="7D967FA2" w14:textId="658FF5B4" w:rsidR="00472744" w:rsidRDefault="00472744" w:rsidP="00696A1B">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Common</w:t>
            </w:r>
          </w:p>
        </w:tc>
      </w:tr>
      <w:tr w:rsidR="00A94FCD" w:rsidRPr="00B7020F" w14:paraId="7262392E" w14:textId="77777777" w:rsidTr="002969AF">
        <w:tc>
          <w:tcPr>
            <w:tcW w:w="9060" w:type="dxa"/>
            <w:gridSpan w:val="4"/>
          </w:tcPr>
          <w:p w14:paraId="7948A155" w14:textId="13A379FD" w:rsidR="00A94FCD" w:rsidRDefault="00A94FCD" w:rsidP="00A94FCD">
            <w:pPr>
              <w:pBdr>
                <w:top w:val="none" w:sz="0" w:space="0" w:color="auto"/>
                <w:left w:val="none" w:sz="0" w:space="0" w:color="auto"/>
                <w:bottom w:val="none" w:sz="0" w:space="0" w:color="auto"/>
                <w:right w:val="none" w:sz="0" w:space="0" w:color="auto"/>
                <w:between w:val="none" w:sz="0" w:space="0" w:color="auto"/>
              </w:pBdr>
              <w:spacing w:before="40" w:after="40"/>
              <w:rPr>
                <w:sz w:val="22"/>
              </w:rPr>
            </w:pPr>
            <w:r w:rsidRPr="00A94FCD">
              <w:rPr>
                <w:b/>
                <w:sz w:val="22"/>
              </w:rPr>
              <w:t>Infections and infestations</w:t>
            </w:r>
          </w:p>
        </w:tc>
      </w:tr>
      <w:tr w:rsidR="00727EAF" w:rsidRPr="00B7020F" w14:paraId="01F877E3" w14:textId="77777777" w:rsidTr="00055A77">
        <w:tc>
          <w:tcPr>
            <w:tcW w:w="2695" w:type="dxa"/>
          </w:tcPr>
          <w:p w14:paraId="37988EF3" w14:textId="4A8740A8" w:rsidR="00727EAF" w:rsidRPr="00472744" w:rsidRDefault="00727EAF" w:rsidP="00696A1B">
            <w:pPr>
              <w:pBdr>
                <w:top w:val="none" w:sz="0" w:space="0" w:color="auto"/>
                <w:left w:val="none" w:sz="0" w:space="0" w:color="auto"/>
                <w:bottom w:val="none" w:sz="0" w:space="0" w:color="auto"/>
                <w:right w:val="none" w:sz="0" w:space="0" w:color="auto"/>
                <w:between w:val="none" w:sz="0" w:space="0" w:color="auto"/>
              </w:pBdr>
              <w:spacing w:before="40" w:after="40"/>
              <w:rPr>
                <w:sz w:val="22"/>
              </w:rPr>
            </w:pPr>
            <w:r>
              <w:rPr>
                <w:sz w:val="22"/>
              </w:rPr>
              <w:t xml:space="preserve">Pneumonia </w:t>
            </w:r>
          </w:p>
        </w:tc>
        <w:tc>
          <w:tcPr>
            <w:tcW w:w="2160" w:type="dxa"/>
          </w:tcPr>
          <w:p w14:paraId="72B0D1DF" w14:textId="122DE978" w:rsidR="00727EAF" w:rsidRDefault="005D6C3C" w:rsidP="007867E5">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10 (8)</w:t>
            </w:r>
          </w:p>
        </w:tc>
        <w:tc>
          <w:tcPr>
            <w:tcW w:w="1941" w:type="dxa"/>
          </w:tcPr>
          <w:p w14:paraId="047050CD" w14:textId="179FE8E0" w:rsidR="00727EAF" w:rsidRDefault="005D6C3C" w:rsidP="007867E5">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4</w:t>
            </w:r>
            <w:r w:rsidR="00FA39A6">
              <w:rPr>
                <w:sz w:val="22"/>
              </w:rPr>
              <w:t xml:space="preserve"> </w:t>
            </w:r>
            <w:r>
              <w:rPr>
                <w:sz w:val="22"/>
              </w:rPr>
              <w:t>(7)</w:t>
            </w:r>
          </w:p>
        </w:tc>
        <w:tc>
          <w:tcPr>
            <w:tcW w:w="2264" w:type="dxa"/>
          </w:tcPr>
          <w:p w14:paraId="63D87474" w14:textId="0FBBBC81" w:rsidR="00727EAF" w:rsidRDefault="005D6C3C" w:rsidP="00696A1B">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Common</w:t>
            </w:r>
          </w:p>
        </w:tc>
      </w:tr>
      <w:tr w:rsidR="00472744" w:rsidRPr="00B7020F" w14:paraId="1513953D" w14:textId="77777777" w:rsidTr="00055A77">
        <w:tc>
          <w:tcPr>
            <w:tcW w:w="2695" w:type="dxa"/>
          </w:tcPr>
          <w:p w14:paraId="39C94185" w14:textId="5AE6C67E" w:rsidR="00472744" w:rsidRPr="00472744" w:rsidRDefault="00472744" w:rsidP="00696A1B">
            <w:pPr>
              <w:pBdr>
                <w:top w:val="none" w:sz="0" w:space="0" w:color="auto"/>
                <w:left w:val="none" w:sz="0" w:space="0" w:color="auto"/>
                <w:bottom w:val="none" w:sz="0" w:space="0" w:color="auto"/>
                <w:right w:val="none" w:sz="0" w:space="0" w:color="auto"/>
                <w:between w:val="none" w:sz="0" w:space="0" w:color="auto"/>
              </w:pBdr>
              <w:spacing w:before="40" w:after="40"/>
              <w:rPr>
                <w:sz w:val="22"/>
              </w:rPr>
            </w:pPr>
            <w:r w:rsidRPr="00472744">
              <w:rPr>
                <w:sz w:val="22"/>
              </w:rPr>
              <w:t>Urinary tract infection</w:t>
            </w:r>
            <w:r w:rsidRPr="00472744">
              <w:rPr>
                <w:sz w:val="22"/>
                <w:vertAlign w:val="superscript"/>
              </w:rPr>
              <w:t>3</w:t>
            </w:r>
          </w:p>
        </w:tc>
        <w:tc>
          <w:tcPr>
            <w:tcW w:w="2160" w:type="dxa"/>
          </w:tcPr>
          <w:p w14:paraId="78E35F3C" w14:textId="48677C95" w:rsidR="00472744" w:rsidRDefault="00567DE3" w:rsidP="007867E5">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 xml:space="preserve">6 </w:t>
            </w:r>
            <w:r w:rsidR="00472744">
              <w:rPr>
                <w:sz w:val="22"/>
              </w:rPr>
              <w:t>(5)</w:t>
            </w:r>
          </w:p>
        </w:tc>
        <w:tc>
          <w:tcPr>
            <w:tcW w:w="1941" w:type="dxa"/>
          </w:tcPr>
          <w:p w14:paraId="45C96B6B" w14:textId="303E9C81" w:rsidR="00472744" w:rsidRDefault="007867E5" w:rsidP="007867E5">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0</w:t>
            </w:r>
            <w:r w:rsidR="00472744">
              <w:rPr>
                <w:sz w:val="22"/>
              </w:rPr>
              <w:t xml:space="preserve"> (</w:t>
            </w:r>
            <w:r>
              <w:rPr>
                <w:sz w:val="22"/>
              </w:rPr>
              <w:t>0</w:t>
            </w:r>
            <w:r w:rsidR="00472744">
              <w:rPr>
                <w:sz w:val="22"/>
              </w:rPr>
              <w:t>)</w:t>
            </w:r>
          </w:p>
        </w:tc>
        <w:tc>
          <w:tcPr>
            <w:tcW w:w="2264" w:type="dxa"/>
          </w:tcPr>
          <w:p w14:paraId="5B2AD3FE" w14:textId="7248A24A" w:rsidR="00472744" w:rsidRDefault="00472744" w:rsidP="00696A1B">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Common</w:t>
            </w:r>
          </w:p>
        </w:tc>
      </w:tr>
      <w:tr w:rsidR="00AB2FC4" w:rsidRPr="00B7020F" w14:paraId="69CC3AAF" w14:textId="77777777" w:rsidTr="00C23CC5">
        <w:tc>
          <w:tcPr>
            <w:tcW w:w="9060" w:type="dxa"/>
            <w:gridSpan w:val="4"/>
          </w:tcPr>
          <w:p w14:paraId="4FA78CAA" w14:textId="3E545BE3" w:rsidR="00AB2FC4" w:rsidRPr="00C87BED" w:rsidRDefault="00AB2FC4" w:rsidP="00C87BED">
            <w:pPr>
              <w:pBdr>
                <w:top w:val="none" w:sz="0" w:space="0" w:color="auto"/>
                <w:left w:val="none" w:sz="0" w:space="0" w:color="auto"/>
                <w:bottom w:val="none" w:sz="0" w:space="0" w:color="auto"/>
                <w:right w:val="none" w:sz="0" w:space="0" w:color="auto"/>
                <w:between w:val="none" w:sz="0" w:space="0" w:color="auto"/>
              </w:pBdr>
              <w:spacing w:before="40" w:after="40"/>
              <w:rPr>
                <w:b/>
                <w:sz w:val="22"/>
              </w:rPr>
            </w:pPr>
            <w:r w:rsidRPr="00C87BED">
              <w:rPr>
                <w:b/>
                <w:sz w:val="22"/>
              </w:rPr>
              <w:t>Nervous system disorders</w:t>
            </w:r>
          </w:p>
        </w:tc>
      </w:tr>
      <w:tr w:rsidR="00AB2FC4" w:rsidRPr="00B7020F" w14:paraId="230DEB84" w14:textId="77777777" w:rsidTr="00055A77">
        <w:tc>
          <w:tcPr>
            <w:tcW w:w="2695" w:type="dxa"/>
          </w:tcPr>
          <w:p w14:paraId="3883BF0A" w14:textId="51691A70" w:rsidR="00AB2FC4" w:rsidRPr="00472744" w:rsidRDefault="00AB2FC4" w:rsidP="00696A1B">
            <w:pPr>
              <w:pBdr>
                <w:top w:val="none" w:sz="0" w:space="0" w:color="auto"/>
                <w:left w:val="none" w:sz="0" w:space="0" w:color="auto"/>
                <w:bottom w:val="none" w:sz="0" w:space="0" w:color="auto"/>
                <w:right w:val="none" w:sz="0" w:space="0" w:color="auto"/>
                <w:between w:val="none" w:sz="0" w:space="0" w:color="auto"/>
              </w:pBdr>
              <w:spacing w:before="40" w:after="40"/>
              <w:rPr>
                <w:sz w:val="22"/>
              </w:rPr>
            </w:pPr>
            <w:r>
              <w:rPr>
                <w:sz w:val="22"/>
              </w:rPr>
              <w:t xml:space="preserve">Headache </w:t>
            </w:r>
          </w:p>
        </w:tc>
        <w:tc>
          <w:tcPr>
            <w:tcW w:w="2160" w:type="dxa"/>
          </w:tcPr>
          <w:p w14:paraId="3144C5EA" w14:textId="53CA2FC5" w:rsidR="00AB2FC4" w:rsidRDefault="00AB2FC4" w:rsidP="007867E5">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24</w:t>
            </w:r>
            <w:r w:rsidR="00FA39A6">
              <w:rPr>
                <w:sz w:val="22"/>
              </w:rPr>
              <w:t xml:space="preserve"> </w:t>
            </w:r>
            <w:r>
              <w:rPr>
                <w:sz w:val="22"/>
              </w:rPr>
              <w:t>(20)</w:t>
            </w:r>
          </w:p>
        </w:tc>
        <w:tc>
          <w:tcPr>
            <w:tcW w:w="1941" w:type="dxa"/>
          </w:tcPr>
          <w:p w14:paraId="36696F56" w14:textId="4F610033" w:rsidR="00AB2FC4" w:rsidRDefault="00AB2FC4" w:rsidP="007867E5">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10</w:t>
            </w:r>
            <w:r w:rsidR="00FA39A6">
              <w:rPr>
                <w:sz w:val="22"/>
              </w:rPr>
              <w:t xml:space="preserve"> </w:t>
            </w:r>
            <w:r>
              <w:rPr>
                <w:sz w:val="22"/>
              </w:rPr>
              <w:t>(17)</w:t>
            </w:r>
          </w:p>
        </w:tc>
        <w:tc>
          <w:tcPr>
            <w:tcW w:w="2264" w:type="dxa"/>
          </w:tcPr>
          <w:p w14:paraId="05E0FB1B" w14:textId="359055C2" w:rsidR="00AB2FC4" w:rsidRDefault="00AB2FC4" w:rsidP="00696A1B">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Pr>
                <w:sz w:val="22"/>
              </w:rPr>
              <w:t xml:space="preserve">Very common </w:t>
            </w:r>
          </w:p>
        </w:tc>
      </w:tr>
    </w:tbl>
    <w:p w14:paraId="5DE57ACF" w14:textId="327269BE" w:rsidR="00472744" w:rsidRPr="00472744" w:rsidRDefault="00472744" w:rsidP="00472744">
      <w:pPr>
        <w:spacing w:before="40"/>
        <w:ind w:left="142" w:hanging="142"/>
        <w:rPr>
          <w:sz w:val="22"/>
        </w:rPr>
      </w:pPr>
      <w:r w:rsidRPr="00472744">
        <w:rPr>
          <w:sz w:val="22"/>
          <w:vertAlign w:val="superscript"/>
        </w:rPr>
        <w:t>1</w:t>
      </w:r>
      <w:r w:rsidRPr="00472744">
        <w:rPr>
          <w:sz w:val="22"/>
        </w:rPr>
        <w:tab/>
        <w:t>Includes pyrexia and hyperpyrexia.</w:t>
      </w:r>
    </w:p>
    <w:p w14:paraId="47A54E43" w14:textId="6BC613A3" w:rsidR="00472744" w:rsidRPr="00472744" w:rsidRDefault="00472744" w:rsidP="00472744">
      <w:pPr>
        <w:spacing w:before="40"/>
        <w:ind w:left="142" w:hanging="142"/>
        <w:rPr>
          <w:sz w:val="22"/>
        </w:rPr>
      </w:pPr>
      <w:r w:rsidRPr="00472744">
        <w:rPr>
          <w:sz w:val="22"/>
          <w:vertAlign w:val="superscript"/>
        </w:rPr>
        <w:t>2</w:t>
      </w:r>
      <w:r w:rsidRPr="00472744">
        <w:rPr>
          <w:sz w:val="22"/>
        </w:rPr>
        <w:tab/>
        <w:t xml:space="preserve">Includes </w:t>
      </w:r>
      <w:r w:rsidR="007867E5" w:rsidRPr="007867E5">
        <w:rPr>
          <w:sz w:val="22"/>
        </w:rPr>
        <w:t xml:space="preserve">rash, erythema, rash maculo-papular, rash erythematous, rash </w:t>
      </w:r>
      <w:proofErr w:type="spellStart"/>
      <w:r w:rsidR="007867E5" w:rsidRPr="007867E5">
        <w:rPr>
          <w:sz w:val="22"/>
        </w:rPr>
        <w:t>papular</w:t>
      </w:r>
      <w:proofErr w:type="spellEnd"/>
      <w:r w:rsidR="007867E5" w:rsidRPr="007867E5">
        <w:rPr>
          <w:sz w:val="22"/>
        </w:rPr>
        <w:t>, dermatitis allergic, and folliculitis.</w:t>
      </w:r>
    </w:p>
    <w:p w14:paraId="32BE75BA" w14:textId="77F9A258" w:rsidR="00567DE3" w:rsidRDefault="00472744" w:rsidP="00472744">
      <w:pPr>
        <w:spacing w:before="40"/>
        <w:ind w:left="142" w:hanging="142"/>
        <w:rPr>
          <w:sz w:val="22"/>
        </w:rPr>
      </w:pPr>
      <w:r w:rsidRPr="00472744">
        <w:rPr>
          <w:sz w:val="22"/>
          <w:vertAlign w:val="superscript"/>
        </w:rPr>
        <w:t>3</w:t>
      </w:r>
      <w:r w:rsidRPr="00472744">
        <w:rPr>
          <w:sz w:val="22"/>
        </w:rPr>
        <w:tab/>
        <w:t>Includes urinary tract infection and cystitis.</w:t>
      </w:r>
    </w:p>
    <w:p w14:paraId="10DAD90D" w14:textId="20502C75" w:rsidR="00D84B34" w:rsidRDefault="00D84B34" w:rsidP="00D84B34">
      <w:pPr>
        <w:pStyle w:val="Heading4"/>
      </w:pPr>
      <w:r w:rsidRPr="00D84B34">
        <w:t xml:space="preserve">Safety profile in </w:t>
      </w:r>
      <w:r>
        <w:t>p</w:t>
      </w:r>
      <w:r w:rsidRPr="00D84B34">
        <w:t>atient</w:t>
      </w:r>
      <w:r>
        <w:t xml:space="preserve">s </w:t>
      </w:r>
      <w:r w:rsidRPr="00D84B34">
        <w:t xml:space="preserve">treated </w:t>
      </w:r>
      <w:r>
        <w:t>p</w:t>
      </w:r>
      <w:r w:rsidRPr="00D84B34">
        <w:t>reviously for SMA</w:t>
      </w:r>
    </w:p>
    <w:p w14:paraId="3EC63848" w14:textId="5A3CDFEF" w:rsidR="00D84B34" w:rsidRDefault="00D84B34" w:rsidP="00D84B34"/>
    <w:p w14:paraId="6C67BF92" w14:textId="4BF9A2F1" w:rsidR="00D84B34" w:rsidRPr="00D84B34" w:rsidRDefault="00E51C03" w:rsidP="00D84B34">
      <w:r w:rsidRPr="00D84B34">
        <w:t xml:space="preserve">In the JEWELFISH study, 76 patients previously treated with </w:t>
      </w:r>
      <w:proofErr w:type="spellStart"/>
      <w:r w:rsidRPr="00D84B34">
        <w:t>nusinersen</w:t>
      </w:r>
      <w:proofErr w:type="spellEnd"/>
      <w:r w:rsidRPr="00D84B34">
        <w:t xml:space="preserve"> and 14 patients previously treated with </w:t>
      </w:r>
      <w:proofErr w:type="spellStart"/>
      <w:r w:rsidRPr="00D84B34">
        <w:t>onasemnogene</w:t>
      </w:r>
      <w:proofErr w:type="spellEnd"/>
      <w:r w:rsidRPr="00D84B34">
        <w:t xml:space="preserve"> </w:t>
      </w:r>
      <w:proofErr w:type="spellStart"/>
      <w:r w:rsidRPr="00D84B34">
        <w:t>abeparvovec</w:t>
      </w:r>
      <w:proofErr w:type="spellEnd"/>
      <w:r w:rsidRPr="00D84B34">
        <w:t xml:space="preserve"> were enrolled</w:t>
      </w:r>
      <w:r>
        <w:t xml:space="preserve">. </w:t>
      </w:r>
      <w:r w:rsidR="00D84B34" w:rsidRPr="00D84B34">
        <w:t xml:space="preserve">The safety profile of </w:t>
      </w:r>
      <w:proofErr w:type="spellStart"/>
      <w:r w:rsidR="00D84B34" w:rsidRPr="00D84B34">
        <w:t>Evrysdi</w:t>
      </w:r>
      <w:proofErr w:type="spellEnd"/>
      <w:r w:rsidR="00D84B34" w:rsidRPr="00D84B34">
        <w:t xml:space="preserve"> in</w:t>
      </w:r>
      <w:r w:rsidR="00D84B34">
        <w:t xml:space="preserve"> the</w:t>
      </w:r>
      <w:r w:rsidR="00D84B34" w:rsidRPr="00D84B34">
        <w:t xml:space="preserve"> treatment </w:t>
      </w:r>
      <w:r w:rsidR="00D84B34">
        <w:t xml:space="preserve">of </w:t>
      </w:r>
      <w:r w:rsidR="00D84B34" w:rsidRPr="00D84B34">
        <w:t>non-</w:t>
      </w:r>
      <w:r w:rsidR="00D84B34">
        <w:t xml:space="preserve">treatment </w:t>
      </w:r>
      <w:r w:rsidR="00D84B34" w:rsidRPr="00D84B34">
        <w:t>naive patients</w:t>
      </w:r>
      <w:r>
        <w:t xml:space="preserve"> </w:t>
      </w:r>
      <w:r w:rsidR="00D84B34" w:rsidRPr="00D84B34">
        <w:t>in the JEWELFISH study is consistent with t</w:t>
      </w:r>
      <w:r w:rsidR="00D84B34">
        <w:t xml:space="preserve">he safety profile for treatment </w:t>
      </w:r>
      <w:r w:rsidR="00D84B34" w:rsidRPr="00D84B34">
        <w:t xml:space="preserve">naive SMA patients treated with </w:t>
      </w:r>
      <w:proofErr w:type="spellStart"/>
      <w:r w:rsidR="00D84B34" w:rsidRPr="00D84B34">
        <w:t>Evrysdi</w:t>
      </w:r>
      <w:proofErr w:type="spellEnd"/>
      <w:r w:rsidR="00D84B34" w:rsidRPr="00D84B34">
        <w:t xml:space="preserve"> in the FIREFISH and SUNFISH studies. </w:t>
      </w:r>
    </w:p>
    <w:p w14:paraId="01E172BC" w14:textId="3C5DCDDC" w:rsidR="000D4FD7" w:rsidRPr="00FF64E1" w:rsidRDefault="000D4FD7" w:rsidP="00E803F3">
      <w:pPr>
        <w:pStyle w:val="Heading3"/>
        <w:keepNext/>
      </w:pPr>
      <w:r>
        <w:lastRenderedPageBreak/>
        <w:t>Post-marketing experience</w:t>
      </w:r>
    </w:p>
    <w:p w14:paraId="5FADCA5F" w14:textId="77777777" w:rsidR="00B55BDA" w:rsidRDefault="00B55BDA" w:rsidP="00B55BDA"/>
    <w:p w14:paraId="0BB205DE" w14:textId="6141E846" w:rsidR="00B55BDA" w:rsidRDefault="00D84B34" w:rsidP="00B55BDA">
      <w:r>
        <w:t>Not applicable.</w:t>
      </w:r>
    </w:p>
    <w:p w14:paraId="5F62A546" w14:textId="77777777" w:rsidR="006F052E" w:rsidRPr="006F052E" w:rsidRDefault="006F052E" w:rsidP="00E153FF">
      <w:pPr>
        <w:pStyle w:val="Heading4"/>
      </w:pPr>
      <w:r w:rsidRPr="006F052E">
        <w:t>Reporting of suspected adverse reactions</w:t>
      </w:r>
    </w:p>
    <w:p w14:paraId="57B472FF" w14:textId="77777777" w:rsidR="002A0CE0" w:rsidRDefault="002A0CE0" w:rsidP="002A0CE0"/>
    <w:p w14:paraId="666B60C5" w14:textId="04A6C52F" w:rsidR="00E21CCD" w:rsidRPr="00E21CCD" w:rsidRDefault="00E21CCD" w:rsidP="002A0CE0">
      <w:pPr>
        <w:rPr>
          <w:u w:val="single"/>
        </w:rPr>
      </w:pPr>
      <w:r w:rsidRPr="00E21CCD">
        <w:t>Reporting suspected adverse reactions after registration of the medicinal product is important. It allows continued monitoring of the benefit-risk balance of the medicinal product. Healthcare professionals are asked to report any suspected adverse reactions at</w:t>
      </w:r>
      <w:r w:rsidR="00BE1773">
        <w:t xml:space="preserve"> </w:t>
      </w:r>
      <w:hyperlink r:id="rId8" w:history="1">
        <w:r w:rsidR="00BE1773" w:rsidRPr="00693DF7">
          <w:rPr>
            <w:rStyle w:val="Hyperlink"/>
          </w:rPr>
          <w:t>www.tga.gov.au/reporting-problems</w:t>
        </w:r>
      </w:hyperlink>
      <w:r w:rsidR="00BE1773">
        <w:t>.</w:t>
      </w:r>
    </w:p>
    <w:p w14:paraId="406C4673" w14:textId="77230F78" w:rsidR="00D52399" w:rsidRDefault="00615052" w:rsidP="00F60B0A">
      <w:pPr>
        <w:pStyle w:val="Heading2"/>
        <w:keepNext/>
        <w:ind w:hanging="786"/>
      </w:pPr>
      <w:r>
        <w:t>4.9</w:t>
      </w:r>
      <w:r>
        <w:tab/>
      </w:r>
      <w:r w:rsidR="002A0CE0">
        <w:t>OVERDOSE</w:t>
      </w:r>
      <w:r>
        <w:t xml:space="preserve"> </w:t>
      </w:r>
    </w:p>
    <w:p w14:paraId="2C238466" w14:textId="77777777" w:rsidR="00D84B34" w:rsidRDefault="00D84B34" w:rsidP="000D4FD7"/>
    <w:p w14:paraId="57902991" w14:textId="27E6A69C" w:rsidR="002A0CE0" w:rsidRDefault="00D84B34" w:rsidP="002A0CE0">
      <w:r w:rsidRPr="00D84B34">
        <w:t>There</w:t>
      </w:r>
      <w:r w:rsidR="006474BA">
        <w:t xml:space="preserve"> is no experience with overdos</w:t>
      </w:r>
      <w:r w:rsidRPr="00D84B34">
        <w:t xml:space="preserve">e of </w:t>
      </w:r>
      <w:proofErr w:type="spellStart"/>
      <w:r w:rsidRPr="00D84B34">
        <w:t>Evrysdi</w:t>
      </w:r>
      <w:proofErr w:type="spellEnd"/>
      <w:r w:rsidRPr="00D84B34">
        <w:t xml:space="preserve"> in clinical trials. There is no</w:t>
      </w:r>
      <w:r w:rsidR="006474BA">
        <w:t xml:space="preserve"> known antidote for overdose of </w:t>
      </w:r>
      <w:proofErr w:type="spellStart"/>
      <w:r w:rsidR="006474BA">
        <w:t>Evrysdi</w:t>
      </w:r>
      <w:proofErr w:type="spellEnd"/>
      <w:r w:rsidR="006474BA">
        <w:t>. In case of overdos</w:t>
      </w:r>
      <w:r w:rsidRPr="00D84B34">
        <w:t>e, the patient should be closely supervised and supportive care instituted.</w:t>
      </w:r>
    </w:p>
    <w:p w14:paraId="56926897" w14:textId="77777777" w:rsidR="006474BA" w:rsidRDefault="006474BA" w:rsidP="002A0CE0"/>
    <w:p w14:paraId="6610C0B0" w14:textId="144F1B45" w:rsidR="002A0CE0" w:rsidRDefault="002A0CE0">
      <w:r w:rsidRPr="0028771A">
        <w:t>For information on the management of overdose, contact the Poison Information Centre on 13</w:t>
      </w:r>
      <w:r>
        <w:t> </w:t>
      </w:r>
      <w:r w:rsidRPr="0028771A">
        <w:t>11</w:t>
      </w:r>
      <w:r>
        <w:t> 26 (Australia).</w:t>
      </w:r>
    </w:p>
    <w:p w14:paraId="165F997F" w14:textId="77777777" w:rsidR="00D52399" w:rsidRDefault="00615052" w:rsidP="00D15197">
      <w:pPr>
        <w:pStyle w:val="Heading1"/>
        <w:numPr>
          <w:ilvl w:val="0"/>
          <w:numId w:val="2"/>
        </w:numPr>
      </w:pPr>
      <w:r>
        <w:t>PHARMACOLOGICAL PROPERTIES</w:t>
      </w:r>
    </w:p>
    <w:p w14:paraId="79967001" w14:textId="15D20917" w:rsidR="00D52399" w:rsidRDefault="004303A3" w:rsidP="00D15197">
      <w:pPr>
        <w:pStyle w:val="Heading2"/>
        <w:keepNext/>
        <w:numPr>
          <w:ilvl w:val="0"/>
          <w:numId w:val="1"/>
        </w:numPr>
        <w:ind w:left="709" w:hanging="709"/>
      </w:pPr>
      <w:r>
        <w:t>PHARMACODYNAMIC PROPERTIES</w:t>
      </w:r>
    </w:p>
    <w:p w14:paraId="4CFF431D" w14:textId="07EA918F" w:rsidR="00D52399" w:rsidRDefault="00615052" w:rsidP="00D15197">
      <w:pPr>
        <w:pStyle w:val="Heading3"/>
        <w:keepNext/>
      </w:pPr>
      <w:r>
        <w:t xml:space="preserve">Mechanism of </w:t>
      </w:r>
      <w:r w:rsidR="00964DFF">
        <w:t>a</w:t>
      </w:r>
      <w:r>
        <w:t>ction</w:t>
      </w:r>
    </w:p>
    <w:p w14:paraId="77BE8793" w14:textId="491F210E" w:rsidR="00D52399" w:rsidRDefault="00D52399" w:rsidP="006627AF"/>
    <w:p w14:paraId="2D1F4BD5" w14:textId="2F45969D" w:rsidR="006627AF" w:rsidRDefault="006627AF" w:rsidP="006627AF">
      <w:proofErr w:type="spellStart"/>
      <w:r>
        <w:t>Evrysdi</w:t>
      </w:r>
      <w:proofErr w:type="spellEnd"/>
      <w:r>
        <w:t xml:space="preserve"> is a survival of motor neuron 2 (SMN2) pre-mRNA splicing modifier designed to treat SMA caused by mutations in chromosome 5q that lead to SMN protein deficiency.  Functional SMN protein deficiency is the pathophysiological mechanism of all SMA types. </w:t>
      </w:r>
      <w:proofErr w:type="spellStart"/>
      <w:r>
        <w:t>Evrysdi</w:t>
      </w:r>
      <w:proofErr w:type="spellEnd"/>
      <w:r>
        <w:t xml:space="preserve"> corrects the splicing of SMN2 to shift the balance from exon 7 exclusion to exon 7 inclusion into the mRNA transcript leading to an increased production in functional and stable SMN protein. Thus, </w:t>
      </w:r>
      <w:proofErr w:type="spellStart"/>
      <w:r>
        <w:t>Evrysdi</w:t>
      </w:r>
      <w:proofErr w:type="spellEnd"/>
      <w:r>
        <w:t xml:space="preserve"> treats SMA by increasing and sustaining functional SMN protein levels.</w:t>
      </w:r>
    </w:p>
    <w:p w14:paraId="07EF7307" w14:textId="09386E0A" w:rsidR="006627AF" w:rsidRDefault="006627AF" w:rsidP="006627AF"/>
    <w:p w14:paraId="54E21A6C" w14:textId="4505600D" w:rsidR="00A3552F" w:rsidRDefault="00A3552F" w:rsidP="006627AF">
      <w:r w:rsidRPr="00A3552F">
        <w:t xml:space="preserve">In vitro and in vivo data indicate that </w:t>
      </w:r>
      <w:proofErr w:type="spellStart"/>
      <w:r w:rsidRPr="00A3552F">
        <w:t>risdiplam</w:t>
      </w:r>
      <w:proofErr w:type="spellEnd"/>
      <w:r w:rsidRPr="00A3552F">
        <w:t xml:space="preserve"> may cause alternative splicing of additional genes, including FOXM1 and MADD. FOXM1 and MADD are thought to be involved in cell cycle regulation and apoptosis, respectively, and have been identified as possible contributors to adverse effects seen in animals.</w:t>
      </w:r>
    </w:p>
    <w:p w14:paraId="123CEF85" w14:textId="77777777" w:rsidR="00A3552F" w:rsidRDefault="00A3552F" w:rsidP="006627AF"/>
    <w:p w14:paraId="24AD0066" w14:textId="39BB1496" w:rsidR="006627AF" w:rsidRDefault="006627AF" w:rsidP="006627AF">
      <w:proofErr w:type="spellStart"/>
      <w:r>
        <w:t>Risdiplam</w:t>
      </w:r>
      <w:proofErr w:type="spellEnd"/>
      <w:r>
        <w:t xml:space="preserve"> distributes evenly to all parts of the body, including the central nervous system (CNS) by crossing the blood brain barrier, and thereby leading to SMN protein increase in the CNS and throughout the body. Concentrations of </w:t>
      </w:r>
      <w:proofErr w:type="spellStart"/>
      <w:r>
        <w:t>risdiplam</w:t>
      </w:r>
      <w:proofErr w:type="spellEnd"/>
      <w:r>
        <w:t xml:space="preserve"> in plasma and SMN protein in blood reflect its distribution and pharmacodynamic effects in tissues such as brain and muscle.</w:t>
      </w:r>
    </w:p>
    <w:p w14:paraId="59119722" w14:textId="77777777" w:rsidR="006627AF" w:rsidRDefault="006627AF" w:rsidP="006627AF"/>
    <w:p w14:paraId="03B6A511" w14:textId="14791B9E" w:rsidR="00C0048E" w:rsidRDefault="006627AF" w:rsidP="006627AF">
      <w:r>
        <w:t xml:space="preserve">In all clinical trials, </w:t>
      </w:r>
      <w:proofErr w:type="spellStart"/>
      <w:r>
        <w:t>Evrysdi</w:t>
      </w:r>
      <w:proofErr w:type="spellEnd"/>
      <w:r>
        <w:t xml:space="preserve"> led to a consistent and durable increase in SMN protein with a greater than 2-fold median change from baseline within 4 weeks of treatment initiation as measured in blood. This increase in SMN protein was sustained throughout the treatment period of up to 2 years for infantile-onset SMA and later-onset SMA patients (see section 5.1 Clinical trials).</w:t>
      </w:r>
    </w:p>
    <w:p w14:paraId="73372559" w14:textId="77777777" w:rsidR="00D52399" w:rsidRPr="002A6A3C" w:rsidRDefault="00615052" w:rsidP="001D0A17">
      <w:pPr>
        <w:pStyle w:val="Heading3"/>
        <w:keepNext/>
      </w:pPr>
      <w:r w:rsidRPr="002A6A3C">
        <w:lastRenderedPageBreak/>
        <w:t xml:space="preserve">Clinical </w:t>
      </w:r>
      <w:r w:rsidR="00594C19" w:rsidRPr="002A6A3C">
        <w:t>trials</w:t>
      </w:r>
    </w:p>
    <w:p w14:paraId="40B04711" w14:textId="77777777" w:rsidR="00437DBA" w:rsidRDefault="00437DBA" w:rsidP="00437DBA"/>
    <w:p w14:paraId="32E42A1B" w14:textId="33AA9979" w:rsidR="008C3A9E" w:rsidRDefault="006627AF" w:rsidP="00437DBA">
      <w:r w:rsidRPr="006627AF">
        <w:t xml:space="preserve">The efficacy of </w:t>
      </w:r>
      <w:proofErr w:type="spellStart"/>
      <w:r w:rsidRPr="006627AF">
        <w:t>Evrysdi</w:t>
      </w:r>
      <w:proofErr w:type="spellEnd"/>
      <w:r w:rsidRPr="006627AF">
        <w:t xml:space="preserve"> for the treatment of SMA patients with infantile-onset and later-onset SMA was evaluated in 2 pivotal clinical studies, FIREFISH and SUNFISH. The overall findings of these studies support the </w:t>
      </w:r>
      <w:r w:rsidR="00E5386A">
        <w:t>efficacy</w:t>
      </w:r>
      <w:r w:rsidR="00E5386A" w:rsidRPr="006627AF">
        <w:t xml:space="preserve"> </w:t>
      </w:r>
      <w:r w:rsidRPr="006627AF">
        <w:t xml:space="preserve">of </w:t>
      </w:r>
      <w:proofErr w:type="spellStart"/>
      <w:r w:rsidRPr="006627AF">
        <w:t>Evrysdi</w:t>
      </w:r>
      <w:proofErr w:type="spellEnd"/>
      <w:r w:rsidRPr="006627AF">
        <w:t xml:space="preserve"> for SMA patients.</w:t>
      </w:r>
      <w:r w:rsidR="009248C1" w:rsidRPr="009248C1">
        <w:t xml:space="preserve"> Patients with a clinical diagnosis of Type 0</w:t>
      </w:r>
      <w:r w:rsidR="00E440AA">
        <w:t xml:space="preserve"> and Type 4</w:t>
      </w:r>
      <w:r w:rsidR="009248C1" w:rsidRPr="009248C1">
        <w:t xml:space="preserve"> SMA have not been studied in clinical trials.</w:t>
      </w:r>
    </w:p>
    <w:p w14:paraId="02CE277E" w14:textId="19017E90" w:rsidR="0027576D" w:rsidRDefault="006627AF" w:rsidP="001D0A17">
      <w:pPr>
        <w:pStyle w:val="Heading4"/>
        <w:keepNext/>
      </w:pPr>
      <w:r w:rsidRPr="006627AF">
        <w:t>Infantile-onset SMA</w:t>
      </w:r>
    </w:p>
    <w:p w14:paraId="3B15DDFB" w14:textId="0688DE97" w:rsidR="006627AF" w:rsidRDefault="006627AF" w:rsidP="006627AF"/>
    <w:p w14:paraId="4BCFF2D7" w14:textId="49E5703D" w:rsidR="006627AF" w:rsidRPr="001F53A8" w:rsidRDefault="006627AF" w:rsidP="006627AF">
      <w:r>
        <w:t xml:space="preserve">Study BP39056 (FIREFISH) is an open-label, 2-part study to investigate the efficacy, safety, PK and pharmacodynamics (PD) of </w:t>
      </w:r>
      <w:proofErr w:type="spellStart"/>
      <w:r>
        <w:t>Evrysdi</w:t>
      </w:r>
      <w:proofErr w:type="spellEnd"/>
      <w:r>
        <w:t xml:space="preserve"> in symptomatic Type 1 SMA patients (all patients had genetically confirmed disease with 2 copies of the SMN2 gene). Part 1 of FIREFISH was designed as the dose-finding part of the study. The confirmatory Part 2 of the FIREFISH study assessed the efficacy of </w:t>
      </w:r>
      <w:proofErr w:type="spellStart"/>
      <w:r>
        <w:t>Evrysdi</w:t>
      </w:r>
      <w:proofErr w:type="spellEnd"/>
      <w:r>
        <w:t xml:space="preserve"> at the therapeutic dose selected based on the results from Part 1 (see section 4.2 Dose and method of administration). Patients from Part 1 did not take part in Part 2.</w:t>
      </w:r>
    </w:p>
    <w:p w14:paraId="35C34625" w14:textId="7743CEDA" w:rsidR="0027576D" w:rsidRDefault="006627AF" w:rsidP="001D0A17">
      <w:pPr>
        <w:pStyle w:val="Heading5"/>
        <w:keepNext/>
      </w:pPr>
      <w:r w:rsidRPr="006627AF">
        <w:t>FIREFISH Part 2</w:t>
      </w:r>
    </w:p>
    <w:p w14:paraId="45C4BDF8" w14:textId="58124D22" w:rsidR="006627AF" w:rsidRDefault="006627AF" w:rsidP="006627AF">
      <w:r>
        <w:t xml:space="preserve">In FIREFISH Part 2, 41 patients with Type 1 SMA were enrolled. The median age of onset of clinical signs and symptoms of Type 1 SMA was 1.5 months (range: 1.0-3.0 months), 54% were female, 54% Caucasian and 34% Asian. The median age at enrolment was 5.3 months (range: 2.2-6.9 months) and the median time between onset of symptoms and first dose was 3.4 months (range: 1.0-6.0 months). At baseline, the median </w:t>
      </w:r>
      <w:r w:rsidR="000C4378" w:rsidRPr="000C4378">
        <w:t xml:space="preserve">Children’s Hospital of Philadelphia Infant Test of Neuromuscular Disorders </w:t>
      </w:r>
      <w:r w:rsidR="000C4378">
        <w:t>(</w:t>
      </w:r>
      <w:r>
        <w:t>CHOP-INTEND</w:t>
      </w:r>
      <w:r w:rsidR="000C4378">
        <w:t>)</w:t>
      </w:r>
      <w:r>
        <w:t xml:space="preserve"> score was 22.0 points (range: 8.0-37.0) and the median </w:t>
      </w:r>
      <w:r w:rsidR="000C4378" w:rsidRPr="000C4378">
        <w:t>Hammersmith Infant Neurological Examination</w:t>
      </w:r>
      <w:r w:rsidR="000C4378">
        <w:t>,</w:t>
      </w:r>
      <w:r w:rsidR="000C4378" w:rsidRPr="000C4378">
        <w:t xml:space="preserve"> Module 2 </w:t>
      </w:r>
      <w:r w:rsidR="000C4378">
        <w:t>(</w:t>
      </w:r>
      <w:r>
        <w:t>HINE-2</w:t>
      </w:r>
      <w:r w:rsidR="000C4378">
        <w:t>)</w:t>
      </w:r>
      <w:r>
        <w:t xml:space="preserve"> score was 1.0 (range: 0.0-5.0). </w:t>
      </w:r>
    </w:p>
    <w:p w14:paraId="1EAD662F" w14:textId="77777777" w:rsidR="006627AF" w:rsidRDefault="006627AF" w:rsidP="006627AF"/>
    <w:p w14:paraId="065BEDE7" w14:textId="15E64E13" w:rsidR="001D0A17" w:rsidRDefault="006627AF" w:rsidP="006627AF">
      <w:r>
        <w:t xml:space="preserve">The primary endpoint was the proportion of patients with the ability to sit without support for at least 5 seconds after 12 months of treatment (BSID-III gross motor scale, Item 22). The efficacy endpoints of </w:t>
      </w:r>
      <w:proofErr w:type="spellStart"/>
      <w:r>
        <w:t>Evrysdi</w:t>
      </w:r>
      <w:proofErr w:type="spellEnd"/>
      <w:r>
        <w:t xml:space="preserve"> treated patients were compared to similar cohorts of untreated patients with infantile-onset SMA from natural history (defined as performance criteria) as shown in Table 5.</w:t>
      </w:r>
    </w:p>
    <w:p w14:paraId="2285A19D" w14:textId="5F00C1BC" w:rsidR="00E103FD" w:rsidRPr="00782B4A" w:rsidRDefault="00E103FD" w:rsidP="00E103FD">
      <w:pPr>
        <w:pStyle w:val="Tableheading"/>
        <w:rPr>
          <w:sz w:val="24"/>
        </w:rPr>
      </w:pPr>
      <w:r w:rsidRPr="00782B4A">
        <w:rPr>
          <w:sz w:val="24"/>
        </w:rPr>
        <w:t xml:space="preserve">Table </w:t>
      </w:r>
      <w:r w:rsidR="00782B4A" w:rsidRPr="00782B4A">
        <w:rPr>
          <w:sz w:val="24"/>
        </w:rPr>
        <w:t>5</w:t>
      </w:r>
      <w:r w:rsidRPr="00782B4A">
        <w:rPr>
          <w:sz w:val="24"/>
        </w:rPr>
        <w:tab/>
      </w:r>
      <w:r w:rsidR="00782B4A" w:rsidRPr="00782B4A">
        <w:rPr>
          <w:sz w:val="24"/>
        </w:rPr>
        <w:t>Summary of Key Efficacy Results at Month 12 (FIREFISH Part 2)</w:t>
      </w:r>
    </w:p>
    <w:tbl>
      <w:tblPr>
        <w:tblStyle w:val="TableGrid"/>
        <w:tblW w:w="9067" w:type="dxa"/>
        <w:tblLook w:val="04A0" w:firstRow="1" w:lastRow="0" w:firstColumn="1" w:lastColumn="0" w:noHBand="0" w:noVBand="1"/>
      </w:tblPr>
      <w:tblGrid>
        <w:gridCol w:w="5665"/>
        <w:gridCol w:w="3402"/>
      </w:tblGrid>
      <w:tr w:rsidR="00782B4A" w:rsidRPr="00782B4A" w14:paraId="15F97F4A" w14:textId="77777777" w:rsidTr="00AD20AB">
        <w:trPr>
          <w:tblHeader/>
        </w:trPr>
        <w:tc>
          <w:tcPr>
            <w:tcW w:w="5665" w:type="dxa"/>
          </w:tcPr>
          <w:p w14:paraId="6130C469" w14:textId="3D5B29FC" w:rsidR="00782B4A" w:rsidRP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rPr>
                <w:b/>
                <w:lang w:val="en-AU"/>
              </w:rPr>
            </w:pPr>
            <w:r w:rsidRPr="00782B4A">
              <w:rPr>
                <w:b/>
                <w:lang w:val="en-AU"/>
              </w:rPr>
              <w:t>Efficacy Endpoints</w:t>
            </w:r>
          </w:p>
        </w:tc>
        <w:tc>
          <w:tcPr>
            <w:tcW w:w="3402" w:type="dxa"/>
          </w:tcPr>
          <w:p w14:paraId="26EBCB09" w14:textId="778FD3EE" w:rsidR="00782B4A" w:rsidRP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jc w:val="center"/>
              <w:rPr>
                <w:lang w:val="en-AU"/>
              </w:rPr>
            </w:pPr>
            <w:r w:rsidRPr="00782B4A">
              <w:rPr>
                <w:b/>
                <w:lang w:val="en-AU"/>
              </w:rPr>
              <w:t>Proportion of Patients</w:t>
            </w:r>
            <w:r w:rsidRPr="00782B4A">
              <w:rPr>
                <w:b/>
                <w:lang w:val="en-AU"/>
              </w:rPr>
              <w:br/>
            </w:r>
            <w:r w:rsidRPr="00782B4A">
              <w:rPr>
                <w:lang w:val="en-AU"/>
              </w:rPr>
              <w:t>N=41 (90% CI)</w:t>
            </w:r>
          </w:p>
        </w:tc>
      </w:tr>
      <w:tr w:rsidR="00782B4A" w:rsidRPr="00782B4A" w14:paraId="21236FD0" w14:textId="77777777" w:rsidTr="00696A1B">
        <w:tc>
          <w:tcPr>
            <w:tcW w:w="9067" w:type="dxa"/>
            <w:gridSpan w:val="2"/>
          </w:tcPr>
          <w:p w14:paraId="2E713EF5" w14:textId="2402F6A9" w:rsidR="00782B4A" w:rsidRP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rPr>
                <w:b/>
                <w:lang w:val="en-AU"/>
              </w:rPr>
            </w:pPr>
            <w:r w:rsidRPr="00782B4A">
              <w:rPr>
                <w:b/>
                <w:lang w:val="en-AU"/>
              </w:rPr>
              <w:t>Motor Function and Development Milestones</w:t>
            </w:r>
          </w:p>
        </w:tc>
      </w:tr>
      <w:tr w:rsidR="00782B4A" w:rsidRPr="00782B4A" w14:paraId="526E91EC" w14:textId="77777777" w:rsidTr="00782B4A">
        <w:tc>
          <w:tcPr>
            <w:tcW w:w="5665" w:type="dxa"/>
          </w:tcPr>
          <w:p w14:paraId="41174749" w14:textId="77777777" w:rsidR="00782B4A" w:rsidRP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rPr>
                <w:lang w:val="en-AU"/>
              </w:rPr>
            </w:pPr>
            <w:r w:rsidRPr="00782B4A">
              <w:rPr>
                <w:lang w:val="en-AU"/>
              </w:rPr>
              <w:t xml:space="preserve">BSID-III: sitting without support for at least 5 seconds </w:t>
            </w:r>
          </w:p>
          <w:p w14:paraId="75D51AB6" w14:textId="3516A46C" w:rsidR="00782B4A" w:rsidRP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ind w:left="313"/>
              <w:rPr>
                <w:lang w:val="en-AU"/>
              </w:rPr>
            </w:pPr>
            <w:r w:rsidRPr="00782B4A">
              <w:rPr>
                <w:lang w:val="en-AU"/>
              </w:rPr>
              <w:t>p-value based on performance criterion of 5%</w:t>
            </w:r>
            <w:r w:rsidRPr="00782B4A">
              <w:rPr>
                <w:vertAlign w:val="superscript"/>
                <w:lang w:val="en-AU"/>
              </w:rPr>
              <w:t>a</w:t>
            </w:r>
          </w:p>
        </w:tc>
        <w:tc>
          <w:tcPr>
            <w:tcW w:w="3402" w:type="dxa"/>
          </w:tcPr>
          <w:p w14:paraId="4612B22C" w14:textId="77777777" w:rsid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jc w:val="center"/>
              <w:rPr>
                <w:lang w:val="en-AU"/>
              </w:rPr>
            </w:pPr>
            <w:r w:rsidRPr="00782B4A">
              <w:rPr>
                <w:lang w:val="en-AU"/>
              </w:rPr>
              <w:t>29.3% (17.8%, 43.1%)</w:t>
            </w:r>
          </w:p>
          <w:p w14:paraId="0B6E9D20" w14:textId="38B2FFF8" w:rsidR="00782B4A" w:rsidRP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jc w:val="center"/>
              <w:rPr>
                <w:lang w:val="en-AU"/>
              </w:rPr>
            </w:pPr>
            <w:r w:rsidRPr="00782B4A">
              <w:rPr>
                <w:lang w:val="en-AU"/>
              </w:rPr>
              <w:t>&lt;0.0001</w:t>
            </w:r>
          </w:p>
        </w:tc>
      </w:tr>
      <w:tr w:rsidR="00782B4A" w:rsidRPr="00782B4A" w14:paraId="0E28A02B" w14:textId="77777777" w:rsidTr="00782B4A">
        <w:tc>
          <w:tcPr>
            <w:tcW w:w="5665" w:type="dxa"/>
          </w:tcPr>
          <w:p w14:paraId="0221D6D7" w14:textId="77777777" w:rsidR="00782B4A" w:rsidRP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rPr>
                <w:lang w:val="en-AU"/>
              </w:rPr>
            </w:pPr>
            <w:r w:rsidRPr="00782B4A">
              <w:rPr>
                <w:lang w:val="en-AU"/>
              </w:rPr>
              <w:t xml:space="preserve">CHOP-INTEND: score of 40 or higher </w:t>
            </w:r>
          </w:p>
          <w:p w14:paraId="231792AB" w14:textId="673BBA4A" w:rsidR="00782B4A" w:rsidRP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ind w:left="313"/>
              <w:rPr>
                <w:lang w:val="en-AU"/>
              </w:rPr>
            </w:pPr>
            <w:r w:rsidRPr="00782B4A">
              <w:rPr>
                <w:rFonts w:cs="Arial"/>
                <w:szCs w:val="22"/>
              </w:rPr>
              <w:t>p-value based on performance criterion of 17%</w:t>
            </w:r>
            <w:r w:rsidRPr="00782B4A">
              <w:rPr>
                <w:rFonts w:cs="Arial"/>
                <w:szCs w:val="22"/>
                <w:vertAlign w:val="superscript"/>
              </w:rPr>
              <w:t>a</w:t>
            </w:r>
          </w:p>
        </w:tc>
        <w:tc>
          <w:tcPr>
            <w:tcW w:w="3402" w:type="dxa"/>
            <w:vAlign w:val="bottom"/>
          </w:tcPr>
          <w:p w14:paraId="6A47C329" w14:textId="77777777" w:rsid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jc w:val="center"/>
              <w:rPr>
                <w:lang w:val="en-AU"/>
              </w:rPr>
            </w:pPr>
            <w:r w:rsidRPr="00782B4A">
              <w:rPr>
                <w:lang w:val="en-AU"/>
              </w:rPr>
              <w:t>56.1% (42.1%, 69.4%)</w:t>
            </w:r>
          </w:p>
          <w:p w14:paraId="5A6274D3" w14:textId="6EFFE6D7" w:rsidR="00782B4A" w:rsidRP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jc w:val="center"/>
              <w:rPr>
                <w:lang w:val="en-AU"/>
              </w:rPr>
            </w:pPr>
            <w:r w:rsidRPr="00782B4A">
              <w:rPr>
                <w:lang w:val="en-AU"/>
              </w:rPr>
              <w:t>&lt;0.0001</w:t>
            </w:r>
          </w:p>
        </w:tc>
      </w:tr>
      <w:tr w:rsidR="00782B4A" w:rsidRPr="00782B4A" w14:paraId="51D139CA" w14:textId="77777777" w:rsidTr="00782B4A">
        <w:tc>
          <w:tcPr>
            <w:tcW w:w="5665" w:type="dxa"/>
          </w:tcPr>
          <w:p w14:paraId="1B8F491A" w14:textId="77777777" w:rsidR="00782B4A" w:rsidRP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rPr>
                <w:lang w:val="en-AU"/>
              </w:rPr>
            </w:pPr>
            <w:r w:rsidRPr="00782B4A">
              <w:rPr>
                <w:lang w:val="en-AU"/>
              </w:rPr>
              <w:t xml:space="preserve">CHOP-INTEND: increase of ≥4 points from baseline </w:t>
            </w:r>
          </w:p>
          <w:p w14:paraId="0E34FC79" w14:textId="62F42C01" w:rsidR="00782B4A" w:rsidRP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ind w:left="313"/>
              <w:rPr>
                <w:lang w:val="en-AU"/>
              </w:rPr>
            </w:pPr>
            <w:r w:rsidRPr="00782B4A">
              <w:rPr>
                <w:rFonts w:cs="Arial"/>
                <w:szCs w:val="22"/>
              </w:rPr>
              <w:t>p-value based on performance criterion of 17%</w:t>
            </w:r>
            <w:r w:rsidRPr="00782B4A">
              <w:rPr>
                <w:rFonts w:cs="Arial"/>
                <w:szCs w:val="22"/>
                <w:vertAlign w:val="superscript"/>
              </w:rPr>
              <w:t>a</w:t>
            </w:r>
          </w:p>
        </w:tc>
        <w:tc>
          <w:tcPr>
            <w:tcW w:w="3402" w:type="dxa"/>
            <w:vAlign w:val="bottom"/>
          </w:tcPr>
          <w:p w14:paraId="4292D501" w14:textId="77777777" w:rsid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jc w:val="center"/>
              <w:rPr>
                <w:lang w:val="en-AU"/>
              </w:rPr>
            </w:pPr>
            <w:r w:rsidRPr="00782B4A">
              <w:rPr>
                <w:lang w:val="en-AU"/>
              </w:rPr>
              <w:t>90.2% (79.1%, 96.6%)</w:t>
            </w:r>
          </w:p>
          <w:p w14:paraId="21C65C57" w14:textId="67B5BFFA" w:rsidR="00782B4A" w:rsidRP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jc w:val="center"/>
              <w:rPr>
                <w:lang w:val="en-AU"/>
              </w:rPr>
            </w:pPr>
            <w:r w:rsidRPr="00782B4A">
              <w:rPr>
                <w:lang w:val="en-AU"/>
              </w:rPr>
              <w:t>&lt;0.0001</w:t>
            </w:r>
          </w:p>
        </w:tc>
      </w:tr>
      <w:tr w:rsidR="00782B4A" w:rsidRPr="00782B4A" w14:paraId="3D571EA8" w14:textId="77777777" w:rsidTr="00782B4A">
        <w:tc>
          <w:tcPr>
            <w:tcW w:w="5665" w:type="dxa"/>
          </w:tcPr>
          <w:p w14:paraId="21E11755" w14:textId="77777777" w:rsidR="00782B4A" w:rsidRP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rPr>
                <w:lang w:val="en-AU"/>
              </w:rPr>
            </w:pPr>
            <w:r w:rsidRPr="00782B4A">
              <w:rPr>
                <w:lang w:val="en-AU"/>
              </w:rPr>
              <w:t xml:space="preserve">HINE-2: motor milestone </w:t>
            </w:r>
            <w:proofErr w:type="spellStart"/>
            <w:r w:rsidRPr="00782B4A">
              <w:rPr>
                <w:lang w:val="en-AU"/>
              </w:rPr>
              <w:t>responders</w:t>
            </w:r>
            <w:r w:rsidRPr="00782B4A">
              <w:rPr>
                <w:vertAlign w:val="superscript"/>
                <w:lang w:val="en-AU"/>
              </w:rPr>
              <w:t>b</w:t>
            </w:r>
            <w:proofErr w:type="spellEnd"/>
            <w:r w:rsidRPr="00782B4A">
              <w:rPr>
                <w:lang w:val="en-AU"/>
              </w:rPr>
              <w:t xml:space="preserve"> </w:t>
            </w:r>
          </w:p>
          <w:p w14:paraId="36C053DF" w14:textId="5348D9BD" w:rsidR="00782B4A" w:rsidRP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ind w:left="313"/>
              <w:rPr>
                <w:lang w:val="en-AU"/>
              </w:rPr>
            </w:pPr>
            <w:r w:rsidRPr="00782B4A">
              <w:rPr>
                <w:rFonts w:cs="Arial"/>
                <w:szCs w:val="22"/>
              </w:rPr>
              <w:t>p-value based on performance criterion of 12%</w:t>
            </w:r>
            <w:r w:rsidRPr="00782B4A">
              <w:rPr>
                <w:rFonts w:cs="Arial"/>
                <w:szCs w:val="22"/>
                <w:vertAlign w:val="superscript"/>
              </w:rPr>
              <w:t>a</w:t>
            </w:r>
          </w:p>
        </w:tc>
        <w:tc>
          <w:tcPr>
            <w:tcW w:w="3402" w:type="dxa"/>
            <w:vAlign w:val="bottom"/>
          </w:tcPr>
          <w:p w14:paraId="70DEDF97" w14:textId="77777777" w:rsid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jc w:val="center"/>
              <w:rPr>
                <w:lang w:val="en-AU"/>
              </w:rPr>
            </w:pPr>
            <w:r w:rsidRPr="00782B4A">
              <w:rPr>
                <w:lang w:val="en-AU"/>
              </w:rPr>
              <w:t>78.0% (64.8%, 88.0%)</w:t>
            </w:r>
          </w:p>
          <w:p w14:paraId="0B5E57B3" w14:textId="410ED3C4" w:rsidR="00782B4A" w:rsidRP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jc w:val="center"/>
              <w:rPr>
                <w:lang w:val="en-AU"/>
              </w:rPr>
            </w:pPr>
            <w:r w:rsidRPr="00782B4A">
              <w:rPr>
                <w:lang w:val="en-AU"/>
              </w:rPr>
              <w:t>&lt;0.0001</w:t>
            </w:r>
          </w:p>
        </w:tc>
      </w:tr>
      <w:tr w:rsidR="00782B4A" w:rsidRPr="00782B4A" w14:paraId="1F5FC5E9" w14:textId="77777777" w:rsidTr="00696A1B">
        <w:tc>
          <w:tcPr>
            <w:tcW w:w="9067" w:type="dxa"/>
            <w:gridSpan w:val="2"/>
          </w:tcPr>
          <w:p w14:paraId="78E5B50E" w14:textId="0CBD3171" w:rsidR="00782B4A" w:rsidRPr="00782B4A" w:rsidRDefault="00782B4A" w:rsidP="00AD20AB">
            <w:pPr>
              <w:keepNext/>
              <w:pBdr>
                <w:top w:val="none" w:sz="0" w:space="0" w:color="auto"/>
                <w:left w:val="none" w:sz="0" w:space="0" w:color="auto"/>
                <w:bottom w:val="none" w:sz="0" w:space="0" w:color="auto"/>
                <w:right w:val="none" w:sz="0" w:space="0" w:color="auto"/>
                <w:between w:val="none" w:sz="0" w:space="0" w:color="auto"/>
              </w:pBdr>
              <w:spacing w:before="40" w:after="40"/>
              <w:rPr>
                <w:b/>
                <w:lang w:val="en-AU"/>
              </w:rPr>
            </w:pPr>
            <w:r w:rsidRPr="00782B4A">
              <w:rPr>
                <w:b/>
                <w:lang w:val="en-AU"/>
              </w:rPr>
              <w:lastRenderedPageBreak/>
              <w:t>Survival and Event-Free Survival</w:t>
            </w:r>
          </w:p>
        </w:tc>
      </w:tr>
      <w:tr w:rsidR="00782B4A" w:rsidRPr="00782B4A" w14:paraId="7EE55D9D" w14:textId="77777777" w:rsidTr="00782B4A">
        <w:tc>
          <w:tcPr>
            <w:tcW w:w="5665" w:type="dxa"/>
          </w:tcPr>
          <w:p w14:paraId="31A89E82" w14:textId="77777777" w:rsidR="00782B4A" w:rsidRP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rPr>
                <w:lang w:val="en-AU"/>
              </w:rPr>
            </w:pPr>
            <w:r w:rsidRPr="00782B4A">
              <w:rPr>
                <w:lang w:val="en-AU"/>
              </w:rPr>
              <w:t xml:space="preserve">Event-Free </w:t>
            </w:r>
            <w:proofErr w:type="spellStart"/>
            <w:r w:rsidRPr="00782B4A">
              <w:rPr>
                <w:lang w:val="en-AU"/>
              </w:rPr>
              <w:t>Survival</w:t>
            </w:r>
            <w:r w:rsidRPr="00782B4A">
              <w:rPr>
                <w:vertAlign w:val="superscript"/>
                <w:lang w:val="en-AU"/>
              </w:rPr>
              <w:t>c</w:t>
            </w:r>
            <w:proofErr w:type="spellEnd"/>
            <w:r w:rsidRPr="00782B4A">
              <w:rPr>
                <w:lang w:val="en-AU"/>
              </w:rPr>
              <w:t xml:space="preserve"> </w:t>
            </w:r>
          </w:p>
          <w:p w14:paraId="41BC52ED" w14:textId="2CD5A93C" w:rsidR="00782B4A" w:rsidRPr="00782B4A" w:rsidRDefault="00782B4A" w:rsidP="00782B4A">
            <w:pPr>
              <w:pBdr>
                <w:top w:val="none" w:sz="0" w:space="0" w:color="auto"/>
                <w:left w:val="none" w:sz="0" w:space="0" w:color="auto"/>
                <w:bottom w:val="none" w:sz="0" w:space="0" w:color="auto"/>
                <w:right w:val="none" w:sz="0" w:space="0" w:color="auto"/>
                <w:between w:val="none" w:sz="0" w:space="0" w:color="auto"/>
              </w:pBdr>
              <w:spacing w:before="40" w:after="40"/>
              <w:ind w:left="313"/>
              <w:rPr>
                <w:lang w:val="en-AU"/>
              </w:rPr>
            </w:pPr>
            <w:r w:rsidRPr="00782B4A">
              <w:rPr>
                <w:lang w:val="en-AU"/>
              </w:rPr>
              <w:t>p-value based on performance criterion of 42%</w:t>
            </w:r>
            <w:r w:rsidRPr="00782B4A">
              <w:rPr>
                <w:vertAlign w:val="superscript"/>
                <w:lang w:val="en-AU"/>
              </w:rPr>
              <w:t>a</w:t>
            </w:r>
          </w:p>
        </w:tc>
        <w:tc>
          <w:tcPr>
            <w:tcW w:w="3402" w:type="dxa"/>
            <w:vAlign w:val="bottom"/>
          </w:tcPr>
          <w:p w14:paraId="0995D7E3" w14:textId="77777777" w:rsidR="00782B4A" w:rsidRDefault="00782B4A" w:rsidP="00AD20AB">
            <w:pPr>
              <w:keepNext/>
              <w:pBdr>
                <w:top w:val="none" w:sz="0" w:space="0" w:color="auto"/>
                <w:left w:val="none" w:sz="0" w:space="0" w:color="auto"/>
                <w:bottom w:val="none" w:sz="0" w:space="0" w:color="auto"/>
                <w:right w:val="none" w:sz="0" w:space="0" w:color="auto"/>
                <w:between w:val="none" w:sz="0" w:space="0" w:color="auto"/>
              </w:pBdr>
              <w:spacing w:before="40" w:after="40"/>
              <w:jc w:val="center"/>
              <w:rPr>
                <w:lang w:val="en-AU"/>
              </w:rPr>
            </w:pPr>
            <w:r w:rsidRPr="00782B4A">
              <w:rPr>
                <w:lang w:val="en-AU"/>
              </w:rPr>
              <w:t>85.4% (73.4%, 92.2%)</w:t>
            </w:r>
          </w:p>
          <w:p w14:paraId="70C634D2" w14:textId="176E9D51" w:rsidR="00782B4A" w:rsidRPr="00782B4A" w:rsidRDefault="00782B4A" w:rsidP="00AD20AB">
            <w:pPr>
              <w:keepNext/>
              <w:pBdr>
                <w:top w:val="none" w:sz="0" w:space="0" w:color="auto"/>
                <w:left w:val="none" w:sz="0" w:space="0" w:color="auto"/>
                <w:bottom w:val="none" w:sz="0" w:space="0" w:color="auto"/>
                <w:right w:val="none" w:sz="0" w:space="0" w:color="auto"/>
                <w:between w:val="none" w:sz="0" w:space="0" w:color="auto"/>
              </w:pBdr>
              <w:spacing w:before="40" w:after="40"/>
              <w:jc w:val="center"/>
              <w:rPr>
                <w:lang w:val="en-AU"/>
              </w:rPr>
            </w:pPr>
            <w:r w:rsidRPr="00782B4A">
              <w:rPr>
                <w:lang w:val="en-AU"/>
              </w:rPr>
              <w:t>&lt;0.0001</w:t>
            </w:r>
          </w:p>
        </w:tc>
      </w:tr>
    </w:tbl>
    <w:p w14:paraId="0BD00A76" w14:textId="31F9B1A5" w:rsidR="000C4378" w:rsidRPr="000C4378" w:rsidRDefault="000C4378" w:rsidP="00B163C9">
      <w:pPr>
        <w:spacing w:before="40"/>
        <w:jc w:val="both"/>
        <w:rPr>
          <w:sz w:val="22"/>
          <w:lang w:val="en-AU"/>
        </w:rPr>
      </w:pPr>
      <w:r>
        <w:rPr>
          <w:sz w:val="22"/>
          <w:lang w:val="en-AU"/>
        </w:rPr>
        <w:t xml:space="preserve">Abbreviations: </w:t>
      </w:r>
      <w:r w:rsidR="00711E31">
        <w:rPr>
          <w:sz w:val="22"/>
          <w:lang w:val="en-AU"/>
        </w:rPr>
        <w:t xml:space="preserve">CI-confidence interval; </w:t>
      </w:r>
      <w:r>
        <w:rPr>
          <w:sz w:val="22"/>
          <w:lang w:val="en-AU"/>
        </w:rPr>
        <w:t>BSID-III=</w:t>
      </w:r>
      <w:r w:rsidRPr="000C4378">
        <w:rPr>
          <w:sz w:val="22"/>
          <w:lang w:val="en-AU"/>
        </w:rPr>
        <w:t>Bayley Scales of I</w:t>
      </w:r>
      <w:r>
        <w:rPr>
          <w:sz w:val="22"/>
          <w:lang w:val="en-AU"/>
        </w:rPr>
        <w:t xml:space="preserve">nfant and Toddler Development, </w:t>
      </w:r>
      <w:r w:rsidRPr="000C4378">
        <w:rPr>
          <w:sz w:val="22"/>
          <w:lang w:val="en-AU"/>
        </w:rPr>
        <w:t>Third Edition</w:t>
      </w:r>
      <w:r>
        <w:rPr>
          <w:sz w:val="22"/>
          <w:lang w:val="en-AU"/>
        </w:rPr>
        <w:t>;</w:t>
      </w:r>
      <w:r w:rsidRPr="000C4378">
        <w:rPr>
          <w:sz w:val="22"/>
          <w:lang w:val="en-AU"/>
        </w:rPr>
        <w:t xml:space="preserve"> </w:t>
      </w:r>
      <w:r>
        <w:rPr>
          <w:sz w:val="22"/>
          <w:lang w:val="en-AU"/>
        </w:rPr>
        <w:t>CHOP</w:t>
      </w:r>
      <w:r>
        <w:rPr>
          <w:sz w:val="22"/>
          <w:lang w:val="en-AU"/>
        </w:rPr>
        <w:noBreakHyphen/>
        <w:t>INTEND=</w:t>
      </w:r>
      <w:r w:rsidRPr="000C4378">
        <w:rPr>
          <w:sz w:val="22"/>
          <w:lang w:val="en-AU"/>
        </w:rPr>
        <w:t>Children’s Hospital of Philadelphia Infant Test of Neuromuscular Disorders; HINE</w:t>
      </w:r>
      <w:r>
        <w:rPr>
          <w:sz w:val="22"/>
          <w:lang w:val="en-AU"/>
        </w:rPr>
        <w:noBreakHyphen/>
        <w:t>2=</w:t>
      </w:r>
      <w:r w:rsidRPr="000C4378">
        <w:rPr>
          <w:sz w:val="22"/>
          <w:lang w:val="en-AU"/>
        </w:rPr>
        <w:t>Module 2 of the Hammersmith Infant Neurological Examination.</w:t>
      </w:r>
      <w:r w:rsidR="00CE00B1" w:rsidRPr="00CE00B1">
        <w:rPr>
          <w:sz w:val="22"/>
          <w:vertAlign w:val="superscript"/>
          <w:lang w:val="en-AU"/>
        </w:rPr>
        <w:t xml:space="preserve"> </w:t>
      </w:r>
    </w:p>
    <w:p w14:paraId="1593D759" w14:textId="499E3DB7" w:rsidR="000C4378" w:rsidRPr="000C4378" w:rsidRDefault="000C4378" w:rsidP="00B163C9">
      <w:pPr>
        <w:spacing w:before="40"/>
        <w:ind w:left="284" w:hanging="284"/>
        <w:jc w:val="both"/>
        <w:rPr>
          <w:sz w:val="22"/>
          <w:lang w:val="en-AU"/>
        </w:rPr>
      </w:pPr>
      <w:r w:rsidRPr="000C4378">
        <w:rPr>
          <w:sz w:val="22"/>
          <w:vertAlign w:val="superscript"/>
          <w:lang w:val="en-AU"/>
        </w:rPr>
        <w:t>a</w:t>
      </w:r>
      <w:r>
        <w:rPr>
          <w:sz w:val="22"/>
          <w:lang w:val="en-AU"/>
        </w:rPr>
        <w:tab/>
      </w:r>
      <w:r w:rsidRPr="000C4378">
        <w:rPr>
          <w:sz w:val="22"/>
          <w:lang w:val="en-AU"/>
        </w:rPr>
        <w:t>p-values for survival and event-free survival are based on a Z-test; p-values for all other endpoints (BSID-III, CHOP-INTEND, HINE-2) are based on an exact binomial test. Survival proportions estimated using Kaplan-Meier methodology.</w:t>
      </w:r>
    </w:p>
    <w:p w14:paraId="63B937D6" w14:textId="77777777" w:rsidR="000C4378" w:rsidRPr="000C4378" w:rsidRDefault="000C4378" w:rsidP="00B163C9">
      <w:pPr>
        <w:spacing w:before="40"/>
        <w:ind w:left="284" w:hanging="284"/>
        <w:jc w:val="both"/>
        <w:rPr>
          <w:sz w:val="22"/>
          <w:lang w:val="en-AU"/>
        </w:rPr>
      </w:pPr>
      <w:r w:rsidRPr="00BE3587">
        <w:rPr>
          <w:sz w:val="22"/>
          <w:vertAlign w:val="superscript"/>
          <w:lang w:val="en-AU"/>
        </w:rPr>
        <w:t>b</w:t>
      </w:r>
      <w:r w:rsidRPr="000C4378">
        <w:rPr>
          <w:sz w:val="22"/>
          <w:lang w:val="en-AU"/>
        </w:rPr>
        <w:tab/>
        <w:t>According to HINE-2: ≥2 point increase [or maximal score] in ability to kick, OR ≥1 point increase in the motor milestones of head control, rolling, sitting, crawling, standing or walking, AND improvement in more categories of motor milestones than worsening is defined as a responder for this analysis.</w:t>
      </w:r>
    </w:p>
    <w:p w14:paraId="53A00A05" w14:textId="308E3AAB" w:rsidR="000C4378" w:rsidRPr="000C4378" w:rsidRDefault="000C4378" w:rsidP="00B163C9">
      <w:pPr>
        <w:spacing w:before="40"/>
        <w:ind w:left="284" w:hanging="284"/>
        <w:jc w:val="both"/>
        <w:rPr>
          <w:sz w:val="22"/>
          <w:lang w:val="en-AU"/>
        </w:rPr>
      </w:pPr>
      <w:r w:rsidRPr="00BE3587">
        <w:rPr>
          <w:sz w:val="22"/>
          <w:vertAlign w:val="superscript"/>
          <w:lang w:val="en-AU"/>
        </w:rPr>
        <w:t>c</w:t>
      </w:r>
      <w:r>
        <w:rPr>
          <w:sz w:val="22"/>
          <w:lang w:val="en-AU"/>
        </w:rPr>
        <w:tab/>
      </w:r>
      <w:proofErr w:type="gramStart"/>
      <w:r w:rsidRPr="000C4378">
        <w:rPr>
          <w:sz w:val="22"/>
          <w:lang w:val="en-AU"/>
        </w:rPr>
        <w:t>An</w:t>
      </w:r>
      <w:proofErr w:type="gramEnd"/>
      <w:r w:rsidRPr="000C4378">
        <w:rPr>
          <w:sz w:val="22"/>
          <w:lang w:val="en-AU"/>
        </w:rPr>
        <w:t xml:space="preserve"> event is meeting the endpoint of permanent ventilation defined as tracheostomy or ≥16 hours of non-invasive ventilation per day or intubation for &gt;21 consecutive days in the absence of, or following the resolution of, an acute reversible event. Three patients met the endpoint of permanent ventilation before Month 12. All 3 patients achieved an increase of at least 4 points in their CHOP-INTEND score from baseline.</w:t>
      </w:r>
    </w:p>
    <w:p w14:paraId="2CBF08BA" w14:textId="701CBACB" w:rsidR="00B163C9" w:rsidRDefault="00B163C9" w:rsidP="00B163C9"/>
    <w:p w14:paraId="5BCC109A" w14:textId="64DA1C5B" w:rsidR="00B163C9" w:rsidRDefault="00B163C9" w:rsidP="00B163C9">
      <w:r w:rsidRPr="00B163C9">
        <w:t xml:space="preserve">After 12 months of treatment with </w:t>
      </w:r>
      <w:proofErr w:type="spellStart"/>
      <w:r w:rsidRPr="00B163C9">
        <w:t>Evrysdi</w:t>
      </w:r>
      <w:proofErr w:type="spellEnd"/>
      <w:r w:rsidRPr="00B163C9">
        <w:t xml:space="preserve">, 29% (12/41) of patients met the criteria for sitting without support (BSID-III, Item 22), 93% (38/41) of patients were alive, and 85% (35/41) of patients were alive and event-free </w:t>
      </w:r>
      <w:r>
        <w:t>(without permanent ventilation)</w:t>
      </w:r>
      <w:r w:rsidRPr="00B163C9">
        <w:t xml:space="preserve"> </w:t>
      </w:r>
      <w:r>
        <w:t>(</w:t>
      </w:r>
      <w:r w:rsidRPr="00B163C9">
        <w:t>see Figure 1</w:t>
      </w:r>
      <w:r>
        <w:t>)</w:t>
      </w:r>
      <w:r w:rsidRPr="00B163C9">
        <w:t>. These results indicate a clinically meaningful deviation from the natural history of untreated infantile-onset SMA. Untreated patients with infantile-onset SMA would never be able to sit without support and only 25% would be expected to survive without permanent ventilation beyond 14 months of age.</w:t>
      </w:r>
    </w:p>
    <w:p w14:paraId="0F1BC33E" w14:textId="6A3C33D0" w:rsidR="00B163C9" w:rsidRPr="00782B4A" w:rsidRDefault="00B163C9" w:rsidP="00B163C9">
      <w:pPr>
        <w:pStyle w:val="Tableheading"/>
        <w:spacing w:before="240"/>
        <w:rPr>
          <w:sz w:val="24"/>
        </w:rPr>
      </w:pPr>
      <w:r w:rsidRPr="00B70CB8">
        <w:t>Figure 1</w:t>
      </w:r>
      <w:r w:rsidRPr="00B70CB8">
        <w:tab/>
        <w:t>Kaplan-Meier Plot of Event-Free Survival (FIREFISH Part</w:t>
      </w:r>
      <w:r w:rsidRPr="00B163C9">
        <w:rPr>
          <w:sz w:val="24"/>
        </w:rPr>
        <w:t xml:space="preserve"> 1 and Part 2)</w:t>
      </w:r>
    </w:p>
    <w:p w14:paraId="6A580E01" w14:textId="70633C4B" w:rsidR="00B163C9" w:rsidRDefault="00B163C9" w:rsidP="005801FD">
      <w:pPr>
        <w:rPr>
          <w:lang w:val="en-AU"/>
        </w:rPr>
      </w:pPr>
      <w:r w:rsidRPr="000943F4">
        <w:rPr>
          <w:noProof/>
          <w:sz w:val="16"/>
          <w:szCs w:val="16"/>
          <w:lang w:val="en-AU"/>
        </w:rPr>
        <w:drawing>
          <wp:inline distT="0" distB="0" distL="0" distR="0" wp14:anchorId="5336FD37" wp14:editId="7F9D15DF">
            <wp:extent cx="5409717" cy="30670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54224" name="Kaplan_meier_outline_22June.png"/>
                    <pic:cNvPicPr/>
                  </pic:nvPicPr>
                  <pic:blipFill rotWithShape="1">
                    <a:blip r:embed="rId9" cstate="print">
                      <a:extLst>
                        <a:ext uri="{28A0092B-C50C-407E-A947-70E740481C1C}">
                          <a14:useLocalDpi xmlns:a14="http://schemas.microsoft.com/office/drawing/2010/main" val="0"/>
                        </a:ext>
                      </a:extLst>
                    </a:blip>
                    <a:srcRect l="1388" t="11364" b="4775"/>
                    <a:stretch/>
                  </pic:blipFill>
                  <pic:spPr bwMode="auto">
                    <a:xfrm>
                      <a:off x="0" y="0"/>
                      <a:ext cx="5410211" cy="3067330"/>
                    </a:xfrm>
                    <a:prstGeom prst="rect">
                      <a:avLst/>
                    </a:prstGeom>
                    <a:ln>
                      <a:noFill/>
                    </a:ln>
                    <a:extLst>
                      <a:ext uri="{53640926-AAD7-44D8-BBD7-CCE9431645EC}">
                        <a14:shadowObscured xmlns:a14="http://schemas.microsoft.com/office/drawing/2010/main"/>
                      </a:ext>
                    </a:extLst>
                  </pic:spPr>
                </pic:pic>
              </a:graphicData>
            </a:graphic>
          </wp:inline>
        </w:drawing>
      </w:r>
    </w:p>
    <w:p w14:paraId="3326F3A1" w14:textId="258A9412" w:rsidR="00B163C9" w:rsidRDefault="00B163C9" w:rsidP="00B163C9">
      <w:pPr>
        <w:rPr>
          <w:lang w:val="en-AU"/>
        </w:rPr>
      </w:pPr>
      <w:r w:rsidRPr="00B163C9">
        <w:rPr>
          <w:lang w:val="en-AU"/>
        </w:rPr>
        <w:t>+ Censored: one patient in Part 2 was censored because they attended the Month 12 visit early</w:t>
      </w:r>
    </w:p>
    <w:p w14:paraId="18A08655" w14:textId="4B6D7354" w:rsidR="00B163C9" w:rsidRDefault="00B163C9" w:rsidP="00B163C9">
      <w:pPr>
        <w:rPr>
          <w:lang w:val="en-AU"/>
        </w:rPr>
      </w:pPr>
    </w:p>
    <w:p w14:paraId="40EE2B97" w14:textId="65A2D6D0" w:rsidR="00B163C9" w:rsidRDefault="00B163C9" w:rsidP="00B163C9">
      <w:pPr>
        <w:rPr>
          <w:lang w:val="en-AU"/>
        </w:rPr>
      </w:pPr>
    </w:p>
    <w:p w14:paraId="66B8145A" w14:textId="36C57A1D" w:rsidR="00B163C9" w:rsidRPr="00782B4A" w:rsidRDefault="00B163C9" w:rsidP="00B163C9">
      <w:pPr>
        <w:pStyle w:val="Tableheading"/>
        <w:spacing w:before="240"/>
        <w:rPr>
          <w:sz w:val="24"/>
        </w:rPr>
      </w:pPr>
      <w:r w:rsidRPr="002007E8">
        <w:t>Figure 2</w:t>
      </w:r>
      <w:r w:rsidR="00F35919" w:rsidRPr="002007E8">
        <w:t xml:space="preserve"> </w:t>
      </w:r>
      <w:r w:rsidRPr="002007E8">
        <w:t>Mean change from baseline in CHOP-INTEND Total Score (FIREFISH</w:t>
      </w:r>
      <w:r w:rsidRPr="00B163C9">
        <w:rPr>
          <w:sz w:val="24"/>
        </w:rPr>
        <w:t xml:space="preserve"> Part 2)</w:t>
      </w:r>
    </w:p>
    <w:p w14:paraId="3AF5B700" w14:textId="62CFCB06" w:rsidR="00B70CB8" w:rsidRDefault="00B70CB8" w:rsidP="005801FD">
      <w:pPr>
        <w:jc w:val="center"/>
        <w:rPr>
          <w:lang w:val="en-AU"/>
        </w:rPr>
      </w:pPr>
      <w:r>
        <w:rPr>
          <w:noProof/>
          <w:lang w:val="en-AU"/>
        </w:rPr>
        <w:drawing>
          <wp:inline distT="0" distB="0" distL="0" distR="0" wp14:anchorId="4E9C20DD" wp14:editId="449A0341">
            <wp:extent cx="4700270" cy="2446317"/>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11417"/>
                    <a:stretch/>
                  </pic:blipFill>
                  <pic:spPr bwMode="auto">
                    <a:xfrm>
                      <a:off x="0" y="0"/>
                      <a:ext cx="4700270" cy="2446317"/>
                    </a:xfrm>
                    <a:prstGeom prst="rect">
                      <a:avLst/>
                    </a:prstGeom>
                    <a:noFill/>
                    <a:ln>
                      <a:noFill/>
                    </a:ln>
                    <a:extLst>
                      <a:ext uri="{53640926-AAD7-44D8-BBD7-CCE9431645EC}">
                        <a14:shadowObscured xmlns:a14="http://schemas.microsoft.com/office/drawing/2010/main"/>
                      </a:ext>
                    </a:extLst>
                  </pic:spPr>
                </pic:pic>
              </a:graphicData>
            </a:graphic>
          </wp:inline>
        </w:drawing>
      </w:r>
    </w:p>
    <w:p w14:paraId="48B51B22" w14:textId="46BCDDE2" w:rsidR="00F35919" w:rsidRDefault="00F35919" w:rsidP="00F35919">
      <w:pPr>
        <w:pStyle w:val="Heading5"/>
        <w:keepNext/>
      </w:pPr>
      <w:r>
        <w:t>FIREFISH Part 1</w:t>
      </w:r>
    </w:p>
    <w:p w14:paraId="4BEC663C" w14:textId="0CBD0803" w:rsidR="00F35919" w:rsidRDefault="00F35919" w:rsidP="00F35919">
      <w:r w:rsidRPr="00F35919">
        <w:t xml:space="preserve">The efficacy of </w:t>
      </w:r>
      <w:proofErr w:type="spellStart"/>
      <w:r w:rsidRPr="00F35919">
        <w:t>Evrysdi</w:t>
      </w:r>
      <w:proofErr w:type="spellEnd"/>
      <w:r w:rsidRPr="00F35919">
        <w:t xml:space="preserve"> in Type 1 SMA patients is also supported by results from FIREFISH Part 1. For the 21 patients from Part 1, the baseline characteristics were consistent with symptomatic patients with Type 1 SMA. The median age at enrolment was 6.7 months (range: 3.3-6.9 months) and the median time between onset of symptoms and first dose was 4.0 months (range: 2.0-5.8 months). A total of 17 patients received the therapeutic dose (dose selected for Part 2) during the first 12 months of treatment. After 12 months of treatment, 41% (7/17) of patients were able to sit independently for at least 5 seconds (BSID-III, Item 22). After 18 months of treatment, 88% (15/17) of patients were alive and event-free (without permanent ventilation) </w:t>
      </w:r>
      <w:r>
        <w:t>(</w:t>
      </w:r>
      <w:r w:rsidRPr="00F35919">
        <w:t>see Figure 1</w:t>
      </w:r>
      <w:r>
        <w:t>)</w:t>
      </w:r>
      <w:r w:rsidRPr="00F35919">
        <w:t xml:space="preserve">. </w:t>
      </w:r>
      <w:r w:rsidR="007A519F">
        <w:t>After 18 months of treatment, t</w:t>
      </w:r>
      <w:r w:rsidR="00C23CC5" w:rsidRPr="00C23CC5">
        <w:t>hree patients</w:t>
      </w:r>
      <w:r w:rsidR="007A519F">
        <w:t xml:space="preserve"> had</w:t>
      </w:r>
      <w:r w:rsidR="00C23CC5" w:rsidRPr="00C23CC5">
        <w:t xml:space="preserve"> die</w:t>
      </w:r>
      <w:r w:rsidR="00C23CC5">
        <w:t xml:space="preserve">d during </w:t>
      </w:r>
      <w:r w:rsidR="007A519F">
        <w:t>FIREFISH Part 1, see figure 1</w:t>
      </w:r>
      <w:r w:rsidR="00FA39A6">
        <w:t>.</w:t>
      </w:r>
      <w:r w:rsidR="007A519F" w:rsidRPr="007A519F">
        <w:t xml:space="preserve"> </w:t>
      </w:r>
    </w:p>
    <w:p w14:paraId="41454AF5" w14:textId="5D5F8182" w:rsidR="00F35919" w:rsidRDefault="00F35919" w:rsidP="00F35919">
      <w:pPr>
        <w:pStyle w:val="Heading4"/>
        <w:keepNext/>
      </w:pPr>
      <w:r>
        <w:t>L</w:t>
      </w:r>
      <w:r w:rsidR="00696A1B">
        <w:t>ater-</w:t>
      </w:r>
      <w:r>
        <w:t>onset</w:t>
      </w:r>
      <w:r w:rsidRPr="006627AF">
        <w:t xml:space="preserve"> SMA</w:t>
      </w:r>
    </w:p>
    <w:p w14:paraId="7757F923" w14:textId="77CD3DB5" w:rsidR="00F35919" w:rsidRDefault="00F35919" w:rsidP="00F35919"/>
    <w:p w14:paraId="27CCDD1D" w14:textId="5D4B32A3" w:rsidR="00F35919" w:rsidRDefault="00F35919" w:rsidP="00F35919">
      <w:r>
        <w:t xml:space="preserve">Study BP39055 (SUNFISH), is a 2-part, multicentre trial to investigate the efficacy, safety, PK and PD of </w:t>
      </w:r>
      <w:proofErr w:type="spellStart"/>
      <w:r>
        <w:t>Evrysdi</w:t>
      </w:r>
      <w:proofErr w:type="spellEnd"/>
      <w:r>
        <w:t xml:space="preserve"> in SMA Type 2 or Type 3 patients between 2-25 years of age. Part 1 was the dose-finding portion and Part 2 was the randomised, double-blind, placebo-controlled confirmatory portion. Patients from Part 1 did not take part in Part 2.</w:t>
      </w:r>
    </w:p>
    <w:p w14:paraId="28E29027" w14:textId="77777777" w:rsidR="00F35919" w:rsidRDefault="00F35919" w:rsidP="00F35919"/>
    <w:p w14:paraId="17C539C0" w14:textId="33D4C8D0" w:rsidR="00F35919" w:rsidRDefault="00F35919" w:rsidP="00F35919">
      <w:r>
        <w:t>The primary endpoint was the change from baseline score at Month 12 on the Motor Function Measure-32 (MFM32). The MFM32 has the ability to assess a wide range of motor function across a broad range of SMA patients. The total MFM32 score is expressed as a percentage (range: 0 to 100) of the maximum possible score, with higher scores indicating greater motor function. The MFM32 measures motor function abilities, which relate to important daily functions. Small changes in motor function can result in meaningful gain or loss of daily function(s).</w:t>
      </w:r>
    </w:p>
    <w:p w14:paraId="7052511B" w14:textId="5F798ABE" w:rsidR="00F35919" w:rsidRDefault="00F35919" w:rsidP="00F35919">
      <w:pPr>
        <w:pStyle w:val="Heading5"/>
        <w:keepNext/>
      </w:pPr>
      <w:r>
        <w:t>SUNFISH Part 2</w:t>
      </w:r>
    </w:p>
    <w:p w14:paraId="6157A4DA" w14:textId="15FECFC0" w:rsidR="00F35919" w:rsidRDefault="00F35919" w:rsidP="00F35919">
      <w:r>
        <w:t>SUNFISH Part 2 is the randomised, double-blind, placebo-controlled portion of the SUNFISH study in 180 non-ambulant patients with Type 2 (71%) or Type 3 (</w:t>
      </w:r>
      <w:r w:rsidR="00696A1B">
        <w:t>29%) SMA. Patients were randomis</w:t>
      </w:r>
      <w:r>
        <w:t xml:space="preserve">ed 2:1 to receive either </w:t>
      </w:r>
      <w:proofErr w:type="spellStart"/>
      <w:r>
        <w:t>Evrysdi</w:t>
      </w:r>
      <w:proofErr w:type="spellEnd"/>
      <w:r>
        <w:t xml:space="preserve"> at the therapeutic dose </w:t>
      </w:r>
      <w:r w:rsidR="00696A1B">
        <w:t xml:space="preserve">(see section 4.2 </w:t>
      </w:r>
      <w:r w:rsidR="00696A1B">
        <w:lastRenderedPageBreak/>
        <w:t>Dose and method of administration) or placebo. Randomis</w:t>
      </w:r>
      <w:r>
        <w:t>ation</w:t>
      </w:r>
      <w:r w:rsidR="00696A1B">
        <w:t xml:space="preserve"> was stratified by age group (2 </w:t>
      </w:r>
      <w:r>
        <w:t xml:space="preserve">to 5, 6 to 11, 12 to 17, 18 to 25 years old).  </w:t>
      </w:r>
    </w:p>
    <w:p w14:paraId="294D3BB6" w14:textId="77777777" w:rsidR="00696A1B" w:rsidRDefault="00696A1B" w:rsidP="00F35919"/>
    <w:p w14:paraId="7A5C1A15" w14:textId="18582E93" w:rsidR="00F35919" w:rsidRDefault="00F35919" w:rsidP="00F35919">
      <w:r>
        <w:t>The median age of patients at the start of treatment was 9.0 y</w:t>
      </w:r>
      <w:r w:rsidR="00696A1B">
        <w:t>ears old (range 2-25 years old) and</w:t>
      </w:r>
      <w:r>
        <w:t xml:space="preserve"> the median time between onset of initial SMA symptoms to first treatment was </w:t>
      </w:r>
      <w:r w:rsidR="00696A1B">
        <w:t>102.6 (1</w:t>
      </w:r>
      <w:r w:rsidR="00696A1B">
        <w:noBreakHyphen/>
      </w:r>
      <w:r>
        <w:t xml:space="preserve">275) months. Of the 180 patients included in the trial, 51% were female, 67% Caucasian and 19% Asian. At baseline, 67% of patients had scoliosis (32% of patients with severe scoliosis). Patients had a mean baseline MFM32 score of 46.1 and </w:t>
      </w:r>
      <w:r w:rsidR="00696A1B">
        <w:t>a</w:t>
      </w:r>
      <w:r>
        <w:t xml:space="preserve"> Revised Upper Limb Module (RULM) score of 20.1. The overall baseline demographic characteristics were well balanced between </w:t>
      </w:r>
      <w:proofErr w:type="spellStart"/>
      <w:r>
        <w:t>Evrysdi</w:t>
      </w:r>
      <w:proofErr w:type="spellEnd"/>
      <w:r>
        <w:t xml:space="preserve"> and placebo groups with the exception of an imbalance of patients with scoliosis (63.3% of patients in the </w:t>
      </w:r>
      <w:proofErr w:type="spellStart"/>
      <w:r>
        <w:t>Evrysdi</w:t>
      </w:r>
      <w:proofErr w:type="spellEnd"/>
      <w:r>
        <w:t xml:space="preserve"> arm and 73.3% of patients in the placebo control).  </w:t>
      </w:r>
    </w:p>
    <w:p w14:paraId="09FF6AF6" w14:textId="77777777" w:rsidR="00696A1B" w:rsidRDefault="00696A1B" w:rsidP="00F35919"/>
    <w:p w14:paraId="338796D5" w14:textId="1ABB9204" w:rsidR="002F0A06" w:rsidRDefault="00F35919" w:rsidP="00F35919">
      <w:r>
        <w:t>The primary analysis for SUNFISH Part 2, the change from baseline in MFM32 total score at Month 12</w:t>
      </w:r>
      <w:r w:rsidR="00696A1B">
        <w:t>,</w:t>
      </w:r>
      <w:r>
        <w:t xml:space="preserve"> showed a clinically meaningful and statistically significant difference between patients treated with </w:t>
      </w:r>
      <w:proofErr w:type="spellStart"/>
      <w:r>
        <w:t>Evrysdi</w:t>
      </w:r>
      <w:proofErr w:type="spellEnd"/>
      <w:r>
        <w:t xml:space="preserve"> and placebo. The results of the primary analysis and key secondary endpoints are shown in Table </w:t>
      </w:r>
      <w:r w:rsidR="0067636D">
        <w:t xml:space="preserve">6 </w:t>
      </w:r>
      <w:r w:rsidR="00696A1B">
        <w:t>and</w:t>
      </w:r>
      <w:r>
        <w:t xml:space="preserve"> Figure</w:t>
      </w:r>
      <w:r w:rsidR="00696A1B">
        <w:t xml:space="preserve">s 3 </w:t>
      </w:r>
      <w:r>
        <w:t>and 4.</w:t>
      </w:r>
    </w:p>
    <w:p w14:paraId="745E1542" w14:textId="77777777" w:rsidR="002F0A06" w:rsidRDefault="002F0A06" w:rsidP="00F35919"/>
    <w:p w14:paraId="6269B900" w14:textId="4B67C83A" w:rsidR="00696A1B" w:rsidRPr="00782B4A" w:rsidRDefault="00696A1B" w:rsidP="00AD20AB">
      <w:pPr>
        <w:pStyle w:val="Tableheading"/>
        <w:rPr>
          <w:sz w:val="24"/>
        </w:rPr>
      </w:pPr>
      <w:r w:rsidRPr="00782B4A">
        <w:rPr>
          <w:sz w:val="24"/>
        </w:rPr>
        <w:t xml:space="preserve">Table </w:t>
      </w:r>
      <w:r w:rsidR="0067636D">
        <w:rPr>
          <w:sz w:val="24"/>
        </w:rPr>
        <w:t>6</w:t>
      </w:r>
      <w:r w:rsidRPr="00782B4A">
        <w:rPr>
          <w:sz w:val="24"/>
        </w:rPr>
        <w:tab/>
      </w:r>
      <w:r>
        <w:rPr>
          <w:sz w:val="24"/>
        </w:rPr>
        <w:t>Summary of e</w:t>
      </w:r>
      <w:r w:rsidRPr="00696A1B">
        <w:rPr>
          <w:sz w:val="24"/>
        </w:rPr>
        <w:t xml:space="preserve">fficacy in </w:t>
      </w:r>
      <w:r>
        <w:rPr>
          <w:sz w:val="24"/>
        </w:rPr>
        <w:t>p</w:t>
      </w:r>
      <w:r w:rsidRPr="00696A1B">
        <w:rPr>
          <w:sz w:val="24"/>
        </w:rPr>
        <w:t xml:space="preserve">atients with </w:t>
      </w:r>
      <w:r>
        <w:rPr>
          <w:sz w:val="24"/>
        </w:rPr>
        <w:t>later-o</w:t>
      </w:r>
      <w:r w:rsidRPr="00696A1B">
        <w:rPr>
          <w:sz w:val="24"/>
        </w:rPr>
        <w:t>nset SMA at Month 12 of Treatment (SUNFISH Part 2)</w:t>
      </w:r>
    </w:p>
    <w:tbl>
      <w:tblPr>
        <w:tblStyle w:val="TableGrid"/>
        <w:tblW w:w="9060" w:type="dxa"/>
        <w:tblLook w:val="04A0" w:firstRow="1" w:lastRow="0" w:firstColumn="1" w:lastColumn="0" w:noHBand="0" w:noVBand="1"/>
      </w:tblPr>
      <w:tblGrid>
        <w:gridCol w:w="5944"/>
        <w:gridCol w:w="1558"/>
        <w:gridCol w:w="1558"/>
      </w:tblGrid>
      <w:tr w:rsidR="00696A1B" w:rsidRPr="00782B4A" w14:paraId="02BB7924" w14:textId="33D2033E" w:rsidTr="00696A1B">
        <w:tc>
          <w:tcPr>
            <w:tcW w:w="5944" w:type="dxa"/>
          </w:tcPr>
          <w:p w14:paraId="0CEB1403" w14:textId="1BA1E4AE" w:rsidR="00696A1B" w:rsidRPr="00782B4A" w:rsidRDefault="00696A1B" w:rsidP="00AD20AB">
            <w:pPr>
              <w:keepNext/>
              <w:pBdr>
                <w:top w:val="none" w:sz="0" w:space="0" w:color="auto"/>
                <w:left w:val="none" w:sz="0" w:space="0" w:color="auto"/>
                <w:bottom w:val="none" w:sz="0" w:space="0" w:color="auto"/>
                <w:right w:val="none" w:sz="0" w:space="0" w:color="auto"/>
                <w:between w:val="none" w:sz="0" w:space="0" w:color="auto"/>
              </w:pBdr>
              <w:spacing w:before="40" w:after="40"/>
              <w:rPr>
                <w:b/>
                <w:lang w:val="en-AU"/>
              </w:rPr>
            </w:pPr>
            <w:r>
              <w:rPr>
                <w:b/>
                <w:lang w:val="en-AU"/>
              </w:rPr>
              <w:t>Endpoint</w:t>
            </w:r>
          </w:p>
        </w:tc>
        <w:tc>
          <w:tcPr>
            <w:tcW w:w="1558" w:type="dxa"/>
          </w:tcPr>
          <w:p w14:paraId="316B76DB" w14:textId="4BB997F9" w:rsidR="00696A1B" w:rsidRPr="00782B4A" w:rsidRDefault="00696A1B" w:rsidP="00AD20AB">
            <w:pPr>
              <w:keepNext/>
              <w:pBdr>
                <w:top w:val="none" w:sz="0" w:space="0" w:color="auto"/>
                <w:left w:val="none" w:sz="0" w:space="0" w:color="auto"/>
                <w:bottom w:val="none" w:sz="0" w:space="0" w:color="auto"/>
                <w:right w:val="none" w:sz="0" w:space="0" w:color="auto"/>
                <w:between w:val="none" w:sz="0" w:space="0" w:color="auto"/>
              </w:pBdr>
              <w:spacing w:before="40" w:after="40"/>
              <w:jc w:val="center"/>
              <w:rPr>
                <w:lang w:val="en-AU"/>
              </w:rPr>
            </w:pPr>
            <w:proofErr w:type="spellStart"/>
            <w:r>
              <w:rPr>
                <w:b/>
                <w:lang w:val="en-AU"/>
              </w:rPr>
              <w:t>Evrysdi</w:t>
            </w:r>
            <w:proofErr w:type="spellEnd"/>
            <w:r w:rsidRPr="00782B4A">
              <w:rPr>
                <w:b/>
                <w:lang w:val="en-AU"/>
              </w:rPr>
              <w:br/>
            </w:r>
            <w:r w:rsidRPr="00782B4A">
              <w:rPr>
                <w:lang w:val="en-AU"/>
              </w:rPr>
              <w:t>N=</w:t>
            </w:r>
            <w:r>
              <w:rPr>
                <w:lang w:val="en-AU"/>
              </w:rPr>
              <w:t>120</w:t>
            </w:r>
          </w:p>
        </w:tc>
        <w:tc>
          <w:tcPr>
            <w:tcW w:w="1558" w:type="dxa"/>
          </w:tcPr>
          <w:p w14:paraId="1AD3331F" w14:textId="6A3A9573" w:rsidR="00696A1B" w:rsidRPr="00782B4A" w:rsidRDefault="00696A1B" w:rsidP="00AD20AB">
            <w:pPr>
              <w:keepNext/>
              <w:pBdr>
                <w:top w:val="none" w:sz="0" w:space="0" w:color="auto"/>
                <w:left w:val="none" w:sz="0" w:space="0" w:color="auto"/>
                <w:bottom w:val="none" w:sz="0" w:space="0" w:color="auto"/>
                <w:right w:val="none" w:sz="0" w:space="0" w:color="auto"/>
                <w:between w:val="none" w:sz="0" w:space="0" w:color="auto"/>
              </w:pBdr>
              <w:spacing w:before="40" w:after="40"/>
              <w:jc w:val="center"/>
              <w:rPr>
                <w:b/>
                <w:lang w:val="en-AU"/>
              </w:rPr>
            </w:pPr>
            <w:r>
              <w:rPr>
                <w:b/>
                <w:lang w:val="en-AU"/>
              </w:rPr>
              <w:t>Placebo</w:t>
            </w:r>
            <w:r w:rsidRPr="00782B4A">
              <w:rPr>
                <w:b/>
                <w:lang w:val="en-AU"/>
              </w:rPr>
              <w:br/>
            </w:r>
            <w:r w:rsidRPr="00782B4A">
              <w:rPr>
                <w:lang w:val="en-AU"/>
              </w:rPr>
              <w:t>N=</w:t>
            </w:r>
            <w:r>
              <w:rPr>
                <w:lang w:val="en-AU"/>
              </w:rPr>
              <w:t>60</w:t>
            </w:r>
          </w:p>
        </w:tc>
      </w:tr>
      <w:tr w:rsidR="00696A1B" w:rsidRPr="00782B4A" w14:paraId="76EDF9AF" w14:textId="335CFEAF" w:rsidTr="00542EBD">
        <w:tc>
          <w:tcPr>
            <w:tcW w:w="9060" w:type="dxa"/>
            <w:gridSpan w:val="3"/>
            <w:tcBorders>
              <w:bottom w:val="single" w:sz="4" w:space="0" w:color="auto"/>
            </w:tcBorders>
          </w:tcPr>
          <w:p w14:paraId="11A351EC" w14:textId="36FDF1E8" w:rsidR="00696A1B" w:rsidRPr="00782B4A" w:rsidRDefault="00696A1B" w:rsidP="00AD20AB">
            <w:pPr>
              <w:keepNext/>
              <w:pBdr>
                <w:top w:val="none" w:sz="0" w:space="0" w:color="auto"/>
                <w:left w:val="none" w:sz="0" w:space="0" w:color="auto"/>
                <w:bottom w:val="none" w:sz="0" w:space="0" w:color="auto"/>
                <w:right w:val="none" w:sz="0" w:space="0" w:color="auto"/>
                <w:between w:val="none" w:sz="0" w:space="0" w:color="auto"/>
              </w:pBdr>
              <w:spacing w:before="40" w:after="40"/>
              <w:rPr>
                <w:b/>
                <w:lang w:val="en-AU"/>
              </w:rPr>
            </w:pPr>
            <w:r>
              <w:rPr>
                <w:b/>
                <w:lang w:val="en-AU"/>
              </w:rPr>
              <w:t>Primary Endpoint</w:t>
            </w:r>
          </w:p>
        </w:tc>
      </w:tr>
      <w:tr w:rsidR="00696A1B" w:rsidRPr="00782B4A" w14:paraId="583EC650" w14:textId="418A961D" w:rsidTr="00542EBD">
        <w:tc>
          <w:tcPr>
            <w:tcW w:w="5944" w:type="dxa"/>
            <w:tcBorders>
              <w:bottom w:val="nil"/>
            </w:tcBorders>
          </w:tcPr>
          <w:p w14:paraId="24964E25" w14:textId="1EBB3812" w:rsidR="00696A1B" w:rsidRPr="00782B4A" w:rsidRDefault="00696A1B" w:rsidP="00AD20AB">
            <w:pPr>
              <w:keepNext/>
              <w:pBdr>
                <w:top w:val="none" w:sz="0" w:space="0" w:color="auto"/>
                <w:left w:val="none" w:sz="0" w:space="0" w:color="auto"/>
                <w:bottom w:val="none" w:sz="0" w:space="0" w:color="auto"/>
                <w:right w:val="none" w:sz="0" w:space="0" w:color="auto"/>
                <w:between w:val="none" w:sz="0" w:space="0" w:color="auto"/>
              </w:pBdr>
              <w:spacing w:before="40"/>
              <w:rPr>
                <w:lang w:val="en-AU"/>
              </w:rPr>
            </w:pPr>
            <w:r w:rsidRPr="00696A1B">
              <w:rPr>
                <w:lang w:val="en-AU"/>
              </w:rPr>
              <w:t>Change from baseline in MFM32 total score</w:t>
            </w:r>
            <w:r w:rsidRPr="00696A1B">
              <w:rPr>
                <w:vertAlign w:val="superscript"/>
                <w:lang w:val="en-AU"/>
              </w:rPr>
              <w:t>1</w:t>
            </w:r>
            <w:r w:rsidRPr="00696A1B">
              <w:rPr>
                <w:lang w:val="en-AU"/>
              </w:rPr>
              <w:t xml:space="preserve"> at Month 12</w:t>
            </w:r>
          </w:p>
        </w:tc>
        <w:tc>
          <w:tcPr>
            <w:tcW w:w="1558" w:type="dxa"/>
            <w:tcBorders>
              <w:bottom w:val="nil"/>
            </w:tcBorders>
            <w:vAlign w:val="center"/>
          </w:tcPr>
          <w:p w14:paraId="0B445A09" w14:textId="614DBA13" w:rsidR="00696A1B" w:rsidRPr="00696A1B" w:rsidRDefault="00696A1B" w:rsidP="00AD20AB">
            <w:pPr>
              <w:keepNext/>
              <w:spacing w:before="40"/>
              <w:jc w:val="center"/>
              <w:rPr>
                <w:lang w:val="en-AU"/>
              </w:rPr>
            </w:pPr>
            <w:r w:rsidRPr="00696A1B">
              <w:rPr>
                <w:rFonts w:cs="Arial"/>
                <w:szCs w:val="20"/>
                <w:lang w:val="it-IT" w:eastAsia="en-US"/>
              </w:rPr>
              <w:t xml:space="preserve">1.36 </w:t>
            </w:r>
          </w:p>
        </w:tc>
        <w:tc>
          <w:tcPr>
            <w:tcW w:w="1558" w:type="dxa"/>
            <w:tcBorders>
              <w:bottom w:val="nil"/>
            </w:tcBorders>
            <w:vAlign w:val="center"/>
          </w:tcPr>
          <w:p w14:paraId="7CADA608" w14:textId="732CDCD4" w:rsidR="00696A1B" w:rsidRPr="00696A1B" w:rsidRDefault="00696A1B" w:rsidP="00AD20AB">
            <w:pPr>
              <w:keepNext/>
              <w:spacing w:before="40"/>
              <w:jc w:val="center"/>
              <w:rPr>
                <w:lang w:val="en-AU"/>
              </w:rPr>
            </w:pPr>
            <w:r w:rsidRPr="00696A1B">
              <w:rPr>
                <w:rFonts w:cs="Arial"/>
                <w:szCs w:val="20"/>
                <w:lang w:val="it-IT" w:eastAsia="en-US"/>
              </w:rPr>
              <w:t xml:space="preserve">-0.19 </w:t>
            </w:r>
          </w:p>
        </w:tc>
      </w:tr>
      <w:tr w:rsidR="00542EBD" w:rsidRPr="00782B4A" w14:paraId="16261696" w14:textId="77777777" w:rsidTr="00542EBD">
        <w:tc>
          <w:tcPr>
            <w:tcW w:w="5944" w:type="dxa"/>
            <w:tcBorders>
              <w:top w:val="nil"/>
              <w:bottom w:val="single" w:sz="4" w:space="0" w:color="auto"/>
            </w:tcBorders>
          </w:tcPr>
          <w:p w14:paraId="6E094198" w14:textId="213D3892" w:rsidR="00542EBD" w:rsidRPr="00542EBD" w:rsidRDefault="00542EBD" w:rsidP="00542EBD">
            <w:pPr>
              <w:pBdr>
                <w:top w:val="none" w:sz="0" w:space="0" w:color="auto"/>
                <w:left w:val="none" w:sz="0" w:space="0" w:color="auto"/>
                <w:bottom w:val="none" w:sz="0" w:space="0" w:color="auto"/>
                <w:right w:val="none" w:sz="0" w:space="0" w:color="auto"/>
                <w:between w:val="none" w:sz="0" w:space="0" w:color="auto"/>
              </w:pBdr>
              <w:spacing w:after="40"/>
              <w:ind w:left="28"/>
              <w:rPr>
                <w:rFonts w:cs="Arial"/>
                <w:szCs w:val="20"/>
                <w:lang w:eastAsia="en-US"/>
              </w:rPr>
            </w:pPr>
            <w:r w:rsidRPr="00696A1B">
              <w:rPr>
                <w:lang w:val="en-AU"/>
              </w:rPr>
              <w:t>LS Mean (95%, CI)</w:t>
            </w:r>
          </w:p>
        </w:tc>
        <w:tc>
          <w:tcPr>
            <w:tcW w:w="1558" w:type="dxa"/>
            <w:tcBorders>
              <w:top w:val="nil"/>
              <w:bottom w:val="single" w:sz="4" w:space="0" w:color="auto"/>
            </w:tcBorders>
            <w:vAlign w:val="bottom"/>
          </w:tcPr>
          <w:p w14:paraId="74265E46" w14:textId="64E22187" w:rsidR="00542EBD" w:rsidRPr="00782B4A" w:rsidRDefault="00542EBD" w:rsidP="00542EBD">
            <w:pPr>
              <w:pBdr>
                <w:top w:val="none" w:sz="0" w:space="0" w:color="auto"/>
                <w:left w:val="none" w:sz="0" w:space="0" w:color="auto"/>
                <w:bottom w:val="none" w:sz="0" w:space="0" w:color="auto"/>
                <w:right w:val="none" w:sz="0" w:space="0" w:color="auto"/>
                <w:between w:val="none" w:sz="0" w:space="0" w:color="auto"/>
              </w:pBdr>
              <w:spacing w:after="40"/>
              <w:jc w:val="center"/>
              <w:rPr>
                <w:lang w:val="en-AU"/>
              </w:rPr>
            </w:pPr>
            <w:r w:rsidRPr="00696A1B">
              <w:rPr>
                <w:rFonts w:cs="Arial"/>
                <w:szCs w:val="20"/>
                <w:lang w:val="it-IT" w:eastAsia="en-US"/>
              </w:rPr>
              <w:t>(0.61, 2.11)</w:t>
            </w:r>
          </w:p>
        </w:tc>
        <w:tc>
          <w:tcPr>
            <w:tcW w:w="1558" w:type="dxa"/>
            <w:tcBorders>
              <w:top w:val="nil"/>
              <w:bottom w:val="single" w:sz="4" w:space="0" w:color="auto"/>
            </w:tcBorders>
          </w:tcPr>
          <w:p w14:paraId="7EFB9F95" w14:textId="1BCABC0D" w:rsidR="00542EBD" w:rsidRPr="00782B4A" w:rsidRDefault="00542EBD" w:rsidP="00542EBD">
            <w:pPr>
              <w:pBdr>
                <w:top w:val="none" w:sz="0" w:space="0" w:color="auto"/>
                <w:left w:val="none" w:sz="0" w:space="0" w:color="auto"/>
                <w:bottom w:val="none" w:sz="0" w:space="0" w:color="auto"/>
                <w:right w:val="none" w:sz="0" w:space="0" w:color="auto"/>
                <w:between w:val="none" w:sz="0" w:space="0" w:color="auto"/>
              </w:pBdr>
              <w:spacing w:after="40"/>
              <w:jc w:val="center"/>
              <w:rPr>
                <w:lang w:val="en-AU"/>
              </w:rPr>
            </w:pPr>
            <w:r w:rsidRPr="00696A1B">
              <w:rPr>
                <w:rFonts w:cs="Arial"/>
                <w:szCs w:val="20"/>
                <w:lang w:val="it-IT" w:eastAsia="en-US"/>
              </w:rPr>
              <w:t>(-1.22, 0.84)</w:t>
            </w:r>
          </w:p>
        </w:tc>
      </w:tr>
      <w:tr w:rsidR="00542EBD" w:rsidRPr="00782B4A" w14:paraId="3540E908" w14:textId="2CC77665" w:rsidTr="00542EBD">
        <w:tc>
          <w:tcPr>
            <w:tcW w:w="5944" w:type="dxa"/>
            <w:tcBorders>
              <w:top w:val="single" w:sz="4" w:space="0" w:color="auto"/>
              <w:bottom w:val="nil"/>
            </w:tcBorders>
          </w:tcPr>
          <w:p w14:paraId="7F341ACB" w14:textId="605545C3" w:rsidR="00542EBD" w:rsidRPr="00542EBD" w:rsidRDefault="00542EBD" w:rsidP="00711E31">
            <w:pPr>
              <w:pBdr>
                <w:top w:val="none" w:sz="0" w:space="0" w:color="auto"/>
                <w:left w:val="none" w:sz="0" w:space="0" w:color="auto"/>
                <w:bottom w:val="none" w:sz="0" w:space="0" w:color="auto"/>
                <w:right w:val="none" w:sz="0" w:space="0" w:color="auto"/>
                <w:between w:val="none" w:sz="0" w:space="0" w:color="auto"/>
              </w:pBdr>
              <w:spacing w:before="40"/>
              <w:ind w:left="313"/>
              <w:rPr>
                <w:lang w:val="en-AU"/>
              </w:rPr>
            </w:pPr>
            <w:r w:rsidRPr="00542EBD">
              <w:rPr>
                <w:rFonts w:cs="Arial"/>
                <w:szCs w:val="20"/>
                <w:lang w:eastAsia="en-US"/>
              </w:rPr>
              <w:t xml:space="preserve">Difference from Placebo </w:t>
            </w:r>
          </w:p>
        </w:tc>
        <w:tc>
          <w:tcPr>
            <w:tcW w:w="3116" w:type="dxa"/>
            <w:gridSpan w:val="2"/>
            <w:tcBorders>
              <w:top w:val="single" w:sz="4" w:space="0" w:color="auto"/>
              <w:bottom w:val="nil"/>
            </w:tcBorders>
          </w:tcPr>
          <w:p w14:paraId="7B15D356" w14:textId="6E2E3738" w:rsidR="00542EBD" w:rsidRPr="00542EBD" w:rsidRDefault="00542EBD" w:rsidP="00711E31">
            <w:pPr>
              <w:pBdr>
                <w:top w:val="none" w:sz="0" w:space="0" w:color="auto"/>
                <w:left w:val="none" w:sz="0" w:space="0" w:color="auto"/>
                <w:bottom w:val="none" w:sz="0" w:space="0" w:color="auto"/>
                <w:right w:val="none" w:sz="0" w:space="0" w:color="auto"/>
                <w:between w:val="none" w:sz="0" w:space="0" w:color="auto"/>
              </w:pBdr>
              <w:spacing w:before="40"/>
              <w:jc w:val="center"/>
              <w:rPr>
                <w:lang w:val="en-AU"/>
              </w:rPr>
            </w:pPr>
            <w:r w:rsidRPr="00542EBD">
              <w:rPr>
                <w:rFonts w:cs="Arial"/>
                <w:szCs w:val="20"/>
                <w:lang w:val="it-IT" w:eastAsia="en-US"/>
              </w:rPr>
              <w:t xml:space="preserve">1.55 </w:t>
            </w:r>
          </w:p>
        </w:tc>
      </w:tr>
      <w:tr w:rsidR="00542EBD" w:rsidRPr="00782B4A" w14:paraId="704D0BCB" w14:textId="0F59717F" w:rsidTr="00716AB3">
        <w:tc>
          <w:tcPr>
            <w:tcW w:w="5944" w:type="dxa"/>
            <w:tcBorders>
              <w:top w:val="nil"/>
              <w:bottom w:val="nil"/>
            </w:tcBorders>
          </w:tcPr>
          <w:p w14:paraId="182FFC40" w14:textId="426235E3" w:rsidR="00542EBD" w:rsidRPr="00542EBD" w:rsidRDefault="00542EBD" w:rsidP="00711E31">
            <w:pPr>
              <w:pBdr>
                <w:top w:val="none" w:sz="0" w:space="0" w:color="auto"/>
                <w:left w:val="none" w:sz="0" w:space="0" w:color="auto"/>
                <w:bottom w:val="none" w:sz="0" w:space="0" w:color="auto"/>
                <w:right w:val="none" w:sz="0" w:space="0" w:color="auto"/>
                <w:between w:val="none" w:sz="0" w:space="0" w:color="auto"/>
              </w:pBdr>
              <w:ind w:left="312"/>
              <w:rPr>
                <w:lang w:val="en-AU"/>
              </w:rPr>
            </w:pPr>
            <w:r w:rsidRPr="00542EBD">
              <w:rPr>
                <w:rFonts w:cs="Arial"/>
                <w:szCs w:val="20"/>
                <w:lang w:eastAsia="en-US"/>
              </w:rPr>
              <w:t>Estimate (95% CI)</w:t>
            </w:r>
          </w:p>
        </w:tc>
        <w:tc>
          <w:tcPr>
            <w:tcW w:w="3116" w:type="dxa"/>
            <w:gridSpan w:val="2"/>
            <w:tcBorders>
              <w:top w:val="nil"/>
              <w:bottom w:val="nil"/>
            </w:tcBorders>
          </w:tcPr>
          <w:p w14:paraId="7563D44C" w14:textId="7E0940F9" w:rsidR="00542EBD" w:rsidRPr="00542EBD" w:rsidRDefault="00542EBD" w:rsidP="00711E31">
            <w:pPr>
              <w:pBdr>
                <w:top w:val="none" w:sz="0" w:space="0" w:color="auto"/>
                <w:left w:val="none" w:sz="0" w:space="0" w:color="auto"/>
                <w:bottom w:val="none" w:sz="0" w:space="0" w:color="auto"/>
                <w:right w:val="none" w:sz="0" w:space="0" w:color="auto"/>
                <w:between w:val="none" w:sz="0" w:space="0" w:color="auto"/>
              </w:pBdr>
              <w:jc w:val="center"/>
              <w:rPr>
                <w:lang w:val="en-AU"/>
              </w:rPr>
            </w:pPr>
            <w:r w:rsidRPr="00542EBD">
              <w:rPr>
                <w:rFonts w:cs="Arial"/>
                <w:szCs w:val="20"/>
                <w:lang w:val="it-IT" w:eastAsia="en-US"/>
              </w:rPr>
              <w:t>(0.30, 2.81)</w:t>
            </w:r>
          </w:p>
        </w:tc>
      </w:tr>
      <w:tr w:rsidR="00542EBD" w:rsidRPr="00782B4A" w14:paraId="20D0B598" w14:textId="11D46C89" w:rsidTr="00716AB3">
        <w:tc>
          <w:tcPr>
            <w:tcW w:w="5944" w:type="dxa"/>
            <w:tcBorders>
              <w:top w:val="nil"/>
            </w:tcBorders>
          </w:tcPr>
          <w:p w14:paraId="2F251610" w14:textId="4CBA1C75" w:rsidR="00542EBD" w:rsidRPr="00542EBD" w:rsidRDefault="00542EBD" w:rsidP="00542EBD">
            <w:pPr>
              <w:pBdr>
                <w:top w:val="none" w:sz="0" w:space="0" w:color="auto"/>
                <w:left w:val="none" w:sz="0" w:space="0" w:color="auto"/>
                <w:bottom w:val="none" w:sz="0" w:space="0" w:color="auto"/>
                <w:right w:val="none" w:sz="0" w:space="0" w:color="auto"/>
                <w:between w:val="none" w:sz="0" w:space="0" w:color="auto"/>
              </w:pBdr>
              <w:spacing w:after="40"/>
              <w:ind w:left="312"/>
              <w:rPr>
                <w:lang w:val="en-AU"/>
              </w:rPr>
            </w:pPr>
            <w:r w:rsidRPr="00542EBD">
              <w:rPr>
                <w:rFonts w:cs="Arial"/>
                <w:szCs w:val="20"/>
                <w:lang w:eastAsia="en-US"/>
              </w:rPr>
              <w:t>p-value</w:t>
            </w:r>
            <w:r w:rsidRPr="00542EBD">
              <w:rPr>
                <w:rFonts w:cs="Arial"/>
                <w:szCs w:val="20"/>
                <w:vertAlign w:val="superscript"/>
                <w:lang w:eastAsia="en-US"/>
              </w:rPr>
              <w:t>2</w:t>
            </w:r>
          </w:p>
        </w:tc>
        <w:tc>
          <w:tcPr>
            <w:tcW w:w="3116" w:type="dxa"/>
            <w:gridSpan w:val="2"/>
            <w:tcBorders>
              <w:top w:val="nil"/>
            </w:tcBorders>
          </w:tcPr>
          <w:p w14:paraId="1D54803D" w14:textId="440E845F" w:rsidR="00542EBD" w:rsidRPr="00542EBD" w:rsidRDefault="00542EBD" w:rsidP="00542EBD">
            <w:pPr>
              <w:pBdr>
                <w:top w:val="none" w:sz="0" w:space="0" w:color="auto"/>
                <w:left w:val="none" w:sz="0" w:space="0" w:color="auto"/>
                <w:bottom w:val="none" w:sz="0" w:space="0" w:color="auto"/>
                <w:right w:val="none" w:sz="0" w:space="0" w:color="auto"/>
                <w:between w:val="none" w:sz="0" w:space="0" w:color="auto"/>
              </w:pBdr>
              <w:spacing w:after="40"/>
              <w:jc w:val="center"/>
              <w:rPr>
                <w:lang w:val="en-AU"/>
              </w:rPr>
            </w:pPr>
            <w:r w:rsidRPr="00542EBD">
              <w:rPr>
                <w:rFonts w:cs="Arial"/>
                <w:szCs w:val="20"/>
                <w:lang w:val="it-IT" w:eastAsia="en-US"/>
              </w:rPr>
              <w:t>0.0156</w:t>
            </w:r>
          </w:p>
        </w:tc>
      </w:tr>
      <w:tr w:rsidR="00696A1B" w:rsidRPr="00782B4A" w14:paraId="24ADB366" w14:textId="4DC86E0A" w:rsidTr="00696A1B">
        <w:tc>
          <w:tcPr>
            <w:tcW w:w="7502" w:type="dxa"/>
            <w:gridSpan w:val="2"/>
          </w:tcPr>
          <w:p w14:paraId="01D35D44" w14:textId="2C563865" w:rsidR="00696A1B" w:rsidRPr="00782B4A" w:rsidRDefault="00696A1B" w:rsidP="00542EBD">
            <w:pPr>
              <w:pBdr>
                <w:top w:val="none" w:sz="0" w:space="0" w:color="auto"/>
                <w:left w:val="none" w:sz="0" w:space="0" w:color="auto"/>
                <w:bottom w:val="none" w:sz="0" w:space="0" w:color="auto"/>
                <w:right w:val="none" w:sz="0" w:space="0" w:color="auto"/>
                <w:between w:val="none" w:sz="0" w:space="0" w:color="auto"/>
              </w:pBdr>
              <w:spacing w:before="40" w:after="40"/>
              <w:rPr>
                <w:b/>
                <w:lang w:val="en-AU"/>
              </w:rPr>
            </w:pPr>
            <w:r w:rsidRPr="00782B4A">
              <w:rPr>
                <w:b/>
                <w:lang w:val="en-AU"/>
              </w:rPr>
              <w:t>S</w:t>
            </w:r>
            <w:r>
              <w:rPr>
                <w:b/>
                <w:lang w:val="en-AU"/>
              </w:rPr>
              <w:t>econdary Endpoints</w:t>
            </w:r>
          </w:p>
        </w:tc>
        <w:tc>
          <w:tcPr>
            <w:tcW w:w="1558" w:type="dxa"/>
          </w:tcPr>
          <w:p w14:paraId="1D325338" w14:textId="77777777" w:rsidR="00696A1B" w:rsidRPr="00782B4A" w:rsidRDefault="00696A1B" w:rsidP="00542EBD">
            <w:pPr>
              <w:pBdr>
                <w:top w:val="none" w:sz="0" w:space="0" w:color="auto"/>
                <w:left w:val="none" w:sz="0" w:space="0" w:color="auto"/>
                <w:bottom w:val="none" w:sz="0" w:space="0" w:color="auto"/>
                <w:right w:val="none" w:sz="0" w:space="0" w:color="auto"/>
                <w:between w:val="none" w:sz="0" w:space="0" w:color="auto"/>
              </w:pBdr>
              <w:spacing w:before="40" w:after="40"/>
              <w:rPr>
                <w:b/>
                <w:lang w:val="en-AU"/>
              </w:rPr>
            </w:pPr>
          </w:p>
        </w:tc>
      </w:tr>
      <w:tr w:rsidR="00542EBD" w:rsidRPr="00782B4A" w14:paraId="2E42F013" w14:textId="2EAF602A" w:rsidTr="00542EBD">
        <w:tc>
          <w:tcPr>
            <w:tcW w:w="5944" w:type="dxa"/>
            <w:tcBorders>
              <w:bottom w:val="single" w:sz="4" w:space="0" w:color="auto"/>
            </w:tcBorders>
          </w:tcPr>
          <w:p w14:paraId="3732E7EB" w14:textId="289BDA4E" w:rsidR="00542EBD" w:rsidRPr="00542EBD" w:rsidRDefault="00542EBD" w:rsidP="00542EBD">
            <w:pPr>
              <w:pBdr>
                <w:top w:val="none" w:sz="0" w:space="0" w:color="auto"/>
                <w:left w:val="none" w:sz="0" w:space="0" w:color="auto"/>
                <w:bottom w:val="none" w:sz="0" w:space="0" w:color="auto"/>
                <w:right w:val="none" w:sz="0" w:space="0" w:color="auto"/>
                <w:between w:val="none" w:sz="0" w:space="0" w:color="auto"/>
              </w:pBdr>
              <w:spacing w:before="40" w:after="40"/>
              <w:rPr>
                <w:lang w:val="en-AU"/>
              </w:rPr>
            </w:pPr>
            <w:r w:rsidRPr="00542EBD">
              <w:rPr>
                <w:rFonts w:cs="Arial"/>
                <w:szCs w:val="20"/>
                <w:lang w:eastAsia="en-US"/>
              </w:rPr>
              <w:t>Proportion of patients with a change from baseline in MFM32 total score</w:t>
            </w:r>
            <w:r w:rsidRPr="00542EBD">
              <w:rPr>
                <w:rFonts w:cs="Arial"/>
                <w:szCs w:val="20"/>
                <w:vertAlign w:val="superscript"/>
                <w:lang w:eastAsia="en-US"/>
              </w:rPr>
              <w:t>1</w:t>
            </w:r>
            <w:r w:rsidRPr="00542EBD">
              <w:rPr>
                <w:rFonts w:cs="Arial"/>
                <w:szCs w:val="20"/>
                <w:lang w:eastAsia="en-US"/>
              </w:rPr>
              <w:t xml:space="preserve"> of 3 or more at Month 12 (95% CI)</w:t>
            </w:r>
          </w:p>
        </w:tc>
        <w:tc>
          <w:tcPr>
            <w:tcW w:w="1558" w:type="dxa"/>
            <w:tcBorders>
              <w:bottom w:val="single" w:sz="4" w:space="0" w:color="auto"/>
            </w:tcBorders>
            <w:vAlign w:val="center"/>
          </w:tcPr>
          <w:p w14:paraId="64230350" w14:textId="5EC536D8" w:rsidR="00542EBD" w:rsidRPr="00542EBD" w:rsidRDefault="00542EBD" w:rsidP="00542EBD">
            <w:pPr>
              <w:keepNext/>
              <w:spacing w:before="40" w:after="40"/>
              <w:jc w:val="center"/>
              <w:rPr>
                <w:lang w:val="en-AU"/>
              </w:rPr>
            </w:pPr>
            <w:r w:rsidRPr="00542EBD">
              <w:rPr>
                <w:rFonts w:cs="Arial"/>
                <w:szCs w:val="20"/>
                <w:lang w:eastAsia="en-US"/>
              </w:rPr>
              <w:t xml:space="preserve"> 38.3% </w:t>
            </w:r>
            <w:r>
              <w:rPr>
                <w:rFonts w:cs="Arial"/>
                <w:szCs w:val="20"/>
                <w:lang w:eastAsia="en-US"/>
              </w:rPr>
              <w:br/>
            </w:r>
            <w:r w:rsidRPr="00542EBD">
              <w:rPr>
                <w:rFonts w:cs="Arial"/>
                <w:szCs w:val="20"/>
                <w:lang w:eastAsia="en-US"/>
              </w:rPr>
              <w:t>(28.9, 47.6)</w:t>
            </w:r>
          </w:p>
        </w:tc>
        <w:tc>
          <w:tcPr>
            <w:tcW w:w="1558" w:type="dxa"/>
            <w:tcBorders>
              <w:bottom w:val="single" w:sz="4" w:space="0" w:color="auto"/>
            </w:tcBorders>
            <w:vAlign w:val="center"/>
          </w:tcPr>
          <w:p w14:paraId="1908F66A" w14:textId="5DF2C1F1" w:rsidR="00542EBD" w:rsidRPr="00542EBD" w:rsidRDefault="00542EBD" w:rsidP="00542EBD">
            <w:pPr>
              <w:keepNext/>
              <w:spacing w:before="40" w:after="40"/>
              <w:jc w:val="center"/>
              <w:rPr>
                <w:lang w:val="en-AU"/>
              </w:rPr>
            </w:pPr>
            <w:r w:rsidRPr="00542EBD">
              <w:rPr>
                <w:rFonts w:cs="Arial"/>
                <w:szCs w:val="20"/>
                <w:lang w:eastAsia="en-US"/>
              </w:rPr>
              <w:t xml:space="preserve">23.7% </w:t>
            </w:r>
            <w:r>
              <w:rPr>
                <w:rFonts w:cs="Arial"/>
                <w:szCs w:val="20"/>
                <w:lang w:eastAsia="en-US"/>
              </w:rPr>
              <w:br/>
            </w:r>
            <w:r w:rsidRPr="00542EBD">
              <w:rPr>
                <w:rFonts w:cs="Arial"/>
                <w:szCs w:val="20"/>
                <w:lang w:eastAsia="en-US"/>
              </w:rPr>
              <w:t>(12.0, 35.4)</w:t>
            </w:r>
          </w:p>
        </w:tc>
      </w:tr>
      <w:tr w:rsidR="00542EBD" w:rsidRPr="00782B4A" w14:paraId="659F6C25" w14:textId="07E1FB1B" w:rsidTr="00542EBD">
        <w:tc>
          <w:tcPr>
            <w:tcW w:w="5944" w:type="dxa"/>
            <w:tcBorders>
              <w:bottom w:val="nil"/>
            </w:tcBorders>
          </w:tcPr>
          <w:p w14:paraId="1257E114" w14:textId="0F84A20A" w:rsidR="00542EBD" w:rsidRPr="00542EBD" w:rsidRDefault="00542EBD" w:rsidP="00542EBD">
            <w:pPr>
              <w:keepNext/>
              <w:spacing w:before="40"/>
              <w:ind w:left="431"/>
              <w:rPr>
                <w:lang w:val="en-AU"/>
              </w:rPr>
            </w:pPr>
            <w:r w:rsidRPr="00542EBD">
              <w:rPr>
                <w:rFonts w:cs="Arial"/>
                <w:szCs w:val="20"/>
                <w:lang w:eastAsia="en-US"/>
              </w:rPr>
              <w:t>Odds ratio for overall response (95% CI)</w:t>
            </w:r>
          </w:p>
        </w:tc>
        <w:tc>
          <w:tcPr>
            <w:tcW w:w="3116" w:type="dxa"/>
            <w:gridSpan w:val="2"/>
            <w:tcBorders>
              <w:bottom w:val="nil"/>
            </w:tcBorders>
            <w:vAlign w:val="center"/>
          </w:tcPr>
          <w:p w14:paraId="036AEFF0" w14:textId="7E6326E3" w:rsidR="00542EBD" w:rsidRPr="00542EBD" w:rsidRDefault="00542EBD" w:rsidP="00542EBD">
            <w:pPr>
              <w:keepNext/>
              <w:spacing w:before="40"/>
              <w:jc w:val="center"/>
              <w:rPr>
                <w:lang w:val="en-AU"/>
              </w:rPr>
            </w:pPr>
            <w:r w:rsidRPr="00542EBD">
              <w:rPr>
                <w:rFonts w:cs="Arial"/>
                <w:szCs w:val="20"/>
                <w:lang w:eastAsia="en-US"/>
              </w:rPr>
              <w:t>2.35 (1.01, 5.44)</w:t>
            </w:r>
          </w:p>
        </w:tc>
      </w:tr>
      <w:tr w:rsidR="00542EBD" w:rsidRPr="00782B4A" w14:paraId="5631D648" w14:textId="77777777" w:rsidTr="00542EBD">
        <w:tc>
          <w:tcPr>
            <w:tcW w:w="5944" w:type="dxa"/>
            <w:tcBorders>
              <w:top w:val="nil"/>
              <w:bottom w:val="single" w:sz="4" w:space="0" w:color="auto"/>
            </w:tcBorders>
          </w:tcPr>
          <w:p w14:paraId="056FABBC" w14:textId="1A1416E5" w:rsidR="00542EBD" w:rsidRPr="00542EBD" w:rsidRDefault="00542EBD" w:rsidP="00FC5D56">
            <w:pPr>
              <w:keepNext/>
              <w:spacing w:before="40" w:after="40"/>
              <w:ind w:left="432"/>
              <w:rPr>
                <w:rFonts w:cs="Arial"/>
                <w:szCs w:val="20"/>
                <w:lang w:eastAsia="en-US"/>
              </w:rPr>
            </w:pPr>
            <w:r w:rsidRPr="00542EBD">
              <w:rPr>
                <w:rFonts w:cs="Arial"/>
                <w:szCs w:val="20"/>
                <w:lang w:eastAsia="en-US"/>
              </w:rPr>
              <w:t>Adjusted</w:t>
            </w:r>
            <w:r w:rsidRPr="00542EBD">
              <w:rPr>
                <w:rFonts w:cs="Arial"/>
                <w:szCs w:val="20"/>
                <w:vertAlign w:val="superscript"/>
                <w:lang w:eastAsia="en-US"/>
              </w:rPr>
              <w:t xml:space="preserve"> </w:t>
            </w:r>
            <w:r w:rsidRPr="00542EBD">
              <w:rPr>
                <w:rFonts w:cs="Arial"/>
                <w:szCs w:val="20"/>
                <w:lang w:eastAsia="en-US"/>
              </w:rPr>
              <w:t>p-value</w:t>
            </w:r>
            <w:r w:rsidRPr="00542EBD">
              <w:rPr>
                <w:rFonts w:cs="Arial"/>
                <w:szCs w:val="20"/>
                <w:vertAlign w:val="superscript"/>
                <w:lang w:eastAsia="en-US"/>
              </w:rPr>
              <w:t>3,4</w:t>
            </w:r>
          </w:p>
        </w:tc>
        <w:tc>
          <w:tcPr>
            <w:tcW w:w="3116" w:type="dxa"/>
            <w:gridSpan w:val="2"/>
            <w:tcBorders>
              <w:top w:val="nil"/>
              <w:bottom w:val="single" w:sz="4" w:space="0" w:color="auto"/>
            </w:tcBorders>
            <w:vAlign w:val="center"/>
          </w:tcPr>
          <w:p w14:paraId="281C067E" w14:textId="0DB904BC" w:rsidR="00542EBD" w:rsidRPr="00542EBD" w:rsidRDefault="00542EBD" w:rsidP="00FC5D56">
            <w:pPr>
              <w:keepNext/>
              <w:spacing w:before="40" w:after="40"/>
              <w:jc w:val="center"/>
              <w:rPr>
                <w:rFonts w:cs="Arial"/>
                <w:szCs w:val="20"/>
                <w:lang w:eastAsia="en-US"/>
              </w:rPr>
            </w:pPr>
            <w:r w:rsidRPr="00542EBD">
              <w:rPr>
                <w:rFonts w:cs="Arial"/>
                <w:szCs w:val="20"/>
                <w:lang w:eastAsia="en-US"/>
              </w:rPr>
              <w:t xml:space="preserve">0.0469 </w:t>
            </w:r>
          </w:p>
        </w:tc>
      </w:tr>
      <w:tr w:rsidR="00542EBD" w:rsidRPr="000C4378" w14:paraId="5CC98870" w14:textId="209C5886" w:rsidTr="00542EBD">
        <w:tc>
          <w:tcPr>
            <w:tcW w:w="5944" w:type="dxa"/>
            <w:tcBorders>
              <w:bottom w:val="nil"/>
            </w:tcBorders>
            <w:vAlign w:val="center"/>
          </w:tcPr>
          <w:p w14:paraId="5827DF42" w14:textId="60C3559E" w:rsidR="00542EBD" w:rsidRPr="00542EBD" w:rsidRDefault="00542EBD" w:rsidP="00542EBD">
            <w:pPr>
              <w:keepNext/>
              <w:spacing w:before="40"/>
              <w:rPr>
                <w:lang w:val="en-AU"/>
              </w:rPr>
            </w:pPr>
            <w:r w:rsidRPr="00542EBD">
              <w:rPr>
                <w:rFonts w:cs="Arial"/>
                <w:szCs w:val="20"/>
                <w:lang w:eastAsia="en-US"/>
              </w:rPr>
              <w:t>Change from baseline in RULM total score</w:t>
            </w:r>
            <w:r w:rsidRPr="00542EBD">
              <w:rPr>
                <w:rFonts w:cs="Arial"/>
                <w:szCs w:val="20"/>
                <w:vertAlign w:val="superscript"/>
                <w:lang w:eastAsia="en-US"/>
              </w:rPr>
              <w:t xml:space="preserve">5 </w:t>
            </w:r>
            <w:r w:rsidRPr="00542EBD">
              <w:rPr>
                <w:rFonts w:cs="Arial"/>
                <w:szCs w:val="20"/>
                <w:lang w:eastAsia="en-US"/>
              </w:rPr>
              <w:t>at Month 12</w:t>
            </w:r>
          </w:p>
        </w:tc>
        <w:tc>
          <w:tcPr>
            <w:tcW w:w="1558" w:type="dxa"/>
            <w:tcBorders>
              <w:bottom w:val="nil"/>
            </w:tcBorders>
            <w:vAlign w:val="center"/>
          </w:tcPr>
          <w:p w14:paraId="0CACD08E" w14:textId="233BD558" w:rsidR="00542EBD" w:rsidRPr="00542EBD" w:rsidRDefault="00542EBD" w:rsidP="00542EBD">
            <w:pPr>
              <w:keepNext/>
              <w:spacing w:before="40"/>
              <w:jc w:val="center"/>
              <w:rPr>
                <w:lang w:val="en-AU"/>
              </w:rPr>
            </w:pPr>
            <w:r w:rsidRPr="00542EBD">
              <w:rPr>
                <w:rFonts w:cs="Arial"/>
                <w:szCs w:val="20"/>
                <w:lang w:eastAsia="en-US"/>
              </w:rPr>
              <w:t xml:space="preserve">1.61 </w:t>
            </w:r>
          </w:p>
        </w:tc>
        <w:tc>
          <w:tcPr>
            <w:tcW w:w="1558" w:type="dxa"/>
            <w:tcBorders>
              <w:bottom w:val="nil"/>
            </w:tcBorders>
            <w:vAlign w:val="center"/>
          </w:tcPr>
          <w:p w14:paraId="28FCCBB2" w14:textId="00F58685" w:rsidR="00542EBD" w:rsidRPr="00542EBD" w:rsidRDefault="00542EBD" w:rsidP="00542EBD">
            <w:pPr>
              <w:keepNext/>
              <w:spacing w:before="40"/>
              <w:jc w:val="center"/>
              <w:rPr>
                <w:rFonts w:cs="Arial"/>
                <w:szCs w:val="22"/>
              </w:rPr>
            </w:pPr>
            <w:r w:rsidRPr="00542EBD">
              <w:rPr>
                <w:rFonts w:cs="Arial"/>
                <w:szCs w:val="20"/>
                <w:lang w:eastAsia="en-US"/>
              </w:rPr>
              <w:t xml:space="preserve">0.02 </w:t>
            </w:r>
          </w:p>
        </w:tc>
      </w:tr>
      <w:tr w:rsidR="00542EBD" w:rsidRPr="000C4378" w14:paraId="1229B845" w14:textId="77777777" w:rsidTr="00711E31">
        <w:tc>
          <w:tcPr>
            <w:tcW w:w="5944" w:type="dxa"/>
            <w:tcBorders>
              <w:top w:val="nil"/>
              <w:bottom w:val="single" w:sz="4" w:space="0" w:color="auto"/>
            </w:tcBorders>
            <w:vAlign w:val="center"/>
          </w:tcPr>
          <w:p w14:paraId="456ED0C8" w14:textId="487AB719" w:rsidR="00542EBD" w:rsidRPr="00542EBD" w:rsidRDefault="00542EBD" w:rsidP="00542EBD">
            <w:pPr>
              <w:keepNext/>
              <w:spacing w:after="40"/>
              <w:rPr>
                <w:rFonts w:cs="Arial"/>
                <w:szCs w:val="20"/>
                <w:lang w:eastAsia="en-US"/>
              </w:rPr>
            </w:pPr>
            <w:r w:rsidRPr="00542EBD">
              <w:rPr>
                <w:rFonts w:cs="Arial"/>
                <w:szCs w:val="20"/>
                <w:lang w:eastAsia="en-US"/>
              </w:rPr>
              <w:t>LS Mean (95% CI)</w:t>
            </w:r>
          </w:p>
        </w:tc>
        <w:tc>
          <w:tcPr>
            <w:tcW w:w="1558" w:type="dxa"/>
            <w:tcBorders>
              <w:top w:val="nil"/>
              <w:bottom w:val="single" w:sz="4" w:space="0" w:color="auto"/>
            </w:tcBorders>
            <w:vAlign w:val="center"/>
          </w:tcPr>
          <w:p w14:paraId="474C5036" w14:textId="40B1CDD6" w:rsidR="00542EBD" w:rsidRPr="00542EBD" w:rsidRDefault="00542EBD" w:rsidP="00542EBD">
            <w:pPr>
              <w:keepNext/>
              <w:spacing w:after="40"/>
              <w:jc w:val="center"/>
              <w:rPr>
                <w:rFonts w:cs="Arial"/>
                <w:szCs w:val="20"/>
                <w:lang w:eastAsia="en-US"/>
              </w:rPr>
            </w:pPr>
            <w:r w:rsidRPr="00542EBD">
              <w:rPr>
                <w:rFonts w:cs="Arial"/>
                <w:szCs w:val="20"/>
                <w:lang w:eastAsia="en-US"/>
              </w:rPr>
              <w:t>(1.00, 2.22)</w:t>
            </w:r>
          </w:p>
        </w:tc>
        <w:tc>
          <w:tcPr>
            <w:tcW w:w="1558" w:type="dxa"/>
            <w:tcBorders>
              <w:top w:val="nil"/>
              <w:bottom w:val="single" w:sz="4" w:space="0" w:color="auto"/>
            </w:tcBorders>
            <w:vAlign w:val="center"/>
          </w:tcPr>
          <w:p w14:paraId="55AE135D" w14:textId="23A947B6" w:rsidR="00542EBD" w:rsidRPr="00542EBD" w:rsidRDefault="00542EBD" w:rsidP="00542EBD">
            <w:pPr>
              <w:keepNext/>
              <w:spacing w:after="40"/>
              <w:jc w:val="center"/>
              <w:rPr>
                <w:rFonts w:cs="Arial"/>
                <w:szCs w:val="20"/>
                <w:lang w:eastAsia="en-US"/>
              </w:rPr>
            </w:pPr>
            <w:r w:rsidRPr="00542EBD">
              <w:rPr>
                <w:rFonts w:cs="Arial"/>
                <w:szCs w:val="20"/>
                <w:lang w:eastAsia="en-US"/>
              </w:rPr>
              <w:t>(-0.83, 0.87)</w:t>
            </w:r>
          </w:p>
        </w:tc>
      </w:tr>
      <w:tr w:rsidR="00711E31" w:rsidRPr="000C4378" w14:paraId="2222D96B" w14:textId="77777777" w:rsidTr="00711E31">
        <w:tc>
          <w:tcPr>
            <w:tcW w:w="5944" w:type="dxa"/>
            <w:tcBorders>
              <w:bottom w:val="nil"/>
            </w:tcBorders>
            <w:vAlign w:val="center"/>
          </w:tcPr>
          <w:p w14:paraId="58AA1340" w14:textId="71B6ED43" w:rsidR="00711E31" w:rsidRPr="00711E31" w:rsidRDefault="00711E31" w:rsidP="00711E31">
            <w:pPr>
              <w:spacing w:before="40"/>
              <w:ind w:left="313"/>
              <w:rPr>
                <w:rFonts w:cs="Arial"/>
                <w:szCs w:val="20"/>
                <w:lang w:eastAsia="en-US"/>
              </w:rPr>
            </w:pPr>
            <w:r w:rsidRPr="00711E31">
              <w:rPr>
                <w:rFonts w:cs="Arial"/>
                <w:szCs w:val="20"/>
                <w:lang w:eastAsia="en-US"/>
              </w:rPr>
              <w:t xml:space="preserve">Difference from Placebo </w:t>
            </w:r>
          </w:p>
        </w:tc>
        <w:tc>
          <w:tcPr>
            <w:tcW w:w="3116" w:type="dxa"/>
            <w:gridSpan w:val="2"/>
            <w:tcBorders>
              <w:bottom w:val="nil"/>
            </w:tcBorders>
            <w:vAlign w:val="center"/>
          </w:tcPr>
          <w:p w14:paraId="254D50D6" w14:textId="1C0229AC" w:rsidR="00711E31" w:rsidRPr="00711E31" w:rsidRDefault="00711E31" w:rsidP="00711E31">
            <w:pPr>
              <w:keepNext/>
              <w:spacing w:before="40"/>
              <w:jc w:val="center"/>
              <w:rPr>
                <w:rFonts w:cs="Arial"/>
                <w:szCs w:val="20"/>
                <w:lang w:eastAsia="en-US"/>
              </w:rPr>
            </w:pPr>
            <w:r w:rsidRPr="00711E31">
              <w:rPr>
                <w:rFonts w:cs="Arial"/>
                <w:szCs w:val="20"/>
                <w:lang w:eastAsia="en-US"/>
              </w:rPr>
              <w:t>1.59 (0.55, 2.62)</w:t>
            </w:r>
          </w:p>
        </w:tc>
      </w:tr>
      <w:tr w:rsidR="00711E31" w:rsidRPr="000C4378" w14:paraId="37166D91" w14:textId="77777777" w:rsidTr="00711E31">
        <w:tc>
          <w:tcPr>
            <w:tcW w:w="5944" w:type="dxa"/>
            <w:tcBorders>
              <w:top w:val="nil"/>
            </w:tcBorders>
            <w:vAlign w:val="center"/>
          </w:tcPr>
          <w:p w14:paraId="47A8181D" w14:textId="0901568C" w:rsidR="00711E31" w:rsidRPr="00542EBD" w:rsidRDefault="00711E31" w:rsidP="00FC5D56">
            <w:pPr>
              <w:spacing w:after="40"/>
              <w:ind w:left="313"/>
              <w:rPr>
                <w:rFonts w:cs="Arial"/>
                <w:szCs w:val="20"/>
                <w:lang w:eastAsia="en-US"/>
              </w:rPr>
            </w:pPr>
            <w:r w:rsidRPr="00711E31">
              <w:rPr>
                <w:rFonts w:cs="Arial"/>
                <w:szCs w:val="20"/>
                <w:lang w:eastAsia="en-US"/>
              </w:rPr>
              <w:t>Estimate (95% CI) adjusted p-value</w:t>
            </w:r>
            <w:r w:rsidRPr="00711E31">
              <w:rPr>
                <w:rFonts w:cs="Arial"/>
                <w:szCs w:val="20"/>
                <w:vertAlign w:val="superscript"/>
                <w:lang w:eastAsia="en-US"/>
              </w:rPr>
              <w:t>2,4</w:t>
            </w:r>
          </w:p>
        </w:tc>
        <w:tc>
          <w:tcPr>
            <w:tcW w:w="3116" w:type="dxa"/>
            <w:gridSpan w:val="2"/>
            <w:tcBorders>
              <w:top w:val="nil"/>
            </w:tcBorders>
            <w:vAlign w:val="center"/>
          </w:tcPr>
          <w:p w14:paraId="43C6A78C" w14:textId="3D554669" w:rsidR="00711E31" w:rsidRPr="00711E31" w:rsidRDefault="00711E31" w:rsidP="00FC5D56">
            <w:pPr>
              <w:keepNext/>
              <w:spacing w:after="40"/>
              <w:jc w:val="center"/>
              <w:rPr>
                <w:rFonts w:cs="Arial"/>
                <w:szCs w:val="20"/>
                <w:lang w:eastAsia="en-US"/>
              </w:rPr>
            </w:pPr>
            <w:r w:rsidRPr="00711E31">
              <w:rPr>
                <w:rFonts w:cs="Arial"/>
                <w:szCs w:val="20"/>
                <w:lang w:eastAsia="en-US"/>
              </w:rPr>
              <w:t xml:space="preserve">0.0469 </w:t>
            </w:r>
          </w:p>
        </w:tc>
      </w:tr>
    </w:tbl>
    <w:p w14:paraId="05FCF8DB" w14:textId="498D3724" w:rsidR="00711E31" w:rsidRPr="00711E31" w:rsidRDefault="00711E31" w:rsidP="00711E31">
      <w:pPr>
        <w:spacing w:before="40"/>
        <w:jc w:val="both"/>
        <w:rPr>
          <w:sz w:val="22"/>
          <w:szCs w:val="22"/>
        </w:rPr>
      </w:pPr>
      <w:r w:rsidRPr="00711E31">
        <w:rPr>
          <w:sz w:val="22"/>
          <w:szCs w:val="22"/>
          <w:lang w:val="en-AU"/>
        </w:rPr>
        <w:t xml:space="preserve">Abbreviations: MFM32=Motor Function Measure-32; </w:t>
      </w:r>
      <w:r w:rsidRPr="00711E31">
        <w:rPr>
          <w:sz w:val="22"/>
          <w:szCs w:val="22"/>
        </w:rPr>
        <w:t>LS=least squares; CI=confidence interval; RULM= Revised Upper Limb Module</w:t>
      </w:r>
    </w:p>
    <w:p w14:paraId="54E3A7AC" w14:textId="5794528A" w:rsidR="00711E31" w:rsidRPr="00711E31" w:rsidRDefault="00711E31" w:rsidP="00711E31">
      <w:pPr>
        <w:spacing w:before="40"/>
        <w:ind w:left="284" w:hanging="284"/>
        <w:jc w:val="both"/>
        <w:rPr>
          <w:sz w:val="22"/>
          <w:lang w:val="en-AU"/>
        </w:rPr>
      </w:pPr>
      <w:r w:rsidRPr="00711E31">
        <w:rPr>
          <w:vertAlign w:val="superscript"/>
        </w:rPr>
        <w:t>1</w:t>
      </w:r>
      <w:r>
        <w:tab/>
      </w:r>
      <w:r w:rsidRPr="00711E31">
        <w:rPr>
          <w:sz w:val="22"/>
          <w:lang w:val="en-AU"/>
        </w:rPr>
        <w:t>Based on the missing data rule for MFM32, 6 patients were excluded from the analysis (</w:t>
      </w:r>
      <w:proofErr w:type="spellStart"/>
      <w:r w:rsidRPr="00711E31">
        <w:rPr>
          <w:sz w:val="22"/>
          <w:lang w:val="en-AU"/>
        </w:rPr>
        <w:t>Evrysdi</w:t>
      </w:r>
      <w:proofErr w:type="spellEnd"/>
      <w:r w:rsidRPr="00711E31">
        <w:rPr>
          <w:sz w:val="22"/>
          <w:lang w:val="en-AU"/>
        </w:rPr>
        <w:t xml:space="preserve"> n=115; placebo control n=59).</w:t>
      </w:r>
    </w:p>
    <w:p w14:paraId="3CA46194" w14:textId="7D485581" w:rsidR="00711E31" w:rsidRPr="00711E31" w:rsidRDefault="00711E31" w:rsidP="00711E31">
      <w:pPr>
        <w:spacing w:before="40"/>
        <w:ind w:left="284" w:hanging="284"/>
        <w:jc w:val="both"/>
        <w:rPr>
          <w:sz w:val="22"/>
          <w:lang w:val="en-AU"/>
        </w:rPr>
      </w:pPr>
      <w:r w:rsidRPr="00711E31">
        <w:rPr>
          <w:sz w:val="22"/>
          <w:vertAlign w:val="superscript"/>
          <w:lang w:val="en-AU"/>
        </w:rPr>
        <w:t>2</w:t>
      </w:r>
      <w:r w:rsidRPr="00711E31">
        <w:rPr>
          <w:sz w:val="22"/>
          <w:lang w:val="en-AU"/>
        </w:rPr>
        <w:tab/>
        <w:t>Data analysed using a mixed model repeated measure with baseline total score, treatment, visit, age group, treatment-by-visit and baseline-by-visit.</w:t>
      </w:r>
    </w:p>
    <w:p w14:paraId="09403A6B" w14:textId="33FD41B3" w:rsidR="00711E31" w:rsidRPr="00711E31" w:rsidRDefault="00711E31" w:rsidP="00711E31">
      <w:pPr>
        <w:spacing w:before="40"/>
        <w:ind w:left="284" w:hanging="284"/>
        <w:jc w:val="both"/>
        <w:rPr>
          <w:sz w:val="22"/>
          <w:lang w:val="en-AU"/>
        </w:rPr>
      </w:pPr>
      <w:r w:rsidRPr="00711E31">
        <w:rPr>
          <w:sz w:val="22"/>
          <w:vertAlign w:val="superscript"/>
          <w:lang w:val="en-AU"/>
        </w:rPr>
        <w:t>3</w:t>
      </w:r>
      <w:r w:rsidRPr="00711E31">
        <w:rPr>
          <w:sz w:val="22"/>
          <w:lang w:val="en-AU"/>
        </w:rPr>
        <w:tab/>
        <w:t>Data analysed using logistic regression with baseline total score, treatment and age group.</w:t>
      </w:r>
    </w:p>
    <w:p w14:paraId="000DD193" w14:textId="15E472A7" w:rsidR="00711E31" w:rsidRPr="00711E31" w:rsidRDefault="00711E31" w:rsidP="00711E31">
      <w:pPr>
        <w:spacing w:before="40"/>
        <w:ind w:left="284" w:hanging="284"/>
        <w:jc w:val="both"/>
        <w:rPr>
          <w:sz w:val="22"/>
          <w:lang w:val="en-AU"/>
        </w:rPr>
      </w:pPr>
      <w:r w:rsidRPr="00711E31">
        <w:rPr>
          <w:sz w:val="22"/>
          <w:vertAlign w:val="superscript"/>
          <w:lang w:val="en-AU"/>
        </w:rPr>
        <w:t>4</w:t>
      </w:r>
      <w:r w:rsidRPr="00711E31">
        <w:rPr>
          <w:sz w:val="22"/>
          <w:lang w:val="en-AU"/>
        </w:rPr>
        <w:tab/>
        <w:t xml:space="preserve">The adjusted p-value was obtained for the endpoints included in the hierarchical testing and was derived based on all the p-values from endpoints in order of the hierarchy up to the current endpoint. </w:t>
      </w:r>
    </w:p>
    <w:p w14:paraId="6BAB94CD" w14:textId="3043C793" w:rsidR="00696A1B" w:rsidRDefault="00711E31" w:rsidP="00711E31">
      <w:pPr>
        <w:spacing w:before="40"/>
        <w:ind w:left="284" w:hanging="284"/>
        <w:jc w:val="both"/>
        <w:rPr>
          <w:sz w:val="22"/>
          <w:lang w:val="en-AU"/>
        </w:rPr>
      </w:pPr>
      <w:r w:rsidRPr="00711E31">
        <w:rPr>
          <w:sz w:val="22"/>
          <w:vertAlign w:val="superscript"/>
          <w:lang w:val="en-AU"/>
        </w:rPr>
        <w:lastRenderedPageBreak/>
        <w:t>5</w:t>
      </w:r>
      <w:r w:rsidRPr="00711E31">
        <w:rPr>
          <w:sz w:val="22"/>
          <w:lang w:val="en-AU"/>
        </w:rPr>
        <w:tab/>
        <w:t>Based on the missing data rule for RULM, 3 patients were excluded from the analysis (</w:t>
      </w:r>
      <w:proofErr w:type="spellStart"/>
      <w:r w:rsidRPr="00711E31">
        <w:rPr>
          <w:sz w:val="22"/>
          <w:lang w:val="en-AU"/>
        </w:rPr>
        <w:t>Evrysdi</w:t>
      </w:r>
      <w:proofErr w:type="spellEnd"/>
      <w:r w:rsidRPr="00711E31">
        <w:rPr>
          <w:sz w:val="22"/>
          <w:lang w:val="en-AU"/>
        </w:rPr>
        <w:t xml:space="preserve"> n=119; placebo control n=58).</w:t>
      </w:r>
      <w:r w:rsidR="00B51A3E">
        <w:rPr>
          <w:sz w:val="22"/>
          <w:lang w:val="en-AU"/>
        </w:rPr>
        <w:t xml:space="preserve">  </w:t>
      </w:r>
    </w:p>
    <w:p w14:paraId="070D4C96" w14:textId="39DF3D02" w:rsidR="00711E31" w:rsidRDefault="00711E31" w:rsidP="00711E31">
      <w:pPr>
        <w:rPr>
          <w:lang w:val="en-AU"/>
        </w:rPr>
      </w:pPr>
      <w:r w:rsidRPr="00711E31">
        <w:rPr>
          <w:lang w:val="en-AU"/>
        </w:rPr>
        <w:t xml:space="preserve">When compared to placebo, patients treated with </w:t>
      </w:r>
      <w:proofErr w:type="spellStart"/>
      <w:r w:rsidRPr="00711E31">
        <w:rPr>
          <w:lang w:val="en-AU"/>
        </w:rPr>
        <w:t>Evrysdi</w:t>
      </w:r>
      <w:proofErr w:type="spellEnd"/>
      <w:r w:rsidRPr="00711E31">
        <w:rPr>
          <w:lang w:val="en-AU"/>
        </w:rPr>
        <w:t xml:space="preserve"> demonstrated significant improvements in motor function assessed by the MFM32 </w:t>
      </w:r>
      <w:r w:rsidR="00B51A3E" w:rsidRPr="00711E31">
        <w:rPr>
          <w:lang w:val="en-AU"/>
        </w:rPr>
        <w:t xml:space="preserve">after 12 months of treatment </w:t>
      </w:r>
      <w:r w:rsidRPr="00711E31">
        <w:rPr>
          <w:lang w:val="en-AU"/>
        </w:rPr>
        <w:t>(</w:t>
      </w:r>
      <w:r w:rsidR="00B51A3E">
        <w:rPr>
          <w:lang w:val="en-AU"/>
        </w:rPr>
        <w:t>mean difference</w:t>
      </w:r>
      <w:r w:rsidR="00B51A3E" w:rsidRPr="00711E31">
        <w:rPr>
          <w:lang w:val="en-AU"/>
        </w:rPr>
        <w:t xml:space="preserve"> </w:t>
      </w:r>
      <w:r w:rsidRPr="00711E31">
        <w:rPr>
          <w:lang w:val="en-AU"/>
        </w:rPr>
        <w:t>1</w:t>
      </w:r>
      <w:r w:rsidR="00B51A3E">
        <w:rPr>
          <w:lang w:val="en-AU"/>
        </w:rPr>
        <w:t xml:space="preserve">.55 </w:t>
      </w:r>
      <w:r>
        <w:rPr>
          <w:lang w:val="en-AU"/>
        </w:rPr>
        <w:t>points; p=</w:t>
      </w:r>
      <w:r w:rsidRPr="00711E31">
        <w:rPr>
          <w:lang w:val="en-AU"/>
        </w:rPr>
        <w:t xml:space="preserve">0.0156). Patients 2-5 years old treated with </w:t>
      </w:r>
      <w:proofErr w:type="spellStart"/>
      <w:r w:rsidRPr="00711E31">
        <w:rPr>
          <w:lang w:val="en-AU"/>
        </w:rPr>
        <w:t>Evrysdi</w:t>
      </w:r>
      <w:proofErr w:type="spellEnd"/>
      <w:r w:rsidRPr="00711E31">
        <w:rPr>
          <w:lang w:val="en-AU"/>
        </w:rPr>
        <w:t xml:space="preserve"> demonstrated the greatest improvement on MFM32 compared to placebo control (≥</w:t>
      </w:r>
      <w:r w:rsidR="00732C53">
        <w:rPr>
          <w:lang w:val="en-AU"/>
        </w:rPr>
        <w:t> </w:t>
      </w:r>
      <w:r w:rsidRPr="00711E31">
        <w:rPr>
          <w:lang w:val="en-AU"/>
        </w:rPr>
        <w:t>3 points increase: 78.1% vs 52.9%). Patients ≥</w:t>
      </w:r>
      <w:r w:rsidR="00732C53">
        <w:rPr>
          <w:lang w:val="en-AU"/>
        </w:rPr>
        <w:t> </w:t>
      </w:r>
      <w:r w:rsidRPr="00711E31">
        <w:rPr>
          <w:lang w:val="en-AU"/>
        </w:rPr>
        <w:t>18 years old treate</w:t>
      </w:r>
      <w:r w:rsidR="00B51A3E">
        <w:rPr>
          <w:lang w:val="en-AU"/>
        </w:rPr>
        <w:t xml:space="preserve">d with </w:t>
      </w:r>
      <w:proofErr w:type="spellStart"/>
      <w:r w:rsidR="00B51A3E">
        <w:rPr>
          <w:lang w:val="en-AU"/>
        </w:rPr>
        <w:t>Evrysdi</w:t>
      </w:r>
      <w:proofErr w:type="spellEnd"/>
      <w:r w:rsidR="00B51A3E">
        <w:rPr>
          <w:lang w:val="en-AU"/>
        </w:rPr>
        <w:t xml:space="preserve"> achieved stabilis</w:t>
      </w:r>
      <w:r w:rsidRPr="00711E31">
        <w:rPr>
          <w:lang w:val="en-AU"/>
        </w:rPr>
        <w:t>ation of disease (change fr</w:t>
      </w:r>
      <w:r w:rsidR="00B51A3E">
        <w:rPr>
          <w:lang w:val="en-AU"/>
        </w:rPr>
        <w:t>om baseline MFM32 total score ≥</w:t>
      </w:r>
      <w:r w:rsidR="00732C53">
        <w:rPr>
          <w:lang w:val="en-AU"/>
        </w:rPr>
        <w:t> </w:t>
      </w:r>
      <w:r w:rsidRPr="00711E31">
        <w:rPr>
          <w:lang w:val="en-AU"/>
        </w:rPr>
        <w:t xml:space="preserve">0 point(s): 57.1% vs. 37.5%). Consistent improvement compared to baseline MFM32 was observed in both Type 2 and 3 SMA patients </w:t>
      </w:r>
      <w:r w:rsidR="00B51A3E" w:rsidRPr="00711E31">
        <w:rPr>
          <w:lang w:val="en-AU"/>
        </w:rPr>
        <w:t xml:space="preserve">treated with </w:t>
      </w:r>
      <w:proofErr w:type="spellStart"/>
      <w:r w:rsidR="00B51A3E" w:rsidRPr="00711E31">
        <w:rPr>
          <w:lang w:val="en-AU"/>
        </w:rPr>
        <w:t>Evrysdi</w:t>
      </w:r>
      <w:proofErr w:type="spellEnd"/>
      <w:r w:rsidR="00B51A3E" w:rsidRPr="00711E31">
        <w:rPr>
          <w:lang w:val="en-AU"/>
        </w:rPr>
        <w:t xml:space="preserve"> compared to placebo control </w:t>
      </w:r>
      <w:r w:rsidRPr="00711E31">
        <w:rPr>
          <w:lang w:val="en-AU"/>
        </w:rPr>
        <w:t>(1.54 points [95% CI: 0.06, 3.02]; 1.49 points [95% CI: -0.94, 3.93]</w:t>
      </w:r>
      <w:r w:rsidR="00B51A3E">
        <w:rPr>
          <w:lang w:val="en-AU"/>
        </w:rPr>
        <w:t>,</w:t>
      </w:r>
      <w:r w:rsidRPr="00711E31">
        <w:rPr>
          <w:lang w:val="en-AU"/>
        </w:rPr>
        <w:t xml:space="preserve"> respectively).</w:t>
      </w:r>
    </w:p>
    <w:p w14:paraId="7813F126" w14:textId="77777777" w:rsidR="00B51A3E" w:rsidRPr="00711E31" w:rsidRDefault="00B51A3E" w:rsidP="00711E31">
      <w:pPr>
        <w:rPr>
          <w:lang w:val="en-AU"/>
        </w:rPr>
      </w:pPr>
    </w:p>
    <w:p w14:paraId="65793536" w14:textId="7D9D2ABF" w:rsidR="00711E31" w:rsidRDefault="00711E31" w:rsidP="00711E31">
      <w:pPr>
        <w:rPr>
          <w:lang w:val="en-AU"/>
        </w:rPr>
      </w:pPr>
      <w:r w:rsidRPr="00711E31">
        <w:rPr>
          <w:lang w:val="en-AU"/>
        </w:rPr>
        <w:t xml:space="preserve">The study also met a secondary independent motor function outcome, RULM. On the RULM, statistically significant and clinically meaningful improvements in motor function were observed after 12 months of treatment compared to baseline. The patients 2-5 years old treated with </w:t>
      </w:r>
      <w:proofErr w:type="spellStart"/>
      <w:r w:rsidRPr="00711E31">
        <w:rPr>
          <w:lang w:val="en-AU"/>
        </w:rPr>
        <w:t>Evrysdi</w:t>
      </w:r>
      <w:proofErr w:type="spellEnd"/>
      <w:r w:rsidRPr="00711E31">
        <w:rPr>
          <w:lang w:val="en-AU"/>
        </w:rPr>
        <w:t xml:space="preserve"> demonstrated the greatest improvement on the RULM (3.41 points [95% CI: 1.55, 5.26]) and improvement was also observed in the patients ≥</w:t>
      </w:r>
      <w:r w:rsidR="00732C53">
        <w:rPr>
          <w:lang w:val="en-AU"/>
        </w:rPr>
        <w:t> </w:t>
      </w:r>
      <w:r w:rsidRPr="00711E31">
        <w:rPr>
          <w:lang w:val="en-AU"/>
        </w:rPr>
        <w:t>18 years old (1.74 points [95% CI: -1.06, 4.53])</w:t>
      </w:r>
      <w:r w:rsidR="00B51A3E">
        <w:rPr>
          <w:lang w:val="en-AU"/>
        </w:rPr>
        <w:t>.</w:t>
      </w:r>
    </w:p>
    <w:p w14:paraId="68059B21" w14:textId="1684CCAF" w:rsidR="00B51A3E" w:rsidRPr="00782B4A" w:rsidRDefault="00B51A3E" w:rsidP="00B51A3E">
      <w:pPr>
        <w:pStyle w:val="Tableheading"/>
        <w:spacing w:before="240" w:after="240"/>
        <w:rPr>
          <w:sz w:val="24"/>
        </w:rPr>
      </w:pPr>
      <w:r w:rsidRPr="00575C92">
        <w:rPr>
          <w:sz w:val="24"/>
        </w:rPr>
        <w:t>Figure 3</w:t>
      </w:r>
      <w:r w:rsidRPr="00575C92">
        <w:t xml:space="preserve"> Mean</w:t>
      </w:r>
      <w:r>
        <w:t xml:space="preserve"> c</w:t>
      </w:r>
      <w:r w:rsidRPr="000943F4">
        <w:t xml:space="preserve">hange from </w:t>
      </w:r>
      <w:r>
        <w:t>baseline in total MFM32 score o</w:t>
      </w:r>
      <w:r w:rsidRPr="000943F4">
        <w:t>ver 12 months in SUNFISH Part 2</w:t>
      </w:r>
      <w:r w:rsidRPr="000943F4">
        <w:rPr>
          <w:vertAlign w:val="superscript"/>
        </w:rPr>
        <w:t>1</w:t>
      </w:r>
    </w:p>
    <w:p w14:paraId="4922F831" w14:textId="42E2A522" w:rsidR="00B70CB8" w:rsidRDefault="00B70CB8" w:rsidP="00B51A3E">
      <w:pPr>
        <w:jc w:val="center"/>
        <w:rPr>
          <w:lang w:val="en-AU"/>
        </w:rPr>
      </w:pPr>
      <w:r>
        <w:rPr>
          <w:noProof/>
          <w:lang w:val="en-AU"/>
        </w:rPr>
        <w:drawing>
          <wp:inline distT="0" distB="0" distL="0" distR="0" wp14:anchorId="7242CEFF" wp14:editId="080BEECC">
            <wp:extent cx="4023788" cy="2990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526737" name="22022384_MFM32_+3_v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25322" cy="2991990"/>
                    </a:xfrm>
                    <a:prstGeom prst="rect">
                      <a:avLst/>
                    </a:prstGeom>
                  </pic:spPr>
                </pic:pic>
              </a:graphicData>
            </a:graphic>
          </wp:inline>
        </w:drawing>
      </w:r>
    </w:p>
    <w:p w14:paraId="77D11B2A" w14:textId="654F974F" w:rsidR="00B51A3E" w:rsidRPr="00B51A3E" w:rsidRDefault="00B51A3E" w:rsidP="00B51A3E">
      <w:pPr>
        <w:pStyle w:val="Paragraph"/>
        <w:spacing w:before="120" w:after="0" w:line="240" w:lineRule="auto"/>
        <w:jc w:val="center"/>
        <w:rPr>
          <w:rFonts w:ascii="Times New Roman" w:hAnsi="Times New Roman"/>
          <w:sz w:val="22"/>
          <w:szCs w:val="22"/>
        </w:rPr>
      </w:pPr>
      <w:r w:rsidRPr="00B51A3E">
        <w:rPr>
          <w:rFonts w:ascii="Times New Roman" w:hAnsi="Times New Roman"/>
          <w:sz w:val="22"/>
          <w:szCs w:val="22"/>
          <w:vertAlign w:val="superscript"/>
        </w:rPr>
        <w:t>1</w:t>
      </w:r>
      <w:r w:rsidRPr="00B51A3E">
        <w:rPr>
          <w:rFonts w:ascii="Times New Roman" w:hAnsi="Times New Roman"/>
          <w:sz w:val="22"/>
          <w:szCs w:val="22"/>
        </w:rPr>
        <w:t xml:space="preserve"> The least squares (LS) mean difference for change from baseline in MFM32 score [95% CI]</w:t>
      </w:r>
    </w:p>
    <w:p w14:paraId="5CF15323" w14:textId="2323DA92" w:rsidR="00B51A3E" w:rsidRPr="00B51A3E" w:rsidRDefault="00B51A3E" w:rsidP="00B51A3E">
      <w:pPr>
        <w:pStyle w:val="Tableheading"/>
        <w:spacing w:before="240" w:after="240"/>
        <w:rPr>
          <w:sz w:val="24"/>
          <w:lang w:val="en-US"/>
        </w:rPr>
      </w:pPr>
      <w:r>
        <w:rPr>
          <w:sz w:val="24"/>
        </w:rPr>
        <w:lastRenderedPageBreak/>
        <w:t xml:space="preserve">Figure 4 </w:t>
      </w:r>
      <w:r w:rsidRPr="00B51A3E">
        <w:t xml:space="preserve">Mean </w:t>
      </w:r>
      <w:r>
        <w:t>c</w:t>
      </w:r>
      <w:r w:rsidRPr="00B51A3E">
        <w:t xml:space="preserve">hange from </w:t>
      </w:r>
      <w:r>
        <w:t>baseline in total RULM score o</w:t>
      </w:r>
      <w:r w:rsidRPr="00B51A3E">
        <w:t>ver 12 months in SUNFISH Part 2</w:t>
      </w:r>
      <w:r w:rsidRPr="00B51A3E">
        <w:rPr>
          <w:vertAlign w:val="superscript"/>
        </w:rPr>
        <w:t>1</w:t>
      </w:r>
    </w:p>
    <w:p w14:paraId="25E920E1" w14:textId="3054AC19" w:rsidR="00B70CB8" w:rsidRDefault="00B70CB8" w:rsidP="00B51A3E">
      <w:pPr>
        <w:jc w:val="center"/>
        <w:rPr>
          <w:lang w:val="en-AU"/>
        </w:rPr>
      </w:pPr>
      <w:r>
        <w:rPr>
          <w:noProof/>
          <w:lang w:val="en-AU"/>
        </w:rPr>
        <w:drawing>
          <wp:inline distT="0" distB="0" distL="0" distR="0" wp14:anchorId="45145567" wp14:editId="0636405E">
            <wp:extent cx="4635115" cy="32472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ULM v2_cut.png"/>
                    <pic:cNvPicPr/>
                  </pic:nvPicPr>
                  <pic:blipFill rotWithShape="1">
                    <a:blip r:embed="rId12" cstate="print">
                      <a:extLst>
                        <a:ext uri="{28A0092B-C50C-407E-A947-70E740481C1C}">
                          <a14:useLocalDpi xmlns:a14="http://schemas.microsoft.com/office/drawing/2010/main" val="0"/>
                        </a:ext>
                      </a:extLst>
                    </a:blip>
                    <a:srcRect t="3839"/>
                    <a:stretch/>
                  </pic:blipFill>
                  <pic:spPr bwMode="auto">
                    <a:xfrm>
                      <a:off x="0" y="0"/>
                      <a:ext cx="4666301" cy="3269125"/>
                    </a:xfrm>
                    <a:prstGeom prst="rect">
                      <a:avLst/>
                    </a:prstGeom>
                    <a:ln>
                      <a:noFill/>
                    </a:ln>
                    <a:extLst>
                      <a:ext uri="{53640926-AAD7-44D8-BBD7-CCE9431645EC}">
                        <a14:shadowObscured xmlns:a14="http://schemas.microsoft.com/office/drawing/2010/main"/>
                      </a:ext>
                    </a:extLst>
                  </pic:spPr>
                </pic:pic>
              </a:graphicData>
            </a:graphic>
          </wp:inline>
        </w:drawing>
      </w:r>
    </w:p>
    <w:p w14:paraId="058CDCCF" w14:textId="0E8E915C" w:rsidR="00B51A3E" w:rsidRDefault="00B51A3E" w:rsidP="00B51A3E">
      <w:pPr>
        <w:pStyle w:val="Paragraph"/>
        <w:spacing w:before="120" w:after="0" w:line="240" w:lineRule="auto"/>
        <w:jc w:val="center"/>
        <w:rPr>
          <w:rFonts w:ascii="Times New Roman" w:hAnsi="Times New Roman"/>
          <w:sz w:val="22"/>
          <w:szCs w:val="22"/>
        </w:rPr>
      </w:pPr>
      <w:r w:rsidRPr="00B51A3E">
        <w:rPr>
          <w:rFonts w:ascii="Times New Roman" w:hAnsi="Times New Roman"/>
          <w:sz w:val="22"/>
          <w:szCs w:val="22"/>
          <w:vertAlign w:val="superscript"/>
        </w:rPr>
        <w:t>1</w:t>
      </w:r>
      <w:r w:rsidRPr="00B51A3E">
        <w:rPr>
          <w:rFonts w:ascii="Times New Roman" w:hAnsi="Times New Roman"/>
          <w:sz w:val="22"/>
          <w:szCs w:val="22"/>
        </w:rPr>
        <w:t xml:space="preserve"> The least squares (LS) mean difference for change from baseline in RULM score [95% CI]</w:t>
      </w:r>
    </w:p>
    <w:p w14:paraId="0E649D96" w14:textId="23A5F788" w:rsidR="00B51A3E" w:rsidRPr="00575C92" w:rsidRDefault="00B51A3E" w:rsidP="00B51A3E">
      <w:pPr>
        <w:pStyle w:val="Heading5"/>
        <w:keepNext/>
      </w:pPr>
      <w:r w:rsidRPr="00575C92">
        <w:t>SUNFISH Part 1</w:t>
      </w:r>
    </w:p>
    <w:p w14:paraId="7A2D2C0B" w14:textId="4E5434F6" w:rsidR="00B51A3E" w:rsidRDefault="00B51A3E" w:rsidP="00B51A3E">
      <w:r w:rsidRPr="00575C92">
        <w:t xml:space="preserve">The efficacy of </w:t>
      </w:r>
      <w:proofErr w:type="spellStart"/>
      <w:r w:rsidRPr="00575C92">
        <w:t>Evrysdi</w:t>
      </w:r>
      <w:proofErr w:type="spellEnd"/>
      <w:r w:rsidRPr="00575C92">
        <w:t xml:space="preserve"> in later-onset SMA patients was also supported by results from Part 1, the dose-finding part of SUNFISH. In Part 1, 51 patients with Type 2 and 3 SMA (including 7 ambulatory patients) between 2 to 25 years old were enrolled. After 1 year of treatment at the therapeutic dose (the dose selected for Part 2), there was a clinically meaningful improvement in motor function as measured by MFM32 with a mean change from baseline of 2.7 points (95% CI: 1.5, 3.8). The improvement in MFM32 was maintained up to 2 years on </w:t>
      </w:r>
      <w:proofErr w:type="spellStart"/>
      <w:r w:rsidRPr="00575C92">
        <w:t>Evrysdi</w:t>
      </w:r>
      <w:proofErr w:type="spellEnd"/>
      <w:r w:rsidRPr="00575C92">
        <w:t xml:space="preserve"> treatment (mean change of 2.7 points [95% CI: 1.2, 4.2]).</w:t>
      </w:r>
      <w:r>
        <w:t xml:space="preserve"> </w:t>
      </w:r>
    </w:p>
    <w:p w14:paraId="56FD6E81" w14:textId="04A17BC3" w:rsidR="00D52399" w:rsidRDefault="00615052" w:rsidP="00D15197">
      <w:pPr>
        <w:pStyle w:val="Heading2"/>
        <w:keepNext/>
        <w:ind w:hanging="786"/>
      </w:pPr>
      <w:r>
        <w:t>5.2</w:t>
      </w:r>
      <w:r>
        <w:tab/>
      </w:r>
      <w:r w:rsidR="004303A3">
        <w:t>PHARMACOKINETIC PROPERTIES</w:t>
      </w:r>
      <w:r>
        <w:t xml:space="preserve"> </w:t>
      </w:r>
    </w:p>
    <w:p w14:paraId="127FEC5B" w14:textId="77777777" w:rsidR="004303A3" w:rsidRDefault="004303A3" w:rsidP="00D15197">
      <w:pPr>
        <w:keepNext/>
      </w:pPr>
    </w:p>
    <w:p w14:paraId="40991439" w14:textId="6ED8FB15" w:rsidR="00716AB3" w:rsidRDefault="00716AB3" w:rsidP="00716AB3">
      <w:r>
        <w:t xml:space="preserve">Pharmacokinetic parameters for </w:t>
      </w:r>
      <w:proofErr w:type="spellStart"/>
      <w:r>
        <w:t>Evrysdi</w:t>
      </w:r>
      <w:proofErr w:type="spellEnd"/>
      <w:r>
        <w:t xml:space="preserve"> have been characterised in healthy adult subjects and in patients with SMA.</w:t>
      </w:r>
    </w:p>
    <w:p w14:paraId="152542B4" w14:textId="77777777" w:rsidR="00716AB3" w:rsidRDefault="00716AB3" w:rsidP="00716AB3"/>
    <w:p w14:paraId="4BA99C1C" w14:textId="0B116CD0" w:rsidR="00716AB3" w:rsidRDefault="00716AB3" w:rsidP="00716AB3">
      <w:r>
        <w:t xml:space="preserve">After administration of </w:t>
      </w:r>
      <w:proofErr w:type="spellStart"/>
      <w:r>
        <w:t>Evrysdi</w:t>
      </w:r>
      <w:proofErr w:type="spellEnd"/>
      <w:r>
        <w:t xml:space="preserve"> as an oral solution, the PK of </w:t>
      </w:r>
      <w:proofErr w:type="spellStart"/>
      <w:r>
        <w:t>risdiplam</w:t>
      </w:r>
      <w:proofErr w:type="spellEnd"/>
      <w:r>
        <w:t xml:space="preserve"> were approximately linear between 0.6 and 18 mg. </w:t>
      </w:r>
      <w:proofErr w:type="spellStart"/>
      <w:r>
        <w:t>Risdiplam’s</w:t>
      </w:r>
      <w:proofErr w:type="spellEnd"/>
      <w:r>
        <w:t xml:space="preserve"> PK was best described by a population PK model with three-transit-compartment absorption, two-compartment disposition and ﬁrst-order elimination. Body weight and age were found to have significant effect on the PK. </w:t>
      </w:r>
    </w:p>
    <w:p w14:paraId="36882455" w14:textId="77777777" w:rsidR="00716AB3" w:rsidRDefault="00716AB3" w:rsidP="00716AB3"/>
    <w:p w14:paraId="352CCC48" w14:textId="74975F79" w:rsidR="004303A3" w:rsidRDefault="00716AB3" w:rsidP="00716AB3">
      <w:r>
        <w:t>The estimated exposure (mean AUC</w:t>
      </w:r>
      <w:r w:rsidRPr="00716AB3">
        <w:rPr>
          <w:vertAlign w:val="subscript"/>
        </w:rPr>
        <w:t>0-24h</w:t>
      </w:r>
      <w:r>
        <w:t>) for infantile-onset SMA patients (age 2-7 months at enrolment) at the therapeutic dose of 0.2 mg/kg once daily was 1930 ng/</w:t>
      </w:r>
      <w:proofErr w:type="spellStart"/>
      <w:r>
        <w:t>mL.</w:t>
      </w:r>
      <w:proofErr w:type="spellEnd"/>
      <w:r>
        <w:t xml:space="preserve"> The estimated exposure for later-onset SMA patients (2-25 years old at enrolment) in the SUNFISH study (Part 2) at the therapeutic dose (0.25 mg/kg once daily for patients with a body weight &lt; 20 kg; 5 mg once daily for patients with a body weight ≥ 20 kg) was 2070 ng/</w:t>
      </w:r>
      <w:proofErr w:type="spellStart"/>
      <w:r>
        <w:t>mL.</w:t>
      </w:r>
      <w:proofErr w:type="spellEnd"/>
      <w:r>
        <w:t xml:space="preserve"> The observed maximum concentration (mean </w:t>
      </w:r>
      <w:proofErr w:type="spellStart"/>
      <w:r>
        <w:t>C</w:t>
      </w:r>
      <w:r w:rsidRPr="00716AB3">
        <w:rPr>
          <w:vertAlign w:val="subscript"/>
        </w:rPr>
        <w:t>max</w:t>
      </w:r>
      <w:proofErr w:type="spellEnd"/>
      <w:r>
        <w:t>) was 194 ng/mL at 0.2 mg/kg in FIREFISH and 120 ng/mL in SUNFISH Part 2.</w:t>
      </w:r>
    </w:p>
    <w:p w14:paraId="12A5BC2D" w14:textId="6AB40360" w:rsidR="004303A3" w:rsidRDefault="004303A3" w:rsidP="00AD20AB">
      <w:pPr>
        <w:pStyle w:val="Heading3"/>
        <w:keepNext/>
      </w:pPr>
      <w:r w:rsidRPr="0004230C">
        <w:lastRenderedPageBreak/>
        <w:t>Absorption</w:t>
      </w:r>
    </w:p>
    <w:p w14:paraId="16F27CC7" w14:textId="77777777" w:rsidR="007F07E7" w:rsidRPr="007F07E7" w:rsidRDefault="007F07E7" w:rsidP="00AD20AB">
      <w:pPr>
        <w:keepNext/>
      </w:pPr>
    </w:p>
    <w:p w14:paraId="06B016C6" w14:textId="6BAB7807" w:rsidR="00B319D6" w:rsidRDefault="00716AB3" w:rsidP="00B319D6">
      <w:proofErr w:type="spellStart"/>
      <w:r w:rsidRPr="00716AB3">
        <w:t>Risdiplam</w:t>
      </w:r>
      <w:proofErr w:type="spellEnd"/>
      <w:r w:rsidRPr="00716AB3">
        <w:t xml:space="preserve"> was rapidly absorbed in the fasted state with a plasma </w:t>
      </w:r>
      <w:proofErr w:type="spellStart"/>
      <w:r w:rsidRPr="00716AB3">
        <w:t>t</w:t>
      </w:r>
      <w:r w:rsidRPr="00716AB3">
        <w:rPr>
          <w:vertAlign w:val="subscript"/>
        </w:rPr>
        <w:t>max</w:t>
      </w:r>
      <w:proofErr w:type="spellEnd"/>
      <w:r w:rsidRPr="00716AB3">
        <w:t xml:space="preserve"> ranging from 1 to 4 hours after oral administration. </w:t>
      </w:r>
      <w:r w:rsidR="00C82631" w:rsidRPr="00C82631">
        <w:rPr>
          <w:lang w:val="en-US"/>
        </w:rPr>
        <w:t xml:space="preserve">In the clinical efficacy studies, </w:t>
      </w:r>
      <w:proofErr w:type="spellStart"/>
      <w:r w:rsidR="00C82631" w:rsidRPr="00C82631">
        <w:rPr>
          <w:lang w:val="en-US"/>
        </w:rPr>
        <w:t>risdiplam</w:t>
      </w:r>
      <w:proofErr w:type="spellEnd"/>
      <w:r w:rsidR="00C82631" w:rsidRPr="00C82631">
        <w:rPr>
          <w:lang w:val="en-US"/>
        </w:rPr>
        <w:t xml:space="preserve"> was administered with a morning meal or after </w:t>
      </w:r>
      <w:proofErr w:type="gramStart"/>
      <w:r w:rsidR="00C82631" w:rsidRPr="00C82631">
        <w:rPr>
          <w:lang w:val="en-US"/>
        </w:rPr>
        <w:t>breastfeeding</w:t>
      </w:r>
      <w:r w:rsidR="00C82631">
        <w:rPr>
          <w:lang w:val="en-US"/>
        </w:rPr>
        <w:t>.</w:t>
      </w:r>
      <w:r w:rsidR="00B319D6">
        <w:t>.</w:t>
      </w:r>
      <w:proofErr w:type="gramEnd"/>
    </w:p>
    <w:p w14:paraId="0AA14067" w14:textId="77777777" w:rsidR="004303A3" w:rsidRDefault="004303A3" w:rsidP="00B57EDF">
      <w:pPr>
        <w:pStyle w:val="Heading3"/>
        <w:keepNext/>
      </w:pPr>
      <w:r>
        <w:t>Distribution</w:t>
      </w:r>
    </w:p>
    <w:p w14:paraId="3D66CF6E" w14:textId="77777777" w:rsidR="004303A3" w:rsidRDefault="004303A3" w:rsidP="004303A3"/>
    <w:p w14:paraId="0A549BE8" w14:textId="20863B42" w:rsidR="00716AB3" w:rsidRDefault="00716AB3" w:rsidP="00716AB3">
      <w:r>
        <w:t>The population PK parameter estimates were 98 L for the apparent central volume of distribution, 93 L for the peripheral volume, and 0.68 L/hour for the inter-compartment clearance.</w:t>
      </w:r>
    </w:p>
    <w:p w14:paraId="0B240768" w14:textId="77777777" w:rsidR="00716AB3" w:rsidRDefault="00716AB3" w:rsidP="00716AB3"/>
    <w:p w14:paraId="673075B3" w14:textId="6AEDCF72" w:rsidR="004303A3" w:rsidRDefault="00716AB3" w:rsidP="00716AB3">
      <w:proofErr w:type="spellStart"/>
      <w:r>
        <w:t>Risdiplam</w:t>
      </w:r>
      <w:proofErr w:type="spellEnd"/>
      <w:r>
        <w:t xml:space="preserve"> is predominantly bound to serum albumin, without any binding to alpha-1 acid glycoprotein, with a free fraction of 11%</w:t>
      </w:r>
      <w:r w:rsidR="004303A3">
        <w:t>.</w:t>
      </w:r>
    </w:p>
    <w:p w14:paraId="49203C67" w14:textId="77777777" w:rsidR="004303A3" w:rsidRDefault="004303A3" w:rsidP="006F0CBF">
      <w:pPr>
        <w:pStyle w:val="Heading3"/>
        <w:keepNext/>
      </w:pPr>
      <w:r>
        <w:t>Metabolism</w:t>
      </w:r>
    </w:p>
    <w:p w14:paraId="4690DF40" w14:textId="77777777" w:rsidR="004303A3" w:rsidRDefault="004303A3" w:rsidP="006F0CBF">
      <w:pPr>
        <w:keepNext/>
      </w:pPr>
    </w:p>
    <w:p w14:paraId="066A5EEF" w14:textId="0F606B8B" w:rsidR="00716AB3" w:rsidRDefault="00716AB3" w:rsidP="00716AB3">
      <w:proofErr w:type="spellStart"/>
      <w:r w:rsidRPr="00716AB3">
        <w:t>Risdiplam</w:t>
      </w:r>
      <w:proofErr w:type="spellEnd"/>
      <w:r w:rsidRPr="00716AB3">
        <w:t xml:space="preserve"> is metaboli</w:t>
      </w:r>
      <w:r>
        <w:t>s</w:t>
      </w:r>
      <w:r w:rsidRPr="00716AB3">
        <w:t xml:space="preserve">ed primarily by flavin monooxygenase 1 and 3 (FMO1 and FMO3), and also by CYPs 1A1, 2J2, 3A4 and 3A7. </w:t>
      </w:r>
    </w:p>
    <w:p w14:paraId="010A6A46" w14:textId="77777777" w:rsidR="00716AB3" w:rsidRPr="00716AB3" w:rsidRDefault="00716AB3" w:rsidP="00716AB3"/>
    <w:p w14:paraId="74BA163A" w14:textId="0D07A4DC" w:rsidR="004303A3" w:rsidRPr="00716AB3" w:rsidRDefault="00716AB3" w:rsidP="00716AB3">
      <w:r w:rsidRPr="00716AB3">
        <w:t xml:space="preserve">Co-administration of 200 mg itraconazole twice daily, a strong CYP3A inhibitor, </w:t>
      </w:r>
      <w:r w:rsidR="007471EC">
        <w:t xml:space="preserve">with a single oral dose of </w:t>
      </w:r>
      <w:proofErr w:type="spellStart"/>
      <w:r w:rsidR="007471EC">
        <w:t>Evrysdi</w:t>
      </w:r>
      <w:proofErr w:type="spellEnd"/>
      <w:r w:rsidR="007471EC">
        <w:t xml:space="preserve"> 6 mg</w:t>
      </w:r>
      <w:r w:rsidRPr="00716AB3">
        <w:t xml:space="preserve"> showed no clinically relevant effect on the PK of </w:t>
      </w:r>
      <w:proofErr w:type="spellStart"/>
      <w:r w:rsidRPr="00716AB3">
        <w:t>risdiplam</w:t>
      </w:r>
      <w:proofErr w:type="spellEnd"/>
      <w:r w:rsidRPr="00716AB3">
        <w:t xml:space="preserve"> (11% increase in AUC, 9% decrease in </w:t>
      </w:r>
      <w:proofErr w:type="spellStart"/>
      <w:r w:rsidRPr="00716AB3">
        <w:t>C</w:t>
      </w:r>
      <w:r w:rsidRPr="00716AB3">
        <w:rPr>
          <w:vertAlign w:val="subscript"/>
        </w:rPr>
        <w:t>max</w:t>
      </w:r>
      <w:proofErr w:type="spellEnd"/>
      <w:r w:rsidRPr="00716AB3">
        <w:t>)</w:t>
      </w:r>
      <w:r w:rsidR="004303A3" w:rsidRPr="00716AB3">
        <w:t>.</w:t>
      </w:r>
    </w:p>
    <w:p w14:paraId="21F3B4F8" w14:textId="77777777" w:rsidR="004303A3" w:rsidRDefault="004303A3" w:rsidP="004303A3">
      <w:pPr>
        <w:pStyle w:val="Heading3"/>
      </w:pPr>
      <w:r>
        <w:t>Excretion</w:t>
      </w:r>
    </w:p>
    <w:p w14:paraId="1DFD0A8B" w14:textId="77777777" w:rsidR="004303A3" w:rsidRDefault="004303A3" w:rsidP="004303A3"/>
    <w:p w14:paraId="38ACAC7E" w14:textId="0C0EA49C" w:rsidR="00716AB3" w:rsidRDefault="00716AB3" w:rsidP="00716AB3">
      <w:r>
        <w:t xml:space="preserve">Population PK analyses estimated an apparent clearance (CL/F) of 2.6 L/h for </w:t>
      </w:r>
      <w:proofErr w:type="spellStart"/>
      <w:r>
        <w:t>risdiplam</w:t>
      </w:r>
      <w:proofErr w:type="spellEnd"/>
      <w:r>
        <w:t>.</w:t>
      </w:r>
    </w:p>
    <w:p w14:paraId="54192D72" w14:textId="4E5DB41E" w:rsidR="00716AB3" w:rsidRDefault="00716AB3" w:rsidP="00716AB3">
      <w:r>
        <w:t xml:space="preserve">The effective half-life of </w:t>
      </w:r>
      <w:proofErr w:type="spellStart"/>
      <w:r>
        <w:t>risdiplam</w:t>
      </w:r>
      <w:proofErr w:type="spellEnd"/>
      <w:r>
        <w:t xml:space="preserve"> was approximately 50 hours in SMA patients.</w:t>
      </w:r>
    </w:p>
    <w:p w14:paraId="64F14182" w14:textId="438A7A9B" w:rsidR="00716AB3" w:rsidRDefault="00716AB3" w:rsidP="00716AB3">
      <w:proofErr w:type="spellStart"/>
      <w:r>
        <w:t>Risdiplam</w:t>
      </w:r>
      <w:proofErr w:type="spellEnd"/>
      <w:r>
        <w:t xml:space="preserve"> is not a substrate of human multidrug resistance protein 1 (MDR1).</w:t>
      </w:r>
    </w:p>
    <w:p w14:paraId="328E5F1B" w14:textId="77777777" w:rsidR="007471EC" w:rsidRDefault="007471EC" w:rsidP="00716AB3"/>
    <w:p w14:paraId="72C31E54" w14:textId="5A08289C" w:rsidR="004303A3" w:rsidRDefault="00716AB3" w:rsidP="00716AB3">
      <w:r>
        <w:t xml:space="preserve">Approximately 53% of the dose (14% unchanged </w:t>
      </w:r>
      <w:proofErr w:type="spellStart"/>
      <w:r>
        <w:t>risdiplam</w:t>
      </w:r>
      <w:proofErr w:type="spellEnd"/>
      <w:r>
        <w:t>) was excreted in the f</w:t>
      </w:r>
      <w:r w:rsidR="007471EC">
        <w:t>a</w:t>
      </w:r>
      <w:r>
        <w:t xml:space="preserve">eces and 28% in urine (8% unchanged </w:t>
      </w:r>
      <w:proofErr w:type="spellStart"/>
      <w:r>
        <w:t>risdiplam</w:t>
      </w:r>
      <w:proofErr w:type="spellEnd"/>
      <w:r>
        <w:t>). Parent drug was the major component found in plasma, accounting for 83% of drug related material in circulation. The pharmacologically inactive metabolite M1 was identified as the major circulating metabolite</w:t>
      </w:r>
      <w:r w:rsidR="004303A3">
        <w:t>.</w:t>
      </w:r>
    </w:p>
    <w:p w14:paraId="6A932F76" w14:textId="77777777" w:rsidR="004303A3" w:rsidRDefault="004303A3" w:rsidP="00EE05A8">
      <w:pPr>
        <w:pStyle w:val="Heading3"/>
        <w:keepNext/>
      </w:pPr>
      <w:r>
        <w:t>Pharmacokinetics in s</w:t>
      </w:r>
      <w:r w:rsidRPr="004F69A3">
        <w:t xml:space="preserve">pecial </w:t>
      </w:r>
      <w:r>
        <w:t>p</w:t>
      </w:r>
      <w:r w:rsidRPr="004F69A3">
        <w:t>opulations</w:t>
      </w:r>
    </w:p>
    <w:p w14:paraId="20CCAF52" w14:textId="77777777" w:rsidR="00665095" w:rsidRPr="006F6343" w:rsidRDefault="00665095" w:rsidP="00665095">
      <w:pPr>
        <w:pStyle w:val="Heading4"/>
        <w:keepNext/>
        <w:rPr>
          <w:lang w:val="en-AU"/>
        </w:rPr>
      </w:pPr>
      <w:r w:rsidRPr="006F6343">
        <w:rPr>
          <w:lang w:val="en-AU"/>
        </w:rPr>
        <w:t>Hepatic impairment</w:t>
      </w:r>
    </w:p>
    <w:p w14:paraId="676EAE3C" w14:textId="77777777" w:rsidR="00665095" w:rsidRDefault="00665095" w:rsidP="00665095">
      <w:pPr>
        <w:keepNext/>
        <w:rPr>
          <w:lang w:val="en-AU"/>
        </w:rPr>
      </w:pPr>
    </w:p>
    <w:p w14:paraId="1C1F1EA6" w14:textId="7F65D98F" w:rsidR="00665095" w:rsidRPr="006F6343" w:rsidRDefault="007471EC" w:rsidP="00665095">
      <w:pPr>
        <w:rPr>
          <w:lang w:val="en-AU"/>
        </w:rPr>
      </w:pPr>
      <w:r w:rsidRPr="007471EC">
        <w:rPr>
          <w:lang w:val="en-AU"/>
        </w:rPr>
        <w:t xml:space="preserve">Mild and moderate hepatic impairment had no impact on the PK of </w:t>
      </w:r>
      <w:proofErr w:type="spellStart"/>
      <w:r>
        <w:rPr>
          <w:lang w:val="en-AU"/>
        </w:rPr>
        <w:t>Evrysdi</w:t>
      </w:r>
      <w:proofErr w:type="spellEnd"/>
      <w:r w:rsidRPr="007471EC">
        <w:rPr>
          <w:lang w:val="en-AU"/>
        </w:rPr>
        <w:t xml:space="preserve">. After administration of </w:t>
      </w:r>
      <w:proofErr w:type="spellStart"/>
      <w:r>
        <w:rPr>
          <w:lang w:val="en-AU"/>
        </w:rPr>
        <w:t>Evrysdi</w:t>
      </w:r>
      <w:proofErr w:type="spellEnd"/>
      <w:r>
        <w:rPr>
          <w:lang w:val="en-AU"/>
        </w:rPr>
        <w:t xml:space="preserve"> </w:t>
      </w:r>
      <w:r w:rsidRPr="007471EC">
        <w:rPr>
          <w:lang w:val="en-AU"/>
        </w:rPr>
        <w:t xml:space="preserve">5 mg, the mean ratios for </w:t>
      </w:r>
      <w:proofErr w:type="spellStart"/>
      <w:r w:rsidRPr="007471EC">
        <w:rPr>
          <w:lang w:val="en-AU"/>
        </w:rPr>
        <w:t>C</w:t>
      </w:r>
      <w:r w:rsidRPr="007471EC">
        <w:rPr>
          <w:vertAlign w:val="subscript"/>
          <w:lang w:val="en-AU"/>
        </w:rPr>
        <w:t>max</w:t>
      </w:r>
      <w:proofErr w:type="spellEnd"/>
      <w:r w:rsidRPr="007471EC">
        <w:rPr>
          <w:lang w:val="en-AU"/>
        </w:rPr>
        <w:t xml:space="preserve"> and AUC were 0.95 and 0.80 in mild (n=8) and 1.20 and 1.08 in moderate hepatic impaired subjects (n=8) versus matched healthy controls (n=10). The safety and PK in patients with severe hepatic impairment have not been studied.</w:t>
      </w:r>
    </w:p>
    <w:p w14:paraId="4CFC433F" w14:textId="77777777" w:rsidR="00665095" w:rsidRPr="006F6343" w:rsidRDefault="00665095" w:rsidP="00E42F85">
      <w:pPr>
        <w:pStyle w:val="Heading4"/>
        <w:keepNext/>
        <w:rPr>
          <w:lang w:val="en-AU"/>
        </w:rPr>
      </w:pPr>
      <w:r w:rsidRPr="006F6343">
        <w:rPr>
          <w:lang w:val="en-AU"/>
        </w:rPr>
        <w:t>Renal impairment</w:t>
      </w:r>
    </w:p>
    <w:p w14:paraId="04ACA76D" w14:textId="77777777" w:rsidR="00665095" w:rsidRDefault="00665095" w:rsidP="00E42F85">
      <w:pPr>
        <w:keepNext/>
        <w:rPr>
          <w:lang w:val="en-AU"/>
        </w:rPr>
      </w:pPr>
    </w:p>
    <w:p w14:paraId="6E9FA469" w14:textId="7BB7C347" w:rsidR="00665095" w:rsidRDefault="007471EC" w:rsidP="00665095">
      <w:pPr>
        <w:rPr>
          <w:lang w:val="en-AU"/>
        </w:rPr>
      </w:pPr>
      <w:r w:rsidRPr="007471EC">
        <w:rPr>
          <w:lang w:val="en-AU"/>
        </w:rPr>
        <w:t xml:space="preserve">No studies have been conducted to investigate the PK of </w:t>
      </w:r>
      <w:proofErr w:type="spellStart"/>
      <w:r>
        <w:rPr>
          <w:lang w:val="en-AU"/>
        </w:rPr>
        <w:t>Evrysdi</w:t>
      </w:r>
      <w:proofErr w:type="spellEnd"/>
      <w:r w:rsidRPr="007471EC">
        <w:rPr>
          <w:lang w:val="en-AU"/>
        </w:rPr>
        <w:t xml:space="preserve"> in patients with renal impairment. Elimination of </w:t>
      </w:r>
      <w:proofErr w:type="spellStart"/>
      <w:r w:rsidRPr="007471EC">
        <w:rPr>
          <w:lang w:val="en-AU"/>
        </w:rPr>
        <w:t>risdiplam</w:t>
      </w:r>
      <w:proofErr w:type="spellEnd"/>
      <w:r w:rsidRPr="007471EC">
        <w:rPr>
          <w:lang w:val="en-AU"/>
        </w:rPr>
        <w:t xml:space="preserve"> as </w:t>
      </w:r>
      <w:r>
        <w:rPr>
          <w:lang w:val="en-AU"/>
        </w:rPr>
        <w:t xml:space="preserve">an </w:t>
      </w:r>
      <w:r w:rsidRPr="007471EC">
        <w:rPr>
          <w:lang w:val="en-AU"/>
        </w:rPr>
        <w:t>unchanged entity via renal excretion is minor (8%)</w:t>
      </w:r>
      <w:r w:rsidR="00665095" w:rsidRPr="00665095">
        <w:rPr>
          <w:lang w:val="en-AU"/>
        </w:rPr>
        <w:t>.</w:t>
      </w:r>
      <w:r w:rsidR="00665095" w:rsidRPr="007C292D">
        <w:rPr>
          <w:lang w:val="en-AU"/>
        </w:rPr>
        <w:t xml:space="preserve"> </w:t>
      </w:r>
    </w:p>
    <w:p w14:paraId="53CB7034" w14:textId="77777777" w:rsidR="008966DB" w:rsidRDefault="008966DB" w:rsidP="00665095">
      <w:pPr>
        <w:rPr>
          <w:lang w:val="en-AU"/>
        </w:rPr>
      </w:pPr>
    </w:p>
    <w:p w14:paraId="53C793FD" w14:textId="77777777" w:rsidR="00665095" w:rsidRPr="006F6343" w:rsidRDefault="00665095" w:rsidP="00665095">
      <w:pPr>
        <w:pStyle w:val="Heading4"/>
        <w:rPr>
          <w:lang w:val="en-AU"/>
        </w:rPr>
      </w:pPr>
      <w:r>
        <w:rPr>
          <w:lang w:val="en-AU"/>
        </w:rPr>
        <w:lastRenderedPageBreak/>
        <w:t>Elderly</w:t>
      </w:r>
    </w:p>
    <w:p w14:paraId="2A8521AF" w14:textId="77777777" w:rsidR="00665095" w:rsidRDefault="00665095" w:rsidP="00665095">
      <w:pPr>
        <w:rPr>
          <w:lang w:val="en-AU"/>
        </w:rPr>
      </w:pPr>
    </w:p>
    <w:p w14:paraId="506A0912" w14:textId="3DA1AA09" w:rsidR="00665095" w:rsidRPr="006F6343" w:rsidRDefault="007471EC" w:rsidP="00665095">
      <w:pPr>
        <w:rPr>
          <w:lang w:val="en-AU"/>
        </w:rPr>
      </w:pPr>
      <w:r w:rsidRPr="007471EC">
        <w:rPr>
          <w:lang w:val="en-AU"/>
        </w:rPr>
        <w:t xml:space="preserve">No dedicated studies have been conducted to investigate the PK of </w:t>
      </w:r>
      <w:proofErr w:type="spellStart"/>
      <w:r w:rsidRPr="007471EC">
        <w:rPr>
          <w:lang w:val="en-AU"/>
        </w:rPr>
        <w:t>Evrysdi</w:t>
      </w:r>
      <w:proofErr w:type="spellEnd"/>
      <w:r w:rsidRPr="007471EC">
        <w:rPr>
          <w:lang w:val="en-AU"/>
        </w:rPr>
        <w:t xml:space="preserve"> in patients with SMA above 60 years of age. Patients with SMA up to 60 years of age were included in the JEWELFISH study. Subjects without SMA up to 69 years of age were included in clinical PK studies, which indicates that no dose adjustment is required for patients up to 69 years of age</w:t>
      </w:r>
      <w:r w:rsidR="00665095" w:rsidRPr="006F6343">
        <w:rPr>
          <w:lang w:val="en-AU"/>
        </w:rPr>
        <w:t xml:space="preserve">. </w:t>
      </w:r>
      <w:r w:rsidR="00665095">
        <w:rPr>
          <w:lang w:val="en-AU"/>
        </w:rPr>
        <w:t xml:space="preserve"> </w:t>
      </w:r>
    </w:p>
    <w:p w14:paraId="19C13046" w14:textId="77777777" w:rsidR="004303A3" w:rsidRPr="006F6343" w:rsidRDefault="004303A3" w:rsidP="004303A3">
      <w:pPr>
        <w:pStyle w:val="Heading4"/>
        <w:rPr>
          <w:lang w:val="en-AU"/>
        </w:rPr>
      </w:pPr>
      <w:r w:rsidRPr="006F6343">
        <w:rPr>
          <w:lang w:val="en-AU"/>
        </w:rPr>
        <w:t>P</w:t>
      </w:r>
      <w:r>
        <w:rPr>
          <w:lang w:val="en-AU"/>
        </w:rPr>
        <w:t>a</w:t>
      </w:r>
      <w:r w:rsidRPr="006F6343">
        <w:rPr>
          <w:lang w:val="en-AU"/>
        </w:rPr>
        <w:t>ediatrics</w:t>
      </w:r>
    </w:p>
    <w:p w14:paraId="039AC3B2" w14:textId="77777777" w:rsidR="004303A3" w:rsidRDefault="004303A3" w:rsidP="004303A3">
      <w:pPr>
        <w:rPr>
          <w:lang w:val="en-AU"/>
        </w:rPr>
      </w:pPr>
    </w:p>
    <w:p w14:paraId="2365A3FB" w14:textId="0B4424E0" w:rsidR="004303A3" w:rsidRDefault="007471EC" w:rsidP="00767877">
      <w:pPr>
        <w:rPr>
          <w:lang w:val="en-AU"/>
        </w:rPr>
      </w:pPr>
      <w:r w:rsidRPr="007471EC">
        <w:rPr>
          <w:lang w:val="en-AU"/>
        </w:rPr>
        <w:t>Body weight and age were identified as covariates in the population PK analysis. The dose is therefore adjusted based on age (below and above 2 years) and body weight (up to 20 kg) to obtain similar exposure across the age and body weight range. No data are available in patients less than 2 months of age</w:t>
      </w:r>
      <w:r w:rsidR="00767877" w:rsidRPr="00767877">
        <w:rPr>
          <w:lang w:val="en-AU"/>
        </w:rPr>
        <w:t>.</w:t>
      </w:r>
    </w:p>
    <w:p w14:paraId="717DC11B" w14:textId="146F89F1" w:rsidR="00665095" w:rsidRPr="00665095" w:rsidRDefault="007471EC" w:rsidP="00665095">
      <w:pPr>
        <w:pStyle w:val="Heading4"/>
        <w:rPr>
          <w:lang w:val="en-AU"/>
        </w:rPr>
      </w:pPr>
      <w:r>
        <w:rPr>
          <w:lang w:val="en-AU"/>
        </w:rPr>
        <w:t>Ethnicity</w:t>
      </w:r>
    </w:p>
    <w:p w14:paraId="45F8A0C3" w14:textId="77777777" w:rsidR="00AE3405" w:rsidRDefault="00AE3405" w:rsidP="00665095">
      <w:pPr>
        <w:rPr>
          <w:lang w:val="en-AU"/>
        </w:rPr>
      </w:pPr>
    </w:p>
    <w:p w14:paraId="00660C9E" w14:textId="74311BAB" w:rsidR="00665095" w:rsidRPr="00665095" w:rsidRDefault="007471EC" w:rsidP="00665095">
      <w:pPr>
        <w:rPr>
          <w:lang w:val="en-AU"/>
        </w:rPr>
      </w:pPr>
      <w:r w:rsidRPr="007471EC">
        <w:rPr>
          <w:lang w:val="en-AU"/>
        </w:rPr>
        <w:t xml:space="preserve">The PK of </w:t>
      </w:r>
      <w:proofErr w:type="spellStart"/>
      <w:r>
        <w:rPr>
          <w:lang w:val="en-AU"/>
        </w:rPr>
        <w:t>Evrysdi</w:t>
      </w:r>
      <w:proofErr w:type="spellEnd"/>
      <w:r w:rsidRPr="007471EC">
        <w:rPr>
          <w:lang w:val="en-AU"/>
        </w:rPr>
        <w:t xml:space="preserve"> do not differ in Japanese and Caucasian subjects</w:t>
      </w:r>
      <w:r w:rsidR="00276004" w:rsidRPr="00276004">
        <w:rPr>
          <w:lang w:val="en-AU"/>
        </w:rPr>
        <w:t>.</w:t>
      </w:r>
    </w:p>
    <w:p w14:paraId="1AAB0770" w14:textId="0991C93F" w:rsidR="00D52399" w:rsidRDefault="00615052" w:rsidP="00DF4D42">
      <w:pPr>
        <w:pStyle w:val="Heading2"/>
        <w:keepNext/>
        <w:ind w:left="788" w:hanging="788"/>
      </w:pPr>
      <w:r>
        <w:t>5.3</w:t>
      </w:r>
      <w:r>
        <w:tab/>
      </w:r>
      <w:r w:rsidR="00EF2D3A">
        <w:t>PRECLINICAL SAFETY DATA</w:t>
      </w:r>
    </w:p>
    <w:p w14:paraId="450F7940" w14:textId="2F057649" w:rsidR="00EF2D3A" w:rsidRDefault="00EF2D3A" w:rsidP="0051765B">
      <w:pPr>
        <w:pStyle w:val="Heading3"/>
        <w:keepNext/>
      </w:pPr>
      <w:r>
        <w:t>Genotoxicity</w:t>
      </w:r>
    </w:p>
    <w:p w14:paraId="3C3BC6E8" w14:textId="77777777" w:rsidR="00EF2D3A" w:rsidRDefault="00EF2D3A" w:rsidP="0051765B">
      <w:pPr>
        <w:keepNext/>
        <w:rPr>
          <w:lang w:val="en-AU"/>
        </w:rPr>
      </w:pPr>
    </w:p>
    <w:p w14:paraId="7DAB75F8" w14:textId="112B8732" w:rsidR="00EF2D3A" w:rsidRPr="00836A32" w:rsidRDefault="0051058E" w:rsidP="00EF2D3A">
      <w:pPr>
        <w:rPr>
          <w:lang w:val="en-AU"/>
        </w:rPr>
      </w:pPr>
      <w:proofErr w:type="spellStart"/>
      <w:r w:rsidRPr="0051058E">
        <w:rPr>
          <w:lang w:val="en-AU"/>
        </w:rPr>
        <w:t>Risdiplam</w:t>
      </w:r>
      <w:proofErr w:type="spellEnd"/>
      <w:r w:rsidRPr="0051058E">
        <w:rPr>
          <w:lang w:val="en-AU"/>
        </w:rPr>
        <w:t xml:space="preserve"> </w:t>
      </w:r>
      <w:r w:rsidR="00A43A4D">
        <w:rPr>
          <w:lang w:val="en-AU"/>
        </w:rPr>
        <w:t xml:space="preserve">was negative </w:t>
      </w:r>
      <w:r w:rsidRPr="0051058E">
        <w:rPr>
          <w:lang w:val="en-AU"/>
        </w:rPr>
        <w:t>in a bacterial reverse mutation assay</w:t>
      </w:r>
      <w:r w:rsidR="00A43A4D" w:rsidRPr="00A43A4D">
        <w:t xml:space="preserve"> </w:t>
      </w:r>
      <w:r w:rsidR="00A43A4D" w:rsidRPr="00A43A4D">
        <w:rPr>
          <w:lang w:val="en-AU"/>
        </w:rPr>
        <w:t>and in the Comet assay</w:t>
      </w:r>
      <w:r w:rsidRPr="0051058E">
        <w:rPr>
          <w:lang w:val="en-AU"/>
        </w:rPr>
        <w:t xml:space="preserve">. In </w:t>
      </w:r>
      <w:r w:rsidR="00A43A4D">
        <w:rPr>
          <w:lang w:val="en-AU"/>
        </w:rPr>
        <w:t xml:space="preserve">the </w:t>
      </w:r>
      <w:r w:rsidR="00A43A4D" w:rsidRPr="00A43A4D">
        <w:rPr>
          <w:lang w:val="en-AU"/>
        </w:rPr>
        <w:t>mouse TK lymphoma cell assay</w:t>
      </w:r>
      <w:r w:rsidRPr="0051058E">
        <w:rPr>
          <w:lang w:val="en-AU"/>
        </w:rPr>
        <w:t xml:space="preserve"> </w:t>
      </w:r>
      <w:r w:rsidRPr="0051058E">
        <w:rPr>
          <w:i/>
          <w:lang w:val="en-AU"/>
        </w:rPr>
        <w:t>in vitro</w:t>
      </w:r>
      <w:r w:rsidRPr="0051058E">
        <w:rPr>
          <w:lang w:val="en-AU"/>
        </w:rPr>
        <w:t xml:space="preserve"> and in </w:t>
      </w:r>
      <w:r>
        <w:rPr>
          <w:lang w:val="en-AU"/>
        </w:rPr>
        <w:t xml:space="preserve">the </w:t>
      </w:r>
      <w:r w:rsidRPr="0051058E">
        <w:rPr>
          <w:lang w:val="en-AU"/>
        </w:rPr>
        <w:t xml:space="preserve">bone marrow of rats, </w:t>
      </w:r>
      <w:proofErr w:type="spellStart"/>
      <w:r w:rsidRPr="0051058E">
        <w:rPr>
          <w:lang w:val="en-AU"/>
        </w:rPr>
        <w:t>risdiplam</w:t>
      </w:r>
      <w:proofErr w:type="spellEnd"/>
      <w:r w:rsidRPr="0051058E">
        <w:rPr>
          <w:lang w:val="en-AU"/>
        </w:rPr>
        <w:t xml:space="preserve"> increase</w:t>
      </w:r>
      <w:r w:rsidR="00A43A4D">
        <w:rPr>
          <w:lang w:val="en-AU"/>
        </w:rPr>
        <w:t>d</w:t>
      </w:r>
      <w:r w:rsidRPr="0051058E">
        <w:rPr>
          <w:lang w:val="en-AU"/>
        </w:rPr>
        <w:t xml:space="preserve"> the frequency of </w:t>
      </w:r>
      <w:proofErr w:type="spellStart"/>
      <w:r w:rsidRPr="0051058E">
        <w:rPr>
          <w:lang w:val="en-AU"/>
        </w:rPr>
        <w:t>micronucleated</w:t>
      </w:r>
      <w:proofErr w:type="spellEnd"/>
      <w:r w:rsidRPr="0051058E">
        <w:rPr>
          <w:lang w:val="en-AU"/>
        </w:rPr>
        <w:t xml:space="preserve"> cells. Micronucleus induction in bone marrow was observed in several toxicity studies in rats (adult and juvenile animals). The NOAEL across the studies is associated with an </w:t>
      </w:r>
      <w:proofErr w:type="gramStart"/>
      <w:r w:rsidRPr="0051058E">
        <w:rPr>
          <w:lang w:val="en-AU"/>
        </w:rPr>
        <w:t xml:space="preserve">exposure </w:t>
      </w:r>
      <w:r w:rsidR="00A43A4D">
        <w:rPr>
          <w:lang w:val="en-AU"/>
        </w:rPr>
        <w:t xml:space="preserve"> similar</w:t>
      </w:r>
      <w:proofErr w:type="gramEnd"/>
      <w:r w:rsidR="00A43A4D">
        <w:rPr>
          <w:lang w:val="en-AU"/>
        </w:rPr>
        <w:t xml:space="preserve"> to that</w:t>
      </w:r>
      <w:r w:rsidRPr="0051058E">
        <w:rPr>
          <w:lang w:val="en-AU"/>
        </w:rPr>
        <w:t xml:space="preserve"> in humans at the therapeutic dose. Data indicated that this effect is indirect and secondary to an interference of </w:t>
      </w:r>
      <w:proofErr w:type="spellStart"/>
      <w:r w:rsidRPr="0051058E">
        <w:rPr>
          <w:lang w:val="en-AU"/>
        </w:rPr>
        <w:t>risdiplam</w:t>
      </w:r>
      <w:proofErr w:type="spellEnd"/>
      <w:r w:rsidRPr="0051058E">
        <w:rPr>
          <w:lang w:val="en-AU"/>
        </w:rPr>
        <w:t xml:space="preserve"> with the cell cycle of dividing cells. </w:t>
      </w:r>
    </w:p>
    <w:p w14:paraId="35D9B69C" w14:textId="77777777" w:rsidR="00EF2D3A" w:rsidRDefault="00EF2D3A" w:rsidP="00EF2045">
      <w:pPr>
        <w:pStyle w:val="Heading3"/>
        <w:keepNext/>
      </w:pPr>
      <w:r>
        <w:t>Carcinogenicity</w:t>
      </w:r>
    </w:p>
    <w:p w14:paraId="27C8D5E5" w14:textId="77777777" w:rsidR="00EF2D3A" w:rsidRDefault="00EF2D3A" w:rsidP="00EF2045">
      <w:pPr>
        <w:keepNext/>
        <w:rPr>
          <w:lang w:val="en-AU"/>
        </w:rPr>
      </w:pPr>
    </w:p>
    <w:p w14:paraId="2E4921C4" w14:textId="4EEFCD01" w:rsidR="00D52399" w:rsidRDefault="00755EAC">
      <w:pPr>
        <w:rPr>
          <w:lang w:val="en-AU"/>
        </w:rPr>
      </w:pPr>
      <w:r>
        <w:rPr>
          <w:lang w:val="en-AU"/>
        </w:rPr>
        <w:t>A l</w:t>
      </w:r>
      <w:r w:rsidR="00A43A4D" w:rsidRPr="00A43A4D">
        <w:rPr>
          <w:lang w:val="en-AU"/>
        </w:rPr>
        <w:t>ifetime carcinogenicity stud</w:t>
      </w:r>
      <w:r>
        <w:rPr>
          <w:lang w:val="en-AU"/>
        </w:rPr>
        <w:t>y</w:t>
      </w:r>
      <w:r w:rsidR="00A43A4D" w:rsidRPr="00A43A4D">
        <w:rPr>
          <w:lang w:val="en-AU"/>
        </w:rPr>
        <w:t xml:space="preserve"> in r</w:t>
      </w:r>
      <w:r>
        <w:rPr>
          <w:lang w:val="en-AU"/>
        </w:rPr>
        <w:t>ats</w:t>
      </w:r>
      <w:r w:rsidR="00A43A4D" w:rsidRPr="00A43A4D">
        <w:rPr>
          <w:lang w:val="en-AU"/>
        </w:rPr>
        <w:t xml:space="preserve"> with </w:t>
      </w:r>
      <w:proofErr w:type="spellStart"/>
      <w:r w:rsidR="00A43A4D" w:rsidRPr="00A43A4D">
        <w:rPr>
          <w:lang w:val="en-AU"/>
        </w:rPr>
        <w:t>risdiplam</w:t>
      </w:r>
      <w:proofErr w:type="spellEnd"/>
      <w:r w:rsidR="00A43A4D" w:rsidRPr="00A43A4D">
        <w:rPr>
          <w:lang w:val="en-AU"/>
        </w:rPr>
        <w:t xml:space="preserve"> ha</w:t>
      </w:r>
      <w:r>
        <w:rPr>
          <w:lang w:val="en-AU"/>
        </w:rPr>
        <w:t>s</w:t>
      </w:r>
      <w:r w:rsidR="00A43A4D" w:rsidRPr="00A43A4D">
        <w:rPr>
          <w:lang w:val="en-AU"/>
        </w:rPr>
        <w:t xml:space="preserve"> not yet been completed.</w:t>
      </w:r>
      <w:r w:rsidR="00A43A4D">
        <w:rPr>
          <w:lang w:val="en-AU"/>
        </w:rPr>
        <w:t xml:space="preserve"> </w:t>
      </w:r>
      <w:r w:rsidR="00997E04" w:rsidRPr="00997E04">
        <w:rPr>
          <w:lang w:val="en-AU"/>
        </w:rPr>
        <w:t>A</w:t>
      </w:r>
      <w:r w:rsidR="00A43A4D">
        <w:rPr>
          <w:lang w:val="en-AU"/>
        </w:rPr>
        <w:t xml:space="preserve"> 26 week</w:t>
      </w:r>
      <w:r w:rsidR="00997E04" w:rsidRPr="00997E04">
        <w:rPr>
          <w:lang w:val="en-AU"/>
        </w:rPr>
        <w:t xml:space="preserve"> carcinogenicity study with </w:t>
      </w:r>
      <w:proofErr w:type="spellStart"/>
      <w:r w:rsidR="00997E04" w:rsidRPr="00997E04">
        <w:rPr>
          <w:lang w:val="en-AU"/>
        </w:rPr>
        <w:t>risdiplam</w:t>
      </w:r>
      <w:proofErr w:type="spellEnd"/>
      <w:r w:rsidR="00A43A4D" w:rsidRPr="00A43A4D">
        <w:t xml:space="preserve"> </w:t>
      </w:r>
      <w:r w:rsidR="00A43A4D" w:rsidRPr="00A43A4D">
        <w:rPr>
          <w:lang w:val="en-AU"/>
        </w:rPr>
        <w:t>(oral, up to 9 mg/kg/day)</w:t>
      </w:r>
      <w:r w:rsidR="00997E04" w:rsidRPr="00997E04">
        <w:rPr>
          <w:lang w:val="en-AU"/>
        </w:rPr>
        <w:t xml:space="preserve"> in rasH2 transgenic mice </w:t>
      </w:r>
      <w:r w:rsidR="00A43A4D">
        <w:rPr>
          <w:lang w:val="en-AU"/>
        </w:rPr>
        <w:t xml:space="preserve">showed no </w:t>
      </w:r>
      <w:proofErr w:type="spellStart"/>
      <w:r w:rsidR="00997E04" w:rsidRPr="00997E04">
        <w:rPr>
          <w:lang w:val="en-AU"/>
        </w:rPr>
        <w:t>tumo</w:t>
      </w:r>
      <w:r w:rsidR="00997E04">
        <w:rPr>
          <w:lang w:val="en-AU"/>
        </w:rPr>
        <w:t>u</w:t>
      </w:r>
      <w:r w:rsidR="00997E04" w:rsidRPr="00997E04">
        <w:rPr>
          <w:lang w:val="en-AU"/>
        </w:rPr>
        <w:t>rigenic</w:t>
      </w:r>
      <w:proofErr w:type="spellEnd"/>
      <w:r w:rsidR="00997E04" w:rsidRPr="00997E04">
        <w:rPr>
          <w:lang w:val="en-AU"/>
        </w:rPr>
        <w:t xml:space="preserve"> potential </w:t>
      </w:r>
      <w:r w:rsidR="00A43A4D">
        <w:rPr>
          <w:lang w:val="en-AU"/>
        </w:rPr>
        <w:t>in</w:t>
      </w:r>
      <w:r w:rsidR="00997E04" w:rsidRPr="00997E04">
        <w:rPr>
          <w:lang w:val="en-AU"/>
        </w:rPr>
        <w:t xml:space="preserve"> animals exposed up to 7-fold </w:t>
      </w:r>
      <w:r w:rsidR="00A43A4D">
        <w:rPr>
          <w:lang w:val="en-AU"/>
        </w:rPr>
        <w:t xml:space="preserve">(based on total AUC) </w:t>
      </w:r>
      <w:r w:rsidR="00997E04" w:rsidRPr="00997E04">
        <w:rPr>
          <w:lang w:val="en-AU"/>
        </w:rPr>
        <w:t>the exposure in humans at the therapeutic dose</w:t>
      </w:r>
      <w:r w:rsidR="00EF2D3A" w:rsidRPr="0051765B">
        <w:rPr>
          <w:lang w:val="en-AU"/>
        </w:rPr>
        <w:t>.</w:t>
      </w:r>
    </w:p>
    <w:p w14:paraId="7937D14F" w14:textId="7CAD42BC" w:rsidR="00997E04" w:rsidRPr="00997E04" w:rsidRDefault="00A43A4D" w:rsidP="00A556B1">
      <w:pPr>
        <w:pStyle w:val="Heading3"/>
        <w:rPr>
          <w:lang w:val="en-AU"/>
        </w:rPr>
      </w:pPr>
      <w:r>
        <w:rPr>
          <w:lang w:val="en-AU"/>
        </w:rPr>
        <w:t>Retinal toxicity</w:t>
      </w:r>
    </w:p>
    <w:p w14:paraId="35764295" w14:textId="77777777" w:rsidR="00997E04" w:rsidRDefault="00997E04" w:rsidP="00997E04">
      <w:pPr>
        <w:rPr>
          <w:lang w:val="en-AU"/>
        </w:rPr>
      </w:pPr>
    </w:p>
    <w:p w14:paraId="74881E8E" w14:textId="30FB7B0E" w:rsidR="00A43A4D" w:rsidRDefault="00A43A4D" w:rsidP="00997E04">
      <w:pPr>
        <w:rPr>
          <w:lang w:val="en-AU"/>
        </w:rPr>
      </w:pPr>
      <w:proofErr w:type="spellStart"/>
      <w:r w:rsidRPr="00A43A4D">
        <w:rPr>
          <w:lang w:val="en-AU"/>
        </w:rPr>
        <w:t>Risdiplam</w:t>
      </w:r>
      <w:proofErr w:type="spellEnd"/>
      <w:r w:rsidRPr="00A43A4D">
        <w:rPr>
          <w:lang w:val="en-AU"/>
        </w:rPr>
        <w:t xml:space="preserve">-induced functional and structural retinal abnormalities were seen in animal studies. In a 39-week toxicity study in monkeys, oral administration of </w:t>
      </w:r>
      <w:proofErr w:type="spellStart"/>
      <w:r w:rsidRPr="00A43A4D">
        <w:rPr>
          <w:lang w:val="en-AU"/>
        </w:rPr>
        <w:t>risdiplam</w:t>
      </w:r>
      <w:proofErr w:type="spellEnd"/>
      <w:r w:rsidRPr="00A43A4D">
        <w:rPr>
          <w:lang w:val="en-AU"/>
        </w:rPr>
        <w:t xml:space="preserve"> (0, 1.5, 3, or 7.5/5 mg/kg/day; high dose lowered after 4 weeks) produced functional abnormalities on the electroretinogram (ERG) in all mid-and high-dose animals at the earliest examination time (Week 20). These findings were associated with retinal degeneration, detected by optical coherence tomography (OCT), on Week 22, the first examination time. The retinal degeneration, with peripheral photoreceptor loss, was irreversible. A no-effect dose for the retinal findings (1.5 mg/kg/day) was associated with plasma exposures (AUC) similar to that in humans at the maximum recommended human dose (MRHD) of 5 mg.</w:t>
      </w:r>
    </w:p>
    <w:p w14:paraId="3AAC8621" w14:textId="53F40E56" w:rsidR="008966DB" w:rsidRDefault="008966DB" w:rsidP="00997E04">
      <w:pPr>
        <w:rPr>
          <w:lang w:val="en-AU"/>
        </w:rPr>
      </w:pPr>
    </w:p>
    <w:p w14:paraId="54D6DDF2" w14:textId="39E30065" w:rsidR="008966DB" w:rsidRDefault="008966DB" w:rsidP="00997E04">
      <w:pPr>
        <w:rPr>
          <w:lang w:val="en-AU"/>
        </w:rPr>
      </w:pPr>
    </w:p>
    <w:p w14:paraId="549301D9" w14:textId="77777777" w:rsidR="008966DB" w:rsidRPr="00997E04" w:rsidRDefault="008966DB" w:rsidP="00997E04">
      <w:pPr>
        <w:rPr>
          <w:lang w:val="en-AU"/>
        </w:rPr>
      </w:pPr>
    </w:p>
    <w:p w14:paraId="716485E8" w14:textId="77777777" w:rsidR="00997E04" w:rsidRPr="00997E04" w:rsidRDefault="00997E04" w:rsidP="00A556B1">
      <w:pPr>
        <w:pStyle w:val="Heading3"/>
        <w:rPr>
          <w:lang w:val="en-AU"/>
        </w:rPr>
      </w:pPr>
      <w:r w:rsidRPr="00997E04">
        <w:rPr>
          <w:lang w:val="en-AU"/>
        </w:rPr>
        <w:lastRenderedPageBreak/>
        <w:t xml:space="preserve">Effect on epithelial tissues </w:t>
      </w:r>
    </w:p>
    <w:p w14:paraId="6327BE04" w14:textId="77777777" w:rsidR="00997E04" w:rsidRDefault="00997E04" w:rsidP="00997E04">
      <w:pPr>
        <w:rPr>
          <w:lang w:val="en-AU"/>
        </w:rPr>
      </w:pPr>
    </w:p>
    <w:p w14:paraId="3871F86A" w14:textId="426BEB50" w:rsidR="00997E04" w:rsidRPr="00997E04" w:rsidRDefault="00A43A4D" w:rsidP="00997E04">
      <w:pPr>
        <w:rPr>
          <w:lang w:val="en-AU"/>
        </w:rPr>
      </w:pPr>
      <w:r w:rsidRPr="00A43A4D">
        <w:rPr>
          <w:lang w:val="en-AU"/>
        </w:rPr>
        <w:t xml:space="preserve">Oral administration of </w:t>
      </w:r>
      <w:proofErr w:type="spellStart"/>
      <w:r w:rsidRPr="00A43A4D">
        <w:rPr>
          <w:lang w:val="en-AU"/>
        </w:rPr>
        <w:t>risdiplam</w:t>
      </w:r>
      <w:proofErr w:type="spellEnd"/>
      <w:r w:rsidRPr="00A43A4D">
        <w:rPr>
          <w:lang w:val="en-AU"/>
        </w:rPr>
        <w:t xml:space="preserve"> to rats and monkeys resulted in histopathological changes in epithelium of the gastrointestinal (GI) tract (apoptosis/single cell necrosis), lamina propria (vacuolation), the exocrine pancreas (single cell necrosis), the skin, tongue, and larynx (parakeratosis/hyperplasia/degeneration) with associated inflammation. The skin and GI epithelial effects were reversible. The no-effect doses for effects on epithelial tissues in rats and monkeys were associated with plasma exposures (AUC) similar to that in humans at the MRHD.</w:t>
      </w:r>
    </w:p>
    <w:p w14:paraId="0501623E" w14:textId="04233DB5" w:rsidR="00997E04" w:rsidRDefault="00997E04" w:rsidP="00A556B1">
      <w:pPr>
        <w:pStyle w:val="Heading3"/>
        <w:keepNext/>
        <w:rPr>
          <w:lang w:val="en-AU"/>
        </w:rPr>
      </w:pPr>
      <w:r w:rsidRPr="00997E04">
        <w:rPr>
          <w:lang w:val="en-AU"/>
        </w:rPr>
        <w:t>Juvenile animal studies</w:t>
      </w:r>
    </w:p>
    <w:p w14:paraId="570307EB" w14:textId="77777777" w:rsidR="00567A88" w:rsidRPr="00567A88" w:rsidRDefault="00567A88" w:rsidP="00567A88">
      <w:pPr>
        <w:rPr>
          <w:lang w:val="en-AU"/>
        </w:rPr>
      </w:pPr>
    </w:p>
    <w:p w14:paraId="42668D58" w14:textId="13E848A2" w:rsidR="00847E54" w:rsidRPr="006273A5" w:rsidRDefault="00847E54" w:rsidP="00847E54">
      <w:pPr>
        <w:rPr>
          <w:lang w:val="en-AU"/>
        </w:rPr>
      </w:pPr>
      <w:r w:rsidRPr="006273A5">
        <w:rPr>
          <w:lang w:val="en-AU"/>
        </w:rPr>
        <w:t xml:space="preserve">Oral administration of </w:t>
      </w:r>
      <w:proofErr w:type="spellStart"/>
      <w:r w:rsidRPr="006273A5">
        <w:rPr>
          <w:lang w:val="en-AU"/>
        </w:rPr>
        <w:t>risdiplam</w:t>
      </w:r>
      <w:proofErr w:type="spellEnd"/>
      <w:r w:rsidRPr="006273A5">
        <w:rPr>
          <w:lang w:val="en-AU"/>
        </w:rPr>
        <w:t xml:space="preserve"> (0, 0.75, 1.5, 2.5 mg/day) to young rats from postnatal day (PND) 4 through PND 31 resulted in decreased growth (body weight, tibia length) and delayed sexual maturation in males at the mid and high dose. The skeletal and body weight deficits persisted after cessation of dosing. </w:t>
      </w:r>
      <w:r w:rsidR="00800E20">
        <w:rPr>
          <w:lang w:val="en-AU"/>
        </w:rPr>
        <w:t>D</w:t>
      </w:r>
      <w:r w:rsidRPr="006273A5">
        <w:rPr>
          <w:lang w:val="en-AU"/>
        </w:rPr>
        <w:t xml:space="preserve">ecreases in absolute B lymphocyte counts were seen at the high dose. Decreases in testis and epididymis weights, which correlated with degeneration of the seminiferous epithelium in the testis, occurred at the mid and high doses; the histopathology findings were reversible, but organ weight persisted after cessation of dosing. Impaired female reproductive performance (decreased mating index, fertility index, and conception rate) was observed at the high dose. At the NOAEL (1.5 mg/kg/day) the plasma exposure (unbound AUC) was 2.4 × that in humans at the maximum recommended human dose (MRHD) of 5 mg/day. </w:t>
      </w:r>
    </w:p>
    <w:p w14:paraId="73492E93" w14:textId="77777777" w:rsidR="00847E54" w:rsidRPr="006273A5" w:rsidRDefault="00847E54" w:rsidP="00847E54">
      <w:pPr>
        <w:rPr>
          <w:lang w:val="en-AU"/>
        </w:rPr>
      </w:pPr>
    </w:p>
    <w:p w14:paraId="30CC699E" w14:textId="309F6019" w:rsidR="00847E54" w:rsidRPr="00997E04" w:rsidRDefault="00847E54" w:rsidP="00997E04">
      <w:pPr>
        <w:rPr>
          <w:lang w:val="en-AU"/>
        </w:rPr>
      </w:pPr>
      <w:r w:rsidRPr="006273A5">
        <w:rPr>
          <w:lang w:val="en-AU"/>
        </w:rPr>
        <w:t xml:space="preserve">Oral administration of </w:t>
      </w:r>
      <w:proofErr w:type="spellStart"/>
      <w:r w:rsidRPr="006273A5">
        <w:rPr>
          <w:lang w:val="en-AU"/>
        </w:rPr>
        <w:t>risdiplam</w:t>
      </w:r>
      <w:proofErr w:type="spellEnd"/>
      <w:r w:rsidRPr="006273A5">
        <w:rPr>
          <w:lang w:val="en-AU"/>
        </w:rPr>
        <w:t xml:space="preserve"> (0, 1, 3, or 7.5 mg/day) to young rats from PND 22 through PND 112 produced a marked increase in micronuclei in the bone marrow, male reproductive organ histopathology (degeneration/necrosis of the seminiferous tubule epithelium, parameters (decreased sperm concentration and motility, increased sperm morphology abnormalities) at the highest dose tested. Increases in T lymphocytes (total, helper, and cytotoxic) were observed at the mid and high doses. The reproductive and immune effects persisted after cessation of dosing. At the NOAEL (3 mg/kg/day) plasma exposures (unbound AUC) were similar to that in humans at the MRHD.</w:t>
      </w:r>
    </w:p>
    <w:p w14:paraId="662250F4" w14:textId="77777777" w:rsidR="00D52399" w:rsidRDefault="00615052" w:rsidP="00435230">
      <w:pPr>
        <w:pStyle w:val="Heading1"/>
        <w:numPr>
          <w:ilvl w:val="0"/>
          <w:numId w:val="2"/>
        </w:numPr>
      </w:pPr>
      <w:r>
        <w:t>PHARMACEUTICAL PARTICULARS</w:t>
      </w:r>
    </w:p>
    <w:p w14:paraId="0992DE0E" w14:textId="713D09A9" w:rsidR="00D52399" w:rsidRDefault="00615052" w:rsidP="008903F2">
      <w:pPr>
        <w:pStyle w:val="Heading2"/>
        <w:ind w:hanging="786"/>
      </w:pPr>
      <w:r>
        <w:t>6.1</w:t>
      </w:r>
      <w:r>
        <w:tab/>
      </w:r>
      <w:r w:rsidR="00EF2D3A">
        <w:t>LIST OF EXCIPIENTS</w:t>
      </w:r>
    </w:p>
    <w:p w14:paraId="625D7748" w14:textId="77777777" w:rsidR="00D52399" w:rsidRDefault="00D52399"/>
    <w:p w14:paraId="72713CB3" w14:textId="5EFF8CFB" w:rsidR="003E342B" w:rsidRDefault="007425B4" w:rsidP="004716A0">
      <w:r>
        <w:t>Mannitol</w:t>
      </w:r>
    </w:p>
    <w:p w14:paraId="0CD05067" w14:textId="307ECB5F" w:rsidR="007425B4" w:rsidRDefault="007425B4" w:rsidP="004716A0">
      <w:proofErr w:type="spellStart"/>
      <w:r>
        <w:t>Isomalt</w:t>
      </w:r>
      <w:proofErr w:type="spellEnd"/>
    </w:p>
    <w:p w14:paraId="08F6DAEE" w14:textId="77777777" w:rsidR="00A556B1" w:rsidRPr="004716A0" w:rsidRDefault="00A556B1" w:rsidP="00A556B1">
      <w:r>
        <w:t>Strawberry flavour PHS-180152</w:t>
      </w:r>
    </w:p>
    <w:p w14:paraId="0B4CBDD4" w14:textId="4B1A11C5" w:rsidR="007425B4" w:rsidRDefault="007425B4" w:rsidP="004716A0">
      <w:r>
        <w:t>Tartaric acid</w:t>
      </w:r>
    </w:p>
    <w:p w14:paraId="42287D6C" w14:textId="2029D9EF" w:rsidR="007425B4" w:rsidRDefault="007425B4" w:rsidP="004716A0">
      <w:r>
        <w:t>Sodium benzoate</w:t>
      </w:r>
    </w:p>
    <w:p w14:paraId="009A6A17" w14:textId="176CDBFE" w:rsidR="007425B4" w:rsidRDefault="007425B4" w:rsidP="004716A0">
      <w:r>
        <w:t>Macrogol 6000</w:t>
      </w:r>
    </w:p>
    <w:p w14:paraId="46405AFE" w14:textId="4DB623E2" w:rsidR="007425B4" w:rsidRDefault="007425B4" w:rsidP="004716A0">
      <w:r>
        <w:t>Sucralose</w:t>
      </w:r>
    </w:p>
    <w:p w14:paraId="5F8B65A6" w14:textId="0C6AD3F4" w:rsidR="007425B4" w:rsidRDefault="007425B4" w:rsidP="004716A0">
      <w:r>
        <w:t>Ascorbic acid</w:t>
      </w:r>
    </w:p>
    <w:p w14:paraId="7951E7D1" w14:textId="4929DB3D" w:rsidR="00BA28D0" w:rsidRDefault="00BA28D0" w:rsidP="004716A0">
      <w:r>
        <w:t>Disodium edetate</w:t>
      </w:r>
    </w:p>
    <w:p w14:paraId="434BC695" w14:textId="09ED511B" w:rsidR="00D52399" w:rsidRDefault="00615052" w:rsidP="008903F2">
      <w:pPr>
        <w:pStyle w:val="Heading2"/>
        <w:ind w:hanging="786"/>
      </w:pPr>
      <w:r>
        <w:t>6.2</w:t>
      </w:r>
      <w:r>
        <w:tab/>
      </w:r>
      <w:r w:rsidR="00EF2D3A">
        <w:t>INCOMPATIBILITIES</w:t>
      </w:r>
    </w:p>
    <w:p w14:paraId="4D0E1B4B" w14:textId="77777777" w:rsidR="00D52399" w:rsidRDefault="00D52399" w:rsidP="00EF2D3A"/>
    <w:p w14:paraId="6D06B59E" w14:textId="37502C5E" w:rsidR="00D52399" w:rsidRPr="003E342B" w:rsidRDefault="00722DAB" w:rsidP="003E342B">
      <w:pPr>
        <w:rPr>
          <w:lang w:val="en-AU"/>
        </w:rPr>
      </w:pPr>
      <w:r w:rsidRPr="00722DAB">
        <w:rPr>
          <w:lang w:val="en-AU"/>
        </w:rPr>
        <w:t xml:space="preserve">No incompatibilities between </w:t>
      </w:r>
      <w:proofErr w:type="spellStart"/>
      <w:r w:rsidRPr="00722DAB">
        <w:rPr>
          <w:lang w:val="en-AU"/>
        </w:rPr>
        <w:t>Evrysdi</w:t>
      </w:r>
      <w:proofErr w:type="spellEnd"/>
      <w:r w:rsidRPr="00722DAB">
        <w:rPr>
          <w:lang w:val="en-AU"/>
        </w:rPr>
        <w:t xml:space="preserve"> and the oral syringes</w:t>
      </w:r>
      <w:r w:rsidR="00A556B1">
        <w:rPr>
          <w:lang w:val="en-AU"/>
        </w:rPr>
        <w:t xml:space="preserve"> provided</w:t>
      </w:r>
      <w:r w:rsidRPr="00722DAB">
        <w:rPr>
          <w:lang w:val="en-AU"/>
        </w:rPr>
        <w:t xml:space="preserve"> have been observed</w:t>
      </w:r>
      <w:r w:rsidR="003E342B">
        <w:rPr>
          <w:lang w:val="en-AU"/>
        </w:rPr>
        <w:t>.</w:t>
      </w:r>
    </w:p>
    <w:p w14:paraId="3815E76F" w14:textId="791A2566" w:rsidR="00D52399" w:rsidRDefault="00615052" w:rsidP="00EF2D3A">
      <w:pPr>
        <w:pStyle w:val="Heading2"/>
        <w:keepNext/>
        <w:ind w:hanging="786"/>
      </w:pPr>
      <w:r>
        <w:lastRenderedPageBreak/>
        <w:t>6.3</w:t>
      </w:r>
      <w:r>
        <w:tab/>
      </w:r>
      <w:r w:rsidR="00EF2D3A">
        <w:t>SHELF LIFE</w:t>
      </w:r>
    </w:p>
    <w:p w14:paraId="04701EAB" w14:textId="3F0023DC" w:rsidR="00EF2D3A" w:rsidRDefault="00EF2D3A" w:rsidP="00EF2D3A">
      <w:pPr>
        <w:keepNext/>
      </w:pPr>
    </w:p>
    <w:p w14:paraId="2410B213" w14:textId="7BCE2573" w:rsidR="00EA794E" w:rsidRDefault="00EF2D3A" w:rsidP="00EF2D3A">
      <w:r w:rsidRPr="008903F2">
        <w:t>In Australia, information on the shelf life can be found on the public summary of the Australian Register of Therapeutic Goods (ARTG). The expiry date</w:t>
      </w:r>
      <w:r>
        <w:t xml:space="preserve"> can be found on the packaging.</w:t>
      </w:r>
      <w:r w:rsidR="003E342B">
        <w:t xml:space="preserve"> </w:t>
      </w:r>
    </w:p>
    <w:p w14:paraId="5FDDEC5C" w14:textId="5D743691" w:rsidR="00D52399" w:rsidRDefault="00615052" w:rsidP="00A146EF">
      <w:pPr>
        <w:pStyle w:val="Heading2"/>
        <w:keepNext/>
        <w:ind w:hanging="786"/>
      </w:pPr>
      <w:r>
        <w:t>6.4</w:t>
      </w:r>
      <w:r>
        <w:tab/>
      </w:r>
      <w:r w:rsidR="00EF2D3A">
        <w:t>SPECIAL PRECAUTIONS FOR STORAGE</w:t>
      </w:r>
    </w:p>
    <w:p w14:paraId="5FC17D28" w14:textId="3FD039EE" w:rsidR="00D52399" w:rsidRDefault="00A556B1" w:rsidP="00A556B1">
      <w:pPr>
        <w:pStyle w:val="Heading3"/>
      </w:pPr>
      <w:r>
        <w:t>Powder for oral solution</w:t>
      </w:r>
    </w:p>
    <w:p w14:paraId="4524FA31" w14:textId="77777777" w:rsidR="00A556B1" w:rsidRDefault="00A556B1" w:rsidP="00A146EF">
      <w:pPr>
        <w:keepNext/>
      </w:pPr>
    </w:p>
    <w:p w14:paraId="138C89F7" w14:textId="66286842" w:rsidR="00722DAB" w:rsidRDefault="005F750E" w:rsidP="005F750E">
      <w:pPr>
        <w:rPr>
          <w:lang w:val="en-AU"/>
        </w:rPr>
      </w:pPr>
      <w:r>
        <w:rPr>
          <w:lang w:val="en-AU"/>
        </w:rPr>
        <w:t xml:space="preserve">Store </w:t>
      </w:r>
      <w:r w:rsidR="00722DAB">
        <w:rPr>
          <w:lang w:val="en-AU"/>
        </w:rPr>
        <w:t>powder in the original amber bottle</w:t>
      </w:r>
      <w:r w:rsidR="00722DAB" w:rsidRPr="00722DAB">
        <w:rPr>
          <w:lang w:val="en-AU"/>
        </w:rPr>
        <w:t xml:space="preserve"> </w:t>
      </w:r>
      <w:r w:rsidR="00722DAB">
        <w:rPr>
          <w:lang w:val="en-AU"/>
        </w:rPr>
        <w:t>below 25°C</w:t>
      </w:r>
      <w:r>
        <w:rPr>
          <w:lang w:val="en-AU"/>
        </w:rPr>
        <w:t>.</w:t>
      </w:r>
    </w:p>
    <w:p w14:paraId="37348FDB" w14:textId="77777777" w:rsidR="00A556B1" w:rsidRDefault="00A556B1" w:rsidP="005F750E">
      <w:pPr>
        <w:rPr>
          <w:lang w:val="en-AU"/>
        </w:rPr>
      </w:pPr>
    </w:p>
    <w:p w14:paraId="2E0EE6FE" w14:textId="71720101" w:rsidR="00055A77" w:rsidRDefault="00A556B1" w:rsidP="00A556B1">
      <w:proofErr w:type="spellStart"/>
      <w:r>
        <w:t>Evrysdi</w:t>
      </w:r>
      <w:proofErr w:type="spellEnd"/>
      <w:r w:rsidRPr="00EA794E">
        <w:t xml:space="preserve"> should not be used after the expiry date (“EXP” for the powder) on the </w:t>
      </w:r>
      <w:r>
        <w:t>carton</w:t>
      </w:r>
      <w:r w:rsidRPr="00EA794E">
        <w:t xml:space="preserve"> and on the bottle.</w:t>
      </w:r>
    </w:p>
    <w:p w14:paraId="295D8B28" w14:textId="118719A8" w:rsidR="00A556B1" w:rsidRDefault="00A556B1" w:rsidP="00A556B1">
      <w:pPr>
        <w:pStyle w:val="Heading3"/>
      </w:pPr>
      <w:r>
        <w:t>Reconstituted oral solution</w:t>
      </w:r>
    </w:p>
    <w:p w14:paraId="659D7556" w14:textId="486CC573" w:rsidR="00A556B1" w:rsidRDefault="00A556B1" w:rsidP="005F750E"/>
    <w:p w14:paraId="5DDA16D1" w14:textId="77777777" w:rsidR="00A556B1" w:rsidRDefault="00A556B1" w:rsidP="00A556B1">
      <w:r>
        <w:t xml:space="preserve">Store in a refrigerator at 2°C–8°C. </w:t>
      </w:r>
    </w:p>
    <w:p w14:paraId="12AA3349" w14:textId="77777777" w:rsidR="00A556B1" w:rsidRDefault="00A556B1" w:rsidP="00A556B1"/>
    <w:p w14:paraId="267E2574" w14:textId="77777777" w:rsidR="00A556B1" w:rsidRDefault="00A556B1" w:rsidP="00A556B1">
      <w:r>
        <w:t xml:space="preserve">Do not freeze. </w:t>
      </w:r>
    </w:p>
    <w:p w14:paraId="506F93E1" w14:textId="77777777" w:rsidR="00A556B1" w:rsidRDefault="00A556B1" w:rsidP="00A556B1"/>
    <w:p w14:paraId="6388F62E" w14:textId="77777777" w:rsidR="00A556B1" w:rsidRDefault="00A556B1" w:rsidP="00A556B1">
      <w:r>
        <w:t>Keep the oral solution in the original amber bottle and keep the bottle always in an upright position with the cap tightly closed.</w:t>
      </w:r>
    </w:p>
    <w:p w14:paraId="18591B94" w14:textId="77777777" w:rsidR="00A556B1" w:rsidRDefault="00A556B1" w:rsidP="00A556B1"/>
    <w:p w14:paraId="0FDFB6BB" w14:textId="60DA5883" w:rsidR="00A556B1" w:rsidRDefault="00A556B1" w:rsidP="00A556B1">
      <w:r>
        <w:t>This medicine as an oral solution should not be used after</w:t>
      </w:r>
      <w:r w:rsidR="00F52738">
        <w:t xml:space="preserve"> 64 days (refer to</w:t>
      </w:r>
      <w:r>
        <w:t xml:space="preserve"> “Discard After” date written </w:t>
      </w:r>
      <w:r w:rsidR="00F52738">
        <w:t>o</w:t>
      </w:r>
      <w:r>
        <w:t>n the bottle</w:t>
      </w:r>
      <w:r w:rsidR="00F52738">
        <w:t>)</w:t>
      </w:r>
      <w:r>
        <w:t>.</w:t>
      </w:r>
    </w:p>
    <w:p w14:paraId="138A70D1" w14:textId="4652B0A6" w:rsidR="00D52399" w:rsidRDefault="00615052" w:rsidP="0027409F">
      <w:pPr>
        <w:pStyle w:val="Heading2"/>
        <w:keepNext/>
        <w:ind w:hanging="786"/>
      </w:pPr>
      <w:r>
        <w:t>6.5</w:t>
      </w:r>
      <w:r>
        <w:tab/>
      </w:r>
      <w:r w:rsidR="00787171">
        <w:t>NATURE AND CONTENTS OF CONTAINER</w:t>
      </w:r>
    </w:p>
    <w:p w14:paraId="4116B5A0" w14:textId="50304F97" w:rsidR="00D52399" w:rsidRDefault="00D52399" w:rsidP="0027409F">
      <w:pPr>
        <w:keepNext/>
      </w:pPr>
    </w:p>
    <w:p w14:paraId="49B57A4C" w14:textId="5415F272" w:rsidR="00F52738" w:rsidRDefault="00F52738" w:rsidP="00F52738">
      <w:proofErr w:type="spellStart"/>
      <w:r>
        <w:t>Evrysdi</w:t>
      </w:r>
      <w:proofErr w:type="spellEnd"/>
      <w:r>
        <w:t xml:space="preserve"> </w:t>
      </w:r>
      <w:r w:rsidR="003E2C7F">
        <w:t xml:space="preserve">0.75 mg/mL </w:t>
      </w:r>
      <w:r>
        <w:t>powder for oral solution is supplied as powder in an amber glass bottle.</w:t>
      </w:r>
    </w:p>
    <w:p w14:paraId="52219B70" w14:textId="77777777" w:rsidR="00F52738" w:rsidRDefault="00F52738" w:rsidP="00F52738"/>
    <w:p w14:paraId="6E54EBC1" w14:textId="6902F4F9" w:rsidR="00F52738" w:rsidRDefault="00F52738" w:rsidP="00F52738">
      <w:r>
        <w:t xml:space="preserve">Each amber glass bottle contains 60 mg </w:t>
      </w:r>
      <w:proofErr w:type="spellStart"/>
      <w:r>
        <w:t>risdiplam</w:t>
      </w:r>
      <w:proofErr w:type="spellEnd"/>
      <w:r>
        <w:t xml:space="preserve"> in 2.0 g powder for oral solution. When reconstituted, the volume of the oral solution is 80 </w:t>
      </w:r>
      <w:proofErr w:type="spellStart"/>
      <w:r>
        <w:t>mL.</w:t>
      </w:r>
      <w:proofErr w:type="spellEnd"/>
      <w:r>
        <w:t xml:space="preserve"> Each mL of the reconstituted oral solution contains </w:t>
      </w:r>
      <w:r w:rsidR="003E2C7F">
        <w:t>0.75 mg</w:t>
      </w:r>
      <w:r>
        <w:t xml:space="preserve"> of </w:t>
      </w:r>
      <w:proofErr w:type="spellStart"/>
      <w:r>
        <w:t>risdiplam</w:t>
      </w:r>
      <w:proofErr w:type="spellEnd"/>
      <w:r>
        <w:t>.</w:t>
      </w:r>
    </w:p>
    <w:p w14:paraId="4AE543AC" w14:textId="77777777" w:rsidR="00F52738" w:rsidRDefault="00F52738" w:rsidP="00F52738"/>
    <w:p w14:paraId="5862015D" w14:textId="5ACAB611" w:rsidR="00F52738" w:rsidRDefault="00F52738" w:rsidP="00F52738">
      <w:r>
        <w:t xml:space="preserve">Each carton contains: 1 bottle of </w:t>
      </w:r>
      <w:proofErr w:type="spellStart"/>
      <w:r>
        <w:t>risdiplam</w:t>
      </w:r>
      <w:proofErr w:type="spellEnd"/>
      <w:r>
        <w:t>, 1 press-in bottle adapter, two 6 mL re-usable oral syringes and two 12 mL re-usable oral syringes.</w:t>
      </w:r>
    </w:p>
    <w:p w14:paraId="5A42436A" w14:textId="314444B2" w:rsidR="00D52399" w:rsidRDefault="00615052" w:rsidP="00AD20AB">
      <w:pPr>
        <w:pStyle w:val="Heading2"/>
        <w:keepNext/>
        <w:ind w:hanging="786"/>
      </w:pPr>
      <w:r>
        <w:t>6.6</w:t>
      </w:r>
      <w:r>
        <w:tab/>
      </w:r>
      <w:r w:rsidR="00787171">
        <w:t xml:space="preserve">SPECIAL PRECAUTIONS FOR DISPOSAL </w:t>
      </w:r>
    </w:p>
    <w:p w14:paraId="5227CB18" w14:textId="77777777" w:rsidR="00345AB2" w:rsidRDefault="00345AB2" w:rsidP="00AD20AB">
      <w:pPr>
        <w:keepNext/>
        <w:rPr>
          <w:lang w:val="en-AU"/>
        </w:rPr>
      </w:pPr>
    </w:p>
    <w:p w14:paraId="475BFC43" w14:textId="2D625F02" w:rsidR="008903F2" w:rsidRPr="00296201" w:rsidRDefault="00787171">
      <w:r w:rsidRPr="00FB5609">
        <w:rPr>
          <w:lang w:val="en-AU"/>
        </w:rPr>
        <w:t>The release of pharmaceuticals in the environm</w:t>
      </w:r>
      <w:r>
        <w:rPr>
          <w:lang w:val="en-AU"/>
        </w:rPr>
        <w:t xml:space="preserve">ent </w:t>
      </w:r>
      <w:r w:rsidR="00EA794E">
        <w:rPr>
          <w:lang w:val="en-AU"/>
        </w:rPr>
        <w:t>must</w:t>
      </w:r>
      <w:r>
        <w:rPr>
          <w:lang w:val="en-AU"/>
        </w:rPr>
        <w:t xml:space="preserve"> be minimis</w:t>
      </w:r>
      <w:r w:rsidRPr="00FB5609">
        <w:rPr>
          <w:lang w:val="en-AU"/>
        </w:rPr>
        <w:t xml:space="preserve">ed. Medicines </w:t>
      </w:r>
      <w:r w:rsidR="00EA794E">
        <w:rPr>
          <w:lang w:val="en-AU"/>
        </w:rPr>
        <w:t>must</w:t>
      </w:r>
      <w:r w:rsidRPr="00FB5609">
        <w:rPr>
          <w:lang w:val="en-AU"/>
        </w:rPr>
        <w:t xml:space="preserve"> not be disposed of via wastewater and disposal through household waste should be avoided. Unused or expired medicine should be returned to a pharmacy for disposal.</w:t>
      </w:r>
    </w:p>
    <w:p w14:paraId="2EE97B0B" w14:textId="0251F30B" w:rsidR="008903F2" w:rsidRDefault="008903F2" w:rsidP="00685337">
      <w:pPr>
        <w:pStyle w:val="Heading2"/>
        <w:keepNext/>
        <w:ind w:left="788" w:hanging="788"/>
      </w:pPr>
      <w:r w:rsidRPr="00BA0878">
        <w:t>6.7</w:t>
      </w:r>
      <w:r w:rsidRPr="00BA0878">
        <w:tab/>
      </w:r>
      <w:r w:rsidR="005E0551">
        <w:t>PHYSICOCHEMICAL PROPERTIES</w:t>
      </w:r>
      <w:r w:rsidR="009B3628" w:rsidRPr="00BA0878">
        <w:t xml:space="preserve"> </w:t>
      </w:r>
    </w:p>
    <w:p w14:paraId="2AE65BB9" w14:textId="77777777" w:rsidR="009872F9" w:rsidRDefault="009872F9" w:rsidP="009872F9"/>
    <w:p w14:paraId="62599AC7" w14:textId="0E9D311B" w:rsidR="009872F9" w:rsidRDefault="00EA7411" w:rsidP="00DC2801">
      <w:proofErr w:type="spellStart"/>
      <w:r>
        <w:t>Risdiplam</w:t>
      </w:r>
      <w:proofErr w:type="spellEnd"/>
      <w:r w:rsidR="009872F9">
        <w:t xml:space="preserve"> has a molecular weight of </w:t>
      </w:r>
      <w:r w:rsidRPr="00EA7411">
        <w:t>401.46 g/mol</w:t>
      </w:r>
      <w:r w:rsidR="00BA28D0" w:rsidRPr="00BA28D0">
        <w:t xml:space="preserve"> and a partition coefficient (log P) of</w:t>
      </w:r>
      <w:r w:rsidR="00BA28D0">
        <w:t xml:space="preserve"> 1.46</w:t>
      </w:r>
      <w:r w:rsidRPr="00EA7411">
        <w:t>.</w:t>
      </w:r>
      <w:r w:rsidR="009872F9">
        <w:t xml:space="preserve"> </w:t>
      </w:r>
      <w:proofErr w:type="spellStart"/>
      <w:r w:rsidR="00DC2801">
        <w:t>Risdiplam</w:t>
      </w:r>
      <w:proofErr w:type="spellEnd"/>
      <w:r w:rsidR="00DC2801">
        <w:t xml:space="preserve"> is a weakly basic compound exhibiting high aqueous solubility in low pH media (pH &lt; 4) </w:t>
      </w:r>
      <w:r w:rsidR="004128D6">
        <w:t>and</w:t>
      </w:r>
      <w:r w:rsidR="00DC2801">
        <w:t xml:space="preserve"> poor solubility at pH 4 and above.</w:t>
      </w:r>
      <w:r w:rsidR="00DC2801" w:rsidRPr="00BA28D0">
        <w:t xml:space="preserve"> </w:t>
      </w:r>
    </w:p>
    <w:p w14:paraId="2B2CEEBB" w14:textId="77777777" w:rsidR="00DA4E6F" w:rsidRDefault="00DA4E6F" w:rsidP="00EF2045">
      <w:pPr>
        <w:rPr>
          <w:b/>
        </w:rPr>
      </w:pPr>
    </w:p>
    <w:p w14:paraId="39FEF6E6" w14:textId="03B680F1" w:rsidR="005E0551" w:rsidRPr="00DA4E6F" w:rsidRDefault="00296201" w:rsidP="00685337">
      <w:pPr>
        <w:keepNext/>
        <w:rPr>
          <w:b/>
        </w:rPr>
      </w:pPr>
      <w:r w:rsidRPr="00DA4E6F">
        <w:rPr>
          <w:b/>
        </w:rPr>
        <w:lastRenderedPageBreak/>
        <w:t>Chemical structure</w:t>
      </w:r>
      <w:r w:rsidR="00DA4E6F">
        <w:rPr>
          <w:b/>
        </w:rPr>
        <w:t>:</w:t>
      </w:r>
    </w:p>
    <w:p w14:paraId="03EFA87D" w14:textId="47F625E8" w:rsidR="00296201" w:rsidRDefault="00296201" w:rsidP="00685337">
      <w:pPr>
        <w:keepNext/>
      </w:pPr>
    </w:p>
    <w:p w14:paraId="491907C7" w14:textId="5014B900" w:rsidR="00296201" w:rsidRDefault="00BA28D0" w:rsidP="00296201">
      <w:r>
        <w:rPr>
          <w:noProof/>
          <w:lang w:val="en-AU"/>
        </w:rPr>
        <w:drawing>
          <wp:inline distT="0" distB="0" distL="0" distR="0" wp14:anchorId="460A0C37" wp14:editId="78494532">
            <wp:extent cx="2295053" cy="11242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13661" cy="1133328"/>
                    </a:xfrm>
                    <a:prstGeom prst="rect">
                      <a:avLst/>
                    </a:prstGeom>
                  </pic:spPr>
                </pic:pic>
              </a:graphicData>
            </a:graphic>
          </wp:inline>
        </w:drawing>
      </w:r>
    </w:p>
    <w:p w14:paraId="67F7CBFA" w14:textId="77777777" w:rsidR="00C72FBB" w:rsidRDefault="00C72FBB" w:rsidP="00C72FBB"/>
    <w:p w14:paraId="641FA00C" w14:textId="054F472A" w:rsidR="00C72FBB" w:rsidRDefault="00C72FBB" w:rsidP="00C72FBB">
      <w:r w:rsidRPr="00C72FBB">
        <w:rPr>
          <w:b/>
        </w:rPr>
        <w:t>CAS-number:</w:t>
      </w:r>
      <w:r>
        <w:t xml:space="preserve"> </w:t>
      </w:r>
      <w:r w:rsidR="00BA28D0" w:rsidRPr="00BA28D0">
        <w:t>1825352-65-5</w:t>
      </w:r>
    </w:p>
    <w:p w14:paraId="1A63A015" w14:textId="7284C32D" w:rsidR="00DA4E6F" w:rsidRDefault="00DA4E6F" w:rsidP="00C72FBB"/>
    <w:p w14:paraId="45921BE4" w14:textId="6B46CAD9" w:rsidR="00DA4E6F" w:rsidRDefault="00DA4E6F" w:rsidP="00EA7411">
      <w:r w:rsidRPr="00DA4E6F">
        <w:rPr>
          <w:b/>
        </w:rPr>
        <w:t xml:space="preserve">Chemical name: </w:t>
      </w:r>
      <w:r w:rsidR="00EA7411">
        <w:t>7-(4,7-diazaspiro[2.5]octan-7-yl)-2-(2,8dimethylimidazo[1,2-</w:t>
      </w:r>
      <w:r w:rsidR="00EA7411" w:rsidRPr="00BA28D0">
        <w:rPr>
          <w:i/>
        </w:rPr>
        <w:t>b</w:t>
      </w:r>
      <w:r w:rsidR="00EA7411">
        <w:t xml:space="preserve">]pyridazin-6- </w:t>
      </w:r>
      <w:proofErr w:type="spellStart"/>
      <w:r w:rsidR="00EA7411">
        <w:t>yl</w:t>
      </w:r>
      <w:proofErr w:type="spellEnd"/>
      <w:r w:rsidR="00EA7411">
        <w:t>)pyrido-</w:t>
      </w:r>
      <w:r w:rsidR="00EA7411" w:rsidRPr="00BA28D0">
        <w:rPr>
          <w:i/>
        </w:rPr>
        <w:t>4H</w:t>
      </w:r>
      <w:r w:rsidR="00EA7411">
        <w:t>-[1,2-</w:t>
      </w:r>
      <w:r w:rsidR="00EA7411" w:rsidRPr="00BA28D0">
        <w:rPr>
          <w:i/>
        </w:rPr>
        <w:t>a</w:t>
      </w:r>
      <w:r w:rsidR="00EA7411">
        <w:t>]pyrimidin-4-one.</w:t>
      </w:r>
      <w:r w:rsidRPr="00DA4E6F">
        <w:t xml:space="preserve"> </w:t>
      </w:r>
    </w:p>
    <w:p w14:paraId="7C54E907" w14:textId="77777777" w:rsidR="00DA4E6F" w:rsidRDefault="00DA4E6F" w:rsidP="00DA4E6F"/>
    <w:p w14:paraId="6A408B48" w14:textId="334B647E" w:rsidR="00DA4E6F" w:rsidRPr="00DA4E6F" w:rsidRDefault="00DA4E6F" w:rsidP="00DA4E6F">
      <w:pPr>
        <w:rPr>
          <w:lang w:val="pt-BR"/>
        </w:rPr>
      </w:pPr>
      <w:r w:rsidRPr="00DA4E6F">
        <w:rPr>
          <w:b/>
          <w:lang w:val="pt-BR"/>
        </w:rPr>
        <w:t>Empirical formula:</w:t>
      </w:r>
      <w:r w:rsidRPr="00DA4E6F">
        <w:rPr>
          <w:lang w:val="pt-BR"/>
        </w:rPr>
        <w:t xml:space="preserve"> </w:t>
      </w:r>
      <w:r w:rsidR="00EA7411" w:rsidRPr="00EA7411">
        <w:rPr>
          <w:lang w:val="pt-BR"/>
        </w:rPr>
        <w:t>C</w:t>
      </w:r>
      <w:r w:rsidR="00EA7411" w:rsidRPr="00EA7411">
        <w:rPr>
          <w:vertAlign w:val="subscript"/>
          <w:lang w:val="pt-BR"/>
        </w:rPr>
        <w:t>22</w:t>
      </w:r>
      <w:r w:rsidR="00EA7411" w:rsidRPr="00EA7411">
        <w:rPr>
          <w:lang w:val="pt-BR"/>
        </w:rPr>
        <w:t>H</w:t>
      </w:r>
      <w:r w:rsidR="00EA7411" w:rsidRPr="00EA7411">
        <w:rPr>
          <w:vertAlign w:val="subscript"/>
          <w:lang w:val="pt-BR"/>
        </w:rPr>
        <w:t>23</w:t>
      </w:r>
      <w:r w:rsidR="00EA7411" w:rsidRPr="00EA7411">
        <w:rPr>
          <w:lang w:val="pt-BR"/>
        </w:rPr>
        <w:t>N</w:t>
      </w:r>
      <w:r w:rsidR="00EA7411" w:rsidRPr="00EA7411">
        <w:rPr>
          <w:vertAlign w:val="subscript"/>
          <w:lang w:val="pt-BR"/>
        </w:rPr>
        <w:t>7</w:t>
      </w:r>
      <w:r w:rsidR="00EA7411" w:rsidRPr="00EA7411">
        <w:rPr>
          <w:lang w:val="pt-BR"/>
        </w:rPr>
        <w:t>O</w:t>
      </w:r>
      <w:r w:rsidR="00EA7411">
        <w:rPr>
          <w:lang w:val="pt-BR"/>
        </w:rPr>
        <w:t>.</w:t>
      </w:r>
    </w:p>
    <w:p w14:paraId="32AE3C13" w14:textId="720E8BAA" w:rsidR="00D52399" w:rsidRDefault="00615052" w:rsidP="00435230">
      <w:pPr>
        <w:pStyle w:val="Heading1"/>
        <w:numPr>
          <w:ilvl w:val="0"/>
          <w:numId w:val="2"/>
        </w:numPr>
      </w:pPr>
      <w:r>
        <w:t>MEDICINE SCHEDULE</w:t>
      </w:r>
      <w:r w:rsidR="00594C19" w:rsidRPr="005E0551">
        <w:t xml:space="preserve"> (POISONS STANDARD)</w:t>
      </w:r>
    </w:p>
    <w:p w14:paraId="61436198" w14:textId="77777777" w:rsidR="00D52399" w:rsidRDefault="00D52399" w:rsidP="005E0551"/>
    <w:p w14:paraId="798893C5" w14:textId="77777777" w:rsidR="005E0551" w:rsidRPr="007877AA" w:rsidRDefault="005E0551" w:rsidP="005E0551">
      <w:r>
        <w:t>Schedule 4 – Prescription Only Medicine</w:t>
      </w:r>
    </w:p>
    <w:p w14:paraId="3D286E96" w14:textId="77777777" w:rsidR="00D52399" w:rsidRDefault="00615052" w:rsidP="002A6A3C">
      <w:pPr>
        <w:pStyle w:val="Heading1"/>
        <w:numPr>
          <w:ilvl w:val="0"/>
          <w:numId w:val="2"/>
        </w:numPr>
      </w:pPr>
      <w:r>
        <w:t>SPONSOR</w:t>
      </w:r>
    </w:p>
    <w:p w14:paraId="5327466F" w14:textId="77777777" w:rsidR="00D52399" w:rsidRDefault="00D52399" w:rsidP="002A6A3C">
      <w:pPr>
        <w:keepNext/>
      </w:pPr>
    </w:p>
    <w:p w14:paraId="10268E66" w14:textId="77777777" w:rsidR="00363C7F" w:rsidRPr="003F4DF6" w:rsidRDefault="00363C7F" w:rsidP="002A6A3C">
      <w:pPr>
        <w:keepNext/>
        <w:rPr>
          <w:lang w:val="en-GB"/>
        </w:rPr>
      </w:pPr>
      <w:r w:rsidRPr="003F4DF6">
        <w:rPr>
          <w:lang w:val="en-GB"/>
        </w:rPr>
        <w:t>Roche Products Pty Limited</w:t>
      </w:r>
    </w:p>
    <w:p w14:paraId="32318F76" w14:textId="77777777" w:rsidR="00363C7F" w:rsidRPr="003F4DF6" w:rsidRDefault="00363C7F" w:rsidP="002A6A3C">
      <w:pPr>
        <w:keepNext/>
        <w:rPr>
          <w:lang w:val="en-GB"/>
        </w:rPr>
      </w:pPr>
      <w:r w:rsidRPr="003F4DF6">
        <w:rPr>
          <w:lang w:val="en-GB"/>
        </w:rPr>
        <w:t>ABN 70 000 132 865</w:t>
      </w:r>
    </w:p>
    <w:p w14:paraId="32596262" w14:textId="59264A8C" w:rsidR="00363C7F" w:rsidRPr="003F4DF6" w:rsidRDefault="005E0551" w:rsidP="002A6A3C">
      <w:pPr>
        <w:keepNext/>
        <w:rPr>
          <w:lang w:val="en-GB"/>
        </w:rPr>
      </w:pPr>
      <w:r>
        <w:rPr>
          <w:lang w:val="en-GB"/>
        </w:rPr>
        <w:t>Level 8, 30-</w:t>
      </w:r>
      <w:r w:rsidR="00363C7F" w:rsidRPr="003F4DF6">
        <w:rPr>
          <w:lang w:val="en-GB"/>
        </w:rPr>
        <w:t xml:space="preserve">34 Hickson Road </w:t>
      </w:r>
    </w:p>
    <w:p w14:paraId="2A200C24" w14:textId="77777777" w:rsidR="00363C7F" w:rsidRPr="003F4DF6" w:rsidRDefault="00363C7F" w:rsidP="002A6A3C">
      <w:pPr>
        <w:keepNext/>
        <w:rPr>
          <w:lang w:val="en-GB"/>
        </w:rPr>
      </w:pPr>
      <w:r w:rsidRPr="003F4DF6">
        <w:rPr>
          <w:lang w:val="en-GB"/>
        </w:rPr>
        <w:t>Sydney NSW 2000</w:t>
      </w:r>
    </w:p>
    <w:p w14:paraId="2A7E7FF2" w14:textId="77777777" w:rsidR="00363C7F" w:rsidRPr="003F4DF6" w:rsidRDefault="00363C7F" w:rsidP="005E0551">
      <w:pPr>
        <w:rPr>
          <w:lang w:val="en-GB"/>
        </w:rPr>
      </w:pPr>
      <w:r w:rsidRPr="003F4DF6">
        <w:rPr>
          <w:lang w:val="en-GB"/>
        </w:rPr>
        <w:t>AUSTRALIA</w:t>
      </w:r>
    </w:p>
    <w:p w14:paraId="51FF2999" w14:textId="77777777" w:rsidR="00363C7F" w:rsidRPr="003F4DF6" w:rsidRDefault="00363C7F" w:rsidP="005E0551">
      <w:pPr>
        <w:rPr>
          <w:lang w:val="en-GB"/>
        </w:rPr>
      </w:pPr>
    </w:p>
    <w:p w14:paraId="240E1132" w14:textId="29032475" w:rsidR="00363C7F" w:rsidRPr="003F4DF6" w:rsidRDefault="005E0551" w:rsidP="005E0551">
      <w:r>
        <w:rPr>
          <w:lang w:val="en-GB"/>
        </w:rPr>
        <w:t>Medical</w:t>
      </w:r>
      <w:r w:rsidRPr="003F4DF6">
        <w:rPr>
          <w:lang w:val="en-GB"/>
        </w:rPr>
        <w:t xml:space="preserve"> </w:t>
      </w:r>
      <w:r w:rsidR="00363C7F" w:rsidRPr="003F4DF6">
        <w:rPr>
          <w:lang w:val="en-GB"/>
        </w:rPr>
        <w:t>enquiries: 1800 233 950</w:t>
      </w:r>
    </w:p>
    <w:p w14:paraId="4AB678B7" w14:textId="77777777" w:rsidR="00D52399" w:rsidRDefault="00615052" w:rsidP="00435230">
      <w:pPr>
        <w:pStyle w:val="Heading1"/>
        <w:numPr>
          <w:ilvl w:val="0"/>
          <w:numId w:val="2"/>
        </w:numPr>
      </w:pPr>
      <w:r>
        <w:t>DATE OF FIRST APPROVAL</w:t>
      </w:r>
    </w:p>
    <w:p w14:paraId="1A6032DA" w14:textId="77777777" w:rsidR="005E0551" w:rsidRDefault="005E0551" w:rsidP="005E0551"/>
    <w:p w14:paraId="7A321DA9" w14:textId="08419B88" w:rsidR="00C72FBB" w:rsidRDefault="00660426" w:rsidP="00C72FBB">
      <w:r>
        <w:t>02 June 2021</w:t>
      </w:r>
    </w:p>
    <w:p w14:paraId="35AB4492" w14:textId="6E5FE909" w:rsidR="0073441D" w:rsidRPr="0073441D" w:rsidRDefault="0073441D" w:rsidP="00E541A8">
      <w:pPr>
        <w:pStyle w:val="Heading1"/>
        <w:numPr>
          <w:ilvl w:val="0"/>
          <w:numId w:val="2"/>
        </w:numPr>
      </w:pPr>
      <w:r>
        <w:t>DATE OF REVISION</w:t>
      </w:r>
    </w:p>
    <w:p w14:paraId="10E25858" w14:textId="0178B91E" w:rsidR="0073441D" w:rsidRDefault="0073441D" w:rsidP="00E541A8">
      <w:pPr>
        <w:keepNext/>
      </w:pPr>
    </w:p>
    <w:p w14:paraId="11665F54" w14:textId="5C7F539A" w:rsidR="00F27BB0" w:rsidRDefault="00660426" w:rsidP="005E0551">
      <w:r>
        <w:t>02 June 2021</w:t>
      </w:r>
    </w:p>
    <w:p w14:paraId="6A06DC8D" w14:textId="77777777" w:rsidR="00F27BB0" w:rsidRPr="001564CF" w:rsidRDefault="00F27BB0" w:rsidP="00F27BB0">
      <w:pPr>
        <w:pStyle w:val="Heading3"/>
        <w:keepNext/>
        <w:spacing w:after="240"/>
        <w:rPr>
          <w:color w:val="auto"/>
        </w:rPr>
      </w:pPr>
      <w:r w:rsidRPr="001564CF">
        <w:rPr>
          <w:color w:val="auto"/>
        </w:rPr>
        <w:t>Summary table of changes</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291"/>
      </w:tblGrid>
      <w:tr w:rsidR="00F27BB0" w14:paraId="6EC221EF" w14:textId="77777777" w:rsidTr="001A1304">
        <w:tc>
          <w:tcPr>
            <w:tcW w:w="1951" w:type="dxa"/>
          </w:tcPr>
          <w:p w14:paraId="2448058F" w14:textId="77777777" w:rsidR="00F27BB0" w:rsidRDefault="00F27BB0" w:rsidP="00880D6D">
            <w:pPr>
              <w:spacing w:before="20" w:after="20"/>
              <w:rPr>
                <w:b/>
              </w:rPr>
            </w:pPr>
            <w:r>
              <w:rPr>
                <w:b/>
              </w:rPr>
              <w:t>Section Changed</w:t>
            </w:r>
          </w:p>
        </w:tc>
        <w:tc>
          <w:tcPr>
            <w:tcW w:w="7291" w:type="dxa"/>
          </w:tcPr>
          <w:p w14:paraId="7A0A0DD8" w14:textId="77777777" w:rsidR="00F27BB0" w:rsidRDefault="00F27BB0" w:rsidP="00880D6D">
            <w:pPr>
              <w:spacing w:before="20" w:after="20"/>
              <w:rPr>
                <w:b/>
              </w:rPr>
            </w:pPr>
            <w:r>
              <w:rPr>
                <w:b/>
              </w:rPr>
              <w:t>Summary of new information</w:t>
            </w:r>
          </w:p>
        </w:tc>
      </w:tr>
      <w:tr w:rsidR="00443244" w14:paraId="7913DD9B" w14:textId="77777777" w:rsidTr="001A1304">
        <w:tc>
          <w:tcPr>
            <w:tcW w:w="1951" w:type="dxa"/>
          </w:tcPr>
          <w:p w14:paraId="289CC171" w14:textId="6E667106" w:rsidR="00443244" w:rsidRPr="00D53709" w:rsidRDefault="00443244" w:rsidP="007F1250">
            <w:pPr>
              <w:spacing w:before="20" w:after="20"/>
              <w:rPr>
                <w:lang w:val="en-AU"/>
              </w:rPr>
            </w:pPr>
          </w:p>
        </w:tc>
        <w:tc>
          <w:tcPr>
            <w:tcW w:w="7291" w:type="dxa"/>
          </w:tcPr>
          <w:p w14:paraId="20B5CA05" w14:textId="5E15C9CB" w:rsidR="00443244" w:rsidRDefault="00443244" w:rsidP="00443244">
            <w:pPr>
              <w:spacing w:before="20" w:after="20"/>
            </w:pPr>
          </w:p>
        </w:tc>
      </w:tr>
    </w:tbl>
    <w:p w14:paraId="09A72579" w14:textId="77777777" w:rsidR="00F27BB0" w:rsidRPr="00EF2045" w:rsidRDefault="00F27BB0" w:rsidP="005E0551">
      <w:pPr>
        <w:rPr>
          <w:sz w:val="20"/>
        </w:rPr>
      </w:pPr>
    </w:p>
    <w:sectPr w:rsidR="00F27BB0" w:rsidRPr="00EF2045" w:rsidSect="00C31B7D">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8" w:right="1418" w:bottom="1418" w:left="1418" w:header="284"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81D1D" w14:textId="77777777" w:rsidR="000A4A4B" w:rsidRDefault="000A4A4B">
      <w:r>
        <w:separator/>
      </w:r>
    </w:p>
  </w:endnote>
  <w:endnote w:type="continuationSeparator" w:id="0">
    <w:p w14:paraId="5023BDEE" w14:textId="77777777" w:rsidR="000A4A4B" w:rsidRDefault="000A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7BFB" w14:textId="77777777" w:rsidR="006A02E3" w:rsidRDefault="006A0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76D0D" w14:textId="2E06C49F" w:rsidR="007A519F" w:rsidRPr="00095C08" w:rsidRDefault="00660426" w:rsidP="00095C08">
    <w:pPr>
      <w:pBdr>
        <w:top w:val="single" w:sz="4" w:space="3" w:color="auto"/>
      </w:pBdr>
      <w:tabs>
        <w:tab w:val="center" w:pos="4513"/>
        <w:tab w:val="right" w:pos="9026"/>
      </w:tabs>
    </w:pPr>
    <w:proofErr w:type="spellStart"/>
    <w:r w:rsidRPr="00660426">
      <w:t>Evrysdi</w:t>
    </w:r>
    <w:proofErr w:type="spellEnd"/>
    <w:r w:rsidRPr="00660426" w:rsidDel="00660426">
      <w:t xml:space="preserve"> </w:t>
    </w:r>
    <w:r>
      <w:t>20210602</w:t>
    </w:r>
    <w:r w:rsidR="007A519F">
      <w:tab/>
    </w:r>
    <w:r w:rsidR="007A519F">
      <w:tab/>
    </w:r>
    <w:r w:rsidR="007A519F">
      <w:fldChar w:fldCharType="begin"/>
    </w:r>
    <w:r w:rsidR="007A519F">
      <w:instrText>PAGE</w:instrText>
    </w:r>
    <w:r w:rsidR="007A519F">
      <w:fldChar w:fldCharType="separate"/>
    </w:r>
    <w:r w:rsidR="003872E7">
      <w:rPr>
        <w:noProof/>
      </w:rPr>
      <w:t>2</w:t>
    </w:r>
    <w:r w:rsidR="007A519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1DF31" w14:textId="03A36F87" w:rsidR="007A519F" w:rsidRPr="00C31B7D" w:rsidRDefault="00660426" w:rsidP="00C31B7D">
    <w:pPr>
      <w:pBdr>
        <w:top w:val="single" w:sz="4" w:space="3" w:color="auto"/>
      </w:pBdr>
      <w:tabs>
        <w:tab w:val="center" w:pos="4513"/>
        <w:tab w:val="right" w:pos="9026"/>
      </w:tabs>
    </w:pPr>
    <w:proofErr w:type="spellStart"/>
    <w:r w:rsidRPr="00660426">
      <w:t>Evrysdi</w:t>
    </w:r>
    <w:proofErr w:type="spellEnd"/>
    <w:r w:rsidRPr="00660426">
      <w:t xml:space="preserve"> 20210602</w:t>
    </w:r>
    <w:r w:rsidR="007A519F">
      <w:tab/>
    </w:r>
    <w:r w:rsidR="007A519F">
      <w:tab/>
    </w:r>
    <w:r w:rsidR="007A519F">
      <w:fldChar w:fldCharType="begin"/>
    </w:r>
    <w:r w:rsidR="007A519F">
      <w:instrText>PAGE</w:instrText>
    </w:r>
    <w:r w:rsidR="007A519F">
      <w:fldChar w:fldCharType="separate"/>
    </w:r>
    <w:r w:rsidR="003872E7">
      <w:rPr>
        <w:noProof/>
      </w:rPr>
      <w:t>1</w:t>
    </w:r>
    <w:r w:rsidR="007A519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DEB1D" w14:textId="77777777" w:rsidR="000A4A4B" w:rsidRDefault="000A4A4B">
      <w:r>
        <w:separator/>
      </w:r>
    </w:p>
  </w:footnote>
  <w:footnote w:type="continuationSeparator" w:id="0">
    <w:p w14:paraId="70F7C7BC" w14:textId="77777777" w:rsidR="000A4A4B" w:rsidRDefault="000A4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C0429" w14:textId="77777777" w:rsidR="006A02E3" w:rsidRDefault="006A0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90DAD" w14:textId="77777777" w:rsidR="006A02E3" w:rsidRDefault="006A0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8897"/>
    </w:tblGrid>
    <w:tr w:rsidR="006A02E3" w:rsidRPr="000B2145" w14:paraId="54D3734C" w14:textId="77777777" w:rsidTr="0047658E">
      <w:trPr>
        <w:trHeight w:val="1012"/>
      </w:trPr>
      <w:tc>
        <w:tcPr>
          <w:tcW w:w="8897" w:type="dxa"/>
          <w:shd w:val="clear" w:color="auto" w:fill="E4F2E0"/>
        </w:tcPr>
        <w:p w14:paraId="124EDF5A" w14:textId="77777777" w:rsidR="006A02E3" w:rsidRPr="00AC3C99" w:rsidRDefault="006A02E3" w:rsidP="006A02E3">
          <w:pPr>
            <w:pStyle w:val="Footer"/>
            <w:rPr>
              <w:b/>
            </w:rPr>
          </w:pPr>
          <w:bookmarkStart w:id="1" w:name="_Hlk80611440"/>
          <w:r w:rsidRPr="000E4791">
            <w:rPr>
              <w:b/>
              <w:sz w:val="18"/>
              <w:szCs w:val="18"/>
            </w:rPr>
            <w:t>Attachment 1:</w:t>
          </w:r>
          <w:r w:rsidRPr="000E4791">
            <w:rPr>
              <w:b/>
            </w:rPr>
            <w:t xml:space="preserve"> </w:t>
          </w:r>
          <w:proofErr w:type="spellStart"/>
          <w:r w:rsidRPr="00AC3C99">
            <w:rPr>
              <w:b/>
            </w:rPr>
            <w:t>AusPAR</w:t>
          </w:r>
          <w:proofErr w:type="spellEnd"/>
          <w:r w:rsidRPr="00AC3C99">
            <w:rPr>
              <w:b/>
            </w:rPr>
            <w:t xml:space="preserve"> – </w:t>
          </w:r>
          <w:proofErr w:type="spellStart"/>
          <w:r w:rsidRPr="00AC3C99">
            <w:rPr>
              <w:b/>
            </w:rPr>
            <w:t>Evrysdi</w:t>
          </w:r>
          <w:proofErr w:type="spellEnd"/>
          <w:r w:rsidRPr="00AC3C99">
            <w:rPr>
              <w:b/>
            </w:rPr>
            <w:t xml:space="preserve"> - </w:t>
          </w:r>
          <w:proofErr w:type="spellStart"/>
          <w:r w:rsidRPr="00AC3C99">
            <w:rPr>
              <w:b/>
            </w:rPr>
            <w:t>risdiplam</w:t>
          </w:r>
          <w:proofErr w:type="spellEnd"/>
          <w:r w:rsidRPr="00AC3C99">
            <w:rPr>
              <w:b/>
            </w:rPr>
            <w:t xml:space="preserve"> - Roche Products Pty Ltd - PM-2020-03580-1-3</w:t>
          </w:r>
        </w:p>
        <w:p w14:paraId="76DB442D" w14:textId="77777777" w:rsidR="006A02E3" w:rsidRPr="000E4791" w:rsidRDefault="006A02E3" w:rsidP="006A02E3">
          <w:pPr>
            <w:pStyle w:val="Footer"/>
            <w:rPr>
              <w:b/>
              <w:sz w:val="18"/>
              <w:szCs w:val="18"/>
            </w:rPr>
          </w:pPr>
          <w:r w:rsidRPr="00AC3C99">
            <w:rPr>
              <w:b/>
            </w:rPr>
            <w:t>FINAL 6 August 2020</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rPr>
              <w:t>https://www.tga.gov.au/product-information-pi</w:t>
            </w:r>
          </w:hyperlink>
          <w:r w:rsidRPr="000E4791">
            <w:rPr>
              <w:b/>
              <w:sz w:val="18"/>
              <w:szCs w:val="18"/>
              <w:u w:val="single"/>
            </w:rPr>
            <w:t>&gt;</w:t>
          </w:r>
        </w:p>
      </w:tc>
    </w:tr>
    <w:bookmarkEnd w:id="1"/>
  </w:tbl>
  <w:p w14:paraId="75140BEA" w14:textId="55C07064" w:rsidR="007A519F" w:rsidRDefault="007A519F" w:rsidP="006A02E3">
    <w:pPr>
      <w:tabs>
        <w:tab w:val="left" w:pos="284"/>
      </w:tabs>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7E4FE6"/>
    <w:multiLevelType w:val="hybridMultilevel"/>
    <w:tmpl w:val="BEA6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0546C"/>
    <w:multiLevelType w:val="multilevel"/>
    <w:tmpl w:val="4816DBAC"/>
    <w:lvl w:ilvl="0">
      <w:start w:val="1"/>
      <w:numFmt w:val="decimal"/>
      <w:pStyle w:val="Heading1"/>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4D14027"/>
    <w:multiLevelType w:val="hybridMultilevel"/>
    <w:tmpl w:val="7B8AD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500BB7"/>
    <w:multiLevelType w:val="hybridMultilevel"/>
    <w:tmpl w:val="2FECF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3F7FC8"/>
    <w:multiLevelType w:val="hybridMultilevel"/>
    <w:tmpl w:val="D1567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4F4CF9"/>
    <w:multiLevelType w:val="multilevel"/>
    <w:tmpl w:val="5322CFA8"/>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CF43B22"/>
    <w:multiLevelType w:val="hybridMultilevel"/>
    <w:tmpl w:val="B4F6DC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6555DEE"/>
    <w:multiLevelType w:val="hybridMultilevel"/>
    <w:tmpl w:val="691A9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D77F2F"/>
    <w:multiLevelType w:val="hybridMultilevel"/>
    <w:tmpl w:val="EE4C5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B03712"/>
    <w:multiLevelType w:val="hybridMultilevel"/>
    <w:tmpl w:val="6E726522"/>
    <w:lvl w:ilvl="0" w:tplc="2D2EB73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A53EA8"/>
    <w:multiLevelType w:val="hybridMultilevel"/>
    <w:tmpl w:val="EA4AB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727FE2"/>
    <w:multiLevelType w:val="multilevel"/>
    <w:tmpl w:val="AE080A88"/>
    <w:lvl w:ilvl="0">
      <w:start w:val="4"/>
      <w:numFmt w:val="decimal"/>
      <w:lvlText w:val="%1.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6"/>
  </w:num>
  <w:num w:numId="3">
    <w:abstractNumId w:val="2"/>
  </w:num>
  <w:num w:numId="4">
    <w:abstractNumId w:val="10"/>
  </w:num>
  <w:num w:numId="5">
    <w:abstractNumId w:val="9"/>
  </w:num>
  <w:num w:numId="6">
    <w:abstractNumId w:val="0"/>
  </w:num>
  <w:num w:numId="7">
    <w:abstractNumId w:val="2"/>
  </w:num>
  <w:num w:numId="8">
    <w:abstractNumId w:val="4"/>
  </w:num>
  <w:num w:numId="9">
    <w:abstractNumId w:val="3"/>
  </w:num>
  <w:num w:numId="10">
    <w:abstractNumId w:val="8"/>
  </w:num>
  <w:num w:numId="11">
    <w:abstractNumId w:val="2"/>
  </w:num>
  <w:num w:numId="12">
    <w:abstractNumId w:val="5"/>
  </w:num>
  <w:num w:numId="13">
    <w:abstractNumId w:val="2"/>
  </w:num>
  <w:num w:numId="14">
    <w:abstractNumId w:val="2"/>
  </w:num>
  <w:num w:numId="15">
    <w:abstractNumId w:val="1"/>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fr-FR" w:vendorID="64" w:dllVersion="6" w:nlCheck="1" w:checkStyle="0"/>
  <w:activeWritingStyle w:appName="MSWord" w:lang="en-NZ" w:vendorID="64" w:dllVersion="6" w:nlCheck="1" w:checkStyle="1"/>
  <w:activeWritingStyle w:appName="MSWord" w:lang="en-AU" w:vendorID="64" w:dllVersion="6" w:nlCheck="1" w:checkStyle="1"/>
  <w:activeWritingStyle w:appName="MSWord" w:lang="en-US" w:vendorID="64" w:dllVersion="6" w:nlCheck="1" w:checkStyle="1"/>
  <w:activeWritingStyle w:appName="MSWord" w:lang="de-CH" w:vendorID="64" w:dllVersion="6" w:nlCheck="1" w:checkStyle="0"/>
  <w:activeWritingStyle w:appName="MSWord" w:lang="pt-BR" w:vendorID="64" w:dllVersion="6" w:nlCheck="1" w:checkStyle="0"/>
  <w:activeWritingStyle w:appName="MSWord" w:lang="en-GB" w:vendorID="64" w:dllVersion="6" w:nlCheck="1" w:checkStyle="1"/>
  <w:activeWritingStyle w:appName="MSWord" w:lang="it-IT" w:vendorID="64" w:dllVersion="6" w:nlCheck="1" w:checkStyle="0"/>
  <w:activeWritingStyle w:appName="MSWord" w:lang="en-NZ"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910"/>
    <w:rsid w:val="00000D32"/>
    <w:rsid w:val="00003032"/>
    <w:rsid w:val="000061CD"/>
    <w:rsid w:val="00007E09"/>
    <w:rsid w:val="00015365"/>
    <w:rsid w:val="00015EE6"/>
    <w:rsid w:val="00033D36"/>
    <w:rsid w:val="00035F18"/>
    <w:rsid w:val="000366C1"/>
    <w:rsid w:val="00040F3F"/>
    <w:rsid w:val="00040F4A"/>
    <w:rsid w:val="00041BB3"/>
    <w:rsid w:val="00042922"/>
    <w:rsid w:val="00053CCE"/>
    <w:rsid w:val="0005423A"/>
    <w:rsid w:val="00054947"/>
    <w:rsid w:val="00055A77"/>
    <w:rsid w:val="00057010"/>
    <w:rsid w:val="0006027B"/>
    <w:rsid w:val="00063684"/>
    <w:rsid w:val="00064BCC"/>
    <w:rsid w:val="00070BE2"/>
    <w:rsid w:val="000774D1"/>
    <w:rsid w:val="000841EC"/>
    <w:rsid w:val="000844F6"/>
    <w:rsid w:val="00085AAD"/>
    <w:rsid w:val="00085E3B"/>
    <w:rsid w:val="000871B8"/>
    <w:rsid w:val="0009058E"/>
    <w:rsid w:val="00094105"/>
    <w:rsid w:val="00095C08"/>
    <w:rsid w:val="0009610B"/>
    <w:rsid w:val="000961F5"/>
    <w:rsid w:val="000A0357"/>
    <w:rsid w:val="000A155B"/>
    <w:rsid w:val="000A4A4B"/>
    <w:rsid w:val="000A57CC"/>
    <w:rsid w:val="000A6EC5"/>
    <w:rsid w:val="000B78F4"/>
    <w:rsid w:val="000C4378"/>
    <w:rsid w:val="000D4FD7"/>
    <w:rsid w:val="000D504F"/>
    <w:rsid w:val="000D6544"/>
    <w:rsid w:val="000E2E73"/>
    <w:rsid w:val="000E4D71"/>
    <w:rsid w:val="000F1B30"/>
    <w:rsid w:val="000F5DA1"/>
    <w:rsid w:val="001016B6"/>
    <w:rsid w:val="00104D2C"/>
    <w:rsid w:val="0010626D"/>
    <w:rsid w:val="00106E7C"/>
    <w:rsid w:val="00113F60"/>
    <w:rsid w:val="001253DE"/>
    <w:rsid w:val="001310DF"/>
    <w:rsid w:val="001314FF"/>
    <w:rsid w:val="00131855"/>
    <w:rsid w:val="00132EB8"/>
    <w:rsid w:val="001370C5"/>
    <w:rsid w:val="001503C3"/>
    <w:rsid w:val="00156004"/>
    <w:rsid w:val="001564CF"/>
    <w:rsid w:val="001566B4"/>
    <w:rsid w:val="00160EC2"/>
    <w:rsid w:val="00163AC5"/>
    <w:rsid w:val="00174F45"/>
    <w:rsid w:val="00177498"/>
    <w:rsid w:val="00181910"/>
    <w:rsid w:val="00183D0E"/>
    <w:rsid w:val="00183F29"/>
    <w:rsid w:val="001852D4"/>
    <w:rsid w:val="001871BC"/>
    <w:rsid w:val="00192E9E"/>
    <w:rsid w:val="001A0C8D"/>
    <w:rsid w:val="001A1304"/>
    <w:rsid w:val="001A590A"/>
    <w:rsid w:val="001B0CF8"/>
    <w:rsid w:val="001C1C80"/>
    <w:rsid w:val="001D02BB"/>
    <w:rsid w:val="001D0931"/>
    <w:rsid w:val="001D0A17"/>
    <w:rsid w:val="001D17CD"/>
    <w:rsid w:val="001D1AE2"/>
    <w:rsid w:val="001D2F23"/>
    <w:rsid w:val="001D71F3"/>
    <w:rsid w:val="001D7B9B"/>
    <w:rsid w:val="001E0647"/>
    <w:rsid w:val="001E187D"/>
    <w:rsid w:val="001E1D4C"/>
    <w:rsid w:val="001E2208"/>
    <w:rsid w:val="001E4D6F"/>
    <w:rsid w:val="001E7F10"/>
    <w:rsid w:val="001F1019"/>
    <w:rsid w:val="001F21E4"/>
    <w:rsid w:val="001F30EE"/>
    <w:rsid w:val="001F3703"/>
    <w:rsid w:val="001F53A8"/>
    <w:rsid w:val="001F6B46"/>
    <w:rsid w:val="002007E8"/>
    <w:rsid w:val="00201090"/>
    <w:rsid w:val="0020172A"/>
    <w:rsid w:val="00202113"/>
    <w:rsid w:val="00205A38"/>
    <w:rsid w:val="00207150"/>
    <w:rsid w:val="00213457"/>
    <w:rsid w:val="002153EC"/>
    <w:rsid w:val="00226A16"/>
    <w:rsid w:val="00232D90"/>
    <w:rsid w:val="00232F91"/>
    <w:rsid w:val="00233E32"/>
    <w:rsid w:val="00233F9C"/>
    <w:rsid w:val="002363C1"/>
    <w:rsid w:val="00236CAF"/>
    <w:rsid w:val="00241B52"/>
    <w:rsid w:val="00244801"/>
    <w:rsid w:val="00247E45"/>
    <w:rsid w:val="00252F98"/>
    <w:rsid w:val="002533C6"/>
    <w:rsid w:val="00254C63"/>
    <w:rsid w:val="00262CF8"/>
    <w:rsid w:val="00266C6E"/>
    <w:rsid w:val="002678CE"/>
    <w:rsid w:val="00267D05"/>
    <w:rsid w:val="0027409F"/>
    <w:rsid w:val="0027576D"/>
    <w:rsid w:val="00276004"/>
    <w:rsid w:val="002824AE"/>
    <w:rsid w:val="00285FCC"/>
    <w:rsid w:val="002870E7"/>
    <w:rsid w:val="00296201"/>
    <w:rsid w:val="002969AF"/>
    <w:rsid w:val="002A0CE0"/>
    <w:rsid w:val="002A4B68"/>
    <w:rsid w:val="002A5D07"/>
    <w:rsid w:val="002A6A3C"/>
    <w:rsid w:val="002B5D02"/>
    <w:rsid w:val="002C1F59"/>
    <w:rsid w:val="002C3A65"/>
    <w:rsid w:val="002D1F5C"/>
    <w:rsid w:val="002D72C7"/>
    <w:rsid w:val="002E67E5"/>
    <w:rsid w:val="002E746A"/>
    <w:rsid w:val="002E756C"/>
    <w:rsid w:val="002F0A06"/>
    <w:rsid w:val="002F0E1A"/>
    <w:rsid w:val="00300F6B"/>
    <w:rsid w:val="00302709"/>
    <w:rsid w:val="00312430"/>
    <w:rsid w:val="0031430F"/>
    <w:rsid w:val="00316254"/>
    <w:rsid w:val="00316B20"/>
    <w:rsid w:val="00317641"/>
    <w:rsid w:val="00320D86"/>
    <w:rsid w:val="00322361"/>
    <w:rsid w:val="0032466F"/>
    <w:rsid w:val="00325583"/>
    <w:rsid w:val="00327D22"/>
    <w:rsid w:val="00333E81"/>
    <w:rsid w:val="00336BD9"/>
    <w:rsid w:val="00340D2E"/>
    <w:rsid w:val="00343240"/>
    <w:rsid w:val="0034429B"/>
    <w:rsid w:val="00345AB2"/>
    <w:rsid w:val="00346569"/>
    <w:rsid w:val="00351412"/>
    <w:rsid w:val="00352F84"/>
    <w:rsid w:val="00360BD6"/>
    <w:rsid w:val="003619C9"/>
    <w:rsid w:val="00363C7F"/>
    <w:rsid w:val="003657FA"/>
    <w:rsid w:val="003728F5"/>
    <w:rsid w:val="00385258"/>
    <w:rsid w:val="003872E7"/>
    <w:rsid w:val="003A2517"/>
    <w:rsid w:val="003A3BA1"/>
    <w:rsid w:val="003A4922"/>
    <w:rsid w:val="003A7E63"/>
    <w:rsid w:val="003B3BC5"/>
    <w:rsid w:val="003B4A6B"/>
    <w:rsid w:val="003B54C7"/>
    <w:rsid w:val="003C01EA"/>
    <w:rsid w:val="003C30FA"/>
    <w:rsid w:val="003C4596"/>
    <w:rsid w:val="003D07C5"/>
    <w:rsid w:val="003D2894"/>
    <w:rsid w:val="003D66FF"/>
    <w:rsid w:val="003E2C7F"/>
    <w:rsid w:val="003E342B"/>
    <w:rsid w:val="003F3622"/>
    <w:rsid w:val="003F3694"/>
    <w:rsid w:val="003F4DF6"/>
    <w:rsid w:val="00400D27"/>
    <w:rsid w:val="004020B3"/>
    <w:rsid w:val="00403E34"/>
    <w:rsid w:val="00410BAE"/>
    <w:rsid w:val="004115A1"/>
    <w:rsid w:val="004128D6"/>
    <w:rsid w:val="00417DF3"/>
    <w:rsid w:val="00417E6D"/>
    <w:rsid w:val="004303A3"/>
    <w:rsid w:val="00431784"/>
    <w:rsid w:val="0043279A"/>
    <w:rsid w:val="00433DBD"/>
    <w:rsid w:val="00435230"/>
    <w:rsid w:val="004378F9"/>
    <w:rsid w:val="00437DBA"/>
    <w:rsid w:val="00443244"/>
    <w:rsid w:val="00446F09"/>
    <w:rsid w:val="0044710F"/>
    <w:rsid w:val="0045720B"/>
    <w:rsid w:val="004626D8"/>
    <w:rsid w:val="0046575A"/>
    <w:rsid w:val="004667E1"/>
    <w:rsid w:val="004708CB"/>
    <w:rsid w:val="004712BE"/>
    <w:rsid w:val="004716A0"/>
    <w:rsid w:val="00472744"/>
    <w:rsid w:val="0047399C"/>
    <w:rsid w:val="00473D5C"/>
    <w:rsid w:val="00475B6E"/>
    <w:rsid w:val="00475CD1"/>
    <w:rsid w:val="004A4B02"/>
    <w:rsid w:val="004A69F4"/>
    <w:rsid w:val="004B4FD2"/>
    <w:rsid w:val="004B64C3"/>
    <w:rsid w:val="004C1CF8"/>
    <w:rsid w:val="004C2563"/>
    <w:rsid w:val="004C71E4"/>
    <w:rsid w:val="004D63D0"/>
    <w:rsid w:val="004E3ED4"/>
    <w:rsid w:val="004E486E"/>
    <w:rsid w:val="004F1432"/>
    <w:rsid w:val="004F1DD8"/>
    <w:rsid w:val="004F2AF9"/>
    <w:rsid w:val="004F2FB4"/>
    <w:rsid w:val="004F6216"/>
    <w:rsid w:val="00502222"/>
    <w:rsid w:val="00502B8A"/>
    <w:rsid w:val="0051058E"/>
    <w:rsid w:val="00515DB8"/>
    <w:rsid w:val="0051765B"/>
    <w:rsid w:val="005178E5"/>
    <w:rsid w:val="00517FED"/>
    <w:rsid w:val="00524A28"/>
    <w:rsid w:val="005405E5"/>
    <w:rsid w:val="00542EBD"/>
    <w:rsid w:val="00544DD2"/>
    <w:rsid w:val="00550994"/>
    <w:rsid w:val="0055263A"/>
    <w:rsid w:val="005616C2"/>
    <w:rsid w:val="00567A88"/>
    <w:rsid w:val="00567DE3"/>
    <w:rsid w:val="00570912"/>
    <w:rsid w:val="00575C92"/>
    <w:rsid w:val="005801FD"/>
    <w:rsid w:val="0058021C"/>
    <w:rsid w:val="0058077C"/>
    <w:rsid w:val="00580CBE"/>
    <w:rsid w:val="0058141F"/>
    <w:rsid w:val="005847BA"/>
    <w:rsid w:val="005904B8"/>
    <w:rsid w:val="00591759"/>
    <w:rsid w:val="00594C19"/>
    <w:rsid w:val="00595572"/>
    <w:rsid w:val="00596BCB"/>
    <w:rsid w:val="005A1ACD"/>
    <w:rsid w:val="005A3A62"/>
    <w:rsid w:val="005A487A"/>
    <w:rsid w:val="005A5476"/>
    <w:rsid w:val="005A7286"/>
    <w:rsid w:val="005B060C"/>
    <w:rsid w:val="005B0981"/>
    <w:rsid w:val="005B0EEA"/>
    <w:rsid w:val="005B1F7F"/>
    <w:rsid w:val="005B4683"/>
    <w:rsid w:val="005B5644"/>
    <w:rsid w:val="005C572D"/>
    <w:rsid w:val="005C7D06"/>
    <w:rsid w:val="005D387F"/>
    <w:rsid w:val="005D6C3C"/>
    <w:rsid w:val="005D76F9"/>
    <w:rsid w:val="005E0551"/>
    <w:rsid w:val="005E2211"/>
    <w:rsid w:val="005E494E"/>
    <w:rsid w:val="005E64F3"/>
    <w:rsid w:val="005F3332"/>
    <w:rsid w:val="005F33C5"/>
    <w:rsid w:val="005F750E"/>
    <w:rsid w:val="005F7BAD"/>
    <w:rsid w:val="006012A1"/>
    <w:rsid w:val="00601523"/>
    <w:rsid w:val="0061002D"/>
    <w:rsid w:val="006105C9"/>
    <w:rsid w:val="00615052"/>
    <w:rsid w:val="006169F0"/>
    <w:rsid w:val="00617846"/>
    <w:rsid w:val="006214C8"/>
    <w:rsid w:val="0062200E"/>
    <w:rsid w:val="0062377D"/>
    <w:rsid w:val="00624397"/>
    <w:rsid w:val="00625458"/>
    <w:rsid w:val="006273A5"/>
    <w:rsid w:val="00627B2B"/>
    <w:rsid w:val="00631DF2"/>
    <w:rsid w:val="00636279"/>
    <w:rsid w:val="00643104"/>
    <w:rsid w:val="00645033"/>
    <w:rsid w:val="00646070"/>
    <w:rsid w:val="00646711"/>
    <w:rsid w:val="006474BA"/>
    <w:rsid w:val="006517C8"/>
    <w:rsid w:val="006543BF"/>
    <w:rsid w:val="00657831"/>
    <w:rsid w:val="00660426"/>
    <w:rsid w:val="006623AF"/>
    <w:rsid w:val="006627AF"/>
    <w:rsid w:val="00663EE6"/>
    <w:rsid w:val="00665095"/>
    <w:rsid w:val="006657C9"/>
    <w:rsid w:val="00666F11"/>
    <w:rsid w:val="00670787"/>
    <w:rsid w:val="00670A77"/>
    <w:rsid w:val="00671ECF"/>
    <w:rsid w:val="00672B68"/>
    <w:rsid w:val="00674CFD"/>
    <w:rsid w:val="0067636D"/>
    <w:rsid w:val="006826D7"/>
    <w:rsid w:val="0068495C"/>
    <w:rsid w:val="00685337"/>
    <w:rsid w:val="00696A1B"/>
    <w:rsid w:val="006A02E3"/>
    <w:rsid w:val="006A16FA"/>
    <w:rsid w:val="006A2611"/>
    <w:rsid w:val="006A301B"/>
    <w:rsid w:val="006A5F16"/>
    <w:rsid w:val="006B08E5"/>
    <w:rsid w:val="006B7499"/>
    <w:rsid w:val="006B75A4"/>
    <w:rsid w:val="006B7995"/>
    <w:rsid w:val="006C28B3"/>
    <w:rsid w:val="006C48D2"/>
    <w:rsid w:val="006C563E"/>
    <w:rsid w:val="006C5801"/>
    <w:rsid w:val="006C73C2"/>
    <w:rsid w:val="006C7B7D"/>
    <w:rsid w:val="006D2664"/>
    <w:rsid w:val="006D5284"/>
    <w:rsid w:val="006E1417"/>
    <w:rsid w:val="006E53FC"/>
    <w:rsid w:val="006F052E"/>
    <w:rsid w:val="006F0CBF"/>
    <w:rsid w:val="006F1264"/>
    <w:rsid w:val="006F410D"/>
    <w:rsid w:val="006F5E1E"/>
    <w:rsid w:val="006F5F4B"/>
    <w:rsid w:val="006F781F"/>
    <w:rsid w:val="006F7839"/>
    <w:rsid w:val="00700010"/>
    <w:rsid w:val="007001B0"/>
    <w:rsid w:val="00700F1A"/>
    <w:rsid w:val="00701192"/>
    <w:rsid w:val="00705463"/>
    <w:rsid w:val="00706A84"/>
    <w:rsid w:val="00710419"/>
    <w:rsid w:val="007111EE"/>
    <w:rsid w:val="00711E31"/>
    <w:rsid w:val="00711F73"/>
    <w:rsid w:val="007124A1"/>
    <w:rsid w:val="00712706"/>
    <w:rsid w:val="00714720"/>
    <w:rsid w:val="0071676A"/>
    <w:rsid w:val="00716AB3"/>
    <w:rsid w:val="00717106"/>
    <w:rsid w:val="00717BC0"/>
    <w:rsid w:val="007229B2"/>
    <w:rsid w:val="00722DAB"/>
    <w:rsid w:val="00727EAF"/>
    <w:rsid w:val="007326A6"/>
    <w:rsid w:val="00732C53"/>
    <w:rsid w:val="0073441D"/>
    <w:rsid w:val="007425B4"/>
    <w:rsid w:val="007471EC"/>
    <w:rsid w:val="00755DAC"/>
    <w:rsid w:val="00755EAC"/>
    <w:rsid w:val="007631AE"/>
    <w:rsid w:val="00767877"/>
    <w:rsid w:val="00772B1C"/>
    <w:rsid w:val="007818DE"/>
    <w:rsid w:val="007828E3"/>
    <w:rsid w:val="00782B4A"/>
    <w:rsid w:val="00784EC0"/>
    <w:rsid w:val="007867E5"/>
    <w:rsid w:val="00787171"/>
    <w:rsid w:val="007929F2"/>
    <w:rsid w:val="0079493C"/>
    <w:rsid w:val="0079523E"/>
    <w:rsid w:val="007A1D32"/>
    <w:rsid w:val="007A4E7A"/>
    <w:rsid w:val="007A519F"/>
    <w:rsid w:val="007B47D1"/>
    <w:rsid w:val="007C2740"/>
    <w:rsid w:val="007C292D"/>
    <w:rsid w:val="007C3A33"/>
    <w:rsid w:val="007C3EF6"/>
    <w:rsid w:val="007C7061"/>
    <w:rsid w:val="007D1544"/>
    <w:rsid w:val="007D558A"/>
    <w:rsid w:val="007D5B9B"/>
    <w:rsid w:val="007E2B29"/>
    <w:rsid w:val="007E42CD"/>
    <w:rsid w:val="007E70B3"/>
    <w:rsid w:val="007F07E7"/>
    <w:rsid w:val="007F1250"/>
    <w:rsid w:val="007F186D"/>
    <w:rsid w:val="007F58BB"/>
    <w:rsid w:val="007F5EC5"/>
    <w:rsid w:val="00800E20"/>
    <w:rsid w:val="0080148B"/>
    <w:rsid w:val="00811FEA"/>
    <w:rsid w:val="0081316F"/>
    <w:rsid w:val="008224D6"/>
    <w:rsid w:val="00824958"/>
    <w:rsid w:val="0084079D"/>
    <w:rsid w:val="00840C56"/>
    <w:rsid w:val="00841537"/>
    <w:rsid w:val="008417DD"/>
    <w:rsid w:val="00842E5A"/>
    <w:rsid w:val="00847E54"/>
    <w:rsid w:val="00851ACE"/>
    <w:rsid w:val="00852526"/>
    <w:rsid w:val="008549BB"/>
    <w:rsid w:val="00861E42"/>
    <w:rsid w:val="00862A7C"/>
    <w:rsid w:val="0086513E"/>
    <w:rsid w:val="0087223D"/>
    <w:rsid w:val="00876277"/>
    <w:rsid w:val="00880D6D"/>
    <w:rsid w:val="008863B8"/>
    <w:rsid w:val="008903F2"/>
    <w:rsid w:val="00891A5A"/>
    <w:rsid w:val="008923B7"/>
    <w:rsid w:val="00894BB6"/>
    <w:rsid w:val="0089539D"/>
    <w:rsid w:val="00895A9A"/>
    <w:rsid w:val="008966DB"/>
    <w:rsid w:val="00896B23"/>
    <w:rsid w:val="008A3181"/>
    <w:rsid w:val="008A7B92"/>
    <w:rsid w:val="008B5635"/>
    <w:rsid w:val="008B7226"/>
    <w:rsid w:val="008C3A9E"/>
    <w:rsid w:val="008C4F39"/>
    <w:rsid w:val="008D26D4"/>
    <w:rsid w:val="008D29EE"/>
    <w:rsid w:val="008D4B2C"/>
    <w:rsid w:val="008D54B4"/>
    <w:rsid w:val="008E39AB"/>
    <w:rsid w:val="008E4144"/>
    <w:rsid w:val="008F20D3"/>
    <w:rsid w:val="008F3947"/>
    <w:rsid w:val="008F4CFE"/>
    <w:rsid w:val="00902C18"/>
    <w:rsid w:val="00911F08"/>
    <w:rsid w:val="00911F6C"/>
    <w:rsid w:val="00917C36"/>
    <w:rsid w:val="009248C1"/>
    <w:rsid w:val="009255F7"/>
    <w:rsid w:val="00925FAC"/>
    <w:rsid w:val="00931245"/>
    <w:rsid w:val="00935615"/>
    <w:rsid w:val="00936094"/>
    <w:rsid w:val="0093644E"/>
    <w:rsid w:val="0093786E"/>
    <w:rsid w:val="009379A2"/>
    <w:rsid w:val="009416FB"/>
    <w:rsid w:val="009419BA"/>
    <w:rsid w:val="009462B9"/>
    <w:rsid w:val="00947662"/>
    <w:rsid w:val="009506DF"/>
    <w:rsid w:val="00950CEE"/>
    <w:rsid w:val="00957121"/>
    <w:rsid w:val="0095743F"/>
    <w:rsid w:val="00961FE1"/>
    <w:rsid w:val="009626BC"/>
    <w:rsid w:val="00964DFF"/>
    <w:rsid w:val="00967471"/>
    <w:rsid w:val="0097149D"/>
    <w:rsid w:val="00972B23"/>
    <w:rsid w:val="00973E80"/>
    <w:rsid w:val="00975C88"/>
    <w:rsid w:val="009764A2"/>
    <w:rsid w:val="00976816"/>
    <w:rsid w:val="00976C2F"/>
    <w:rsid w:val="00981E9B"/>
    <w:rsid w:val="009856B7"/>
    <w:rsid w:val="009872F9"/>
    <w:rsid w:val="009945DF"/>
    <w:rsid w:val="00997E04"/>
    <w:rsid w:val="009A096F"/>
    <w:rsid w:val="009A27DA"/>
    <w:rsid w:val="009B2B33"/>
    <w:rsid w:val="009B3628"/>
    <w:rsid w:val="009B5B20"/>
    <w:rsid w:val="009C06CF"/>
    <w:rsid w:val="009C38F7"/>
    <w:rsid w:val="009C5802"/>
    <w:rsid w:val="009D1D04"/>
    <w:rsid w:val="009D3DBF"/>
    <w:rsid w:val="009E0E43"/>
    <w:rsid w:val="009E31A0"/>
    <w:rsid w:val="009E3D5B"/>
    <w:rsid w:val="009E51F5"/>
    <w:rsid w:val="009F03CC"/>
    <w:rsid w:val="009F4A88"/>
    <w:rsid w:val="00A01C9C"/>
    <w:rsid w:val="00A02B14"/>
    <w:rsid w:val="00A052CD"/>
    <w:rsid w:val="00A134EF"/>
    <w:rsid w:val="00A146EF"/>
    <w:rsid w:val="00A14FFF"/>
    <w:rsid w:val="00A1683B"/>
    <w:rsid w:val="00A1739B"/>
    <w:rsid w:val="00A1787A"/>
    <w:rsid w:val="00A22B75"/>
    <w:rsid w:val="00A242B0"/>
    <w:rsid w:val="00A26385"/>
    <w:rsid w:val="00A31D6A"/>
    <w:rsid w:val="00A354BA"/>
    <w:rsid w:val="00A3552F"/>
    <w:rsid w:val="00A35C2F"/>
    <w:rsid w:val="00A3616E"/>
    <w:rsid w:val="00A37A5D"/>
    <w:rsid w:val="00A40CCD"/>
    <w:rsid w:val="00A4180F"/>
    <w:rsid w:val="00A43A4D"/>
    <w:rsid w:val="00A5027D"/>
    <w:rsid w:val="00A509B1"/>
    <w:rsid w:val="00A5114F"/>
    <w:rsid w:val="00A51B40"/>
    <w:rsid w:val="00A52E15"/>
    <w:rsid w:val="00A536D4"/>
    <w:rsid w:val="00A556B1"/>
    <w:rsid w:val="00A6214B"/>
    <w:rsid w:val="00A707C5"/>
    <w:rsid w:val="00A715FD"/>
    <w:rsid w:val="00A730BF"/>
    <w:rsid w:val="00A76F2D"/>
    <w:rsid w:val="00A81F44"/>
    <w:rsid w:val="00A8475A"/>
    <w:rsid w:val="00A84C7A"/>
    <w:rsid w:val="00A916EB"/>
    <w:rsid w:val="00A94FCD"/>
    <w:rsid w:val="00A975B6"/>
    <w:rsid w:val="00AA166E"/>
    <w:rsid w:val="00AA609F"/>
    <w:rsid w:val="00AA7BC6"/>
    <w:rsid w:val="00AB2FC4"/>
    <w:rsid w:val="00AD20AB"/>
    <w:rsid w:val="00AD38F1"/>
    <w:rsid w:val="00AD60EA"/>
    <w:rsid w:val="00AE3405"/>
    <w:rsid w:val="00AE3F60"/>
    <w:rsid w:val="00AE69EE"/>
    <w:rsid w:val="00AE6E52"/>
    <w:rsid w:val="00AF5927"/>
    <w:rsid w:val="00B0719E"/>
    <w:rsid w:val="00B07B4D"/>
    <w:rsid w:val="00B11B62"/>
    <w:rsid w:val="00B14276"/>
    <w:rsid w:val="00B163C9"/>
    <w:rsid w:val="00B203EF"/>
    <w:rsid w:val="00B219F8"/>
    <w:rsid w:val="00B274AF"/>
    <w:rsid w:val="00B319D6"/>
    <w:rsid w:val="00B33684"/>
    <w:rsid w:val="00B37259"/>
    <w:rsid w:val="00B44CB6"/>
    <w:rsid w:val="00B51A3E"/>
    <w:rsid w:val="00B55BDA"/>
    <w:rsid w:val="00B57EDF"/>
    <w:rsid w:val="00B61341"/>
    <w:rsid w:val="00B62885"/>
    <w:rsid w:val="00B63FA4"/>
    <w:rsid w:val="00B67D08"/>
    <w:rsid w:val="00B70187"/>
    <w:rsid w:val="00B7020F"/>
    <w:rsid w:val="00B7028B"/>
    <w:rsid w:val="00B70CB8"/>
    <w:rsid w:val="00B739DB"/>
    <w:rsid w:val="00B86540"/>
    <w:rsid w:val="00B9034D"/>
    <w:rsid w:val="00B92E5D"/>
    <w:rsid w:val="00B93645"/>
    <w:rsid w:val="00B9637E"/>
    <w:rsid w:val="00BA07E0"/>
    <w:rsid w:val="00BA0878"/>
    <w:rsid w:val="00BA127B"/>
    <w:rsid w:val="00BA28CC"/>
    <w:rsid w:val="00BA28D0"/>
    <w:rsid w:val="00BA3BF9"/>
    <w:rsid w:val="00BB671D"/>
    <w:rsid w:val="00BC25D7"/>
    <w:rsid w:val="00BC50FF"/>
    <w:rsid w:val="00BC59FF"/>
    <w:rsid w:val="00BD156E"/>
    <w:rsid w:val="00BD38F9"/>
    <w:rsid w:val="00BD64BF"/>
    <w:rsid w:val="00BE1773"/>
    <w:rsid w:val="00BE3587"/>
    <w:rsid w:val="00BE5798"/>
    <w:rsid w:val="00BF1FB1"/>
    <w:rsid w:val="00C0048E"/>
    <w:rsid w:val="00C04C9F"/>
    <w:rsid w:val="00C04CF3"/>
    <w:rsid w:val="00C114D0"/>
    <w:rsid w:val="00C1244F"/>
    <w:rsid w:val="00C16219"/>
    <w:rsid w:val="00C167AC"/>
    <w:rsid w:val="00C20C56"/>
    <w:rsid w:val="00C23CC5"/>
    <w:rsid w:val="00C268D5"/>
    <w:rsid w:val="00C277AD"/>
    <w:rsid w:val="00C31B7D"/>
    <w:rsid w:val="00C340B0"/>
    <w:rsid w:val="00C350C6"/>
    <w:rsid w:val="00C363DB"/>
    <w:rsid w:val="00C4193A"/>
    <w:rsid w:val="00C457DE"/>
    <w:rsid w:val="00C466D6"/>
    <w:rsid w:val="00C4752C"/>
    <w:rsid w:val="00C520E5"/>
    <w:rsid w:val="00C539BF"/>
    <w:rsid w:val="00C66998"/>
    <w:rsid w:val="00C6734B"/>
    <w:rsid w:val="00C67F7A"/>
    <w:rsid w:val="00C70DA6"/>
    <w:rsid w:val="00C72836"/>
    <w:rsid w:val="00C72FBB"/>
    <w:rsid w:val="00C73916"/>
    <w:rsid w:val="00C75C25"/>
    <w:rsid w:val="00C77C21"/>
    <w:rsid w:val="00C80A75"/>
    <w:rsid w:val="00C80D00"/>
    <w:rsid w:val="00C82631"/>
    <w:rsid w:val="00C87BED"/>
    <w:rsid w:val="00C93569"/>
    <w:rsid w:val="00CA528E"/>
    <w:rsid w:val="00CB0F99"/>
    <w:rsid w:val="00CB32C5"/>
    <w:rsid w:val="00CB6D43"/>
    <w:rsid w:val="00CC457D"/>
    <w:rsid w:val="00CC4D98"/>
    <w:rsid w:val="00CC7E3A"/>
    <w:rsid w:val="00CD75D3"/>
    <w:rsid w:val="00CE00B1"/>
    <w:rsid w:val="00CE5F5B"/>
    <w:rsid w:val="00CE6E17"/>
    <w:rsid w:val="00CF1AAF"/>
    <w:rsid w:val="00CF3BFF"/>
    <w:rsid w:val="00D002CA"/>
    <w:rsid w:val="00D043F2"/>
    <w:rsid w:val="00D05E28"/>
    <w:rsid w:val="00D128EC"/>
    <w:rsid w:val="00D15197"/>
    <w:rsid w:val="00D15F06"/>
    <w:rsid w:val="00D21F2F"/>
    <w:rsid w:val="00D343C9"/>
    <w:rsid w:val="00D351DD"/>
    <w:rsid w:val="00D45FB5"/>
    <w:rsid w:val="00D47627"/>
    <w:rsid w:val="00D52399"/>
    <w:rsid w:val="00D53709"/>
    <w:rsid w:val="00D57F0C"/>
    <w:rsid w:val="00D60061"/>
    <w:rsid w:val="00D630CE"/>
    <w:rsid w:val="00D635E1"/>
    <w:rsid w:val="00D64338"/>
    <w:rsid w:val="00D743BC"/>
    <w:rsid w:val="00D74AF0"/>
    <w:rsid w:val="00D75206"/>
    <w:rsid w:val="00D76667"/>
    <w:rsid w:val="00D76910"/>
    <w:rsid w:val="00D82153"/>
    <w:rsid w:val="00D84B34"/>
    <w:rsid w:val="00D941D0"/>
    <w:rsid w:val="00D9667D"/>
    <w:rsid w:val="00DA2413"/>
    <w:rsid w:val="00DA4E6F"/>
    <w:rsid w:val="00DC06BF"/>
    <w:rsid w:val="00DC2801"/>
    <w:rsid w:val="00DC2D63"/>
    <w:rsid w:val="00DC496F"/>
    <w:rsid w:val="00DD5662"/>
    <w:rsid w:val="00DE0BE2"/>
    <w:rsid w:val="00DE41A7"/>
    <w:rsid w:val="00DE6334"/>
    <w:rsid w:val="00DF4D42"/>
    <w:rsid w:val="00E01033"/>
    <w:rsid w:val="00E036E9"/>
    <w:rsid w:val="00E06506"/>
    <w:rsid w:val="00E103FD"/>
    <w:rsid w:val="00E114B1"/>
    <w:rsid w:val="00E13208"/>
    <w:rsid w:val="00E13D4A"/>
    <w:rsid w:val="00E153FF"/>
    <w:rsid w:val="00E20048"/>
    <w:rsid w:val="00E21CCD"/>
    <w:rsid w:val="00E27718"/>
    <w:rsid w:val="00E27B03"/>
    <w:rsid w:val="00E36804"/>
    <w:rsid w:val="00E36CCB"/>
    <w:rsid w:val="00E37E62"/>
    <w:rsid w:val="00E40D8E"/>
    <w:rsid w:val="00E422A6"/>
    <w:rsid w:val="00E42F85"/>
    <w:rsid w:val="00E43FFE"/>
    <w:rsid w:val="00E440AA"/>
    <w:rsid w:val="00E46B9C"/>
    <w:rsid w:val="00E51C03"/>
    <w:rsid w:val="00E5386A"/>
    <w:rsid w:val="00E541A8"/>
    <w:rsid w:val="00E638BF"/>
    <w:rsid w:val="00E725A5"/>
    <w:rsid w:val="00E76E30"/>
    <w:rsid w:val="00E803F3"/>
    <w:rsid w:val="00E818F2"/>
    <w:rsid w:val="00E84234"/>
    <w:rsid w:val="00E8439C"/>
    <w:rsid w:val="00E84806"/>
    <w:rsid w:val="00E94719"/>
    <w:rsid w:val="00E947F3"/>
    <w:rsid w:val="00E9614D"/>
    <w:rsid w:val="00E96BC3"/>
    <w:rsid w:val="00EA2ADF"/>
    <w:rsid w:val="00EA2CC1"/>
    <w:rsid w:val="00EA3C51"/>
    <w:rsid w:val="00EA5721"/>
    <w:rsid w:val="00EA60E7"/>
    <w:rsid w:val="00EA7299"/>
    <w:rsid w:val="00EA7411"/>
    <w:rsid w:val="00EA794E"/>
    <w:rsid w:val="00EB3056"/>
    <w:rsid w:val="00EB60A1"/>
    <w:rsid w:val="00EB758E"/>
    <w:rsid w:val="00EB7995"/>
    <w:rsid w:val="00EC289C"/>
    <w:rsid w:val="00EE05A8"/>
    <w:rsid w:val="00EE3A87"/>
    <w:rsid w:val="00EE76F8"/>
    <w:rsid w:val="00EF06F2"/>
    <w:rsid w:val="00EF2045"/>
    <w:rsid w:val="00EF2D3A"/>
    <w:rsid w:val="00EF5D60"/>
    <w:rsid w:val="00EF6316"/>
    <w:rsid w:val="00F0280A"/>
    <w:rsid w:val="00F11FA5"/>
    <w:rsid w:val="00F12D13"/>
    <w:rsid w:val="00F15766"/>
    <w:rsid w:val="00F15D43"/>
    <w:rsid w:val="00F16903"/>
    <w:rsid w:val="00F22E35"/>
    <w:rsid w:val="00F27732"/>
    <w:rsid w:val="00F27BB0"/>
    <w:rsid w:val="00F34022"/>
    <w:rsid w:val="00F35187"/>
    <w:rsid w:val="00F35476"/>
    <w:rsid w:val="00F35919"/>
    <w:rsid w:val="00F401EB"/>
    <w:rsid w:val="00F46F12"/>
    <w:rsid w:val="00F477E2"/>
    <w:rsid w:val="00F50455"/>
    <w:rsid w:val="00F52738"/>
    <w:rsid w:val="00F54A67"/>
    <w:rsid w:val="00F55867"/>
    <w:rsid w:val="00F60B0A"/>
    <w:rsid w:val="00F72340"/>
    <w:rsid w:val="00F81FA5"/>
    <w:rsid w:val="00F840A0"/>
    <w:rsid w:val="00F956EC"/>
    <w:rsid w:val="00FA21DC"/>
    <w:rsid w:val="00FA39A6"/>
    <w:rsid w:val="00FA3C95"/>
    <w:rsid w:val="00FA4F98"/>
    <w:rsid w:val="00FB4CDF"/>
    <w:rsid w:val="00FB6154"/>
    <w:rsid w:val="00FB6EEE"/>
    <w:rsid w:val="00FC0A0D"/>
    <w:rsid w:val="00FC20EF"/>
    <w:rsid w:val="00FC5D56"/>
    <w:rsid w:val="00FD1F38"/>
    <w:rsid w:val="00FD32C0"/>
    <w:rsid w:val="00FE33DA"/>
    <w:rsid w:val="00FE3B1D"/>
    <w:rsid w:val="00FE7409"/>
    <w:rsid w:val="00FF3671"/>
    <w:rsid w:val="00FF724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4E479E"/>
  <w15:docId w15:val="{947F7C87-D173-4CFD-B043-4876291D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NZ" w:eastAsia="en-AU"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rsid w:val="00435230"/>
    <w:pPr>
      <w:keepNext/>
      <w:numPr>
        <w:numId w:val="3"/>
      </w:numPr>
      <w:spacing w:before="480"/>
      <w:contextualSpacing/>
      <w:outlineLvl w:val="0"/>
    </w:pPr>
    <w:rPr>
      <w:b/>
      <w:color w:val="auto"/>
    </w:rPr>
  </w:style>
  <w:style w:type="paragraph" w:styleId="Heading2">
    <w:name w:val="heading 2"/>
    <w:basedOn w:val="Normal"/>
    <w:next w:val="Normal"/>
    <w:pPr>
      <w:spacing w:before="200"/>
      <w:ind w:left="786" w:hanging="360"/>
      <w:outlineLvl w:val="1"/>
    </w:pPr>
    <w:rPr>
      <w:b/>
    </w:rPr>
  </w:style>
  <w:style w:type="paragraph" w:styleId="Heading3">
    <w:name w:val="heading 3"/>
    <w:basedOn w:val="Normal"/>
    <w:next w:val="Normal"/>
    <w:link w:val="Heading3Char"/>
    <w:pPr>
      <w:spacing w:before="200" w:line="271" w:lineRule="auto"/>
      <w:outlineLvl w:val="2"/>
    </w:pPr>
    <w:rPr>
      <w:b/>
    </w:rPr>
  </w:style>
  <w:style w:type="paragraph" w:styleId="Heading4">
    <w:name w:val="heading 4"/>
    <w:basedOn w:val="Normal"/>
    <w:next w:val="Normal"/>
    <w:pPr>
      <w:spacing w:before="200"/>
      <w:outlineLvl w:val="3"/>
    </w:pPr>
    <w:rPr>
      <w:u w:val="single"/>
    </w:rPr>
  </w:style>
  <w:style w:type="paragraph" w:styleId="Heading5">
    <w:name w:val="heading 5"/>
    <w:basedOn w:val="Normal"/>
    <w:next w:val="Normal"/>
    <w:rsid w:val="00947662"/>
    <w:pPr>
      <w:spacing w:before="200" w:after="120"/>
      <w:outlineLvl w:val="4"/>
    </w:pPr>
    <w:rPr>
      <w:i/>
    </w:rPr>
  </w:style>
  <w:style w:type="paragraph" w:styleId="Heading6">
    <w:name w:val="heading 6"/>
    <w:basedOn w:val="Normal"/>
    <w:next w:val="Normal"/>
    <w:pPr>
      <w:spacing w:line="271" w:lineRule="auto"/>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contextualSpacing/>
    </w:pPr>
    <w:rPr>
      <w:rFonts w:ascii="Calibri" w:eastAsia="Calibri" w:hAnsi="Calibri" w:cs="Calibri"/>
      <w:sz w:val="52"/>
      <w:szCs w:val="52"/>
    </w:rPr>
  </w:style>
  <w:style w:type="paragraph" w:styleId="Subtitle">
    <w:name w:val="Subtitle"/>
    <w:basedOn w:val="Normal"/>
    <w:next w:val="Normal"/>
    <w:pPr>
      <w:spacing w:after="600"/>
    </w:pPr>
    <w:rPr>
      <w:rFonts w:ascii="Calibri" w:eastAsia="Calibri" w:hAnsi="Calibri" w:cs="Calibri"/>
      <w:i/>
    </w:r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6C73C2"/>
    <w:pPr>
      <w:tabs>
        <w:tab w:val="center" w:pos="4513"/>
        <w:tab w:val="right" w:pos="9026"/>
      </w:tabs>
    </w:pPr>
  </w:style>
  <w:style w:type="character" w:customStyle="1" w:styleId="HeaderChar">
    <w:name w:val="Header Char"/>
    <w:basedOn w:val="DefaultParagraphFont"/>
    <w:link w:val="Header"/>
    <w:uiPriority w:val="99"/>
    <w:rsid w:val="006C73C2"/>
  </w:style>
  <w:style w:type="paragraph" w:styleId="Footer">
    <w:name w:val="footer"/>
    <w:basedOn w:val="Normal"/>
    <w:link w:val="FooterChar"/>
    <w:unhideWhenUsed/>
    <w:rsid w:val="006C73C2"/>
    <w:pPr>
      <w:tabs>
        <w:tab w:val="center" w:pos="4513"/>
        <w:tab w:val="right" w:pos="9026"/>
      </w:tabs>
    </w:pPr>
  </w:style>
  <w:style w:type="character" w:customStyle="1" w:styleId="FooterChar">
    <w:name w:val="Footer Char"/>
    <w:basedOn w:val="DefaultParagraphFont"/>
    <w:link w:val="Footer"/>
    <w:rsid w:val="006C73C2"/>
  </w:style>
  <w:style w:type="paragraph" w:styleId="ListParagraph">
    <w:name w:val="List Paragraph"/>
    <w:basedOn w:val="Normal"/>
    <w:uiPriority w:val="34"/>
    <w:qFormat/>
    <w:rsid w:val="00E21CCD"/>
    <w:pPr>
      <w:ind w:left="720"/>
      <w:contextualSpacing/>
    </w:pPr>
  </w:style>
  <w:style w:type="character" w:styleId="Hyperlink">
    <w:name w:val="Hyperlink"/>
    <w:basedOn w:val="DefaultParagraphFont"/>
    <w:uiPriority w:val="99"/>
    <w:unhideWhenUsed/>
    <w:rsid w:val="00E21CCD"/>
    <w:rPr>
      <w:color w:val="0000FF"/>
      <w:u w:val="single"/>
    </w:rPr>
  </w:style>
  <w:style w:type="paragraph" w:customStyle="1" w:styleId="Default">
    <w:name w:val="Default"/>
    <w:rsid w:val="000E2E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lang w:val="en-AU"/>
    </w:rPr>
  </w:style>
  <w:style w:type="table" w:styleId="TableGrid">
    <w:name w:val="Table Grid"/>
    <w:basedOn w:val="TableNormal"/>
    <w:uiPriority w:val="59"/>
    <w:rsid w:val="00435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16C2"/>
    <w:rPr>
      <w:sz w:val="16"/>
      <w:szCs w:val="16"/>
    </w:rPr>
  </w:style>
  <w:style w:type="paragraph" w:styleId="CommentText">
    <w:name w:val="annotation text"/>
    <w:basedOn w:val="Normal"/>
    <w:link w:val="CommentTextChar"/>
    <w:uiPriority w:val="99"/>
    <w:unhideWhenUsed/>
    <w:rsid w:val="005616C2"/>
    <w:rPr>
      <w:sz w:val="20"/>
      <w:szCs w:val="20"/>
    </w:rPr>
  </w:style>
  <w:style w:type="character" w:customStyle="1" w:styleId="CommentTextChar">
    <w:name w:val="Comment Text Char"/>
    <w:basedOn w:val="DefaultParagraphFont"/>
    <w:link w:val="CommentText"/>
    <w:uiPriority w:val="99"/>
    <w:rsid w:val="005616C2"/>
    <w:rPr>
      <w:sz w:val="20"/>
      <w:szCs w:val="20"/>
    </w:rPr>
  </w:style>
  <w:style w:type="paragraph" w:styleId="CommentSubject">
    <w:name w:val="annotation subject"/>
    <w:basedOn w:val="CommentText"/>
    <w:next w:val="CommentText"/>
    <w:link w:val="CommentSubjectChar"/>
    <w:uiPriority w:val="99"/>
    <w:semiHidden/>
    <w:unhideWhenUsed/>
    <w:rsid w:val="005616C2"/>
    <w:rPr>
      <w:b/>
      <w:bCs/>
    </w:rPr>
  </w:style>
  <w:style w:type="character" w:customStyle="1" w:styleId="CommentSubjectChar">
    <w:name w:val="Comment Subject Char"/>
    <w:basedOn w:val="CommentTextChar"/>
    <w:link w:val="CommentSubject"/>
    <w:uiPriority w:val="99"/>
    <w:semiHidden/>
    <w:rsid w:val="005616C2"/>
    <w:rPr>
      <w:b/>
      <w:bCs/>
      <w:sz w:val="20"/>
      <w:szCs w:val="20"/>
    </w:rPr>
  </w:style>
  <w:style w:type="paragraph" w:styleId="BalloonText">
    <w:name w:val="Balloon Text"/>
    <w:basedOn w:val="Normal"/>
    <w:link w:val="BalloonTextChar"/>
    <w:uiPriority w:val="99"/>
    <w:semiHidden/>
    <w:unhideWhenUsed/>
    <w:rsid w:val="00561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6C2"/>
    <w:rPr>
      <w:rFonts w:ascii="Segoe UI" w:hAnsi="Segoe UI" w:cs="Segoe UI"/>
      <w:sz w:val="18"/>
      <w:szCs w:val="18"/>
    </w:rPr>
  </w:style>
  <w:style w:type="paragraph" w:customStyle="1" w:styleId="Tableheading">
    <w:name w:val="Table heading"/>
    <w:basedOn w:val="Normal"/>
    <w:link w:val="TableheadingChar"/>
    <w:qFormat/>
    <w:rsid w:val="007828E3"/>
    <w:pPr>
      <w:keepNext/>
      <w:pBdr>
        <w:top w:val="none" w:sz="0" w:space="0" w:color="auto"/>
        <w:left w:val="none" w:sz="0" w:space="0" w:color="auto"/>
        <w:bottom w:val="none" w:sz="0" w:space="0" w:color="auto"/>
        <w:right w:val="none" w:sz="0" w:space="0" w:color="auto"/>
        <w:between w:val="none" w:sz="0" w:space="0" w:color="auto"/>
      </w:pBdr>
      <w:spacing w:before="120" w:after="120"/>
      <w:ind w:left="1134" w:hanging="1134"/>
    </w:pPr>
    <w:rPr>
      <w:rFonts w:eastAsia="PMingLiU"/>
      <w:b/>
      <w:color w:val="auto"/>
      <w:sz w:val="22"/>
      <w:szCs w:val="22"/>
      <w:lang w:val="en-AU" w:eastAsia="zh-TW"/>
    </w:rPr>
  </w:style>
  <w:style w:type="paragraph" w:customStyle="1" w:styleId="Tabletext">
    <w:name w:val="Table text"/>
    <w:basedOn w:val="Normal"/>
    <w:link w:val="TabletextChar"/>
    <w:qFormat/>
    <w:rsid w:val="007828E3"/>
    <w:pPr>
      <w:pBdr>
        <w:top w:val="none" w:sz="0" w:space="0" w:color="auto"/>
        <w:left w:val="none" w:sz="0" w:space="0" w:color="auto"/>
        <w:bottom w:val="none" w:sz="0" w:space="0" w:color="auto"/>
        <w:right w:val="none" w:sz="0" w:space="0" w:color="auto"/>
        <w:between w:val="none" w:sz="0" w:space="0" w:color="auto"/>
      </w:pBdr>
      <w:spacing w:before="40" w:after="40"/>
    </w:pPr>
    <w:rPr>
      <w:rFonts w:eastAsia="PMingLiU"/>
      <w:color w:val="auto"/>
      <w:sz w:val="22"/>
      <w:szCs w:val="22"/>
      <w:lang w:val="en-GB" w:eastAsia="zh-TW"/>
    </w:rPr>
  </w:style>
  <w:style w:type="character" w:customStyle="1" w:styleId="TableheadingChar">
    <w:name w:val="Table heading Char"/>
    <w:basedOn w:val="DefaultParagraphFont"/>
    <w:link w:val="Tableheading"/>
    <w:rsid w:val="007828E3"/>
    <w:rPr>
      <w:rFonts w:eastAsia="PMingLiU"/>
      <w:b/>
      <w:color w:val="auto"/>
      <w:sz w:val="22"/>
      <w:szCs w:val="22"/>
      <w:lang w:val="en-AU" w:eastAsia="zh-TW"/>
    </w:rPr>
  </w:style>
  <w:style w:type="character" w:customStyle="1" w:styleId="TabletextChar">
    <w:name w:val="Table text Char"/>
    <w:basedOn w:val="DefaultParagraphFont"/>
    <w:link w:val="Tabletext"/>
    <w:rsid w:val="007828E3"/>
    <w:rPr>
      <w:rFonts w:eastAsia="PMingLiU"/>
      <w:color w:val="auto"/>
      <w:sz w:val="22"/>
      <w:szCs w:val="22"/>
      <w:lang w:val="en-GB" w:eastAsia="zh-TW"/>
    </w:rPr>
  </w:style>
  <w:style w:type="paragraph" w:styleId="Date">
    <w:name w:val="Date"/>
    <w:basedOn w:val="Normal"/>
    <w:next w:val="Normal"/>
    <w:link w:val="DateChar"/>
    <w:uiPriority w:val="99"/>
    <w:semiHidden/>
    <w:unhideWhenUsed/>
    <w:rsid w:val="00DE41A7"/>
  </w:style>
  <w:style w:type="character" w:customStyle="1" w:styleId="DateChar">
    <w:name w:val="Date Char"/>
    <w:basedOn w:val="DefaultParagraphFont"/>
    <w:link w:val="Date"/>
    <w:uiPriority w:val="99"/>
    <w:semiHidden/>
    <w:rsid w:val="00DE41A7"/>
  </w:style>
  <w:style w:type="paragraph" w:customStyle="1" w:styleId="TableCell10Left">
    <w:name w:val="Table Cell 10 Left"/>
    <w:basedOn w:val="Normal"/>
    <w:link w:val="TableCell10LeftChar"/>
    <w:qFormat/>
    <w:rsid w:val="00E725A5"/>
    <w:pPr>
      <w:keepNext/>
      <w:keepLines/>
      <w:pBdr>
        <w:top w:val="none" w:sz="0" w:space="0" w:color="auto"/>
        <w:left w:val="none" w:sz="0" w:space="0" w:color="auto"/>
        <w:bottom w:val="none" w:sz="0" w:space="0" w:color="auto"/>
        <w:right w:val="none" w:sz="0" w:space="0" w:color="auto"/>
        <w:between w:val="none" w:sz="0" w:space="0" w:color="auto"/>
      </w:pBdr>
      <w:spacing w:before="50" w:after="50" w:line="240" w:lineRule="exact"/>
    </w:pPr>
    <w:rPr>
      <w:rFonts w:ascii="Arial" w:eastAsia="SimSun" w:hAnsi="Arial"/>
      <w:color w:val="auto"/>
      <w:sz w:val="20"/>
      <w:lang w:val="en-US" w:eastAsia="zh-CN"/>
    </w:rPr>
  </w:style>
  <w:style w:type="character" w:customStyle="1" w:styleId="TableCell10LeftChar">
    <w:name w:val="Table Cell 10 Left Char"/>
    <w:link w:val="TableCell10Left"/>
    <w:rsid w:val="00E725A5"/>
    <w:rPr>
      <w:rFonts w:ascii="Arial" w:eastAsia="SimSun" w:hAnsi="Arial"/>
      <w:color w:val="auto"/>
      <w:sz w:val="20"/>
      <w:lang w:val="en-US" w:eastAsia="zh-CN"/>
    </w:rPr>
  </w:style>
  <w:style w:type="paragraph" w:customStyle="1" w:styleId="SAS8">
    <w:name w:val="SAS 8"/>
    <w:basedOn w:val="Normal"/>
    <w:rsid w:val="0089539D"/>
    <w:pPr>
      <w:pBdr>
        <w:top w:val="none" w:sz="0" w:space="0" w:color="auto"/>
        <w:left w:val="none" w:sz="0" w:space="0" w:color="auto"/>
        <w:bottom w:val="none" w:sz="0" w:space="0" w:color="auto"/>
        <w:right w:val="none" w:sz="0" w:space="0" w:color="auto"/>
        <w:between w:val="none" w:sz="0" w:space="0" w:color="auto"/>
      </w:pBdr>
      <w:spacing w:line="150" w:lineRule="exact"/>
    </w:pPr>
    <w:rPr>
      <w:rFonts w:ascii="Courier New" w:eastAsia="SimSun" w:hAnsi="Courier New"/>
      <w:color w:val="auto"/>
      <w:spacing w:val="-10"/>
      <w:sz w:val="16"/>
      <w:lang w:val="en-US" w:eastAsia="zh-CN"/>
    </w:rPr>
  </w:style>
  <w:style w:type="paragraph" w:customStyle="1" w:styleId="Paragraph">
    <w:name w:val="Paragraph"/>
    <w:basedOn w:val="Normal"/>
    <w:link w:val="ParagraphChar"/>
    <w:qFormat/>
    <w:rsid w:val="00D05E28"/>
    <w:pPr>
      <w:pBdr>
        <w:top w:val="none" w:sz="0" w:space="0" w:color="auto"/>
        <w:left w:val="none" w:sz="0" w:space="0" w:color="auto"/>
        <w:bottom w:val="none" w:sz="0" w:space="0" w:color="auto"/>
        <w:right w:val="none" w:sz="0" w:space="0" w:color="auto"/>
        <w:between w:val="none" w:sz="0" w:space="0" w:color="auto"/>
      </w:pBdr>
      <w:spacing w:after="170" w:line="280" w:lineRule="exact"/>
    </w:pPr>
    <w:rPr>
      <w:rFonts w:ascii="Arial" w:eastAsia="SimSun" w:hAnsi="Arial"/>
      <w:color w:val="auto"/>
      <w:lang w:val="en-US" w:eastAsia="zh-CN"/>
    </w:rPr>
  </w:style>
  <w:style w:type="character" w:customStyle="1" w:styleId="ParagraphChar">
    <w:name w:val="Paragraph Char"/>
    <w:link w:val="Paragraph"/>
    <w:rsid w:val="00D05E28"/>
    <w:rPr>
      <w:rFonts w:ascii="Arial" w:eastAsia="SimSun" w:hAnsi="Arial"/>
      <w:color w:val="auto"/>
      <w:lang w:val="en-US" w:eastAsia="zh-CN"/>
    </w:rPr>
  </w:style>
  <w:style w:type="character" w:styleId="FollowedHyperlink">
    <w:name w:val="FollowedHyperlink"/>
    <w:basedOn w:val="DefaultParagraphFont"/>
    <w:uiPriority w:val="99"/>
    <w:semiHidden/>
    <w:unhideWhenUsed/>
    <w:rsid w:val="00BE1773"/>
    <w:rPr>
      <w:color w:val="800080" w:themeColor="followedHyperlink"/>
      <w:u w:val="single"/>
    </w:rPr>
  </w:style>
  <w:style w:type="character" w:customStyle="1" w:styleId="Heading3Char">
    <w:name w:val="Heading 3 Char"/>
    <w:basedOn w:val="DefaultParagraphFont"/>
    <w:link w:val="Heading3"/>
    <w:rsid w:val="00F27BB0"/>
    <w:rPr>
      <w:b/>
    </w:rPr>
  </w:style>
  <w:style w:type="paragraph" w:styleId="Revision">
    <w:name w:val="Revision"/>
    <w:hidden/>
    <w:uiPriority w:val="99"/>
    <w:semiHidden/>
    <w:rsid w:val="0031430F"/>
    <w:pPr>
      <w:pBdr>
        <w:top w:val="none" w:sz="0" w:space="0" w:color="auto"/>
        <w:left w:val="none" w:sz="0" w:space="0" w:color="auto"/>
        <w:bottom w:val="none" w:sz="0" w:space="0" w:color="auto"/>
        <w:right w:val="none" w:sz="0" w:space="0" w:color="auto"/>
        <w:between w:val="none" w:sz="0" w:space="0" w:color="auto"/>
      </w:pBdr>
    </w:pPr>
  </w:style>
  <w:style w:type="paragraph" w:customStyle="1" w:styleId="TableCell10Center">
    <w:name w:val="Table Cell 10 Center"/>
    <w:basedOn w:val="TableCell10Left"/>
    <w:link w:val="TableCell10CenterChar"/>
    <w:rsid w:val="00782B4A"/>
    <w:pPr>
      <w:jc w:val="center"/>
    </w:pPr>
  </w:style>
  <w:style w:type="character" w:customStyle="1" w:styleId="TableCell10CenterChar">
    <w:name w:val="Table Cell 10 Center Char"/>
    <w:link w:val="TableCell10Center"/>
    <w:locked/>
    <w:rsid w:val="00782B4A"/>
    <w:rPr>
      <w:rFonts w:ascii="Arial" w:eastAsia="SimSun" w:hAnsi="Arial"/>
      <w:color w:val="auto"/>
      <w:sz w:val="20"/>
      <w:lang w:val="en-US" w:eastAsia="zh-CN"/>
    </w:rPr>
  </w:style>
  <w:style w:type="paragraph" w:customStyle="1" w:styleId="m-563487607335128864msolistparagraph">
    <w:name w:val="m_-563487607335128864msolistparagraph"/>
    <w:basedOn w:val="Normal"/>
    <w:rsid w:val="003A251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val="en-AU" w:eastAsia="zh-CN"/>
    </w:rPr>
  </w:style>
  <w:style w:type="paragraph" w:styleId="NormalWeb">
    <w:name w:val="Normal (Web)"/>
    <w:basedOn w:val="Normal"/>
    <w:uiPriority w:val="99"/>
    <w:semiHidden/>
    <w:unhideWhenUsed/>
    <w:rsid w:val="004A69F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739363">
      <w:bodyDiv w:val="1"/>
      <w:marLeft w:val="0"/>
      <w:marRight w:val="0"/>
      <w:marTop w:val="0"/>
      <w:marBottom w:val="0"/>
      <w:divBdr>
        <w:top w:val="none" w:sz="0" w:space="0" w:color="auto"/>
        <w:left w:val="none" w:sz="0" w:space="0" w:color="auto"/>
        <w:bottom w:val="none" w:sz="0" w:space="0" w:color="auto"/>
        <w:right w:val="none" w:sz="0" w:space="0" w:color="auto"/>
      </w:divBdr>
    </w:div>
    <w:div w:id="1591818187">
      <w:bodyDiv w:val="1"/>
      <w:marLeft w:val="0"/>
      <w:marRight w:val="0"/>
      <w:marTop w:val="0"/>
      <w:marBottom w:val="0"/>
      <w:divBdr>
        <w:top w:val="none" w:sz="0" w:space="0" w:color="auto"/>
        <w:left w:val="none" w:sz="0" w:space="0" w:color="auto"/>
        <w:bottom w:val="none" w:sz="0" w:space="0" w:color="auto"/>
        <w:right w:val="none" w:sz="0" w:space="0" w:color="auto"/>
      </w:divBdr>
    </w:div>
    <w:div w:id="1759330618">
      <w:bodyDiv w:val="1"/>
      <w:marLeft w:val="0"/>
      <w:marRight w:val="0"/>
      <w:marTop w:val="0"/>
      <w:marBottom w:val="0"/>
      <w:divBdr>
        <w:top w:val="none" w:sz="0" w:space="0" w:color="auto"/>
        <w:left w:val="none" w:sz="0" w:space="0" w:color="auto"/>
        <w:bottom w:val="none" w:sz="0" w:space="0" w:color="auto"/>
        <w:right w:val="none" w:sz="0" w:space="0" w:color="auto"/>
      </w:divBdr>
    </w:div>
    <w:div w:id="2029091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ga.gov.au/reporting-problems"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7510</Words>
  <Characters>40857</Characters>
  <Application>Microsoft Office Word</Application>
  <DocSecurity>0</DocSecurity>
  <Lines>817</Lines>
  <Paragraphs>355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 Hoffmann-La Roche, Ltd.</Company>
  <LinksUpToDate>false</LinksUpToDate>
  <CharactersWithSpaces>48012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Risdiplam</dc:title>
  <dc:subject>prescription medicines</dc:subject>
  <dc:creator>F. Hoffmann-La Roche, Ltd.</dc:creator>
  <cp:keywords/>
  <dc:description/>
  <cp:lastPrinted>2021-06-03T09:18:00Z</cp:lastPrinted>
  <dcterms:created xsi:type="dcterms:W3CDTF">2021-09-13T00:43:00Z</dcterms:created>
  <dcterms:modified xsi:type="dcterms:W3CDTF">2021-09-13T00:46:00Z</dcterms:modified>
</cp:coreProperties>
</file>