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B8122D" w14:paraId="2F13DA7C" w14:textId="77777777" w:rsidTr="00BF1190">
        <w:trPr>
          <w:trHeight w:val="1863"/>
        </w:trPr>
        <w:tc>
          <w:tcPr>
            <w:tcW w:w="3652" w:type="dxa"/>
            <w:tcBorders>
              <w:top w:val="nil"/>
              <w:left w:val="nil"/>
              <w:bottom w:val="nil"/>
              <w:right w:val="nil"/>
            </w:tcBorders>
          </w:tcPr>
          <w:p w14:paraId="0B574C39" w14:textId="6D9ACF3A" w:rsidR="008E7846" w:rsidRPr="00162887" w:rsidRDefault="00162887" w:rsidP="00E55F08">
            <w:r>
              <w:rPr>
                <w:rFonts w:ascii="Arial" w:hAnsi="Arial" w:cs="Arial"/>
                <w:b/>
                <w:color w:val="002C47"/>
                <w:sz w:val="36"/>
                <w:szCs w:val="36"/>
              </w:rPr>
              <w:t>June 2020</w:t>
            </w:r>
          </w:p>
        </w:tc>
      </w:tr>
    </w:tbl>
    <w:tbl>
      <w:tblPr>
        <w:tblpPr w:leftFromText="180" w:rightFromText="180" w:vertAnchor="page" w:tblpY="3316"/>
        <w:tblW w:w="9578" w:type="dxa"/>
        <w:tblLayout w:type="fixed"/>
        <w:tblLook w:val="04A0" w:firstRow="1" w:lastRow="0" w:firstColumn="1" w:lastColumn="0" w:noHBand="0" w:noVBand="1"/>
      </w:tblPr>
      <w:tblGrid>
        <w:gridCol w:w="9578"/>
      </w:tblGrid>
      <w:tr w:rsidR="0032583B" w:rsidRPr="00B8122D" w14:paraId="61AA3656" w14:textId="77777777" w:rsidTr="000C4932">
        <w:trPr>
          <w:trHeight w:val="871"/>
        </w:trPr>
        <w:tc>
          <w:tcPr>
            <w:tcW w:w="9578" w:type="dxa"/>
          </w:tcPr>
          <w:p w14:paraId="27B18E3B" w14:textId="6EA98BD6" w:rsidR="0032583B" w:rsidRPr="00B8122D" w:rsidRDefault="0032583B" w:rsidP="00626FDE">
            <w:pPr>
              <w:pStyle w:val="Title"/>
              <w:framePr w:hSpace="0" w:wrap="auto" w:vAnchor="margin" w:yAlign="inline"/>
            </w:pPr>
            <w:r w:rsidRPr="00B8122D">
              <w:t xml:space="preserve">Australian Public Assessment Report for </w:t>
            </w:r>
            <w:r w:rsidR="003F080C">
              <w:t>R</w:t>
            </w:r>
            <w:r w:rsidR="00B30638" w:rsidRPr="00B8122D">
              <w:t>ibociclib succinate</w:t>
            </w:r>
          </w:p>
        </w:tc>
      </w:tr>
      <w:tr w:rsidR="0032583B" w:rsidRPr="00B8122D" w14:paraId="6C35B58B" w14:textId="77777777" w:rsidTr="000C4932">
        <w:trPr>
          <w:trHeight w:val="999"/>
        </w:trPr>
        <w:tc>
          <w:tcPr>
            <w:tcW w:w="9578" w:type="dxa"/>
          </w:tcPr>
          <w:p w14:paraId="59F37754" w14:textId="69E7A5DB" w:rsidR="0032583B" w:rsidRPr="00B8122D" w:rsidRDefault="00B30638" w:rsidP="00626FDE">
            <w:pPr>
              <w:pStyle w:val="Subtitle"/>
              <w:framePr w:hSpace="0" w:wrap="auto" w:vAnchor="margin" w:yAlign="inline"/>
            </w:pPr>
            <w:r w:rsidRPr="00B8122D">
              <w:t>Proprietary Product Name: Kisqali</w:t>
            </w:r>
          </w:p>
        </w:tc>
      </w:tr>
      <w:tr w:rsidR="0032583B" w:rsidRPr="00B8122D" w14:paraId="20C7879B" w14:textId="77777777" w:rsidTr="000C4932">
        <w:trPr>
          <w:trHeight w:val="487"/>
        </w:trPr>
        <w:tc>
          <w:tcPr>
            <w:tcW w:w="9578" w:type="dxa"/>
          </w:tcPr>
          <w:p w14:paraId="63828224" w14:textId="45213742" w:rsidR="0032583B" w:rsidRPr="00B8122D" w:rsidRDefault="00B30638" w:rsidP="00626FDE">
            <w:pPr>
              <w:pStyle w:val="Subtitle"/>
              <w:framePr w:hSpace="0" w:wrap="auto" w:vAnchor="margin" w:yAlign="inline"/>
            </w:pPr>
            <w:r w:rsidRPr="00B8122D">
              <w:t xml:space="preserve">Sponsor: Novartis </w:t>
            </w:r>
            <w:r w:rsidR="000C4932">
              <w:t xml:space="preserve">Pharmaceuticals </w:t>
            </w:r>
            <w:r w:rsidRPr="00B8122D">
              <w:t>Australia Pty Ltd</w:t>
            </w:r>
          </w:p>
        </w:tc>
      </w:tr>
    </w:tbl>
    <w:p w14:paraId="21AA07B2" w14:textId="77777777" w:rsidR="008E7846" w:rsidRPr="00B8122D" w:rsidRDefault="008E7846" w:rsidP="0085156D">
      <w:r w:rsidRPr="00B8122D">
        <w:br w:type="page"/>
      </w:r>
    </w:p>
    <w:p w14:paraId="12F60EF5" w14:textId="77777777" w:rsidR="008E7846" w:rsidRPr="00B8122D" w:rsidRDefault="008E7846" w:rsidP="00626FDE">
      <w:pPr>
        <w:pStyle w:val="NonTOCHeading2"/>
      </w:pPr>
      <w:r w:rsidRPr="00B8122D">
        <w:lastRenderedPageBreak/>
        <w:t>About the Therapeutic Goods Administration (TGA)</w:t>
      </w:r>
    </w:p>
    <w:p w14:paraId="04A897F0" w14:textId="77777777" w:rsidR="008E7846" w:rsidRPr="00B8122D" w:rsidRDefault="008E7846" w:rsidP="00966B2A">
      <w:pPr>
        <w:pStyle w:val="ListBullet"/>
        <w:numPr>
          <w:ilvl w:val="0"/>
          <w:numId w:val="1"/>
        </w:numPr>
        <w:ind w:left="357" w:hanging="357"/>
      </w:pPr>
      <w:r w:rsidRPr="00B8122D">
        <w:t xml:space="preserve">The Therapeutic Goods Administration (TGA) is </w:t>
      </w:r>
      <w:r w:rsidR="00E624A5" w:rsidRPr="00B8122D">
        <w:t xml:space="preserve">part </w:t>
      </w:r>
      <w:r w:rsidRPr="00B8122D">
        <w:t>of the Australian Government Department of Health and is responsible for regulating medicines and medical devices.</w:t>
      </w:r>
    </w:p>
    <w:p w14:paraId="52D977E0" w14:textId="77777777" w:rsidR="008E7846" w:rsidRPr="00B8122D" w:rsidRDefault="00C80137" w:rsidP="00966B2A">
      <w:pPr>
        <w:pStyle w:val="ListBullet"/>
        <w:numPr>
          <w:ilvl w:val="0"/>
          <w:numId w:val="1"/>
        </w:numPr>
        <w:ind w:left="357" w:hanging="357"/>
      </w:pPr>
      <w:r w:rsidRPr="00B8122D">
        <w:t xml:space="preserve">The </w:t>
      </w:r>
      <w:r w:rsidR="008E7846" w:rsidRPr="00B8122D">
        <w:t xml:space="preserve">TGA administers the </w:t>
      </w:r>
      <w:r w:rsidR="008E7846" w:rsidRPr="00B8122D">
        <w:rPr>
          <w:i/>
        </w:rPr>
        <w:t>Therapeutic Goods Act 1989</w:t>
      </w:r>
      <w:r w:rsidR="00785717" w:rsidRPr="00B8122D">
        <w:rPr>
          <w:i/>
        </w:rPr>
        <w:t xml:space="preserve"> </w:t>
      </w:r>
      <w:r w:rsidR="00785717" w:rsidRPr="00B8122D">
        <w:t>(the Act)</w:t>
      </w:r>
      <w:r w:rsidR="008E7846" w:rsidRPr="00B8122D">
        <w:t>, applying a risk management approach designed to ensure therapeutic goods supplied in Australia meet acceptable standards of quality, safety and efficacy (performance) when necessary.</w:t>
      </w:r>
    </w:p>
    <w:p w14:paraId="7BD8B439" w14:textId="77777777" w:rsidR="008E7846" w:rsidRPr="00B8122D" w:rsidRDefault="008E7846" w:rsidP="00966B2A">
      <w:pPr>
        <w:pStyle w:val="ListBullet"/>
        <w:numPr>
          <w:ilvl w:val="0"/>
          <w:numId w:val="1"/>
        </w:numPr>
        <w:ind w:left="357" w:hanging="357"/>
      </w:pPr>
      <w:r w:rsidRPr="00B8122D">
        <w:t>The work of the TGA is based on applying scientific and clinical expertise to decision-making, to ensure that the benefits to consumers outweigh any risks associated with the use of medicines and medical devices.</w:t>
      </w:r>
    </w:p>
    <w:p w14:paraId="4386E578" w14:textId="77777777" w:rsidR="008E7846" w:rsidRPr="00B8122D" w:rsidRDefault="008E7846" w:rsidP="00966B2A">
      <w:pPr>
        <w:pStyle w:val="ListBullet"/>
        <w:numPr>
          <w:ilvl w:val="0"/>
          <w:numId w:val="1"/>
        </w:numPr>
        <w:ind w:left="357" w:hanging="357"/>
      </w:pPr>
      <w:r w:rsidRPr="00B8122D">
        <w:t>The TGA relies on the public, healthcare professionals and industry to report problems with medicines or medical devices. TGA investigates reports received by it to determine any necessary regulatory action.</w:t>
      </w:r>
    </w:p>
    <w:p w14:paraId="291E02B0" w14:textId="77777777" w:rsidR="00441C3F" w:rsidRPr="00B8122D" w:rsidRDefault="008E7846" w:rsidP="00966B2A">
      <w:pPr>
        <w:pStyle w:val="ListBullet"/>
        <w:numPr>
          <w:ilvl w:val="0"/>
          <w:numId w:val="1"/>
        </w:numPr>
        <w:ind w:left="357" w:hanging="357"/>
      </w:pPr>
      <w:r w:rsidRPr="00B8122D">
        <w:t xml:space="preserve">To report a problem with a medicine or medical device, please see the information on </w:t>
      </w:r>
      <w:r w:rsidR="00441C3F" w:rsidRPr="00B8122D">
        <w:t>the TGA website &lt;</w:t>
      </w:r>
      <w:hyperlink r:id="rId11" w:history="1">
        <w:r w:rsidR="00441C3F" w:rsidRPr="00B8122D">
          <w:rPr>
            <w:rStyle w:val="Hyperlink"/>
          </w:rPr>
          <w:t>https://www.tga.gov.au</w:t>
        </w:r>
      </w:hyperlink>
      <w:r w:rsidR="00441C3F" w:rsidRPr="00B8122D">
        <w:t>&gt;.</w:t>
      </w:r>
    </w:p>
    <w:p w14:paraId="7F59E875" w14:textId="77777777" w:rsidR="008E7846" w:rsidRPr="00B8122D" w:rsidRDefault="008E7846" w:rsidP="00626FDE">
      <w:pPr>
        <w:pStyle w:val="NonTOCHeading2"/>
      </w:pPr>
      <w:r w:rsidRPr="00B8122D">
        <w:t>About AusPARs</w:t>
      </w:r>
    </w:p>
    <w:p w14:paraId="3737DE7E" w14:textId="77777777" w:rsidR="008E7846" w:rsidRPr="00B8122D" w:rsidRDefault="008E7846" w:rsidP="00966B2A">
      <w:pPr>
        <w:pStyle w:val="ListBullet"/>
        <w:numPr>
          <w:ilvl w:val="0"/>
          <w:numId w:val="1"/>
        </w:numPr>
        <w:ind w:left="357" w:hanging="357"/>
      </w:pPr>
      <w:r w:rsidRPr="00B8122D">
        <w:t>An Australian Public Assessment Re</w:t>
      </w:r>
      <w:r w:rsidR="00133A1B" w:rsidRPr="00B8122D">
        <w:t>port</w:t>
      </w:r>
      <w:r w:rsidRPr="00B8122D">
        <w:t xml:space="preserve"> (AusPAR) provides information about the evaluation of a prescription medicine and the considerations that led the TGA to approve or not approve a pr</w:t>
      </w:r>
      <w:r w:rsidR="00441C3F" w:rsidRPr="00B8122D">
        <w:t>escription medicine submission.</w:t>
      </w:r>
    </w:p>
    <w:p w14:paraId="755F69B4" w14:textId="77777777" w:rsidR="008E7846" w:rsidRPr="00B8122D" w:rsidRDefault="008E7846" w:rsidP="00966B2A">
      <w:pPr>
        <w:pStyle w:val="ListBullet"/>
        <w:numPr>
          <w:ilvl w:val="0"/>
          <w:numId w:val="1"/>
        </w:numPr>
        <w:ind w:left="357" w:hanging="357"/>
      </w:pPr>
      <w:r w:rsidRPr="00B8122D">
        <w:t>AusPARs are prepared and published by the TGA.</w:t>
      </w:r>
    </w:p>
    <w:p w14:paraId="686707BD" w14:textId="77777777" w:rsidR="008E7846" w:rsidRPr="00B8122D" w:rsidRDefault="008E7846" w:rsidP="00966B2A">
      <w:pPr>
        <w:pStyle w:val="ListBullet"/>
        <w:numPr>
          <w:ilvl w:val="0"/>
          <w:numId w:val="1"/>
        </w:numPr>
        <w:ind w:left="357" w:hanging="357"/>
      </w:pPr>
      <w:r w:rsidRPr="00B8122D">
        <w:t>An AusPAR is prepared for submissions that relate to new chemical entities, generic medicines, major variations and extensions of indications.</w:t>
      </w:r>
    </w:p>
    <w:p w14:paraId="53A0C67C" w14:textId="77777777" w:rsidR="008E7846" w:rsidRPr="00B8122D" w:rsidRDefault="008E7846" w:rsidP="00966B2A">
      <w:pPr>
        <w:pStyle w:val="ListBullet"/>
        <w:numPr>
          <w:ilvl w:val="0"/>
          <w:numId w:val="1"/>
        </w:numPr>
        <w:ind w:left="357" w:hanging="357"/>
      </w:pPr>
      <w:r w:rsidRPr="00B8122D">
        <w:t>An AusPAR is a static document</w:t>
      </w:r>
      <w:r w:rsidR="00133A1B" w:rsidRPr="00B8122D">
        <w:t>;</w:t>
      </w:r>
      <w:r w:rsidRPr="00B8122D">
        <w:t xml:space="preserve"> it provide</w:t>
      </w:r>
      <w:r w:rsidR="00133A1B" w:rsidRPr="00B8122D">
        <w:t>s</w:t>
      </w:r>
      <w:r w:rsidRPr="00B8122D">
        <w:t xml:space="preserve"> information that relates to a submission at a particular point in time.</w:t>
      </w:r>
    </w:p>
    <w:p w14:paraId="59EB614E" w14:textId="77777777" w:rsidR="00B452CE" w:rsidRPr="00B8122D" w:rsidRDefault="008E7846" w:rsidP="00626FDE">
      <w:pPr>
        <w:pStyle w:val="ListBullet"/>
      </w:pPr>
      <w:r w:rsidRPr="00B8122D">
        <w:t>A new AusPAR will be developed to reflect changes to indications and/or major variations to a prescription medicine subject to evaluation by the TGA.</w:t>
      </w:r>
    </w:p>
    <w:p w14:paraId="3600DA82" w14:textId="77777777" w:rsidR="00924482" w:rsidRPr="00B8122D" w:rsidRDefault="00924482" w:rsidP="00626FDE">
      <w:pPr>
        <w:pStyle w:val="LegalSubheading"/>
      </w:pPr>
      <w:r w:rsidRPr="00B8122D">
        <w:t>Copyright</w:t>
      </w:r>
    </w:p>
    <w:p w14:paraId="59CB79A7" w14:textId="0ED8809B" w:rsidR="00924482" w:rsidRPr="00B8122D" w:rsidRDefault="00924482" w:rsidP="00924482">
      <w:pPr>
        <w:pStyle w:val="LegalCopy"/>
      </w:pPr>
      <w:r w:rsidRPr="00B8122D">
        <w:rPr>
          <w:rFonts w:cs="Arial"/>
        </w:rPr>
        <w:t>© Commonwealth of Australia 20</w:t>
      </w:r>
      <w:r w:rsidR="00FE5C86">
        <w:rPr>
          <w:rFonts w:cs="Arial"/>
        </w:rPr>
        <w:t>20</w:t>
      </w:r>
      <w:r w:rsidRPr="00B8122D">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B8122D">
        <w:rPr>
          <w:rFonts w:cs="Arial"/>
          <w:i/>
        </w:rPr>
        <w:t>Copyright Act 1968</w:t>
      </w:r>
      <w:r w:rsidRPr="00B8122D">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B8122D">
          <w:rPr>
            <w:rStyle w:val="Hyperlink"/>
            <w:rFonts w:cs="Arial"/>
          </w:rPr>
          <w:t>tga.copyright@tga.gov.au</w:t>
        </w:r>
      </w:hyperlink>
      <w:r w:rsidRPr="00B8122D">
        <w:rPr>
          <w:rFonts w:cs="Arial"/>
        </w:rPr>
        <w:t>&gt;.</w:t>
      </w:r>
    </w:p>
    <w:p w14:paraId="6E06DFFF" w14:textId="77777777" w:rsidR="00924482" w:rsidRPr="00B8122D" w:rsidRDefault="00924482" w:rsidP="00924482">
      <w:pPr>
        <w:pStyle w:val="LegalCopy"/>
        <w:sectPr w:rsidR="00924482" w:rsidRPr="00B8122D" w:rsidSect="00783C1C">
          <w:headerReference w:type="default" r:id="rId13"/>
          <w:footerReference w:type="default" r:id="rId14"/>
          <w:headerReference w:type="first" r:id="rId15"/>
          <w:pgSz w:w="11907" w:h="16840" w:code="9"/>
          <w:pgMar w:top="425" w:right="1701" w:bottom="249"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18CC1BCC" w14:textId="77777777" w:rsidR="0089635C" w:rsidRPr="00B8122D" w:rsidRDefault="0089635C" w:rsidP="0010788A">
          <w:pPr>
            <w:pStyle w:val="Contents"/>
          </w:pPr>
          <w:r w:rsidRPr="00B8122D">
            <w:t>Contents</w:t>
          </w:r>
        </w:p>
        <w:p w14:paraId="1D308D2B" w14:textId="61EE4323" w:rsidR="00C02302" w:rsidRDefault="00DB6124">
          <w:pPr>
            <w:pStyle w:val="TOC2"/>
            <w:rPr>
              <w:rFonts w:asciiTheme="minorHAnsi" w:eastAsiaTheme="minorEastAsia" w:hAnsiTheme="minorHAnsi" w:cstheme="minorBidi"/>
              <w:b w:val="0"/>
              <w:noProof/>
              <w:sz w:val="22"/>
              <w:lang w:eastAsia="en-AU"/>
            </w:rPr>
          </w:pPr>
          <w:r w:rsidRPr="00B8122D">
            <w:fldChar w:fldCharType="begin"/>
          </w:r>
          <w:r w:rsidR="0089635C" w:rsidRPr="00B8122D">
            <w:instrText xml:space="preserve"> TOC \o "1-3" \h \z \u </w:instrText>
          </w:r>
          <w:r w:rsidRPr="00B8122D">
            <w:fldChar w:fldCharType="separate"/>
          </w:r>
          <w:hyperlink w:anchor="_Toc44685884" w:history="1">
            <w:r w:rsidR="00C02302" w:rsidRPr="00D94DC6">
              <w:rPr>
                <w:rStyle w:val="Hyperlink"/>
                <w:noProof/>
              </w:rPr>
              <w:t>Common abbreviations</w:t>
            </w:r>
            <w:r w:rsidR="00C02302">
              <w:rPr>
                <w:noProof/>
                <w:webHidden/>
              </w:rPr>
              <w:tab/>
            </w:r>
            <w:r w:rsidR="00C02302">
              <w:rPr>
                <w:noProof/>
                <w:webHidden/>
              </w:rPr>
              <w:fldChar w:fldCharType="begin"/>
            </w:r>
            <w:r w:rsidR="00C02302">
              <w:rPr>
                <w:noProof/>
                <w:webHidden/>
              </w:rPr>
              <w:instrText xml:space="preserve"> PAGEREF _Toc44685884 \h </w:instrText>
            </w:r>
            <w:r w:rsidR="00C02302">
              <w:rPr>
                <w:noProof/>
                <w:webHidden/>
              </w:rPr>
            </w:r>
            <w:r w:rsidR="00C02302">
              <w:rPr>
                <w:noProof/>
                <w:webHidden/>
              </w:rPr>
              <w:fldChar w:fldCharType="separate"/>
            </w:r>
            <w:r w:rsidR="00C02302">
              <w:rPr>
                <w:noProof/>
                <w:webHidden/>
              </w:rPr>
              <w:t>5</w:t>
            </w:r>
            <w:r w:rsidR="00C02302">
              <w:rPr>
                <w:noProof/>
                <w:webHidden/>
              </w:rPr>
              <w:fldChar w:fldCharType="end"/>
            </w:r>
          </w:hyperlink>
        </w:p>
        <w:p w14:paraId="6AA469C9" w14:textId="0DDF80A9" w:rsidR="00C02302" w:rsidRDefault="0053037A">
          <w:pPr>
            <w:pStyle w:val="TOC2"/>
            <w:rPr>
              <w:rFonts w:asciiTheme="minorHAnsi" w:eastAsiaTheme="minorEastAsia" w:hAnsiTheme="minorHAnsi" w:cstheme="minorBidi"/>
              <w:b w:val="0"/>
              <w:noProof/>
              <w:sz w:val="22"/>
              <w:lang w:eastAsia="en-AU"/>
            </w:rPr>
          </w:pPr>
          <w:hyperlink w:anchor="_Toc44685885" w:history="1">
            <w:r w:rsidR="00C02302" w:rsidRPr="00D94DC6">
              <w:rPr>
                <w:rStyle w:val="Hyperlink"/>
                <w:noProof/>
              </w:rPr>
              <w:t>I. Introduction to product submission</w:t>
            </w:r>
            <w:r w:rsidR="00C02302">
              <w:rPr>
                <w:noProof/>
                <w:webHidden/>
              </w:rPr>
              <w:tab/>
            </w:r>
            <w:r w:rsidR="00C02302">
              <w:rPr>
                <w:noProof/>
                <w:webHidden/>
              </w:rPr>
              <w:fldChar w:fldCharType="begin"/>
            </w:r>
            <w:r w:rsidR="00C02302">
              <w:rPr>
                <w:noProof/>
                <w:webHidden/>
              </w:rPr>
              <w:instrText xml:space="preserve"> PAGEREF _Toc44685885 \h </w:instrText>
            </w:r>
            <w:r w:rsidR="00C02302">
              <w:rPr>
                <w:noProof/>
                <w:webHidden/>
              </w:rPr>
            </w:r>
            <w:r w:rsidR="00C02302">
              <w:rPr>
                <w:noProof/>
                <w:webHidden/>
              </w:rPr>
              <w:fldChar w:fldCharType="separate"/>
            </w:r>
            <w:r w:rsidR="00C02302">
              <w:rPr>
                <w:noProof/>
                <w:webHidden/>
              </w:rPr>
              <w:t>10</w:t>
            </w:r>
            <w:r w:rsidR="00C02302">
              <w:rPr>
                <w:noProof/>
                <w:webHidden/>
              </w:rPr>
              <w:fldChar w:fldCharType="end"/>
            </w:r>
          </w:hyperlink>
        </w:p>
        <w:p w14:paraId="407B2294" w14:textId="5E0EF5E4" w:rsidR="00C02302" w:rsidRDefault="0053037A">
          <w:pPr>
            <w:pStyle w:val="TOC3"/>
            <w:rPr>
              <w:rFonts w:asciiTheme="minorHAnsi" w:eastAsiaTheme="minorEastAsia" w:hAnsiTheme="minorHAnsi" w:cstheme="minorBidi"/>
              <w:noProof/>
              <w:lang w:eastAsia="en-AU"/>
            </w:rPr>
          </w:pPr>
          <w:hyperlink w:anchor="_Toc44685886" w:history="1">
            <w:r w:rsidR="00C02302" w:rsidRPr="00D94DC6">
              <w:rPr>
                <w:rStyle w:val="Hyperlink"/>
                <w:noProof/>
                <w:lang w:eastAsia="en-AU"/>
              </w:rPr>
              <w:t>Submission details</w:t>
            </w:r>
            <w:r w:rsidR="00C02302">
              <w:rPr>
                <w:noProof/>
                <w:webHidden/>
              </w:rPr>
              <w:tab/>
            </w:r>
            <w:r w:rsidR="00C02302">
              <w:rPr>
                <w:noProof/>
                <w:webHidden/>
              </w:rPr>
              <w:fldChar w:fldCharType="begin"/>
            </w:r>
            <w:r w:rsidR="00C02302">
              <w:rPr>
                <w:noProof/>
                <w:webHidden/>
              </w:rPr>
              <w:instrText xml:space="preserve"> PAGEREF _Toc44685886 \h </w:instrText>
            </w:r>
            <w:r w:rsidR="00C02302">
              <w:rPr>
                <w:noProof/>
                <w:webHidden/>
              </w:rPr>
            </w:r>
            <w:r w:rsidR="00C02302">
              <w:rPr>
                <w:noProof/>
                <w:webHidden/>
              </w:rPr>
              <w:fldChar w:fldCharType="separate"/>
            </w:r>
            <w:r w:rsidR="00C02302">
              <w:rPr>
                <w:noProof/>
                <w:webHidden/>
              </w:rPr>
              <w:t>10</w:t>
            </w:r>
            <w:r w:rsidR="00C02302">
              <w:rPr>
                <w:noProof/>
                <w:webHidden/>
              </w:rPr>
              <w:fldChar w:fldCharType="end"/>
            </w:r>
          </w:hyperlink>
        </w:p>
        <w:p w14:paraId="4EEA6A72" w14:textId="6645F2C8" w:rsidR="00C02302" w:rsidRDefault="0053037A">
          <w:pPr>
            <w:pStyle w:val="TOC3"/>
            <w:rPr>
              <w:rFonts w:asciiTheme="minorHAnsi" w:eastAsiaTheme="minorEastAsia" w:hAnsiTheme="minorHAnsi" w:cstheme="minorBidi"/>
              <w:noProof/>
              <w:lang w:eastAsia="en-AU"/>
            </w:rPr>
          </w:pPr>
          <w:hyperlink w:anchor="_Toc44685887" w:history="1">
            <w:r w:rsidR="00C02302" w:rsidRPr="00D94DC6">
              <w:rPr>
                <w:rStyle w:val="Hyperlink"/>
                <w:noProof/>
              </w:rPr>
              <w:t>Product background</w:t>
            </w:r>
            <w:r w:rsidR="00C02302">
              <w:rPr>
                <w:noProof/>
                <w:webHidden/>
              </w:rPr>
              <w:tab/>
            </w:r>
            <w:r w:rsidR="00C02302">
              <w:rPr>
                <w:noProof/>
                <w:webHidden/>
              </w:rPr>
              <w:fldChar w:fldCharType="begin"/>
            </w:r>
            <w:r w:rsidR="00C02302">
              <w:rPr>
                <w:noProof/>
                <w:webHidden/>
              </w:rPr>
              <w:instrText xml:space="preserve"> PAGEREF _Toc44685887 \h </w:instrText>
            </w:r>
            <w:r w:rsidR="00C02302">
              <w:rPr>
                <w:noProof/>
                <w:webHidden/>
              </w:rPr>
            </w:r>
            <w:r w:rsidR="00C02302">
              <w:rPr>
                <w:noProof/>
                <w:webHidden/>
              </w:rPr>
              <w:fldChar w:fldCharType="separate"/>
            </w:r>
            <w:r w:rsidR="00C02302">
              <w:rPr>
                <w:noProof/>
                <w:webHidden/>
              </w:rPr>
              <w:t>11</w:t>
            </w:r>
            <w:r w:rsidR="00C02302">
              <w:rPr>
                <w:noProof/>
                <w:webHidden/>
              </w:rPr>
              <w:fldChar w:fldCharType="end"/>
            </w:r>
          </w:hyperlink>
        </w:p>
        <w:p w14:paraId="120279B9" w14:textId="7FD699A3" w:rsidR="00C02302" w:rsidRDefault="0053037A">
          <w:pPr>
            <w:pStyle w:val="TOC3"/>
            <w:rPr>
              <w:rFonts w:asciiTheme="minorHAnsi" w:eastAsiaTheme="minorEastAsia" w:hAnsiTheme="minorHAnsi" w:cstheme="minorBidi"/>
              <w:noProof/>
              <w:lang w:eastAsia="en-AU"/>
            </w:rPr>
          </w:pPr>
          <w:hyperlink w:anchor="_Toc44685888" w:history="1">
            <w:r w:rsidR="00C02302" w:rsidRPr="00D94DC6">
              <w:rPr>
                <w:rStyle w:val="Hyperlink"/>
                <w:noProof/>
              </w:rPr>
              <w:t>Regulatory status</w:t>
            </w:r>
            <w:r w:rsidR="00C02302">
              <w:rPr>
                <w:noProof/>
                <w:webHidden/>
              </w:rPr>
              <w:tab/>
            </w:r>
            <w:r w:rsidR="00C02302">
              <w:rPr>
                <w:noProof/>
                <w:webHidden/>
              </w:rPr>
              <w:fldChar w:fldCharType="begin"/>
            </w:r>
            <w:r w:rsidR="00C02302">
              <w:rPr>
                <w:noProof/>
                <w:webHidden/>
              </w:rPr>
              <w:instrText xml:space="preserve"> PAGEREF _Toc44685888 \h </w:instrText>
            </w:r>
            <w:r w:rsidR="00C02302">
              <w:rPr>
                <w:noProof/>
                <w:webHidden/>
              </w:rPr>
            </w:r>
            <w:r w:rsidR="00C02302">
              <w:rPr>
                <w:noProof/>
                <w:webHidden/>
              </w:rPr>
              <w:fldChar w:fldCharType="separate"/>
            </w:r>
            <w:r w:rsidR="00C02302">
              <w:rPr>
                <w:noProof/>
                <w:webHidden/>
              </w:rPr>
              <w:t>14</w:t>
            </w:r>
            <w:r w:rsidR="00C02302">
              <w:rPr>
                <w:noProof/>
                <w:webHidden/>
              </w:rPr>
              <w:fldChar w:fldCharType="end"/>
            </w:r>
          </w:hyperlink>
        </w:p>
        <w:p w14:paraId="04046DAD" w14:textId="4965B284" w:rsidR="00C02302" w:rsidRDefault="0053037A">
          <w:pPr>
            <w:pStyle w:val="TOC3"/>
            <w:rPr>
              <w:rFonts w:asciiTheme="minorHAnsi" w:eastAsiaTheme="minorEastAsia" w:hAnsiTheme="minorHAnsi" w:cstheme="minorBidi"/>
              <w:noProof/>
              <w:lang w:eastAsia="en-AU"/>
            </w:rPr>
          </w:pPr>
          <w:hyperlink w:anchor="_Toc44685889" w:history="1">
            <w:r w:rsidR="00C02302" w:rsidRPr="00D94DC6">
              <w:rPr>
                <w:rStyle w:val="Hyperlink"/>
                <w:noProof/>
              </w:rPr>
              <w:t>Product Information</w:t>
            </w:r>
            <w:r w:rsidR="00C02302">
              <w:rPr>
                <w:noProof/>
                <w:webHidden/>
              </w:rPr>
              <w:tab/>
            </w:r>
            <w:r w:rsidR="00C02302">
              <w:rPr>
                <w:noProof/>
                <w:webHidden/>
              </w:rPr>
              <w:fldChar w:fldCharType="begin"/>
            </w:r>
            <w:r w:rsidR="00C02302">
              <w:rPr>
                <w:noProof/>
                <w:webHidden/>
              </w:rPr>
              <w:instrText xml:space="preserve"> PAGEREF _Toc44685889 \h </w:instrText>
            </w:r>
            <w:r w:rsidR="00C02302">
              <w:rPr>
                <w:noProof/>
                <w:webHidden/>
              </w:rPr>
            </w:r>
            <w:r w:rsidR="00C02302">
              <w:rPr>
                <w:noProof/>
                <w:webHidden/>
              </w:rPr>
              <w:fldChar w:fldCharType="separate"/>
            </w:r>
            <w:r w:rsidR="00C02302">
              <w:rPr>
                <w:noProof/>
                <w:webHidden/>
              </w:rPr>
              <w:t>15</w:t>
            </w:r>
            <w:r w:rsidR="00C02302">
              <w:rPr>
                <w:noProof/>
                <w:webHidden/>
              </w:rPr>
              <w:fldChar w:fldCharType="end"/>
            </w:r>
          </w:hyperlink>
        </w:p>
        <w:p w14:paraId="38F0338E" w14:textId="7CAB570F" w:rsidR="00C02302" w:rsidRDefault="0053037A">
          <w:pPr>
            <w:pStyle w:val="TOC2"/>
            <w:rPr>
              <w:rFonts w:asciiTheme="minorHAnsi" w:eastAsiaTheme="minorEastAsia" w:hAnsiTheme="minorHAnsi" w:cstheme="minorBidi"/>
              <w:b w:val="0"/>
              <w:noProof/>
              <w:sz w:val="22"/>
              <w:lang w:eastAsia="en-AU"/>
            </w:rPr>
          </w:pPr>
          <w:hyperlink w:anchor="_Toc44685890" w:history="1">
            <w:r w:rsidR="00C02302" w:rsidRPr="00D94DC6">
              <w:rPr>
                <w:rStyle w:val="Hyperlink"/>
                <w:noProof/>
              </w:rPr>
              <w:t>II. Registration timeline</w:t>
            </w:r>
            <w:r w:rsidR="00C02302">
              <w:rPr>
                <w:noProof/>
                <w:webHidden/>
              </w:rPr>
              <w:tab/>
            </w:r>
            <w:r w:rsidR="00C02302">
              <w:rPr>
                <w:noProof/>
                <w:webHidden/>
              </w:rPr>
              <w:fldChar w:fldCharType="begin"/>
            </w:r>
            <w:r w:rsidR="00C02302">
              <w:rPr>
                <w:noProof/>
                <w:webHidden/>
              </w:rPr>
              <w:instrText xml:space="preserve"> PAGEREF _Toc44685890 \h </w:instrText>
            </w:r>
            <w:r w:rsidR="00C02302">
              <w:rPr>
                <w:noProof/>
                <w:webHidden/>
              </w:rPr>
            </w:r>
            <w:r w:rsidR="00C02302">
              <w:rPr>
                <w:noProof/>
                <w:webHidden/>
              </w:rPr>
              <w:fldChar w:fldCharType="separate"/>
            </w:r>
            <w:r w:rsidR="00C02302">
              <w:rPr>
                <w:noProof/>
                <w:webHidden/>
              </w:rPr>
              <w:t>15</w:t>
            </w:r>
            <w:r w:rsidR="00C02302">
              <w:rPr>
                <w:noProof/>
                <w:webHidden/>
              </w:rPr>
              <w:fldChar w:fldCharType="end"/>
            </w:r>
          </w:hyperlink>
        </w:p>
        <w:p w14:paraId="71F6A0C8" w14:textId="2C7B2F0B" w:rsidR="00C02302" w:rsidRDefault="0053037A">
          <w:pPr>
            <w:pStyle w:val="TOC2"/>
            <w:rPr>
              <w:rFonts w:asciiTheme="minorHAnsi" w:eastAsiaTheme="minorEastAsia" w:hAnsiTheme="minorHAnsi" w:cstheme="minorBidi"/>
              <w:b w:val="0"/>
              <w:noProof/>
              <w:sz w:val="22"/>
              <w:lang w:eastAsia="en-AU"/>
            </w:rPr>
          </w:pPr>
          <w:hyperlink w:anchor="_Toc44685891" w:history="1">
            <w:r w:rsidR="00C02302" w:rsidRPr="00D94DC6">
              <w:rPr>
                <w:rStyle w:val="Hyperlink"/>
                <w:noProof/>
              </w:rPr>
              <w:t>III. Quality findings</w:t>
            </w:r>
            <w:r w:rsidR="00C02302">
              <w:rPr>
                <w:noProof/>
                <w:webHidden/>
              </w:rPr>
              <w:tab/>
            </w:r>
            <w:r w:rsidR="00C02302">
              <w:rPr>
                <w:noProof/>
                <w:webHidden/>
              </w:rPr>
              <w:fldChar w:fldCharType="begin"/>
            </w:r>
            <w:r w:rsidR="00C02302">
              <w:rPr>
                <w:noProof/>
                <w:webHidden/>
              </w:rPr>
              <w:instrText xml:space="preserve"> PAGEREF _Toc44685891 \h </w:instrText>
            </w:r>
            <w:r w:rsidR="00C02302">
              <w:rPr>
                <w:noProof/>
                <w:webHidden/>
              </w:rPr>
            </w:r>
            <w:r w:rsidR="00C02302">
              <w:rPr>
                <w:noProof/>
                <w:webHidden/>
              </w:rPr>
              <w:fldChar w:fldCharType="separate"/>
            </w:r>
            <w:r w:rsidR="00C02302">
              <w:rPr>
                <w:noProof/>
                <w:webHidden/>
              </w:rPr>
              <w:t>15</w:t>
            </w:r>
            <w:r w:rsidR="00C02302">
              <w:rPr>
                <w:noProof/>
                <w:webHidden/>
              </w:rPr>
              <w:fldChar w:fldCharType="end"/>
            </w:r>
          </w:hyperlink>
        </w:p>
        <w:p w14:paraId="1D82FC77" w14:textId="64EC1229" w:rsidR="00C02302" w:rsidRDefault="0053037A">
          <w:pPr>
            <w:pStyle w:val="TOC3"/>
            <w:rPr>
              <w:rFonts w:asciiTheme="minorHAnsi" w:eastAsiaTheme="minorEastAsia" w:hAnsiTheme="minorHAnsi" w:cstheme="minorBidi"/>
              <w:noProof/>
              <w:lang w:eastAsia="en-AU"/>
            </w:rPr>
          </w:pPr>
          <w:hyperlink w:anchor="_Toc44685892" w:history="1">
            <w:r w:rsidR="00C02302" w:rsidRPr="00D94DC6">
              <w:rPr>
                <w:rStyle w:val="Hyperlink"/>
                <w:noProof/>
              </w:rPr>
              <w:t>Drug substance (active ingredient)</w:t>
            </w:r>
            <w:r w:rsidR="00C02302">
              <w:rPr>
                <w:noProof/>
                <w:webHidden/>
              </w:rPr>
              <w:tab/>
            </w:r>
            <w:r w:rsidR="00C02302">
              <w:rPr>
                <w:noProof/>
                <w:webHidden/>
              </w:rPr>
              <w:fldChar w:fldCharType="begin"/>
            </w:r>
            <w:r w:rsidR="00C02302">
              <w:rPr>
                <w:noProof/>
                <w:webHidden/>
              </w:rPr>
              <w:instrText xml:space="preserve"> PAGEREF _Toc44685892 \h </w:instrText>
            </w:r>
            <w:r w:rsidR="00C02302">
              <w:rPr>
                <w:noProof/>
                <w:webHidden/>
              </w:rPr>
            </w:r>
            <w:r w:rsidR="00C02302">
              <w:rPr>
                <w:noProof/>
                <w:webHidden/>
              </w:rPr>
              <w:fldChar w:fldCharType="separate"/>
            </w:r>
            <w:r w:rsidR="00C02302">
              <w:rPr>
                <w:noProof/>
                <w:webHidden/>
              </w:rPr>
              <w:t>15</w:t>
            </w:r>
            <w:r w:rsidR="00C02302">
              <w:rPr>
                <w:noProof/>
                <w:webHidden/>
              </w:rPr>
              <w:fldChar w:fldCharType="end"/>
            </w:r>
          </w:hyperlink>
        </w:p>
        <w:p w14:paraId="451C129C" w14:textId="565E4FF3" w:rsidR="00C02302" w:rsidRDefault="0053037A">
          <w:pPr>
            <w:pStyle w:val="TOC3"/>
            <w:rPr>
              <w:rFonts w:asciiTheme="minorHAnsi" w:eastAsiaTheme="minorEastAsia" w:hAnsiTheme="minorHAnsi" w:cstheme="minorBidi"/>
              <w:noProof/>
              <w:lang w:eastAsia="en-AU"/>
            </w:rPr>
          </w:pPr>
          <w:hyperlink w:anchor="_Toc44685893" w:history="1">
            <w:r w:rsidR="00C02302" w:rsidRPr="00D94DC6">
              <w:rPr>
                <w:rStyle w:val="Hyperlink"/>
                <w:noProof/>
              </w:rPr>
              <w:t>Drug product</w:t>
            </w:r>
            <w:r w:rsidR="00C02302">
              <w:rPr>
                <w:noProof/>
                <w:webHidden/>
              </w:rPr>
              <w:tab/>
            </w:r>
            <w:r w:rsidR="00C02302">
              <w:rPr>
                <w:noProof/>
                <w:webHidden/>
              </w:rPr>
              <w:fldChar w:fldCharType="begin"/>
            </w:r>
            <w:r w:rsidR="00C02302">
              <w:rPr>
                <w:noProof/>
                <w:webHidden/>
              </w:rPr>
              <w:instrText xml:space="preserve"> PAGEREF _Toc44685893 \h </w:instrText>
            </w:r>
            <w:r w:rsidR="00C02302">
              <w:rPr>
                <w:noProof/>
                <w:webHidden/>
              </w:rPr>
            </w:r>
            <w:r w:rsidR="00C02302">
              <w:rPr>
                <w:noProof/>
                <w:webHidden/>
              </w:rPr>
              <w:fldChar w:fldCharType="separate"/>
            </w:r>
            <w:r w:rsidR="00C02302">
              <w:rPr>
                <w:noProof/>
                <w:webHidden/>
              </w:rPr>
              <w:t>16</w:t>
            </w:r>
            <w:r w:rsidR="00C02302">
              <w:rPr>
                <w:noProof/>
                <w:webHidden/>
              </w:rPr>
              <w:fldChar w:fldCharType="end"/>
            </w:r>
          </w:hyperlink>
        </w:p>
        <w:p w14:paraId="6102B90C" w14:textId="0172BEEE" w:rsidR="00C02302" w:rsidRDefault="0053037A">
          <w:pPr>
            <w:pStyle w:val="TOC3"/>
            <w:rPr>
              <w:rFonts w:asciiTheme="minorHAnsi" w:eastAsiaTheme="minorEastAsia" w:hAnsiTheme="minorHAnsi" w:cstheme="minorBidi"/>
              <w:noProof/>
              <w:lang w:eastAsia="en-AU"/>
            </w:rPr>
          </w:pPr>
          <w:hyperlink w:anchor="_Toc44685894" w:history="1">
            <w:r w:rsidR="00C02302" w:rsidRPr="00D94DC6">
              <w:rPr>
                <w:rStyle w:val="Hyperlink"/>
                <w:noProof/>
              </w:rPr>
              <w:t>Biopharmaceutics</w:t>
            </w:r>
            <w:r w:rsidR="00C02302">
              <w:rPr>
                <w:noProof/>
                <w:webHidden/>
              </w:rPr>
              <w:tab/>
            </w:r>
            <w:r w:rsidR="00C02302">
              <w:rPr>
                <w:noProof/>
                <w:webHidden/>
              </w:rPr>
              <w:fldChar w:fldCharType="begin"/>
            </w:r>
            <w:r w:rsidR="00C02302">
              <w:rPr>
                <w:noProof/>
                <w:webHidden/>
              </w:rPr>
              <w:instrText xml:space="preserve"> PAGEREF _Toc44685894 \h </w:instrText>
            </w:r>
            <w:r w:rsidR="00C02302">
              <w:rPr>
                <w:noProof/>
                <w:webHidden/>
              </w:rPr>
            </w:r>
            <w:r w:rsidR="00C02302">
              <w:rPr>
                <w:noProof/>
                <w:webHidden/>
              </w:rPr>
              <w:fldChar w:fldCharType="separate"/>
            </w:r>
            <w:r w:rsidR="00C02302">
              <w:rPr>
                <w:noProof/>
                <w:webHidden/>
              </w:rPr>
              <w:t>17</w:t>
            </w:r>
            <w:r w:rsidR="00C02302">
              <w:rPr>
                <w:noProof/>
                <w:webHidden/>
              </w:rPr>
              <w:fldChar w:fldCharType="end"/>
            </w:r>
          </w:hyperlink>
        </w:p>
        <w:p w14:paraId="4081DB0D" w14:textId="5EA587E8" w:rsidR="00C02302" w:rsidRDefault="0053037A">
          <w:pPr>
            <w:pStyle w:val="TOC3"/>
            <w:rPr>
              <w:rFonts w:asciiTheme="minorHAnsi" w:eastAsiaTheme="minorEastAsia" w:hAnsiTheme="minorHAnsi" w:cstheme="minorBidi"/>
              <w:noProof/>
              <w:lang w:eastAsia="en-AU"/>
            </w:rPr>
          </w:pPr>
          <w:hyperlink w:anchor="_Toc44685895" w:history="1">
            <w:r w:rsidR="00C02302" w:rsidRPr="00D94DC6">
              <w:rPr>
                <w:rStyle w:val="Hyperlink"/>
                <w:noProof/>
              </w:rPr>
              <w:t>Quality summary and conclusions</w:t>
            </w:r>
            <w:r w:rsidR="00C02302">
              <w:rPr>
                <w:noProof/>
                <w:webHidden/>
              </w:rPr>
              <w:tab/>
            </w:r>
            <w:r w:rsidR="00C02302">
              <w:rPr>
                <w:noProof/>
                <w:webHidden/>
              </w:rPr>
              <w:fldChar w:fldCharType="begin"/>
            </w:r>
            <w:r w:rsidR="00C02302">
              <w:rPr>
                <w:noProof/>
                <w:webHidden/>
              </w:rPr>
              <w:instrText xml:space="preserve"> PAGEREF _Toc44685895 \h </w:instrText>
            </w:r>
            <w:r w:rsidR="00C02302">
              <w:rPr>
                <w:noProof/>
                <w:webHidden/>
              </w:rPr>
            </w:r>
            <w:r w:rsidR="00C02302">
              <w:rPr>
                <w:noProof/>
                <w:webHidden/>
              </w:rPr>
              <w:fldChar w:fldCharType="separate"/>
            </w:r>
            <w:r w:rsidR="00C02302">
              <w:rPr>
                <w:noProof/>
                <w:webHidden/>
              </w:rPr>
              <w:t>17</w:t>
            </w:r>
            <w:r w:rsidR="00C02302">
              <w:rPr>
                <w:noProof/>
                <w:webHidden/>
              </w:rPr>
              <w:fldChar w:fldCharType="end"/>
            </w:r>
          </w:hyperlink>
        </w:p>
        <w:p w14:paraId="50BD4575" w14:textId="47484373" w:rsidR="00C02302" w:rsidRDefault="0053037A">
          <w:pPr>
            <w:pStyle w:val="TOC2"/>
            <w:rPr>
              <w:rFonts w:asciiTheme="minorHAnsi" w:eastAsiaTheme="minorEastAsia" w:hAnsiTheme="minorHAnsi" w:cstheme="minorBidi"/>
              <w:b w:val="0"/>
              <w:noProof/>
              <w:sz w:val="22"/>
              <w:lang w:eastAsia="en-AU"/>
            </w:rPr>
          </w:pPr>
          <w:hyperlink w:anchor="_Toc44685896" w:history="1">
            <w:r w:rsidR="00C02302" w:rsidRPr="00D94DC6">
              <w:rPr>
                <w:rStyle w:val="Hyperlink"/>
                <w:noProof/>
              </w:rPr>
              <w:t>IV. Nonclinical findings</w:t>
            </w:r>
            <w:r w:rsidR="00C02302">
              <w:rPr>
                <w:noProof/>
                <w:webHidden/>
              </w:rPr>
              <w:tab/>
            </w:r>
            <w:r w:rsidR="00C02302">
              <w:rPr>
                <w:noProof/>
                <w:webHidden/>
              </w:rPr>
              <w:fldChar w:fldCharType="begin"/>
            </w:r>
            <w:r w:rsidR="00C02302">
              <w:rPr>
                <w:noProof/>
                <w:webHidden/>
              </w:rPr>
              <w:instrText xml:space="preserve"> PAGEREF _Toc44685896 \h </w:instrText>
            </w:r>
            <w:r w:rsidR="00C02302">
              <w:rPr>
                <w:noProof/>
                <w:webHidden/>
              </w:rPr>
            </w:r>
            <w:r w:rsidR="00C02302">
              <w:rPr>
                <w:noProof/>
                <w:webHidden/>
              </w:rPr>
              <w:fldChar w:fldCharType="separate"/>
            </w:r>
            <w:r w:rsidR="00C02302">
              <w:rPr>
                <w:noProof/>
                <w:webHidden/>
              </w:rPr>
              <w:t>17</w:t>
            </w:r>
            <w:r w:rsidR="00C02302">
              <w:rPr>
                <w:noProof/>
                <w:webHidden/>
              </w:rPr>
              <w:fldChar w:fldCharType="end"/>
            </w:r>
          </w:hyperlink>
        </w:p>
        <w:p w14:paraId="081E7B24" w14:textId="305DFB9E" w:rsidR="00C02302" w:rsidRDefault="0053037A">
          <w:pPr>
            <w:pStyle w:val="TOC3"/>
            <w:rPr>
              <w:rFonts w:asciiTheme="minorHAnsi" w:eastAsiaTheme="minorEastAsia" w:hAnsiTheme="minorHAnsi" w:cstheme="minorBidi"/>
              <w:noProof/>
              <w:lang w:eastAsia="en-AU"/>
            </w:rPr>
          </w:pPr>
          <w:hyperlink w:anchor="_Toc44685897" w:history="1">
            <w:r w:rsidR="00C02302" w:rsidRPr="00D94DC6">
              <w:rPr>
                <w:rStyle w:val="Hyperlink"/>
                <w:noProof/>
              </w:rPr>
              <w:t>Introduction</w:t>
            </w:r>
            <w:r w:rsidR="00C02302">
              <w:rPr>
                <w:noProof/>
                <w:webHidden/>
              </w:rPr>
              <w:tab/>
            </w:r>
            <w:r w:rsidR="00C02302">
              <w:rPr>
                <w:noProof/>
                <w:webHidden/>
              </w:rPr>
              <w:fldChar w:fldCharType="begin"/>
            </w:r>
            <w:r w:rsidR="00C02302">
              <w:rPr>
                <w:noProof/>
                <w:webHidden/>
              </w:rPr>
              <w:instrText xml:space="preserve"> PAGEREF _Toc44685897 \h </w:instrText>
            </w:r>
            <w:r w:rsidR="00C02302">
              <w:rPr>
                <w:noProof/>
                <w:webHidden/>
              </w:rPr>
            </w:r>
            <w:r w:rsidR="00C02302">
              <w:rPr>
                <w:noProof/>
                <w:webHidden/>
              </w:rPr>
              <w:fldChar w:fldCharType="separate"/>
            </w:r>
            <w:r w:rsidR="00C02302">
              <w:rPr>
                <w:noProof/>
                <w:webHidden/>
              </w:rPr>
              <w:t>17</w:t>
            </w:r>
            <w:r w:rsidR="00C02302">
              <w:rPr>
                <w:noProof/>
                <w:webHidden/>
              </w:rPr>
              <w:fldChar w:fldCharType="end"/>
            </w:r>
          </w:hyperlink>
        </w:p>
        <w:p w14:paraId="1466BB32" w14:textId="4E293DDE" w:rsidR="00C02302" w:rsidRDefault="0053037A">
          <w:pPr>
            <w:pStyle w:val="TOC3"/>
            <w:rPr>
              <w:rFonts w:asciiTheme="minorHAnsi" w:eastAsiaTheme="minorEastAsia" w:hAnsiTheme="minorHAnsi" w:cstheme="minorBidi"/>
              <w:noProof/>
              <w:lang w:eastAsia="en-AU"/>
            </w:rPr>
          </w:pPr>
          <w:hyperlink w:anchor="_Toc44685898" w:history="1">
            <w:r w:rsidR="00C02302" w:rsidRPr="00D94DC6">
              <w:rPr>
                <w:rStyle w:val="Hyperlink"/>
                <w:noProof/>
              </w:rPr>
              <w:t>Pharmacology</w:t>
            </w:r>
            <w:r w:rsidR="00C02302">
              <w:rPr>
                <w:noProof/>
                <w:webHidden/>
              </w:rPr>
              <w:tab/>
            </w:r>
            <w:r w:rsidR="00C02302">
              <w:rPr>
                <w:noProof/>
                <w:webHidden/>
              </w:rPr>
              <w:fldChar w:fldCharType="begin"/>
            </w:r>
            <w:r w:rsidR="00C02302">
              <w:rPr>
                <w:noProof/>
                <w:webHidden/>
              </w:rPr>
              <w:instrText xml:space="preserve"> PAGEREF _Toc44685898 \h </w:instrText>
            </w:r>
            <w:r w:rsidR="00C02302">
              <w:rPr>
                <w:noProof/>
                <w:webHidden/>
              </w:rPr>
            </w:r>
            <w:r w:rsidR="00C02302">
              <w:rPr>
                <w:noProof/>
                <w:webHidden/>
              </w:rPr>
              <w:fldChar w:fldCharType="separate"/>
            </w:r>
            <w:r w:rsidR="00C02302">
              <w:rPr>
                <w:noProof/>
                <w:webHidden/>
              </w:rPr>
              <w:t>19</w:t>
            </w:r>
            <w:r w:rsidR="00C02302">
              <w:rPr>
                <w:noProof/>
                <w:webHidden/>
              </w:rPr>
              <w:fldChar w:fldCharType="end"/>
            </w:r>
          </w:hyperlink>
        </w:p>
        <w:p w14:paraId="44281999" w14:textId="3EE06290" w:rsidR="00C02302" w:rsidRDefault="0053037A">
          <w:pPr>
            <w:pStyle w:val="TOC3"/>
            <w:rPr>
              <w:rFonts w:asciiTheme="minorHAnsi" w:eastAsiaTheme="minorEastAsia" w:hAnsiTheme="minorHAnsi" w:cstheme="minorBidi"/>
              <w:noProof/>
              <w:lang w:eastAsia="en-AU"/>
            </w:rPr>
          </w:pPr>
          <w:hyperlink w:anchor="_Toc44685899" w:history="1">
            <w:r w:rsidR="00C02302" w:rsidRPr="00D94DC6">
              <w:rPr>
                <w:rStyle w:val="Hyperlink"/>
                <w:noProof/>
              </w:rPr>
              <w:t>Pharmacokinetics</w:t>
            </w:r>
            <w:r w:rsidR="00C02302">
              <w:rPr>
                <w:noProof/>
                <w:webHidden/>
              </w:rPr>
              <w:tab/>
            </w:r>
            <w:r w:rsidR="00C02302">
              <w:rPr>
                <w:noProof/>
                <w:webHidden/>
              </w:rPr>
              <w:fldChar w:fldCharType="begin"/>
            </w:r>
            <w:r w:rsidR="00C02302">
              <w:rPr>
                <w:noProof/>
                <w:webHidden/>
              </w:rPr>
              <w:instrText xml:space="preserve"> PAGEREF _Toc44685899 \h </w:instrText>
            </w:r>
            <w:r w:rsidR="00C02302">
              <w:rPr>
                <w:noProof/>
                <w:webHidden/>
              </w:rPr>
            </w:r>
            <w:r w:rsidR="00C02302">
              <w:rPr>
                <w:noProof/>
                <w:webHidden/>
              </w:rPr>
              <w:fldChar w:fldCharType="separate"/>
            </w:r>
            <w:r w:rsidR="00C02302">
              <w:rPr>
                <w:noProof/>
                <w:webHidden/>
              </w:rPr>
              <w:t>23</w:t>
            </w:r>
            <w:r w:rsidR="00C02302">
              <w:rPr>
                <w:noProof/>
                <w:webHidden/>
              </w:rPr>
              <w:fldChar w:fldCharType="end"/>
            </w:r>
          </w:hyperlink>
        </w:p>
        <w:p w14:paraId="516AD168" w14:textId="5505A2CF" w:rsidR="00C02302" w:rsidRDefault="0053037A">
          <w:pPr>
            <w:pStyle w:val="TOC3"/>
            <w:rPr>
              <w:rFonts w:asciiTheme="minorHAnsi" w:eastAsiaTheme="minorEastAsia" w:hAnsiTheme="minorHAnsi" w:cstheme="minorBidi"/>
              <w:noProof/>
              <w:lang w:eastAsia="en-AU"/>
            </w:rPr>
          </w:pPr>
          <w:hyperlink w:anchor="_Toc44685900" w:history="1">
            <w:r w:rsidR="00C02302" w:rsidRPr="00D94DC6">
              <w:rPr>
                <w:rStyle w:val="Hyperlink"/>
                <w:noProof/>
              </w:rPr>
              <w:t>Toxicology</w:t>
            </w:r>
            <w:r w:rsidR="00C02302">
              <w:rPr>
                <w:noProof/>
                <w:webHidden/>
              </w:rPr>
              <w:tab/>
            </w:r>
            <w:r w:rsidR="00C02302">
              <w:rPr>
                <w:noProof/>
                <w:webHidden/>
              </w:rPr>
              <w:fldChar w:fldCharType="begin"/>
            </w:r>
            <w:r w:rsidR="00C02302">
              <w:rPr>
                <w:noProof/>
                <w:webHidden/>
              </w:rPr>
              <w:instrText xml:space="preserve"> PAGEREF _Toc44685900 \h </w:instrText>
            </w:r>
            <w:r w:rsidR="00C02302">
              <w:rPr>
                <w:noProof/>
                <w:webHidden/>
              </w:rPr>
            </w:r>
            <w:r w:rsidR="00C02302">
              <w:rPr>
                <w:noProof/>
                <w:webHidden/>
              </w:rPr>
              <w:fldChar w:fldCharType="separate"/>
            </w:r>
            <w:r w:rsidR="00C02302">
              <w:rPr>
                <w:noProof/>
                <w:webHidden/>
              </w:rPr>
              <w:t>26</w:t>
            </w:r>
            <w:r w:rsidR="00C02302">
              <w:rPr>
                <w:noProof/>
                <w:webHidden/>
              </w:rPr>
              <w:fldChar w:fldCharType="end"/>
            </w:r>
          </w:hyperlink>
        </w:p>
        <w:p w14:paraId="09F05FEC" w14:textId="0E5AAEE7" w:rsidR="00C02302" w:rsidRDefault="0053037A">
          <w:pPr>
            <w:pStyle w:val="TOC3"/>
            <w:rPr>
              <w:rFonts w:asciiTheme="minorHAnsi" w:eastAsiaTheme="minorEastAsia" w:hAnsiTheme="minorHAnsi" w:cstheme="minorBidi"/>
              <w:noProof/>
              <w:lang w:eastAsia="en-AU"/>
            </w:rPr>
          </w:pPr>
          <w:hyperlink w:anchor="_Toc44685901" w:history="1">
            <w:r w:rsidR="00C02302" w:rsidRPr="00D94DC6">
              <w:rPr>
                <w:rStyle w:val="Hyperlink"/>
                <w:noProof/>
              </w:rPr>
              <w:t>Paediatric use</w:t>
            </w:r>
            <w:r w:rsidR="00C02302">
              <w:rPr>
                <w:noProof/>
                <w:webHidden/>
              </w:rPr>
              <w:tab/>
            </w:r>
            <w:r w:rsidR="00C02302">
              <w:rPr>
                <w:noProof/>
                <w:webHidden/>
              </w:rPr>
              <w:fldChar w:fldCharType="begin"/>
            </w:r>
            <w:r w:rsidR="00C02302">
              <w:rPr>
                <w:noProof/>
                <w:webHidden/>
              </w:rPr>
              <w:instrText xml:space="preserve"> PAGEREF _Toc44685901 \h </w:instrText>
            </w:r>
            <w:r w:rsidR="00C02302">
              <w:rPr>
                <w:noProof/>
                <w:webHidden/>
              </w:rPr>
            </w:r>
            <w:r w:rsidR="00C02302">
              <w:rPr>
                <w:noProof/>
                <w:webHidden/>
              </w:rPr>
              <w:fldChar w:fldCharType="separate"/>
            </w:r>
            <w:r w:rsidR="00C02302">
              <w:rPr>
                <w:noProof/>
                <w:webHidden/>
              </w:rPr>
              <w:t>36</w:t>
            </w:r>
            <w:r w:rsidR="00C02302">
              <w:rPr>
                <w:noProof/>
                <w:webHidden/>
              </w:rPr>
              <w:fldChar w:fldCharType="end"/>
            </w:r>
          </w:hyperlink>
        </w:p>
        <w:p w14:paraId="659C8BBE" w14:textId="35CD0DB9" w:rsidR="00C02302" w:rsidRDefault="0053037A">
          <w:pPr>
            <w:pStyle w:val="TOC3"/>
            <w:rPr>
              <w:rFonts w:asciiTheme="minorHAnsi" w:eastAsiaTheme="minorEastAsia" w:hAnsiTheme="minorHAnsi" w:cstheme="minorBidi"/>
              <w:noProof/>
              <w:lang w:eastAsia="en-AU"/>
            </w:rPr>
          </w:pPr>
          <w:hyperlink w:anchor="_Toc44685902" w:history="1">
            <w:r w:rsidR="00C02302" w:rsidRPr="00D94DC6">
              <w:rPr>
                <w:rStyle w:val="Hyperlink"/>
                <w:noProof/>
              </w:rPr>
              <w:t>Nonclinical summary and conclusions</w:t>
            </w:r>
            <w:r w:rsidR="00C02302">
              <w:rPr>
                <w:noProof/>
                <w:webHidden/>
              </w:rPr>
              <w:tab/>
            </w:r>
            <w:r w:rsidR="00C02302">
              <w:rPr>
                <w:noProof/>
                <w:webHidden/>
              </w:rPr>
              <w:fldChar w:fldCharType="begin"/>
            </w:r>
            <w:r w:rsidR="00C02302">
              <w:rPr>
                <w:noProof/>
                <w:webHidden/>
              </w:rPr>
              <w:instrText xml:space="preserve"> PAGEREF _Toc44685902 \h </w:instrText>
            </w:r>
            <w:r w:rsidR="00C02302">
              <w:rPr>
                <w:noProof/>
                <w:webHidden/>
              </w:rPr>
            </w:r>
            <w:r w:rsidR="00C02302">
              <w:rPr>
                <w:noProof/>
                <w:webHidden/>
              </w:rPr>
              <w:fldChar w:fldCharType="separate"/>
            </w:r>
            <w:r w:rsidR="00C02302">
              <w:rPr>
                <w:noProof/>
                <w:webHidden/>
              </w:rPr>
              <w:t>36</w:t>
            </w:r>
            <w:r w:rsidR="00C02302">
              <w:rPr>
                <w:noProof/>
                <w:webHidden/>
              </w:rPr>
              <w:fldChar w:fldCharType="end"/>
            </w:r>
          </w:hyperlink>
        </w:p>
        <w:p w14:paraId="41A9DBE7" w14:textId="70D0EB38" w:rsidR="00C02302" w:rsidRDefault="0053037A">
          <w:pPr>
            <w:pStyle w:val="TOC2"/>
            <w:rPr>
              <w:rFonts w:asciiTheme="minorHAnsi" w:eastAsiaTheme="minorEastAsia" w:hAnsiTheme="minorHAnsi" w:cstheme="minorBidi"/>
              <w:b w:val="0"/>
              <w:noProof/>
              <w:sz w:val="22"/>
              <w:lang w:eastAsia="en-AU"/>
            </w:rPr>
          </w:pPr>
          <w:hyperlink w:anchor="_Toc44685903" w:history="1">
            <w:r w:rsidR="00C02302" w:rsidRPr="00D94DC6">
              <w:rPr>
                <w:rStyle w:val="Hyperlink"/>
                <w:noProof/>
              </w:rPr>
              <w:t>V. Clinical findings</w:t>
            </w:r>
            <w:r w:rsidR="00C02302">
              <w:rPr>
                <w:noProof/>
                <w:webHidden/>
              </w:rPr>
              <w:tab/>
            </w:r>
            <w:r w:rsidR="00C02302">
              <w:rPr>
                <w:noProof/>
                <w:webHidden/>
              </w:rPr>
              <w:fldChar w:fldCharType="begin"/>
            </w:r>
            <w:r w:rsidR="00C02302">
              <w:rPr>
                <w:noProof/>
                <w:webHidden/>
              </w:rPr>
              <w:instrText xml:space="preserve"> PAGEREF _Toc44685903 \h </w:instrText>
            </w:r>
            <w:r w:rsidR="00C02302">
              <w:rPr>
                <w:noProof/>
                <w:webHidden/>
              </w:rPr>
            </w:r>
            <w:r w:rsidR="00C02302">
              <w:rPr>
                <w:noProof/>
                <w:webHidden/>
              </w:rPr>
              <w:fldChar w:fldCharType="separate"/>
            </w:r>
            <w:r w:rsidR="00C02302">
              <w:rPr>
                <w:noProof/>
                <w:webHidden/>
              </w:rPr>
              <w:t>38</w:t>
            </w:r>
            <w:r w:rsidR="00C02302">
              <w:rPr>
                <w:noProof/>
                <w:webHidden/>
              </w:rPr>
              <w:fldChar w:fldCharType="end"/>
            </w:r>
          </w:hyperlink>
        </w:p>
        <w:p w14:paraId="2C660BA1" w14:textId="5CE652BB" w:rsidR="00C02302" w:rsidRDefault="0053037A">
          <w:pPr>
            <w:pStyle w:val="TOC3"/>
            <w:rPr>
              <w:rFonts w:asciiTheme="minorHAnsi" w:eastAsiaTheme="minorEastAsia" w:hAnsiTheme="minorHAnsi" w:cstheme="minorBidi"/>
              <w:noProof/>
              <w:lang w:eastAsia="en-AU"/>
            </w:rPr>
          </w:pPr>
          <w:hyperlink w:anchor="_Toc44685904" w:history="1">
            <w:r w:rsidR="00C02302" w:rsidRPr="00D94DC6">
              <w:rPr>
                <w:rStyle w:val="Hyperlink"/>
                <w:noProof/>
              </w:rPr>
              <w:t>Introduction</w:t>
            </w:r>
            <w:r w:rsidR="00C02302">
              <w:rPr>
                <w:noProof/>
                <w:webHidden/>
              </w:rPr>
              <w:tab/>
            </w:r>
            <w:r w:rsidR="00C02302">
              <w:rPr>
                <w:noProof/>
                <w:webHidden/>
              </w:rPr>
              <w:fldChar w:fldCharType="begin"/>
            </w:r>
            <w:r w:rsidR="00C02302">
              <w:rPr>
                <w:noProof/>
                <w:webHidden/>
              </w:rPr>
              <w:instrText xml:space="preserve"> PAGEREF _Toc44685904 \h </w:instrText>
            </w:r>
            <w:r w:rsidR="00C02302">
              <w:rPr>
                <w:noProof/>
                <w:webHidden/>
              </w:rPr>
            </w:r>
            <w:r w:rsidR="00C02302">
              <w:rPr>
                <w:noProof/>
                <w:webHidden/>
              </w:rPr>
              <w:fldChar w:fldCharType="separate"/>
            </w:r>
            <w:r w:rsidR="00C02302">
              <w:rPr>
                <w:noProof/>
                <w:webHidden/>
              </w:rPr>
              <w:t>38</w:t>
            </w:r>
            <w:r w:rsidR="00C02302">
              <w:rPr>
                <w:noProof/>
                <w:webHidden/>
              </w:rPr>
              <w:fldChar w:fldCharType="end"/>
            </w:r>
          </w:hyperlink>
        </w:p>
        <w:p w14:paraId="61D8E9BE" w14:textId="7F1CB002" w:rsidR="00C02302" w:rsidRDefault="0053037A">
          <w:pPr>
            <w:pStyle w:val="TOC3"/>
            <w:rPr>
              <w:rFonts w:asciiTheme="minorHAnsi" w:eastAsiaTheme="minorEastAsia" w:hAnsiTheme="minorHAnsi" w:cstheme="minorBidi"/>
              <w:noProof/>
              <w:lang w:eastAsia="en-AU"/>
            </w:rPr>
          </w:pPr>
          <w:hyperlink w:anchor="_Toc44685905" w:history="1">
            <w:r w:rsidR="00C02302" w:rsidRPr="00D94DC6">
              <w:rPr>
                <w:rStyle w:val="Hyperlink"/>
                <w:noProof/>
              </w:rPr>
              <w:t>Pharmacokinetics</w:t>
            </w:r>
            <w:r w:rsidR="00C02302">
              <w:rPr>
                <w:noProof/>
                <w:webHidden/>
              </w:rPr>
              <w:tab/>
            </w:r>
            <w:r w:rsidR="00C02302">
              <w:rPr>
                <w:noProof/>
                <w:webHidden/>
              </w:rPr>
              <w:fldChar w:fldCharType="begin"/>
            </w:r>
            <w:r w:rsidR="00C02302">
              <w:rPr>
                <w:noProof/>
                <w:webHidden/>
              </w:rPr>
              <w:instrText xml:space="preserve"> PAGEREF _Toc44685905 \h </w:instrText>
            </w:r>
            <w:r w:rsidR="00C02302">
              <w:rPr>
                <w:noProof/>
                <w:webHidden/>
              </w:rPr>
            </w:r>
            <w:r w:rsidR="00C02302">
              <w:rPr>
                <w:noProof/>
                <w:webHidden/>
              </w:rPr>
              <w:fldChar w:fldCharType="separate"/>
            </w:r>
            <w:r w:rsidR="00C02302">
              <w:rPr>
                <w:noProof/>
                <w:webHidden/>
              </w:rPr>
              <w:t>40</w:t>
            </w:r>
            <w:r w:rsidR="00C02302">
              <w:rPr>
                <w:noProof/>
                <w:webHidden/>
              </w:rPr>
              <w:fldChar w:fldCharType="end"/>
            </w:r>
          </w:hyperlink>
        </w:p>
        <w:p w14:paraId="598BF816" w14:textId="7C3DC447" w:rsidR="00C02302" w:rsidRDefault="0053037A">
          <w:pPr>
            <w:pStyle w:val="TOC3"/>
            <w:rPr>
              <w:rFonts w:asciiTheme="minorHAnsi" w:eastAsiaTheme="minorEastAsia" w:hAnsiTheme="minorHAnsi" w:cstheme="minorBidi"/>
              <w:noProof/>
              <w:lang w:eastAsia="en-AU"/>
            </w:rPr>
          </w:pPr>
          <w:hyperlink w:anchor="_Toc44685906" w:history="1">
            <w:r w:rsidR="00C02302" w:rsidRPr="00D94DC6">
              <w:rPr>
                <w:rStyle w:val="Hyperlink"/>
                <w:noProof/>
              </w:rPr>
              <w:t>Pharmacodynamics</w:t>
            </w:r>
            <w:r w:rsidR="00C02302">
              <w:rPr>
                <w:noProof/>
                <w:webHidden/>
              </w:rPr>
              <w:tab/>
            </w:r>
            <w:r w:rsidR="00C02302">
              <w:rPr>
                <w:noProof/>
                <w:webHidden/>
              </w:rPr>
              <w:fldChar w:fldCharType="begin"/>
            </w:r>
            <w:r w:rsidR="00C02302">
              <w:rPr>
                <w:noProof/>
                <w:webHidden/>
              </w:rPr>
              <w:instrText xml:space="preserve"> PAGEREF _Toc44685906 \h </w:instrText>
            </w:r>
            <w:r w:rsidR="00C02302">
              <w:rPr>
                <w:noProof/>
                <w:webHidden/>
              </w:rPr>
            </w:r>
            <w:r w:rsidR="00C02302">
              <w:rPr>
                <w:noProof/>
                <w:webHidden/>
              </w:rPr>
              <w:fldChar w:fldCharType="separate"/>
            </w:r>
            <w:r w:rsidR="00C02302">
              <w:rPr>
                <w:noProof/>
                <w:webHidden/>
              </w:rPr>
              <w:t>42</w:t>
            </w:r>
            <w:r w:rsidR="00C02302">
              <w:rPr>
                <w:noProof/>
                <w:webHidden/>
              </w:rPr>
              <w:fldChar w:fldCharType="end"/>
            </w:r>
          </w:hyperlink>
        </w:p>
        <w:p w14:paraId="69B94A91" w14:textId="11F22DB2" w:rsidR="00C02302" w:rsidRDefault="0053037A">
          <w:pPr>
            <w:pStyle w:val="TOC3"/>
            <w:rPr>
              <w:rFonts w:asciiTheme="minorHAnsi" w:eastAsiaTheme="minorEastAsia" w:hAnsiTheme="minorHAnsi" w:cstheme="minorBidi"/>
              <w:noProof/>
              <w:lang w:eastAsia="en-AU"/>
            </w:rPr>
          </w:pPr>
          <w:hyperlink w:anchor="_Toc44685907" w:history="1">
            <w:r w:rsidR="00C02302" w:rsidRPr="00D94DC6">
              <w:rPr>
                <w:rStyle w:val="Hyperlink"/>
                <w:noProof/>
              </w:rPr>
              <w:t>Dosage selection for the pivotal studies</w:t>
            </w:r>
            <w:r w:rsidR="00C02302">
              <w:rPr>
                <w:noProof/>
                <w:webHidden/>
              </w:rPr>
              <w:tab/>
            </w:r>
            <w:r w:rsidR="00C02302">
              <w:rPr>
                <w:noProof/>
                <w:webHidden/>
              </w:rPr>
              <w:fldChar w:fldCharType="begin"/>
            </w:r>
            <w:r w:rsidR="00C02302">
              <w:rPr>
                <w:noProof/>
                <w:webHidden/>
              </w:rPr>
              <w:instrText xml:space="preserve"> PAGEREF _Toc44685907 \h </w:instrText>
            </w:r>
            <w:r w:rsidR="00C02302">
              <w:rPr>
                <w:noProof/>
                <w:webHidden/>
              </w:rPr>
            </w:r>
            <w:r w:rsidR="00C02302">
              <w:rPr>
                <w:noProof/>
                <w:webHidden/>
              </w:rPr>
              <w:fldChar w:fldCharType="separate"/>
            </w:r>
            <w:r w:rsidR="00C02302">
              <w:rPr>
                <w:noProof/>
                <w:webHidden/>
              </w:rPr>
              <w:t>43</w:t>
            </w:r>
            <w:r w:rsidR="00C02302">
              <w:rPr>
                <w:noProof/>
                <w:webHidden/>
              </w:rPr>
              <w:fldChar w:fldCharType="end"/>
            </w:r>
          </w:hyperlink>
        </w:p>
        <w:p w14:paraId="046E9012" w14:textId="406B4E91" w:rsidR="00C02302" w:rsidRDefault="0053037A">
          <w:pPr>
            <w:pStyle w:val="TOC3"/>
            <w:rPr>
              <w:rFonts w:asciiTheme="minorHAnsi" w:eastAsiaTheme="minorEastAsia" w:hAnsiTheme="minorHAnsi" w:cstheme="minorBidi"/>
              <w:noProof/>
              <w:lang w:eastAsia="en-AU"/>
            </w:rPr>
          </w:pPr>
          <w:hyperlink w:anchor="_Toc44685908" w:history="1">
            <w:r w:rsidR="00C02302" w:rsidRPr="00D94DC6">
              <w:rPr>
                <w:rStyle w:val="Hyperlink"/>
                <w:noProof/>
              </w:rPr>
              <w:t>Efficacy</w:t>
            </w:r>
            <w:r w:rsidR="00C02302">
              <w:rPr>
                <w:noProof/>
                <w:webHidden/>
              </w:rPr>
              <w:tab/>
            </w:r>
            <w:r w:rsidR="00C02302">
              <w:rPr>
                <w:noProof/>
                <w:webHidden/>
              </w:rPr>
              <w:fldChar w:fldCharType="begin"/>
            </w:r>
            <w:r w:rsidR="00C02302">
              <w:rPr>
                <w:noProof/>
                <w:webHidden/>
              </w:rPr>
              <w:instrText xml:space="preserve"> PAGEREF _Toc44685908 \h </w:instrText>
            </w:r>
            <w:r w:rsidR="00C02302">
              <w:rPr>
                <w:noProof/>
                <w:webHidden/>
              </w:rPr>
            </w:r>
            <w:r w:rsidR="00C02302">
              <w:rPr>
                <w:noProof/>
                <w:webHidden/>
              </w:rPr>
              <w:fldChar w:fldCharType="separate"/>
            </w:r>
            <w:r w:rsidR="00C02302">
              <w:rPr>
                <w:noProof/>
                <w:webHidden/>
              </w:rPr>
              <w:t>43</w:t>
            </w:r>
            <w:r w:rsidR="00C02302">
              <w:rPr>
                <w:noProof/>
                <w:webHidden/>
              </w:rPr>
              <w:fldChar w:fldCharType="end"/>
            </w:r>
          </w:hyperlink>
        </w:p>
        <w:p w14:paraId="2099AB87" w14:textId="04BAB70D" w:rsidR="00C02302" w:rsidRDefault="0053037A">
          <w:pPr>
            <w:pStyle w:val="TOC3"/>
            <w:rPr>
              <w:rFonts w:asciiTheme="minorHAnsi" w:eastAsiaTheme="minorEastAsia" w:hAnsiTheme="minorHAnsi" w:cstheme="minorBidi"/>
              <w:noProof/>
              <w:lang w:eastAsia="en-AU"/>
            </w:rPr>
          </w:pPr>
          <w:hyperlink w:anchor="_Toc44685909" w:history="1">
            <w:r w:rsidR="00C02302" w:rsidRPr="00D94DC6">
              <w:rPr>
                <w:rStyle w:val="Hyperlink"/>
                <w:noProof/>
              </w:rPr>
              <w:t>Safety</w:t>
            </w:r>
            <w:r w:rsidR="00C02302">
              <w:rPr>
                <w:noProof/>
                <w:webHidden/>
              </w:rPr>
              <w:tab/>
            </w:r>
            <w:r w:rsidR="00C02302">
              <w:rPr>
                <w:noProof/>
                <w:webHidden/>
              </w:rPr>
              <w:fldChar w:fldCharType="begin"/>
            </w:r>
            <w:r w:rsidR="00C02302">
              <w:rPr>
                <w:noProof/>
                <w:webHidden/>
              </w:rPr>
              <w:instrText xml:space="preserve"> PAGEREF _Toc44685909 \h </w:instrText>
            </w:r>
            <w:r w:rsidR="00C02302">
              <w:rPr>
                <w:noProof/>
                <w:webHidden/>
              </w:rPr>
            </w:r>
            <w:r w:rsidR="00C02302">
              <w:rPr>
                <w:noProof/>
                <w:webHidden/>
              </w:rPr>
              <w:fldChar w:fldCharType="separate"/>
            </w:r>
            <w:r w:rsidR="00C02302">
              <w:rPr>
                <w:noProof/>
                <w:webHidden/>
              </w:rPr>
              <w:t>46</w:t>
            </w:r>
            <w:r w:rsidR="00C02302">
              <w:rPr>
                <w:noProof/>
                <w:webHidden/>
              </w:rPr>
              <w:fldChar w:fldCharType="end"/>
            </w:r>
          </w:hyperlink>
        </w:p>
        <w:p w14:paraId="42561B3B" w14:textId="6B501F2C" w:rsidR="00C02302" w:rsidRDefault="0053037A">
          <w:pPr>
            <w:pStyle w:val="TOC3"/>
            <w:rPr>
              <w:rFonts w:asciiTheme="minorHAnsi" w:eastAsiaTheme="minorEastAsia" w:hAnsiTheme="minorHAnsi" w:cstheme="minorBidi"/>
              <w:noProof/>
              <w:lang w:eastAsia="en-AU"/>
            </w:rPr>
          </w:pPr>
          <w:hyperlink w:anchor="_Toc44685910" w:history="1">
            <w:r w:rsidR="00C02302" w:rsidRPr="00D94DC6">
              <w:rPr>
                <w:rStyle w:val="Hyperlink"/>
                <w:noProof/>
              </w:rPr>
              <w:t>First round recommendation regarding authorisation</w:t>
            </w:r>
            <w:r w:rsidR="00C02302">
              <w:rPr>
                <w:noProof/>
                <w:webHidden/>
              </w:rPr>
              <w:tab/>
            </w:r>
            <w:r w:rsidR="00C02302">
              <w:rPr>
                <w:noProof/>
                <w:webHidden/>
              </w:rPr>
              <w:fldChar w:fldCharType="begin"/>
            </w:r>
            <w:r w:rsidR="00C02302">
              <w:rPr>
                <w:noProof/>
                <w:webHidden/>
              </w:rPr>
              <w:instrText xml:space="preserve"> PAGEREF _Toc44685910 \h </w:instrText>
            </w:r>
            <w:r w:rsidR="00C02302">
              <w:rPr>
                <w:noProof/>
                <w:webHidden/>
              </w:rPr>
            </w:r>
            <w:r w:rsidR="00C02302">
              <w:rPr>
                <w:noProof/>
                <w:webHidden/>
              </w:rPr>
              <w:fldChar w:fldCharType="separate"/>
            </w:r>
            <w:r w:rsidR="00C02302">
              <w:rPr>
                <w:noProof/>
                <w:webHidden/>
              </w:rPr>
              <w:t>48</w:t>
            </w:r>
            <w:r w:rsidR="00C02302">
              <w:rPr>
                <w:noProof/>
                <w:webHidden/>
              </w:rPr>
              <w:fldChar w:fldCharType="end"/>
            </w:r>
          </w:hyperlink>
        </w:p>
        <w:p w14:paraId="7C5F8151" w14:textId="19BB12F6" w:rsidR="00C02302" w:rsidRDefault="0053037A">
          <w:pPr>
            <w:pStyle w:val="TOC3"/>
            <w:rPr>
              <w:rFonts w:asciiTheme="minorHAnsi" w:eastAsiaTheme="minorEastAsia" w:hAnsiTheme="minorHAnsi" w:cstheme="minorBidi"/>
              <w:noProof/>
              <w:lang w:eastAsia="en-AU"/>
            </w:rPr>
          </w:pPr>
          <w:hyperlink w:anchor="_Toc44685911" w:history="1">
            <w:r w:rsidR="00C02302" w:rsidRPr="00D94DC6">
              <w:rPr>
                <w:rStyle w:val="Hyperlink"/>
                <w:noProof/>
              </w:rPr>
              <w:t>Clinical questions</w:t>
            </w:r>
            <w:r w:rsidR="00C02302">
              <w:rPr>
                <w:noProof/>
                <w:webHidden/>
              </w:rPr>
              <w:tab/>
            </w:r>
            <w:r w:rsidR="00C02302">
              <w:rPr>
                <w:noProof/>
                <w:webHidden/>
              </w:rPr>
              <w:fldChar w:fldCharType="begin"/>
            </w:r>
            <w:r w:rsidR="00C02302">
              <w:rPr>
                <w:noProof/>
                <w:webHidden/>
              </w:rPr>
              <w:instrText xml:space="preserve"> PAGEREF _Toc44685911 \h </w:instrText>
            </w:r>
            <w:r w:rsidR="00C02302">
              <w:rPr>
                <w:noProof/>
                <w:webHidden/>
              </w:rPr>
            </w:r>
            <w:r w:rsidR="00C02302">
              <w:rPr>
                <w:noProof/>
                <w:webHidden/>
              </w:rPr>
              <w:fldChar w:fldCharType="separate"/>
            </w:r>
            <w:r w:rsidR="00C02302">
              <w:rPr>
                <w:noProof/>
                <w:webHidden/>
              </w:rPr>
              <w:t>48</w:t>
            </w:r>
            <w:r w:rsidR="00C02302">
              <w:rPr>
                <w:noProof/>
                <w:webHidden/>
              </w:rPr>
              <w:fldChar w:fldCharType="end"/>
            </w:r>
          </w:hyperlink>
        </w:p>
        <w:p w14:paraId="76F10D4A" w14:textId="0D4CA32A" w:rsidR="00C02302" w:rsidRDefault="0053037A">
          <w:pPr>
            <w:pStyle w:val="TOC3"/>
            <w:rPr>
              <w:rFonts w:asciiTheme="minorHAnsi" w:eastAsiaTheme="minorEastAsia" w:hAnsiTheme="minorHAnsi" w:cstheme="minorBidi"/>
              <w:noProof/>
              <w:lang w:eastAsia="en-AU"/>
            </w:rPr>
          </w:pPr>
          <w:hyperlink w:anchor="_Toc44685912" w:history="1">
            <w:r w:rsidR="00C02302" w:rsidRPr="00D94DC6">
              <w:rPr>
                <w:rStyle w:val="Hyperlink"/>
                <w:noProof/>
              </w:rPr>
              <w:t>Second round evaluation of clinical data submitted in response to questions</w:t>
            </w:r>
            <w:r w:rsidR="00C02302">
              <w:rPr>
                <w:noProof/>
                <w:webHidden/>
              </w:rPr>
              <w:tab/>
            </w:r>
            <w:r w:rsidR="00C02302">
              <w:rPr>
                <w:noProof/>
                <w:webHidden/>
              </w:rPr>
              <w:fldChar w:fldCharType="begin"/>
            </w:r>
            <w:r w:rsidR="00C02302">
              <w:rPr>
                <w:noProof/>
                <w:webHidden/>
              </w:rPr>
              <w:instrText xml:space="preserve"> PAGEREF _Toc44685912 \h </w:instrText>
            </w:r>
            <w:r w:rsidR="00C02302">
              <w:rPr>
                <w:noProof/>
                <w:webHidden/>
              </w:rPr>
            </w:r>
            <w:r w:rsidR="00C02302">
              <w:rPr>
                <w:noProof/>
                <w:webHidden/>
              </w:rPr>
              <w:fldChar w:fldCharType="separate"/>
            </w:r>
            <w:r w:rsidR="00C02302">
              <w:rPr>
                <w:noProof/>
                <w:webHidden/>
              </w:rPr>
              <w:t>48</w:t>
            </w:r>
            <w:r w:rsidR="00C02302">
              <w:rPr>
                <w:noProof/>
                <w:webHidden/>
              </w:rPr>
              <w:fldChar w:fldCharType="end"/>
            </w:r>
          </w:hyperlink>
        </w:p>
        <w:p w14:paraId="1897BC4F" w14:textId="3B4E429B" w:rsidR="00C02302" w:rsidRDefault="0053037A">
          <w:pPr>
            <w:pStyle w:val="TOC3"/>
            <w:rPr>
              <w:rFonts w:asciiTheme="minorHAnsi" w:eastAsiaTheme="minorEastAsia" w:hAnsiTheme="minorHAnsi" w:cstheme="minorBidi"/>
              <w:noProof/>
              <w:lang w:eastAsia="en-AU"/>
            </w:rPr>
          </w:pPr>
          <w:hyperlink w:anchor="_Toc44685913" w:history="1">
            <w:r w:rsidR="00C02302" w:rsidRPr="00D94DC6">
              <w:rPr>
                <w:rStyle w:val="Hyperlink"/>
                <w:noProof/>
              </w:rPr>
              <w:t>Second round benefit-risk assessment</w:t>
            </w:r>
            <w:r w:rsidR="00C02302">
              <w:rPr>
                <w:noProof/>
                <w:webHidden/>
              </w:rPr>
              <w:tab/>
            </w:r>
            <w:r w:rsidR="00C02302">
              <w:rPr>
                <w:noProof/>
                <w:webHidden/>
              </w:rPr>
              <w:fldChar w:fldCharType="begin"/>
            </w:r>
            <w:r w:rsidR="00C02302">
              <w:rPr>
                <w:noProof/>
                <w:webHidden/>
              </w:rPr>
              <w:instrText xml:space="preserve"> PAGEREF _Toc44685913 \h </w:instrText>
            </w:r>
            <w:r w:rsidR="00C02302">
              <w:rPr>
                <w:noProof/>
                <w:webHidden/>
              </w:rPr>
            </w:r>
            <w:r w:rsidR="00C02302">
              <w:rPr>
                <w:noProof/>
                <w:webHidden/>
              </w:rPr>
              <w:fldChar w:fldCharType="separate"/>
            </w:r>
            <w:r w:rsidR="00C02302">
              <w:rPr>
                <w:noProof/>
                <w:webHidden/>
              </w:rPr>
              <w:t>48</w:t>
            </w:r>
            <w:r w:rsidR="00C02302">
              <w:rPr>
                <w:noProof/>
                <w:webHidden/>
              </w:rPr>
              <w:fldChar w:fldCharType="end"/>
            </w:r>
          </w:hyperlink>
        </w:p>
        <w:p w14:paraId="101FCFE2" w14:textId="44BE8236" w:rsidR="00C02302" w:rsidRDefault="0053037A">
          <w:pPr>
            <w:pStyle w:val="TOC2"/>
            <w:rPr>
              <w:rFonts w:asciiTheme="minorHAnsi" w:eastAsiaTheme="minorEastAsia" w:hAnsiTheme="minorHAnsi" w:cstheme="minorBidi"/>
              <w:b w:val="0"/>
              <w:noProof/>
              <w:sz w:val="22"/>
              <w:lang w:eastAsia="en-AU"/>
            </w:rPr>
          </w:pPr>
          <w:hyperlink w:anchor="_Toc44685914" w:history="1">
            <w:r w:rsidR="00C02302" w:rsidRPr="00D94DC6">
              <w:rPr>
                <w:rStyle w:val="Hyperlink"/>
                <w:noProof/>
              </w:rPr>
              <w:t>VI. Pharmacovigilance findings</w:t>
            </w:r>
            <w:r w:rsidR="00C02302">
              <w:rPr>
                <w:noProof/>
                <w:webHidden/>
              </w:rPr>
              <w:tab/>
            </w:r>
            <w:r w:rsidR="00C02302">
              <w:rPr>
                <w:noProof/>
                <w:webHidden/>
              </w:rPr>
              <w:fldChar w:fldCharType="begin"/>
            </w:r>
            <w:r w:rsidR="00C02302">
              <w:rPr>
                <w:noProof/>
                <w:webHidden/>
              </w:rPr>
              <w:instrText xml:space="preserve"> PAGEREF _Toc44685914 \h </w:instrText>
            </w:r>
            <w:r w:rsidR="00C02302">
              <w:rPr>
                <w:noProof/>
                <w:webHidden/>
              </w:rPr>
            </w:r>
            <w:r w:rsidR="00C02302">
              <w:rPr>
                <w:noProof/>
                <w:webHidden/>
              </w:rPr>
              <w:fldChar w:fldCharType="separate"/>
            </w:r>
            <w:r w:rsidR="00C02302">
              <w:rPr>
                <w:noProof/>
                <w:webHidden/>
              </w:rPr>
              <w:t>49</w:t>
            </w:r>
            <w:r w:rsidR="00C02302">
              <w:rPr>
                <w:noProof/>
                <w:webHidden/>
              </w:rPr>
              <w:fldChar w:fldCharType="end"/>
            </w:r>
          </w:hyperlink>
        </w:p>
        <w:p w14:paraId="2F76D8E2" w14:textId="59A5B767" w:rsidR="00C02302" w:rsidRDefault="0053037A">
          <w:pPr>
            <w:pStyle w:val="TOC3"/>
            <w:rPr>
              <w:rFonts w:asciiTheme="minorHAnsi" w:eastAsiaTheme="minorEastAsia" w:hAnsiTheme="minorHAnsi" w:cstheme="minorBidi"/>
              <w:noProof/>
              <w:lang w:eastAsia="en-AU"/>
            </w:rPr>
          </w:pPr>
          <w:hyperlink w:anchor="_Toc44685915" w:history="1">
            <w:r w:rsidR="00C02302" w:rsidRPr="00D94DC6">
              <w:rPr>
                <w:rStyle w:val="Hyperlink"/>
                <w:noProof/>
              </w:rPr>
              <w:t>New and outstanding recommendations – second round</w:t>
            </w:r>
            <w:r w:rsidR="00C02302">
              <w:rPr>
                <w:noProof/>
                <w:webHidden/>
              </w:rPr>
              <w:tab/>
            </w:r>
            <w:r w:rsidR="00C02302">
              <w:rPr>
                <w:noProof/>
                <w:webHidden/>
              </w:rPr>
              <w:fldChar w:fldCharType="begin"/>
            </w:r>
            <w:r w:rsidR="00C02302">
              <w:rPr>
                <w:noProof/>
                <w:webHidden/>
              </w:rPr>
              <w:instrText xml:space="preserve"> PAGEREF _Toc44685915 \h </w:instrText>
            </w:r>
            <w:r w:rsidR="00C02302">
              <w:rPr>
                <w:noProof/>
                <w:webHidden/>
              </w:rPr>
            </w:r>
            <w:r w:rsidR="00C02302">
              <w:rPr>
                <w:noProof/>
                <w:webHidden/>
              </w:rPr>
              <w:fldChar w:fldCharType="separate"/>
            </w:r>
            <w:r w:rsidR="00C02302">
              <w:rPr>
                <w:noProof/>
                <w:webHidden/>
              </w:rPr>
              <w:t>51</w:t>
            </w:r>
            <w:r w:rsidR="00C02302">
              <w:rPr>
                <w:noProof/>
                <w:webHidden/>
              </w:rPr>
              <w:fldChar w:fldCharType="end"/>
            </w:r>
          </w:hyperlink>
        </w:p>
        <w:p w14:paraId="7D6B3063" w14:textId="02E09548" w:rsidR="00C02302" w:rsidRDefault="0053037A">
          <w:pPr>
            <w:pStyle w:val="TOC3"/>
            <w:rPr>
              <w:rFonts w:asciiTheme="minorHAnsi" w:eastAsiaTheme="minorEastAsia" w:hAnsiTheme="minorHAnsi" w:cstheme="minorBidi"/>
              <w:noProof/>
              <w:lang w:eastAsia="en-AU"/>
            </w:rPr>
          </w:pPr>
          <w:hyperlink w:anchor="_Toc44685916" w:history="1">
            <w:r w:rsidR="00C02302" w:rsidRPr="00D94DC6">
              <w:rPr>
                <w:rStyle w:val="Hyperlink"/>
                <w:noProof/>
              </w:rPr>
              <w:t>Wording for conditions of registration</w:t>
            </w:r>
            <w:r w:rsidR="00C02302">
              <w:rPr>
                <w:noProof/>
                <w:webHidden/>
              </w:rPr>
              <w:tab/>
            </w:r>
            <w:r w:rsidR="00C02302">
              <w:rPr>
                <w:noProof/>
                <w:webHidden/>
              </w:rPr>
              <w:fldChar w:fldCharType="begin"/>
            </w:r>
            <w:r w:rsidR="00C02302">
              <w:rPr>
                <w:noProof/>
                <w:webHidden/>
              </w:rPr>
              <w:instrText xml:space="preserve"> PAGEREF _Toc44685916 \h </w:instrText>
            </w:r>
            <w:r w:rsidR="00C02302">
              <w:rPr>
                <w:noProof/>
                <w:webHidden/>
              </w:rPr>
            </w:r>
            <w:r w:rsidR="00C02302">
              <w:rPr>
                <w:noProof/>
                <w:webHidden/>
              </w:rPr>
              <w:fldChar w:fldCharType="separate"/>
            </w:r>
            <w:r w:rsidR="00C02302">
              <w:rPr>
                <w:noProof/>
                <w:webHidden/>
              </w:rPr>
              <w:t>51</w:t>
            </w:r>
            <w:r w:rsidR="00C02302">
              <w:rPr>
                <w:noProof/>
                <w:webHidden/>
              </w:rPr>
              <w:fldChar w:fldCharType="end"/>
            </w:r>
          </w:hyperlink>
        </w:p>
        <w:p w14:paraId="142C4173" w14:textId="24A9FBA3" w:rsidR="00C02302" w:rsidRDefault="0053037A">
          <w:pPr>
            <w:pStyle w:val="TOC2"/>
            <w:rPr>
              <w:rFonts w:asciiTheme="minorHAnsi" w:eastAsiaTheme="minorEastAsia" w:hAnsiTheme="minorHAnsi" w:cstheme="minorBidi"/>
              <w:b w:val="0"/>
              <w:noProof/>
              <w:sz w:val="22"/>
              <w:lang w:eastAsia="en-AU"/>
            </w:rPr>
          </w:pPr>
          <w:hyperlink w:anchor="_Toc44685917" w:history="1">
            <w:r w:rsidR="00C02302" w:rsidRPr="00D94DC6">
              <w:rPr>
                <w:rStyle w:val="Hyperlink"/>
                <w:noProof/>
              </w:rPr>
              <w:t>VII. Overall conclusion and risk/benefit assessment</w:t>
            </w:r>
            <w:r w:rsidR="00C02302">
              <w:rPr>
                <w:noProof/>
                <w:webHidden/>
              </w:rPr>
              <w:tab/>
            </w:r>
            <w:r w:rsidR="00C02302">
              <w:rPr>
                <w:noProof/>
                <w:webHidden/>
              </w:rPr>
              <w:fldChar w:fldCharType="begin"/>
            </w:r>
            <w:r w:rsidR="00C02302">
              <w:rPr>
                <w:noProof/>
                <w:webHidden/>
              </w:rPr>
              <w:instrText xml:space="preserve"> PAGEREF _Toc44685917 \h </w:instrText>
            </w:r>
            <w:r w:rsidR="00C02302">
              <w:rPr>
                <w:noProof/>
                <w:webHidden/>
              </w:rPr>
            </w:r>
            <w:r w:rsidR="00C02302">
              <w:rPr>
                <w:noProof/>
                <w:webHidden/>
              </w:rPr>
              <w:fldChar w:fldCharType="separate"/>
            </w:r>
            <w:r w:rsidR="00C02302">
              <w:rPr>
                <w:noProof/>
                <w:webHidden/>
              </w:rPr>
              <w:t>52</w:t>
            </w:r>
            <w:r w:rsidR="00C02302">
              <w:rPr>
                <w:noProof/>
                <w:webHidden/>
              </w:rPr>
              <w:fldChar w:fldCharType="end"/>
            </w:r>
          </w:hyperlink>
        </w:p>
        <w:p w14:paraId="00D79972" w14:textId="3714AB32" w:rsidR="00C02302" w:rsidRDefault="0053037A">
          <w:pPr>
            <w:pStyle w:val="TOC3"/>
            <w:rPr>
              <w:rFonts w:asciiTheme="minorHAnsi" w:eastAsiaTheme="minorEastAsia" w:hAnsiTheme="minorHAnsi" w:cstheme="minorBidi"/>
              <w:noProof/>
              <w:lang w:eastAsia="en-AU"/>
            </w:rPr>
          </w:pPr>
          <w:hyperlink w:anchor="_Toc44685918" w:history="1">
            <w:r w:rsidR="00C02302" w:rsidRPr="00D94DC6">
              <w:rPr>
                <w:rStyle w:val="Hyperlink"/>
                <w:noProof/>
              </w:rPr>
              <w:t>Overview</w:t>
            </w:r>
            <w:r w:rsidR="00C02302">
              <w:rPr>
                <w:noProof/>
                <w:webHidden/>
              </w:rPr>
              <w:tab/>
            </w:r>
            <w:r w:rsidR="00C02302">
              <w:rPr>
                <w:noProof/>
                <w:webHidden/>
              </w:rPr>
              <w:fldChar w:fldCharType="begin"/>
            </w:r>
            <w:r w:rsidR="00C02302">
              <w:rPr>
                <w:noProof/>
                <w:webHidden/>
              </w:rPr>
              <w:instrText xml:space="preserve"> PAGEREF _Toc44685918 \h </w:instrText>
            </w:r>
            <w:r w:rsidR="00C02302">
              <w:rPr>
                <w:noProof/>
                <w:webHidden/>
              </w:rPr>
            </w:r>
            <w:r w:rsidR="00C02302">
              <w:rPr>
                <w:noProof/>
                <w:webHidden/>
              </w:rPr>
              <w:fldChar w:fldCharType="separate"/>
            </w:r>
            <w:r w:rsidR="00C02302">
              <w:rPr>
                <w:noProof/>
                <w:webHidden/>
              </w:rPr>
              <w:t>52</w:t>
            </w:r>
            <w:r w:rsidR="00C02302">
              <w:rPr>
                <w:noProof/>
                <w:webHidden/>
              </w:rPr>
              <w:fldChar w:fldCharType="end"/>
            </w:r>
          </w:hyperlink>
        </w:p>
        <w:p w14:paraId="6A265486" w14:textId="4D8C4773" w:rsidR="00C02302" w:rsidRDefault="0053037A">
          <w:pPr>
            <w:pStyle w:val="TOC3"/>
            <w:rPr>
              <w:rFonts w:asciiTheme="minorHAnsi" w:eastAsiaTheme="minorEastAsia" w:hAnsiTheme="minorHAnsi" w:cstheme="minorBidi"/>
              <w:noProof/>
              <w:lang w:eastAsia="en-AU"/>
            </w:rPr>
          </w:pPr>
          <w:hyperlink w:anchor="_Toc44685919" w:history="1">
            <w:r w:rsidR="00C02302" w:rsidRPr="00D94DC6">
              <w:rPr>
                <w:rStyle w:val="Hyperlink"/>
                <w:noProof/>
              </w:rPr>
              <w:t>Quality</w:t>
            </w:r>
            <w:r w:rsidR="00C02302">
              <w:rPr>
                <w:noProof/>
                <w:webHidden/>
              </w:rPr>
              <w:tab/>
            </w:r>
            <w:r w:rsidR="00C02302">
              <w:rPr>
                <w:noProof/>
                <w:webHidden/>
              </w:rPr>
              <w:fldChar w:fldCharType="begin"/>
            </w:r>
            <w:r w:rsidR="00C02302">
              <w:rPr>
                <w:noProof/>
                <w:webHidden/>
              </w:rPr>
              <w:instrText xml:space="preserve"> PAGEREF _Toc44685919 \h </w:instrText>
            </w:r>
            <w:r w:rsidR="00C02302">
              <w:rPr>
                <w:noProof/>
                <w:webHidden/>
              </w:rPr>
            </w:r>
            <w:r w:rsidR="00C02302">
              <w:rPr>
                <w:noProof/>
                <w:webHidden/>
              </w:rPr>
              <w:fldChar w:fldCharType="separate"/>
            </w:r>
            <w:r w:rsidR="00C02302">
              <w:rPr>
                <w:noProof/>
                <w:webHidden/>
              </w:rPr>
              <w:t>55</w:t>
            </w:r>
            <w:r w:rsidR="00C02302">
              <w:rPr>
                <w:noProof/>
                <w:webHidden/>
              </w:rPr>
              <w:fldChar w:fldCharType="end"/>
            </w:r>
          </w:hyperlink>
        </w:p>
        <w:p w14:paraId="5B8575AA" w14:textId="749156DE" w:rsidR="00C02302" w:rsidRDefault="0053037A">
          <w:pPr>
            <w:pStyle w:val="TOC3"/>
            <w:rPr>
              <w:rFonts w:asciiTheme="minorHAnsi" w:eastAsiaTheme="minorEastAsia" w:hAnsiTheme="minorHAnsi" w:cstheme="minorBidi"/>
              <w:noProof/>
              <w:lang w:eastAsia="en-AU"/>
            </w:rPr>
          </w:pPr>
          <w:hyperlink w:anchor="_Toc44685920" w:history="1">
            <w:r w:rsidR="00C02302" w:rsidRPr="00D94DC6">
              <w:rPr>
                <w:rStyle w:val="Hyperlink"/>
                <w:noProof/>
              </w:rPr>
              <w:t>Nonclinical</w:t>
            </w:r>
            <w:r w:rsidR="00C02302">
              <w:rPr>
                <w:noProof/>
                <w:webHidden/>
              </w:rPr>
              <w:tab/>
            </w:r>
            <w:r w:rsidR="00C02302">
              <w:rPr>
                <w:noProof/>
                <w:webHidden/>
              </w:rPr>
              <w:fldChar w:fldCharType="begin"/>
            </w:r>
            <w:r w:rsidR="00C02302">
              <w:rPr>
                <w:noProof/>
                <w:webHidden/>
              </w:rPr>
              <w:instrText xml:space="preserve"> PAGEREF _Toc44685920 \h </w:instrText>
            </w:r>
            <w:r w:rsidR="00C02302">
              <w:rPr>
                <w:noProof/>
                <w:webHidden/>
              </w:rPr>
            </w:r>
            <w:r w:rsidR="00C02302">
              <w:rPr>
                <w:noProof/>
                <w:webHidden/>
              </w:rPr>
              <w:fldChar w:fldCharType="separate"/>
            </w:r>
            <w:r w:rsidR="00C02302">
              <w:rPr>
                <w:noProof/>
                <w:webHidden/>
              </w:rPr>
              <w:t>55</w:t>
            </w:r>
            <w:r w:rsidR="00C02302">
              <w:rPr>
                <w:noProof/>
                <w:webHidden/>
              </w:rPr>
              <w:fldChar w:fldCharType="end"/>
            </w:r>
          </w:hyperlink>
        </w:p>
        <w:p w14:paraId="29FFF006" w14:textId="10592AD3" w:rsidR="00C02302" w:rsidRDefault="0053037A">
          <w:pPr>
            <w:pStyle w:val="TOC3"/>
            <w:rPr>
              <w:rFonts w:asciiTheme="minorHAnsi" w:eastAsiaTheme="minorEastAsia" w:hAnsiTheme="minorHAnsi" w:cstheme="minorBidi"/>
              <w:noProof/>
              <w:lang w:eastAsia="en-AU"/>
            </w:rPr>
          </w:pPr>
          <w:hyperlink w:anchor="_Toc44685921" w:history="1">
            <w:r w:rsidR="00C02302" w:rsidRPr="00D94DC6">
              <w:rPr>
                <w:rStyle w:val="Hyperlink"/>
                <w:noProof/>
              </w:rPr>
              <w:t>Clinical</w:t>
            </w:r>
            <w:r w:rsidR="00C02302">
              <w:rPr>
                <w:noProof/>
                <w:webHidden/>
              </w:rPr>
              <w:tab/>
            </w:r>
            <w:r w:rsidR="00C02302">
              <w:rPr>
                <w:noProof/>
                <w:webHidden/>
              </w:rPr>
              <w:fldChar w:fldCharType="begin"/>
            </w:r>
            <w:r w:rsidR="00C02302">
              <w:rPr>
                <w:noProof/>
                <w:webHidden/>
              </w:rPr>
              <w:instrText xml:space="preserve"> PAGEREF _Toc44685921 \h </w:instrText>
            </w:r>
            <w:r w:rsidR="00C02302">
              <w:rPr>
                <w:noProof/>
                <w:webHidden/>
              </w:rPr>
            </w:r>
            <w:r w:rsidR="00C02302">
              <w:rPr>
                <w:noProof/>
                <w:webHidden/>
              </w:rPr>
              <w:fldChar w:fldCharType="separate"/>
            </w:r>
            <w:r w:rsidR="00C02302">
              <w:rPr>
                <w:noProof/>
                <w:webHidden/>
              </w:rPr>
              <w:t>55</w:t>
            </w:r>
            <w:r w:rsidR="00C02302">
              <w:rPr>
                <w:noProof/>
                <w:webHidden/>
              </w:rPr>
              <w:fldChar w:fldCharType="end"/>
            </w:r>
          </w:hyperlink>
        </w:p>
        <w:p w14:paraId="5AA7D3EB" w14:textId="667798D4" w:rsidR="00C02302" w:rsidRDefault="0053037A">
          <w:pPr>
            <w:pStyle w:val="TOC3"/>
            <w:rPr>
              <w:rFonts w:asciiTheme="minorHAnsi" w:eastAsiaTheme="minorEastAsia" w:hAnsiTheme="minorHAnsi" w:cstheme="minorBidi"/>
              <w:noProof/>
              <w:lang w:eastAsia="en-AU"/>
            </w:rPr>
          </w:pPr>
          <w:hyperlink w:anchor="_Toc44685922" w:history="1">
            <w:r w:rsidR="00C02302" w:rsidRPr="00D94DC6">
              <w:rPr>
                <w:rStyle w:val="Hyperlink"/>
                <w:noProof/>
              </w:rPr>
              <w:t>Risk Management Plan evaluation</w:t>
            </w:r>
            <w:r w:rsidR="00C02302">
              <w:rPr>
                <w:noProof/>
                <w:webHidden/>
              </w:rPr>
              <w:tab/>
            </w:r>
            <w:r w:rsidR="00C02302">
              <w:rPr>
                <w:noProof/>
                <w:webHidden/>
              </w:rPr>
              <w:fldChar w:fldCharType="begin"/>
            </w:r>
            <w:r w:rsidR="00C02302">
              <w:rPr>
                <w:noProof/>
                <w:webHidden/>
              </w:rPr>
              <w:instrText xml:space="preserve"> PAGEREF _Toc44685922 \h </w:instrText>
            </w:r>
            <w:r w:rsidR="00C02302">
              <w:rPr>
                <w:noProof/>
                <w:webHidden/>
              </w:rPr>
            </w:r>
            <w:r w:rsidR="00C02302">
              <w:rPr>
                <w:noProof/>
                <w:webHidden/>
              </w:rPr>
              <w:fldChar w:fldCharType="separate"/>
            </w:r>
            <w:r w:rsidR="00C02302">
              <w:rPr>
                <w:noProof/>
                <w:webHidden/>
              </w:rPr>
              <w:t>69</w:t>
            </w:r>
            <w:r w:rsidR="00C02302">
              <w:rPr>
                <w:noProof/>
                <w:webHidden/>
              </w:rPr>
              <w:fldChar w:fldCharType="end"/>
            </w:r>
          </w:hyperlink>
        </w:p>
        <w:p w14:paraId="7379D1FC" w14:textId="08A7B194" w:rsidR="00C02302" w:rsidRDefault="0053037A">
          <w:pPr>
            <w:pStyle w:val="TOC3"/>
            <w:rPr>
              <w:rFonts w:asciiTheme="minorHAnsi" w:eastAsiaTheme="minorEastAsia" w:hAnsiTheme="minorHAnsi" w:cstheme="minorBidi"/>
              <w:noProof/>
              <w:lang w:eastAsia="en-AU"/>
            </w:rPr>
          </w:pPr>
          <w:hyperlink w:anchor="_Toc44685923" w:history="1">
            <w:r w:rsidR="00C02302" w:rsidRPr="00D94DC6">
              <w:rPr>
                <w:rStyle w:val="Hyperlink"/>
                <w:noProof/>
              </w:rPr>
              <w:t>Risk-benefit analysis</w:t>
            </w:r>
            <w:r w:rsidR="00C02302">
              <w:rPr>
                <w:noProof/>
                <w:webHidden/>
              </w:rPr>
              <w:tab/>
            </w:r>
            <w:r w:rsidR="00C02302">
              <w:rPr>
                <w:noProof/>
                <w:webHidden/>
              </w:rPr>
              <w:fldChar w:fldCharType="begin"/>
            </w:r>
            <w:r w:rsidR="00C02302">
              <w:rPr>
                <w:noProof/>
                <w:webHidden/>
              </w:rPr>
              <w:instrText xml:space="preserve"> PAGEREF _Toc44685923 \h </w:instrText>
            </w:r>
            <w:r w:rsidR="00C02302">
              <w:rPr>
                <w:noProof/>
                <w:webHidden/>
              </w:rPr>
            </w:r>
            <w:r w:rsidR="00C02302">
              <w:rPr>
                <w:noProof/>
                <w:webHidden/>
              </w:rPr>
              <w:fldChar w:fldCharType="separate"/>
            </w:r>
            <w:r w:rsidR="00C02302">
              <w:rPr>
                <w:noProof/>
                <w:webHidden/>
              </w:rPr>
              <w:t>70</w:t>
            </w:r>
            <w:r w:rsidR="00C02302">
              <w:rPr>
                <w:noProof/>
                <w:webHidden/>
              </w:rPr>
              <w:fldChar w:fldCharType="end"/>
            </w:r>
          </w:hyperlink>
        </w:p>
        <w:p w14:paraId="237994CE" w14:textId="386722B5" w:rsidR="00C02302" w:rsidRDefault="0053037A">
          <w:pPr>
            <w:pStyle w:val="TOC3"/>
            <w:rPr>
              <w:rFonts w:asciiTheme="minorHAnsi" w:eastAsiaTheme="minorEastAsia" w:hAnsiTheme="minorHAnsi" w:cstheme="minorBidi"/>
              <w:noProof/>
              <w:lang w:eastAsia="en-AU"/>
            </w:rPr>
          </w:pPr>
          <w:hyperlink w:anchor="_Toc44685924" w:history="1">
            <w:r w:rsidR="00C02302" w:rsidRPr="00D94DC6">
              <w:rPr>
                <w:rStyle w:val="Hyperlink"/>
                <w:noProof/>
              </w:rPr>
              <w:t>Outcome</w:t>
            </w:r>
            <w:r w:rsidR="00C02302">
              <w:rPr>
                <w:noProof/>
                <w:webHidden/>
              </w:rPr>
              <w:tab/>
            </w:r>
            <w:r w:rsidR="00C02302">
              <w:rPr>
                <w:noProof/>
                <w:webHidden/>
              </w:rPr>
              <w:fldChar w:fldCharType="begin"/>
            </w:r>
            <w:r w:rsidR="00C02302">
              <w:rPr>
                <w:noProof/>
                <w:webHidden/>
              </w:rPr>
              <w:instrText xml:space="preserve"> PAGEREF _Toc44685924 \h </w:instrText>
            </w:r>
            <w:r w:rsidR="00C02302">
              <w:rPr>
                <w:noProof/>
                <w:webHidden/>
              </w:rPr>
            </w:r>
            <w:r w:rsidR="00C02302">
              <w:rPr>
                <w:noProof/>
                <w:webHidden/>
              </w:rPr>
              <w:fldChar w:fldCharType="separate"/>
            </w:r>
            <w:r w:rsidR="00C02302">
              <w:rPr>
                <w:noProof/>
                <w:webHidden/>
              </w:rPr>
              <w:t>77</w:t>
            </w:r>
            <w:r w:rsidR="00C02302">
              <w:rPr>
                <w:noProof/>
                <w:webHidden/>
              </w:rPr>
              <w:fldChar w:fldCharType="end"/>
            </w:r>
          </w:hyperlink>
        </w:p>
        <w:p w14:paraId="0A4E57D0" w14:textId="07E23C65" w:rsidR="00C02302" w:rsidRDefault="0053037A">
          <w:pPr>
            <w:pStyle w:val="TOC2"/>
            <w:rPr>
              <w:rFonts w:asciiTheme="minorHAnsi" w:eastAsiaTheme="minorEastAsia" w:hAnsiTheme="minorHAnsi" w:cstheme="minorBidi"/>
              <w:b w:val="0"/>
              <w:noProof/>
              <w:sz w:val="22"/>
              <w:lang w:eastAsia="en-AU"/>
            </w:rPr>
          </w:pPr>
          <w:hyperlink w:anchor="_Toc44685925" w:history="1">
            <w:r w:rsidR="00C02302" w:rsidRPr="00D94DC6">
              <w:rPr>
                <w:rStyle w:val="Hyperlink"/>
                <w:noProof/>
              </w:rPr>
              <w:t>Attachment 1. Product Information</w:t>
            </w:r>
            <w:r w:rsidR="00C02302">
              <w:rPr>
                <w:noProof/>
                <w:webHidden/>
              </w:rPr>
              <w:tab/>
            </w:r>
            <w:r w:rsidR="00C02302">
              <w:rPr>
                <w:noProof/>
                <w:webHidden/>
              </w:rPr>
              <w:fldChar w:fldCharType="begin"/>
            </w:r>
            <w:r w:rsidR="00C02302">
              <w:rPr>
                <w:noProof/>
                <w:webHidden/>
              </w:rPr>
              <w:instrText xml:space="preserve"> PAGEREF _Toc44685925 \h </w:instrText>
            </w:r>
            <w:r w:rsidR="00C02302">
              <w:rPr>
                <w:noProof/>
                <w:webHidden/>
              </w:rPr>
            </w:r>
            <w:r w:rsidR="00C02302">
              <w:rPr>
                <w:noProof/>
                <w:webHidden/>
              </w:rPr>
              <w:fldChar w:fldCharType="separate"/>
            </w:r>
            <w:r w:rsidR="00C02302">
              <w:rPr>
                <w:noProof/>
                <w:webHidden/>
              </w:rPr>
              <w:t>78</w:t>
            </w:r>
            <w:r w:rsidR="00C02302">
              <w:rPr>
                <w:noProof/>
                <w:webHidden/>
              </w:rPr>
              <w:fldChar w:fldCharType="end"/>
            </w:r>
          </w:hyperlink>
        </w:p>
        <w:p w14:paraId="7C87EAE7" w14:textId="4956ACD0" w:rsidR="003A7F6C" w:rsidRPr="00B8122D" w:rsidRDefault="00DB6124" w:rsidP="00B811C6">
          <w:pPr>
            <w:pStyle w:val="TOC2"/>
          </w:pPr>
          <w:r w:rsidRPr="00B8122D">
            <w:fldChar w:fldCharType="end"/>
          </w:r>
        </w:p>
      </w:sdtContent>
    </w:sdt>
    <w:bookmarkStart w:id="2" w:name="_Toc314842482" w:displacedByCustomXml="prev"/>
    <w:p w14:paraId="41C35194" w14:textId="3428EF85" w:rsidR="00FD119B" w:rsidRPr="00B8122D" w:rsidRDefault="00441C3F" w:rsidP="00626FDE">
      <w:pPr>
        <w:pStyle w:val="Heading2"/>
        <w:pageBreakBefore/>
        <w:spacing w:before="0"/>
      </w:pPr>
      <w:bookmarkStart w:id="3" w:name="_Toc351716269"/>
      <w:bookmarkStart w:id="4" w:name="_Toc351718881"/>
      <w:bookmarkStart w:id="5" w:name="_Toc355338616"/>
      <w:bookmarkStart w:id="6" w:name="_Toc356306144"/>
      <w:bookmarkStart w:id="7" w:name="_Toc44685884"/>
      <w:r w:rsidRPr="00B8122D">
        <w:lastRenderedPageBreak/>
        <w:t>Common</w:t>
      </w:r>
      <w:r w:rsidR="00FD119B" w:rsidRPr="00B8122D">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A5777A" w:rsidRPr="00B8122D" w14:paraId="6781AB05" w14:textId="77777777" w:rsidTr="005B3ECF">
        <w:trPr>
          <w:cnfStyle w:val="100000000000" w:firstRow="1" w:lastRow="0" w:firstColumn="0" w:lastColumn="0" w:oddVBand="0" w:evenVBand="0" w:oddHBand="0" w:evenHBand="0" w:firstRowFirstColumn="0" w:firstRowLastColumn="0" w:lastRowFirstColumn="0" w:lastRowLastColumn="0"/>
        </w:trPr>
        <w:tc>
          <w:tcPr>
            <w:tcW w:w="1890" w:type="dxa"/>
          </w:tcPr>
          <w:p w14:paraId="37332632" w14:textId="77777777" w:rsidR="00A5777A" w:rsidRPr="00B8122D" w:rsidRDefault="00A5777A" w:rsidP="00FD119B">
            <w:r w:rsidRPr="00B8122D">
              <w:t>Abbreviation</w:t>
            </w:r>
          </w:p>
        </w:tc>
        <w:tc>
          <w:tcPr>
            <w:tcW w:w="6830" w:type="dxa"/>
          </w:tcPr>
          <w:p w14:paraId="404D1093" w14:textId="77777777" w:rsidR="00A5777A" w:rsidRPr="00B8122D" w:rsidRDefault="00A5777A" w:rsidP="00FD119B">
            <w:r w:rsidRPr="00B8122D">
              <w:t>Meaning</w:t>
            </w:r>
          </w:p>
        </w:tc>
      </w:tr>
      <w:tr w:rsidR="00A5777A" w:rsidRPr="00B8122D" w14:paraId="187D0C1A" w14:textId="77777777" w:rsidTr="005B3ECF">
        <w:tc>
          <w:tcPr>
            <w:tcW w:w="1890" w:type="dxa"/>
          </w:tcPr>
          <w:p w14:paraId="035FDDF4" w14:textId="77777777" w:rsidR="00A5777A" w:rsidRDefault="00A5777A" w:rsidP="00FD119B">
            <w:r w:rsidRPr="00B8122D">
              <w:t>5HT</w:t>
            </w:r>
            <w:r w:rsidRPr="00B8122D">
              <w:rPr>
                <w:vertAlign w:val="subscript"/>
              </w:rPr>
              <w:t>3</w:t>
            </w:r>
          </w:p>
        </w:tc>
        <w:tc>
          <w:tcPr>
            <w:tcW w:w="6830" w:type="dxa"/>
          </w:tcPr>
          <w:p w14:paraId="0FD2791D" w14:textId="77777777" w:rsidR="00A5777A" w:rsidRDefault="00A5777A" w:rsidP="008E5793">
            <w:r w:rsidRPr="008E5793">
              <w:t>5-hydroxytryptamine</w:t>
            </w:r>
            <w:r>
              <w:t xml:space="preserve"> (s</w:t>
            </w:r>
            <w:r w:rsidRPr="00B8122D">
              <w:t>erotonin</w:t>
            </w:r>
            <w:r>
              <w:t>)</w:t>
            </w:r>
            <w:r w:rsidRPr="00B8122D">
              <w:t xml:space="preserve"> 3 receptor subtype</w:t>
            </w:r>
          </w:p>
        </w:tc>
      </w:tr>
      <w:tr w:rsidR="00A5777A" w:rsidRPr="00B8122D" w14:paraId="5AFFF6AB" w14:textId="77777777" w:rsidTr="005B3ECF">
        <w:tc>
          <w:tcPr>
            <w:tcW w:w="1890" w:type="dxa"/>
          </w:tcPr>
          <w:p w14:paraId="10460EA0" w14:textId="77777777" w:rsidR="00A5777A" w:rsidRPr="00B8122D" w:rsidRDefault="00A5777A" w:rsidP="00FD119B">
            <w:r>
              <w:t>ABCB1</w:t>
            </w:r>
          </w:p>
        </w:tc>
        <w:tc>
          <w:tcPr>
            <w:tcW w:w="6830" w:type="dxa"/>
          </w:tcPr>
          <w:p w14:paraId="6AABC70C" w14:textId="77777777" w:rsidR="00A5777A" w:rsidRDefault="00A5777A" w:rsidP="00FD119B">
            <w:r>
              <w:t>ATP binding cassette subfamily B member 1</w:t>
            </w:r>
          </w:p>
        </w:tc>
      </w:tr>
      <w:tr w:rsidR="00A5777A" w:rsidRPr="00B8122D" w14:paraId="3368A866" w14:textId="77777777" w:rsidTr="005B3ECF">
        <w:tc>
          <w:tcPr>
            <w:tcW w:w="1890" w:type="dxa"/>
          </w:tcPr>
          <w:p w14:paraId="28A6D9C3" w14:textId="77777777" w:rsidR="00A5777A" w:rsidRDefault="00A5777A" w:rsidP="00FD119B">
            <w:r>
              <w:t>ACM</w:t>
            </w:r>
          </w:p>
        </w:tc>
        <w:tc>
          <w:tcPr>
            <w:tcW w:w="6830" w:type="dxa"/>
          </w:tcPr>
          <w:p w14:paraId="23FCC6F0" w14:textId="77777777" w:rsidR="00A5777A" w:rsidRDefault="00A5777A" w:rsidP="00FD119B">
            <w:r>
              <w:t>Advisory Committee on Medicines</w:t>
            </w:r>
          </w:p>
        </w:tc>
      </w:tr>
      <w:tr w:rsidR="00CE15C1" w:rsidRPr="00B8122D" w14:paraId="5C322C56" w14:textId="77777777" w:rsidTr="005B3ECF">
        <w:tc>
          <w:tcPr>
            <w:tcW w:w="1890" w:type="dxa"/>
          </w:tcPr>
          <w:p w14:paraId="04581340" w14:textId="0BDBD3D6" w:rsidR="00CE15C1" w:rsidRDefault="00CE15C1" w:rsidP="00FD119B">
            <w:r>
              <w:t>ADR</w:t>
            </w:r>
          </w:p>
        </w:tc>
        <w:tc>
          <w:tcPr>
            <w:tcW w:w="6830" w:type="dxa"/>
          </w:tcPr>
          <w:p w14:paraId="41E7298F" w14:textId="0B5A5E23" w:rsidR="00CE15C1" w:rsidRDefault="00CE15C1" w:rsidP="00FD119B">
            <w:r>
              <w:t>Adverse drug reaction</w:t>
            </w:r>
          </w:p>
        </w:tc>
      </w:tr>
      <w:tr w:rsidR="00A5777A" w:rsidRPr="00B8122D" w14:paraId="0F34D181" w14:textId="77777777" w:rsidTr="005B3ECF">
        <w:tc>
          <w:tcPr>
            <w:tcW w:w="1890" w:type="dxa"/>
          </w:tcPr>
          <w:p w14:paraId="51112845" w14:textId="77777777" w:rsidR="00A5777A" w:rsidRDefault="00A5777A" w:rsidP="00FD119B">
            <w:r>
              <w:t>AE</w:t>
            </w:r>
          </w:p>
        </w:tc>
        <w:tc>
          <w:tcPr>
            <w:tcW w:w="6830" w:type="dxa"/>
          </w:tcPr>
          <w:p w14:paraId="1A42C964" w14:textId="77777777" w:rsidR="00A5777A" w:rsidRDefault="00A5777A" w:rsidP="00FD119B">
            <w:r>
              <w:t>Adverse event</w:t>
            </w:r>
          </w:p>
        </w:tc>
      </w:tr>
      <w:tr w:rsidR="00A5777A" w:rsidRPr="00B8122D" w14:paraId="6C6BB148" w14:textId="77777777" w:rsidTr="005B3ECF">
        <w:tc>
          <w:tcPr>
            <w:tcW w:w="1890" w:type="dxa"/>
          </w:tcPr>
          <w:p w14:paraId="785602F9" w14:textId="77777777" w:rsidR="00A5777A" w:rsidRDefault="00A5777A" w:rsidP="00FD119B">
            <w:r>
              <w:t>AI</w:t>
            </w:r>
          </w:p>
        </w:tc>
        <w:tc>
          <w:tcPr>
            <w:tcW w:w="6830" w:type="dxa"/>
          </w:tcPr>
          <w:p w14:paraId="16BD04BE" w14:textId="77777777" w:rsidR="00A5777A" w:rsidRDefault="00A5777A" w:rsidP="00FD119B">
            <w:r>
              <w:t>Aromatase inhibitor</w:t>
            </w:r>
          </w:p>
        </w:tc>
      </w:tr>
      <w:tr w:rsidR="00FC0F0A" w:rsidRPr="00B8122D" w14:paraId="7E836A89" w14:textId="77777777" w:rsidTr="005B3ECF">
        <w:tc>
          <w:tcPr>
            <w:tcW w:w="1890" w:type="dxa"/>
          </w:tcPr>
          <w:p w14:paraId="02673E24" w14:textId="129B1058" w:rsidR="00FC0F0A" w:rsidRDefault="00FC0F0A" w:rsidP="00FD119B">
            <w:r>
              <w:t>AIHW</w:t>
            </w:r>
          </w:p>
        </w:tc>
        <w:tc>
          <w:tcPr>
            <w:tcW w:w="6830" w:type="dxa"/>
          </w:tcPr>
          <w:p w14:paraId="4DC7A14A" w14:textId="61CEBC22" w:rsidR="00FC0F0A" w:rsidRDefault="00FC0F0A" w:rsidP="00FD119B">
            <w:r w:rsidRPr="00D8432A">
              <w:t>Australian Institute of Health and Welfare</w:t>
            </w:r>
          </w:p>
        </w:tc>
      </w:tr>
      <w:tr w:rsidR="00A5777A" w:rsidRPr="00B8122D" w14:paraId="35F74B56" w14:textId="77777777" w:rsidTr="005B3ECF">
        <w:tc>
          <w:tcPr>
            <w:tcW w:w="1890" w:type="dxa"/>
          </w:tcPr>
          <w:p w14:paraId="7A7D0333" w14:textId="77777777" w:rsidR="00A5777A" w:rsidRDefault="00A5777A" w:rsidP="00FD119B">
            <w:r>
              <w:t>ALP</w:t>
            </w:r>
          </w:p>
        </w:tc>
        <w:tc>
          <w:tcPr>
            <w:tcW w:w="6830" w:type="dxa"/>
          </w:tcPr>
          <w:p w14:paraId="28F0B909" w14:textId="77777777" w:rsidR="00A5777A" w:rsidRDefault="00A5777A" w:rsidP="00FD119B">
            <w:r>
              <w:t>Alkaline phosphatase</w:t>
            </w:r>
          </w:p>
        </w:tc>
      </w:tr>
      <w:tr w:rsidR="00A5777A" w:rsidRPr="00B8122D" w14:paraId="59F3D65C" w14:textId="77777777" w:rsidTr="005B3ECF">
        <w:tc>
          <w:tcPr>
            <w:tcW w:w="1890" w:type="dxa"/>
          </w:tcPr>
          <w:p w14:paraId="6B11FD81" w14:textId="77777777" w:rsidR="00A5777A" w:rsidRDefault="00A5777A" w:rsidP="00FD119B">
            <w:r>
              <w:t>ALT</w:t>
            </w:r>
          </w:p>
        </w:tc>
        <w:tc>
          <w:tcPr>
            <w:tcW w:w="6830" w:type="dxa"/>
          </w:tcPr>
          <w:p w14:paraId="2C3720D8" w14:textId="77777777" w:rsidR="00A5777A" w:rsidRDefault="00A5777A" w:rsidP="00FD119B">
            <w:r>
              <w:t>Alanine transaminase</w:t>
            </w:r>
          </w:p>
        </w:tc>
      </w:tr>
      <w:tr w:rsidR="00A5777A" w:rsidRPr="00B8122D" w14:paraId="404B07F2" w14:textId="77777777" w:rsidTr="005B3ECF">
        <w:tc>
          <w:tcPr>
            <w:tcW w:w="1890" w:type="dxa"/>
          </w:tcPr>
          <w:p w14:paraId="7A7363BB" w14:textId="77777777" w:rsidR="00A5777A" w:rsidRDefault="00A5777A" w:rsidP="00FD119B">
            <w:r>
              <w:t>ARTG</w:t>
            </w:r>
          </w:p>
        </w:tc>
        <w:tc>
          <w:tcPr>
            <w:tcW w:w="6830" w:type="dxa"/>
          </w:tcPr>
          <w:p w14:paraId="37C5F4BF" w14:textId="2A15DAEA" w:rsidR="00A5777A" w:rsidRDefault="00A5777A" w:rsidP="00292C94">
            <w:r>
              <w:t>Australian Register of Therapeutic Goods</w:t>
            </w:r>
          </w:p>
        </w:tc>
      </w:tr>
      <w:tr w:rsidR="00A5777A" w:rsidRPr="00B8122D" w14:paraId="6C9F2425" w14:textId="77777777" w:rsidTr="005B3ECF">
        <w:tc>
          <w:tcPr>
            <w:tcW w:w="1890" w:type="dxa"/>
          </w:tcPr>
          <w:p w14:paraId="197CB079" w14:textId="77777777" w:rsidR="00A5777A" w:rsidRDefault="00A5777A" w:rsidP="00FD119B">
            <w:r>
              <w:t>ASA</w:t>
            </w:r>
          </w:p>
        </w:tc>
        <w:tc>
          <w:tcPr>
            <w:tcW w:w="6830" w:type="dxa"/>
          </w:tcPr>
          <w:p w14:paraId="5F8AD877" w14:textId="03678DE2" w:rsidR="00A5777A" w:rsidRDefault="00A5777A" w:rsidP="00CE15C1">
            <w:r>
              <w:t xml:space="preserve">Australia </w:t>
            </w:r>
            <w:r w:rsidR="00CE15C1">
              <w:t xml:space="preserve">specific </w:t>
            </w:r>
            <w:r>
              <w:t>Annex</w:t>
            </w:r>
          </w:p>
        </w:tc>
      </w:tr>
      <w:tr w:rsidR="00194FD1" w:rsidRPr="00B8122D" w14:paraId="2653E704" w14:textId="77777777" w:rsidTr="005B3ECF">
        <w:tc>
          <w:tcPr>
            <w:tcW w:w="1890" w:type="dxa"/>
          </w:tcPr>
          <w:p w14:paraId="5201B9A1" w14:textId="7BD240C4" w:rsidR="00194FD1" w:rsidRDefault="00194FD1" w:rsidP="00FD119B">
            <w:r>
              <w:t>ASCO</w:t>
            </w:r>
          </w:p>
        </w:tc>
        <w:tc>
          <w:tcPr>
            <w:tcW w:w="6830" w:type="dxa"/>
          </w:tcPr>
          <w:p w14:paraId="273B3B05" w14:textId="16438B44" w:rsidR="00194FD1" w:rsidRDefault="00194FD1" w:rsidP="00FD119B">
            <w:r w:rsidRPr="00194FD1">
              <w:t>American Society of Clinical Oncology</w:t>
            </w:r>
          </w:p>
        </w:tc>
      </w:tr>
      <w:tr w:rsidR="00A5777A" w:rsidRPr="00B8122D" w14:paraId="5707B6EA" w14:textId="77777777" w:rsidTr="005B3ECF">
        <w:tc>
          <w:tcPr>
            <w:tcW w:w="1890" w:type="dxa"/>
          </w:tcPr>
          <w:p w14:paraId="303A9442" w14:textId="77777777" w:rsidR="00A5777A" w:rsidRDefault="00A5777A" w:rsidP="00FD119B">
            <w:r>
              <w:t>AST</w:t>
            </w:r>
          </w:p>
        </w:tc>
        <w:tc>
          <w:tcPr>
            <w:tcW w:w="6830" w:type="dxa"/>
          </w:tcPr>
          <w:p w14:paraId="52566258" w14:textId="77777777" w:rsidR="00A5777A" w:rsidRDefault="00A5777A" w:rsidP="00FD119B">
            <w:r>
              <w:t>Aspartate transaminase</w:t>
            </w:r>
          </w:p>
        </w:tc>
      </w:tr>
      <w:tr w:rsidR="00A5777A" w:rsidRPr="00B8122D" w14:paraId="01EE0A5A" w14:textId="77777777" w:rsidTr="005B3ECF">
        <w:tc>
          <w:tcPr>
            <w:tcW w:w="1890" w:type="dxa"/>
          </w:tcPr>
          <w:p w14:paraId="5E010CE4" w14:textId="77777777" w:rsidR="00A5777A" w:rsidRPr="00B8122D" w:rsidRDefault="00A5777A" w:rsidP="00FD119B">
            <w:r>
              <w:t>ATP</w:t>
            </w:r>
          </w:p>
        </w:tc>
        <w:tc>
          <w:tcPr>
            <w:tcW w:w="6830" w:type="dxa"/>
          </w:tcPr>
          <w:p w14:paraId="69587785" w14:textId="77777777" w:rsidR="00A5777A" w:rsidRPr="00B8122D" w:rsidRDefault="00A5777A" w:rsidP="00FD119B">
            <w:r>
              <w:t>A</w:t>
            </w:r>
            <w:r w:rsidRPr="00B8122D">
              <w:t>denosine triphosphate</w:t>
            </w:r>
          </w:p>
        </w:tc>
      </w:tr>
      <w:tr w:rsidR="00A5777A" w:rsidRPr="00B8122D" w14:paraId="08E0B5DB" w14:textId="77777777" w:rsidTr="005B3ECF">
        <w:tc>
          <w:tcPr>
            <w:tcW w:w="1890" w:type="dxa"/>
          </w:tcPr>
          <w:p w14:paraId="240FDACA" w14:textId="77777777" w:rsidR="00A5777A" w:rsidRPr="00B8122D" w:rsidRDefault="00A5777A" w:rsidP="00FD119B">
            <w:r>
              <w:t>AUC</w:t>
            </w:r>
          </w:p>
        </w:tc>
        <w:tc>
          <w:tcPr>
            <w:tcW w:w="6830" w:type="dxa"/>
          </w:tcPr>
          <w:p w14:paraId="0F4944CA" w14:textId="77777777" w:rsidR="00A5777A" w:rsidRDefault="00A5777A" w:rsidP="00FD119B">
            <w:r>
              <w:t>A</w:t>
            </w:r>
            <w:r w:rsidRPr="00B8122D">
              <w:t>rea under the drug concentration-time curve</w:t>
            </w:r>
          </w:p>
        </w:tc>
      </w:tr>
      <w:tr w:rsidR="00A5777A" w:rsidRPr="00B8122D" w14:paraId="5EB6143A" w14:textId="77777777" w:rsidTr="005B3ECF">
        <w:tc>
          <w:tcPr>
            <w:tcW w:w="1890" w:type="dxa"/>
          </w:tcPr>
          <w:p w14:paraId="2FAD3613" w14:textId="77777777" w:rsidR="00A5777A" w:rsidRPr="00B8122D" w:rsidRDefault="00A5777A" w:rsidP="00FD119B">
            <w:r w:rsidRPr="00B8122D">
              <w:t>AUC</w:t>
            </w:r>
            <w:r w:rsidRPr="00B8122D">
              <w:rPr>
                <w:vertAlign w:val="subscript"/>
              </w:rPr>
              <w:t>0-24h</w:t>
            </w:r>
          </w:p>
        </w:tc>
        <w:tc>
          <w:tcPr>
            <w:tcW w:w="6830" w:type="dxa"/>
          </w:tcPr>
          <w:p w14:paraId="2300547D" w14:textId="77777777" w:rsidR="00A5777A" w:rsidRDefault="00A5777A" w:rsidP="00FD119B">
            <w:r>
              <w:t>A</w:t>
            </w:r>
            <w:r w:rsidRPr="00B8122D">
              <w:t xml:space="preserve">rea under the drug concentration-time curve </w:t>
            </w:r>
            <w:r>
              <w:t xml:space="preserve">in plasma </w:t>
            </w:r>
            <w:r w:rsidRPr="00B8122D">
              <w:t>from time zero to 24 hours</w:t>
            </w:r>
          </w:p>
        </w:tc>
      </w:tr>
      <w:tr w:rsidR="00A5777A" w:rsidRPr="00B8122D" w14:paraId="663CBC43" w14:textId="77777777" w:rsidTr="005B3ECF">
        <w:tc>
          <w:tcPr>
            <w:tcW w:w="1890" w:type="dxa"/>
          </w:tcPr>
          <w:p w14:paraId="0A32E697" w14:textId="77777777" w:rsidR="00A5777A" w:rsidRPr="00B8122D" w:rsidRDefault="00A5777A" w:rsidP="00FD119B">
            <w:r w:rsidRPr="00B8122D">
              <w:t>AUC</w:t>
            </w:r>
            <w:r w:rsidRPr="00B8122D">
              <w:rPr>
                <w:vertAlign w:val="subscript"/>
              </w:rPr>
              <w:t>0-inf</w:t>
            </w:r>
          </w:p>
        </w:tc>
        <w:tc>
          <w:tcPr>
            <w:tcW w:w="6830" w:type="dxa"/>
          </w:tcPr>
          <w:p w14:paraId="5DC4E973" w14:textId="36BAD585" w:rsidR="00A5777A" w:rsidRPr="00B8122D" w:rsidRDefault="00A5777A" w:rsidP="00FD119B">
            <w:r w:rsidRPr="00B8122D">
              <w:t xml:space="preserve">Area under the drug concentration-time curve from dosing </w:t>
            </w:r>
            <w:r w:rsidR="00CE15C1">
              <w:t xml:space="preserve">extrapolated </w:t>
            </w:r>
            <w:r w:rsidRPr="00B8122D">
              <w:t>to infinity</w:t>
            </w:r>
          </w:p>
        </w:tc>
      </w:tr>
      <w:tr w:rsidR="00A5777A" w:rsidRPr="00B8122D" w14:paraId="47F13526" w14:textId="77777777" w:rsidTr="005B3ECF">
        <w:tc>
          <w:tcPr>
            <w:tcW w:w="1890" w:type="dxa"/>
          </w:tcPr>
          <w:p w14:paraId="430F4E3A" w14:textId="77777777" w:rsidR="00A5777A" w:rsidRDefault="00A5777A" w:rsidP="00FD119B">
            <w:r>
              <w:t>BBB</w:t>
            </w:r>
          </w:p>
        </w:tc>
        <w:tc>
          <w:tcPr>
            <w:tcW w:w="6830" w:type="dxa"/>
          </w:tcPr>
          <w:p w14:paraId="3D38D286" w14:textId="77777777" w:rsidR="00A5777A" w:rsidRDefault="00A5777A" w:rsidP="00FD119B">
            <w:r>
              <w:t>Blood brain barrier</w:t>
            </w:r>
          </w:p>
        </w:tc>
      </w:tr>
      <w:tr w:rsidR="00A5777A" w:rsidRPr="00B8122D" w14:paraId="6F402512" w14:textId="77777777" w:rsidTr="005B3ECF">
        <w:tc>
          <w:tcPr>
            <w:tcW w:w="1890" w:type="dxa"/>
          </w:tcPr>
          <w:p w14:paraId="0B90BDD0" w14:textId="278DDC74" w:rsidR="00A5777A" w:rsidRDefault="00633064" w:rsidP="00FD119B">
            <w:r>
              <w:t>BICR</w:t>
            </w:r>
          </w:p>
        </w:tc>
        <w:tc>
          <w:tcPr>
            <w:tcW w:w="6830" w:type="dxa"/>
          </w:tcPr>
          <w:p w14:paraId="4ACE8138" w14:textId="77777777" w:rsidR="00A5777A" w:rsidRDefault="00A5777A" w:rsidP="00FD119B">
            <w:r>
              <w:t>Blinded independent central review</w:t>
            </w:r>
          </w:p>
        </w:tc>
      </w:tr>
      <w:tr w:rsidR="00A5777A" w:rsidRPr="00B8122D" w14:paraId="66C69606" w14:textId="77777777" w:rsidTr="005B3ECF">
        <w:tc>
          <w:tcPr>
            <w:tcW w:w="1890" w:type="dxa"/>
          </w:tcPr>
          <w:p w14:paraId="0ADB1AAE" w14:textId="77777777" w:rsidR="00A5777A" w:rsidRPr="00B8122D" w:rsidRDefault="00A5777A" w:rsidP="00FD119B">
            <w:r>
              <w:t>BRCP</w:t>
            </w:r>
          </w:p>
        </w:tc>
        <w:tc>
          <w:tcPr>
            <w:tcW w:w="6830" w:type="dxa"/>
          </w:tcPr>
          <w:p w14:paraId="129B317F" w14:textId="77777777" w:rsidR="00A5777A" w:rsidRDefault="00A5777A" w:rsidP="00FD119B">
            <w:r>
              <w:t>Breast cancer related protein</w:t>
            </w:r>
          </w:p>
        </w:tc>
      </w:tr>
      <w:tr w:rsidR="00A5777A" w:rsidRPr="00B8122D" w14:paraId="368BA2F6" w14:textId="77777777" w:rsidTr="005B3ECF">
        <w:tc>
          <w:tcPr>
            <w:tcW w:w="1890" w:type="dxa"/>
          </w:tcPr>
          <w:p w14:paraId="6B76498E" w14:textId="77777777" w:rsidR="00A5777A" w:rsidRPr="00174353" w:rsidRDefault="00A5777A" w:rsidP="00FD119B">
            <w:r>
              <w:t>BrdU</w:t>
            </w:r>
          </w:p>
        </w:tc>
        <w:tc>
          <w:tcPr>
            <w:tcW w:w="6830" w:type="dxa"/>
          </w:tcPr>
          <w:p w14:paraId="33F0C393" w14:textId="6319FF8E" w:rsidR="00A5777A" w:rsidRPr="00B8122D" w:rsidRDefault="00A5777A" w:rsidP="00FD119B">
            <w:r w:rsidRPr="00A5777A">
              <w:t>Bromodeoxyuridine</w:t>
            </w:r>
            <w:r w:rsidR="00B0401B">
              <w:t xml:space="preserve"> (assay)</w:t>
            </w:r>
          </w:p>
        </w:tc>
      </w:tr>
      <w:tr w:rsidR="00A5777A" w:rsidRPr="00B8122D" w14:paraId="29494B3A" w14:textId="77777777" w:rsidTr="005B3ECF">
        <w:tc>
          <w:tcPr>
            <w:tcW w:w="1890" w:type="dxa"/>
          </w:tcPr>
          <w:p w14:paraId="25F798ED" w14:textId="77777777" w:rsidR="00A5777A" w:rsidRPr="00B8122D" w:rsidRDefault="00A5777A" w:rsidP="00FD119B">
            <w:r>
              <w:t>BSA</w:t>
            </w:r>
          </w:p>
        </w:tc>
        <w:tc>
          <w:tcPr>
            <w:tcW w:w="6830" w:type="dxa"/>
          </w:tcPr>
          <w:p w14:paraId="26B2829B" w14:textId="77777777" w:rsidR="00A5777A" w:rsidRDefault="00A5777A" w:rsidP="00FD119B">
            <w:r>
              <w:t>Body surface area</w:t>
            </w:r>
          </w:p>
        </w:tc>
      </w:tr>
      <w:tr w:rsidR="00A5777A" w:rsidRPr="00B8122D" w14:paraId="1A5B3A96" w14:textId="77777777" w:rsidTr="005B3ECF">
        <w:tc>
          <w:tcPr>
            <w:tcW w:w="1890" w:type="dxa"/>
          </w:tcPr>
          <w:p w14:paraId="7BD7BE84" w14:textId="77777777" w:rsidR="00A5777A" w:rsidRPr="00B8122D" w:rsidRDefault="00A5777A" w:rsidP="00FD119B">
            <w:r>
              <w:t>cAMP</w:t>
            </w:r>
          </w:p>
        </w:tc>
        <w:tc>
          <w:tcPr>
            <w:tcW w:w="6830" w:type="dxa"/>
          </w:tcPr>
          <w:p w14:paraId="1EB4D4FA" w14:textId="77777777" w:rsidR="00A5777A" w:rsidRDefault="00A5777A" w:rsidP="00FD119B">
            <w:r>
              <w:t>C</w:t>
            </w:r>
            <w:r w:rsidRPr="00B8122D">
              <w:t>yclic adenosine monophosphate</w:t>
            </w:r>
          </w:p>
        </w:tc>
      </w:tr>
      <w:tr w:rsidR="00A5777A" w:rsidRPr="00B8122D" w14:paraId="6BA7E456" w14:textId="77777777" w:rsidTr="005B3ECF">
        <w:tc>
          <w:tcPr>
            <w:tcW w:w="1890" w:type="dxa"/>
          </w:tcPr>
          <w:p w14:paraId="38E35613" w14:textId="77777777" w:rsidR="00A5777A" w:rsidRPr="00174353" w:rsidRDefault="00A5777A" w:rsidP="00FD119B">
            <w:r w:rsidRPr="00B8122D">
              <w:t>CCI284</w:t>
            </w:r>
          </w:p>
        </w:tc>
        <w:tc>
          <w:tcPr>
            <w:tcW w:w="6830" w:type="dxa"/>
          </w:tcPr>
          <w:p w14:paraId="0469D89E" w14:textId="77777777" w:rsidR="00A5777A" w:rsidRPr="00B8122D" w:rsidRDefault="00A5777A" w:rsidP="00FD119B">
            <w:r>
              <w:t>Major ribociclib metabolite in humans</w:t>
            </w:r>
          </w:p>
        </w:tc>
      </w:tr>
      <w:tr w:rsidR="00A5777A" w:rsidRPr="00B8122D" w14:paraId="4B2246DE" w14:textId="77777777" w:rsidTr="005B3ECF">
        <w:tc>
          <w:tcPr>
            <w:tcW w:w="1890" w:type="dxa"/>
          </w:tcPr>
          <w:p w14:paraId="22EFA743" w14:textId="77777777" w:rsidR="00A5777A" w:rsidRDefault="00A5777A" w:rsidP="00FD119B">
            <w:r>
              <w:lastRenderedPageBreak/>
              <w:t>CDK</w:t>
            </w:r>
          </w:p>
        </w:tc>
        <w:tc>
          <w:tcPr>
            <w:tcW w:w="6830" w:type="dxa"/>
          </w:tcPr>
          <w:p w14:paraId="5EF07E18" w14:textId="77777777" w:rsidR="00A5777A" w:rsidRDefault="00A5777A" w:rsidP="00FD119B">
            <w:r>
              <w:t>Cyclin dependant kinase</w:t>
            </w:r>
          </w:p>
        </w:tc>
      </w:tr>
      <w:tr w:rsidR="00A5777A" w:rsidRPr="00B8122D" w14:paraId="51D4E51F" w14:textId="77777777" w:rsidTr="005B3ECF">
        <w:tc>
          <w:tcPr>
            <w:tcW w:w="1890" w:type="dxa"/>
          </w:tcPr>
          <w:p w14:paraId="7D059EEB" w14:textId="77777777" w:rsidR="00A5777A" w:rsidRPr="00B8122D" w:rsidRDefault="00A5777A" w:rsidP="00FD119B">
            <w:r w:rsidRPr="00B8122D">
              <w:t>CDKi</w:t>
            </w:r>
          </w:p>
        </w:tc>
        <w:tc>
          <w:tcPr>
            <w:tcW w:w="6830" w:type="dxa"/>
          </w:tcPr>
          <w:p w14:paraId="5BAE8944" w14:textId="77777777" w:rsidR="00A5777A" w:rsidRPr="00B8122D" w:rsidRDefault="00A5777A" w:rsidP="00FD119B">
            <w:r w:rsidRPr="00B8122D">
              <w:t>Cyclin dependent kinase inhibitor</w:t>
            </w:r>
          </w:p>
        </w:tc>
      </w:tr>
      <w:tr w:rsidR="00A5777A" w:rsidRPr="00B8122D" w14:paraId="2417B982" w14:textId="77777777" w:rsidTr="005B3ECF">
        <w:tc>
          <w:tcPr>
            <w:tcW w:w="1890" w:type="dxa"/>
          </w:tcPr>
          <w:p w14:paraId="4267D652" w14:textId="77777777" w:rsidR="00A5777A" w:rsidRDefault="00A5777A" w:rsidP="00FD119B">
            <w:r>
              <w:t>CHMP</w:t>
            </w:r>
          </w:p>
        </w:tc>
        <w:tc>
          <w:tcPr>
            <w:tcW w:w="6830" w:type="dxa"/>
          </w:tcPr>
          <w:p w14:paraId="2495DBA3" w14:textId="389E0E8F" w:rsidR="00A5777A" w:rsidRDefault="00A5777A" w:rsidP="00FD119B">
            <w:r w:rsidRPr="00B14843">
              <w:t>Committee for Medicinal Products for Human Use</w:t>
            </w:r>
            <w:r w:rsidR="00CE15C1">
              <w:t xml:space="preserve"> (EU)</w:t>
            </w:r>
          </w:p>
        </w:tc>
      </w:tr>
      <w:tr w:rsidR="00B0401B" w:rsidRPr="00B8122D" w14:paraId="170975A0" w14:textId="77777777" w:rsidTr="005B3ECF">
        <w:tc>
          <w:tcPr>
            <w:tcW w:w="1890" w:type="dxa"/>
          </w:tcPr>
          <w:p w14:paraId="3312F510" w14:textId="60F24AC6" w:rsidR="00B0401B" w:rsidRDefault="00B0401B" w:rsidP="00FD119B">
            <w:r>
              <w:t>CI</w:t>
            </w:r>
          </w:p>
        </w:tc>
        <w:tc>
          <w:tcPr>
            <w:tcW w:w="6830" w:type="dxa"/>
          </w:tcPr>
          <w:p w14:paraId="79504239" w14:textId="4A2B6AFE" w:rsidR="00B0401B" w:rsidRPr="00B14843" w:rsidRDefault="00B0401B" w:rsidP="00FD119B">
            <w:r>
              <w:t>Confidence interval</w:t>
            </w:r>
          </w:p>
        </w:tc>
      </w:tr>
      <w:tr w:rsidR="00A5777A" w:rsidRPr="00B8122D" w14:paraId="56D5FC9E" w14:textId="77777777" w:rsidTr="005B3ECF">
        <w:tc>
          <w:tcPr>
            <w:tcW w:w="1890" w:type="dxa"/>
          </w:tcPr>
          <w:p w14:paraId="3D347A08" w14:textId="77777777" w:rsidR="00A5777A" w:rsidRPr="00B8122D" w:rsidRDefault="00A5777A" w:rsidP="00FD119B">
            <w:pPr>
              <w:rPr>
                <w:vertAlign w:val="subscript"/>
              </w:rPr>
            </w:pPr>
            <w:r w:rsidRPr="00B8122D">
              <w:t>C</w:t>
            </w:r>
            <w:r w:rsidRPr="00B8122D">
              <w:rPr>
                <w:vertAlign w:val="subscript"/>
              </w:rPr>
              <w:t>max</w:t>
            </w:r>
          </w:p>
        </w:tc>
        <w:tc>
          <w:tcPr>
            <w:tcW w:w="6830" w:type="dxa"/>
          </w:tcPr>
          <w:p w14:paraId="213A5B87" w14:textId="77777777" w:rsidR="00A5777A" w:rsidRPr="00B8122D" w:rsidRDefault="00A5777A" w:rsidP="00FD119B">
            <w:r w:rsidRPr="00B8122D">
              <w:t>Maximum serum concentration</w:t>
            </w:r>
          </w:p>
        </w:tc>
      </w:tr>
      <w:tr w:rsidR="00A5777A" w:rsidRPr="00B8122D" w14:paraId="3F7654C4" w14:textId="77777777" w:rsidTr="005B3ECF">
        <w:tc>
          <w:tcPr>
            <w:tcW w:w="1890" w:type="dxa"/>
          </w:tcPr>
          <w:p w14:paraId="6A492A8A" w14:textId="77777777" w:rsidR="00A5777A" w:rsidRPr="00174353" w:rsidRDefault="00A5777A" w:rsidP="00FD119B">
            <w:r w:rsidRPr="00174353">
              <w:t>C</w:t>
            </w:r>
            <w:r w:rsidRPr="00174353">
              <w:rPr>
                <w:vertAlign w:val="subscript"/>
              </w:rPr>
              <w:t>max,unbound</w:t>
            </w:r>
          </w:p>
        </w:tc>
        <w:tc>
          <w:tcPr>
            <w:tcW w:w="6830" w:type="dxa"/>
          </w:tcPr>
          <w:p w14:paraId="13F1D49D" w14:textId="77777777" w:rsidR="00A5777A" w:rsidRPr="00B8122D" w:rsidRDefault="00A5777A" w:rsidP="00FD119B">
            <w:r>
              <w:t>M</w:t>
            </w:r>
            <w:r w:rsidRPr="00B8122D">
              <w:t>aximum unbound serum concentration</w:t>
            </w:r>
          </w:p>
        </w:tc>
      </w:tr>
      <w:tr w:rsidR="00A5777A" w:rsidRPr="00B8122D" w14:paraId="71D4D861" w14:textId="77777777" w:rsidTr="005B3ECF">
        <w:tc>
          <w:tcPr>
            <w:tcW w:w="1890" w:type="dxa"/>
          </w:tcPr>
          <w:p w14:paraId="399EB2DA" w14:textId="77777777" w:rsidR="00A5777A" w:rsidRDefault="00A5777A" w:rsidP="00FD119B">
            <w:r>
              <w:t>CMI</w:t>
            </w:r>
          </w:p>
        </w:tc>
        <w:tc>
          <w:tcPr>
            <w:tcW w:w="6830" w:type="dxa"/>
          </w:tcPr>
          <w:p w14:paraId="18403242" w14:textId="77777777" w:rsidR="00A5777A" w:rsidRDefault="00A5777A" w:rsidP="00FD119B">
            <w:r>
              <w:t>Consumer Medicines Information</w:t>
            </w:r>
          </w:p>
        </w:tc>
      </w:tr>
      <w:tr w:rsidR="00A5777A" w:rsidRPr="00B8122D" w14:paraId="1A4B80EA" w14:textId="77777777" w:rsidTr="005B3ECF">
        <w:tc>
          <w:tcPr>
            <w:tcW w:w="1890" w:type="dxa"/>
          </w:tcPr>
          <w:p w14:paraId="0D7DE93E" w14:textId="77777777" w:rsidR="00A5777A" w:rsidRDefault="00A5777A" w:rsidP="00FD119B">
            <w:r>
              <w:t>CNS</w:t>
            </w:r>
          </w:p>
        </w:tc>
        <w:tc>
          <w:tcPr>
            <w:tcW w:w="6830" w:type="dxa"/>
          </w:tcPr>
          <w:p w14:paraId="3269A77F" w14:textId="77777777" w:rsidR="00A5777A" w:rsidRDefault="00A5777A" w:rsidP="00FD119B">
            <w:r>
              <w:t>Central nervous system</w:t>
            </w:r>
          </w:p>
        </w:tc>
      </w:tr>
      <w:tr w:rsidR="00A5777A" w:rsidRPr="00B8122D" w14:paraId="36D9DBD7" w14:textId="77777777" w:rsidTr="005B3ECF">
        <w:tc>
          <w:tcPr>
            <w:tcW w:w="1890" w:type="dxa"/>
          </w:tcPr>
          <w:p w14:paraId="5D9D5950" w14:textId="77777777" w:rsidR="00A5777A" w:rsidRDefault="00A5777A" w:rsidP="00FD119B">
            <w:r>
              <w:t>CR</w:t>
            </w:r>
          </w:p>
        </w:tc>
        <w:tc>
          <w:tcPr>
            <w:tcW w:w="6830" w:type="dxa"/>
          </w:tcPr>
          <w:p w14:paraId="787836C3" w14:textId="77777777" w:rsidR="00A5777A" w:rsidRDefault="00A5777A" w:rsidP="00FD119B">
            <w:r>
              <w:t>Complete response</w:t>
            </w:r>
          </w:p>
        </w:tc>
      </w:tr>
      <w:tr w:rsidR="00A5777A" w:rsidRPr="00B8122D" w14:paraId="1BDA7DAF" w14:textId="77777777" w:rsidTr="005B3ECF">
        <w:tc>
          <w:tcPr>
            <w:tcW w:w="1890" w:type="dxa"/>
          </w:tcPr>
          <w:p w14:paraId="5ED38A77" w14:textId="77777777" w:rsidR="00A5777A" w:rsidRPr="00174353" w:rsidRDefault="00A5777A" w:rsidP="00FD119B">
            <w:r w:rsidRPr="00174353">
              <w:t>C</w:t>
            </w:r>
            <w:r w:rsidRPr="00174353">
              <w:rPr>
                <w:vertAlign w:val="subscript"/>
              </w:rPr>
              <w:t>trough,unbound</w:t>
            </w:r>
          </w:p>
        </w:tc>
        <w:tc>
          <w:tcPr>
            <w:tcW w:w="6830" w:type="dxa"/>
          </w:tcPr>
          <w:p w14:paraId="7473DC61" w14:textId="77777777" w:rsidR="00A5777A" w:rsidRPr="00B8122D" w:rsidRDefault="00A5777A" w:rsidP="00FD119B">
            <w:r>
              <w:t>M</w:t>
            </w:r>
            <w:r w:rsidRPr="00B8122D">
              <w:t>inimum unbound serum concentration</w:t>
            </w:r>
          </w:p>
        </w:tc>
      </w:tr>
      <w:tr w:rsidR="00A5777A" w:rsidRPr="00B8122D" w14:paraId="7E65AF00" w14:textId="77777777" w:rsidTr="005B3ECF">
        <w:tc>
          <w:tcPr>
            <w:tcW w:w="1890" w:type="dxa"/>
          </w:tcPr>
          <w:p w14:paraId="28147393" w14:textId="77777777" w:rsidR="00A5777A" w:rsidRDefault="00A5777A" w:rsidP="00FD119B">
            <w:r>
              <w:t>ECG</w:t>
            </w:r>
          </w:p>
        </w:tc>
        <w:tc>
          <w:tcPr>
            <w:tcW w:w="6830" w:type="dxa"/>
          </w:tcPr>
          <w:p w14:paraId="33A28F71" w14:textId="77777777" w:rsidR="00A5777A" w:rsidRDefault="00A5777A" w:rsidP="00FD119B">
            <w:r>
              <w:t>Electrocardiogram</w:t>
            </w:r>
          </w:p>
        </w:tc>
      </w:tr>
      <w:tr w:rsidR="00A5777A" w:rsidRPr="00B8122D" w14:paraId="1E9FE3EC" w14:textId="77777777" w:rsidTr="005B3ECF">
        <w:tc>
          <w:tcPr>
            <w:tcW w:w="1890" w:type="dxa"/>
          </w:tcPr>
          <w:p w14:paraId="1DF781BF" w14:textId="77777777" w:rsidR="00A5777A" w:rsidRDefault="00A5777A" w:rsidP="00FD119B">
            <w:r>
              <w:t>ECOG PS</w:t>
            </w:r>
          </w:p>
        </w:tc>
        <w:tc>
          <w:tcPr>
            <w:tcW w:w="6830" w:type="dxa"/>
          </w:tcPr>
          <w:p w14:paraId="3B3941D9" w14:textId="77777777" w:rsidR="00A5777A" w:rsidRPr="00593A1D" w:rsidRDefault="00A5777A" w:rsidP="00593A1D">
            <w:r w:rsidRPr="00593A1D">
              <w:t>Eastern Cooperative Oncology Group Performance Scale</w:t>
            </w:r>
          </w:p>
        </w:tc>
      </w:tr>
      <w:tr w:rsidR="00A5777A" w:rsidRPr="00B8122D" w14:paraId="553035AE" w14:textId="77777777" w:rsidTr="005B3ECF">
        <w:tc>
          <w:tcPr>
            <w:tcW w:w="1890" w:type="dxa"/>
          </w:tcPr>
          <w:p w14:paraId="76F79026" w14:textId="77777777" w:rsidR="00A5777A" w:rsidRPr="00174353" w:rsidRDefault="00A5777A" w:rsidP="00FD119B">
            <w:r>
              <w:t>ELISA</w:t>
            </w:r>
          </w:p>
        </w:tc>
        <w:tc>
          <w:tcPr>
            <w:tcW w:w="6830" w:type="dxa"/>
          </w:tcPr>
          <w:p w14:paraId="12620395" w14:textId="77777777" w:rsidR="00A5777A" w:rsidRPr="00B8122D" w:rsidRDefault="00A5777A" w:rsidP="00FD119B">
            <w:r>
              <w:t>E</w:t>
            </w:r>
            <w:r w:rsidRPr="007D602E">
              <w:t>nzyme linked immunosorbent assay</w:t>
            </w:r>
          </w:p>
        </w:tc>
      </w:tr>
      <w:tr w:rsidR="00A5777A" w:rsidRPr="00B8122D" w14:paraId="0D986B15" w14:textId="77777777" w:rsidTr="005B3ECF">
        <w:tc>
          <w:tcPr>
            <w:tcW w:w="1890" w:type="dxa"/>
          </w:tcPr>
          <w:p w14:paraId="35884A26" w14:textId="77777777" w:rsidR="00A5777A" w:rsidRDefault="00A5777A" w:rsidP="00FD119B">
            <w:r>
              <w:t>EMA</w:t>
            </w:r>
          </w:p>
        </w:tc>
        <w:tc>
          <w:tcPr>
            <w:tcW w:w="6830" w:type="dxa"/>
          </w:tcPr>
          <w:p w14:paraId="489169E6" w14:textId="22A1431E" w:rsidR="00A5777A" w:rsidRDefault="00A5777A" w:rsidP="00FD119B">
            <w:r>
              <w:t>European Medicines Agency</w:t>
            </w:r>
            <w:r w:rsidR="00CE15C1">
              <w:t xml:space="preserve"> (EU)</w:t>
            </w:r>
          </w:p>
        </w:tc>
      </w:tr>
      <w:tr w:rsidR="00A5777A" w:rsidRPr="00B8122D" w14:paraId="15E224F5" w14:textId="77777777" w:rsidTr="005B3ECF">
        <w:tc>
          <w:tcPr>
            <w:tcW w:w="1890" w:type="dxa"/>
          </w:tcPr>
          <w:p w14:paraId="2B50C5E5" w14:textId="77777777" w:rsidR="00A5777A" w:rsidRDefault="00A5777A" w:rsidP="00FD119B">
            <w:r>
              <w:t>EORTC QLQ C30</w:t>
            </w:r>
          </w:p>
        </w:tc>
        <w:tc>
          <w:tcPr>
            <w:tcW w:w="6830" w:type="dxa"/>
          </w:tcPr>
          <w:p w14:paraId="54C49DAF" w14:textId="28341946" w:rsidR="00A5777A" w:rsidRDefault="00A5777A" w:rsidP="00DB3893">
            <w:r w:rsidRPr="00983A17">
              <w:rPr>
                <w:lang w:val="en-GB"/>
              </w:rPr>
              <w:t>European Organization</w:t>
            </w:r>
            <w:r w:rsidR="00DB3893">
              <w:rPr>
                <w:lang w:val="en-GB"/>
              </w:rPr>
              <w:t xml:space="preserve"> for Research and </w:t>
            </w:r>
            <w:r w:rsidRPr="00983A17">
              <w:rPr>
                <w:lang w:val="en-GB"/>
              </w:rPr>
              <w:t xml:space="preserve">Treatment of Cancer Quality of Life </w:t>
            </w:r>
            <w:r>
              <w:rPr>
                <w:lang w:val="en-GB"/>
              </w:rPr>
              <w:t xml:space="preserve">(Core) </w:t>
            </w:r>
            <w:r w:rsidRPr="00983A17">
              <w:rPr>
                <w:lang w:val="en-GB"/>
              </w:rPr>
              <w:t>Questionnaire</w:t>
            </w:r>
          </w:p>
        </w:tc>
      </w:tr>
      <w:tr w:rsidR="00A5777A" w:rsidRPr="00B8122D" w14:paraId="452450C9" w14:textId="77777777" w:rsidTr="005B3ECF">
        <w:tc>
          <w:tcPr>
            <w:tcW w:w="1890" w:type="dxa"/>
          </w:tcPr>
          <w:p w14:paraId="1FB09170" w14:textId="77777777" w:rsidR="00A5777A" w:rsidRDefault="00A5777A" w:rsidP="00FD119B">
            <w:r>
              <w:t>ER</w:t>
            </w:r>
          </w:p>
        </w:tc>
        <w:tc>
          <w:tcPr>
            <w:tcW w:w="6830" w:type="dxa"/>
          </w:tcPr>
          <w:p w14:paraId="53C845A3" w14:textId="77777777" w:rsidR="00A5777A" w:rsidRDefault="00A5777A" w:rsidP="00FD119B">
            <w:r>
              <w:t>Oestrogen receptor</w:t>
            </w:r>
          </w:p>
        </w:tc>
      </w:tr>
      <w:tr w:rsidR="00194FD1" w:rsidRPr="00B8122D" w14:paraId="6337EDF0" w14:textId="77777777" w:rsidTr="005B3ECF">
        <w:tc>
          <w:tcPr>
            <w:tcW w:w="1890" w:type="dxa"/>
          </w:tcPr>
          <w:p w14:paraId="53123CB6" w14:textId="73B0018D" w:rsidR="00194FD1" w:rsidRDefault="00194FD1" w:rsidP="00FD119B">
            <w:r>
              <w:t>ESMO</w:t>
            </w:r>
          </w:p>
        </w:tc>
        <w:tc>
          <w:tcPr>
            <w:tcW w:w="6830" w:type="dxa"/>
          </w:tcPr>
          <w:p w14:paraId="7DAFFADD" w14:textId="4238779B" w:rsidR="00194FD1" w:rsidRDefault="00194FD1" w:rsidP="00FD119B">
            <w:r>
              <w:t>European Society for Medical Oncology</w:t>
            </w:r>
          </w:p>
        </w:tc>
      </w:tr>
      <w:tr w:rsidR="00A5777A" w:rsidRPr="00B8122D" w14:paraId="104D8035" w14:textId="77777777" w:rsidTr="005B3ECF">
        <w:tc>
          <w:tcPr>
            <w:tcW w:w="1890" w:type="dxa"/>
          </w:tcPr>
          <w:p w14:paraId="1D3C0F4E" w14:textId="77777777" w:rsidR="00A5777A" w:rsidRDefault="00A5777A" w:rsidP="00FD119B">
            <w:r>
              <w:t>EU</w:t>
            </w:r>
          </w:p>
        </w:tc>
        <w:tc>
          <w:tcPr>
            <w:tcW w:w="6830" w:type="dxa"/>
          </w:tcPr>
          <w:p w14:paraId="2423E679" w14:textId="77777777" w:rsidR="00A5777A" w:rsidRDefault="00A5777A" w:rsidP="00FD119B">
            <w:r>
              <w:t>European Union</w:t>
            </w:r>
          </w:p>
        </w:tc>
      </w:tr>
      <w:tr w:rsidR="00E6768D" w:rsidRPr="00B8122D" w14:paraId="79BDFA91" w14:textId="77777777" w:rsidTr="005B3ECF">
        <w:tc>
          <w:tcPr>
            <w:tcW w:w="1890" w:type="dxa"/>
          </w:tcPr>
          <w:p w14:paraId="09885A96" w14:textId="4D83C633" w:rsidR="00E6768D" w:rsidRDefault="00E6768D" w:rsidP="00FD119B">
            <w:r>
              <w:t>FBE</w:t>
            </w:r>
          </w:p>
        </w:tc>
        <w:tc>
          <w:tcPr>
            <w:tcW w:w="6830" w:type="dxa"/>
          </w:tcPr>
          <w:p w14:paraId="4F07CFDC" w14:textId="078CC2E8" w:rsidR="00E6768D" w:rsidRDefault="00E6768D" w:rsidP="00FD119B">
            <w:r>
              <w:t>Full blood examination</w:t>
            </w:r>
          </w:p>
        </w:tc>
      </w:tr>
      <w:tr w:rsidR="00A5777A" w:rsidRPr="00B8122D" w14:paraId="385432A2" w14:textId="77777777" w:rsidTr="005B3ECF">
        <w:tc>
          <w:tcPr>
            <w:tcW w:w="1890" w:type="dxa"/>
          </w:tcPr>
          <w:p w14:paraId="083C3957" w14:textId="77777777" w:rsidR="00A5777A" w:rsidRDefault="00A5777A" w:rsidP="00FD119B">
            <w:r>
              <w:t>FDA</w:t>
            </w:r>
          </w:p>
        </w:tc>
        <w:tc>
          <w:tcPr>
            <w:tcW w:w="6830" w:type="dxa"/>
          </w:tcPr>
          <w:p w14:paraId="0970680B" w14:textId="5BF72268" w:rsidR="00A5777A" w:rsidRDefault="00A5777A" w:rsidP="00CE15C1">
            <w:r>
              <w:t>Food and Drug Administration (</w:t>
            </w:r>
            <w:r w:rsidR="00CE15C1">
              <w:t>USA</w:t>
            </w:r>
            <w:r>
              <w:t>)</w:t>
            </w:r>
          </w:p>
        </w:tc>
      </w:tr>
      <w:tr w:rsidR="00A5777A" w:rsidRPr="00B8122D" w14:paraId="5FF72965" w14:textId="77777777" w:rsidTr="005B3ECF">
        <w:tc>
          <w:tcPr>
            <w:tcW w:w="1890" w:type="dxa"/>
          </w:tcPr>
          <w:p w14:paraId="11273304" w14:textId="77777777" w:rsidR="00A5777A" w:rsidRPr="00B8122D" w:rsidRDefault="00A5777A" w:rsidP="00FD119B">
            <w:r>
              <w:t>FMO3</w:t>
            </w:r>
          </w:p>
        </w:tc>
        <w:tc>
          <w:tcPr>
            <w:tcW w:w="6830" w:type="dxa"/>
          </w:tcPr>
          <w:p w14:paraId="27DCE2D7" w14:textId="77777777" w:rsidR="00A5777A" w:rsidRDefault="00A5777A" w:rsidP="00FD119B">
            <w:r>
              <w:t>F</w:t>
            </w:r>
            <w:r w:rsidRPr="00B8122D">
              <w:t>lavin containing monooxygenase 3</w:t>
            </w:r>
          </w:p>
        </w:tc>
      </w:tr>
      <w:tr w:rsidR="00A5777A" w:rsidRPr="00B8122D" w14:paraId="70A9806E" w14:textId="77777777" w:rsidTr="005B3ECF">
        <w:tc>
          <w:tcPr>
            <w:tcW w:w="1890" w:type="dxa"/>
          </w:tcPr>
          <w:p w14:paraId="27FBF8FC" w14:textId="77777777" w:rsidR="00A5777A" w:rsidRPr="00B8122D" w:rsidRDefault="00A5777A" w:rsidP="00FD119B">
            <w:r w:rsidRPr="00B8122D">
              <w:t>f</w:t>
            </w:r>
            <w:r w:rsidRPr="00B8122D">
              <w:rPr>
                <w:vertAlign w:val="subscript"/>
              </w:rPr>
              <w:t>u</w:t>
            </w:r>
          </w:p>
        </w:tc>
        <w:tc>
          <w:tcPr>
            <w:tcW w:w="6830" w:type="dxa"/>
          </w:tcPr>
          <w:p w14:paraId="088BA79A" w14:textId="6DAA1ECB" w:rsidR="00A5777A" w:rsidRDefault="00A5777A" w:rsidP="00FD119B">
            <w:r>
              <w:t>Fraction unbound</w:t>
            </w:r>
            <w:r w:rsidR="001521D1">
              <w:t xml:space="preserve"> (in plasma)</w:t>
            </w:r>
          </w:p>
        </w:tc>
      </w:tr>
      <w:tr w:rsidR="00A5777A" w:rsidRPr="00B8122D" w14:paraId="32A64D80" w14:textId="77777777" w:rsidTr="005B3ECF">
        <w:tc>
          <w:tcPr>
            <w:tcW w:w="1890" w:type="dxa"/>
          </w:tcPr>
          <w:p w14:paraId="31B0F2B9" w14:textId="77777777" w:rsidR="00A5777A" w:rsidRDefault="00A5777A" w:rsidP="00FD119B">
            <w:r>
              <w:t>GIT</w:t>
            </w:r>
          </w:p>
        </w:tc>
        <w:tc>
          <w:tcPr>
            <w:tcW w:w="6830" w:type="dxa"/>
          </w:tcPr>
          <w:p w14:paraId="6C5C794C" w14:textId="77777777" w:rsidR="00A5777A" w:rsidRDefault="00A5777A" w:rsidP="00FD119B">
            <w:r>
              <w:t>Gastrointestinal tract</w:t>
            </w:r>
          </w:p>
        </w:tc>
      </w:tr>
      <w:tr w:rsidR="00A5777A" w:rsidRPr="00B8122D" w14:paraId="4A3C290B" w14:textId="77777777" w:rsidTr="005B3ECF">
        <w:tc>
          <w:tcPr>
            <w:tcW w:w="1890" w:type="dxa"/>
          </w:tcPr>
          <w:p w14:paraId="30F7E8C4" w14:textId="77777777" w:rsidR="00A5777A" w:rsidRPr="00B8122D" w:rsidRDefault="00A5777A" w:rsidP="00FD119B">
            <w:r w:rsidRPr="00B8122D">
              <w:t>GMR</w:t>
            </w:r>
          </w:p>
        </w:tc>
        <w:tc>
          <w:tcPr>
            <w:tcW w:w="6830" w:type="dxa"/>
          </w:tcPr>
          <w:p w14:paraId="31A962B3" w14:textId="77777777" w:rsidR="00A5777A" w:rsidRPr="00B8122D" w:rsidRDefault="00A5777A" w:rsidP="00FD119B">
            <w:r w:rsidRPr="00B8122D">
              <w:t>Geometric mean ratio</w:t>
            </w:r>
          </w:p>
        </w:tc>
      </w:tr>
      <w:tr w:rsidR="00A5777A" w:rsidRPr="00B8122D" w14:paraId="110D5D3D" w14:textId="77777777" w:rsidTr="005B3ECF">
        <w:tc>
          <w:tcPr>
            <w:tcW w:w="1890" w:type="dxa"/>
          </w:tcPr>
          <w:p w14:paraId="00FF77CC" w14:textId="77777777" w:rsidR="00A5777A" w:rsidRDefault="00A5777A" w:rsidP="00FD119B">
            <w:r>
              <w:t>HER2</w:t>
            </w:r>
          </w:p>
        </w:tc>
        <w:tc>
          <w:tcPr>
            <w:tcW w:w="6830" w:type="dxa"/>
          </w:tcPr>
          <w:p w14:paraId="63A376B1" w14:textId="77777777" w:rsidR="00A5777A" w:rsidRDefault="00A5777A" w:rsidP="00FD119B">
            <w:r>
              <w:t>Human epidermal growth factor receptor 2</w:t>
            </w:r>
          </w:p>
        </w:tc>
      </w:tr>
      <w:tr w:rsidR="00A5777A" w:rsidRPr="00B8122D" w14:paraId="2C72DFB9" w14:textId="77777777" w:rsidTr="005B3ECF">
        <w:tc>
          <w:tcPr>
            <w:tcW w:w="1890" w:type="dxa"/>
          </w:tcPr>
          <w:p w14:paraId="48BEB28B" w14:textId="77777777" w:rsidR="00A5777A" w:rsidRPr="00B8122D" w:rsidRDefault="00A5777A" w:rsidP="00FD119B">
            <w:r>
              <w:lastRenderedPageBreak/>
              <w:t>hERG</w:t>
            </w:r>
          </w:p>
        </w:tc>
        <w:tc>
          <w:tcPr>
            <w:tcW w:w="6830" w:type="dxa"/>
          </w:tcPr>
          <w:p w14:paraId="56D45FFA" w14:textId="01071FB3" w:rsidR="00A5777A" w:rsidRDefault="00A5777A" w:rsidP="00DB3893">
            <w:r>
              <w:t>H</w:t>
            </w:r>
            <w:r w:rsidRPr="00B8122D">
              <w:t xml:space="preserve">uman </w:t>
            </w:r>
            <w:r>
              <w:t>Ether-à-go-go-r</w:t>
            </w:r>
            <w:r w:rsidRPr="00B8122D">
              <w:t>elated</w:t>
            </w:r>
            <w:r w:rsidR="00DB3893">
              <w:t xml:space="preserve"> </w:t>
            </w:r>
            <w:r w:rsidRPr="00B8122D">
              <w:t>gene</w:t>
            </w:r>
          </w:p>
        </w:tc>
      </w:tr>
      <w:tr w:rsidR="00A5777A" w:rsidRPr="00B8122D" w14:paraId="5D10D68B" w14:textId="77777777" w:rsidTr="005B3ECF">
        <w:tc>
          <w:tcPr>
            <w:tcW w:w="1890" w:type="dxa"/>
          </w:tcPr>
          <w:p w14:paraId="4DFD973F" w14:textId="77777777" w:rsidR="00A5777A" w:rsidRDefault="00A5777A" w:rsidP="00FD119B">
            <w:r>
              <w:t>HR</w:t>
            </w:r>
          </w:p>
        </w:tc>
        <w:tc>
          <w:tcPr>
            <w:tcW w:w="6830" w:type="dxa"/>
          </w:tcPr>
          <w:p w14:paraId="14A019F7" w14:textId="77777777" w:rsidR="00A5777A" w:rsidRDefault="00A5777A" w:rsidP="00FD119B">
            <w:r>
              <w:t>Hormone receptor</w:t>
            </w:r>
          </w:p>
        </w:tc>
      </w:tr>
      <w:tr w:rsidR="00A5777A" w:rsidRPr="00B8122D" w14:paraId="59DCDC9E" w14:textId="77777777" w:rsidTr="005B3ECF">
        <w:tc>
          <w:tcPr>
            <w:tcW w:w="1890" w:type="dxa"/>
          </w:tcPr>
          <w:p w14:paraId="6A038D14" w14:textId="77777777" w:rsidR="00A5777A" w:rsidRPr="00174353" w:rsidRDefault="00A5777A" w:rsidP="00FD119B">
            <w:r w:rsidRPr="00174353">
              <w:t>IC</w:t>
            </w:r>
            <w:r w:rsidRPr="00174353">
              <w:rPr>
                <w:vertAlign w:val="subscript"/>
              </w:rPr>
              <w:t>50</w:t>
            </w:r>
          </w:p>
        </w:tc>
        <w:tc>
          <w:tcPr>
            <w:tcW w:w="6830" w:type="dxa"/>
          </w:tcPr>
          <w:p w14:paraId="25481867" w14:textId="77777777" w:rsidR="00A5777A" w:rsidRPr="00B8122D" w:rsidRDefault="00A5777A" w:rsidP="00FD119B">
            <w:r>
              <w:t>H</w:t>
            </w:r>
            <w:r w:rsidRPr="00B8122D">
              <w:t>alf maximal inhibitory concentration</w:t>
            </w:r>
          </w:p>
        </w:tc>
      </w:tr>
      <w:tr w:rsidR="00A5777A" w:rsidRPr="00B8122D" w14:paraId="151A9EBD" w14:textId="77777777" w:rsidTr="005B3ECF">
        <w:tc>
          <w:tcPr>
            <w:tcW w:w="1890" w:type="dxa"/>
          </w:tcPr>
          <w:p w14:paraId="090871E4" w14:textId="77777777" w:rsidR="00A5777A" w:rsidRPr="00B8122D" w:rsidRDefault="00A5777A" w:rsidP="00FD119B">
            <w:r>
              <w:t>IV</w:t>
            </w:r>
          </w:p>
        </w:tc>
        <w:tc>
          <w:tcPr>
            <w:tcW w:w="6830" w:type="dxa"/>
          </w:tcPr>
          <w:p w14:paraId="2405FF29" w14:textId="77777777" w:rsidR="00A5777A" w:rsidRDefault="00A5777A" w:rsidP="00FD119B">
            <w:r>
              <w:t>Intravenous</w:t>
            </w:r>
          </w:p>
        </w:tc>
      </w:tr>
      <w:tr w:rsidR="00A5777A" w:rsidRPr="00B8122D" w14:paraId="2814BC2A" w14:textId="77777777" w:rsidTr="005B3ECF">
        <w:tc>
          <w:tcPr>
            <w:tcW w:w="1890" w:type="dxa"/>
          </w:tcPr>
          <w:p w14:paraId="39488024" w14:textId="77777777" w:rsidR="00A5777A" w:rsidRDefault="00A5777A" w:rsidP="00FD119B">
            <w:r>
              <w:t>K-M</w:t>
            </w:r>
          </w:p>
        </w:tc>
        <w:tc>
          <w:tcPr>
            <w:tcW w:w="6830" w:type="dxa"/>
          </w:tcPr>
          <w:p w14:paraId="2D68C9DC" w14:textId="77777777" w:rsidR="00A5777A" w:rsidRDefault="00A5777A" w:rsidP="00FD119B">
            <w:r>
              <w:t>Kaplan-Meier</w:t>
            </w:r>
          </w:p>
        </w:tc>
      </w:tr>
      <w:tr w:rsidR="00A5777A" w:rsidRPr="00B8122D" w14:paraId="7A438D6C" w14:textId="77777777" w:rsidTr="005B3ECF">
        <w:tc>
          <w:tcPr>
            <w:tcW w:w="1890" w:type="dxa"/>
          </w:tcPr>
          <w:p w14:paraId="3E83566C" w14:textId="77777777" w:rsidR="00A5777A" w:rsidRPr="00B8122D" w:rsidRDefault="00A5777A" w:rsidP="00FD119B">
            <w:r w:rsidRPr="00B8122D">
              <w:t>K</w:t>
            </w:r>
            <w:r w:rsidRPr="00B8122D">
              <w:rPr>
                <w:vertAlign w:val="superscript"/>
              </w:rPr>
              <w:t>+</w:t>
            </w:r>
          </w:p>
        </w:tc>
        <w:tc>
          <w:tcPr>
            <w:tcW w:w="6830" w:type="dxa"/>
          </w:tcPr>
          <w:p w14:paraId="4F974BCB" w14:textId="1F988E19" w:rsidR="00A5777A" w:rsidRDefault="00A5777A" w:rsidP="00FD119B">
            <w:r>
              <w:t>Potassium</w:t>
            </w:r>
            <w:r w:rsidR="00CE15C1">
              <w:t xml:space="preserve"> ion</w:t>
            </w:r>
          </w:p>
        </w:tc>
      </w:tr>
      <w:tr w:rsidR="00A5777A" w:rsidRPr="00B8122D" w14:paraId="4DE2FA75" w14:textId="77777777" w:rsidTr="005B3ECF">
        <w:tc>
          <w:tcPr>
            <w:tcW w:w="1890" w:type="dxa"/>
          </w:tcPr>
          <w:p w14:paraId="0C9570E8" w14:textId="45235668" w:rsidR="00A5777A" w:rsidRDefault="004E4287" w:rsidP="00FD119B">
            <w:r w:rsidRPr="00B8122D">
              <w:t>K</w:t>
            </w:r>
            <w:r w:rsidRPr="004E4287">
              <w:rPr>
                <w:vertAlign w:val="subscript"/>
              </w:rPr>
              <w:t>i</w:t>
            </w:r>
          </w:p>
        </w:tc>
        <w:tc>
          <w:tcPr>
            <w:tcW w:w="6830" w:type="dxa"/>
          </w:tcPr>
          <w:p w14:paraId="5C1933BE" w14:textId="77777777" w:rsidR="00A5777A" w:rsidRDefault="00A5777A" w:rsidP="00FD119B">
            <w:r>
              <w:t>Inhibitory constant</w:t>
            </w:r>
          </w:p>
        </w:tc>
      </w:tr>
      <w:tr w:rsidR="00A5777A" w:rsidRPr="00B8122D" w14:paraId="1DA36D1F" w14:textId="77777777" w:rsidTr="005B3ECF">
        <w:tc>
          <w:tcPr>
            <w:tcW w:w="1890" w:type="dxa"/>
          </w:tcPr>
          <w:p w14:paraId="17AF2CB4" w14:textId="77777777" w:rsidR="00A5777A" w:rsidRPr="00B8122D" w:rsidRDefault="00A5777A" w:rsidP="00FD119B">
            <w:r w:rsidRPr="005864DB">
              <w:t>K</w:t>
            </w:r>
            <w:r w:rsidRPr="005864DB">
              <w:rPr>
                <w:vertAlign w:val="subscript"/>
              </w:rPr>
              <w:t>inact</w:t>
            </w:r>
          </w:p>
        </w:tc>
        <w:tc>
          <w:tcPr>
            <w:tcW w:w="6830" w:type="dxa"/>
          </w:tcPr>
          <w:p w14:paraId="3652B2D5" w14:textId="77777777" w:rsidR="00A5777A" w:rsidRDefault="00A5777A" w:rsidP="005864DB">
            <w:r>
              <w:t>Rate of inactivation</w:t>
            </w:r>
          </w:p>
        </w:tc>
      </w:tr>
      <w:tr w:rsidR="00A5777A" w:rsidRPr="00B8122D" w14:paraId="08116205" w14:textId="77777777" w:rsidTr="005B3ECF">
        <w:tc>
          <w:tcPr>
            <w:tcW w:w="1890" w:type="dxa"/>
          </w:tcPr>
          <w:p w14:paraId="219E0CA4" w14:textId="77777777" w:rsidR="00A5777A" w:rsidRPr="00B8122D" w:rsidRDefault="00A5777A" w:rsidP="00FD119B">
            <w:r w:rsidRPr="00174353">
              <w:t>K</w:t>
            </w:r>
            <w:r w:rsidRPr="00174353">
              <w:rPr>
                <w:vertAlign w:val="subscript"/>
              </w:rPr>
              <w:t>m</w:t>
            </w:r>
          </w:p>
        </w:tc>
        <w:tc>
          <w:tcPr>
            <w:tcW w:w="6830" w:type="dxa"/>
          </w:tcPr>
          <w:p w14:paraId="4757A2E7" w14:textId="77777777" w:rsidR="00A5777A" w:rsidRPr="00B8122D" w:rsidRDefault="00A5777A" w:rsidP="00FD119B">
            <w:r w:rsidRPr="00B8122D">
              <w:t>Michaelis constant</w:t>
            </w:r>
          </w:p>
        </w:tc>
      </w:tr>
      <w:tr w:rsidR="00A5777A" w:rsidRPr="00B8122D" w14:paraId="4CF96064" w14:textId="77777777" w:rsidTr="005B3ECF">
        <w:tc>
          <w:tcPr>
            <w:tcW w:w="1890" w:type="dxa"/>
          </w:tcPr>
          <w:p w14:paraId="1DEA1516" w14:textId="77777777" w:rsidR="00A5777A" w:rsidRDefault="00A5777A" w:rsidP="00FD119B">
            <w:r>
              <w:t>LAMP2</w:t>
            </w:r>
          </w:p>
        </w:tc>
        <w:tc>
          <w:tcPr>
            <w:tcW w:w="6830" w:type="dxa"/>
          </w:tcPr>
          <w:p w14:paraId="3837BA78" w14:textId="77777777" w:rsidR="00A5777A" w:rsidRDefault="00A5777A" w:rsidP="00FD119B">
            <w:r>
              <w:t>Liposome associated membrane protein 2</w:t>
            </w:r>
          </w:p>
        </w:tc>
      </w:tr>
      <w:tr w:rsidR="00A5777A" w:rsidRPr="00B8122D" w14:paraId="6E5285B5" w14:textId="77777777" w:rsidTr="005B3ECF">
        <w:tc>
          <w:tcPr>
            <w:tcW w:w="1890" w:type="dxa"/>
          </w:tcPr>
          <w:p w14:paraId="15F3AB28" w14:textId="77777777" w:rsidR="00A5777A" w:rsidRDefault="00A5777A" w:rsidP="00FD119B">
            <w:r>
              <w:t>LC-MS</w:t>
            </w:r>
          </w:p>
        </w:tc>
        <w:tc>
          <w:tcPr>
            <w:tcW w:w="6830" w:type="dxa"/>
          </w:tcPr>
          <w:p w14:paraId="3FF9D44E" w14:textId="77777777" w:rsidR="00A5777A" w:rsidRDefault="00A5777A" w:rsidP="00FD119B">
            <w:r>
              <w:t>L</w:t>
            </w:r>
            <w:r w:rsidRPr="00B8122D">
              <w:t>iquid chromatography mass spectrometry</w:t>
            </w:r>
          </w:p>
        </w:tc>
      </w:tr>
      <w:tr w:rsidR="00A5777A" w:rsidRPr="00B8122D" w14:paraId="5347A383" w14:textId="77777777" w:rsidTr="005B3ECF">
        <w:tc>
          <w:tcPr>
            <w:tcW w:w="1890" w:type="dxa"/>
          </w:tcPr>
          <w:p w14:paraId="6EE054A1" w14:textId="77777777" w:rsidR="00A5777A" w:rsidRDefault="00A5777A" w:rsidP="00FD119B">
            <w:r w:rsidRPr="00B8122D">
              <w:t>LEE011</w:t>
            </w:r>
          </w:p>
        </w:tc>
        <w:tc>
          <w:tcPr>
            <w:tcW w:w="6830" w:type="dxa"/>
          </w:tcPr>
          <w:p w14:paraId="2F1BA9A3" w14:textId="5BCB1966" w:rsidR="00A5777A" w:rsidRDefault="00A5777A" w:rsidP="00FD119B">
            <w:r>
              <w:t xml:space="preserve">Ribociclib succinate </w:t>
            </w:r>
            <w:r w:rsidR="00CE15C1">
              <w:t>(</w:t>
            </w:r>
            <w:r>
              <w:t>drug development name</w:t>
            </w:r>
            <w:r w:rsidR="00CE15C1">
              <w:t>)</w:t>
            </w:r>
          </w:p>
        </w:tc>
      </w:tr>
      <w:tr w:rsidR="00A5777A" w:rsidRPr="00B8122D" w14:paraId="748CD0D5" w14:textId="77777777" w:rsidTr="005B3ECF">
        <w:tc>
          <w:tcPr>
            <w:tcW w:w="1890" w:type="dxa"/>
          </w:tcPr>
          <w:p w14:paraId="7E58B57F" w14:textId="77777777" w:rsidR="00A5777A" w:rsidRPr="00174353" w:rsidRDefault="00A5777A" w:rsidP="00FD119B">
            <w:r w:rsidRPr="00B8122D">
              <w:t>LEQ803</w:t>
            </w:r>
          </w:p>
        </w:tc>
        <w:tc>
          <w:tcPr>
            <w:tcW w:w="6830" w:type="dxa"/>
          </w:tcPr>
          <w:p w14:paraId="2C37D255" w14:textId="77777777" w:rsidR="00A5777A" w:rsidRPr="00B8122D" w:rsidRDefault="00A5777A" w:rsidP="00FD119B">
            <w:r>
              <w:t>Major ribociclib metabolite in humans</w:t>
            </w:r>
          </w:p>
        </w:tc>
      </w:tr>
      <w:tr w:rsidR="00A5777A" w:rsidRPr="00B8122D" w14:paraId="48F8B3F3" w14:textId="77777777" w:rsidTr="005B3ECF">
        <w:tc>
          <w:tcPr>
            <w:tcW w:w="1890" w:type="dxa"/>
          </w:tcPr>
          <w:p w14:paraId="59345FEE" w14:textId="77777777" w:rsidR="00A5777A" w:rsidRDefault="00A5777A" w:rsidP="00FD119B">
            <w:r>
              <w:t>LFT</w:t>
            </w:r>
          </w:p>
        </w:tc>
        <w:tc>
          <w:tcPr>
            <w:tcW w:w="6830" w:type="dxa"/>
          </w:tcPr>
          <w:p w14:paraId="495124AC" w14:textId="77777777" w:rsidR="00A5777A" w:rsidRDefault="00A5777A" w:rsidP="00FD119B">
            <w:r>
              <w:t>Liver function test</w:t>
            </w:r>
          </w:p>
        </w:tc>
      </w:tr>
      <w:tr w:rsidR="00A5777A" w:rsidRPr="00B8122D" w14:paraId="03D50836" w14:textId="77777777" w:rsidTr="005B3ECF">
        <w:tc>
          <w:tcPr>
            <w:tcW w:w="1890" w:type="dxa"/>
          </w:tcPr>
          <w:p w14:paraId="081C4679" w14:textId="77777777" w:rsidR="00A5777A" w:rsidRPr="00B8122D" w:rsidRDefault="00A5777A" w:rsidP="00FD119B">
            <w:r>
              <w:t>MCF7</w:t>
            </w:r>
          </w:p>
        </w:tc>
        <w:tc>
          <w:tcPr>
            <w:tcW w:w="6830" w:type="dxa"/>
          </w:tcPr>
          <w:p w14:paraId="3FC85797" w14:textId="77777777" w:rsidR="00A5777A" w:rsidRDefault="00A5777A" w:rsidP="00FD119B">
            <w:r>
              <w:t>Michigan Cancer Foundation 7 breast cancer cell line</w:t>
            </w:r>
          </w:p>
        </w:tc>
      </w:tr>
      <w:tr w:rsidR="00A5777A" w:rsidRPr="00B8122D" w14:paraId="4A575394" w14:textId="77777777" w:rsidTr="005B3ECF">
        <w:tc>
          <w:tcPr>
            <w:tcW w:w="1890" w:type="dxa"/>
          </w:tcPr>
          <w:p w14:paraId="1EA8B69E" w14:textId="77777777" w:rsidR="00A5777A" w:rsidRDefault="00A5777A" w:rsidP="00FD119B">
            <w:r>
              <w:t>MCV</w:t>
            </w:r>
          </w:p>
        </w:tc>
        <w:tc>
          <w:tcPr>
            <w:tcW w:w="6830" w:type="dxa"/>
          </w:tcPr>
          <w:p w14:paraId="49728B50" w14:textId="77777777" w:rsidR="00A5777A" w:rsidRDefault="00A5777A" w:rsidP="00FD119B">
            <w:r>
              <w:t>Mean corpuscular volume</w:t>
            </w:r>
          </w:p>
        </w:tc>
      </w:tr>
      <w:tr w:rsidR="00A5777A" w:rsidRPr="00B8122D" w14:paraId="4025AAD4" w14:textId="77777777" w:rsidTr="005B3ECF">
        <w:tc>
          <w:tcPr>
            <w:tcW w:w="1890" w:type="dxa"/>
          </w:tcPr>
          <w:p w14:paraId="132E349A" w14:textId="77777777" w:rsidR="00A5777A" w:rsidRPr="00B8122D" w:rsidRDefault="00A5777A" w:rsidP="00FD119B">
            <w:r>
              <w:t>MDR1</w:t>
            </w:r>
          </w:p>
        </w:tc>
        <w:tc>
          <w:tcPr>
            <w:tcW w:w="6830" w:type="dxa"/>
          </w:tcPr>
          <w:p w14:paraId="6EA4B7A2" w14:textId="77777777" w:rsidR="00A5777A" w:rsidRDefault="00A5777A" w:rsidP="00FD119B">
            <w:r>
              <w:t>M</w:t>
            </w:r>
            <w:r w:rsidRPr="00B8122D">
              <w:t>ultidrug resistance protein 1</w:t>
            </w:r>
          </w:p>
        </w:tc>
      </w:tr>
      <w:tr w:rsidR="00A5777A" w:rsidRPr="00B8122D" w14:paraId="1FEC40E9" w14:textId="77777777" w:rsidTr="005B3ECF">
        <w:tc>
          <w:tcPr>
            <w:tcW w:w="1890" w:type="dxa"/>
          </w:tcPr>
          <w:p w14:paraId="00174CEE" w14:textId="77777777" w:rsidR="00A5777A" w:rsidRPr="00B8122D" w:rsidRDefault="00A5777A" w:rsidP="00FD119B">
            <w:r>
              <w:t>ms</w:t>
            </w:r>
          </w:p>
        </w:tc>
        <w:tc>
          <w:tcPr>
            <w:tcW w:w="6830" w:type="dxa"/>
          </w:tcPr>
          <w:p w14:paraId="18EEE5A2" w14:textId="43F8585C" w:rsidR="00A5777A" w:rsidRDefault="00A5777A" w:rsidP="00FD119B">
            <w:r>
              <w:t>Millisecond</w:t>
            </w:r>
            <w:r w:rsidR="00CE15C1">
              <w:t>(</w:t>
            </w:r>
            <w:r>
              <w:t>s</w:t>
            </w:r>
            <w:r w:rsidR="00CE15C1">
              <w:t>)</w:t>
            </w:r>
          </w:p>
        </w:tc>
      </w:tr>
      <w:tr w:rsidR="00A5777A" w:rsidRPr="00B8122D" w14:paraId="555A193E" w14:textId="77777777" w:rsidTr="005B3ECF">
        <w:tc>
          <w:tcPr>
            <w:tcW w:w="1890" w:type="dxa"/>
          </w:tcPr>
          <w:p w14:paraId="4582EF99" w14:textId="77777777" w:rsidR="00A5777A" w:rsidRPr="00B8122D" w:rsidRDefault="00A5777A" w:rsidP="00FD119B">
            <w:r>
              <w:t>MXR</w:t>
            </w:r>
          </w:p>
        </w:tc>
        <w:tc>
          <w:tcPr>
            <w:tcW w:w="6830" w:type="dxa"/>
          </w:tcPr>
          <w:p w14:paraId="4B2E96C0" w14:textId="77777777" w:rsidR="00A5777A" w:rsidRDefault="00A5777A" w:rsidP="00FD119B">
            <w:r>
              <w:t>M</w:t>
            </w:r>
            <w:r w:rsidRPr="00B8122D">
              <w:t>itoxantrone resistance protein</w:t>
            </w:r>
          </w:p>
        </w:tc>
      </w:tr>
      <w:tr w:rsidR="00A5777A" w:rsidRPr="00B8122D" w14:paraId="20389BDE" w14:textId="77777777" w:rsidTr="005B3ECF">
        <w:tc>
          <w:tcPr>
            <w:tcW w:w="1890" w:type="dxa"/>
          </w:tcPr>
          <w:p w14:paraId="7C874306" w14:textId="77777777" w:rsidR="00A5777A" w:rsidRDefault="00A5777A" w:rsidP="00FD119B">
            <w:r w:rsidRPr="00B8122D">
              <w:t>Na</w:t>
            </w:r>
            <w:r w:rsidRPr="00B8122D">
              <w:rPr>
                <w:vertAlign w:val="subscript"/>
              </w:rPr>
              <w:t>v</w:t>
            </w:r>
            <w:r w:rsidRPr="00B8122D">
              <w:t>1.5</w:t>
            </w:r>
          </w:p>
        </w:tc>
        <w:tc>
          <w:tcPr>
            <w:tcW w:w="6830" w:type="dxa"/>
          </w:tcPr>
          <w:p w14:paraId="6C2345C6" w14:textId="77777777" w:rsidR="00A5777A" w:rsidRDefault="00A5777A" w:rsidP="00FD119B">
            <w:r>
              <w:t>C</w:t>
            </w:r>
            <w:r w:rsidRPr="00B8122D">
              <w:t>ardiac sodium channel</w:t>
            </w:r>
          </w:p>
        </w:tc>
      </w:tr>
      <w:tr w:rsidR="00FC3C81" w:rsidRPr="00B8122D" w14:paraId="2F0F8C39" w14:textId="77777777" w:rsidTr="005B3ECF">
        <w:tc>
          <w:tcPr>
            <w:tcW w:w="1890" w:type="dxa"/>
          </w:tcPr>
          <w:p w14:paraId="5153539E" w14:textId="0283261A" w:rsidR="00FC3C81" w:rsidRPr="00B8122D" w:rsidRDefault="00FC3C81" w:rsidP="00FD119B">
            <w:r>
              <w:t>NCCN</w:t>
            </w:r>
          </w:p>
        </w:tc>
        <w:tc>
          <w:tcPr>
            <w:tcW w:w="6830" w:type="dxa"/>
          </w:tcPr>
          <w:p w14:paraId="04BBAE04" w14:textId="48B71652" w:rsidR="00FC3C81" w:rsidRDefault="00FC3C81" w:rsidP="00FD119B">
            <w:r w:rsidRPr="00FC3C81">
              <w:t>National Comprehensive Cancer Network</w:t>
            </w:r>
            <w:r w:rsidR="00CE15C1">
              <w:t xml:space="preserve"> (USA)</w:t>
            </w:r>
          </w:p>
        </w:tc>
      </w:tr>
      <w:tr w:rsidR="00A5777A" w:rsidRPr="00B8122D" w14:paraId="7BFCCD20" w14:textId="77777777" w:rsidTr="005B3ECF">
        <w:tc>
          <w:tcPr>
            <w:tcW w:w="1890" w:type="dxa"/>
          </w:tcPr>
          <w:p w14:paraId="36C04C85" w14:textId="77777777" w:rsidR="00A5777A" w:rsidRPr="00B8122D" w:rsidRDefault="00A5777A" w:rsidP="00FD119B">
            <w:r>
              <w:t>NCTP</w:t>
            </w:r>
          </w:p>
        </w:tc>
        <w:tc>
          <w:tcPr>
            <w:tcW w:w="6830" w:type="dxa"/>
          </w:tcPr>
          <w:p w14:paraId="0A445EFD" w14:textId="77777777" w:rsidR="00A5777A" w:rsidRDefault="00A5777A" w:rsidP="00FD119B">
            <w:r>
              <w:t>S</w:t>
            </w:r>
            <w:r w:rsidRPr="00B8122D">
              <w:t>odium/taurocholate co-transporting polypeptide</w:t>
            </w:r>
          </w:p>
        </w:tc>
      </w:tr>
      <w:tr w:rsidR="00A5777A" w:rsidRPr="00B8122D" w14:paraId="161C1EE5" w14:textId="77777777" w:rsidTr="005B3ECF">
        <w:tc>
          <w:tcPr>
            <w:tcW w:w="1890" w:type="dxa"/>
          </w:tcPr>
          <w:p w14:paraId="2C562DD3" w14:textId="77777777" w:rsidR="00A5777A" w:rsidRDefault="00A5777A" w:rsidP="00FD119B">
            <w:r>
              <w:t>NE</w:t>
            </w:r>
          </w:p>
        </w:tc>
        <w:tc>
          <w:tcPr>
            <w:tcW w:w="6830" w:type="dxa"/>
          </w:tcPr>
          <w:p w14:paraId="0128D265" w14:textId="77777777" w:rsidR="00A5777A" w:rsidRDefault="00A5777A" w:rsidP="00FD119B">
            <w:r>
              <w:t>Not estimable</w:t>
            </w:r>
          </w:p>
        </w:tc>
      </w:tr>
      <w:tr w:rsidR="00A5777A" w:rsidRPr="00B8122D" w14:paraId="0EF45D1B" w14:textId="77777777" w:rsidTr="005B3ECF">
        <w:tc>
          <w:tcPr>
            <w:tcW w:w="1890" w:type="dxa"/>
          </w:tcPr>
          <w:p w14:paraId="4FDA057E" w14:textId="77777777" w:rsidR="00A5777A" w:rsidRPr="00B8122D" w:rsidRDefault="00A5777A" w:rsidP="00FD119B">
            <w:r w:rsidRPr="00B8122D">
              <w:t>NMT</w:t>
            </w:r>
          </w:p>
        </w:tc>
        <w:tc>
          <w:tcPr>
            <w:tcW w:w="6830" w:type="dxa"/>
          </w:tcPr>
          <w:p w14:paraId="7A1190FE" w14:textId="77777777" w:rsidR="00A5777A" w:rsidRPr="00B8122D" w:rsidRDefault="00A5777A" w:rsidP="00FD119B">
            <w:r w:rsidRPr="00B8122D">
              <w:t>Not more than</w:t>
            </w:r>
          </w:p>
        </w:tc>
      </w:tr>
      <w:tr w:rsidR="00A5777A" w:rsidRPr="00B8122D" w14:paraId="110328A5" w14:textId="77777777" w:rsidTr="005B3ECF">
        <w:tc>
          <w:tcPr>
            <w:tcW w:w="1890" w:type="dxa"/>
          </w:tcPr>
          <w:p w14:paraId="4FA49FF6" w14:textId="77777777" w:rsidR="00A5777A" w:rsidRDefault="00A5777A" w:rsidP="00FD119B">
            <w:r>
              <w:t>NSAI</w:t>
            </w:r>
          </w:p>
        </w:tc>
        <w:tc>
          <w:tcPr>
            <w:tcW w:w="6830" w:type="dxa"/>
          </w:tcPr>
          <w:p w14:paraId="79998152" w14:textId="77777777" w:rsidR="00A5777A" w:rsidRDefault="00A5777A" w:rsidP="00FD119B">
            <w:r>
              <w:t>Non-steroidal aromatase inhibitor</w:t>
            </w:r>
          </w:p>
        </w:tc>
      </w:tr>
      <w:tr w:rsidR="00A5777A" w:rsidRPr="00B8122D" w14:paraId="63E2BCE9" w14:textId="77777777" w:rsidTr="005B3ECF">
        <w:tc>
          <w:tcPr>
            <w:tcW w:w="1890" w:type="dxa"/>
          </w:tcPr>
          <w:p w14:paraId="413AED2D" w14:textId="77777777" w:rsidR="00A5777A" w:rsidRPr="00B8122D" w:rsidRDefault="00A5777A" w:rsidP="00FD119B">
            <w:r>
              <w:t>OAT</w:t>
            </w:r>
          </w:p>
        </w:tc>
        <w:tc>
          <w:tcPr>
            <w:tcW w:w="6830" w:type="dxa"/>
          </w:tcPr>
          <w:p w14:paraId="0CA9A9C6" w14:textId="77777777" w:rsidR="00A5777A" w:rsidRDefault="00A5777A" w:rsidP="00FD119B">
            <w:r>
              <w:t>Organic anion transporter</w:t>
            </w:r>
          </w:p>
        </w:tc>
      </w:tr>
      <w:tr w:rsidR="00A5777A" w:rsidRPr="00B8122D" w14:paraId="6AF4FD5A" w14:textId="77777777" w:rsidTr="005B3ECF">
        <w:tc>
          <w:tcPr>
            <w:tcW w:w="1890" w:type="dxa"/>
          </w:tcPr>
          <w:p w14:paraId="0C762864" w14:textId="77777777" w:rsidR="00A5777A" w:rsidRPr="00B8122D" w:rsidRDefault="00A5777A" w:rsidP="00FD119B">
            <w:r>
              <w:lastRenderedPageBreak/>
              <w:t>OATP</w:t>
            </w:r>
          </w:p>
        </w:tc>
        <w:tc>
          <w:tcPr>
            <w:tcW w:w="6830" w:type="dxa"/>
          </w:tcPr>
          <w:p w14:paraId="2BF82D77" w14:textId="77777777" w:rsidR="00A5777A" w:rsidRDefault="00A5777A" w:rsidP="00FD119B">
            <w:r>
              <w:t>Organic anion transporter polypeptide</w:t>
            </w:r>
          </w:p>
        </w:tc>
      </w:tr>
      <w:tr w:rsidR="00A5777A" w:rsidRPr="00B8122D" w14:paraId="027C86D5" w14:textId="77777777" w:rsidTr="005B3ECF">
        <w:tc>
          <w:tcPr>
            <w:tcW w:w="1890" w:type="dxa"/>
          </w:tcPr>
          <w:p w14:paraId="53A85EB4" w14:textId="77777777" w:rsidR="00A5777A" w:rsidRPr="00B8122D" w:rsidRDefault="00A5777A" w:rsidP="00FD119B">
            <w:r>
              <w:t>OCT</w:t>
            </w:r>
          </w:p>
        </w:tc>
        <w:tc>
          <w:tcPr>
            <w:tcW w:w="6830" w:type="dxa"/>
          </w:tcPr>
          <w:p w14:paraId="7D4606B7" w14:textId="77777777" w:rsidR="00A5777A" w:rsidRDefault="00A5777A" w:rsidP="00FD119B">
            <w:r>
              <w:t>Organic cation transporter</w:t>
            </w:r>
          </w:p>
        </w:tc>
      </w:tr>
      <w:tr w:rsidR="00A5777A" w:rsidRPr="00B8122D" w14:paraId="603FDE25" w14:textId="77777777" w:rsidTr="005B3ECF">
        <w:tc>
          <w:tcPr>
            <w:tcW w:w="1890" w:type="dxa"/>
          </w:tcPr>
          <w:p w14:paraId="7E4D3FAA" w14:textId="77777777" w:rsidR="00A5777A" w:rsidRDefault="00A5777A" w:rsidP="00FD119B">
            <w:r>
              <w:t>ORR</w:t>
            </w:r>
          </w:p>
        </w:tc>
        <w:tc>
          <w:tcPr>
            <w:tcW w:w="6830" w:type="dxa"/>
          </w:tcPr>
          <w:p w14:paraId="749055FE" w14:textId="77777777" w:rsidR="00A5777A" w:rsidRDefault="00A5777A" w:rsidP="00FD119B">
            <w:r>
              <w:t>Overall response rate</w:t>
            </w:r>
          </w:p>
        </w:tc>
      </w:tr>
      <w:tr w:rsidR="00A5777A" w:rsidRPr="00B8122D" w14:paraId="06FFD890" w14:textId="77777777" w:rsidTr="005B3ECF">
        <w:tc>
          <w:tcPr>
            <w:tcW w:w="1890" w:type="dxa"/>
          </w:tcPr>
          <w:p w14:paraId="0D3A0870" w14:textId="77777777" w:rsidR="00A5777A" w:rsidRDefault="00A5777A" w:rsidP="00FD119B">
            <w:r>
              <w:t>OS</w:t>
            </w:r>
          </w:p>
        </w:tc>
        <w:tc>
          <w:tcPr>
            <w:tcW w:w="6830" w:type="dxa"/>
          </w:tcPr>
          <w:p w14:paraId="06625FBF" w14:textId="77777777" w:rsidR="00A5777A" w:rsidRDefault="00A5777A" w:rsidP="00FD119B">
            <w:r>
              <w:t>Overall survival</w:t>
            </w:r>
          </w:p>
        </w:tc>
      </w:tr>
      <w:tr w:rsidR="00A5777A" w:rsidRPr="00B8122D" w14:paraId="70235837" w14:textId="77777777" w:rsidTr="005B3ECF">
        <w:tc>
          <w:tcPr>
            <w:tcW w:w="1890" w:type="dxa"/>
          </w:tcPr>
          <w:p w14:paraId="2023CC4E" w14:textId="77777777" w:rsidR="00A5777A" w:rsidRPr="00B8122D" w:rsidRDefault="00A5777A" w:rsidP="00FD119B">
            <w:r>
              <w:t>P-gp</w:t>
            </w:r>
          </w:p>
        </w:tc>
        <w:tc>
          <w:tcPr>
            <w:tcW w:w="6830" w:type="dxa"/>
          </w:tcPr>
          <w:p w14:paraId="18618476" w14:textId="05783CA2" w:rsidR="00A5777A" w:rsidRDefault="00A5777A" w:rsidP="00FD119B">
            <w:r>
              <w:t>P-glycoprotein</w:t>
            </w:r>
          </w:p>
        </w:tc>
      </w:tr>
      <w:tr w:rsidR="00FC3C81" w:rsidRPr="00B8122D" w14:paraId="546E34CA" w14:textId="77777777" w:rsidTr="005B3ECF">
        <w:tc>
          <w:tcPr>
            <w:tcW w:w="1890" w:type="dxa"/>
          </w:tcPr>
          <w:p w14:paraId="3A8558B0" w14:textId="22EBF969" w:rsidR="00FC3C81" w:rsidRDefault="00FC3C81" w:rsidP="00FD119B">
            <w:r>
              <w:t>PBS</w:t>
            </w:r>
          </w:p>
        </w:tc>
        <w:tc>
          <w:tcPr>
            <w:tcW w:w="6830" w:type="dxa"/>
          </w:tcPr>
          <w:p w14:paraId="28A81D06" w14:textId="51CBE452" w:rsidR="00FC3C81" w:rsidRDefault="00FC3C81" w:rsidP="00FD119B">
            <w:r>
              <w:t>Pharmaceutical Benefits System</w:t>
            </w:r>
          </w:p>
        </w:tc>
      </w:tr>
      <w:tr w:rsidR="00A5777A" w:rsidRPr="00B8122D" w14:paraId="3F516042" w14:textId="77777777" w:rsidTr="005B3ECF">
        <w:tc>
          <w:tcPr>
            <w:tcW w:w="1890" w:type="dxa"/>
          </w:tcPr>
          <w:p w14:paraId="16FC1C69" w14:textId="77777777" w:rsidR="00A5777A" w:rsidRPr="00B8122D" w:rsidRDefault="00A5777A" w:rsidP="00FD119B">
            <w:r>
              <w:t>P450</w:t>
            </w:r>
          </w:p>
        </w:tc>
        <w:tc>
          <w:tcPr>
            <w:tcW w:w="6830" w:type="dxa"/>
          </w:tcPr>
          <w:p w14:paraId="60DAA74F" w14:textId="77777777" w:rsidR="00A5777A" w:rsidRDefault="00A5777A" w:rsidP="00FD119B">
            <w:r>
              <w:t>C</w:t>
            </w:r>
            <w:r w:rsidRPr="00B8122D">
              <w:t xml:space="preserve">ytochrome P450 </w:t>
            </w:r>
            <w:r>
              <w:t>system enzyme</w:t>
            </w:r>
          </w:p>
        </w:tc>
      </w:tr>
      <w:tr w:rsidR="00A5777A" w:rsidRPr="00B8122D" w14:paraId="5CCD9211" w14:textId="77777777" w:rsidTr="005B3ECF">
        <w:tc>
          <w:tcPr>
            <w:tcW w:w="1890" w:type="dxa"/>
          </w:tcPr>
          <w:p w14:paraId="2FE6A6A9" w14:textId="77777777" w:rsidR="00A5777A" w:rsidRDefault="00A5777A" w:rsidP="00FD119B">
            <w:r>
              <w:t>PD</w:t>
            </w:r>
          </w:p>
        </w:tc>
        <w:tc>
          <w:tcPr>
            <w:tcW w:w="6830" w:type="dxa"/>
          </w:tcPr>
          <w:p w14:paraId="3E945D56" w14:textId="77777777" w:rsidR="00A5777A" w:rsidRDefault="00A5777A" w:rsidP="00FD119B">
            <w:r>
              <w:t>Progressive disease</w:t>
            </w:r>
          </w:p>
        </w:tc>
      </w:tr>
      <w:tr w:rsidR="00A5777A" w:rsidRPr="00B8122D" w14:paraId="45F26274" w14:textId="77777777" w:rsidTr="005B3ECF">
        <w:tc>
          <w:tcPr>
            <w:tcW w:w="1890" w:type="dxa"/>
          </w:tcPr>
          <w:p w14:paraId="5569909C" w14:textId="77777777" w:rsidR="00A5777A" w:rsidRPr="00B8122D" w:rsidRDefault="00A5777A" w:rsidP="00FD119B">
            <w:r>
              <w:t>PDE</w:t>
            </w:r>
          </w:p>
        </w:tc>
        <w:tc>
          <w:tcPr>
            <w:tcW w:w="6830" w:type="dxa"/>
          </w:tcPr>
          <w:p w14:paraId="4DDD82DE" w14:textId="77777777" w:rsidR="00A5777A" w:rsidRDefault="00A5777A" w:rsidP="00FD119B">
            <w:r>
              <w:t>P</w:t>
            </w:r>
            <w:r w:rsidRPr="00B8122D">
              <w:t>hosphodiesterase</w:t>
            </w:r>
          </w:p>
        </w:tc>
      </w:tr>
      <w:tr w:rsidR="00A5777A" w:rsidRPr="00B8122D" w14:paraId="0AB7492A" w14:textId="77777777" w:rsidTr="005B3ECF">
        <w:tc>
          <w:tcPr>
            <w:tcW w:w="1890" w:type="dxa"/>
          </w:tcPr>
          <w:p w14:paraId="7EB7D3E1" w14:textId="77777777" w:rsidR="00A5777A" w:rsidRDefault="00A5777A" w:rsidP="00FD119B">
            <w:r>
              <w:t>PDE4</w:t>
            </w:r>
          </w:p>
        </w:tc>
        <w:tc>
          <w:tcPr>
            <w:tcW w:w="6830" w:type="dxa"/>
          </w:tcPr>
          <w:p w14:paraId="6D485379" w14:textId="77777777" w:rsidR="00A5777A" w:rsidRDefault="00A5777A" w:rsidP="00FD119B">
            <w:r>
              <w:t>Phosphodiesterase 4 subtype</w:t>
            </w:r>
          </w:p>
        </w:tc>
      </w:tr>
      <w:tr w:rsidR="00A5777A" w:rsidRPr="00B8122D" w14:paraId="63FB1B4A" w14:textId="77777777" w:rsidTr="005B3ECF">
        <w:tc>
          <w:tcPr>
            <w:tcW w:w="1890" w:type="dxa"/>
          </w:tcPr>
          <w:p w14:paraId="347E7BA4" w14:textId="77777777" w:rsidR="00A5777A" w:rsidRPr="00B8122D" w:rsidRDefault="00A5777A" w:rsidP="00FD119B">
            <w:r>
              <w:t>PDE4D</w:t>
            </w:r>
          </w:p>
        </w:tc>
        <w:tc>
          <w:tcPr>
            <w:tcW w:w="6830" w:type="dxa"/>
          </w:tcPr>
          <w:p w14:paraId="735A22EF" w14:textId="77777777" w:rsidR="00A5777A" w:rsidRDefault="00A5777A" w:rsidP="00FD119B">
            <w:r>
              <w:t>P</w:t>
            </w:r>
            <w:r w:rsidRPr="00B8122D">
              <w:t>hosphodiesterase</w:t>
            </w:r>
            <w:r>
              <w:t xml:space="preserve"> 4D subtype</w:t>
            </w:r>
          </w:p>
        </w:tc>
      </w:tr>
      <w:tr w:rsidR="00A5777A" w:rsidRPr="00B8122D" w14:paraId="08242A0D" w14:textId="77777777" w:rsidTr="005B3ECF">
        <w:tc>
          <w:tcPr>
            <w:tcW w:w="1890" w:type="dxa"/>
          </w:tcPr>
          <w:p w14:paraId="3352D873" w14:textId="77777777" w:rsidR="00A5777A" w:rsidRDefault="00A5777A" w:rsidP="00FD119B">
            <w:r>
              <w:t>PFS</w:t>
            </w:r>
          </w:p>
        </w:tc>
        <w:tc>
          <w:tcPr>
            <w:tcW w:w="6830" w:type="dxa"/>
          </w:tcPr>
          <w:p w14:paraId="0C468334" w14:textId="77777777" w:rsidR="00A5777A" w:rsidRDefault="00A5777A" w:rsidP="00FD119B">
            <w:r>
              <w:t>Progression free survival</w:t>
            </w:r>
          </w:p>
        </w:tc>
      </w:tr>
      <w:tr w:rsidR="00A5777A" w:rsidRPr="00B8122D" w14:paraId="42538E7A" w14:textId="77777777" w:rsidTr="005B3ECF">
        <w:tc>
          <w:tcPr>
            <w:tcW w:w="1890" w:type="dxa"/>
          </w:tcPr>
          <w:p w14:paraId="6E6DE520" w14:textId="77777777" w:rsidR="00A5777A" w:rsidRDefault="00A5777A" w:rsidP="00FD119B">
            <w:r>
              <w:t>PI</w:t>
            </w:r>
          </w:p>
        </w:tc>
        <w:tc>
          <w:tcPr>
            <w:tcW w:w="6830" w:type="dxa"/>
          </w:tcPr>
          <w:p w14:paraId="08FBE381" w14:textId="77777777" w:rsidR="00A5777A" w:rsidRDefault="00A5777A" w:rsidP="00FD119B">
            <w:r>
              <w:t>Product Information</w:t>
            </w:r>
          </w:p>
        </w:tc>
      </w:tr>
      <w:tr w:rsidR="00A5777A" w:rsidRPr="00B8122D" w14:paraId="0036F943" w14:textId="77777777" w:rsidTr="005B3ECF">
        <w:tc>
          <w:tcPr>
            <w:tcW w:w="1890" w:type="dxa"/>
          </w:tcPr>
          <w:p w14:paraId="1A8DA428" w14:textId="77777777" w:rsidR="00A5777A" w:rsidRPr="00B8122D" w:rsidRDefault="00A5777A" w:rsidP="00FD119B">
            <w:r>
              <w:t>PI3K</w:t>
            </w:r>
          </w:p>
        </w:tc>
        <w:tc>
          <w:tcPr>
            <w:tcW w:w="6830" w:type="dxa"/>
          </w:tcPr>
          <w:p w14:paraId="46DF5119" w14:textId="77777777" w:rsidR="00A5777A" w:rsidRDefault="00A5777A" w:rsidP="00FD119B">
            <w:r>
              <w:t>P</w:t>
            </w:r>
            <w:r w:rsidRPr="00766B79">
              <w:t>hosphoinositide 3-kinase</w:t>
            </w:r>
          </w:p>
        </w:tc>
      </w:tr>
      <w:tr w:rsidR="00A5777A" w:rsidRPr="00B8122D" w14:paraId="1803D555" w14:textId="77777777" w:rsidTr="005B3ECF">
        <w:tc>
          <w:tcPr>
            <w:tcW w:w="1890" w:type="dxa"/>
          </w:tcPr>
          <w:p w14:paraId="58053643" w14:textId="77777777" w:rsidR="00A5777A" w:rsidRDefault="00A5777A" w:rsidP="00FD119B">
            <w:r>
              <w:t>PopPK</w:t>
            </w:r>
          </w:p>
        </w:tc>
        <w:tc>
          <w:tcPr>
            <w:tcW w:w="6830" w:type="dxa"/>
          </w:tcPr>
          <w:p w14:paraId="5AFF87A6" w14:textId="5A51BC5A" w:rsidR="00A5777A" w:rsidRDefault="00A5777A" w:rsidP="00FD119B">
            <w:r>
              <w:t>Population pharmacokinetic</w:t>
            </w:r>
            <w:r w:rsidR="00CE15C1">
              <w:t>(</w:t>
            </w:r>
            <w:r>
              <w:t>s</w:t>
            </w:r>
            <w:r w:rsidR="00CE15C1">
              <w:t>)</w:t>
            </w:r>
          </w:p>
        </w:tc>
      </w:tr>
      <w:tr w:rsidR="00A5777A" w:rsidRPr="00B8122D" w14:paraId="4227A91F" w14:textId="77777777" w:rsidTr="005B3ECF">
        <w:tc>
          <w:tcPr>
            <w:tcW w:w="1890" w:type="dxa"/>
          </w:tcPr>
          <w:p w14:paraId="661BD22D" w14:textId="77777777" w:rsidR="00A5777A" w:rsidRDefault="00A5777A" w:rsidP="00FD119B">
            <w:r>
              <w:t>PPI</w:t>
            </w:r>
          </w:p>
        </w:tc>
        <w:tc>
          <w:tcPr>
            <w:tcW w:w="6830" w:type="dxa"/>
          </w:tcPr>
          <w:p w14:paraId="545B004F" w14:textId="77777777" w:rsidR="00A5777A" w:rsidRDefault="00A5777A" w:rsidP="00FD119B">
            <w:r>
              <w:t>Proton pump inhibitor</w:t>
            </w:r>
          </w:p>
        </w:tc>
      </w:tr>
      <w:tr w:rsidR="00A5777A" w:rsidRPr="00B8122D" w14:paraId="561A7A38" w14:textId="77777777" w:rsidTr="005B3ECF">
        <w:tc>
          <w:tcPr>
            <w:tcW w:w="1890" w:type="dxa"/>
          </w:tcPr>
          <w:p w14:paraId="068FDC9D" w14:textId="77777777" w:rsidR="00A5777A" w:rsidRDefault="00A5777A" w:rsidP="00FD119B">
            <w:r>
              <w:t>PR</w:t>
            </w:r>
          </w:p>
        </w:tc>
        <w:tc>
          <w:tcPr>
            <w:tcW w:w="6830" w:type="dxa"/>
          </w:tcPr>
          <w:p w14:paraId="580F180C" w14:textId="77777777" w:rsidR="00A5777A" w:rsidRDefault="00A5777A" w:rsidP="00FD119B">
            <w:r>
              <w:t>Partial response</w:t>
            </w:r>
          </w:p>
        </w:tc>
      </w:tr>
      <w:tr w:rsidR="00A5777A" w:rsidRPr="00B8122D" w14:paraId="77CF166E" w14:textId="77777777" w:rsidTr="005B3ECF">
        <w:tc>
          <w:tcPr>
            <w:tcW w:w="1890" w:type="dxa"/>
          </w:tcPr>
          <w:p w14:paraId="50CFABD5" w14:textId="77777777" w:rsidR="00A5777A" w:rsidRDefault="00A5777A" w:rsidP="00FD119B">
            <w:r>
              <w:t>PSUR</w:t>
            </w:r>
          </w:p>
        </w:tc>
        <w:tc>
          <w:tcPr>
            <w:tcW w:w="6830" w:type="dxa"/>
          </w:tcPr>
          <w:p w14:paraId="49FFDD06" w14:textId="77777777" w:rsidR="00A5777A" w:rsidRDefault="00A5777A" w:rsidP="00FD119B">
            <w:r>
              <w:t>Periodic safety update report</w:t>
            </w:r>
          </w:p>
        </w:tc>
      </w:tr>
      <w:tr w:rsidR="00A5777A" w:rsidRPr="00B8122D" w14:paraId="65C244DD" w14:textId="77777777" w:rsidTr="005B3ECF">
        <w:tc>
          <w:tcPr>
            <w:tcW w:w="1890" w:type="dxa"/>
          </w:tcPr>
          <w:p w14:paraId="5E9C5F56" w14:textId="77777777" w:rsidR="00A5777A" w:rsidRPr="00B8122D" w:rsidRDefault="00A5777A" w:rsidP="00FD119B">
            <w:r>
              <w:t>PVC</w:t>
            </w:r>
          </w:p>
        </w:tc>
        <w:tc>
          <w:tcPr>
            <w:tcW w:w="6830" w:type="dxa"/>
          </w:tcPr>
          <w:p w14:paraId="30025D4E" w14:textId="77777777" w:rsidR="00A5777A" w:rsidRDefault="00A5777A" w:rsidP="00FD119B">
            <w:r>
              <w:t>P</w:t>
            </w:r>
            <w:r w:rsidRPr="00B8122D">
              <w:t>remature ventricular contractions</w:t>
            </w:r>
          </w:p>
        </w:tc>
      </w:tr>
      <w:tr w:rsidR="00A5777A" w:rsidRPr="00B8122D" w14:paraId="581B2CC0" w14:textId="77777777" w:rsidTr="005B3ECF">
        <w:tc>
          <w:tcPr>
            <w:tcW w:w="1890" w:type="dxa"/>
          </w:tcPr>
          <w:p w14:paraId="68D8AFB8" w14:textId="77777777" w:rsidR="00A5777A" w:rsidRPr="00B8122D" w:rsidRDefault="00A5777A" w:rsidP="00FD119B">
            <w:r>
              <w:t>QT</w:t>
            </w:r>
          </w:p>
        </w:tc>
        <w:tc>
          <w:tcPr>
            <w:tcW w:w="6830" w:type="dxa"/>
          </w:tcPr>
          <w:p w14:paraId="5BDA1316" w14:textId="77777777" w:rsidR="00A5777A" w:rsidRDefault="00A5777A" w:rsidP="00FD119B">
            <w:r>
              <w:t xml:space="preserve">QT interval; </w:t>
            </w:r>
            <w:r w:rsidRPr="00252995">
              <w:rPr>
                <w:lang w:val="en-GB"/>
              </w:rPr>
              <w:t>a measure of the time between the start of the </w:t>
            </w:r>
            <w:r>
              <w:rPr>
                <w:bCs/>
                <w:lang w:val="en-GB"/>
              </w:rPr>
              <w:t>Q </w:t>
            </w:r>
            <w:r w:rsidRPr="00252995">
              <w:rPr>
                <w:bCs/>
                <w:lang w:val="en-GB"/>
              </w:rPr>
              <w:t>wave</w:t>
            </w:r>
            <w:r w:rsidRPr="00252995">
              <w:rPr>
                <w:lang w:val="en-GB"/>
              </w:rPr>
              <w:t> and the end of the </w:t>
            </w:r>
            <w:r w:rsidRPr="00252995">
              <w:rPr>
                <w:bCs/>
                <w:lang w:val="en-GB"/>
              </w:rPr>
              <w:t>T wave</w:t>
            </w:r>
            <w:r w:rsidRPr="00252995">
              <w:rPr>
                <w:lang w:val="en-GB"/>
              </w:rPr>
              <w:t> in the heart's electrical cycle</w:t>
            </w:r>
          </w:p>
        </w:tc>
      </w:tr>
      <w:tr w:rsidR="00A5777A" w:rsidRPr="00B8122D" w14:paraId="3D475A24" w14:textId="77777777" w:rsidTr="005B3ECF">
        <w:tc>
          <w:tcPr>
            <w:tcW w:w="1890" w:type="dxa"/>
          </w:tcPr>
          <w:p w14:paraId="2590A1F6" w14:textId="77777777" w:rsidR="00A5777A" w:rsidRPr="00B8122D" w:rsidRDefault="00A5777A" w:rsidP="00FD119B">
            <w:r>
              <w:t>QTc</w:t>
            </w:r>
          </w:p>
        </w:tc>
        <w:tc>
          <w:tcPr>
            <w:tcW w:w="6830" w:type="dxa"/>
          </w:tcPr>
          <w:p w14:paraId="38A21689" w14:textId="77777777" w:rsidR="00A5777A" w:rsidRDefault="00A5777A" w:rsidP="00FD119B">
            <w:r>
              <w:t xml:space="preserve">Corrected QT interval; </w:t>
            </w:r>
            <w:r>
              <w:rPr>
                <w:lang w:val="en-GB"/>
              </w:rPr>
              <w:t>QTc is the QT interval corrected for heart rate</w:t>
            </w:r>
          </w:p>
        </w:tc>
      </w:tr>
      <w:tr w:rsidR="00A5777A" w:rsidRPr="00B8122D" w14:paraId="78151AD8" w14:textId="77777777" w:rsidTr="005B3ECF">
        <w:tc>
          <w:tcPr>
            <w:tcW w:w="1890" w:type="dxa"/>
          </w:tcPr>
          <w:p w14:paraId="7559DEC8" w14:textId="77777777" w:rsidR="00A5777A" w:rsidRDefault="00A5777A" w:rsidP="00FD119B">
            <w:r>
              <w:t>QTcF</w:t>
            </w:r>
          </w:p>
        </w:tc>
        <w:tc>
          <w:tcPr>
            <w:tcW w:w="6830" w:type="dxa"/>
          </w:tcPr>
          <w:p w14:paraId="13C49858" w14:textId="2F231D7E" w:rsidR="00A5777A" w:rsidRDefault="00A5777A" w:rsidP="0082575C">
            <w:r>
              <w:t>QT interval corrected for heart rate using Frederica’s formula</w:t>
            </w:r>
          </w:p>
        </w:tc>
      </w:tr>
      <w:tr w:rsidR="00A5777A" w:rsidRPr="00B8122D" w14:paraId="08A112F3" w14:textId="77777777" w:rsidTr="005B3ECF">
        <w:tc>
          <w:tcPr>
            <w:tcW w:w="1890" w:type="dxa"/>
          </w:tcPr>
          <w:p w14:paraId="5CB3B71E" w14:textId="77777777" w:rsidR="00A5777A" w:rsidRPr="00B8122D" w:rsidRDefault="00A5777A" w:rsidP="00FD119B">
            <w:r w:rsidRPr="00B8122D">
              <w:t>Rb</w:t>
            </w:r>
          </w:p>
        </w:tc>
        <w:tc>
          <w:tcPr>
            <w:tcW w:w="6830" w:type="dxa"/>
          </w:tcPr>
          <w:p w14:paraId="7584F467" w14:textId="77777777" w:rsidR="00A5777A" w:rsidRPr="00B8122D" w:rsidRDefault="00A5777A" w:rsidP="00FD119B">
            <w:r w:rsidRPr="00B8122D">
              <w:t>Retinoblastoma protein</w:t>
            </w:r>
          </w:p>
        </w:tc>
      </w:tr>
      <w:tr w:rsidR="00A5777A" w:rsidRPr="00B8122D" w14:paraId="3791D7AA" w14:textId="77777777" w:rsidTr="005B3ECF">
        <w:tc>
          <w:tcPr>
            <w:tcW w:w="1890" w:type="dxa"/>
          </w:tcPr>
          <w:p w14:paraId="2660ADC0" w14:textId="77777777" w:rsidR="00A5777A" w:rsidRDefault="00A5777A" w:rsidP="00FD119B">
            <w:r>
              <w:t>RMP</w:t>
            </w:r>
          </w:p>
        </w:tc>
        <w:tc>
          <w:tcPr>
            <w:tcW w:w="6830" w:type="dxa"/>
          </w:tcPr>
          <w:p w14:paraId="65F65E70" w14:textId="63AD593F" w:rsidR="00A5777A" w:rsidRDefault="00A5777A" w:rsidP="00FD119B">
            <w:r>
              <w:t xml:space="preserve">Risk </w:t>
            </w:r>
            <w:r w:rsidR="00CE15C1">
              <w:t>m</w:t>
            </w:r>
            <w:r>
              <w:t>anagement plan</w:t>
            </w:r>
          </w:p>
        </w:tc>
      </w:tr>
      <w:tr w:rsidR="00A5777A" w:rsidRPr="00B8122D" w14:paraId="062BE746" w14:textId="77777777" w:rsidTr="005B3ECF">
        <w:tc>
          <w:tcPr>
            <w:tcW w:w="1890" w:type="dxa"/>
          </w:tcPr>
          <w:p w14:paraId="710B5A97" w14:textId="77777777" w:rsidR="00A5777A" w:rsidRPr="00B8122D" w:rsidRDefault="00A5777A" w:rsidP="00FD119B">
            <w:r>
              <w:t>SCID</w:t>
            </w:r>
          </w:p>
        </w:tc>
        <w:tc>
          <w:tcPr>
            <w:tcW w:w="6830" w:type="dxa"/>
          </w:tcPr>
          <w:p w14:paraId="5B9F37C8" w14:textId="77777777" w:rsidR="00A5777A" w:rsidRDefault="00A5777A" w:rsidP="00FD119B">
            <w:r>
              <w:t>S</w:t>
            </w:r>
            <w:r w:rsidRPr="00B8122D">
              <w:t>evere combined immunodeficient</w:t>
            </w:r>
          </w:p>
        </w:tc>
      </w:tr>
      <w:tr w:rsidR="00A5777A" w:rsidRPr="00B8122D" w14:paraId="6FCC3CD4" w14:textId="77777777" w:rsidTr="005B3ECF">
        <w:tc>
          <w:tcPr>
            <w:tcW w:w="1890" w:type="dxa"/>
          </w:tcPr>
          <w:p w14:paraId="5D542652" w14:textId="77777777" w:rsidR="00A5777A" w:rsidRDefault="00A5777A" w:rsidP="00FD119B">
            <w:r>
              <w:lastRenderedPageBreak/>
              <w:t>SD</w:t>
            </w:r>
          </w:p>
        </w:tc>
        <w:tc>
          <w:tcPr>
            <w:tcW w:w="6830" w:type="dxa"/>
          </w:tcPr>
          <w:p w14:paraId="004EF2FB" w14:textId="77777777" w:rsidR="00A5777A" w:rsidRDefault="00A5777A" w:rsidP="00FD119B">
            <w:r>
              <w:t>Stable disease</w:t>
            </w:r>
          </w:p>
        </w:tc>
      </w:tr>
      <w:tr w:rsidR="00DA3C75" w:rsidRPr="00B8122D" w14:paraId="1F01830A" w14:textId="77777777" w:rsidTr="005B3ECF">
        <w:tc>
          <w:tcPr>
            <w:tcW w:w="1890" w:type="dxa"/>
          </w:tcPr>
          <w:p w14:paraId="6957C592" w14:textId="180CC7F0" w:rsidR="00DA3C75" w:rsidRDefault="00DA3C75" w:rsidP="00FD119B">
            <w:r>
              <w:t>SERD</w:t>
            </w:r>
          </w:p>
        </w:tc>
        <w:tc>
          <w:tcPr>
            <w:tcW w:w="6830" w:type="dxa"/>
          </w:tcPr>
          <w:p w14:paraId="67436188" w14:textId="51C1F844" w:rsidR="00DA3C75" w:rsidRDefault="00DA3C75" w:rsidP="00FD119B">
            <w:r>
              <w:t>Selective oestrogen receptor down regulator</w:t>
            </w:r>
          </w:p>
        </w:tc>
      </w:tr>
      <w:tr w:rsidR="00DA3C75" w:rsidRPr="00B8122D" w14:paraId="69247666" w14:textId="77777777" w:rsidTr="005B3ECF">
        <w:tc>
          <w:tcPr>
            <w:tcW w:w="1890" w:type="dxa"/>
          </w:tcPr>
          <w:p w14:paraId="3C99A79A" w14:textId="36DF0F48" w:rsidR="00DA3C75" w:rsidRDefault="00DA3C75" w:rsidP="00FD119B">
            <w:r>
              <w:t>SERM</w:t>
            </w:r>
          </w:p>
        </w:tc>
        <w:tc>
          <w:tcPr>
            <w:tcW w:w="6830" w:type="dxa"/>
          </w:tcPr>
          <w:p w14:paraId="6DBF90D7" w14:textId="01FFEA08" w:rsidR="00DA3C75" w:rsidRDefault="00DA3C75" w:rsidP="00FD119B">
            <w:r>
              <w:t>S</w:t>
            </w:r>
            <w:r w:rsidRPr="00B8122D">
              <w:t>elective oestrogen receptor modifier</w:t>
            </w:r>
          </w:p>
        </w:tc>
      </w:tr>
      <w:tr w:rsidR="00A5777A" w:rsidRPr="00B8122D" w14:paraId="3A1945D2" w14:textId="77777777" w:rsidTr="005B3ECF">
        <w:tc>
          <w:tcPr>
            <w:tcW w:w="1890" w:type="dxa"/>
          </w:tcPr>
          <w:p w14:paraId="09469352" w14:textId="77777777" w:rsidR="00A5777A" w:rsidRPr="00B8122D" w:rsidRDefault="00A5777A" w:rsidP="00FD119B">
            <w:r w:rsidRPr="00B8122D">
              <w:t>t</w:t>
            </w:r>
            <w:r w:rsidRPr="00B8122D">
              <w:rPr>
                <w:vertAlign w:val="subscript"/>
              </w:rPr>
              <w:t>½</w:t>
            </w:r>
          </w:p>
        </w:tc>
        <w:tc>
          <w:tcPr>
            <w:tcW w:w="6830" w:type="dxa"/>
          </w:tcPr>
          <w:p w14:paraId="738E6DDA" w14:textId="77777777" w:rsidR="00A5777A" w:rsidRDefault="00A5777A" w:rsidP="00FD119B">
            <w:r>
              <w:t>Half life</w:t>
            </w:r>
          </w:p>
        </w:tc>
      </w:tr>
      <w:tr w:rsidR="00A5777A" w:rsidRPr="00B8122D" w14:paraId="7964095F" w14:textId="77777777" w:rsidTr="005B3ECF">
        <w:tc>
          <w:tcPr>
            <w:tcW w:w="1890" w:type="dxa"/>
          </w:tcPr>
          <w:p w14:paraId="76986C6B" w14:textId="77777777" w:rsidR="00A5777A" w:rsidRDefault="00A5777A" w:rsidP="00FD119B">
            <w:r>
              <w:t>TBL</w:t>
            </w:r>
          </w:p>
        </w:tc>
        <w:tc>
          <w:tcPr>
            <w:tcW w:w="6830" w:type="dxa"/>
          </w:tcPr>
          <w:p w14:paraId="50842A9F" w14:textId="77777777" w:rsidR="00A5777A" w:rsidRDefault="00A5777A" w:rsidP="00FD119B">
            <w:r>
              <w:t>Total bilirubin</w:t>
            </w:r>
          </w:p>
        </w:tc>
      </w:tr>
      <w:tr w:rsidR="00A5777A" w:rsidRPr="00B8122D" w14:paraId="6AD0BF19" w14:textId="77777777" w:rsidTr="005B3ECF">
        <w:tc>
          <w:tcPr>
            <w:tcW w:w="1890" w:type="dxa"/>
          </w:tcPr>
          <w:p w14:paraId="0DC88C22" w14:textId="77777777" w:rsidR="00A5777A" w:rsidRPr="00B8122D" w:rsidRDefault="00A5777A" w:rsidP="00FD119B">
            <w:r w:rsidRPr="00221610">
              <w:t>t</w:t>
            </w:r>
            <w:r w:rsidRPr="00221610">
              <w:rPr>
                <w:vertAlign w:val="subscript"/>
              </w:rPr>
              <w:t>last</w:t>
            </w:r>
          </w:p>
        </w:tc>
        <w:tc>
          <w:tcPr>
            <w:tcW w:w="6830" w:type="dxa"/>
          </w:tcPr>
          <w:p w14:paraId="61B4A953" w14:textId="7BABFA97" w:rsidR="00A5777A" w:rsidRDefault="00CE15C1" w:rsidP="00FD119B">
            <w:r>
              <w:t>T</w:t>
            </w:r>
            <w:r w:rsidR="00A5777A" w:rsidRPr="00B8122D">
              <w:t>ime of last measured concentration</w:t>
            </w:r>
          </w:p>
        </w:tc>
      </w:tr>
      <w:tr w:rsidR="00A5777A" w:rsidRPr="00B8122D" w14:paraId="5D6B5206" w14:textId="77777777" w:rsidTr="005B3ECF">
        <w:tc>
          <w:tcPr>
            <w:tcW w:w="1890" w:type="dxa"/>
          </w:tcPr>
          <w:p w14:paraId="65401C23" w14:textId="77777777" w:rsidR="00A5777A" w:rsidRPr="00B8122D" w:rsidRDefault="00A5777A" w:rsidP="00FD119B">
            <w:r w:rsidRPr="00B8122D">
              <w:t>t</w:t>
            </w:r>
            <w:r w:rsidRPr="00B8122D">
              <w:rPr>
                <w:vertAlign w:val="subscript"/>
              </w:rPr>
              <w:t>max</w:t>
            </w:r>
          </w:p>
        </w:tc>
        <w:tc>
          <w:tcPr>
            <w:tcW w:w="6830" w:type="dxa"/>
          </w:tcPr>
          <w:p w14:paraId="678466DE" w14:textId="77777777" w:rsidR="00A5777A" w:rsidRPr="00B8122D" w:rsidRDefault="00A5777A" w:rsidP="00FD119B">
            <w:r w:rsidRPr="00B8122D">
              <w:t>Time of maximum observed concentration</w:t>
            </w:r>
          </w:p>
        </w:tc>
      </w:tr>
      <w:tr w:rsidR="00A5777A" w:rsidRPr="00B8122D" w14:paraId="5F66B7C7" w14:textId="77777777" w:rsidTr="005B3ECF">
        <w:tc>
          <w:tcPr>
            <w:tcW w:w="1890" w:type="dxa"/>
          </w:tcPr>
          <w:p w14:paraId="7936A849" w14:textId="77777777" w:rsidR="00A5777A" w:rsidRDefault="00A5777A" w:rsidP="00FD119B">
            <w:r>
              <w:t>ULN</w:t>
            </w:r>
          </w:p>
        </w:tc>
        <w:tc>
          <w:tcPr>
            <w:tcW w:w="6830" w:type="dxa"/>
          </w:tcPr>
          <w:p w14:paraId="40E2FF3E" w14:textId="77777777" w:rsidR="00A5777A" w:rsidRDefault="00A5777A" w:rsidP="00FD119B">
            <w:r>
              <w:t>Upper limit of normal</w:t>
            </w:r>
          </w:p>
        </w:tc>
      </w:tr>
      <w:tr w:rsidR="00A5777A" w:rsidRPr="00B8122D" w14:paraId="7E959E3D" w14:textId="77777777" w:rsidTr="005B3ECF">
        <w:tc>
          <w:tcPr>
            <w:tcW w:w="1890" w:type="dxa"/>
          </w:tcPr>
          <w:p w14:paraId="02A5275C" w14:textId="4F61BA80" w:rsidR="00A5777A" w:rsidRDefault="00A5777A" w:rsidP="00FD119B">
            <w:r>
              <w:t>US</w:t>
            </w:r>
            <w:r w:rsidR="00CE15C1">
              <w:t>(A)</w:t>
            </w:r>
          </w:p>
        </w:tc>
        <w:tc>
          <w:tcPr>
            <w:tcW w:w="6830" w:type="dxa"/>
          </w:tcPr>
          <w:p w14:paraId="14E3B4A3" w14:textId="733CAA98" w:rsidR="00A5777A" w:rsidRDefault="00A5777A" w:rsidP="00FD119B">
            <w:r>
              <w:t>United States</w:t>
            </w:r>
            <w:r w:rsidR="00CE15C1">
              <w:t xml:space="preserve"> (of America)</w:t>
            </w:r>
          </w:p>
        </w:tc>
      </w:tr>
      <w:tr w:rsidR="00A5777A" w:rsidRPr="00B8122D" w14:paraId="6BC3AC60" w14:textId="77777777" w:rsidTr="005B3ECF">
        <w:tc>
          <w:tcPr>
            <w:tcW w:w="1890" w:type="dxa"/>
          </w:tcPr>
          <w:p w14:paraId="4CE496E0" w14:textId="77777777" w:rsidR="00A5777A" w:rsidRDefault="00A5777A" w:rsidP="00FD119B">
            <w:r>
              <w:t>UV</w:t>
            </w:r>
          </w:p>
        </w:tc>
        <w:tc>
          <w:tcPr>
            <w:tcW w:w="6830" w:type="dxa"/>
          </w:tcPr>
          <w:p w14:paraId="787CEE02" w14:textId="77777777" w:rsidR="00A5777A" w:rsidRDefault="00A5777A" w:rsidP="00FD119B">
            <w:r>
              <w:t>Ultraviolet</w:t>
            </w:r>
          </w:p>
        </w:tc>
      </w:tr>
      <w:tr w:rsidR="00A5777A" w:rsidRPr="00B8122D" w14:paraId="2F4960DF" w14:textId="77777777" w:rsidTr="005B3ECF">
        <w:tc>
          <w:tcPr>
            <w:tcW w:w="1890" w:type="dxa"/>
          </w:tcPr>
          <w:p w14:paraId="4CB8BD36" w14:textId="77777777" w:rsidR="00A5777A" w:rsidRPr="00B8122D" w:rsidRDefault="00A5777A" w:rsidP="00FD119B">
            <w:r w:rsidRPr="00B8122D">
              <w:t>V</w:t>
            </w:r>
            <w:r w:rsidRPr="00B8122D">
              <w:rPr>
                <w:vertAlign w:val="subscript"/>
              </w:rPr>
              <w:t>d</w:t>
            </w:r>
          </w:p>
        </w:tc>
        <w:tc>
          <w:tcPr>
            <w:tcW w:w="6830" w:type="dxa"/>
          </w:tcPr>
          <w:p w14:paraId="663F8E77" w14:textId="77777777" w:rsidR="00A5777A" w:rsidRDefault="00A5777A" w:rsidP="00FD119B">
            <w:r>
              <w:t>Volume of distribution</w:t>
            </w:r>
          </w:p>
        </w:tc>
      </w:tr>
      <w:tr w:rsidR="00A5777A" w:rsidRPr="00B8122D" w14:paraId="0DFFE02E" w14:textId="77777777" w:rsidTr="005B3ECF">
        <w:tc>
          <w:tcPr>
            <w:tcW w:w="1890" w:type="dxa"/>
          </w:tcPr>
          <w:p w14:paraId="2D16053C" w14:textId="77777777" w:rsidR="00A5777A" w:rsidRDefault="00A5777A" w:rsidP="00FD119B">
            <w:r>
              <w:t>VMAT2</w:t>
            </w:r>
          </w:p>
        </w:tc>
        <w:tc>
          <w:tcPr>
            <w:tcW w:w="6830" w:type="dxa"/>
          </w:tcPr>
          <w:p w14:paraId="40D38771" w14:textId="77777777" w:rsidR="00A5777A" w:rsidRDefault="00A5777A" w:rsidP="00FD119B">
            <w:r>
              <w:t>V</w:t>
            </w:r>
            <w:r w:rsidRPr="00B8122D">
              <w:t>esicular monoamine transporter 2</w:t>
            </w:r>
          </w:p>
        </w:tc>
      </w:tr>
      <w:tr w:rsidR="00A5777A" w:rsidRPr="00B8122D" w14:paraId="6B85E04E" w14:textId="77777777" w:rsidTr="005B3ECF">
        <w:tc>
          <w:tcPr>
            <w:tcW w:w="1890" w:type="dxa"/>
          </w:tcPr>
          <w:p w14:paraId="2C480E4B" w14:textId="77777777" w:rsidR="00A5777A" w:rsidRPr="00B8122D" w:rsidRDefault="00A5777A" w:rsidP="00FD119B">
            <w:r>
              <w:t>V</w:t>
            </w:r>
            <w:r w:rsidRPr="00C81C23">
              <w:rPr>
                <w:vertAlign w:val="subscript"/>
              </w:rPr>
              <w:t>max</w:t>
            </w:r>
          </w:p>
        </w:tc>
        <w:tc>
          <w:tcPr>
            <w:tcW w:w="6830" w:type="dxa"/>
          </w:tcPr>
          <w:p w14:paraId="635914F5" w14:textId="77777777" w:rsidR="00A5777A" w:rsidRDefault="00A5777A" w:rsidP="00FD119B">
            <w:r>
              <w:t>Maximum velocity</w:t>
            </w:r>
          </w:p>
        </w:tc>
      </w:tr>
      <w:tr w:rsidR="00A5777A" w:rsidRPr="00B8122D" w14:paraId="04B9F2B7" w14:textId="77777777" w:rsidTr="005B3ECF">
        <w:tc>
          <w:tcPr>
            <w:tcW w:w="1890" w:type="dxa"/>
          </w:tcPr>
          <w:p w14:paraId="09FB005B" w14:textId="77777777" w:rsidR="00A5777A" w:rsidRDefault="00A5777A" w:rsidP="00FD119B">
            <w:r>
              <w:t>VT</w:t>
            </w:r>
          </w:p>
        </w:tc>
        <w:tc>
          <w:tcPr>
            <w:tcW w:w="6830" w:type="dxa"/>
          </w:tcPr>
          <w:p w14:paraId="7D496BD0" w14:textId="77777777" w:rsidR="00A5777A" w:rsidRDefault="00A5777A" w:rsidP="00FD119B">
            <w:r>
              <w:t>Ventricular tachycardia</w:t>
            </w:r>
          </w:p>
        </w:tc>
      </w:tr>
    </w:tbl>
    <w:p w14:paraId="282BCAA2" w14:textId="77777777" w:rsidR="008E7846" w:rsidRPr="00B8122D" w:rsidRDefault="00F53C07" w:rsidP="00AF4455">
      <w:pPr>
        <w:pStyle w:val="Heading2"/>
        <w:pageBreakBefore/>
        <w:spacing w:before="0"/>
      </w:pPr>
      <w:bookmarkStart w:id="8" w:name="_Toc44685885"/>
      <w:r w:rsidRPr="00B8122D">
        <w:lastRenderedPageBreak/>
        <w:t>I.</w:t>
      </w:r>
      <w:r w:rsidR="008E7846" w:rsidRPr="00B8122D">
        <w:t xml:space="preserve"> Introduction to product submission</w:t>
      </w:r>
      <w:bookmarkEnd w:id="8"/>
      <w:bookmarkEnd w:id="2"/>
      <w:bookmarkEnd w:id="0"/>
    </w:p>
    <w:p w14:paraId="33096ACA" w14:textId="77777777" w:rsidR="008E7846" w:rsidRPr="00B8122D" w:rsidRDefault="008E7846" w:rsidP="008E7846">
      <w:pPr>
        <w:pStyle w:val="Heading3"/>
        <w:rPr>
          <w:lang w:eastAsia="en-AU"/>
        </w:rPr>
      </w:pPr>
      <w:bookmarkStart w:id="9" w:name="_Toc247691502"/>
      <w:bookmarkStart w:id="10" w:name="_Toc314842483"/>
      <w:bookmarkStart w:id="11" w:name="_Toc44685886"/>
      <w:r w:rsidRPr="00B8122D">
        <w:rPr>
          <w:lang w:eastAsia="en-AU"/>
        </w:rPr>
        <w:t>Submission details</w:t>
      </w:r>
      <w:bookmarkEnd w:id="9"/>
      <w:bookmarkEnd w:id="10"/>
      <w:bookmarkEnd w:id="11"/>
    </w:p>
    <w:tbl>
      <w:tblPr>
        <w:tblW w:w="9497" w:type="dxa"/>
        <w:tblInd w:w="108" w:type="dxa"/>
        <w:tblLook w:val="01E0" w:firstRow="1" w:lastRow="1" w:firstColumn="1" w:lastColumn="1" w:noHBand="0" w:noVBand="0"/>
      </w:tblPr>
      <w:tblGrid>
        <w:gridCol w:w="2907"/>
        <w:gridCol w:w="6590"/>
      </w:tblGrid>
      <w:tr w:rsidR="008E7846" w:rsidRPr="00B8122D" w14:paraId="2B422060" w14:textId="77777777" w:rsidTr="0089635C">
        <w:trPr>
          <w:trHeight w:hRule="exact" w:val="454"/>
        </w:trPr>
        <w:tc>
          <w:tcPr>
            <w:tcW w:w="2907" w:type="dxa"/>
          </w:tcPr>
          <w:p w14:paraId="0B529B3B" w14:textId="77777777" w:rsidR="008E7846" w:rsidRPr="00B8122D" w:rsidRDefault="001B5C90" w:rsidP="001B5C90">
            <w:pPr>
              <w:rPr>
                <w:i/>
              </w:rPr>
            </w:pPr>
            <w:r w:rsidRPr="00B8122D">
              <w:rPr>
                <w:i/>
              </w:rPr>
              <w:t>Type of s</w:t>
            </w:r>
            <w:r w:rsidR="008E7846" w:rsidRPr="00B8122D">
              <w:rPr>
                <w:i/>
              </w:rPr>
              <w:t>ubmission</w:t>
            </w:r>
            <w:r w:rsidRPr="00B8122D">
              <w:rPr>
                <w:i/>
              </w:rPr>
              <w:t>:</w:t>
            </w:r>
          </w:p>
        </w:tc>
        <w:tc>
          <w:tcPr>
            <w:tcW w:w="6590" w:type="dxa"/>
          </w:tcPr>
          <w:p w14:paraId="7B19E3B9" w14:textId="05A7A844" w:rsidR="008E7846" w:rsidRPr="00B8122D" w:rsidRDefault="008E7846" w:rsidP="00987621">
            <w:r w:rsidRPr="00B8122D">
              <w:t xml:space="preserve">New </w:t>
            </w:r>
            <w:r w:rsidR="001B5C90" w:rsidRPr="00B8122D">
              <w:t>c</w:t>
            </w:r>
            <w:r w:rsidRPr="00B8122D">
              <w:t xml:space="preserve">hemical </w:t>
            </w:r>
            <w:r w:rsidR="001B5C90" w:rsidRPr="00B8122D">
              <w:t>e</w:t>
            </w:r>
            <w:r w:rsidR="00987621" w:rsidRPr="00B8122D">
              <w:t>ntity</w:t>
            </w:r>
          </w:p>
        </w:tc>
      </w:tr>
      <w:tr w:rsidR="008E7846" w:rsidRPr="00B8122D" w14:paraId="63509426" w14:textId="77777777" w:rsidTr="0089635C">
        <w:trPr>
          <w:trHeight w:hRule="exact" w:val="454"/>
        </w:trPr>
        <w:tc>
          <w:tcPr>
            <w:tcW w:w="2907" w:type="dxa"/>
          </w:tcPr>
          <w:p w14:paraId="22E0D992" w14:textId="77777777" w:rsidR="008E7846" w:rsidRPr="00B8122D" w:rsidRDefault="008E7846" w:rsidP="003D1E62">
            <w:r w:rsidRPr="00B8122D">
              <w:rPr>
                <w:i/>
              </w:rPr>
              <w:t>Decision</w:t>
            </w:r>
            <w:r w:rsidRPr="00B8122D">
              <w:t>:</w:t>
            </w:r>
          </w:p>
        </w:tc>
        <w:tc>
          <w:tcPr>
            <w:tcW w:w="6590" w:type="dxa"/>
          </w:tcPr>
          <w:p w14:paraId="27076F96" w14:textId="17BACA4A" w:rsidR="008E7846" w:rsidRPr="00B8122D" w:rsidRDefault="00987621" w:rsidP="00987621">
            <w:r w:rsidRPr="00B8122D">
              <w:t>Approved</w:t>
            </w:r>
          </w:p>
        </w:tc>
      </w:tr>
      <w:tr w:rsidR="008E7846" w:rsidRPr="00B8122D" w14:paraId="6439B45A" w14:textId="77777777" w:rsidTr="0089635C">
        <w:trPr>
          <w:trHeight w:hRule="exact" w:val="454"/>
        </w:trPr>
        <w:tc>
          <w:tcPr>
            <w:tcW w:w="2907" w:type="dxa"/>
          </w:tcPr>
          <w:p w14:paraId="25505AA9" w14:textId="77777777" w:rsidR="008E7846" w:rsidRPr="00B8122D" w:rsidRDefault="008E7846" w:rsidP="001B5C90">
            <w:pPr>
              <w:rPr>
                <w:i/>
              </w:rPr>
            </w:pPr>
            <w:r w:rsidRPr="00B8122D">
              <w:rPr>
                <w:i/>
              </w:rPr>
              <w:t xml:space="preserve">Date of </w:t>
            </w:r>
            <w:r w:rsidR="001B5C90" w:rsidRPr="00B8122D">
              <w:rPr>
                <w:i/>
              </w:rPr>
              <w:t>d</w:t>
            </w:r>
            <w:r w:rsidRPr="00B8122D">
              <w:rPr>
                <w:i/>
              </w:rPr>
              <w:t>ecision:</w:t>
            </w:r>
          </w:p>
        </w:tc>
        <w:tc>
          <w:tcPr>
            <w:tcW w:w="6590" w:type="dxa"/>
          </w:tcPr>
          <w:p w14:paraId="16B2CB9B" w14:textId="5B47B87A" w:rsidR="008E7846" w:rsidRPr="00B8122D" w:rsidRDefault="00581FC7" w:rsidP="001B5C90">
            <w:r>
              <w:t>20 October 2017</w:t>
            </w:r>
          </w:p>
        </w:tc>
      </w:tr>
      <w:tr w:rsidR="00ED2922" w:rsidRPr="00B8122D" w14:paraId="7D114800" w14:textId="77777777" w:rsidTr="0089635C">
        <w:trPr>
          <w:trHeight w:hRule="exact" w:val="454"/>
        </w:trPr>
        <w:tc>
          <w:tcPr>
            <w:tcW w:w="2907" w:type="dxa"/>
          </w:tcPr>
          <w:p w14:paraId="14C8BFA2" w14:textId="77777777" w:rsidR="00ED2922" w:rsidRPr="00B8122D" w:rsidRDefault="00ED2922" w:rsidP="001B5C90">
            <w:pPr>
              <w:rPr>
                <w:i/>
              </w:rPr>
            </w:pPr>
            <w:r w:rsidRPr="00B8122D">
              <w:rPr>
                <w:i/>
              </w:rPr>
              <w:t>Date of entry onto ARTG</w:t>
            </w:r>
          </w:p>
        </w:tc>
        <w:tc>
          <w:tcPr>
            <w:tcW w:w="6590" w:type="dxa"/>
          </w:tcPr>
          <w:p w14:paraId="746C62A5" w14:textId="79C9B1BF" w:rsidR="00ED2922" w:rsidRPr="00B8122D" w:rsidRDefault="00581FC7" w:rsidP="00EC463D">
            <w:pPr>
              <w:rPr>
                <w:i/>
              </w:rPr>
            </w:pPr>
            <w:r>
              <w:t>23 October 2017</w:t>
            </w:r>
          </w:p>
        </w:tc>
      </w:tr>
    </w:tbl>
    <w:p w14:paraId="1B043624" w14:textId="77777777" w:rsidR="008E7846" w:rsidRPr="00B8122D" w:rsidRDefault="008E7846" w:rsidP="008E7846"/>
    <w:tbl>
      <w:tblPr>
        <w:tblW w:w="9214" w:type="dxa"/>
        <w:tblInd w:w="108" w:type="dxa"/>
        <w:tblLook w:val="01E0" w:firstRow="1" w:lastRow="1" w:firstColumn="1" w:lastColumn="1" w:noHBand="0" w:noVBand="0"/>
      </w:tblPr>
      <w:tblGrid>
        <w:gridCol w:w="2907"/>
        <w:gridCol w:w="6307"/>
      </w:tblGrid>
      <w:tr w:rsidR="008E7846" w:rsidRPr="00B8122D" w14:paraId="033F543A" w14:textId="77777777" w:rsidTr="00BF1190">
        <w:tc>
          <w:tcPr>
            <w:tcW w:w="2907" w:type="dxa"/>
          </w:tcPr>
          <w:p w14:paraId="0B9DCC96" w14:textId="24527105" w:rsidR="008E7846" w:rsidRPr="00B8122D" w:rsidRDefault="00EE38C1" w:rsidP="00E45619">
            <w:pPr>
              <w:rPr>
                <w:i/>
              </w:rPr>
            </w:pPr>
            <w:r w:rsidRPr="00B8122D">
              <w:rPr>
                <w:i/>
              </w:rPr>
              <w:t>Active ingredient</w:t>
            </w:r>
            <w:r w:rsidR="001B5C90" w:rsidRPr="00B8122D">
              <w:rPr>
                <w:i/>
              </w:rPr>
              <w:t>:</w:t>
            </w:r>
          </w:p>
        </w:tc>
        <w:tc>
          <w:tcPr>
            <w:tcW w:w="6307" w:type="dxa"/>
          </w:tcPr>
          <w:p w14:paraId="3FBE513C" w14:textId="74156B59" w:rsidR="008E7846" w:rsidRPr="00B8122D" w:rsidRDefault="00EE38C1" w:rsidP="00E45619">
            <w:r w:rsidRPr="00B8122D">
              <w:t>Ribociclib succinate</w:t>
            </w:r>
          </w:p>
        </w:tc>
      </w:tr>
      <w:tr w:rsidR="008E7846" w:rsidRPr="00B8122D" w14:paraId="38632BF7" w14:textId="77777777" w:rsidTr="00841962">
        <w:trPr>
          <w:trHeight w:val="525"/>
        </w:trPr>
        <w:tc>
          <w:tcPr>
            <w:tcW w:w="2907" w:type="dxa"/>
          </w:tcPr>
          <w:p w14:paraId="2F8ED7FD" w14:textId="242B15C2" w:rsidR="008E7846" w:rsidRPr="00B8122D" w:rsidRDefault="008E7846" w:rsidP="001B5C90">
            <w:pPr>
              <w:rPr>
                <w:i/>
              </w:rPr>
            </w:pPr>
            <w:r w:rsidRPr="00B8122D">
              <w:rPr>
                <w:i/>
              </w:rPr>
              <w:t>Product</w:t>
            </w:r>
            <w:r w:rsidR="00EE38C1" w:rsidRPr="00B8122D">
              <w:rPr>
                <w:i/>
              </w:rPr>
              <w:t xml:space="preserve"> name</w:t>
            </w:r>
            <w:r w:rsidR="001B5C90" w:rsidRPr="00B8122D">
              <w:rPr>
                <w:i/>
              </w:rPr>
              <w:t>:</w:t>
            </w:r>
          </w:p>
        </w:tc>
        <w:tc>
          <w:tcPr>
            <w:tcW w:w="6307" w:type="dxa"/>
          </w:tcPr>
          <w:p w14:paraId="1600D11E" w14:textId="0EDBCEB1" w:rsidR="008E7846" w:rsidRPr="00B8122D" w:rsidRDefault="00EE38C1" w:rsidP="00E45619">
            <w:r w:rsidRPr="00B8122D">
              <w:t>Kisqali</w:t>
            </w:r>
          </w:p>
        </w:tc>
      </w:tr>
      <w:tr w:rsidR="008E7846" w:rsidRPr="00B8122D" w14:paraId="66D47A8A" w14:textId="77777777" w:rsidTr="00BF1190">
        <w:tc>
          <w:tcPr>
            <w:tcW w:w="2907" w:type="dxa"/>
          </w:tcPr>
          <w:p w14:paraId="4F9A61D2" w14:textId="77777777" w:rsidR="008E7846" w:rsidRPr="00B8122D" w:rsidRDefault="008E7846" w:rsidP="001B5C90">
            <w:pPr>
              <w:rPr>
                <w:i/>
              </w:rPr>
            </w:pPr>
            <w:r w:rsidRPr="00B8122D">
              <w:rPr>
                <w:i/>
              </w:rPr>
              <w:t xml:space="preserve">Sponsor’s </w:t>
            </w:r>
            <w:r w:rsidR="001B5C90" w:rsidRPr="00B8122D">
              <w:rPr>
                <w:i/>
              </w:rPr>
              <w:t>n</w:t>
            </w:r>
            <w:r w:rsidRPr="00B8122D">
              <w:rPr>
                <w:i/>
              </w:rPr>
              <w:t xml:space="preserve">ame and </w:t>
            </w:r>
            <w:r w:rsidR="001B5C90" w:rsidRPr="00B8122D">
              <w:rPr>
                <w:i/>
              </w:rPr>
              <w:t>a</w:t>
            </w:r>
            <w:r w:rsidRPr="00B8122D">
              <w:rPr>
                <w:i/>
              </w:rPr>
              <w:t>ddress:</w:t>
            </w:r>
          </w:p>
        </w:tc>
        <w:tc>
          <w:tcPr>
            <w:tcW w:w="6307" w:type="dxa"/>
          </w:tcPr>
          <w:p w14:paraId="0C7AD6D5" w14:textId="6F8BBDB2" w:rsidR="00582E5F" w:rsidRDefault="00841962">
            <w:pPr>
              <w:rPr>
                <w:lang w:val="en-GB"/>
              </w:rPr>
            </w:pPr>
            <w:r w:rsidRPr="00841962">
              <w:rPr>
                <w:lang w:val="en-GB"/>
              </w:rPr>
              <w:t>Novartis Pha</w:t>
            </w:r>
            <w:r>
              <w:rPr>
                <w:lang w:val="en-GB"/>
              </w:rPr>
              <w:t>rmaceuticals Australia Pty Ltd</w:t>
            </w:r>
          </w:p>
          <w:p w14:paraId="42C53285" w14:textId="143FAF35" w:rsidR="00582E5F" w:rsidRDefault="00841962">
            <w:pPr>
              <w:rPr>
                <w:lang w:val="en-GB"/>
              </w:rPr>
            </w:pPr>
            <w:r w:rsidRPr="00841962">
              <w:rPr>
                <w:lang w:val="en-GB"/>
              </w:rPr>
              <w:t>54 Waterloo Rd</w:t>
            </w:r>
          </w:p>
          <w:p w14:paraId="70A78CE1" w14:textId="71BCE4DD" w:rsidR="008E7846" w:rsidRPr="00841962" w:rsidRDefault="00841962">
            <w:pPr>
              <w:rPr>
                <w:lang w:val="en-GB"/>
              </w:rPr>
            </w:pPr>
            <w:r w:rsidRPr="00841962">
              <w:rPr>
                <w:lang w:val="en-GB"/>
              </w:rPr>
              <w:t xml:space="preserve">Macquarie </w:t>
            </w:r>
            <w:r>
              <w:rPr>
                <w:lang w:val="en-GB"/>
              </w:rPr>
              <w:t>Park</w:t>
            </w:r>
            <w:r w:rsidR="00582E5F">
              <w:rPr>
                <w:lang w:val="en-GB"/>
              </w:rPr>
              <w:t xml:space="preserve"> </w:t>
            </w:r>
            <w:r>
              <w:rPr>
                <w:lang w:val="en-GB"/>
              </w:rPr>
              <w:t>NSW 2113</w:t>
            </w:r>
          </w:p>
        </w:tc>
      </w:tr>
      <w:tr w:rsidR="008E7846" w:rsidRPr="00B8122D" w14:paraId="497D3292" w14:textId="77777777" w:rsidTr="00BF1190">
        <w:tc>
          <w:tcPr>
            <w:tcW w:w="2907" w:type="dxa"/>
          </w:tcPr>
          <w:p w14:paraId="006DE211" w14:textId="6298F8E1" w:rsidR="008E7846" w:rsidRPr="00B8122D" w:rsidRDefault="00841962" w:rsidP="00E45619">
            <w:pPr>
              <w:rPr>
                <w:i/>
              </w:rPr>
            </w:pPr>
            <w:r>
              <w:rPr>
                <w:i/>
              </w:rPr>
              <w:t>Dose form</w:t>
            </w:r>
            <w:r w:rsidR="001B5C90" w:rsidRPr="00B8122D">
              <w:rPr>
                <w:i/>
              </w:rPr>
              <w:t>:</w:t>
            </w:r>
          </w:p>
        </w:tc>
        <w:tc>
          <w:tcPr>
            <w:tcW w:w="6307" w:type="dxa"/>
          </w:tcPr>
          <w:p w14:paraId="1286692A" w14:textId="002C9A05" w:rsidR="008E7846" w:rsidRPr="00B8122D" w:rsidRDefault="00841962" w:rsidP="00E45619">
            <w:r>
              <w:t>Film coated tablet</w:t>
            </w:r>
          </w:p>
        </w:tc>
      </w:tr>
      <w:tr w:rsidR="008E7846" w:rsidRPr="00B8122D" w14:paraId="79BAE4B3" w14:textId="77777777" w:rsidTr="00BF1190">
        <w:tc>
          <w:tcPr>
            <w:tcW w:w="2907" w:type="dxa"/>
          </w:tcPr>
          <w:p w14:paraId="6309E6DD" w14:textId="4C9351B5" w:rsidR="008E7846" w:rsidRPr="00B8122D" w:rsidRDefault="00841962" w:rsidP="00E45619">
            <w:pPr>
              <w:rPr>
                <w:i/>
              </w:rPr>
            </w:pPr>
            <w:r>
              <w:rPr>
                <w:i/>
              </w:rPr>
              <w:t>Strength</w:t>
            </w:r>
            <w:r w:rsidR="008E7846" w:rsidRPr="00B8122D">
              <w:rPr>
                <w:i/>
              </w:rPr>
              <w:t xml:space="preserve">: </w:t>
            </w:r>
          </w:p>
        </w:tc>
        <w:tc>
          <w:tcPr>
            <w:tcW w:w="6307" w:type="dxa"/>
          </w:tcPr>
          <w:p w14:paraId="0DEA89F3" w14:textId="5EFC8870" w:rsidR="008E7846" w:rsidRPr="00B8122D" w:rsidRDefault="00841962" w:rsidP="00E45619">
            <w:r>
              <w:t>200 mg</w:t>
            </w:r>
          </w:p>
        </w:tc>
      </w:tr>
      <w:tr w:rsidR="008E7846" w:rsidRPr="00B8122D" w14:paraId="7ECD96A3" w14:textId="77777777" w:rsidTr="00BF1190">
        <w:tc>
          <w:tcPr>
            <w:tcW w:w="2907" w:type="dxa"/>
          </w:tcPr>
          <w:p w14:paraId="11E4946D" w14:textId="32C16B85" w:rsidR="008E7846" w:rsidRPr="00B8122D" w:rsidRDefault="00841962" w:rsidP="00E45619">
            <w:pPr>
              <w:rPr>
                <w:i/>
              </w:rPr>
            </w:pPr>
            <w:r>
              <w:rPr>
                <w:i/>
              </w:rPr>
              <w:t>Container</w:t>
            </w:r>
            <w:r w:rsidR="008E7846" w:rsidRPr="00B8122D">
              <w:rPr>
                <w:i/>
              </w:rPr>
              <w:t>:</w:t>
            </w:r>
          </w:p>
        </w:tc>
        <w:tc>
          <w:tcPr>
            <w:tcW w:w="6307" w:type="dxa"/>
          </w:tcPr>
          <w:p w14:paraId="091ED492" w14:textId="5993D836" w:rsidR="008E7846" w:rsidRPr="00B8122D" w:rsidRDefault="00841962" w:rsidP="00E45619">
            <w:r>
              <w:t>Blister pack</w:t>
            </w:r>
          </w:p>
        </w:tc>
      </w:tr>
      <w:tr w:rsidR="008E7846" w:rsidRPr="00B8122D" w14:paraId="01B360FC" w14:textId="77777777" w:rsidTr="00BF1190">
        <w:tc>
          <w:tcPr>
            <w:tcW w:w="2907" w:type="dxa"/>
          </w:tcPr>
          <w:p w14:paraId="3018F4DC" w14:textId="373F3C1A" w:rsidR="008E7846" w:rsidRPr="00B8122D" w:rsidRDefault="00841962" w:rsidP="00E45619">
            <w:pPr>
              <w:rPr>
                <w:i/>
              </w:rPr>
            </w:pPr>
            <w:r>
              <w:rPr>
                <w:i/>
              </w:rPr>
              <w:t>Pack size</w:t>
            </w:r>
            <w:r w:rsidR="008E7846" w:rsidRPr="00B8122D">
              <w:rPr>
                <w:i/>
              </w:rPr>
              <w:t>:</w:t>
            </w:r>
          </w:p>
        </w:tc>
        <w:tc>
          <w:tcPr>
            <w:tcW w:w="6307" w:type="dxa"/>
          </w:tcPr>
          <w:p w14:paraId="48766953" w14:textId="34896431" w:rsidR="008E7846" w:rsidRPr="003F080C" w:rsidRDefault="003F080C" w:rsidP="003F080C">
            <w:r w:rsidRPr="003F080C">
              <w:t>21 tablets, 42 tablets</w:t>
            </w:r>
            <w:r w:rsidR="00841962" w:rsidRPr="003F080C">
              <w:t xml:space="preserve"> and 63 tablets</w:t>
            </w:r>
          </w:p>
        </w:tc>
      </w:tr>
      <w:tr w:rsidR="008E7846" w:rsidRPr="00B8122D" w14:paraId="080057A7" w14:textId="77777777" w:rsidTr="002B003A">
        <w:trPr>
          <w:trHeight w:val="1569"/>
        </w:trPr>
        <w:tc>
          <w:tcPr>
            <w:tcW w:w="2907" w:type="dxa"/>
          </w:tcPr>
          <w:p w14:paraId="599C5021" w14:textId="77777777" w:rsidR="008E7846" w:rsidRPr="00B8122D" w:rsidRDefault="008E7846" w:rsidP="001B5C90">
            <w:pPr>
              <w:rPr>
                <w:i/>
              </w:rPr>
            </w:pPr>
            <w:r w:rsidRPr="00B8122D">
              <w:rPr>
                <w:i/>
              </w:rPr>
              <w:t xml:space="preserve">Approved </w:t>
            </w:r>
            <w:r w:rsidR="001B5C90" w:rsidRPr="00B8122D">
              <w:rPr>
                <w:i/>
              </w:rPr>
              <w:t>t</w:t>
            </w:r>
            <w:r w:rsidRPr="00B8122D">
              <w:rPr>
                <w:i/>
              </w:rPr>
              <w:t>herapeutic use:</w:t>
            </w:r>
          </w:p>
        </w:tc>
        <w:tc>
          <w:tcPr>
            <w:tcW w:w="6307" w:type="dxa"/>
          </w:tcPr>
          <w:p w14:paraId="5CBADEC0" w14:textId="0AF471DA" w:rsidR="008E7846" w:rsidRPr="00162887" w:rsidRDefault="00306993" w:rsidP="00162887">
            <w:pPr>
              <w:rPr>
                <w:i/>
                <w:lang w:val="en-GB" w:eastAsia="ja-JP"/>
              </w:rPr>
            </w:pPr>
            <w:r w:rsidRPr="00162887">
              <w:rPr>
                <w:i/>
                <w:lang w:val="en-GB" w:eastAsia="ja-JP"/>
              </w:rPr>
              <w:t>Kisqali in combination with an aromatase inhibitor is indicated for the treatment of men and postmenopausal women with hormone receptor positive (HR+), human epidermal growth factor receptor 2 negative (HER2-) advanced or metastatic breast cancer, as an initial endocrine-based therapy.</w:t>
            </w:r>
          </w:p>
        </w:tc>
      </w:tr>
      <w:tr w:rsidR="008E7846" w:rsidRPr="00B8122D" w14:paraId="3ED9106B" w14:textId="77777777" w:rsidTr="00BF1190">
        <w:tc>
          <w:tcPr>
            <w:tcW w:w="2907" w:type="dxa"/>
          </w:tcPr>
          <w:p w14:paraId="102F445D" w14:textId="5913856D" w:rsidR="008E7846" w:rsidRPr="00B8122D" w:rsidRDefault="00841962" w:rsidP="00E45619">
            <w:pPr>
              <w:rPr>
                <w:i/>
              </w:rPr>
            </w:pPr>
            <w:r>
              <w:rPr>
                <w:i/>
              </w:rPr>
              <w:t>Route</w:t>
            </w:r>
            <w:r w:rsidR="008E7846" w:rsidRPr="00B8122D">
              <w:rPr>
                <w:i/>
              </w:rPr>
              <w:t xml:space="preserve"> of administration:</w:t>
            </w:r>
          </w:p>
        </w:tc>
        <w:tc>
          <w:tcPr>
            <w:tcW w:w="6307" w:type="dxa"/>
          </w:tcPr>
          <w:p w14:paraId="005E5B16" w14:textId="46533E1A" w:rsidR="008E7846" w:rsidRPr="00B8122D" w:rsidRDefault="00841962" w:rsidP="00E45619">
            <w:r>
              <w:t>Oral</w:t>
            </w:r>
          </w:p>
        </w:tc>
      </w:tr>
      <w:tr w:rsidR="008E7846" w:rsidRPr="0075448C" w14:paraId="08885064" w14:textId="77777777" w:rsidTr="00BF1190">
        <w:tc>
          <w:tcPr>
            <w:tcW w:w="2907" w:type="dxa"/>
          </w:tcPr>
          <w:p w14:paraId="28579FE8" w14:textId="77777777" w:rsidR="008E7846" w:rsidRPr="00B8122D" w:rsidRDefault="008E7846" w:rsidP="00E45619">
            <w:pPr>
              <w:rPr>
                <w:i/>
              </w:rPr>
            </w:pPr>
            <w:r w:rsidRPr="00B8122D">
              <w:rPr>
                <w:i/>
              </w:rPr>
              <w:t>Dosage:</w:t>
            </w:r>
          </w:p>
        </w:tc>
        <w:tc>
          <w:tcPr>
            <w:tcW w:w="6307" w:type="dxa"/>
          </w:tcPr>
          <w:p w14:paraId="19C653BE" w14:textId="77777777" w:rsidR="008E7846" w:rsidRPr="0075448C" w:rsidRDefault="002B003A" w:rsidP="002B003A">
            <w:pPr>
              <w:rPr>
                <w:lang w:val="en-GB"/>
              </w:rPr>
            </w:pPr>
            <w:r w:rsidRPr="0075448C">
              <w:rPr>
                <w:lang w:val="en-GB"/>
              </w:rPr>
              <w:t>Treatment with Kisqali should be initiated by a physician experienced in the use of anticancer therapies. Monitoring for adverse drug reactions (ADRs) is required, including complete blood counts, LFTs, serum electrolytes, and ECG; dose modification (delay, reduction) or cessation may be required.</w:t>
            </w:r>
          </w:p>
          <w:p w14:paraId="15F27A6C" w14:textId="1BBBA736" w:rsidR="002B003A" w:rsidRPr="0075448C" w:rsidRDefault="002B003A" w:rsidP="002B003A">
            <w:pPr>
              <w:rPr>
                <w:lang w:val="en-GB"/>
              </w:rPr>
            </w:pPr>
            <w:r w:rsidRPr="0075448C">
              <w:rPr>
                <w:lang w:val="en-GB"/>
              </w:rPr>
              <w:t>The recommended starting dose of Kisqali in the general target population is 600 mg (3 x 200 mg film coated tablets) taken orally, once daily for 21 consecutive days, followed by 7 days off treatment, resulting in a complete cycle of 28 days. An aromatase inhibitor is taken dai</w:t>
            </w:r>
            <w:r w:rsidR="0075448C">
              <w:rPr>
                <w:lang w:val="en-GB"/>
              </w:rPr>
              <w:t xml:space="preserve">ly throughout the 28 </w:t>
            </w:r>
            <w:r w:rsidRPr="0075448C">
              <w:rPr>
                <w:lang w:val="en-GB"/>
              </w:rPr>
              <w:t>day cycle.</w:t>
            </w:r>
          </w:p>
          <w:p w14:paraId="449E50A3" w14:textId="0E753F50" w:rsidR="002B003A" w:rsidRPr="0075448C" w:rsidRDefault="007E7283" w:rsidP="002B003A">
            <w:pPr>
              <w:rPr>
                <w:lang w:val="en-GB"/>
              </w:rPr>
            </w:pPr>
            <w:r>
              <w:rPr>
                <w:lang w:val="en-GB"/>
              </w:rPr>
              <w:t xml:space="preserve">See the </w:t>
            </w:r>
            <w:r w:rsidR="002B003A" w:rsidRPr="0075448C">
              <w:rPr>
                <w:lang w:val="en-GB"/>
              </w:rPr>
              <w:t>Product Information (PI) available as Attachment 1 for further details.</w:t>
            </w:r>
          </w:p>
        </w:tc>
      </w:tr>
      <w:tr w:rsidR="008E7846" w:rsidRPr="00B8122D" w14:paraId="47DBFCD4" w14:textId="77777777" w:rsidTr="00BF1190">
        <w:tc>
          <w:tcPr>
            <w:tcW w:w="2907" w:type="dxa"/>
          </w:tcPr>
          <w:p w14:paraId="7080B144" w14:textId="6C4B585E" w:rsidR="008E7846" w:rsidRPr="00B8122D" w:rsidRDefault="008E7846" w:rsidP="001B5C90">
            <w:pPr>
              <w:rPr>
                <w:i/>
              </w:rPr>
            </w:pPr>
            <w:r w:rsidRPr="00B8122D">
              <w:rPr>
                <w:i/>
              </w:rPr>
              <w:t xml:space="preserve">ARTG </w:t>
            </w:r>
            <w:r w:rsidR="001B5C90" w:rsidRPr="00B8122D">
              <w:rPr>
                <w:i/>
              </w:rPr>
              <w:t>n</w:t>
            </w:r>
            <w:r w:rsidR="00306993">
              <w:rPr>
                <w:i/>
              </w:rPr>
              <w:t>umber</w:t>
            </w:r>
            <w:r w:rsidR="001B5C90" w:rsidRPr="00B8122D">
              <w:rPr>
                <w:i/>
              </w:rPr>
              <w:t>:</w:t>
            </w:r>
          </w:p>
        </w:tc>
        <w:tc>
          <w:tcPr>
            <w:tcW w:w="6307" w:type="dxa"/>
          </w:tcPr>
          <w:p w14:paraId="141D6C9A" w14:textId="732697DF" w:rsidR="008E7846" w:rsidRPr="00306993" w:rsidRDefault="00306993" w:rsidP="00E45619">
            <w:pPr>
              <w:rPr>
                <w:lang w:val="en-GB"/>
              </w:rPr>
            </w:pPr>
            <w:r>
              <w:rPr>
                <w:lang w:val="en-GB"/>
              </w:rPr>
              <w:t>280246</w:t>
            </w:r>
          </w:p>
        </w:tc>
      </w:tr>
    </w:tbl>
    <w:p w14:paraId="5D7F2349" w14:textId="77777777" w:rsidR="008E7846" w:rsidRPr="00B8122D" w:rsidRDefault="008E7846" w:rsidP="00AF4455">
      <w:pPr>
        <w:pStyle w:val="Heading3"/>
      </w:pPr>
      <w:bookmarkStart w:id="12" w:name="_Toc247691503"/>
      <w:bookmarkStart w:id="13" w:name="_Toc314842484"/>
      <w:bookmarkStart w:id="14" w:name="_Toc44685887"/>
      <w:r w:rsidRPr="00B8122D">
        <w:lastRenderedPageBreak/>
        <w:t>Product background</w:t>
      </w:r>
      <w:bookmarkEnd w:id="12"/>
      <w:bookmarkEnd w:id="13"/>
      <w:bookmarkEnd w:id="14"/>
    </w:p>
    <w:p w14:paraId="04D85133" w14:textId="50AB8873" w:rsidR="00A44F12" w:rsidRPr="00B8122D" w:rsidRDefault="00940A89" w:rsidP="003D79AF">
      <w:r w:rsidRPr="00B8122D">
        <w:t>This AusPAR describes the applicati</w:t>
      </w:r>
      <w:r w:rsidR="001C6501" w:rsidRPr="00B8122D">
        <w:t xml:space="preserve">on by </w:t>
      </w:r>
      <w:r w:rsidR="00633064">
        <w:t>Novartis Pharmaceuticals Australia Pty Ltd (</w:t>
      </w:r>
      <w:r w:rsidR="001C6501" w:rsidRPr="00B8122D">
        <w:t>the sponsor</w:t>
      </w:r>
      <w:r w:rsidR="00633064">
        <w:t>)</w:t>
      </w:r>
      <w:r w:rsidR="001C6501" w:rsidRPr="00B8122D">
        <w:t xml:space="preserve"> to regist</w:t>
      </w:r>
      <w:r w:rsidR="00A44F12" w:rsidRPr="00B8122D">
        <w:t>er Kisqali ribociclib succinate. The pro</w:t>
      </w:r>
      <w:r w:rsidR="003F080C">
        <w:t>posed indication for ribociclib</w:t>
      </w:r>
      <w:r w:rsidR="00A44F12" w:rsidRPr="00B8122D">
        <w:t xml:space="preserve"> is:</w:t>
      </w:r>
    </w:p>
    <w:p w14:paraId="79AFC227" w14:textId="12C7F66E" w:rsidR="00A44F12" w:rsidRPr="00B8122D" w:rsidRDefault="00A44F12" w:rsidP="00A44F12">
      <w:pPr>
        <w:ind w:left="720"/>
        <w:rPr>
          <w:i/>
          <w:iCs/>
        </w:rPr>
      </w:pPr>
      <w:r w:rsidRPr="00B8122D">
        <w:rPr>
          <w:i/>
          <w:iCs/>
        </w:rPr>
        <w:t xml:space="preserve">Kisqali in combination with letrozole is indicated for the treatment of postmenopausal women with hormone receptor (HR)-positive, human epidermal growth factor receptor 2 (HER2)-negative advanced or metastatic breast cancer, as an </w:t>
      </w:r>
      <w:r w:rsidR="006B7990">
        <w:rPr>
          <w:i/>
          <w:iCs/>
        </w:rPr>
        <w:t>initial endocrine-based therapy</w:t>
      </w:r>
      <w:r w:rsidRPr="00B8122D">
        <w:rPr>
          <w:i/>
          <w:iCs/>
        </w:rPr>
        <w:t>.</w:t>
      </w:r>
    </w:p>
    <w:p w14:paraId="084CD32F" w14:textId="1FF9E9C0" w:rsidR="00A44F12" w:rsidRPr="00B8122D" w:rsidRDefault="00A44F12" w:rsidP="00AF4455">
      <w:r w:rsidRPr="00B8122D">
        <w:t>The dosage form proposed is a film coated tablet containing 200 mg of ribociclib base presented in a blister pack. This is the only tablet strength proposed.</w:t>
      </w:r>
    </w:p>
    <w:p w14:paraId="558FCA32" w14:textId="0C2E0B06" w:rsidR="00A44F12" w:rsidRPr="00B8122D" w:rsidRDefault="00A44F12" w:rsidP="00AF4455">
      <w:pPr>
        <w:pStyle w:val="Heading4"/>
      </w:pPr>
      <w:r w:rsidRPr="00B8122D">
        <w:t>Drug class</w:t>
      </w:r>
      <w:r w:rsidR="00D8432A" w:rsidRPr="00B8122D">
        <w:t xml:space="preserve"> and proposed usage</w:t>
      </w:r>
    </w:p>
    <w:p w14:paraId="024D8780" w14:textId="6941305C" w:rsidR="001C6501" w:rsidRPr="00B8122D" w:rsidRDefault="001C6501" w:rsidP="001C6501">
      <w:r w:rsidRPr="00B8122D">
        <w:t xml:space="preserve">Ribociclib succinate (also referred to under the drug </w:t>
      </w:r>
      <w:r w:rsidR="001D3BCB">
        <w:t xml:space="preserve">development </w:t>
      </w:r>
      <w:r w:rsidRPr="00B8122D">
        <w:t>name LEE011 in the submitted studies) is described in the sponsor’s cover letter as a ‘</w:t>
      </w:r>
      <w:r w:rsidRPr="00B8122D">
        <w:rPr>
          <w:i/>
        </w:rPr>
        <w:t>novel cyclin dependent kinase inhibitor (CDKi)</w:t>
      </w:r>
      <w:r w:rsidRPr="00B8122D">
        <w:t>’ that is an ‘</w:t>
      </w:r>
      <w:r w:rsidRPr="00B8122D">
        <w:rPr>
          <w:i/>
        </w:rPr>
        <w:t xml:space="preserve">orally bioavailable, highly selective, small molecule inhibitor of cyclin dependent kinases </w:t>
      </w:r>
      <w:r w:rsidR="00A44F12" w:rsidRPr="00B8122D">
        <w:rPr>
          <w:i/>
        </w:rPr>
        <w:t>(</w:t>
      </w:r>
      <w:r w:rsidRPr="00B8122D">
        <w:rPr>
          <w:i/>
        </w:rPr>
        <w:t>CDK</w:t>
      </w:r>
      <w:r w:rsidR="00A44F12" w:rsidRPr="00B8122D">
        <w:rPr>
          <w:i/>
        </w:rPr>
        <w:t xml:space="preserve">) </w:t>
      </w:r>
      <w:r w:rsidRPr="00B8122D">
        <w:rPr>
          <w:i/>
        </w:rPr>
        <w:t>4 and 6</w:t>
      </w:r>
      <w:r w:rsidRPr="00B8122D">
        <w:t>’.</w:t>
      </w:r>
    </w:p>
    <w:p w14:paraId="7353F4D7" w14:textId="098C40A5" w:rsidR="001C6501" w:rsidRPr="00B8122D" w:rsidRDefault="00CE15C1" w:rsidP="001C6501">
      <w:r>
        <w:t>Cyclin dependent kinase inhibitors (</w:t>
      </w:r>
      <w:r w:rsidR="001C6501" w:rsidRPr="00B8122D">
        <w:t>CDKi</w:t>
      </w:r>
      <w:r>
        <w:t>)</w:t>
      </w:r>
      <w:r w:rsidR="001C6501" w:rsidRPr="00B8122D">
        <w:t xml:space="preserve"> are a new class of anti-neoplastic agent. They are postulated to target </w:t>
      </w:r>
      <w:r>
        <w:t>cyclin dependent kinases (</w:t>
      </w:r>
      <w:r w:rsidR="001C6501" w:rsidRPr="00B8122D">
        <w:t>CDK</w:t>
      </w:r>
      <w:r>
        <w:t>)</w:t>
      </w:r>
      <w:r w:rsidR="001C6501" w:rsidRPr="00B8122D">
        <w:t xml:space="preserve"> involved in the regulation of the cell cycle, thereby limiting cell proli</w:t>
      </w:r>
      <w:r w:rsidR="00A44F12" w:rsidRPr="00B8122D">
        <w:t>feration. There are currently 3 </w:t>
      </w:r>
      <w:r w:rsidR="001C6501" w:rsidRPr="00B8122D">
        <w:t xml:space="preserve">CDKi under investigation: palbociclib, ribociclib and abemaciclib. The first in class of these agents to receive regulatory approval was palbociclib, which received accelerated approval from the </w:t>
      </w:r>
      <w:r w:rsidR="00FC3C81">
        <w:t>United States (US) Food and Drug Administration (</w:t>
      </w:r>
      <w:r w:rsidR="001C6501" w:rsidRPr="00B8122D">
        <w:t>FDA</w:t>
      </w:r>
      <w:r w:rsidR="00FC3C81">
        <w:t>)</w:t>
      </w:r>
      <w:r w:rsidR="001C6501" w:rsidRPr="00B8122D">
        <w:t xml:space="preserve"> in February 2015. No CDKi ha</w:t>
      </w:r>
      <w:r w:rsidR="00183ED4">
        <w:t>d</w:t>
      </w:r>
      <w:r w:rsidR="001C6501" w:rsidRPr="00B8122D">
        <w:t xml:space="preserve"> received regulatory approval by the TGA </w:t>
      </w:r>
      <w:r w:rsidR="009D488E">
        <w:t>as of January</w:t>
      </w:r>
      <w:r w:rsidR="00073D1C">
        <w:t xml:space="preserve"> </w:t>
      </w:r>
      <w:r w:rsidR="001C6501" w:rsidRPr="00B8122D">
        <w:t>2017</w:t>
      </w:r>
      <w:bookmarkStart w:id="15" w:name="_Ref509412579"/>
      <w:r w:rsidR="005B3ECF">
        <w:t>.</w:t>
      </w:r>
      <w:r w:rsidR="009D488E">
        <w:rPr>
          <w:rStyle w:val="FootnoteReference"/>
        </w:rPr>
        <w:footnoteReference w:id="1"/>
      </w:r>
      <w:bookmarkEnd w:id="15"/>
    </w:p>
    <w:p w14:paraId="2917C75C" w14:textId="6CA11C89" w:rsidR="00D8432A" w:rsidRPr="00B8122D" w:rsidRDefault="00D8432A" w:rsidP="00D8432A">
      <w:r w:rsidRPr="00B8122D">
        <w:t xml:space="preserve">The sponsor proposes that it be used in combination with the </w:t>
      </w:r>
      <w:r w:rsidRPr="00B8122D">
        <w:rPr>
          <w:iCs/>
        </w:rPr>
        <w:t>n</w:t>
      </w:r>
      <w:r w:rsidRPr="00B8122D">
        <w:t>on-steroidal aromatase inhibitor</w:t>
      </w:r>
      <w:r w:rsidR="00A5777A">
        <w:t xml:space="preserve"> (NSAI)</w:t>
      </w:r>
      <w:r w:rsidRPr="00B8122D">
        <w:t>, letrozole, in postmenopausal women with hormone receptor (HR) positive, human epidermal growth factor receptor 2 (HER2) negative advanced or metastatic breast cancer as ‘</w:t>
      </w:r>
      <w:r w:rsidR="00EE38C1" w:rsidRPr="00B8122D">
        <w:rPr>
          <w:i/>
          <w:iCs/>
        </w:rPr>
        <w:t xml:space="preserve">initial endocrine </w:t>
      </w:r>
      <w:r w:rsidRPr="00B8122D">
        <w:rPr>
          <w:i/>
          <w:iCs/>
        </w:rPr>
        <w:t>based therapy’</w:t>
      </w:r>
      <w:r w:rsidRPr="00B8122D">
        <w:t>.</w:t>
      </w:r>
    </w:p>
    <w:p w14:paraId="1047E460" w14:textId="0E5CB410" w:rsidR="00D8432A" w:rsidRPr="00B8122D" w:rsidRDefault="00D8432A" w:rsidP="00D8432A">
      <w:r w:rsidRPr="00B8122D">
        <w:rPr>
          <w:iCs/>
        </w:rPr>
        <w:t xml:space="preserve">In Australia, </w:t>
      </w:r>
      <w:r w:rsidR="00073D1C">
        <w:rPr>
          <w:iCs/>
        </w:rPr>
        <w:t xml:space="preserve">marketing authorisations for </w:t>
      </w:r>
      <w:r w:rsidRPr="00B8122D">
        <w:rPr>
          <w:iCs/>
        </w:rPr>
        <w:t>letrozole</w:t>
      </w:r>
      <w:r w:rsidR="00073D1C">
        <w:rPr>
          <w:iCs/>
        </w:rPr>
        <w:t>2.5 mg tablets</w:t>
      </w:r>
      <w:r w:rsidRPr="00B8122D">
        <w:rPr>
          <w:iCs/>
        </w:rPr>
        <w:t xml:space="preserve"> </w:t>
      </w:r>
      <w:r w:rsidR="00073D1C">
        <w:rPr>
          <w:iCs/>
        </w:rPr>
        <w:t>are held by 4</w:t>
      </w:r>
      <w:r w:rsidR="006A1907">
        <w:rPr>
          <w:iCs/>
        </w:rPr>
        <w:t xml:space="preserve"> </w:t>
      </w:r>
      <w:r w:rsidR="009D4687" w:rsidRPr="00B8122D">
        <w:t>sponsor</w:t>
      </w:r>
      <w:r w:rsidR="00073D1C">
        <w:t>s</w:t>
      </w:r>
      <w:r w:rsidRPr="00B8122D">
        <w:t>. The current TGA approved indication for letrozole is:</w:t>
      </w:r>
    </w:p>
    <w:p w14:paraId="3110E315" w14:textId="77777777" w:rsidR="00D8432A" w:rsidRPr="00B8122D" w:rsidRDefault="00D8432A" w:rsidP="00D8432A">
      <w:pPr>
        <w:ind w:left="720"/>
        <w:rPr>
          <w:i/>
        </w:rPr>
      </w:pPr>
      <w:r w:rsidRPr="00B8122D">
        <w:rPr>
          <w:i/>
        </w:rPr>
        <w:t>‘For the treatment of postmenopausal women with hormone receptor positive breast cancer (see ‘Clinical Trials’).</w:t>
      </w:r>
    </w:p>
    <w:p w14:paraId="6FE47CE9" w14:textId="77777777" w:rsidR="00D8432A" w:rsidRDefault="00D8432A" w:rsidP="00D8432A">
      <w:pPr>
        <w:ind w:left="720"/>
        <w:rPr>
          <w:i/>
        </w:rPr>
      </w:pPr>
      <w:r w:rsidRPr="00B8122D">
        <w:rPr>
          <w:i/>
        </w:rPr>
        <w:t>The safety and efficacy of neoadjuvant use of letrozole has not been established. Letrozole is not indicated in hormone receptor negative disease’.</w:t>
      </w:r>
      <w:r w:rsidRPr="00B8122D">
        <w:rPr>
          <w:i/>
          <w:vertAlign w:val="superscript"/>
        </w:rPr>
        <w:footnoteReference w:id="2"/>
      </w:r>
    </w:p>
    <w:p w14:paraId="40842525" w14:textId="2891D922" w:rsidR="00A5777A" w:rsidRPr="00A5777A" w:rsidRDefault="00A5777A" w:rsidP="00A5777A">
      <w:pPr>
        <w:pStyle w:val="Heading4"/>
      </w:pPr>
      <w:r>
        <w:t>Breast cancer in the Australian context</w:t>
      </w:r>
    </w:p>
    <w:p w14:paraId="2CE58239" w14:textId="78F22458" w:rsidR="00A5777A" w:rsidRDefault="00A5777A" w:rsidP="00A5777A">
      <w:r w:rsidRPr="00D8432A">
        <w:t>According to the Australian Institute of Health and Welfare</w:t>
      </w:r>
      <w:r w:rsidR="00FC0F0A">
        <w:t xml:space="preserve"> (AIHW)</w:t>
      </w:r>
      <w:r w:rsidRPr="00D8432A">
        <w:t>, there were an estimated 16,084 new cases of breast cancer (including 150 males, 0.9%) in 2016.</w:t>
      </w:r>
      <w:r w:rsidRPr="00D8432A">
        <w:rPr>
          <w:vertAlign w:val="superscript"/>
        </w:rPr>
        <w:footnoteReference w:id="3"/>
      </w:r>
      <w:r w:rsidRPr="00D8432A">
        <w:t xml:space="preserve"> The incidence showed a steep age gradient, with relatively low incidence rates before </w:t>
      </w:r>
      <w:r w:rsidR="00FC0F0A">
        <w:t xml:space="preserve">the </w:t>
      </w:r>
      <w:r w:rsidRPr="00D8432A">
        <w:t xml:space="preserve">age </w:t>
      </w:r>
      <w:r w:rsidR="00FC0F0A">
        <w:t xml:space="preserve">of </w:t>
      </w:r>
      <w:r w:rsidRPr="00D8432A">
        <w:t>45 years and peak incidence rates in the age group</w:t>
      </w:r>
      <w:r w:rsidR="00FC0F0A">
        <w:t xml:space="preserve"> of between</w:t>
      </w:r>
      <w:r w:rsidRPr="00D8432A">
        <w:t xml:space="preserve"> 65 to 69 years. Approximately 75% of cases occur in women approaching menopause or postmenopausal (aged 45 years or more). Australian data from 2008 to 2012 indicates an overall 5 year survival rate of 90%.</w:t>
      </w:r>
    </w:p>
    <w:p w14:paraId="361A381F" w14:textId="177371D5" w:rsidR="00A5777A" w:rsidRPr="00A5777A" w:rsidRDefault="00A5777A" w:rsidP="00A5777A">
      <w:r w:rsidRPr="00D8432A">
        <w:t>Breast cancer is the second leading cause of cancer related death in Australian women, accounting for 15.5 per cent of all cancer deaths in women. It is estimated that 3,046</w:t>
      </w:r>
      <w:r w:rsidR="00FC0F0A">
        <w:t> </w:t>
      </w:r>
      <w:r w:rsidRPr="00D8432A">
        <w:t>Australian women will die due to breast cancer in 2016.</w:t>
      </w:r>
    </w:p>
    <w:p w14:paraId="1DD112B4" w14:textId="78C75489" w:rsidR="004C7EB5" w:rsidRPr="00B8122D" w:rsidRDefault="004C7EB5" w:rsidP="00AF4455">
      <w:pPr>
        <w:pStyle w:val="Heading4"/>
      </w:pPr>
      <w:r w:rsidRPr="00B8122D">
        <w:lastRenderedPageBreak/>
        <w:t>Current treatment options</w:t>
      </w:r>
    </w:p>
    <w:p w14:paraId="27DAE38B" w14:textId="247E60A7" w:rsidR="003E7EE5" w:rsidRPr="00B8122D" w:rsidRDefault="003E7EE5" w:rsidP="003E7EE5">
      <w:r w:rsidRPr="00B8122D">
        <w:t>The molecular subtype and menopausal state is used to guide targeted therapy. In postmenopausal women patients with metastatic HR+ breast cancer, endocrine therapy is generally recommended as first</w:t>
      </w:r>
      <w:r w:rsidR="004C7EB5" w:rsidRPr="00B8122D">
        <w:t xml:space="preserve"> </w:t>
      </w:r>
      <w:r w:rsidRPr="00B8122D">
        <w:t>line treatment.</w:t>
      </w:r>
      <w:bookmarkStart w:id="16" w:name="_Ref504234545"/>
      <w:r w:rsidR="00A5777A" w:rsidRPr="003E7EE5">
        <w:rPr>
          <w:vertAlign w:val="superscript"/>
        </w:rPr>
        <w:footnoteReference w:id="4"/>
      </w:r>
      <w:bookmarkStart w:id="17" w:name="_Ref504234547"/>
      <w:bookmarkEnd w:id="16"/>
      <w:r w:rsidR="006A1907">
        <w:rPr>
          <w:vertAlign w:val="superscript"/>
        </w:rPr>
        <w:t>,</w:t>
      </w:r>
      <w:r w:rsidR="00A5777A" w:rsidRPr="003E7EE5">
        <w:rPr>
          <w:vertAlign w:val="superscript"/>
        </w:rPr>
        <w:footnoteReference w:id="5"/>
      </w:r>
      <w:bookmarkEnd w:id="17"/>
      <w:r w:rsidRPr="00B8122D">
        <w:rPr>
          <w:vertAlign w:val="superscript"/>
        </w:rPr>
        <w:t>,</w:t>
      </w:r>
      <w:bookmarkStart w:id="18" w:name="_Ref505087615"/>
      <w:r w:rsidRPr="00B8122D">
        <w:rPr>
          <w:vertAlign w:val="superscript"/>
        </w:rPr>
        <w:footnoteReference w:id="6"/>
      </w:r>
      <w:bookmarkEnd w:id="18"/>
      <w:r w:rsidRPr="00B8122D">
        <w:t xml:space="preserve"> Chemotherapy is reserved for cases of rapidly progressive disease or proven endocrine resistance. </w:t>
      </w:r>
      <w:r w:rsidR="0082575C">
        <w:t>Three</w:t>
      </w:r>
      <w:r w:rsidR="0082575C" w:rsidRPr="00B8122D">
        <w:t xml:space="preserve"> </w:t>
      </w:r>
      <w:r w:rsidR="00C11890">
        <w:t>(</w:t>
      </w:r>
      <w:r w:rsidRPr="00B8122D">
        <w:t>3</w:t>
      </w:r>
      <w:r w:rsidR="00C11890">
        <w:t>)</w:t>
      </w:r>
      <w:r w:rsidRPr="00B8122D">
        <w:t xml:space="preserve"> classes of endocrine therapies are available:</w:t>
      </w:r>
    </w:p>
    <w:p w14:paraId="1358233D" w14:textId="4301FD1A" w:rsidR="003E7EE5" w:rsidRPr="00B8122D" w:rsidRDefault="003E7EE5" w:rsidP="00AF4455">
      <w:pPr>
        <w:pStyle w:val="ListBullet"/>
      </w:pPr>
      <w:r w:rsidRPr="00B8122D">
        <w:t xml:space="preserve">selective oestrogen receptor modifiers (SERMs), such as tamoxifen, which directly bind to the </w:t>
      </w:r>
      <w:r w:rsidR="00FC3C81">
        <w:t>oestrogen receptor (</w:t>
      </w:r>
      <w:r w:rsidRPr="00B8122D">
        <w:t>ER</w:t>
      </w:r>
      <w:r w:rsidR="00FC3C81">
        <w:t>)</w:t>
      </w:r>
      <w:r w:rsidRPr="00B8122D">
        <w:t xml:space="preserve"> and block its transcriptional activity</w:t>
      </w:r>
    </w:p>
    <w:p w14:paraId="374CA989" w14:textId="77777777" w:rsidR="003E7EE5" w:rsidRPr="00B8122D" w:rsidRDefault="003E7EE5" w:rsidP="00162887">
      <w:pPr>
        <w:pStyle w:val="ListBullet"/>
      </w:pPr>
      <w:r w:rsidRPr="00B8122D">
        <w:t>selective oestrogen receptor down regulators (SERDs), such as fulvestrant, which bind to ER and induce its degradation</w:t>
      </w:r>
    </w:p>
    <w:p w14:paraId="1310C676" w14:textId="77777777" w:rsidR="003E7EE5" w:rsidRPr="00B8122D" w:rsidRDefault="003E7EE5" w:rsidP="00162887">
      <w:pPr>
        <w:pStyle w:val="ListBullet"/>
      </w:pPr>
      <w:r w:rsidRPr="00B8122D">
        <w:t xml:space="preserve">aromatase inhibitors (AIs), such as letrozole, anastrozole, and exemestane, which reduce the production of oestrogen </w:t>
      </w:r>
      <w:r w:rsidRPr="00B8122D">
        <w:rPr>
          <w:iCs/>
        </w:rPr>
        <w:t>via</w:t>
      </w:r>
      <w:r w:rsidRPr="00B8122D">
        <w:t xml:space="preserve"> inhibition of the aromatase enzyme in peripheral tissues and within the tumour itself</w:t>
      </w:r>
    </w:p>
    <w:p w14:paraId="059A609B" w14:textId="1DF7C371" w:rsidR="003E7EE5" w:rsidRPr="00B8122D" w:rsidRDefault="003E7EE5" w:rsidP="003E7EE5">
      <w:r w:rsidRPr="00B8122D">
        <w:t xml:space="preserve">The </w:t>
      </w:r>
      <w:r w:rsidR="00DA3C75">
        <w:t xml:space="preserve">European Society </w:t>
      </w:r>
      <w:r w:rsidR="00194FD1">
        <w:t>for Medical Oncology (</w:t>
      </w:r>
      <w:r w:rsidRPr="00B8122D">
        <w:t>ESMO</w:t>
      </w:r>
      <w:r w:rsidR="00194FD1">
        <w:t>)</w:t>
      </w:r>
      <w:r w:rsidRPr="00B8122D">
        <w:t xml:space="preserve"> Breast Cancer Guidelines notes that the preferred first line endocrine therapy for postmenopausal women depends on the type and duration of adjuvant endocrine therapy and that currently available data support the use of an aromatase inhibitor, tamoxifen, or fulvestrant. Current</w:t>
      </w:r>
      <w:r w:rsidR="00190A42" w:rsidRPr="00B8122D">
        <w:t xml:space="preserve"> recommended</w:t>
      </w:r>
      <w:r w:rsidRPr="00B8122D">
        <w:t xml:space="preserve"> first line </w:t>
      </w:r>
      <w:r w:rsidR="004C7EB5" w:rsidRPr="00B8122D">
        <w:t>therapy(ies)</w:t>
      </w:r>
      <w:r w:rsidR="00190A42" w:rsidRPr="00B8122D">
        <w:t xml:space="preserve"> according to guidelines</w:t>
      </w:r>
      <w:r w:rsidR="004C7EB5" w:rsidRPr="00B8122D">
        <w:t xml:space="preserve"> are shown in Table 1</w:t>
      </w:r>
      <w:r w:rsidRPr="00B8122D">
        <w:t>, below.</w:t>
      </w:r>
      <w:r w:rsidR="00190A42" w:rsidRPr="00B8122D">
        <w:rPr>
          <w:vertAlign w:val="superscript"/>
        </w:rPr>
        <w:fldChar w:fldCharType="begin"/>
      </w:r>
      <w:r w:rsidR="00190A42" w:rsidRPr="00B8122D">
        <w:rPr>
          <w:vertAlign w:val="superscript"/>
        </w:rPr>
        <w:instrText xml:space="preserve"> NOTEREF _Ref504234545 \h  \* MERGEFORMAT </w:instrText>
      </w:r>
      <w:r w:rsidR="00190A42" w:rsidRPr="00B8122D">
        <w:rPr>
          <w:vertAlign w:val="superscript"/>
        </w:rPr>
      </w:r>
      <w:r w:rsidR="00190A42" w:rsidRPr="00B8122D">
        <w:rPr>
          <w:vertAlign w:val="superscript"/>
        </w:rPr>
        <w:fldChar w:fldCharType="separate"/>
      </w:r>
      <w:r w:rsidR="00633064">
        <w:rPr>
          <w:vertAlign w:val="superscript"/>
        </w:rPr>
        <w:t>4</w:t>
      </w:r>
      <w:r w:rsidR="00190A42" w:rsidRPr="00B8122D">
        <w:rPr>
          <w:vertAlign w:val="superscript"/>
        </w:rPr>
        <w:fldChar w:fldCharType="end"/>
      </w:r>
      <w:r w:rsidR="00190A42" w:rsidRPr="00B8122D">
        <w:rPr>
          <w:vertAlign w:val="superscript"/>
        </w:rPr>
        <w:t>,</w:t>
      </w:r>
      <w:r w:rsidR="00DA3C75" w:rsidRPr="00B8122D">
        <w:rPr>
          <w:vertAlign w:val="superscript"/>
        </w:rPr>
        <w:fldChar w:fldCharType="begin"/>
      </w:r>
      <w:r w:rsidR="00DA3C75" w:rsidRPr="00B8122D">
        <w:rPr>
          <w:vertAlign w:val="superscript"/>
        </w:rPr>
        <w:instrText xml:space="preserve"> NOTEREF _Ref504234547 \h  \* MERGEFORMAT </w:instrText>
      </w:r>
      <w:r w:rsidR="00DA3C75" w:rsidRPr="00B8122D">
        <w:rPr>
          <w:vertAlign w:val="superscript"/>
        </w:rPr>
      </w:r>
      <w:r w:rsidR="00DA3C75" w:rsidRPr="00B8122D">
        <w:rPr>
          <w:vertAlign w:val="superscript"/>
        </w:rPr>
        <w:fldChar w:fldCharType="separate"/>
      </w:r>
      <w:r w:rsidR="001B5CB8">
        <w:rPr>
          <w:vertAlign w:val="superscript"/>
        </w:rPr>
        <w:t>5</w:t>
      </w:r>
      <w:r w:rsidR="00DA3C75" w:rsidRPr="00B8122D">
        <w:rPr>
          <w:vertAlign w:val="superscript"/>
        </w:rPr>
        <w:fldChar w:fldCharType="end"/>
      </w:r>
      <w:r w:rsidR="00DA3C75">
        <w:rPr>
          <w:vertAlign w:val="superscript"/>
        </w:rPr>
        <w:t>,</w:t>
      </w:r>
      <w:r w:rsidR="00190A42" w:rsidRPr="00B8122D">
        <w:rPr>
          <w:vertAlign w:val="superscript"/>
        </w:rPr>
        <w:fldChar w:fldCharType="begin"/>
      </w:r>
      <w:r w:rsidR="00190A42" w:rsidRPr="00B8122D">
        <w:rPr>
          <w:vertAlign w:val="superscript"/>
        </w:rPr>
        <w:instrText xml:space="preserve"> NOTEREF _Ref505087615 \h  \* MERGEFORMAT </w:instrText>
      </w:r>
      <w:r w:rsidR="00190A42" w:rsidRPr="00B8122D">
        <w:rPr>
          <w:vertAlign w:val="superscript"/>
        </w:rPr>
      </w:r>
      <w:r w:rsidR="00190A42" w:rsidRPr="00B8122D">
        <w:rPr>
          <w:vertAlign w:val="superscript"/>
        </w:rPr>
        <w:fldChar w:fldCharType="separate"/>
      </w:r>
      <w:r w:rsidR="001B5CB8">
        <w:rPr>
          <w:vertAlign w:val="superscript"/>
        </w:rPr>
        <w:t>6</w:t>
      </w:r>
      <w:r w:rsidR="00190A42" w:rsidRPr="00B8122D">
        <w:rPr>
          <w:vertAlign w:val="superscript"/>
        </w:rPr>
        <w:fldChar w:fldCharType="end"/>
      </w:r>
    </w:p>
    <w:p w14:paraId="5E3E196D" w14:textId="007EB4A6" w:rsidR="0029364F" w:rsidRPr="00B8122D" w:rsidRDefault="0029364F" w:rsidP="003D79AF">
      <w:pPr>
        <w:pStyle w:val="TableTitle"/>
        <w:rPr>
          <w:lang w:eastAsia="ja-JP"/>
        </w:rPr>
      </w:pPr>
      <w:bookmarkStart w:id="19" w:name="_Toc483924298"/>
      <w:r w:rsidRPr="00B8122D">
        <w:rPr>
          <w:lang w:eastAsia="ja-JP"/>
        </w:rPr>
        <w:t xml:space="preserve">Table </w:t>
      </w:r>
      <w:r w:rsidR="003F080C">
        <w:rPr>
          <w:lang w:eastAsia="ja-JP"/>
        </w:rPr>
        <w:t>1:</w:t>
      </w:r>
      <w:r w:rsidRPr="00B8122D">
        <w:rPr>
          <w:lang w:eastAsia="ja-JP"/>
        </w:rPr>
        <w:t xml:space="preserve"> Guidelines for the first-line treatment of metastatic HR</w:t>
      </w:r>
      <w:r w:rsidR="00FC0F0A">
        <w:rPr>
          <w:lang w:eastAsia="ja-JP"/>
        </w:rPr>
        <w:t xml:space="preserve"> positive</w:t>
      </w:r>
      <w:r w:rsidRPr="00B8122D">
        <w:rPr>
          <w:lang w:eastAsia="ja-JP"/>
        </w:rPr>
        <w:t>/HER2</w:t>
      </w:r>
      <w:r w:rsidR="00FC0F0A">
        <w:rPr>
          <w:lang w:eastAsia="ja-JP"/>
        </w:rPr>
        <w:t xml:space="preserve"> negative</w:t>
      </w:r>
      <w:r w:rsidRPr="00B8122D">
        <w:rPr>
          <w:lang w:eastAsia="ja-JP"/>
        </w:rPr>
        <w:t xml:space="preserve"> breast cancer in postmenopausal women</w:t>
      </w:r>
      <w:bookmarkEnd w:id="19"/>
    </w:p>
    <w:tbl>
      <w:tblPr>
        <w:tblStyle w:val="TableTGAblue"/>
        <w:tblW w:w="8411" w:type="dxa"/>
        <w:tblLook w:val="04A0" w:firstRow="1" w:lastRow="0" w:firstColumn="1" w:lastColumn="0" w:noHBand="0" w:noVBand="1"/>
      </w:tblPr>
      <w:tblGrid>
        <w:gridCol w:w="1891"/>
        <w:gridCol w:w="6520"/>
      </w:tblGrid>
      <w:tr w:rsidR="00190A42" w:rsidRPr="00B8122D" w14:paraId="72BC2E49" w14:textId="77777777" w:rsidTr="003F080C">
        <w:trPr>
          <w:cnfStyle w:val="100000000000" w:firstRow="1" w:lastRow="0" w:firstColumn="0" w:lastColumn="0" w:oddVBand="0" w:evenVBand="0" w:oddHBand="0" w:evenHBand="0" w:firstRowFirstColumn="0" w:firstRowLastColumn="0" w:lastRowFirstColumn="0" w:lastRowLastColumn="0"/>
          <w:trHeight w:val="533"/>
        </w:trPr>
        <w:tc>
          <w:tcPr>
            <w:tcW w:w="1891" w:type="dxa"/>
          </w:tcPr>
          <w:p w14:paraId="0F6253E0" w14:textId="77777777" w:rsidR="0029364F" w:rsidRPr="00B8122D" w:rsidRDefault="0029364F" w:rsidP="004C7EB5">
            <w:pPr>
              <w:rPr>
                <w:sz w:val="20"/>
              </w:rPr>
            </w:pPr>
            <w:r w:rsidRPr="00B8122D">
              <w:rPr>
                <w:sz w:val="20"/>
              </w:rPr>
              <w:t>Guideline developer and year</w:t>
            </w:r>
          </w:p>
        </w:tc>
        <w:tc>
          <w:tcPr>
            <w:tcW w:w="6520" w:type="dxa"/>
          </w:tcPr>
          <w:p w14:paraId="4A3873B8" w14:textId="77777777" w:rsidR="0029364F" w:rsidRPr="00B8122D" w:rsidRDefault="0029364F" w:rsidP="004C7EB5">
            <w:pPr>
              <w:rPr>
                <w:sz w:val="20"/>
              </w:rPr>
            </w:pPr>
            <w:r w:rsidRPr="00B8122D">
              <w:rPr>
                <w:sz w:val="20"/>
              </w:rPr>
              <w:t>Recommendations for metastatic HR+, HER2– breast cancer in postmenopausal women</w:t>
            </w:r>
          </w:p>
        </w:tc>
      </w:tr>
      <w:tr w:rsidR="00190A42" w:rsidRPr="00B8122D" w14:paraId="078BC7D4" w14:textId="77777777" w:rsidTr="003F080C">
        <w:trPr>
          <w:trHeight w:val="2885"/>
        </w:trPr>
        <w:tc>
          <w:tcPr>
            <w:tcW w:w="1891" w:type="dxa"/>
          </w:tcPr>
          <w:p w14:paraId="38489B8F" w14:textId="77777777" w:rsidR="0029364F" w:rsidRPr="00B8122D" w:rsidRDefault="0029364F" w:rsidP="004C7EB5">
            <w:pPr>
              <w:rPr>
                <w:sz w:val="20"/>
              </w:rPr>
            </w:pPr>
            <w:r w:rsidRPr="00B8122D">
              <w:rPr>
                <w:sz w:val="20"/>
              </w:rPr>
              <w:t>ASCO 2016</w:t>
            </w:r>
          </w:p>
        </w:tc>
        <w:tc>
          <w:tcPr>
            <w:tcW w:w="6520" w:type="dxa"/>
          </w:tcPr>
          <w:p w14:paraId="7C072728" w14:textId="4C44D21B" w:rsidR="0029364F" w:rsidRPr="00B8122D" w:rsidRDefault="0029364F" w:rsidP="004C7EB5">
            <w:pPr>
              <w:rPr>
                <w:sz w:val="20"/>
              </w:rPr>
            </w:pPr>
            <w:r w:rsidRPr="00B8122D">
              <w:rPr>
                <w:sz w:val="20"/>
              </w:rPr>
              <w:t>Hormone therapy should be offered to patients whose tumours express any level of estrogen and/or progesterone receptors.</w:t>
            </w:r>
            <w:r w:rsidR="00194FD1">
              <w:rPr>
                <w:sz w:val="20"/>
              </w:rPr>
              <w:t xml:space="preserve"> </w:t>
            </w:r>
            <w:r w:rsidR="00016D1D" w:rsidRPr="00B8122D">
              <w:rPr>
                <w:sz w:val="20"/>
              </w:rPr>
              <w:t xml:space="preserve">Postmenopausal women with HR </w:t>
            </w:r>
            <w:r w:rsidRPr="00B8122D">
              <w:rPr>
                <w:sz w:val="20"/>
              </w:rPr>
              <w:t>positive metastatic breast cancer (MBC) should be offered aromatase inhibitors (AIs) as part of first-line endocrine therapy.</w:t>
            </w:r>
          </w:p>
          <w:p w14:paraId="39762AC9" w14:textId="77777777" w:rsidR="0029364F" w:rsidRPr="00B8122D" w:rsidRDefault="0029364F" w:rsidP="004C7EB5">
            <w:pPr>
              <w:rPr>
                <w:sz w:val="20"/>
              </w:rPr>
            </w:pPr>
            <w:r w:rsidRPr="00B8122D">
              <w:rPr>
                <w:sz w:val="20"/>
              </w:rPr>
              <w:t>Combination hormone therapy with a nonsteroidal AI and fulvestrant may be offered for patients with MBC without prior exposure to adjuvant endocrine therapy.</w:t>
            </w:r>
          </w:p>
          <w:p w14:paraId="0554213D" w14:textId="2DDB88D7" w:rsidR="0029364F" w:rsidRPr="00B8122D" w:rsidRDefault="0029364F" w:rsidP="00016D1D">
            <w:pPr>
              <w:rPr>
                <w:sz w:val="20"/>
              </w:rPr>
            </w:pPr>
            <w:r w:rsidRPr="00B8122D">
              <w:rPr>
                <w:sz w:val="20"/>
              </w:rPr>
              <w:t>A nonsteroidal AI and palbociclib may be offered to postmenopausal women with treatment naive HR positive MBC, because progression</w:t>
            </w:r>
            <w:r w:rsidR="00016D1D" w:rsidRPr="00B8122D">
              <w:rPr>
                <w:sz w:val="20"/>
              </w:rPr>
              <w:t xml:space="preserve"> </w:t>
            </w:r>
            <w:r w:rsidRPr="00B8122D">
              <w:rPr>
                <w:sz w:val="20"/>
              </w:rPr>
              <w:t>free survival (PFS) but not overall survival (OS) was improved compared with letrozole alone.</w:t>
            </w:r>
          </w:p>
        </w:tc>
      </w:tr>
      <w:tr w:rsidR="00190A42" w:rsidRPr="00B8122D" w14:paraId="4C7AA0AC" w14:textId="77777777" w:rsidTr="003F080C">
        <w:trPr>
          <w:trHeight w:val="958"/>
        </w:trPr>
        <w:tc>
          <w:tcPr>
            <w:tcW w:w="1891" w:type="dxa"/>
          </w:tcPr>
          <w:p w14:paraId="187DB901" w14:textId="77777777" w:rsidR="0029364F" w:rsidRPr="00B8122D" w:rsidRDefault="0029364F" w:rsidP="004C7EB5">
            <w:pPr>
              <w:rPr>
                <w:sz w:val="20"/>
              </w:rPr>
            </w:pPr>
            <w:r w:rsidRPr="00B8122D">
              <w:rPr>
                <w:sz w:val="20"/>
              </w:rPr>
              <w:t>ESO-ESMO 2014</w:t>
            </w:r>
          </w:p>
        </w:tc>
        <w:tc>
          <w:tcPr>
            <w:tcW w:w="6520" w:type="dxa"/>
          </w:tcPr>
          <w:p w14:paraId="6C67281C" w14:textId="4AD1A568" w:rsidR="0029364F" w:rsidRPr="00FC0F0A" w:rsidRDefault="00194FD1" w:rsidP="00FC0F0A">
            <w:r w:rsidRPr="006A1907">
              <w:rPr>
                <w:sz w:val="20"/>
              </w:rPr>
              <w:t>The preferred first line endocrine therapy</w:t>
            </w:r>
            <w:r w:rsidR="0029364F" w:rsidRPr="006A1907">
              <w:rPr>
                <w:sz w:val="20"/>
              </w:rPr>
              <w:t xml:space="preserve"> for postmenopausal patients is an aromatase inhibitor or tamoxifen, depending on the type and duration of adjuvant endocrine therapy.</w:t>
            </w:r>
            <w:r w:rsidR="00016D1D" w:rsidRPr="006A1907">
              <w:rPr>
                <w:sz w:val="20"/>
              </w:rPr>
              <w:t xml:space="preserve"> </w:t>
            </w:r>
            <w:r w:rsidR="0029364F" w:rsidRPr="006A1907">
              <w:rPr>
                <w:sz w:val="20"/>
              </w:rPr>
              <w:t>Fulvestrant (high dose) is also an option.</w:t>
            </w:r>
          </w:p>
        </w:tc>
      </w:tr>
      <w:tr w:rsidR="00190A42" w:rsidRPr="00B8122D" w14:paraId="0C028783" w14:textId="77777777" w:rsidTr="006A1907">
        <w:trPr>
          <w:trHeight w:val="1812"/>
        </w:trPr>
        <w:tc>
          <w:tcPr>
            <w:tcW w:w="1891" w:type="dxa"/>
          </w:tcPr>
          <w:p w14:paraId="1772D2E9" w14:textId="77777777" w:rsidR="0029364F" w:rsidRPr="00B8122D" w:rsidRDefault="0029364F" w:rsidP="004C7EB5">
            <w:pPr>
              <w:rPr>
                <w:sz w:val="20"/>
              </w:rPr>
            </w:pPr>
            <w:r w:rsidRPr="00B8122D">
              <w:rPr>
                <w:sz w:val="20"/>
              </w:rPr>
              <w:lastRenderedPageBreak/>
              <w:t>NCCN 2016</w:t>
            </w:r>
          </w:p>
        </w:tc>
        <w:tc>
          <w:tcPr>
            <w:tcW w:w="6520" w:type="dxa"/>
          </w:tcPr>
          <w:p w14:paraId="2B11E1C1" w14:textId="4F070F31" w:rsidR="0029364F" w:rsidRPr="006A1907" w:rsidRDefault="0029364F" w:rsidP="006A1907">
            <w:pPr>
              <w:ind w:right="0"/>
              <w:rPr>
                <w:sz w:val="20"/>
              </w:rPr>
            </w:pPr>
            <w:r w:rsidRPr="006A1907">
              <w:rPr>
                <w:sz w:val="20"/>
              </w:rPr>
              <w:t>First line therapy of endocrine therapy of aromatase inhibitor (non-steroidal: anastr</w:t>
            </w:r>
            <w:r w:rsidR="00A176FD" w:rsidRPr="006A1907">
              <w:rPr>
                <w:sz w:val="20"/>
              </w:rPr>
              <w:t>o</w:t>
            </w:r>
            <w:r w:rsidRPr="006A1907">
              <w:rPr>
                <w:sz w:val="20"/>
              </w:rPr>
              <w:t>zole or letrozole; steroidal: exemestane) or selective ER modulators (tamoxifen or toremifene) or selective ER down-regulator (fulvestrant) continued until progression or unacceptable toxicity.</w:t>
            </w:r>
          </w:p>
          <w:p w14:paraId="680E69ED" w14:textId="53689D7F" w:rsidR="0029364F" w:rsidRPr="00B8122D" w:rsidRDefault="0029364F" w:rsidP="006A1907">
            <w:r w:rsidRPr="006A1907">
              <w:rPr>
                <w:sz w:val="20"/>
              </w:rPr>
              <w:t>The combination therapy of palbociclib with letrozole may also be considered for first line therapy</w:t>
            </w:r>
            <w:r w:rsidRPr="00B8122D">
              <w:t>.</w:t>
            </w:r>
          </w:p>
        </w:tc>
      </w:tr>
    </w:tbl>
    <w:p w14:paraId="32EEECFB" w14:textId="398EC139" w:rsidR="00EF2EC1" w:rsidRPr="00EF2EC1" w:rsidRDefault="003E7EE5" w:rsidP="006A1907">
      <w:r w:rsidRPr="00B8122D">
        <w:t>The first in class CDKi</w:t>
      </w:r>
      <w:r w:rsidR="0082575C" w:rsidRPr="0082575C">
        <w:t xml:space="preserve"> </w:t>
      </w:r>
      <w:r w:rsidR="0082575C">
        <w:t>compound</w:t>
      </w:r>
      <w:r w:rsidRPr="00B8122D">
        <w:t xml:space="preserve">, palbociclib, was approved </w:t>
      </w:r>
      <w:r w:rsidR="00306E64">
        <w:t>in the USA under accelerated approval</w:t>
      </w:r>
      <w:r w:rsidR="00306E64" w:rsidRPr="00B8122D">
        <w:t xml:space="preserve"> in 2015</w:t>
      </w:r>
      <w:r w:rsidR="00306E64">
        <w:t>,</w:t>
      </w:r>
      <w:r w:rsidR="00306E64" w:rsidRPr="00B8122D">
        <w:t xml:space="preserve"> </w:t>
      </w:r>
      <w:r w:rsidR="00306E64">
        <w:t>based on progression</w:t>
      </w:r>
      <w:r w:rsidR="00EF2EC1">
        <w:t xml:space="preserve"> </w:t>
      </w:r>
      <w:r w:rsidR="00306E64">
        <w:t xml:space="preserve">free </w:t>
      </w:r>
      <w:r w:rsidR="00AB539D">
        <w:t>survival</w:t>
      </w:r>
      <w:r w:rsidR="00306E64">
        <w:t xml:space="preserve"> (PFS)</w:t>
      </w:r>
      <w:r w:rsidR="00E5344C" w:rsidRPr="00E5344C">
        <w:t xml:space="preserve"> results of </w:t>
      </w:r>
      <w:r w:rsidR="00E5344C">
        <w:t xml:space="preserve">a </w:t>
      </w:r>
      <w:r w:rsidR="00EF2EC1">
        <w:t>P</w:t>
      </w:r>
      <w:r w:rsidR="00E5344C" w:rsidRPr="00E5344C">
        <w:t xml:space="preserve">hase </w:t>
      </w:r>
      <w:r w:rsidR="00E0229C">
        <w:t>II</w:t>
      </w:r>
      <w:r w:rsidR="00EF2EC1">
        <w:t xml:space="preserve"> </w:t>
      </w:r>
      <w:r w:rsidR="00E5344C" w:rsidRPr="00E5344C">
        <w:t>tri</w:t>
      </w:r>
      <w:r w:rsidR="00E5344C">
        <w:t>al (NDA</w:t>
      </w:r>
      <w:r w:rsidR="00E5344C" w:rsidRPr="00E5344C">
        <w:t xml:space="preserve"> 207103</w:t>
      </w:r>
      <w:r w:rsidR="00E5344C">
        <w:t>).</w:t>
      </w:r>
      <w:r w:rsidR="00306E64">
        <w:t xml:space="preserve"> </w:t>
      </w:r>
      <w:r w:rsidR="00A05E01">
        <w:t>Palbociclib was</w:t>
      </w:r>
      <w:r w:rsidR="00B14C5B">
        <w:t xml:space="preserve"> later</w:t>
      </w:r>
      <w:r w:rsidRPr="00B8122D">
        <w:t xml:space="preserve"> included in the </w:t>
      </w:r>
      <w:r w:rsidR="00194FD1" w:rsidRPr="00194FD1">
        <w:t xml:space="preserve">National Comprehensive Cancer Network </w:t>
      </w:r>
      <w:r w:rsidR="00194FD1">
        <w:t>(</w:t>
      </w:r>
      <w:r w:rsidRPr="00B8122D">
        <w:t>NCCN</w:t>
      </w:r>
      <w:r w:rsidR="00194FD1">
        <w:t>)</w:t>
      </w:r>
      <w:r w:rsidRPr="00B8122D">
        <w:t xml:space="preserve"> and </w:t>
      </w:r>
      <w:r w:rsidR="00194FD1" w:rsidRPr="00194FD1">
        <w:t xml:space="preserve">American Society of Clinical Oncology </w:t>
      </w:r>
      <w:r w:rsidR="00194FD1">
        <w:t>(</w:t>
      </w:r>
      <w:r w:rsidRPr="00B8122D">
        <w:t>ASCO</w:t>
      </w:r>
      <w:r w:rsidR="00194FD1">
        <w:t>)</w:t>
      </w:r>
      <w:r w:rsidRPr="00B8122D">
        <w:t xml:space="preserve"> guidelines, both updated in 2016</w:t>
      </w:r>
      <w:r w:rsidR="00A05E01">
        <w:t xml:space="preserve"> (Table 1)</w:t>
      </w:r>
      <w:r w:rsidRPr="00B8122D">
        <w:t>.</w:t>
      </w:r>
    </w:p>
    <w:p w14:paraId="548E6A41" w14:textId="152E9A25" w:rsidR="00016D1D" w:rsidRPr="00B8122D" w:rsidRDefault="00DC11F8" w:rsidP="006A1907">
      <w:pPr>
        <w:pStyle w:val="Heading4"/>
      </w:pPr>
      <w:r w:rsidRPr="00B8122D">
        <w:t>Treatment options in Australia</w:t>
      </w:r>
    </w:p>
    <w:p w14:paraId="7E537C48" w14:textId="77777777" w:rsidR="003E7EE5" w:rsidRPr="00B8122D" w:rsidRDefault="003E7EE5" w:rsidP="003E7EE5">
      <w:r w:rsidRPr="00B8122D">
        <w:t xml:space="preserve">The 2008 guideline available on the Cancer Australia website, </w:t>
      </w:r>
      <w:r w:rsidRPr="00B8122D">
        <w:rPr>
          <w:i/>
        </w:rPr>
        <w:t>Recommendations for use of endocrine therapy for the treatment of hormone receptor-positive advanced breast cancer</w:t>
      </w:r>
      <w:r w:rsidRPr="00B8122D">
        <w:t>, recommends third generation aromatase inhibitors in preference to tamoxifen as first-line treatment.</w:t>
      </w:r>
      <w:r w:rsidRPr="00B8122D">
        <w:rPr>
          <w:vertAlign w:val="superscript"/>
        </w:rPr>
        <w:footnoteReference w:id="7"/>
      </w:r>
    </w:p>
    <w:p w14:paraId="63D3C3C6" w14:textId="21A29008" w:rsidR="003E7EE5" w:rsidRPr="00B8122D" w:rsidRDefault="003E7EE5" w:rsidP="003E7EE5">
      <w:r w:rsidRPr="00B8122D">
        <w:t xml:space="preserve">Of the first line endocrine therapy options described above, those available to women in Australia are limited by TGA approval and </w:t>
      </w:r>
      <w:r w:rsidR="00FC3C81">
        <w:t>Pharmaceutical Benefits System (</w:t>
      </w:r>
      <w:r w:rsidRPr="00B8122D">
        <w:t>PBS</w:t>
      </w:r>
      <w:r w:rsidR="00FC3C81">
        <w:t>)</w:t>
      </w:r>
      <w:r w:rsidRPr="00B8122D">
        <w:t xml:space="preserve"> funding. As of November 2016, tamoxifen, toremifene, letrozole and anastrozole are all approved by the TGA for first line use in the treatment of postmenopausal women with advanced HR+ breast cancer and all 4 agents are listed on the PBS. Exemestane and fulvestrant have been approved by the TGA for second line use. Exemestane is funded by the PBS but within strict clinical criteria: patients who are not premenopausal, have HR+/HER2- metastatic breast cancer and are receiving everolimus concurrently. Palbociclib is not currently included on the </w:t>
      </w:r>
      <w:r w:rsidR="00FC3C81">
        <w:t>Australian Register of Therapeutic Goods (</w:t>
      </w:r>
      <w:r w:rsidRPr="00B8122D">
        <w:t>ARTG</w:t>
      </w:r>
      <w:r w:rsidR="00FC3C81">
        <w:t>)</w:t>
      </w:r>
      <w:r w:rsidRPr="00B8122D">
        <w:t>.</w:t>
      </w:r>
    </w:p>
    <w:p w14:paraId="4E0A793E" w14:textId="37690FC3" w:rsidR="003E7EE5" w:rsidRPr="00B8122D" w:rsidRDefault="003E7EE5" w:rsidP="003E7EE5">
      <w:r w:rsidRPr="00B8122D">
        <w:t>The proposed indication is for ribociclib in combination with letrozole. As noted above, letrozole is approved by the TGA (and funded by the PBS) for the treatment of HR+ breast cancer, in</w:t>
      </w:r>
      <w:r w:rsidR="00016D1D" w:rsidRPr="00B8122D">
        <w:t xml:space="preserve">cluding first </w:t>
      </w:r>
      <w:r w:rsidRPr="00B8122D">
        <w:t>line therapy in postmenopausal women.</w:t>
      </w:r>
    </w:p>
    <w:p w14:paraId="4BFD15BF" w14:textId="77777777" w:rsidR="003E7EE5" w:rsidRPr="00B8122D" w:rsidRDefault="003E7EE5" w:rsidP="006A1907">
      <w:pPr>
        <w:pStyle w:val="Heading5"/>
      </w:pPr>
      <w:r w:rsidRPr="00B8122D">
        <w:t>Endocrine therapy resistance</w:t>
      </w:r>
    </w:p>
    <w:p w14:paraId="47381E24" w14:textId="77777777" w:rsidR="003E7EE5" w:rsidRPr="00B8122D" w:rsidRDefault="003E7EE5" w:rsidP="003E7EE5">
      <w:r w:rsidRPr="00B8122D">
        <w:t>Endocrine therapy may provide effective disease control and induce tumour responses in a proportion of patients with metastatic HR+ breast cancer. However, this therapy is not curative and the majority of patients will progress during endocrine therapy and some patients may fail to respond to initial therapy.</w:t>
      </w:r>
    </w:p>
    <w:p w14:paraId="4EE925F7" w14:textId="1E374DC2" w:rsidR="003E7EE5" w:rsidRPr="00B8122D" w:rsidRDefault="003E7EE5" w:rsidP="003E7EE5">
      <w:r w:rsidRPr="00B8122D">
        <w:t>The mechanism or mechanisms by which endocrine resistance develops are poorly understood and the mechanism or mechanisms by which each of the 3 classes of anti-oestrogen therapy develop resistance may differ. Current thinking is that the ER is a key player in a complex ne</w:t>
      </w:r>
      <w:r w:rsidR="006A5E90" w:rsidRPr="00B8122D">
        <w:t>two</w:t>
      </w:r>
      <w:r w:rsidRPr="00B8122D">
        <w:t>rk of signalling pathways that lead to proliferation and survival of cancer cells</w:t>
      </w:r>
      <w:r w:rsidRPr="00B8122D">
        <w:rPr>
          <w:vertAlign w:val="superscript"/>
        </w:rPr>
        <w:t xml:space="preserve"> </w:t>
      </w:r>
      <w:r w:rsidRPr="00B8122D">
        <w:t>and that combinations of endocrine therapy with other agents that target other signalling pathways may offer benefit.</w:t>
      </w:r>
      <w:r w:rsidRPr="00B8122D">
        <w:rPr>
          <w:vertAlign w:val="superscript"/>
        </w:rPr>
        <w:footnoteReference w:id="8"/>
      </w:r>
      <w:r w:rsidRPr="00B8122D">
        <w:t xml:space="preserve"> Combinations that have been, or are </w:t>
      </w:r>
      <w:r w:rsidRPr="00B8122D">
        <w:lastRenderedPageBreak/>
        <w:t>currently being, explored include exemestane and the mTOR inhibitor everolimus; letrozole and lap</w:t>
      </w:r>
      <w:r w:rsidR="00F90AB6">
        <w:t>a</w:t>
      </w:r>
      <w:r w:rsidRPr="00B8122D">
        <w:t>tinib; letrozole or tamoxifen or fulvestrant a</w:t>
      </w:r>
      <w:r w:rsidR="006A5E90" w:rsidRPr="00B8122D">
        <w:t xml:space="preserve">nd the first in </w:t>
      </w:r>
      <w:r w:rsidRPr="00B8122D">
        <w:t>class CDKI palbociclib; tamoxifen or fulvestrant and another CDKi abemaciclib; tamoxifen and the phosphoinositide 3-kinase (PI3K) inhibitor buparlisib; and the combination in this submission, letrozole and ribociclib.</w:t>
      </w:r>
    </w:p>
    <w:p w14:paraId="3344D1E5" w14:textId="12283FD4" w:rsidR="003E7EE5" w:rsidRPr="00B8122D" w:rsidRDefault="003E7EE5" w:rsidP="003E7EE5">
      <w:r w:rsidRPr="00B8122D">
        <w:t>Synergy between CDK4/6 selective inhibitors and ER antagonists in blocking proliferation of ER+ breast cancer tu</w:t>
      </w:r>
      <w:r w:rsidR="00247019" w:rsidRPr="00B8122D">
        <w:t>mour cells is expected. Cyclin D1</w:t>
      </w:r>
      <w:r w:rsidRPr="00B8122D">
        <w:rPr>
          <w:vertAlign w:val="subscript"/>
        </w:rPr>
        <w:t xml:space="preserve"> </w:t>
      </w:r>
      <w:r w:rsidRPr="00B8122D">
        <w:t xml:space="preserve">is the regulatory subunit for CDK4 and is also a transcriptional target of the </w:t>
      </w:r>
      <w:r w:rsidR="000679E4">
        <w:t>ER</w:t>
      </w:r>
      <w:r w:rsidRPr="00B8122D">
        <w:t>. Overexpression of cyclin D1 may act as a driver of tumour growth and may be one mechanism for endocrine drug resistance in ER+ breast cancer.</w:t>
      </w:r>
    </w:p>
    <w:p w14:paraId="723511F5" w14:textId="5C56CB21" w:rsidR="003E7EE5" w:rsidRPr="00B8122D" w:rsidRDefault="00F46A34" w:rsidP="003E7EE5">
      <w:r w:rsidRPr="00B8122D">
        <w:t xml:space="preserve">The first in class of the CDK inhibitors to receive regulatory approval was palbociclib. This agent was given accelerated approval by the FDA in February 2015 for combination use with letrozole as initial endocrine based therapy in postmenopausal women with HR+, HER2- advanced breast cancer. </w:t>
      </w:r>
      <w:r w:rsidR="003E7EE5" w:rsidRPr="00B8122D">
        <w:t>An expanded indication was granted in February 2016 for palbociclib in combination with fulvestrant for the treatment of advanced breast cancer that had progressed following endocrine therapy.</w:t>
      </w:r>
      <w:r>
        <w:rPr>
          <w:rStyle w:val="FootnoteReference"/>
        </w:rPr>
        <w:footnoteReference w:id="9"/>
      </w:r>
      <w:r w:rsidR="003E7EE5" w:rsidRPr="00B8122D">
        <w:t xml:space="preserve"> A third CDKi, abemaciclib</w:t>
      </w:r>
      <w:r w:rsidR="00BF30E5">
        <w:t xml:space="preserve"> i</w:t>
      </w:r>
      <w:r w:rsidR="006A1907">
        <w:t>s currently being investigated</w:t>
      </w:r>
      <w:r w:rsidR="00D50D75">
        <w:t>.</w:t>
      </w:r>
      <w:r w:rsidR="003E7EE5" w:rsidRPr="00B8122D">
        <w:t>The FDA has designated abemaciclib as a breakthrough therapy for patients with advanced breast cancer and a Phase III trial of abemaciclib in combination with fulvestrant in women with HR+, HER2- locally advanced or metastatic breast cancer (</w:t>
      </w:r>
      <w:r w:rsidR="00FC0F0A">
        <w:t xml:space="preserve">the </w:t>
      </w:r>
      <w:r w:rsidR="003E7EE5" w:rsidRPr="00B8122D">
        <w:t>MONARCH-2</w:t>
      </w:r>
      <w:r w:rsidR="00FC0F0A">
        <w:t xml:space="preserve"> trial</w:t>
      </w:r>
      <w:r w:rsidR="003E7EE5" w:rsidRPr="00B8122D">
        <w:t>) is due for completion in 2017.</w:t>
      </w:r>
      <w:r w:rsidR="00BE7FFD">
        <w:rPr>
          <w:rStyle w:val="FootnoteReference"/>
        </w:rPr>
        <w:footnoteReference w:id="10"/>
      </w:r>
    </w:p>
    <w:p w14:paraId="6B0D3C16" w14:textId="77777777" w:rsidR="003E7EE5" w:rsidRPr="00B8122D" w:rsidRDefault="003E7EE5" w:rsidP="004C68D1">
      <w:pPr>
        <w:pStyle w:val="Heading5"/>
      </w:pPr>
      <w:r w:rsidRPr="00B8122D">
        <w:t>Unmet need</w:t>
      </w:r>
    </w:p>
    <w:p w14:paraId="651A09FB" w14:textId="640962AB" w:rsidR="0082575C" w:rsidRPr="006A1907" w:rsidRDefault="0082575C" w:rsidP="00913FE9">
      <w:r>
        <w:t xml:space="preserve">According to the </w:t>
      </w:r>
      <w:r w:rsidRPr="00BF30E5">
        <w:t>sponsor ‘</w:t>
      </w:r>
      <w:r w:rsidRPr="006A1907">
        <w:t>endocrine resistance in advanced HR+ breast cancer, and consequently progression of disease remains a critical problem in the first line treatment of these patients. Therefore, there is an unmet medical need to develop better therapeutic options to prolong endocrine sensitivity, particularly in the metastatic setting’.</w:t>
      </w:r>
      <w:r w:rsidRPr="00BF30E5">
        <w:t xml:space="preserve"> According to the Clinical Overview, ‘</w:t>
      </w:r>
      <w:r w:rsidRPr="006A1907">
        <w:t>Co-targeting the estrogen receptor with other key intracellular proliferation and cell survival signalling pathways reflects a viable strategy to enhance first-line endocrine responsiveness’.</w:t>
      </w:r>
      <w:r w:rsidR="009D488E" w:rsidRPr="006A1907">
        <w:rPr>
          <w:rStyle w:val="FootnoteReference"/>
        </w:rPr>
        <w:footnoteReference w:id="11"/>
      </w:r>
    </w:p>
    <w:p w14:paraId="52CF7039" w14:textId="77777777" w:rsidR="008E7846" w:rsidRPr="00B8122D" w:rsidRDefault="00386150" w:rsidP="008E7846">
      <w:pPr>
        <w:pStyle w:val="Heading3"/>
      </w:pPr>
      <w:bookmarkStart w:id="20" w:name="_Toc314842485"/>
      <w:bookmarkStart w:id="21" w:name="_Toc247691504"/>
      <w:bookmarkStart w:id="22" w:name="_Toc44685888"/>
      <w:r w:rsidRPr="00B8122D">
        <w:t>Regulatory s</w:t>
      </w:r>
      <w:r w:rsidR="008E7846" w:rsidRPr="00B8122D">
        <w:t>tatus</w:t>
      </w:r>
      <w:bookmarkEnd w:id="20"/>
      <w:bookmarkEnd w:id="21"/>
      <w:bookmarkEnd w:id="22"/>
    </w:p>
    <w:p w14:paraId="15F92D53" w14:textId="4243818B" w:rsidR="00AA1688" w:rsidRPr="00B8122D" w:rsidRDefault="00940A89" w:rsidP="00940A89">
      <w:bookmarkStart w:id="23" w:name="_Toc247691505"/>
      <w:bookmarkStart w:id="24" w:name="_Toc314842486"/>
      <w:r w:rsidRPr="00B8122D">
        <w:t xml:space="preserve">At the time the TGA considered this application, </w:t>
      </w:r>
      <w:r w:rsidR="0026281F" w:rsidRPr="00B8122D">
        <w:t xml:space="preserve">similar applications had been submitted to the </w:t>
      </w:r>
      <w:r w:rsidR="00385794">
        <w:t xml:space="preserve">US FDA </w:t>
      </w:r>
      <w:r w:rsidR="007F3535" w:rsidRPr="00B8122D">
        <w:t xml:space="preserve">on </w:t>
      </w:r>
      <w:r w:rsidR="00AA1688" w:rsidRPr="00B8122D">
        <w:t xml:space="preserve">29 August 2016 </w:t>
      </w:r>
      <w:r w:rsidR="007F3535" w:rsidRPr="00B8122D">
        <w:t xml:space="preserve">and to the European Medicines Agency (EMA) in </w:t>
      </w:r>
      <w:r w:rsidR="00AA1688" w:rsidRPr="00B8122D">
        <w:t>the European</w:t>
      </w:r>
      <w:r w:rsidR="007F3535" w:rsidRPr="00B8122D">
        <w:t xml:space="preserve"> Union (EU) on 5 September 2016.</w:t>
      </w:r>
    </w:p>
    <w:p w14:paraId="7FFD141F" w14:textId="5CF77C51" w:rsidR="00AC6E45" w:rsidRPr="00B8122D" w:rsidRDefault="00AC6E45" w:rsidP="00AC6E45">
      <w:bookmarkStart w:id="25" w:name="_Toc483924411"/>
      <w:r w:rsidRPr="00B8122D">
        <w:t xml:space="preserve">The FDA approved </w:t>
      </w:r>
      <w:r w:rsidR="007F3535" w:rsidRPr="00B8122D">
        <w:t xml:space="preserve">Kisqali on 13 March 2017 for the following </w:t>
      </w:r>
      <w:r w:rsidRPr="00B8122D">
        <w:t>indication</w:t>
      </w:r>
      <w:bookmarkEnd w:id="25"/>
      <w:r w:rsidR="007F3535" w:rsidRPr="00B8122D">
        <w:t>:</w:t>
      </w:r>
    </w:p>
    <w:p w14:paraId="27E42D8C" w14:textId="5244EB6C" w:rsidR="008F5015" w:rsidRPr="00B8122D" w:rsidRDefault="00AC6E45" w:rsidP="00AC6E45">
      <w:pPr>
        <w:ind w:left="720"/>
        <w:rPr>
          <w:i/>
        </w:rPr>
      </w:pPr>
      <w:r w:rsidRPr="00B8122D">
        <w:rPr>
          <w:i/>
        </w:rPr>
        <w:t>Kisqali is a kinase inhibitor indicated in combination with an aromatase inhibitor as initial endocrine based therapy for the treatment of postmenopausal women with hormone receptor (HR) positive, human epidermal growth factor receptor 2 (HER) negative advanc</w:t>
      </w:r>
      <w:r w:rsidR="00783C1C">
        <w:rPr>
          <w:i/>
        </w:rPr>
        <w:t>ed or metastatic breast cancer.</w:t>
      </w:r>
    </w:p>
    <w:p w14:paraId="6ED4FCBD" w14:textId="37405165" w:rsidR="007F3535" w:rsidRPr="00B8122D" w:rsidRDefault="007F3535" w:rsidP="007F3535">
      <w:r w:rsidRPr="00B8122D">
        <w:t xml:space="preserve">The EMA’s </w:t>
      </w:r>
      <w:r w:rsidR="00385794" w:rsidRPr="00385794">
        <w:t xml:space="preserve">Committee for Medicinal Products for Human Use </w:t>
      </w:r>
      <w:r w:rsidR="00385794">
        <w:t>(</w:t>
      </w:r>
      <w:r w:rsidRPr="00B8122D">
        <w:t>CHMP</w:t>
      </w:r>
      <w:r w:rsidR="00385794">
        <w:t>)</w:t>
      </w:r>
      <w:r w:rsidRPr="00B8122D">
        <w:t xml:space="preserve"> issued a positive opinion on 22 June 2017 for the following indication:</w:t>
      </w:r>
    </w:p>
    <w:p w14:paraId="3647B8EE" w14:textId="28AACFF2" w:rsidR="007F3535" w:rsidRDefault="007F3535" w:rsidP="007F3535">
      <w:pPr>
        <w:ind w:left="720"/>
        <w:rPr>
          <w:i/>
        </w:rPr>
      </w:pPr>
      <w:r w:rsidRPr="00B8122D">
        <w:rPr>
          <w:i/>
        </w:rPr>
        <w:t xml:space="preserve">Kisqali in combination with an aromatase inhibitor is indicated for the treatment of postmenopausal women with hormone receptor (HR) positive, human epidermal </w:t>
      </w:r>
      <w:r w:rsidRPr="00B8122D">
        <w:rPr>
          <w:i/>
        </w:rPr>
        <w:lastRenderedPageBreak/>
        <w:t>growth factor receptor 2 (HER2) negative locally advanced or metastatic breast cancer as i</w:t>
      </w:r>
      <w:r w:rsidR="00783C1C">
        <w:rPr>
          <w:i/>
        </w:rPr>
        <w:t>nitial endocrine based therapy.</w:t>
      </w:r>
    </w:p>
    <w:p w14:paraId="14D57083" w14:textId="11108253" w:rsidR="00FE5C86" w:rsidRPr="00FE5C86" w:rsidRDefault="00F05F94" w:rsidP="00FE5C86">
      <w:r w:rsidRPr="00FC0F0A">
        <w:t>The product received initial registration on the Australian Register of Therapeutic Goods (ARTG) on 23 October 2017.</w:t>
      </w:r>
    </w:p>
    <w:p w14:paraId="26E90D24" w14:textId="77777777" w:rsidR="008E7846" w:rsidRPr="00B8122D" w:rsidRDefault="008E7846" w:rsidP="00940A89">
      <w:pPr>
        <w:pStyle w:val="Heading3"/>
      </w:pPr>
      <w:bookmarkStart w:id="26" w:name="_Toc44685889"/>
      <w:r w:rsidRPr="00B8122D">
        <w:t>Product Information</w:t>
      </w:r>
      <w:bookmarkEnd w:id="23"/>
      <w:bookmarkEnd w:id="24"/>
      <w:bookmarkEnd w:id="26"/>
    </w:p>
    <w:p w14:paraId="55A9D693" w14:textId="4FC21007" w:rsidR="00940A89" w:rsidRPr="00B8122D" w:rsidRDefault="006136D7" w:rsidP="00940A89">
      <w:pPr>
        <w:rPr>
          <w:b/>
          <w:bCs/>
        </w:rPr>
      </w:pPr>
      <w:bookmarkStart w:id="27" w:name="_Toc247691506"/>
      <w:bookmarkStart w:id="28" w:name="_Toc314842487"/>
      <w:r w:rsidRPr="00B8122D">
        <w:t xml:space="preserve">The Product Information (PI) approved with the submission </w:t>
      </w:r>
      <w:r w:rsidR="00F05F94">
        <w:t xml:space="preserve">and </w:t>
      </w:r>
      <w:r w:rsidRPr="00B8122D">
        <w:t xml:space="preserve">described in this AusPAR can be found as Attachment 1. For the most recent PI, please refer to the TGA website at </w:t>
      </w:r>
      <w:r w:rsidR="00441C3F" w:rsidRPr="00B8122D">
        <w:t>&lt;</w:t>
      </w:r>
      <w:hyperlink r:id="rId16" w:history="1">
        <w:r w:rsidR="00441C3F" w:rsidRPr="00B8122D">
          <w:rPr>
            <w:rStyle w:val="Hyperlink"/>
          </w:rPr>
          <w:t>https://www.tga.gov.au/product-information-pi</w:t>
        </w:r>
      </w:hyperlink>
      <w:r w:rsidR="00441C3F" w:rsidRPr="00B8122D">
        <w:t>&gt;</w:t>
      </w:r>
      <w:r w:rsidR="00940A89" w:rsidRPr="00B8122D">
        <w:t>.</w:t>
      </w:r>
    </w:p>
    <w:p w14:paraId="6AECDA88" w14:textId="11495988" w:rsidR="0082575C" w:rsidRDefault="0082575C" w:rsidP="0082575C">
      <w:pPr>
        <w:pStyle w:val="Heading2"/>
      </w:pPr>
      <w:bookmarkStart w:id="29" w:name="_Toc44685890"/>
      <w:r w:rsidRPr="000119E5">
        <w:t>II. Registration timeline</w:t>
      </w:r>
      <w:bookmarkEnd w:id="29"/>
    </w:p>
    <w:p w14:paraId="45FC67EF" w14:textId="2B12802A" w:rsidR="00162887" w:rsidRPr="00162887" w:rsidRDefault="00162887" w:rsidP="00162887">
      <w:r>
        <w:t>The following table captures the key steps and dates for this application and which are detailed and discussed in this AusPAR</w:t>
      </w:r>
    </w:p>
    <w:p w14:paraId="1B887E2E" w14:textId="77777777" w:rsidR="0082575C" w:rsidRPr="00162887" w:rsidRDefault="0082575C" w:rsidP="00162887">
      <w:pPr>
        <w:pStyle w:val="TableTitle"/>
      </w:pPr>
      <w:r w:rsidRPr="00162887">
        <w:t>Table 2: Registration timeline</w:t>
      </w:r>
    </w:p>
    <w:tbl>
      <w:tblPr>
        <w:tblStyle w:val="TableTGAblue"/>
        <w:tblW w:w="0" w:type="auto"/>
        <w:tblLook w:val="04A0" w:firstRow="1" w:lastRow="0" w:firstColumn="1" w:lastColumn="0" w:noHBand="0" w:noVBand="1"/>
      </w:tblPr>
      <w:tblGrid>
        <w:gridCol w:w="6333"/>
        <w:gridCol w:w="2180"/>
      </w:tblGrid>
      <w:tr w:rsidR="0082575C" w:rsidRPr="0075448C" w14:paraId="4BC2CD8C" w14:textId="77777777" w:rsidTr="003B311A">
        <w:trPr>
          <w:cnfStyle w:val="100000000000" w:firstRow="1" w:lastRow="0" w:firstColumn="0" w:lastColumn="0" w:oddVBand="0" w:evenVBand="0" w:oddHBand="0" w:evenHBand="0" w:firstRowFirstColumn="0" w:firstRowLastColumn="0" w:lastRowFirstColumn="0" w:lastRowLastColumn="0"/>
          <w:trHeight w:val="509"/>
        </w:trPr>
        <w:tc>
          <w:tcPr>
            <w:tcW w:w="6333" w:type="dxa"/>
            <w:vAlign w:val="center"/>
            <w:hideMark/>
          </w:tcPr>
          <w:p w14:paraId="5E5D7E68" w14:textId="77777777" w:rsidR="0082575C" w:rsidRPr="0075448C" w:rsidRDefault="0082575C" w:rsidP="003B311A">
            <w:pPr>
              <w:spacing w:before="0" w:after="0"/>
            </w:pPr>
            <w:r w:rsidRPr="0075448C">
              <w:t>Description</w:t>
            </w:r>
          </w:p>
        </w:tc>
        <w:tc>
          <w:tcPr>
            <w:tcW w:w="2180" w:type="dxa"/>
            <w:vAlign w:val="center"/>
            <w:hideMark/>
          </w:tcPr>
          <w:p w14:paraId="43C73180" w14:textId="77777777" w:rsidR="0082575C" w:rsidRPr="0075448C" w:rsidRDefault="0082575C" w:rsidP="003B311A">
            <w:pPr>
              <w:spacing w:before="0" w:after="0"/>
            </w:pPr>
            <w:r w:rsidRPr="0075448C">
              <w:t>Date</w:t>
            </w:r>
          </w:p>
        </w:tc>
      </w:tr>
      <w:tr w:rsidR="0082575C" w:rsidRPr="0075448C" w14:paraId="1B5BC937" w14:textId="77777777" w:rsidTr="003B311A">
        <w:trPr>
          <w:trHeight w:val="506"/>
        </w:trPr>
        <w:tc>
          <w:tcPr>
            <w:tcW w:w="63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B5449BB" w14:textId="01552C2B" w:rsidR="0082575C" w:rsidRPr="000A4D87" w:rsidRDefault="0082575C" w:rsidP="004A38F3">
            <w:pPr>
              <w:rPr>
                <w:color w:val="auto"/>
                <w:szCs w:val="22"/>
                <w:lang w:eastAsia="en-US"/>
              </w:rPr>
            </w:pPr>
            <w:r w:rsidRPr="00FC0F0A">
              <w:t>Sub</w:t>
            </w:r>
            <w:r w:rsidR="00633064">
              <w:t>mission dossier accepted and first</w:t>
            </w:r>
            <w:r w:rsidRPr="00FC0F0A">
              <w:t xml:space="preserve"> round evaluation commenced</w:t>
            </w:r>
          </w:p>
        </w:tc>
        <w:tc>
          <w:tcPr>
            <w:tcW w:w="21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B9D448E" w14:textId="77777777" w:rsidR="0082575C" w:rsidRPr="004A38F3" w:rsidRDefault="0082575C" w:rsidP="004A38F3">
            <w:r w:rsidRPr="00FC0F0A">
              <w:t>31 October 2016</w:t>
            </w:r>
          </w:p>
        </w:tc>
      </w:tr>
      <w:tr w:rsidR="0082575C" w:rsidRPr="0075448C" w14:paraId="08F57DAF" w14:textId="77777777" w:rsidTr="003B311A">
        <w:trPr>
          <w:trHeight w:val="247"/>
        </w:trPr>
        <w:tc>
          <w:tcPr>
            <w:tcW w:w="63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B42FD5A" w14:textId="348F1677" w:rsidR="0082575C" w:rsidRPr="000A4D87" w:rsidRDefault="00633064" w:rsidP="004A38F3">
            <w:pPr>
              <w:rPr>
                <w:color w:val="auto"/>
                <w:szCs w:val="22"/>
                <w:lang w:eastAsia="en-US"/>
              </w:rPr>
            </w:pPr>
            <w:r>
              <w:t>First</w:t>
            </w:r>
            <w:r w:rsidR="0082575C" w:rsidRPr="00FC0F0A">
              <w:t xml:space="preserve"> round evaluation completed</w:t>
            </w:r>
          </w:p>
        </w:tc>
        <w:tc>
          <w:tcPr>
            <w:tcW w:w="21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3FE2C47" w14:textId="77777777" w:rsidR="0082575C" w:rsidRPr="004A38F3" w:rsidRDefault="0082575C" w:rsidP="004A38F3">
            <w:r w:rsidRPr="00FC0F0A">
              <w:t>21 April 2017</w:t>
            </w:r>
          </w:p>
        </w:tc>
      </w:tr>
      <w:tr w:rsidR="0082575C" w:rsidRPr="0075448C" w14:paraId="549E16B6" w14:textId="77777777" w:rsidTr="003B311A">
        <w:trPr>
          <w:trHeight w:val="495"/>
        </w:trPr>
        <w:tc>
          <w:tcPr>
            <w:tcW w:w="63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CE3468A" w14:textId="60356DA1" w:rsidR="0082575C" w:rsidRPr="004A38F3" w:rsidRDefault="0082575C" w:rsidP="004A38F3">
            <w:r w:rsidRPr="00FC0F0A">
              <w:t>Sponsor provides responses on questions</w:t>
            </w:r>
            <w:r w:rsidR="00633064">
              <w:t xml:space="preserve"> raised in first</w:t>
            </w:r>
            <w:r w:rsidRPr="000A4D87">
              <w:t xml:space="preserve"> round evaluation</w:t>
            </w:r>
          </w:p>
        </w:tc>
        <w:tc>
          <w:tcPr>
            <w:tcW w:w="21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615FD2A" w14:textId="77777777" w:rsidR="0082575C" w:rsidRPr="004A38F3" w:rsidRDefault="0082575C" w:rsidP="004A38F3">
            <w:r w:rsidRPr="00FC0F0A">
              <w:t>11 May 2017</w:t>
            </w:r>
          </w:p>
        </w:tc>
      </w:tr>
      <w:tr w:rsidR="0082575C" w:rsidRPr="0075448C" w14:paraId="3E2A1168" w14:textId="77777777" w:rsidTr="003B311A">
        <w:trPr>
          <w:trHeight w:val="247"/>
        </w:trPr>
        <w:tc>
          <w:tcPr>
            <w:tcW w:w="63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FDA37E1" w14:textId="69252A37" w:rsidR="0082575C" w:rsidRPr="000A4D87" w:rsidRDefault="00633064" w:rsidP="004A38F3">
            <w:pPr>
              <w:rPr>
                <w:color w:val="auto"/>
                <w:szCs w:val="22"/>
                <w:lang w:eastAsia="en-US"/>
              </w:rPr>
            </w:pPr>
            <w:r>
              <w:t>Second</w:t>
            </w:r>
            <w:r w:rsidR="0082575C" w:rsidRPr="00FC0F0A">
              <w:t xml:space="preserve"> round evaluation completed</w:t>
            </w:r>
          </w:p>
        </w:tc>
        <w:tc>
          <w:tcPr>
            <w:tcW w:w="21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19EA4EF" w14:textId="77777777" w:rsidR="0082575C" w:rsidRPr="004A38F3" w:rsidRDefault="0082575C" w:rsidP="004A38F3">
            <w:r w:rsidRPr="00FC0F0A">
              <w:t>4 July 2017</w:t>
            </w:r>
          </w:p>
        </w:tc>
      </w:tr>
      <w:tr w:rsidR="0082575C" w:rsidRPr="0075448C" w14:paraId="65BDD6A9" w14:textId="77777777" w:rsidTr="003B311A">
        <w:trPr>
          <w:trHeight w:val="506"/>
        </w:trPr>
        <w:tc>
          <w:tcPr>
            <w:tcW w:w="63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EEA9F8B" w14:textId="77777777" w:rsidR="0082575C" w:rsidRPr="000A4D87" w:rsidRDefault="0082575C" w:rsidP="004A38F3">
            <w:pPr>
              <w:rPr>
                <w:color w:val="auto"/>
                <w:szCs w:val="22"/>
                <w:lang w:eastAsia="en-US"/>
              </w:rPr>
            </w:pPr>
            <w:r w:rsidRPr="00FC0F0A">
              <w:t>Delegate’s overall risk-benefit assessment and request for Advisory Committee advice</w:t>
            </w:r>
          </w:p>
        </w:tc>
        <w:tc>
          <w:tcPr>
            <w:tcW w:w="21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9F777DB" w14:textId="77777777" w:rsidR="0082575C" w:rsidRPr="004A38F3" w:rsidRDefault="0082575C" w:rsidP="004A38F3">
            <w:r w:rsidRPr="00FC0F0A">
              <w:t>4 July 2017</w:t>
            </w:r>
          </w:p>
        </w:tc>
      </w:tr>
      <w:tr w:rsidR="0082575C" w:rsidRPr="0075448C" w14:paraId="285AA103" w14:textId="77777777" w:rsidTr="003B311A">
        <w:trPr>
          <w:trHeight w:val="247"/>
        </w:trPr>
        <w:tc>
          <w:tcPr>
            <w:tcW w:w="63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E103E3" w14:textId="77777777" w:rsidR="0082575C" w:rsidRPr="000A4D87" w:rsidRDefault="0082575C" w:rsidP="004A38F3">
            <w:pPr>
              <w:rPr>
                <w:color w:val="auto"/>
                <w:szCs w:val="22"/>
                <w:lang w:eastAsia="en-US"/>
              </w:rPr>
            </w:pPr>
            <w:r w:rsidRPr="00FC0F0A">
              <w:t>Sponsor’s pre-Advisory Committee meeting response</w:t>
            </w:r>
          </w:p>
        </w:tc>
        <w:tc>
          <w:tcPr>
            <w:tcW w:w="21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595EE3EB" w14:textId="77777777" w:rsidR="0082575C" w:rsidRPr="004A38F3" w:rsidRDefault="0082575C" w:rsidP="004A38F3">
            <w:r w:rsidRPr="00FC0F0A">
              <w:t>18 July 2017</w:t>
            </w:r>
          </w:p>
        </w:tc>
      </w:tr>
      <w:tr w:rsidR="0082575C" w:rsidRPr="0075448C" w14:paraId="6A89C7C5" w14:textId="77777777" w:rsidTr="003B311A">
        <w:trPr>
          <w:trHeight w:val="247"/>
        </w:trPr>
        <w:tc>
          <w:tcPr>
            <w:tcW w:w="63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7DFC67C" w14:textId="77777777" w:rsidR="0082575C" w:rsidRPr="00FC0F0A" w:rsidRDefault="0082575C" w:rsidP="004A38F3">
            <w:pPr>
              <w:rPr>
                <w:color w:val="auto"/>
                <w:szCs w:val="22"/>
                <w:lang w:eastAsia="en-US"/>
              </w:rPr>
            </w:pPr>
            <w:r w:rsidRPr="00FC0F0A">
              <w:t>Advisory Committee meeting</w:t>
            </w:r>
          </w:p>
        </w:tc>
        <w:tc>
          <w:tcPr>
            <w:tcW w:w="21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ECE4716" w14:textId="77777777" w:rsidR="0082575C" w:rsidRPr="00FC0F0A" w:rsidRDefault="0082575C" w:rsidP="004A38F3">
            <w:pPr>
              <w:rPr>
                <w:color w:val="auto"/>
                <w:szCs w:val="22"/>
                <w:lang w:eastAsia="en-US"/>
              </w:rPr>
            </w:pPr>
            <w:r w:rsidRPr="00FC0F0A">
              <w:t>4 August 2017</w:t>
            </w:r>
          </w:p>
        </w:tc>
      </w:tr>
      <w:tr w:rsidR="0082575C" w:rsidRPr="0075448C" w14:paraId="1B38A8A6" w14:textId="77777777" w:rsidTr="003B311A">
        <w:trPr>
          <w:trHeight w:val="247"/>
        </w:trPr>
        <w:tc>
          <w:tcPr>
            <w:tcW w:w="63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2C1B3EC" w14:textId="6B5B959F" w:rsidR="0082575C" w:rsidRPr="00FC0F0A" w:rsidRDefault="0082575C" w:rsidP="004A38F3">
            <w:pPr>
              <w:rPr>
                <w:color w:val="auto"/>
                <w:szCs w:val="22"/>
                <w:lang w:eastAsia="en-US"/>
              </w:rPr>
            </w:pPr>
            <w:r w:rsidRPr="00FC0F0A">
              <w:t>Registration decision</w:t>
            </w:r>
            <w:r w:rsidR="00633064">
              <w:t xml:space="preserve"> (Outcome)</w:t>
            </w:r>
          </w:p>
        </w:tc>
        <w:tc>
          <w:tcPr>
            <w:tcW w:w="21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C203908" w14:textId="77777777" w:rsidR="0082575C" w:rsidRPr="00FC0F0A" w:rsidRDefault="0082575C" w:rsidP="004A38F3">
            <w:pPr>
              <w:rPr>
                <w:color w:val="auto"/>
                <w:szCs w:val="22"/>
                <w:lang w:eastAsia="en-US"/>
              </w:rPr>
            </w:pPr>
            <w:r w:rsidRPr="00FC0F0A">
              <w:t>20 October2017</w:t>
            </w:r>
          </w:p>
        </w:tc>
      </w:tr>
      <w:tr w:rsidR="0082575C" w:rsidRPr="0075448C" w14:paraId="09364868" w14:textId="77777777" w:rsidTr="003B311A">
        <w:trPr>
          <w:trHeight w:val="247"/>
        </w:trPr>
        <w:tc>
          <w:tcPr>
            <w:tcW w:w="63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67AA9961" w14:textId="0FC9F2F5" w:rsidR="0082575C" w:rsidRPr="00FC0F0A" w:rsidRDefault="0082575C" w:rsidP="004A38F3">
            <w:pPr>
              <w:rPr>
                <w:color w:val="auto"/>
                <w:szCs w:val="22"/>
                <w:lang w:eastAsia="en-US"/>
              </w:rPr>
            </w:pPr>
            <w:r w:rsidRPr="00FC0F0A">
              <w:t xml:space="preserve">Entry onto </w:t>
            </w:r>
            <w:r w:rsidR="00FC0F0A">
              <w:t xml:space="preserve">the </w:t>
            </w:r>
            <w:r w:rsidRPr="00FC0F0A">
              <w:t>ARTG</w:t>
            </w:r>
          </w:p>
        </w:tc>
        <w:tc>
          <w:tcPr>
            <w:tcW w:w="21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16CB1D78" w14:textId="77777777" w:rsidR="0082575C" w:rsidRPr="00FC0F0A" w:rsidRDefault="0082575C" w:rsidP="004A38F3">
            <w:pPr>
              <w:rPr>
                <w:color w:val="auto"/>
                <w:szCs w:val="22"/>
                <w:lang w:eastAsia="en-US"/>
              </w:rPr>
            </w:pPr>
            <w:r w:rsidRPr="00FC0F0A">
              <w:t>23 October 2017</w:t>
            </w:r>
          </w:p>
        </w:tc>
      </w:tr>
      <w:tr w:rsidR="0082575C" w:rsidRPr="0075448C" w14:paraId="3DDCB028" w14:textId="77777777" w:rsidTr="003B311A">
        <w:trPr>
          <w:trHeight w:val="517"/>
        </w:trPr>
        <w:tc>
          <w:tcPr>
            <w:tcW w:w="6333"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02848006" w14:textId="77777777" w:rsidR="0082575C" w:rsidRPr="000A4D87" w:rsidRDefault="0082575C" w:rsidP="004A38F3">
            <w:pPr>
              <w:rPr>
                <w:color w:val="auto"/>
                <w:szCs w:val="22"/>
                <w:lang w:eastAsia="en-US"/>
              </w:rPr>
            </w:pPr>
            <w:r w:rsidRPr="00FC0F0A">
              <w:t>Number of TGA working days from submission dossier acceptance to registration decision *</w:t>
            </w:r>
          </w:p>
        </w:tc>
        <w:tc>
          <w:tcPr>
            <w:tcW w:w="21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030092C" w14:textId="77777777" w:rsidR="0082575C" w:rsidRPr="004A38F3" w:rsidRDefault="0082575C" w:rsidP="004A38F3">
            <w:r w:rsidRPr="00FC0F0A">
              <w:t>231</w:t>
            </w:r>
          </w:p>
        </w:tc>
      </w:tr>
    </w:tbl>
    <w:p w14:paraId="565ED0D6" w14:textId="36767AD1" w:rsidR="0082575C" w:rsidRPr="000119E5" w:rsidRDefault="0082575C" w:rsidP="0082575C">
      <w:pPr>
        <w:pStyle w:val="TableDescription"/>
      </w:pPr>
      <w:r>
        <w:t xml:space="preserve">* </w:t>
      </w:r>
      <w:r w:rsidR="004E7CBE">
        <w:t xml:space="preserve">Statutory timeframe </w:t>
      </w:r>
      <w:r>
        <w:t xml:space="preserve">for applications: </w:t>
      </w:r>
      <w:r w:rsidR="004E7CBE">
        <w:t xml:space="preserve">255 </w:t>
      </w:r>
      <w:r>
        <w:t>working days</w:t>
      </w:r>
      <w:r w:rsidR="00582E5F">
        <w:t>.</w:t>
      </w:r>
    </w:p>
    <w:p w14:paraId="6F999D97" w14:textId="3AE425AE" w:rsidR="008E7846" w:rsidRPr="000119E5" w:rsidRDefault="008E7846" w:rsidP="00AF4455">
      <w:pPr>
        <w:pStyle w:val="Heading2"/>
      </w:pPr>
      <w:bookmarkStart w:id="30" w:name="_Toc44685891"/>
      <w:r w:rsidRPr="000119E5">
        <w:t>II</w:t>
      </w:r>
      <w:r w:rsidR="000119E5" w:rsidRPr="000119E5">
        <w:t>I</w:t>
      </w:r>
      <w:r w:rsidRPr="000119E5">
        <w:t>. Quality</w:t>
      </w:r>
      <w:bookmarkEnd w:id="1"/>
      <w:r w:rsidRPr="000119E5">
        <w:t xml:space="preserve"> findings</w:t>
      </w:r>
      <w:bookmarkEnd w:id="27"/>
      <w:bookmarkEnd w:id="28"/>
      <w:bookmarkEnd w:id="30"/>
    </w:p>
    <w:p w14:paraId="2F297339" w14:textId="77777777" w:rsidR="008E7846" w:rsidRPr="00B8122D" w:rsidRDefault="008E7846" w:rsidP="00AF4455">
      <w:pPr>
        <w:pStyle w:val="Heading3"/>
      </w:pPr>
      <w:bookmarkStart w:id="31" w:name="_Toc247691507"/>
      <w:bookmarkStart w:id="32" w:name="_Toc314842488"/>
      <w:bookmarkStart w:id="33" w:name="_Toc44685892"/>
      <w:r w:rsidRPr="00B8122D">
        <w:t>Drug substance (active ingredient)</w:t>
      </w:r>
      <w:bookmarkEnd w:id="31"/>
      <w:bookmarkEnd w:id="32"/>
      <w:bookmarkEnd w:id="33"/>
    </w:p>
    <w:p w14:paraId="64362BFE" w14:textId="1F728A2E" w:rsidR="008E7846" w:rsidRPr="00B8122D" w:rsidRDefault="009B2F4E" w:rsidP="00940A89">
      <w:r w:rsidRPr="00B8122D">
        <w:t xml:space="preserve">Ribociclib succinate is a synthetic drug. It is not chiral and does not show isomerism. </w:t>
      </w:r>
      <w:r w:rsidR="0082575C">
        <w:t>Ribociclib</w:t>
      </w:r>
      <w:r w:rsidR="0082575C" w:rsidRPr="00B8122D">
        <w:t xml:space="preserve"> </w:t>
      </w:r>
      <w:r w:rsidRPr="00B8122D">
        <w:t xml:space="preserve">is </w:t>
      </w:r>
      <w:r w:rsidR="006B7DD7" w:rsidRPr="00B8122D">
        <w:t>structurally related to another CDKi, palbociclib</w:t>
      </w:r>
      <w:r w:rsidRPr="00E61786">
        <w:t>, which</w:t>
      </w:r>
      <w:r w:rsidR="00136C4E" w:rsidRPr="00E61786">
        <w:t xml:space="preserve"> was</w:t>
      </w:r>
      <w:r w:rsidRPr="00E61786">
        <w:t xml:space="preserve"> not registered in </w:t>
      </w:r>
      <w:r w:rsidRPr="00E61786">
        <w:lastRenderedPageBreak/>
        <w:t>Australia</w:t>
      </w:r>
      <w:r w:rsidR="00136C4E" w:rsidRPr="00E61786">
        <w:t xml:space="preserve"> at the time of the review of Ribociclib mar</w:t>
      </w:r>
      <w:r w:rsidR="00E61786">
        <w:t>keting authoris</w:t>
      </w:r>
      <w:r w:rsidR="00136C4E" w:rsidRPr="00E61786">
        <w:t>ation application</w:t>
      </w:r>
      <w:r w:rsidR="00385794">
        <w:t xml:space="preserve"> Figures 1 and 2, shown below, give the skeletal structure of ribociclib succinate, along with th</w:t>
      </w:r>
      <w:r w:rsidR="0082575C">
        <w:t>at</w:t>
      </w:r>
      <w:r w:rsidR="00385794">
        <w:t xml:space="preserve"> </w:t>
      </w:r>
      <w:r w:rsidR="0082575C">
        <w:t>of</w:t>
      </w:r>
      <w:r w:rsidR="0082575C" w:rsidDel="0082575C">
        <w:t xml:space="preserve"> </w:t>
      </w:r>
      <w:r w:rsidR="00385794">
        <w:t>palbociclib.</w:t>
      </w:r>
    </w:p>
    <w:p w14:paraId="0FCE900B" w14:textId="051F858F" w:rsidR="00844B07" w:rsidRPr="00B8122D" w:rsidRDefault="00844B07" w:rsidP="00844B07">
      <w:pPr>
        <w:pStyle w:val="FigureTitle"/>
      </w:pPr>
      <w:r w:rsidRPr="00B8122D">
        <w:t xml:space="preserve">Figure </w:t>
      </w:r>
      <w:r w:rsidR="003F080C">
        <w:t>1:</w:t>
      </w:r>
      <w:r w:rsidRPr="00B8122D">
        <w:t xml:space="preserve"> Skeletal structure of the ribociclib succinate molecule</w:t>
      </w:r>
    </w:p>
    <w:p w14:paraId="08721D29" w14:textId="604F7869" w:rsidR="00844B07" w:rsidRPr="00B8122D" w:rsidRDefault="00844B07" w:rsidP="00940A89">
      <w:r w:rsidRPr="00B8122D">
        <w:rPr>
          <w:noProof/>
          <w:lang w:eastAsia="en-AU"/>
        </w:rPr>
        <w:drawing>
          <wp:inline distT="0" distB="0" distL="0" distR="0" wp14:anchorId="1CD550E3" wp14:editId="7FBF8BF7">
            <wp:extent cx="3928745" cy="1549400"/>
            <wp:effectExtent l="0" t="0" r="0" b="0"/>
            <wp:docPr id="1" name="Picture 1" descr="Figure 1: Skeletal structure of the ribociclib succinate molecule" title="Skeletal structure of the ribociclib succinate molecu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8745" cy="1549400"/>
                    </a:xfrm>
                    <a:prstGeom prst="rect">
                      <a:avLst/>
                    </a:prstGeom>
                    <a:noFill/>
                    <a:ln>
                      <a:noFill/>
                    </a:ln>
                  </pic:spPr>
                </pic:pic>
              </a:graphicData>
            </a:graphic>
          </wp:inline>
        </w:drawing>
      </w:r>
    </w:p>
    <w:p w14:paraId="073166D8" w14:textId="1D94B0A5" w:rsidR="00844B07" w:rsidRPr="00B8122D" w:rsidRDefault="00844B07" w:rsidP="00844B07">
      <w:pPr>
        <w:pStyle w:val="FigureDescription"/>
      </w:pPr>
      <w:r w:rsidRPr="00B8122D">
        <w:t>Ribociclib succinate: C</w:t>
      </w:r>
      <w:r w:rsidRPr="00B8122D">
        <w:rPr>
          <w:vertAlign w:val="subscript"/>
        </w:rPr>
        <w:t>23</w:t>
      </w:r>
      <w:r w:rsidRPr="00B8122D">
        <w:t>H</w:t>
      </w:r>
      <w:r w:rsidRPr="00B8122D">
        <w:rPr>
          <w:vertAlign w:val="subscript"/>
        </w:rPr>
        <w:t>30</w:t>
      </w:r>
      <w:r w:rsidRPr="00B8122D">
        <w:t>N</w:t>
      </w:r>
      <w:r w:rsidRPr="00B8122D">
        <w:rPr>
          <w:vertAlign w:val="subscript"/>
        </w:rPr>
        <w:t>8</w:t>
      </w:r>
      <w:r w:rsidRPr="00B8122D">
        <w:t>O.C</w:t>
      </w:r>
      <w:r w:rsidRPr="00B8122D">
        <w:rPr>
          <w:vertAlign w:val="subscript"/>
        </w:rPr>
        <w:t>4</w:t>
      </w:r>
      <w:r w:rsidRPr="00B8122D">
        <w:t>H</w:t>
      </w:r>
      <w:r w:rsidRPr="00B8122D">
        <w:rPr>
          <w:vertAlign w:val="subscript"/>
        </w:rPr>
        <w:t>6</w:t>
      </w:r>
      <w:r w:rsidRPr="00B8122D">
        <w:t>O</w:t>
      </w:r>
      <w:r w:rsidRPr="00B8122D">
        <w:rPr>
          <w:vertAlign w:val="subscript"/>
        </w:rPr>
        <w:t>4</w:t>
      </w:r>
      <w:r w:rsidRPr="00B8122D">
        <w:t>; Molecular weight: 552.64.</w:t>
      </w:r>
    </w:p>
    <w:p w14:paraId="4C897A70" w14:textId="5FDBD6BE" w:rsidR="0082575C" w:rsidRDefault="003F080C" w:rsidP="006D01D4">
      <w:pPr>
        <w:pStyle w:val="FigureTitle"/>
      </w:pPr>
      <w:r>
        <w:t>Figure 2:</w:t>
      </w:r>
      <w:r w:rsidR="00844B07" w:rsidRPr="00B8122D">
        <w:t xml:space="preserve"> Skeletal structure of palbociclib</w:t>
      </w:r>
    </w:p>
    <w:p w14:paraId="6C49679B" w14:textId="184FE448" w:rsidR="00844B07" w:rsidRPr="00B8122D" w:rsidRDefault="0082575C" w:rsidP="00E61786">
      <w:pPr>
        <w:pStyle w:val="FigureTitle"/>
        <w:keepNext w:val="0"/>
      </w:pPr>
      <w:r w:rsidRPr="00882955">
        <w:rPr>
          <w:noProof/>
          <w:lang w:eastAsia="en-AU"/>
        </w:rPr>
        <w:drawing>
          <wp:inline distT="0" distB="0" distL="0" distR="0" wp14:anchorId="10DD6C1F" wp14:editId="7646355D">
            <wp:extent cx="2128520" cy="1638076"/>
            <wp:effectExtent l="0" t="0" r="5080" b="635"/>
            <wp:docPr id="4" name="Picture 4" descr="Skeletal structure of palbocic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842" t="921"/>
                    <a:stretch/>
                  </pic:blipFill>
                  <pic:spPr bwMode="auto">
                    <a:xfrm>
                      <a:off x="0" y="0"/>
                      <a:ext cx="2135275" cy="1643274"/>
                    </a:xfrm>
                    <a:prstGeom prst="rect">
                      <a:avLst/>
                    </a:prstGeom>
                    <a:ln>
                      <a:noFill/>
                    </a:ln>
                    <a:extLst>
                      <a:ext uri="{53640926-AAD7-44D8-BBD7-CCE9431645EC}">
                        <a14:shadowObscured xmlns:a14="http://schemas.microsoft.com/office/drawing/2010/main"/>
                      </a:ext>
                    </a:extLst>
                  </pic:spPr>
                </pic:pic>
              </a:graphicData>
            </a:graphic>
          </wp:inline>
        </w:drawing>
      </w:r>
    </w:p>
    <w:p w14:paraId="32DF2269" w14:textId="2E48EE54" w:rsidR="006D01D4" w:rsidRPr="00B8122D" w:rsidRDefault="006D01D4" w:rsidP="00247019">
      <w:r w:rsidRPr="00B8122D">
        <w:t>Ribociclib succinate is a light yellow to brown crystalline powder. It is basic (</w:t>
      </w:r>
      <w:r w:rsidRPr="00A90F61">
        <w:t>pKa value of 5.3 and 8.</w:t>
      </w:r>
      <w:r w:rsidR="00D704E8">
        <w:t>5</w:t>
      </w:r>
      <w:r w:rsidRPr="00A90F61">
        <w:t>)</w:t>
      </w:r>
      <w:r w:rsidRPr="00B8122D">
        <w:t>. Ribociclib succinate is freely soluble in acidic solutions but solubility decreases with increasing pH and has low solubility in neutral solutions</w:t>
      </w:r>
      <w:r w:rsidR="00582E5F">
        <w:t>.</w:t>
      </w:r>
    </w:p>
    <w:p w14:paraId="2B59E627" w14:textId="04EE319D" w:rsidR="006D01D4" w:rsidRPr="00B8122D" w:rsidRDefault="0082575C" w:rsidP="00247019">
      <w:r>
        <w:t>The p</w:t>
      </w:r>
      <w:r w:rsidRPr="00B8122D">
        <w:t>article size is adequately controlled</w:t>
      </w:r>
      <w:r w:rsidR="00582E5F">
        <w:t>.</w:t>
      </w:r>
      <w:r w:rsidR="0010489F" w:rsidRPr="00B8122D">
        <w:t xml:space="preserve"> </w:t>
      </w:r>
      <w:r w:rsidR="006D01D4" w:rsidRPr="00B8122D">
        <w:t>The impurity limits are acceptable.</w:t>
      </w:r>
    </w:p>
    <w:p w14:paraId="0D42AAC2" w14:textId="77777777" w:rsidR="008E7846" w:rsidRPr="00B8122D" w:rsidRDefault="008E7846" w:rsidP="008E7846">
      <w:pPr>
        <w:pStyle w:val="Heading3"/>
      </w:pPr>
      <w:bookmarkStart w:id="34" w:name="_Toc247691508"/>
      <w:bookmarkStart w:id="35" w:name="_Toc314842490"/>
      <w:bookmarkStart w:id="36" w:name="_Toc44685893"/>
      <w:r w:rsidRPr="00B8122D">
        <w:t>Drug product</w:t>
      </w:r>
      <w:bookmarkEnd w:id="34"/>
      <w:bookmarkEnd w:id="35"/>
      <w:bookmarkEnd w:id="36"/>
    </w:p>
    <w:p w14:paraId="667C12EE" w14:textId="4AD3B9D9" w:rsidR="006D01D4" w:rsidRPr="00B8122D" w:rsidRDefault="006D01D4" w:rsidP="006D01D4">
      <w:r w:rsidRPr="00B8122D">
        <w:t xml:space="preserve">The tablets are film </w:t>
      </w:r>
      <w:r w:rsidR="00247019" w:rsidRPr="00B8122D">
        <w:t xml:space="preserve">coated, round, </w:t>
      </w:r>
      <w:r w:rsidRPr="00B8122D">
        <w:t>unscored, light greyish violet and debossed with ‘RIC’ on one side and ‘NVR’ on the other side.</w:t>
      </w:r>
      <w:r w:rsidR="0010489F" w:rsidRPr="00B8122D">
        <w:t xml:space="preserve"> </w:t>
      </w:r>
      <w:r w:rsidRPr="00B8122D">
        <w:t>They contain 200 mg ribociclib (as the succinate) with conventional excipients and coated with proprietary film coats. Blister packs of 21, 42 and</w:t>
      </w:r>
      <w:r w:rsidR="00590113">
        <w:t xml:space="preserve"> </w:t>
      </w:r>
      <w:r w:rsidRPr="00B8122D">
        <w:t>63 tablets</w:t>
      </w:r>
      <w:r w:rsidR="00590113">
        <w:t xml:space="preserve"> </w:t>
      </w:r>
      <w:r w:rsidRPr="00B8122D">
        <w:t>are proposed.</w:t>
      </w:r>
    </w:p>
    <w:p w14:paraId="40EF1771" w14:textId="3796BE46" w:rsidR="006D01D4" w:rsidRPr="00B8122D" w:rsidRDefault="006D01D4" w:rsidP="006D01D4">
      <w:r w:rsidRPr="00B8122D">
        <w:t>The</w:t>
      </w:r>
      <w:r w:rsidR="00590113">
        <w:t xml:space="preserve"> </w:t>
      </w:r>
      <w:r w:rsidRPr="00B8122D">
        <w:t>impurity</w:t>
      </w:r>
      <w:r w:rsidR="00E61786">
        <w:t xml:space="preserve"> profile is controlled </w:t>
      </w:r>
      <w:r w:rsidRPr="00B8122D">
        <w:t>in the tablet specification</w:t>
      </w:r>
      <w:r w:rsidR="00D80C29">
        <w:t xml:space="preserve">s and </w:t>
      </w:r>
      <w:r w:rsidRPr="00B8122D">
        <w:t>the proposed limit has been toxicologically qualified.</w:t>
      </w:r>
    </w:p>
    <w:p w14:paraId="2F6321DE" w14:textId="04483C98" w:rsidR="006D01D4" w:rsidRPr="00B8122D" w:rsidRDefault="006D01D4" w:rsidP="006D01D4">
      <w:r w:rsidRPr="00B8122D">
        <w:t xml:space="preserve">Dissolution of the tablets is controlled by an </w:t>
      </w:r>
      <w:r w:rsidRPr="00A90F61">
        <w:t>in vitro dissolution test</w:t>
      </w:r>
      <w:r w:rsidR="007914FF">
        <w:t>.</w:t>
      </w:r>
    </w:p>
    <w:p w14:paraId="519D9524" w14:textId="26F334DD" w:rsidR="00940A89" w:rsidRPr="00B8122D" w:rsidRDefault="00F875C3" w:rsidP="00940A89">
      <w:r w:rsidRPr="00B8122D">
        <w:t>There were no significant changes detected in stability trials</w:t>
      </w:r>
      <w:r w:rsidR="006528B1">
        <w:t xml:space="preserve"> </w:t>
      </w:r>
      <w:r w:rsidR="006528B1" w:rsidRPr="00E61786">
        <w:t>data</w:t>
      </w:r>
      <w:r w:rsidR="00E61786">
        <w:t>,</w:t>
      </w:r>
      <w:r w:rsidRPr="00E61786">
        <w:t xml:space="preserve"> which</w:t>
      </w:r>
      <w:r>
        <w:t xml:space="preserve"> </w:t>
      </w:r>
      <w:r w:rsidRPr="00B8122D">
        <w:t xml:space="preserve">supported </w:t>
      </w:r>
      <w:r w:rsidR="006D01D4" w:rsidRPr="00B8122D">
        <w:t>the proposed shelf life of 24 months when stored below 30°C.</w:t>
      </w:r>
      <w:r w:rsidR="0012342F">
        <w:rPr>
          <w:rStyle w:val="FootnoteReference"/>
        </w:rPr>
        <w:footnoteReference w:id="12"/>
      </w:r>
    </w:p>
    <w:p w14:paraId="256F568E" w14:textId="77777777" w:rsidR="008E7846" w:rsidRPr="00B8122D" w:rsidRDefault="008E7846" w:rsidP="008E7846">
      <w:pPr>
        <w:pStyle w:val="Heading3"/>
      </w:pPr>
      <w:bookmarkStart w:id="37" w:name="_Toc314842491"/>
      <w:bookmarkStart w:id="38" w:name="_Toc44685894"/>
      <w:r w:rsidRPr="00B8122D">
        <w:lastRenderedPageBreak/>
        <w:t>Biopharmaceutics</w:t>
      </w:r>
      <w:bookmarkEnd w:id="37"/>
      <w:bookmarkEnd w:id="38"/>
    </w:p>
    <w:p w14:paraId="5FE485E4" w14:textId="77777777" w:rsidR="006D01D4" w:rsidRPr="00B8122D" w:rsidRDefault="006D01D4" w:rsidP="006D01D4">
      <w:pPr>
        <w:pStyle w:val="Heading4"/>
      </w:pPr>
      <w:r w:rsidRPr="00B8122D">
        <w:t>Absolute bioavailability</w:t>
      </w:r>
    </w:p>
    <w:p w14:paraId="5CF16C25" w14:textId="39D8ABD8" w:rsidR="006D01D4" w:rsidRPr="00B8122D" w:rsidRDefault="006D01D4" w:rsidP="006D01D4">
      <w:r w:rsidRPr="00B8122D">
        <w:t>An absolute bioavailability study was not prov</w:t>
      </w:r>
      <w:r w:rsidR="002A0CAE" w:rsidRPr="00B8122D">
        <w:t xml:space="preserve">ided at the time of submission. The sponsor </w:t>
      </w:r>
      <w:r w:rsidRPr="00B8122D">
        <w:t>stated that such a study was planned (</w:t>
      </w:r>
      <w:r w:rsidR="002A0CAE" w:rsidRPr="00B8122D">
        <w:t xml:space="preserve">Study CLEE011A2117). </w:t>
      </w:r>
      <w:r w:rsidRPr="00B8122D">
        <w:t>This has not been evaluated by</w:t>
      </w:r>
      <w:r w:rsidR="00B0401B">
        <w:t xml:space="preserve"> the</w:t>
      </w:r>
      <w:r w:rsidRPr="00B8122D">
        <w:t xml:space="preserve"> pharmaceutical chemistry</w:t>
      </w:r>
      <w:r w:rsidR="00B0401B">
        <w:t xml:space="preserve"> evaluator</w:t>
      </w:r>
      <w:r w:rsidRPr="00B8122D">
        <w:t>.</w:t>
      </w:r>
      <w:r w:rsidR="0010489F" w:rsidRPr="00B8122D">
        <w:t xml:space="preserve"> </w:t>
      </w:r>
      <w:r w:rsidRPr="00B8122D">
        <w:t>The absence of an absolute bioavailability studies is considered a clinical matter.</w:t>
      </w:r>
    </w:p>
    <w:p w14:paraId="34CEABFF" w14:textId="77777777" w:rsidR="006D01D4" w:rsidRPr="00B8122D" w:rsidRDefault="006D01D4" w:rsidP="006D01D4">
      <w:pPr>
        <w:pStyle w:val="Heading4"/>
      </w:pPr>
      <w:r w:rsidRPr="00B8122D">
        <w:t>Formulations</w:t>
      </w:r>
    </w:p>
    <w:p w14:paraId="77A92655" w14:textId="0923580A" w:rsidR="006D01D4" w:rsidRPr="00B8122D" w:rsidRDefault="006D01D4" w:rsidP="006D01D4">
      <w:r w:rsidRPr="00B8122D">
        <w:t>Clinical stu</w:t>
      </w:r>
      <w:r w:rsidR="002A0CAE" w:rsidRPr="00B8122D">
        <w:t xml:space="preserve">dies were conducted with a </w:t>
      </w:r>
      <w:r w:rsidR="00B55781" w:rsidRPr="00B8122D">
        <w:t xml:space="preserve">capsule </w:t>
      </w:r>
      <w:r w:rsidRPr="00B8122D">
        <w:t>formulation</w:t>
      </w:r>
      <w:r w:rsidR="00442423">
        <w:t>.</w:t>
      </w:r>
      <w:r w:rsidRPr="00B8122D">
        <w:t xml:space="preserve"> </w:t>
      </w:r>
      <w:r w:rsidR="002A0CAE" w:rsidRPr="00B8122D">
        <w:t xml:space="preserve">A 200 mg film </w:t>
      </w:r>
      <w:r w:rsidRPr="00B8122D">
        <w:t>coated tablet was developed for commercial pr</w:t>
      </w:r>
      <w:r w:rsidR="002A0CAE" w:rsidRPr="00B8122D">
        <w:t xml:space="preserve">oduction (as described above). </w:t>
      </w:r>
      <w:r w:rsidRPr="00B8122D">
        <w:t xml:space="preserve">The tablet was shown to be bioequivalent to the </w:t>
      </w:r>
      <w:r w:rsidR="00B55781" w:rsidRPr="00B8122D">
        <w:t>capsule</w:t>
      </w:r>
      <w:r w:rsidRPr="00B8122D">
        <w:t xml:space="preserve"> formulation when administered under fasting conditions (Study A2103</w:t>
      </w:r>
      <w:r w:rsidR="002A0CAE" w:rsidRPr="00B8122D">
        <w:t xml:space="preserve"> Part 1: </w:t>
      </w:r>
      <w:r w:rsidR="00B55781" w:rsidRPr="00B8122D">
        <w:t>maximum serum concentration (</w:t>
      </w:r>
      <w:r w:rsidRPr="00B8122D">
        <w:t>C</w:t>
      </w:r>
      <w:r w:rsidRPr="00B8122D">
        <w:rPr>
          <w:vertAlign w:val="subscript"/>
        </w:rPr>
        <w:t>max</w:t>
      </w:r>
      <w:r w:rsidR="00B55781" w:rsidRPr="00B8122D">
        <w:t xml:space="preserve">) </w:t>
      </w:r>
      <w:r w:rsidR="00B55781" w:rsidRPr="00DB391E">
        <w:t>geometric mean ratio (</w:t>
      </w:r>
      <w:r w:rsidRPr="00DB391E">
        <w:t>GMR</w:t>
      </w:r>
      <w:r w:rsidR="00B55781" w:rsidRPr="00DB391E">
        <w:t>)</w:t>
      </w:r>
      <w:r w:rsidRPr="00DB391E">
        <w:t xml:space="preserve"> = 1.01, 90%</w:t>
      </w:r>
      <w:r w:rsidR="002A0CAE" w:rsidRPr="00DB391E">
        <w:t xml:space="preserve"> </w:t>
      </w:r>
      <w:r w:rsidR="00B0401B">
        <w:t>confidence interval (</w:t>
      </w:r>
      <w:r w:rsidRPr="00DB391E">
        <w:t>CI</w:t>
      </w:r>
      <w:r w:rsidR="00B0401B">
        <w:t>)</w:t>
      </w:r>
      <w:r w:rsidRPr="00DB391E">
        <w:t xml:space="preserve">: 0.869, 1.17; </w:t>
      </w:r>
      <w:r w:rsidR="00B55781" w:rsidRPr="00DB391E">
        <w:t xml:space="preserve">area under the </w:t>
      </w:r>
      <w:r w:rsidR="001831B3" w:rsidRPr="00DB391E">
        <w:t xml:space="preserve">drug concentration-time curve from dosing </w:t>
      </w:r>
      <w:r w:rsidR="00B0401B">
        <w:t xml:space="preserve">extrapolated </w:t>
      </w:r>
      <w:r w:rsidR="001831B3" w:rsidRPr="00DB391E">
        <w:t>to</w:t>
      </w:r>
      <w:r w:rsidR="00D12A24" w:rsidRPr="00DB391E">
        <w:t xml:space="preserve"> infinity</w:t>
      </w:r>
      <w:r w:rsidR="001831B3" w:rsidRPr="00DB391E">
        <w:t xml:space="preserve"> </w:t>
      </w:r>
      <w:r w:rsidR="00D12A24" w:rsidRPr="00DB391E">
        <w:t>(</w:t>
      </w:r>
      <w:r w:rsidRPr="00DB391E">
        <w:t>AUC</w:t>
      </w:r>
      <w:r w:rsidR="00A868D4" w:rsidRPr="00DB391E">
        <w:rPr>
          <w:vertAlign w:val="subscript"/>
        </w:rPr>
        <w:t>0-</w:t>
      </w:r>
      <w:r w:rsidRPr="00DB391E">
        <w:rPr>
          <w:vertAlign w:val="subscript"/>
        </w:rPr>
        <w:t>inf</w:t>
      </w:r>
      <w:r w:rsidR="00D12A24" w:rsidRPr="00DB391E">
        <w:t xml:space="preserve">) </w:t>
      </w:r>
      <w:r w:rsidRPr="00DB391E">
        <w:t>GMR</w:t>
      </w:r>
      <w:r w:rsidR="00B0401B">
        <w:t> </w:t>
      </w:r>
      <w:r w:rsidRPr="00DB391E">
        <w:t>=</w:t>
      </w:r>
      <w:r w:rsidR="00B0401B">
        <w:t> </w:t>
      </w:r>
      <w:r w:rsidRPr="00DB391E">
        <w:t>0.937, 90%</w:t>
      </w:r>
      <w:r w:rsidR="00B0401B">
        <w:t> </w:t>
      </w:r>
      <w:r w:rsidRPr="00DB391E">
        <w:t>CI:</w:t>
      </w:r>
      <w:r w:rsidR="00E61786">
        <w:t xml:space="preserve"> </w:t>
      </w:r>
      <w:r w:rsidRPr="00DB391E">
        <w:t>0.885, 0.991)</w:t>
      </w:r>
      <w:r w:rsidR="002A0CAE" w:rsidRPr="00B8122D">
        <w:t xml:space="preserve">. </w:t>
      </w:r>
      <w:r w:rsidRPr="00B8122D">
        <w:t xml:space="preserve">An oral solution formulation was also used in a </w:t>
      </w:r>
      <w:r w:rsidR="002A0CAE" w:rsidRPr="00B8122D">
        <w:t>Phase</w:t>
      </w:r>
      <w:r w:rsidR="00B0401B">
        <w:t> </w:t>
      </w:r>
      <w:r w:rsidR="002A0CAE" w:rsidRPr="00B8122D">
        <w:t xml:space="preserve">I dose </w:t>
      </w:r>
      <w:r w:rsidRPr="00B8122D">
        <w:t>escalation study.</w:t>
      </w:r>
    </w:p>
    <w:p w14:paraId="2F307CC5" w14:textId="2F3EC5AE" w:rsidR="006D01D4" w:rsidRPr="00DB391E" w:rsidRDefault="006D01D4" w:rsidP="006D01D4">
      <w:pPr>
        <w:pStyle w:val="Heading4"/>
      </w:pPr>
      <w:r w:rsidRPr="00DB391E">
        <w:t>Relative bioavailability</w:t>
      </w:r>
    </w:p>
    <w:p w14:paraId="666B3617" w14:textId="77777777" w:rsidR="00582E5F" w:rsidRPr="00136C4E" w:rsidRDefault="006D01D4" w:rsidP="00E61786">
      <w:r w:rsidRPr="00136C4E">
        <w:t>The extent of absorption of an oral solution and capsule formulation suggested no substantial difference in oral bioavailability between the two formulat</w:t>
      </w:r>
      <w:r w:rsidR="002A0CAE" w:rsidRPr="00136C4E">
        <w:t xml:space="preserve">ions (Study X2010, Phase I dose </w:t>
      </w:r>
      <w:r w:rsidRPr="00136C4E">
        <w:t xml:space="preserve">escalation study). </w:t>
      </w:r>
      <w:r w:rsidR="007914FF" w:rsidRPr="00136C4E">
        <w:t>This study has not been evaluated in detail.</w:t>
      </w:r>
    </w:p>
    <w:p w14:paraId="20C2403F" w14:textId="3E16ED47" w:rsidR="006D01D4" w:rsidRPr="00B8122D" w:rsidRDefault="006D01D4" w:rsidP="006D01D4">
      <w:pPr>
        <w:pStyle w:val="Heading4"/>
      </w:pPr>
      <w:r w:rsidRPr="00B8122D">
        <w:t>Food effect</w:t>
      </w:r>
    </w:p>
    <w:p w14:paraId="2E5DCF40" w14:textId="413AC97A" w:rsidR="006D01D4" w:rsidRPr="00B8122D" w:rsidRDefault="006D01D4" w:rsidP="006D01D4">
      <w:r w:rsidRPr="00B8122D">
        <w:t>Study A2103 showed that, following a high</w:t>
      </w:r>
      <w:r w:rsidR="002A0CAE" w:rsidRPr="00B8122D">
        <w:t xml:space="preserve"> </w:t>
      </w:r>
      <w:r w:rsidRPr="00B8122D">
        <w:t>fat, high</w:t>
      </w:r>
      <w:r w:rsidR="002A0CAE" w:rsidRPr="00B8122D">
        <w:t xml:space="preserve"> </w:t>
      </w:r>
      <w:r w:rsidRPr="00B8122D">
        <w:t xml:space="preserve">calorie meal, there was no food effect on the extent and rate of ribociclib absorption </w:t>
      </w:r>
      <w:r w:rsidR="002A0CAE" w:rsidRPr="00B8122D">
        <w:t>for the tablet formulation (</w:t>
      </w:r>
      <w:r w:rsidRPr="00B8122D">
        <w:t>C</w:t>
      </w:r>
      <w:r w:rsidRPr="00B8122D">
        <w:rPr>
          <w:vertAlign w:val="subscript"/>
        </w:rPr>
        <w:t>max</w:t>
      </w:r>
      <w:r w:rsidRPr="00B8122D">
        <w:t xml:space="preserve"> GMR</w:t>
      </w:r>
      <w:r w:rsidR="00B0401B">
        <w:t> </w:t>
      </w:r>
      <w:r w:rsidRPr="00B8122D">
        <w:t>=</w:t>
      </w:r>
      <w:r w:rsidR="00B0401B">
        <w:t> </w:t>
      </w:r>
      <w:r w:rsidRPr="00B8122D">
        <w:t>1.00, 90% CI: 0.898, 1.11 and AUC</w:t>
      </w:r>
      <w:r w:rsidRPr="00B8122D">
        <w:rPr>
          <w:vertAlign w:val="subscript"/>
        </w:rPr>
        <w:t>inf</w:t>
      </w:r>
      <w:r w:rsidRPr="00B8122D">
        <w:t xml:space="preserve"> GMR=1.06,</w:t>
      </w:r>
      <w:r w:rsidR="002A0CAE" w:rsidRPr="00B8122D">
        <w:t xml:space="preserve"> 90% CI</w:t>
      </w:r>
      <w:r w:rsidR="00A868D4" w:rsidRPr="00B8122D">
        <w:t>: 1.01, 1.12)</w:t>
      </w:r>
      <w:r w:rsidR="002A0CAE" w:rsidRPr="00B8122D">
        <w:t>.</w:t>
      </w:r>
      <w:r w:rsidR="000F342B" w:rsidRPr="000F342B">
        <w:t xml:space="preserve"> </w:t>
      </w:r>
      <w:r w:rsidR="000F342B" w:rsidRPr="00B8122D">
        <w:t xml:space="preserve">). </w:t>
      </w:r>
      <w:r w:rsidR="000F342B" w:rsidRPr="00DB391E">
        <w:t>Food did however decrease metabolite LEQ803 C</w:t>
      </w:r>
      <w:r w:rsidR="000F342B" w:rsidRPr="00DB391E">
        <w:rPr>
          <w:vertAlign w:val="subscript"/>
        </w:rPr>
        <w:t>max</w:t>
      </w:r>
      <w:r w:rsidR="000F342B" w:rsidRPr="00DB391E">
        <w:t xml:space="preserve"> by 15.5% and delayed the time to maximum concentration (t</w:t>
      </w:r>
      <w:r w:rsidR="000F342B" w:rsidRPr="00DB391E">
        <w:rPr>
          <w:vertAlign w:val="subscript"/>
        </w:rPr>
        <w:t>max</w:t>
      </w:r>
      <w:r w:rsidR="000F342B" w:rsidRPr="00DB391E">
        <w:t>) by 1 hour, but did not affect the overall exposure</w:t>
      </w:r>
      <w:r w:rsidR="000F342B">
        <w:t>.</w:t>
      </w:r>
    </w:p>
    <w:p w14:paraId="3E30016E" w14:textId="77777777" w:rsidR="008E7846" w:rsidRPr="00B8122D" w:rsidRDefault="008E7846" w:rsidP="008E7846">
      <w:pPr>
        <w:pStyle w:val="Heading3"/>
      </w:pPr>
      <w:bookmarkStart w:id="39" w:name="_Toc247691509"/>
      <w:bookmarkStart w:id="40" w:name="_Toc314842493"/>
      <w:bookmarkStart w:id="41" w:name="_Toc44685895"/>
      <w:r w:rsidRPr="00B8122D">
        <w:t>Quality summary and conclusions</w:t>
      </w:r>
      <w:bookmarkEnd w:id="39"/>
      <w:bookmarkEnd w:id="40"/>
      <w:bookmarkEnd w:id="41"/>
    </w:p>
    <w:p w14:paraId="52B3AA42" w14:textId="103753E3" w:rsidR="008E7846" w:rsidRPr="00B8122D" w:rsidRDefault="002A0CAE" w:rsidP="008E7846">
      <w:r w:rsidRPr="00B8122D">
        <w:t>There are some outstanding minor matters regarding the Product Information (PI) and labels but these are expected to be easily resolved. Registration is recommended with respect to chemistry, quality control and biopharmaceutic aspects.</w:t>
      </w:r>
    </w:p>
    <w:p w14:paraId="519782E3" w14:textId="644E45F8" w:rsidR="008E7846" w:rsidRPr="00B8122D" w:rsidRDefault="000119E5" w:rsidP="008E7846">
      <w:pPr>
        <w:pStyle w:val="Heading2"/>
      </w:pPr>
      <w:bookmarkStart w:id="42" w:name="_Toc196046439"/>
      <w:bookmarkStart w:id="43" w:name="_Toc247691510"/>
      <w:bookmarkStart w:id="44" w:name="_Toc314842494"/>
      <w:bookmarkStart w:id="45" w:name="_Toc44685896"/>
      <w:r>
        <w:t>IV</w:t>
      </w:r>
      <w:r w:rsidR="008E7846" w:rsidRPr="00B8122D">
        <w:t>. Nonclinical</w:t>
      </w:r>
      <w:bookmarkEnd w:id="42"/>
      <w:r w:rsidR="008E7846" w:rsidRPr="00B8122D">
        <w:t xml:space="preserve"> findings</w:t>
      </w:r>
      <w:bookmarkEnd w:id="43"/>
      <w:bookmarkEnd w:id="44"/>
      <w:bookmarkEnd w:id="45"/>
    </w:p>
    <w:p w14:paraId="31E97CA8" w14:textId="77777777" w:rsidR="008E7846" w:rsidRPr="00B8122D" w:rsidRDefault="008E7846" w:rsidP="00940A89">
      <w:pPr>
        <w:pStyle w:val="Heading3"/>
      </w:pPr>
      <w:bookmarkStart w:id="46" w:name="_Toc247691511"/>
      <w:bookmarkStart w:id="47" w:name="_Toc314842495"/>
      <w:bookmarkStart w:id="48" w:name="_Toc44685897"/>
      <w:r w:rsidRPr="00B8122D">
        <w:t>Introduction</w:t>
      </w:r>
      <w:bookmarkEnd w:id="46"/>
      <w:bookmarkEnd w:id="47"/>
      <w:bookmarkEnd w:id="48"/>
    </w:p>
    <w:p w14:paraId="36B9C34F" w14:textId="76401A27" w:rsidR="00E231C2" w:rsidRPr="00B8122D" w:rsidRDefault="00E231C2" w:rsidP="00E231C2">
      <w:r w:rsidRPr="00B8122D">
        <w:t xml:space="preserve">Cell cycle progression is a tightly controlled process which is modulated by multiple checkpoints. The retinoblastoma protein (Rb) is an important checkpoint protein for G1 to S phase transition (G1 restriction point). The association between Rb and the </w:t>
      </w:r>
      <w:r w:rsidRPr="0012342F">
        <w:t xml:space="preserve">E2F family </w:t>
      </w:r>
      <w:r w:rsidR="00B8122D" w:rsidRPr="0012342F">
        <w:t xml:space="preserve">of </w:t>
      </w:r>
      <w:r w:rsidRPr="004947FD">
        <w:t>transcription factors prevents entry into the S phase in the absence of growth stimuli (</w:t>
      </w:r>
      <w:r w:rsidR="003D73CD" w:rsidRPr="004947FD">
        <w:t>that is,</w:t>
      </w:r>
      <w:r w:rsidRPr="004947FD">
        <w:t xml:space="preserve"> G1 restriction).</w:t>
      </w:r>
      <w:r w:rsidRPr="00B8122D">
        <w:t xml:space="preserve"> For cell cycling to occur D-cyclins are synthesi</w:t>
      </w:r>
      <w:r w:rsidR="00B8122D" w:rsidRPr="00B8122D">
        <w:t>s</w:t>
      </w:r>
      <w:r w:rsidRPr="00B8122D">
        <w:t xml:space="preserve">ed which </w:t>
      </w:r>
      <w:r w:rsidR="003D73CD" w:rsidRPr="00B8122D">
        <w:t xml:space="preserve">then activate </w:t>
      </w:r>
      <w:r w:rsidR="00A938E4" w:rsidRPr="00B8122D">
        <w:t>CDK4/6</w:t>
      </w:r>
      <w:r w:rsidRPr="00B8122D">
        <w:t>. Once acti</w:t>
      </w:r>
      <w:r w:rsidR="00A938E4" w:rsidRPr="00B8122D">
        <w:t xml:space="preserve">vated, CDK4/6 phosphorylate Rb </w:t>
      </w:r>
      <w:r w:rsidRPr="00B8122D">
        <w:t xml:space="preserve">inactivating it which, in turn, releases E2F which then directs the transcription of the genes needed for DNA synthesis resulting </w:t>
      </w:r>
      <w:r w:rsidRPr="00B8122D">
        <w:lastRenderedPageBreak/>
        <w:t>in cell cycle progression from the M (or G</w:t>
      </w:r>
      <w:r w:rsidRPr="00B8122D">
        <w:rPr>
          <w:vertAlign w:val="subscript"/>
        </w:rPr>
        <w:t>0</w:t>
      </w:r>
      <w:r w:rsidR="00B8122D" w:rsidRPr="00B8122D">
        <w:t xml:space="preserve">) phase past the G1 </w:t>
      </w:r>
      <w:r w:rsidRPr="00B8122D">
        <w:t xml:space="preserve">restriction point </w:t>
      </w:r>
      <w:r w:rsidR="00385794">
        <w:t>as shown in Figure 3</w:t>
      </w:r>
      <w:r w:rsidR="003D73CD" w:rsidRPr="00B8122D">
        <w:t>.</w:t>
      </w:r>
      <w:r w:rsidR="00B8122D" w:rsidRPr="007E7283">
        <w:rPr>
          <w:vertAlign w:val="superscript"/>
        </w:rPr>
        <w:footnoteReference w:id="13"/>
      </w:r>
    </w:p>
    <w:p w14:paraId="0F8688D1" w14:textId="7241C47E" w:rsidR="00E231C2" w:rsidRPr="00B8122D" w:rsidRDefault="000119E5" w:rsidP="003D73CD">
      <w:pPr>
        <w:pStyle w:val="FigureTitle"/>
      </w:pPr>
      <w:r>
        <w:t>Figure 3:</w:t>
      </w:r>
      <w:r w:rsidR="00E231C2" w:rsidRPr="00B8122D">
        <w:t xml:space="preserve"> R</w:t>
      </w:r>
      <w:r w:rsidR="00B8122D" w:rsidRPr="00B8122D">
        <w:t>ole of CDK4/6 in the cell cycle</w:t>
      </w:r>
    </w:p>
    <w:p w14:paraId="373B689B" w14:textId="77777777" w:rsidR="00E231C2" w:rsidRPr="00B8122D" w:rsidRDefault="00E231C2" w:rsidP="00E231C2">
      <w:r w:rsidRPr="00B8122D">
        <w:rPr>
          <w:noProof/>
          <w:lang w:eastAsia="en-AU"/>
        </w:rPr>
        <w:drawing>
          <wp:inline distT="0" distB="0" distL="0" distR="0" wp14:anchorId="7B6F913C" wp14:editId="211D30E4">
            <wp:extent cx="3561031" cy="1876644"/>
            <wp:effectExtent l="0" t="0" r="1905" b="0"/>
            <wp:docPr id="92" name="Picture 92" descr="Figure 3: Role of CDK4/6 in the cell cycle" title="Role of CDK4/6 in the cell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perh\Desktop\Picture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9879" cy="1891847"/>
                    </a:xfrm>
                    <a:prstGeom prst="rect">
                      <a:avLst/>
                    </a:prstGeom>
                    <a:noFill/>
                    <a:ln>
                      <a:noFill/>
                    </a:ln>
                  </pic:spPr>
                </pic:pic>
              </a:graphicData>
            </a:graphic>
          </wp:inline>
        </w:drawing>
      </w:r>
    </w:p>
    <w:p w14:paraId="7D28E25D" w14:textId="7F91E7EF" w:rsidR="00E231C2" w:rsidRPr="00B8122D" w:rsidRDefault="00E231C2" w:rsidP="00E231C2">
      <w:r w:rsidRPr="00B8122D">
        <w:t xml:space="preserve">Neoplastic evasion of the G1 restriction point may occur via loss or mutation of Rb, amplification of cyclin D1 or CDK4, over activation of CDK4, or loss </w:t>
      </w:r>
      <w:r w:rsidR="003D73CD" w:rsidRPr="00B8122D">
        <w:t>of endogenous CDK4 inhibitors (P</w:t>
      </w:r>
      <w:r w:rsidRPr="00B8122D">
        <w:t>16, CDKN2A). A proportion of breast cancers have dysregulated CDK4/</w:t>
      </w:r>
      <w:r w:rsidR="00B0401B">
        <w:t xml:space="preserve"> </w:t>
      </w:r>
      <w:r w:rsidRPr="00B8122D">
        <w:t>cyclin</w:t>
      </w:r>
      <w:r w:rsidR="00B0401B">
        <w:t> </w:t>
      </w:r>
      <w:r w:rsidRPr="00B8122D">
        <w:t>D1/</w:t>
      </w:r>
      <w:r w:rsidR="00B0401B">
        <w:t xml:space="preserve"> </w:t>
      </w:r>
      <w:r w:rsidRPr="00B8122D">
        <w:t>Rb interactions and cell lines from these cancers have overexpressed cyclin D1 or P16 alterations. Growth arrest of ER</w:t>
      </w:r>
      <w:r w:rsidR="003D73CD" w:rsidRPr="00B8122D">
        <w:t>+</w:t>
      </w:r>
      <w:r w:rsidRPr="00B8122D">
        <w:t xml:space="preserve"> breast cancer cells due to anti-oestrogen therapy may act via decreased cyclin D1 and decreased Rb phosphorylation. Resistance to this therapy is associated with cyclin D1 overexpression and Rb phosphorylation. Cyclin D1 also activates the ER independently of oestrogen, creating another escape mechanism in the presence of anti-oestrogen therapy. Accordingly</w:t>
      </w:r>
      <w:r w:rsidR="003D73CD" w:rsidRPr="00B8122D">
        <w:t>,</w:t>
      </w:r>
      <w:r w:rsidRPr="00B8122D">
        <w:t xml:space="preserve"> treatment with selective CDK4/6 inhibitors such as ribociclib in combination with anti-oestrogen therapy may inhibit the growth of </w:t>
      </w:r>
      <w:r w:rsidRPr="00B8122D">
        <w:rPr>
          <w:bCs/>
        </w:rPr>
        <w:t>ER</w:t>
      </w:r>
      <w:r w:rsidRPr="00B8122D">
        <w:t>+</w:t>
      </w:r>
      <w:r w:rsidRPr="00B8122D">
        <w:rPr>
          <w:bCs/>
        </w:rPr>
        <w:t xml:space="preserve"> advanced or metastatic breast cancer and reduce the risk of resistance to </w:t>
      </w:r>
      <w:r w:rsidR="003D73CD" w:rsidRPr="00B8122D">
        <w:t>anti-oestrogen therapy, with</w:t>
      </w:r>
      <w:r w:rsidR="00B8122D" w:rsidRPr="00B8122D">
        <w:t xml:space="preserve"> the mechanism shown in Figure </w:t>
      </w:r>
      <w:r w:rsidR="0075448C">
        <w:t>4</w:t>
      </w:r>
      <w:r w:rsidR="003D73CD" w:rsidRPr="00B8122D">
        <w:t>.</w:t>
      </w:r>
      <w:r w:rsidR="00B8122D" w:rsidRPr="00B8122D">
        <w:rPr>
          <w:vertAlign w:val="superscript"/>
        </w:rPr>
        <w:footnoteReference w:id="14"/>
      </w:r>
    </w:p>
    <w:p w14:paraId="248104BF" w14:textId="3380576F" w:rsidR="00E231C2" w:rsidRPr="00B8122D" w:rsidRDefault="00E231C2" w:rsidP="00E231C2">
      <w:r w:rsidRPr="00B8122D">
        <w:t>Critically, ribociclib is not selective for breast cancer cells; it will trigger cell cycle arrest at the G1 restriction point in many replicating cell types. Any dividing cell is potent</w:t>
      </w:r>
      <w:r w:rsidR="00B8122D" w:rsidRPr="00B8122D">
        <w:t xml:space="preserve">ially susceptible to ribociclib </w:t>
      </w:r>
      <w:r w:rsidRPr="00B8122D">
        <w:t>induced G1 restriction point inhibition of cell cycling and tissues</w:t>
      </w:r>
      <w:r w:rsidR="003D73CD" w:rsidRPr="00B8122D">
        <w:t xml:space="preserve"> with rapidly dividing cell sub</w:t>
      </w:r>
      <w:r w:rsidRPr="00B8122D">
        <w:t>populations (</w:t>
      </w:r>
      <w:r w:rsidR="003D73CD" w:rsidRPr="00B8122D">
        <w:t>for example,</w:t>
      </w:r>
      <w:r w:rsidRPr="00B8122D">
        <w:t xml:space="preserve"> bone marrow, epithelia) will be the first affected. However, because ribociclib is largely cytostatic, rather than directly cyt</w:t>
      </w:r>
      <w:r w:rsidR="00174353">
        <w:t>otoxic or directly pro-apoptotic</w:t>
      </w:r>
      <w:r w:rsidRPr="00B8122D">
        <w:t>, its adverse effects may be less than those associated with the classical radiomimetic cytotoxic anticancer drugs.</w:t>
      </w:r>
    </w:p>
    <w:p w14:paraId="049FC9B7" w14:textId="325CA27D" w:rsidR="00E231C2" w:rsidRPr="00B8122D" w:rsidRDefault="003D73CD" w:rsidP="003D73CD">
      <w:pPr>
        <w:pStyle w:val="FigureTitle"/>
      </w:pPr>
      <w:r w:rsidRPr="00B8122D">
        <w:lastRenderedPageBreak/>
        <w:t xml:space="preserve">Figure </w:t>
      </w:r>
      <w:r w:rsidR="00385794">
        <w:t>4</w:t>
      </w:r>
      <w:r w:rsidR="0075448C">
        <w:t>:</w:t>
      </w:r>
      <w:r w:rsidR="00E231C2" w:rsidRPr="00B8122D">
        <w:t xml:space="preserve"> Proposed mechanism of action for ribociclib</w:t>
      </w:r>
    </w:p>
    <w:p w14:paraId="154A17D7" w14:textId="24ED566C" w:rsidR="00E231C2" w:rsidRPr="00B8122D" w:rsidRDefault="00E231C2" w:rsidP="004334C7">
      <w:r w:rsidRPr="00B8122D">
        <w:rPr>
          <w:noProof/>
          <w:lang w:eastAsia="en-AU"/>
        </w:rPr>
        <w:drawing>
          <wp:inline distT="0" distB="0" distL="0" distR="0" wp14:anchorId="2DC897B0" wp14:editId="67B0D305">
            <wp:extent cx="2975077" cy="3964393"/>
            <wp:effectExtent l="0" t="0" r="0" b="0"/>
            <wp:docPr id="91" name="Picture 91" descr="Proposed mechanism of action for ribocic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perh\Desktop\Figure 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5132" cy="3964466"/>
                    </a:xfrm>
                    <a:prstGeom prst="rect">
                      <a:avLst/>
                    </a:prstGeom>
                    <a:noFill/>
                    <a:ln>
                      <a:noFill/>
                    </a:ln>
                  </pic:spPr>
                </pic:pic>
              </a:graphicData>
            </a:graphic>
          </wp:inline>
        </w:drawing>
      </w:r>
    </w:p>
    <w:p w14:paraId="1DDF6529" w14:textId="77777777" w:rsidR="003B311A" w:rsidRPr="00B8122D" w:rsidRDefault="003B311A" w:rsidP="003B311A">
      <w:pPr>
        <w:pStyle w:val="Heading3"/>
      </w:pPr>
      <w:bookmarkStart w:id="49" w:name="_Toc247691512"/>
      <w:bookmarkStart w:id="50" w:name="_Toc314842496"/>
      <w:bookmarkStart w:id="51" w:name="_Toc44685898"/>
      <w:r w:rsidRPr="00B8122D">
        <w:t>Pharmacology</w:t>
      </w:r>
      <w:bookmarkEnd w:id="49"/>
      <w:bookmarkEnd w:id="50"/>
      <w:bookmarkEnd w:id="51"/>
    </w:p>
    <w:p w14:paraId="3CBC6E76" w14:textId="77777777" w:rsidR="00E231C2" w:rsidRPr="00586E1D" w:rsidRDefault="00E231C2" w:rsidP="003D73CD">
      <w:pPr>
        <w:pStyle w:val="Heading4"/>
      </w:pPr>
      <w:r w:rsidRPr="00B8122D">
        <w:t>Primary pharmacology</w:t>
      </w:r>
    </w:p>
    <w:p w14:paraId="23E67DF5" w14:textId="620C2AE2" w:rsidR="00E231C2" w:rsidRPr="00B8122D" w:rsidRDefault="00E231C2" w:rsidP="00E231C2">
      <w:r w:rsidRPr="00B8122D">
        <w:t xml:space="preserve">The nonclinical data provides basic proof of the concept that ribociclib is a CDK4/6 inhibitor and cytostatic agent against </w:t>
      </w:r>
      <w:r w:rsidRPr="00B8122D">
        <w:rPr>
          <w:iCs/>
        </w:rPr>
        <w:t>ER</w:t>
      </w:r>
      <w:r w:rsidRPr="00B8122D">
        <w:t>+, HER2-, Rb+ neoplasia</w:t>
      </w:r>
      <w:r w:rsidRPr="00B8122D">
        <w:rPr>
          <w:iCs/>
        </w:rPr>
        <w:t xml:space="preserve">, including human breast cancer. </w:t>
      </w:r>
      <w:r w:rsidRPr="00B8122D">
        <w:t>Rb+</w:t>
      </w:r>
      <w:r w:rsidR="003D73CD" w:rsidRPr="00B8122D">
        <w:t xml:space="preserve"> was an absolute pre</w:t>
      </w:r>
      <w:r w:rsidRPr="00B8122D">
        <w:t>requisite for ribociclib efficacy in vitro and</w:t>
      </w:r>
      <w:r w:rsidRPr="00B8122D">
        <w:rPr>
          <w:bCs/>
          <w:iCs/>
        </w:rPr>
        <w:t xml:space="preserve"> cell types with direct genetic aberrations of the Rb pathway were more sensitive. </w:t>
      </w:r>
      <w:r w:rsidR="000D144E">
        <w:rPr>
          <w:bCs/>
          <w:iCs/>
        </w:rPr>
        <w:t xml:space="preserve">In </w:t>
      </w:r>
      <w:r w:rsidR="00924653">
        <w:rPr>
          <w:bCs/>
          <w:iCs/>
        </w:rPr>
        <w:t>the non</w:t>
      </w:r>
      <w:r w:rsidR="000D144E">
        <w:rPr>
          <w:bCs/>
          <w:iCs/>
        </w:rPr>
        <w:t>clinical setting</w:t>
      </w:r>
      <w:r w:rsidR="00924653">
        <w:rPr>
          <w:bCs/>
          <w:iCs/>
        </w:rPr>
        <w:t>,</w:t>
      </w:r>
      <w:r w:rsidR="00F875C3" w:rsidRPr="00F875C3">
        <w:rPr>
          <w:bCs/>
          <w:iCs/>
        </w:rPr>
        <w:t xml:space="preserve"> </w:t>
      </w:r>
      <w:r w:rsidR="00924653">
        <w:rPr>
          <w:bCs/>
          <w:iCs/>
        </w:rPr>
        <w:t>b</w:t>
      </w:r>
      <w:r w:rsidR="00F875C3" w:rsidRPr="00B8122D">
        <w:rPr>
          <w:bCs/>
          <w:iCs/>
        </w:rPr>
        <w:t>ecause of ribociclib’</w:t>
      </w:r>
      <w:r w:rsidR="00F875C3">
        <w:rPr>
          <w:bCs/>
          <w:iCs/>
        </w:rPr>
        <w:t>s cytostatic effects</w:t>
      </w:r>
      <w:r w:rsidR="00174353">
        <w:rPr>
          <w:bCs/>
          <w:iCs/>
        </w:rPr>
        <w:t>, tumour re</w:t>
      </w:r>
      <w:r w:rsidRPr="00B8122D">
        <w:rPr>
          <w:bCs/>
          <w:iCs/>
        </w:rPr>
        <w:t xml:space="preserve">growth is likely during drug </w:t>
      </w:r>
      <w:r w:rsidRPr="00924653">
        <w:rPr>
          <w:bCs/>
          <w:iCs/>
        </w:rPr>
        <w:t>holidays</w:t>
      </w:r>
      <w:r w:rsidR="000D144E" w:rsidRPr="00924653">
        <w:rPr>
          <w:bCs/>
          <w:iCs/>
        </w:rPr>
        <w:t xml:space="preserve"> </w:t>
      </w:r>
      <w:r w:rsidR="002A7796" w:rsidRPr="00924653">
        <w:rPr>
          <w:bCs/>
          <w:iCs/>
        </w:rPr>
        <w:t>R</w:t>
      </w:r>
      <w:r w:rsidR="00F875C3" w:rsidRPr="00924653">
        <w:rPr>
          <w:bCs/>
          <w:iCs/>
        </w:rPr>
        <w:t>ibociclib is less effective</w:t>
      </w:r>
      <w:r w:rsidR="00924653" w:rsidRPr="00924653">
        <w:rPr>
          <w:bCs/>
          <w:iCs/>
        </w:rPr>
        <w:t>;</w:t>
      </w:r>
      <w:r w:rsidR="004947FD" w:rsidRPr="00924653">
        <w:rPr>
          <w:rStyle w:val="FootnoteReference"/>
          <w:bCs/>
          <w:iCs/>
        </w:rPr>
        <w:footnoteReference w:id="15"/>
      </w:r>
      <w:r w:rsidR="00F875C3" w:rsidRPr="00924653">
        <w:rPr>
          <w:bCs/>
          <w:iCs/>
        </w:rPr>
        <w:t xml:space="preserve"> (that is, less likely to induce tumour regression and more likely to only produce tumour stasis</w:t>
      </w:r>
      <w:r w:rsidR="00F875C3" w:rsidRPr="00B8122D">
        <w:rPr>
          <w:bCs/>
          <w:iCs/>
        </w:rPr>
        <w:t>) following resumption of treatment after a drug holiday. This implies the evolution of selection pressure driven drug resistance. The possible mechanisms of drug resistance were not evaluated by the sponsor.</w:t>
      </w:r>
    </w:p>
    <w:p w14:paraId="7A0C3C8C" w14:textId="77777777" w:rsidR="003D73CD" w:rsidRPr="00B8122D" w:rsidRDefault="00E231C2" w:rsidP="003D73CD">
      <w:pPr>
        <w:pStyle w:val="Heading5"/>
      </w:pPr>
      <w:r w:rsidRPr="00B8122D">
        <w:t>Enzymatic activity in vitro</w:t>
      </w:r>
    </w:p>
    <w:p w14:paraId="5C7AF8B8" w14:textId="6010C3A1" w:rsidR="00E231C2" w:rsidRPr="00B8122D" w:rsidRDefault="00E231C2" w:rsidP="00E231C2">
      <w:r w:rsidRPr="00B8122D">
        <w:t xml:space="preserve">In validated studies using </w:t>
      </w:r>
      <w:r w:rsidR="00BC7712" w:rsidRPr="00B8122D">
        <w:t xml:space="preserve">adenosine triphosphate </w:t>
      </w:r>
      <w:r w:rsidR="00BC7712" w:rsidRPr="00174353">
        <w:t>(</w:t>
      </w:r>
      <w:r w:rsidRPr="00174353">
        <w:t>ATP</w:t>
      </w:r>
      <w:r w:rsidR="00BC7712" w:rsidRPr="00174353">
        <w:t>)</w:t>
      </w:r>
      <w:r w:rsidRPr="00B8122D">
        <w:t xml:space="preserve"> concentrations at the </w:t>
      </w:r>
      <w:r w:rsidR="001B3DC1" w:rsidRPr="00B8122D">
        <w:t>Michaelis constant (</w:t>
      </w:r>
      <w:r w:rsidRPr="00174353">
        <w:t>K</w:t>
      </w:r>
      <w:r w:rsidR="001B3DC1" w:rsidRPr="00174353">
        <w:rPr>
          <w:vertAlign w:val="subscript"/>
        </w:rPr>
        <w:t>m</w:t>
      </w:r>
      <w:r w:rsidR="001B3DC1" w:rsidRPr="00B8122D">
        <w:t xml:space="preserve">) </w:t>
      </w:r>
      <w:r w:rsidRPr="00B8122D">
        <w:t>ATP</w:t>
      </w:r>
      <w:r w:rsidR="00A938E4" w:rsidRPr="00B8122D">
        <w:t xml:space="preserve"> (supra-</w:t>
      </w:r>
      <w:r w:rsidRPr="00B8122D">
        <w:t>physiological) ribociclib displayed potent inhibition of and high selectivity for CDK4 and CDK6 (</w:t>
      </w:r>
      <w:r w:rsidR="00A938E4" w:rsidRPr="00B8122D">
        <w:t>half maximal inhibitory concentrations (</w:t>
      </w:r>
      <w:r w:rsidRPr="00174353">
        <w:t>IC</w:t>
      </w:r>
      <w:r w:rsidRPr="00174353">
        <w:rPr>
          <w:vertAlign w:val="subscript"/>
        </w:rPr>
        <w:t>50</w:t>
      </w:r>
      <w:r w:rsidR="00A938E4" w:rsidRPr="00B8122D">
        <w:t xml:space="preserve">) of </w:t>
      </w:r>
      <w:r w:rsidRPr="00B8122D">
        <w:t>0.008 and 0.039 µM</w:t>
      </w:r>
      <w:r w:rsidRPr="00B8122D">
        <w:rPr>
          <w:i/>
        </w:rPr>
        <w:t xml:space="preserve"> </w:t>
      </w:r>
      <w:r w:rsidR="00A13E67" w:rsidRPr="00B8122D">
        <w:t>compared with</w:t>
      </w:r>
      <w:r w:rsidRPr="00B8122D">
        <w:t xml:space="preserve"> </w:t>
      </w:r>
      <w:r w:rsidRPr="003D6DFB">
        <w:t>IC</w:t>
      </w:r>
      <w:r w:rsidRPr="003D6DFB">
        <w:rPr>
          <w:vertAlign w:val="subscript"/>
        </w:rPr>
        <w:t>50</w:t>
      </w:r>
      <w:r w:rsidRPr="00546326">
        <w:t xml:space="preserve"> 113, 75.9, 43.9 and</w:t>
      </w:r>
      <w:r w:rsidRPr="00B8122D">
        <w:t xml:space="preserve"> 1.52 µM against</w:t>
      </w:r>
      <w:r w:rsidRPr="00B8122D">
        <w:rPr>
          <w:i/>
        </w:rPr>
        <w:t xml:space="preserve"> </w:t>
      </w:r>
      <w:r w:rsidRPr="00546326">
        <w:t>CDK1, CDK2, CDK5</w:t>
      </w:r>
      <w:r w:rsidRPr="00B8122D">
        <w:t xml:space="preserve"> and CDK9, respectively). </w:t>
      </w:r>
      <w:r w:rsidRPr="00546326">
        <w:t>It also displayed &gt;</w:t>
      </w:r>
      <w:r w:rsidR="00A13E67" w:rsidRPr="00546326">
        <w:t xml:space="preserve"> 1000 x</w:t>
      </w:r>
      <w:r w:rsidRPr="00546326">
        <w:t xml:space="preserve"> selectivity against a large panel of serine and thr</w:t>
      </w:r>
      <w:r w:rsidR="00A13E67" w:rsidRPr="00546326">
        <w:t>eonine kinases.</w:t>
      </w:r>
    </w:p>
    <w:p w14:paraId="74A48714" w14:textId="2A58A2D7" w:rsidR="00E231C2" w:rsidRPr="00B8122D" w:rsidRDefault="00E231C2" w:rsidP="00E231C2">
      <w:r w:rsidRPr="00B8122D">
        <w:t>In an in vitro kinase profiling study using 26 different tyrosine and 12 different serine kinases, ribociclib was inactive (IC</w:t>
      </w:r>
      <w:r w:rsidRPr="00B8122D">
        <w:rPr>
          <w:vertAlign w:val="subscript"/>
        </w:rPr>
        <w:t>50</w:t>
      </w:r>
      <w:r w:rsidRPr="00B8122D">
        <w:t xml:space="preserve"> &gt;</w:t>
      </w:r>
      <w:r w:rsidR="00A13E67" w:rsidRPr="00B8122D">
        <w:t xml:space="preserve"> </w:t>
      </w:r>
      <w:r w:rsidRPr="00B8122D">
        <w:t xml:space="preserve">10 µM) against 34 of the kinases tested. </w:t>
      </w:r>
      <w:r w:rsidRPr="00546326">
        <w:t>The ribociclib IC</w:t>
      </w:r>
      <w:r w:rsidRPr="00546326">
        <w:rPr>
          <w:vertAlign w:val="subscript"/>
        </w:rPr>
        <w:t xml:space="preserve">50 </w:t>
      </w:r>
      <w:r w:rsidRPr="00546326">
        <w:t>v</w:t>
      </w:r>
      <w:r w:rsidR="00A13E67" w:rsidRPr="00546326">
        <w:t xml:space="preserve">alue against CDK4 </w:t>
      </w:r>
      <w:r w:rsidR="00A13E67" w:rsidRPr="00582E5F">
        <w:t xml:space="preserve">was </w:t>
      </w:r>
      <w:r w:rsidR="007109D1" w:rsidRPr="00924653">
        <w:t>0.</w:t>
      </w:r>
      <w:r w:rsidR="00C75FEB" w:rsidRPr="00924653">
        <w:t>014</w:t>
      </w:r>
      <w:r w:rsidR="00085564" w:rsidRPr="00924653">
        <w:t xml:space="preserve"> </w:t>
      </w:r>
      <w:r w:rsidR="007109D1" w:rsidRPr="00924653">
        <w:t xml:space="preserve">µM </w:t>
      </w:r>
      <w:r w:rsidR="00A13E67" w:rsidRPr="00582E5F">
        <w:t>(compared</w:t>
      </w:r>
      <w:r w:rsidR="00A13E67" w:rsidRPr="00546326">
        <w:t xml:space="preserve"> with a </w:t>
      </w:r>
      <w:r w:rsidRPr="00546326">
        <w:t>clinical</w:t>
      </w:r>
      <w:r w:rsidR="001B3DC1" w:rsidRPr="00546326">
        <w:t xml:space="preserve"> maximum </w:t>
      </w:r>
      <w:r w:rsidR="001B3DC1" w:rsidRPr="00546326">
        <w:lastRenderedPageBreak/>
        <w:t>unbound serum concentration</w:t>
      </w:r>
      <w:r w:rsidRPr="00546326">
        <w:t xml:space="preserve"> </w:t>
      </w:r>
      <w:r w:rsidR="001B3DC1" w:rsidRPr="00546326">
        <w:t>(</w:t>
      </w:r>
      <w:r w:rsidRPr="00546326">
        <w:t>C</w:t>
      </w:r>
      <w:r w:rsidR="00A938E4" w:rsidRPr="00546326">
        <w:rPr>
          <w:vertAlign w:val="subscript"/>
        </w:rPr>
        <w:t>max,</w:t>
      </w:r>
      <w:r w:rsidRPr="00546326">
        <w:rPr>
          <w:vertAlign w:val="subscript"/>
        </w:rPr>
        <w:t>unbound</w:t>
      </w:r>
      <w:r w:rsidR="001B3DC1" w:rsidRPr="00546326">
        <w:t xml:space="preserve">) </w:t>
      </w:r>
      <w:r w:rsidR="00A13E67" w:rsidRPr="00546326">
        <w:t>of</w:t>
      </w:r>
      <w:r w:rsidR="00A938E4" w:rsidRPr="00546326">
        <w:t> </w:t>
      </w:r>
      <w:r w:rsidR="00A13E67" w:rsidRPr="00546326">
        <w:t>1.63 </w:t>
      </w:r>
      <w:r w:rsidRPr="00546326">
        <w:t>µM and</w:t>
      </w:r>
      <w:r w:rsidR="001B3DC1" w:rsidRPr="00546326">
        <w:t xml:space="preserve"> minimum unbound serum concentration</w:t>
      </w:r>
      <w:r w:rsidRPr="00546326">
        <w:t xml:space="preserve"> </w:t>
      </w:r>
      <w:r w:rsidR="001B3DC1" w:rsidRPr="00546326">
        <w:t>(</w:t>
      </w:r>
      <w:r w:rsidRPr="00546326">
        <w:t>C</w:t>
      </w:r>
      <w:r w:rsidR="00A938E4" w:rsidRPr="00546326">
        <w:rPr>
          <w:vertAlign w:val="subscript"/>
        </w:rPr>
        <w:t>trough,</w:t>
      </w:r>
      <w:r w:rsidRPr="00546326">
        <w:rPr>
          <w:vertAlign w:val="subscript"/>
        </w:rPr>
        <w:t>unbound</w:t>
      </w:r>
      <w:r w:rsidR="001B3DC1" w:rsidRPr="00546326">
        <w:t xml:space="preserve">) </w:t>
      </w:r>
      <w:r w:rsidR="00A13E67" w:rsidRPr="00546326">
        <w:t xml:space="preserve">of </w:t>
      </w:r>
      <w:r w:rsidRPr="00546326">
        <w:t>0.65 µM) implying that potent in vivo inhibition of the CDK4 is likely to occur throughout the day with the proposed cl</w:t>
      </w:r>
      <w:r w:rsidR="001B3DC1" w:rsidRPr="00546326">
        <w:t>inical daily dose of 600 mg orally.</w:t>
      </w:r>
    </w:p>
    <w:p w14:paraId="272E4E16" w14:textId="77777777" w:rsidR="00A13E67" w:rsidRPr="00B8122D" w:rsidRDefault="00E231C2" w:rsidP="00A13E67">
      <w:pPr>
        <w:pStyle w:val="Heading5"/>
      </w:pPr>
      <w:r w:rsidRPr="00B8122D">
        <w:t>Cellular activity in vitro</w:t>
      </w:r>
    </w:p>
    <w:p w14:paraId="66DEFB1B" w14:textId="269D83B9" w:rsidR="00E231C2" w:rsidRPr="00B8122D" w:rsidRDefault="00E231C2" w:rsidP="00E231C2">
      <w:pPr>
        <w:rPr>
          <w:bCs/>
        </w:rPr>
      </w:pPr>
      <w:r w:rsidRPr="00B8122D">
        <w:t xml:space="preserve">In a panel of cancer cells derived from patients with </w:t>
      </w:r>
      <w:r w:rsidRPr="0017060E">
        <w:rPr>
          <w:bCs/>
        </w:rPr>
        <w:t>acute myeloid leukaemia, breast cancer, colon cancer, liposarcoma, mantle cell lymphoma, melanoma, non-small cell lung cancer, pancreatic cancer and squamous cell oesophageal cancer</w:t>
      </w:r>
      <w:r w:rsidRPr="00B8122D">
        <w:rPr>
          <w:bCs/>
        </w:rPr>
        <w:t>, the pr</w:t>
      </w:r>
      <w:r w:rsidR="00A13E67" w:rsidRPr="00B8122D">
        <w:rPr>
          <w:bCs/>
        </w:rPr>
        <w:t>esence of Rb function was a pre</w:t>
      </w:r>
      <w:r w:rsidRPr="00B8122D">
        <w:rPr>
          <w:bCs/>
        </w:rPr>
        <w:t xml:space="preserve">requisite for ribociclib efficacy and cell types with genetic aberrations of </w:t>
      </w:r>
      <w:r w:rsidRPr="00B8122D">
        <w:rPr>
          <w:bCs/>
          <w:iCs/>
        </w:rPr>
        <w:t>the Rb pathway</w:t>
      </w:r>
      <w:r w:rsidRPr="00B8122D" w:rsidDel="007716C9">
        <w:rPr>
          <w:bCs/>
        </w:rPr>
        <w:t xml:space="preserve"> </w:t>
      </w:r>
      <w:r w:rsidRPr="00B8122D">
        <w:rPr>
          <w:bCs/>
        </w:rPr>
        <w:t>(</w:t>
      </w:r>
      <w:r w:rsidR="003D73CD" w:rsidRPr="00B8122D">
        <w:t>that is,</w:t>
      </w:r>
      <w:r w:rsidRPr="00B8122D">
        <w:t xml:space="preserve"> Rb+; rather than indirect</w:t>
      </w:r>
      <w:r w:rsidRPr="00B8122D">
        <w:rPr>
          <w:bCs/>
        </w:rPr>
        <w:t xml:space="preserve"> Rb dysfunction) were the most sensitive. In Rb positive breast cancer cell lines, ribociclib inh</w:t>
      </w:r>
      <w:r w:rsidR="00A13E67" w:rsidRPr="00B8122D">
        <w:rPr>
          <w:bCs/>
        </w:rPr>
        <w:t>ibited Rb phosphorylation (0.06 to 1.2 </w:t>
      </w:r>
      <w:r w:rsidRPr="00B8122D">
        <w:rPr>
          <w:bCs/>
        </w:rPr>
        <w:t>µM breast cancer cell lines), cell proliferation (IC</w:t>
      </w:r>
      <w:r w:rsidRPr="00B8122D">
        <w:rPr>
          <w:bCs/>
          <w:vertAlign w:val="subscript"/>
        </w:rPr>
        <w:t>50</w:t>
      </w:r>
      <w:r w:rsidRPr="00B8122D">
        <w:rPr>
          <w:bCs/>
        </w:rPr>
        <w:t xml:space="preserve"> 0.04</w:t>
      </w:r>
      <w:r w:rsidR="005E5C59">
        <w:rPr>
          <w:bCs/>
        </w:rPr>
        <w:t xml:space="preserve"> to </w:t>
      </w:r>
      <w:r w:rsidR="00A13E67" w:rsidRPr="00B8122D">
        <w:rPr>
          <w:bCs/>
        </w:rPr>
        <w:t>3.3 µM) and G1 to S phase cell </w:t>
      </w:r>
      <w:r w:rsidRPr="00B8122D">
        <w:rPr>
          <w:bCs/>
        </w:rPr>
        <w:t>cycle progression (IC</w:t>
      </w:r>
      <w:r w:rsidRPr="00B8122D">
        <w:rPr>
          <w:bCs/>
          <w:vertAlign w:val="subscript"/>
        </w:rPr>
        <w:t>50</w:t>
      </w:r>
      <w:r w:rsidR="00A13E67" w:rsidRPr="00B8122D">
        <w:rPr>
          <w:bCs/>
        </w:rPr>
        <w:t xml:space="preserve"> by 0.07 to </w:t>
      </w:r>
      <w:r w:rsidRPr="00B8122D">
        <w:rPr>
          <w:bCs/>
        </w:rPr>
        <w:t>0.89 µM). It had no activity against Rb negative breast cancer cells. Ribociclib’s key effect was G1 arrest. Ribociclib was cytostatic, not cytotoxic and did not induce apoptosis even after prolonged</w:t>
      </w:r>
      <w:r w:rsidR="006F1E16" w:rsidRPr="00B8122D">
        <w:rPr>
          <w:bCs/>
        </w:rPr>
        <w:t xml:space="preserve"> treatment. Cell cycling in non</w:t>
      </w:r>
      <w:r w:rsidR="006F1E16" w:rsidRPr="00B8122D">
        <w:rPr>
          <w:bCs/>
        </w:rPr>
        <w:noBreakHyphen/>
      </w:r>
      <w:r w:rsidRPr="00B8122D">
        <w:rPr>
          <w:bCs/>
        </w:rPr>
        <w:t>senescent cells will likely res</w:t>
      </w:r>
      <w:r w:rsidR="006F1E16" w:rsidRPr="00B8122D">
        <w:rPr>
          <w:bCs/>
        </w:rPr>
        <w:t>ume once ribociclib is removed.</w:t>
      </w:r>
    </w:p>
    <w:p w14:paraId="135429EE" w14:textId="677E4234" w:rsidR="00E231C2" w:rsidRPr="00B8122D" w:rsidRDefault="00E231C2" w:rsidP="00FC23B7">
      <w:r w:rsidRPr="00B8122D">
        <w:rPr>
          <w:bCs/>
        </w:rPr>
        <w:t>Cellular assays using Jeko-1 mantle cell lymphoma cells demonstrated t</w:t>
      </w:r>
      <w:r w:rsidR="001B3DC1" w:rsidRPr="00B8122D">
        <w:rPr>
          <w:bCs/>
        </w:rPr>
        <w:t xml:space="preserve">hat ribociclib inhibited CDK4/6 </w:t>
      </w:r>
      <w:r w:rsidRPr="00B8122D">
        <w:rPr>
          <w:bCs/>
        </w:rPr>
        <w:t xml:space="preserve">mediated phosphorylation of Rb </w:t>
      </w:r>
      <w:r w:rsidRPr="00B8122D">
        <w:t>(IC</w:t>
      </w:r>
      <w:r w:rsidRPr="00B8122D">
        <w:rPr>
          <w:vertAlign w:val="subscript"/>
        </w:rPr>
        <w:t>50</w:t>
      </w:r>
      <w:r w:rsidRPr="00B8122D">
        <w:t xml:space="preserve"> 0.18 µM, </w:t>
      </w:r>
      <w:r w:rsidR="00FC23B7" w:rsidRPr="00B8122D">
        <w:t>enzyme linked immunosorbent assay (</w:t>
      </w:r>
      <w:r w:rsidR="00FC23B7" w:rsidRPr="005E5C59">
        <w:t>ELISA))</w:t>
      </w:r>
      <w:r w:rsidR="00FC23B7" w:rsidRPr="00B8122D">
        <w:t xml:space="preserve"> </w:t>
      </w:r>
      <w:r w:rsidRPr="00B8122D">
        <w:t>and inhibited cell proliferation (IC</w:t>
      </w:r>
      <w:r w:rsidRPr="00B8122D">
        <w:rPr>
          <w:vertAlign w:val="subscript"/>
        </w:rPr>
        <w:t>50</w:t>
      </w:r>
      <w:r w:rsidRPr="00B8122D">
        <w:t xml:space="preserve"> 0.08 µM, </w:t>
      </w:r>
      <w:r w:rsidR="001B3DC1" w:rsidRPr="005E5C59">
        <w:t>bromodeoxyuridine (</w:t>
      </w:r>
      <w:r w:rsidRPr="005E5C59">
        <w:t>BrdU</w:t>
      </w:r>
      <w:r w:rsidR="001B3DC1" w:rsidRPr="005E5C59">
        <w:t>)</w:t>
      </w:r>
      <w:r w:rsidRPr="005E5C59">
        <w:t xml:space="preserve"> assay</w:t>
      </w:r>
      <w:r w:rsidRPr="00B8122D">
        <w:t>) by inducing G1 arrest (IC</w:t>
      </w:r>
      <w:r w:rsidRPr="00B8122D">
        <w:rPr>
          <w:vertAlign w:val="subscript"/>
        </w:rPr>
        <w:t>50</w:t>
      </w:r>
      <w:r w:rsidRPr="00B8122D">
        <w:t xml:space="preserve"> 0.11 µM, flow cytometry). Both major human metabolites also induced G1 arrest (LEQ803: IC</w:t>
      </w:r>
      <w:r w:rsidRPr="00B8122D">
        <w:rPr>
          <w:vertAlign w:val="subscript"/>
        </w:rPr>
        <w:t>50</w:t>
      </w:r>
      <w:r w:rsidR="00FC23B7" w:rsidRPr="00B8122D">
        <w:t xml:space="preserve"> 0.24 µM; CCI284: </w:t>
      </w:r>
      <w:r w:rsidRPr="00B8122D">
        <w:t>IC</w:t>
      </w:r>
      <w:r w:rsidRPr="00B8122D">
        <w:rPr>
          <w:vertAlign w:val="subscript"/>
        </w:rPr>
        <w:t>50</w:t>
      </w:r>
      <w:r w:rsidR="00FC23B7" w:rsidRPr="00B8122D">
        <w:t> </w:t>
      </w:r>
      <w:r w:rsidRPr="00B8122D">
        <w:t xml:space="preserve">1.14 µM, </w:t>
      </w:r>
      <w:r w:rsidR="006F1E16" w:rsidRPr="00B8122D">
        <w:t>compared with an</w:t>
      </w:r>
      <w:r w:rsidR="005E5C59">
        <w:t xml:space="preserve"> </w:t>
      </w:r>
      <w:r w:rsidR="005E5C59" w:rsidRPr="005E5C59">
        <w:t xml:space="preserve">clinical </w:t>
      </w:r>
      <w:r w:rsidRPr="005E5C59">
        <w:t>C</w:t>
      </w:r>
      <w:r w:rsidRPr="005E5C59">
        <w:rPr>
          <w:vertAlign w:val="subscript"/>
        </w:rPr>
        <w:t>max</w:t>
      </w:r>
      <w:r w:rsidR="005E5C59" w:rsidRPr="005E5C59">
        <w:rPr>
          <w:vertAlign w:val="subscript"/>
        </w:rPr>
        <w:t>,unbound</w:t>
      </w:r>
      <w:r w:rsidR="00FC23B7" w:rsidRPr="005E5C59">
        <w:t xml:space="preserve"> </w:t>
      </w:r>
      <w:r w:rsidRPr="005E5C59">
        <w:t>of 0.05 µM and 0.11 µM, respectively). Given the low activity and plasma level relative to the parent drug, the metabolites are unlikely to make a significant contribution</w:t>
      </w:r>
      <w:r w:rsidRPr="00B8122D">
        <w:t xml:space="preserve"> to the primary pharmacological effects of ribociclib </w:t>
      </w:r>
      <w:r w:rsidRPr="00633064">
        <w:rPr>
          <w:i/>
        </w:rPr>
        <w:t>in vivo</w:t>
      </w:r>
      <w:r w:rsidRPr="00B8122D">
        <w:t>.</w:t>
      </w:r>
    </w:p>
    <w:p w14:paraId="1ED95140" w14:textId="788E052D" w:rsidR="00E231C2" w:rsidRPr="00B8122D" w:rsidRDefault="00E231C2" w:rsidP="006F1E16">
      <w:r w:rsidRPr="00B8122D">
        <w:t xml:space="preserve">Amongst human breast cancer cell lines, ER+ luminal breast cancer cell lines were the most sensitive to ribociclib </w:t>
      </w:r>
      <w:r w:rsidRPr="007645B0">
        <w:t>(16/25 cell lines having IC</w:t>
      </w:r>
      <w:r w:rsidRPr="007645B0">
        <w:rPr>
          <w:vertAlign w:val="subscript"/>
        </w:rPr>
        <w:t>50</w:t>
      </w:r>
      <w:r w:rsidR="006F1E16" w:rsidRPr="007645B0">
        <w:t xml:space="preserve"> &lt; 1 µM).</w:t>
      </w:r>
    </w:p>
    <w:p w14:paraId="6AA9B004" w14:textId="77777777" w:rsidR="006F1E16" w:rsidRPr="00B8122D" w:rsidRDefault="006F1E16" w:rsidP="006F1E16">
      <w:pPr>
        <w:pStyle w:val="Heading5"/>
      </w:pPr>
      <w:r w:rsidRPr="00B8122D">
        <w:t>In vivo studies</w:t>
      </w:r>
    </w:p>
    <w:p w14:paraId="120ECA29" w14:textId="089002AC" w:rsidR="00E231C2" w:rsidRPr="00B8122D" w:rsidRDefault="00E231C2" w:rsidP="00E231C2">
      <w:r w:rsidRPr="00B8122D">
        <w:t xml:space="preserve">In a </w:t>
      </w:r>
      <w:r w:rsidR="00FC23B7" w:rsidRPr="00B8122D">
        <w:t>severe combined immunodeficient (</w:t>
      </w:r>
      <w:r w:rsidRPr="00B8122D">
        <w:t>SCID</w:t>
      </w:r>
      <w:r w:rsidR="00FC23B7" w:rsidRPr="00B8122D">
        <w:t>)</w:t>
      </w:r>
      <w:r w:rsidRPr="00B8122D">
        <w:t xml:space="preserve"> mouse Jeko-1 (t11;14 translocation leukaemia) subcutaneous xenograft model, ribociclib dosing </w:t>
      </w:r>
      <w:r w:rsidRPr="007645B0">
        <w:t xml:space="preserve">at ≥ 30 mg/kg/day </w:t>
      </w:r>
      <w:r w:rsidR="00FC23B7" w:rsidRPr="007645B0">
        <w:t>orally</w:t>
      </w:r>
      <w:r w:rsidRPr="007645B0">
        <w:t xml:space="preserve"> for 4 days (C</w:t>
      </w:r>
      <w:r w:rsidRPr="007645B0">
        <w:rPr>
          <w:vertAlign w:val="subscript"/>
        </w:rPr>
        <w:t>max</w:t>
      </w:r>
      <w:r w:rsidRPr="007645B0">
        <w:t xml:space="preserve"> ≥</w:t>
      </w:r>
      <w:r w:rsidR="006F1E16" w:rsidRPr="007645B0">
        <w:t xml:space="preserve"> around </w:t>
      </w:r>
      <w:r w:rsidRPr="007645B0">
        <w:t>1</w:t>
      </w:r>
      <w:r w:rsidR="006F1E16" w:rsidRPr="007645B0">
        <w:t xml:space="preserve"> x the clinical value (2360 ng/mL)</w:t>
      </w:r>
      <w:r w:rsidRPr="007645B0">
        <w:t>) dose relatedly inhibited cancer cell Rb phosphorylation by ≥</w:t>
      </w:r>
      <w:r w:rsidR="00FC23B7" w:rsidRPr="007645B0">
        <w:t xml:space="preserve"> </w:t>
      </w:r>
      <w:r w:rsidRPr="007645B0">
        <w:t>40%,</w:t>
      </w:r>
      <w:r w:rsidRPr="00B8122D">
        <w:t xml:space="preserve"> </w:t>
      </w:r>
      <w:r w:rsidRPr="007645B0">
        <w:t>and after 21 days of treatment inhibited tumour growth by ≥</w:t>
      </w:r>
      <w:r w:rsidR="006F1E16" w:rsidRPr="007645B0">
        <w:t xml:space="preserve"> </w:t>
      </w:r>
      <w:r w:rsidRPr="007645B0">
        <w:t>60%. Ribociclib had no plasmatic accumulation, but accumulation occurred in tumours, possibly due to higher CDK</w:t>
      </w:r>
      <w:r w:rsidR="006F1E16" w:rsidRPr="007645B0">
        <w:t xml:space="preserve"> </w:t>
      </w:r>
      <w:r w:rsidRPr="007645B0">
        <w:t>4/6 expression in rapidly dividing cancer cells.</w:t>
      </w:r>
      <w:r w:rsidRPr="00B8122D">
        <w:t xml:space="preserve"> High doses (150 mg/kg/day; </w:t>
      </w:r>
      <w:r w:rsidR="006F1E16" w:rsidRPr="00B8122D">
        <w:t xml:space="preserve">around </w:t>
      </w:r>
      <w:r w:rsidRPr="00B8122D">
        <w:t>6</w:t>
      </w:r>
      <w:r w:rsidR="006F1E16" w:rsidRPr="00B8122D">
        <w:t xml:space="preserve"> </w:t>
      </w:r>
      <w:r w:rsidRPr="00B8122D">
        <w:t>x the clinical C</w:t>
      </w:r>
      <w:r w:rsidRPr="00B8122D">
        <w:rPr>
          <w:vertAlign w:val="subscript"/>
        </w:rPr>
        <w:t>max</w:t>
      </w:r>
      <w:r w:rsidRPr="00B8122D">
        <w:t xml:space="preserve">) resulted in tumour regression. Following a drug holiday, reinstitution of ribociclib treatment at 300 mg/kg/day resulted in slowing of tumour growth but not cessation or regression, suggesting selection pressure driven drug escape. The mechanisms of drug escape were not studied. </w:t>
      </w:r>
      <w:r w:rsidRPr="007645B0">
        <w:t>Similar results were obtained in a nude rat Jeko-1 (t11;14 translocation leukaemia) subcutaneous xenograft model. Ribociclib dosing at ≥</w:t>
      </w:r>
      <w:r w:rsidR="006F1E16" w:rsidRPr="007645B0">
        <w:t> </w:t>
      </w:r>
      <w:r w:rsidR="00FC23B7" w:rsidRPr="007645B0">
        <w:t>10 mg/kg/day orally</w:t>
      </w:r>
      <w:r w:rsidRPr="007645B0">
        <w:t xml:space="preserve"> for 5 days inhibited tumour </w:t>
      </w:r>
      <w:r w:rsidR="00EE5C75" w:rsidRPr="007645B0">
        <w:t>xenograft Rb phosphorylation by </w:t>
      </w:r>
      <w:r w:rsidRPr="007645B0">
        <w:t>≥</w:t>
      </w:r>
      <w:r w:rsidR="00EE5C75" w:rsidRPr="007645B0">
        <w:t> </w:t>
      </w:r>
      <w:r w:rsidRPr="007645B0">
        <w:t>44% in a dose related manner. Following 28 d</w:t>
      </w:r>
      <w:r w:rsidR="00EE5C75" w:rsidRPr="007645B0">
        <w:t>ays</w:t>
      </w:r>
      <w:r w:rsidRPr="007645B0">
        <w:t xml:space="preserve"> of </w:t>
      </w:r>
      <w:r w:rsidR="00EE5C75" w:rsidRPr="007645B0">
        <w:t>4 times daily oral</w:t>
      </w:r>
      <w:r w:rsidRPr="007645B0">
        <w:t xml:space="preserve"> dosing at ≥</w:t>
      </w:r>
      <w:r w:rsidR="00EE5C75" w:rsidRPr="007645B0">
        <w:t> 75 </w:t>
      </w:r>
      <w:r w:rsidRPr="007645B0">
        <w:t>mg/kg/day</w:t>
      </w:r>
      <w:r w:rsidR="00EE5C75" w:rsidRPr="007645B0">
        <w:t>,</w:t>
      </w:r>
      <w:r w:rsidRPr="007645B0">
        <w:t xml:space="preserve"> complete regressions occurred and dosin</w:t>
      </w:r>
      <w:r w:rsidR="00FC23B7" w:rsidRPr="007645B0">
        <w:t>g at 10 </w:t>
      </w:r>
      <w:r w:rsidRPr="007645B0">
        <w:t>mg/kg/day resulted in 56% reduction in xenograft growth.</w:t>
      </w:r>
    </w:p>
    <w:p w14:paraId="1DE03110" w14:textId="2D5B41C4" w:rsidR="00B5052E" w:rsidRPr="00B8122D" w:rsidRDefault="00E231C2" w:rsidP="00B5052E">
      <w:r w:rsidRPr="00B8122D">
        <w:t>In nude mouse primary ER+ human breast cancer xenograft models, ribo</w:t>
      </w:r>
      <w:r w:rsidR="00FC23B7" w:rsidRPr="00B8122D">
        <w:t>ciclib dosing at 75 mg/kg/day orally</w:t>
      </w:r>
      <w:r w:rsidRPr="00B8122D">
        <w:t xml:space="preserve"> resulted in a significant (p &lt;</w:t>
      </w:r>
      <w:r w:rsidR="00EE5C75" w:rsidRPr="00B8122D">
        <w:t xml:space="preserve"> </w:t>
      </w:r>
      <w:r w:rsidRPr="00B8122D">
        <w:t xml:space="preserve">0.05) reduction in xenograft growth. Efficacy in this model varied depending on cell line used and dosing period. </w:t>
      </w:r>
      <w:r w:rsidRPr="007645B0">
        <w:t xml:space="preserve">Complete regression was noted against the </w:t>
      </w:r>
      <w:r w:rsidR="005E5C59" w:rsidRPr="007645B0">
        <w:t>Michigan Cancer Foundation 7 (</w:t>
      </w:r>
      <w:r w:rsidR="004E7506" w:rsidRPr="007645B0">
        <w:t>MCF</w:t>
      </w:r>
      <w:r w:rsidRPr="007645B0">
        <w:t>7</w:t>
      </w:r>
      <w:r w:rsidR="005E5C59" w:rsidRPr="007645B0">
        <w:t>) breast cancer</w:t>
      </w:r>
      <w:r w:rsidRPr="007645B0">
        <w:t xml:space="preserve"> cell line after 40 days of treatment, ≥</w:t>
      </w:r>
      <w:r w:rsidR="00EE5C75" w:rsidRPr="007645B0">
        <w:t xml:space="preserve"> </w:t>
      </w:r>
      <w:r w:rsidRPr="007645B0">
        <w:t>60%</w:t>
      </w:r>
      <w:r w:rsidRPr="00B8122D">
        <w:t xml:space="preserve"> inhibition of tumour growth against KPL1, MCF7, and ZR751</w:t>
      </w:r>
      <w:r w:rsidR="00454B59" w:rsidRPr="00B8122D">
        <w:t xml:space="preserve"> cell lines</w:t>
      </w:r>
      <w:r w:rsidRPr="00B8122D">
        <w:t xml:space="preserve"> after </w:t>
      </w:r>
      <w:r w:rsidR="00085564" w:rsidRPr="00B8122D">
        <w:t>2</w:t>
      </w:r>
      <w:r w:rsidR="00085564">
        <w:t>8</w:t>
      </w:r>
      <w:r w:rsidR="00085564" w:rsidRPr="00B8122D">
        <w:t xml:space="preserve"> </w:t>
      </w:r>
      <w:r w:rsidRPr="00B8122D">
        <w:t>days of treatment, no significant inhibition (</w:t>
      </w:r>
      <w:r w:rsidR="00454B59" w:rsidRPr="007645B0">
        <w:t xml:space="preserve">approximately </w:t>
      </w:r>
      <w:r w:rsidRPr="007645B0">
        <w:t>30% inhibition</w:t>
      </w:r>
      <w:r w:rsidRPr="00B8122D">
        <w:t xml:space="preserve">) in one study and </w:t>
      </w:r>
      <w:r w:rsidRPr="007645B0">
        <w:t>66% inhibition</w:t>
      </w:r>
      <w:r w:rsidRPr="00B8122D">
        <w:t xml:space="preserve"> in another study against </w:t>
      </w:r>
      <w:r w:rsidR="00766B79">
        <w:t xml:space="preserve">the luminal breast cancer xenograft </w:t>
      </w:r>
      <w:r w:rsidRPr="00B8122D">
        <w:t xml:space="preserve">HBCx34 after 56 days of treatment. In the study which showed no </w:t>
      </w:r>
      <w:r w:rsidRPr="00B8122D">
        <w:lastRenderedPageBreak/>
        <w:t xml:space="preserve">significant inhibition of tumour growth by ribociclib alone, significant tumour growth inhibition </w:t>
      </w:r>
      <w:r w:rsidRPr="007645B0">
        <w:t>(by 73%)</w:t>
      </w:r>
      <w:r w:rsidRPr="00B8122D">
        <w:t xml:space="preserve"> was observed by ribociclib (75 mg/kg/day) in combination with letrozole (2.5 mg/kg/day), </w:t>
      </w:r>
      <w:r w:rsidRPr="007645B0">
        <w:t xml:space="preserve">associated with greater toxicity than ribociclib or letrozole alone. The efficacy of ribociclib was also enhanced by fulvestrant or a </w:t>
      </w:r>
      <w:r w:rsidR="00B5052E" w:rsidRPr="007645B0">
        <w:t>phosphoinositide 3-kinase (PI3K) inhibitor.</w:t>
      </w:r>
    </w:p>
    <w:p w14:paraId="0E76E105" w14:textId="77777777" w:rsidR="00E231C2" w:rsidRPr="00B8122D" w:rsidRDefault="00E231C2" w:rsidP="00DF7E36">
      <w:pPr>
        <w:pStyle w:val="Heading4"/>
      </w:pPr>
      <w:r w:rsidRPr="00B8122D">
        <w:t>Secondary pharmacodynamics and safety pharmacology</w:t>
      </w:r>
    </w:p>
    <w:p w14:paraId="7E02F6E0" w14:textId="7F10C52E" w:rsidR="00B5052E" w:rsidRPr="00B8122D" w:rsidRDefault="003B311A" w:rsidP="00DF7E36">
      <w:pPr>
        <w:pStyle w:val="Heading5"/>
      </w:pPr>
      <w:r w:rsidRPr="00B8122D">
        <w:t>Secondary</w:t>
      </w:r>
      <w:r w:rsidR="00E231C2" w:rsidRPr="00B8122D">
        <w:t xml:space="preserve"> pharmacodynamics</w:t>
      </w:r>
    </w:p>
    <w:p w14:paraId="01A3341E" w14:textId="17CDD146" w:rsidR="00E231C2" w:rsidRPr="00B8122D" w:rsidRDefault="00E231C2" w:rsidP="00B5052E">
      <w:r w:rsidRPr="00B8122D">
        <w:t>Since ribociclib displays no target cell specificity, normal cells with constitutively high mitotic rates (</w:t>
      </w:r>
      <w:r w:rsidR="003D73CD" w:rsidRPr="00B8122D">
        <w:t>for example,</w:t>
      </w:r>
      <w:r w:rsidRPr="00B8122D">
        <w:t xml:space="preserve"> bone marrow, immune system, enterothelial stem cells and basal keratinocytes/stem cells) will undergo G1 arrest (confirmed in the in vivo toxicology studies). However, since ribociclib is cytostatic and not cytolethal, the toxicological non-target effects are likely less severe </w:t>
      </w:r>
      <w:r w:rsidR="00BA0BD2" w:rsidRPr="00B8122D">
        <w:t xml:space="preserve">compared with </w:t>
      </w:r>
      <w:r w:rsidRPr="00B8122D">
        <w:t>classical</w:t>
      </w:r>
      <w:r w:rsidR="00B5052E" w:rsidRPr="00B8122D">
        <w:t xml:space="preserve"> </w:t>
      </w:r>
      <w:r w:rsidRPr="00B8122D">
        <w:t>cytotoxic/cytolethal anticancer drugs (</w:t>
      </w:r>
      <w:r w:rsidR="003D73CD" w:rsidRPr="00B8122D">
        <w:t>for example,</w:t>
      </w:r>
      <w:r w:rsidRPr="00B8122D">
        <w:t xml:space="preserve"> risk of opportunistic infection due to barrier epithelia disruption and i</w:t>
      </w:r>
      <w:r w:rsidR="00BA0BD2" w:rsidRPr="00B8122D">
        <w:t>mmunosuppression may be lower).</w:t>
      </w:r>
    </w:p>
    <w:p w14:paraId="6D131852" w14:textId="63D4435A" w:rsidR="00E231C2" w:rsidRPr="00582E5F" w:rsidRDefault="00E231C2" w:rsidP="00B5052E">
      <w:r w:rsidRPr="00B8122D">
        <w:t>In vitro off-target secondary pharmacodyna</w:t>
      </w:r>
      <w:r w:rsidR="00BA0BD2" w:rsidRPr="00B8122D">
        <w:t>mics panel studies (144 and 147 </w:t>
      </w:r>
      <w:r w:rsidRPr="00B8122D">
        <w:t xml:space="preserve">pharmacological targets), phosphodiesterase </w:t>
      </w:r>
      <w:r w:rsidRPr="00766B79">
        <w:t>(PDE)</w:t>
      </w:r>
      <w:r w:rsidRPr="00B8122D">
        <w:t xml:space="preserve"> 4D </w:t>
      </w:r>
      <w:r w:rsidR="00BA0BD2" w:rsidRPr="00B8122D">
        <w:t>subtype</w:t>
      </w:r>
      <w:r w:rsidR="00766B79">
        <w:t xml:space="preserve"> (PDE4D)</w:t>
      </w:r>
      <w:r w:rsidR="00BA0BD2" w:rsidRPr="00B8122D">
        <w:t xml:space="preserve"> </w:t>
      </w:r>
      <w:r w:rsidRPr="00B8122D">
        <w:t>inhibition (IC</w:t>
      </w:r>
      <w:r w:rsidRPr="00B8122D">
        <w:rPr>
          <w:vertAlign w:val="subscript"/>
        </w:rPr>
        <w:t>50</w:t>
      </w:r>
      <w:r w:rsidR="00BA0BD2" w:rsidRPr="00B8122D">
        <w:rPr>
          <w:vertAlign w:val="subscript"/>
        </w:rPr>
        <w:t> </w:t>
      </w:r>
      <w:r w:rsidR="00BA0BD2" w:rsidRPr="00B8122D">
        <w:t xml:space="preserve">0.6 µM, </w:t>
      </w:r>
      <w:r w:rsidR="00BA0BD2" w:rsidRPr="006024B1">
        <w:t xml:space="preserve">≥ </w:t>
      </w:r>
      <w:r w:rsidR="003B311A" w:rsidRPr="00085564">
        <w:t>15 x the IC</w:t>
      </w:r>
      <w:r w:rsidR="003B311A" w:rsidRPr="00085564">
        <w:rPr>
          <w:vertAlign w:val="subscript"/>
        </w:rPr>
        <w:t>50</w:t>
      </w:r>
      <w:r w:rsidR="003B311A" w:rsidRPr="00085564">
        <w:t xml:space="preserve"> against CDK4/6 </w:t>
      </w:r>
      <w:r w:rsidRPr="006024B1">
        <w:t xml:space="preserve">and </w:t>
      </w:r>
      <w:r w:rsidR="00BA0BD2" w:rsidRPr="00582E5F">
        <w:t xml:space="preserve">around </w:t>
      </w:r>
      <w:r w:rsidR="003B311A" w:rsidRPr="001C51C9">
        <w:t>0.</w:t>
      </w:r>
      <w:r w:rsidR="00D209AC">
        <w:t>4</w:t>
      </w:r>
      <w:r w:rsidR="00085564" w:rsidRPr="001C51C9">
        <w:t xml:space="preserve"> </w:t>
      </w:r>
      <w:r w:rsidR="003B311A" w:rsidRPr="001C51C9">
        <w:t>x clinical C</w:t>
      </w:r>
      <w:r w:rsidR="003B311A" w:rsidRPr="001C51C9">
        <w:rPr>
          <w:vertAlign w:val="subscript"/>
        </w:rPr>
        <w:t>max,unbound</w:t>
      </w:r>
      <w:r w:rsidRPr="00582E5F">
        <w:t>)</w:t>
      </w:r>
      <w:r w:rsidR="009F2251">
        <w:rPr>
          <w:rStyle w:val="FootnoteReference"/>
        </w:rPr>
        <w:footnoteReference w:id="16"/>
      </w:r>
      <w:r w:rsidRPr="00582E5F">
        <w:t xml:space="preserve"> was</w:t>
      </w:r>
      <w:r w:rsidRPr="00B8122D">
        <w:t xml:space="preserve"> identified as a potential target. </w:t>
      </w:r>
      <w:r w:rsidRPr="008C41EE">
        <w:t>P</w:t>
      </w:r>
      <w:r w:rsidR="00766B79" w:rsidRPr="008C41EE">
        <w:t>DE</w:t>
      </w:r>
      <w:r w:rsidRPr="008C41EE">
        <w:t xml:space="preserve">4D degrades secondary messenger </w:t>
      </w:r>
      <w:r w:rsidR="00BA0BD2" w:rsidRPr="008C41EE">
        <w:t>cyclic adenosine monophosphate (</w:t>
      </w:r>
      <w:r w:rsidRPr="005C7866">
        <w:t>cAMP</w:t>
      </w:r>
      <w:r w:rsidR="00BA0BD2" w:rsidRPr="00753D3F">
        <w:t>)</w:t>
      </w:r>
      <w:r w:rsidRPr="00753D3F">
        <w:t xml:space="preserve"> and is expressed in a broad range of tissues with high expression in cardiovascular, ne</w:t>
      </w:r>
      <w:r w:rsidRPr="006E19CD">
        <w:t>ural, immune and inflammatory systems. PDE4D knockout mice have delayed growth, reduced viability, impaired ovulation and refractory to muscarinic cholinergic stimulation.</w:t>
      </w:r>
      <w:r w:rsidR="0010489F" w:rsidRPr="00B8122D">
        <w:t xml:space="preserve"> </w:t>
      </w:r>
      <w:r w:rsidRPr="00B8122D">
        <w:t>Two PDE4 inhibitors, apremilast and roflumilast</w:t>
      </w:r>
      <w:r w:rsidR="0064635D" w:rsidRPr="00B8122D">
        <w:t>,</w:t>
      </w:r>
      <w:r w:rsidRPr="00B8122D">
        <w:t xml:space="preserve"> have been approved in Australia for the </w:t>
      </w:r>
      <w:r w:rsidRPr="00385794">
        <w:t>treatment of inflammatory conditions, psoriasis and chronic obstructive pulmonary disease, respectively. Pharmaceutical PDE4 inhibitors typically trigger dose</w:t>
      </w:r>
      <w:r w:rsidR="0064635D" w:rsidRPr="00385794">
        <w:t xml:space="preserve"> </w:t>
      </w:r>
      <w:r w:rsidRPr="00385794">
        <w:t xml:space="preserve">limiting </w:t>
      </w:r>
      <w:r w:rsidR="0064635D" w:rsidRPr="00385794">
        <w:t>central nervous system (</w:t>
      </w:r>
      <w:r w:rsidRPr="00385794">
        <w:t>CNS</w:t>
      </w:r>
      <w:r w:rsidR="0064635D" w:rsidRPr="00385794">
        <w:t>)</w:t>
      </w:r>
      <w:r w:rsidRPr="00385794">
        <w:t xml:space="preserve"> mediated nausea and emesis due to PDE4 inhibition within the chemoreceptor trigger zone of the area prostrema.</w:t>
      </w:r>
      <w:r w:rsidRPr="00385794">
        <w:rPr>
          <w:vertAlign w:val="superscript"/>
        </w:rPr>
        <w:footnoteReference w:id="17"/>
      </w:r>
      <w:r w:rsidRPr="00385794">
        <w:rPr>
          <w:vertAlign w:val="superscript"/>
        </w:rPr>
        <w:t>,</w:t>
      </w:r>
      <w:r w:rsidRPr="00385794">
        <w:rPr>
          <w:vertAlign w:val="superscript"/>
        </w:rPr>
        <w:footnoteReference w:id="18"/>
      </w:r>
      <w:r w:rsidRPr="00385794">
        <w:t xml:space="preserve"> Since the chemoreceptor trigger zone is located in one of the circumventricular organs that lacks a blood brain barrier</w:t>
      </w:r>
      <w:r w:rsidR="0064635D" w:rsidRPr="00385794">
        <w:t xml:space="preserve"> (BBB)</w:t>
      </w:r>
      <w:r w:rsidRPr="00385794">
        <w:t xml:space="preserve">, adverse PDE4 inhibitory effects such as nausea and emesis are possible. </w:t>
      </w:r>
      <w:r w:rsidRPr="006024B1">
        <w:t>Peripheral skin erythema was also noted in the acute toxicology studies</w:t>
      </w:r>
      <w:r w:rsidR="003B311A" w:rsidRPr="003B311A">
        <w:t xml:space="preserve"> </w:t>
      </w:r>
      <w:r w:rsidR="003B311A">
        <w:t>after IV administration of ribociclib</w:t>
      </w:r>
      <w:r w:rsidRPr="00385794">
        <w:t xml:space="preserve">. </w:t>
      </w:r>
      <w:r w:rsidRPr="006024B1">
        <w:t>This effect may have been secondary to PDE4 inhibition associated vasodilation.</w:t>
      </w:r>
      <w:r w:rsidRPr="00385794">
        <w:t xml:space="preserve"> Vomiting was observed in dogs treated with ribociclib and nausea and vomiting were reported in clinical trials with ribociclib (</w:t>
      </w:r>
      <w:r w:rsidR="0064635D" w:rsidRPr="00385794">
        <w:t>reported in the sponsor’s Clinical</w:t>
      </w:r>
      <w:r w:rsidR="0064635D" w:rsidRPr="00B8122D">
        <w:t xml:space="preserve"> Overview</w:t>
      </w:r>
      <w:r w:rsidRPr="00B8122D">
        <w:t xml:space="preserve">). </w:t>
      </w:r>
      <w:r w:rsidRPr="006024B1">
        <w:t>P</w:t>
      </w:r>
      <w:r w:rsidR="0064635D" w:rsidRPr="006024B1">
        <w:t>DE</w:t>
      </w:r>
      <w:r w:rsidRPr="006024B1">
        <w:t xml:space="preserve">4D inhibition may increase cardiac </w:t>
      </w:r>
      <w:r w:rsidRPr="00582E5F">
        <w:t xml:space="preserve">pacemaker </w:t>
      </w:r>
      <w:r w:rsidR="003B311A" w:rsidRPr="001C51C9">
        <w:t>activity</w:t>
      </w:r>
      <w:r w:rsidR="000B4E88">
        <w:t xml:space="preserve"> </w:t>
      </w:r>
      <w:r w:rsidR="000B4E88" w:rsidRPr="001C51C9">
        <w:rPr>
          <w:i/>
        </w:rPr>
        <w:t>in vitro</w:t>
      </w:r>
      <w:r w:rsidRPr="00582E5F">
        <w:t>;</w:t>
      </w:r>
      <w:r w:rsidR="00BE0C54">
        <w:rPr>
          <w:rStyle w:val="FootnoteReference"/>
        </w:rPr>
        <w:footnoteReference w:id="19"/>
      </w:r>
      <w:r w:rsidRPr="00582E5F">
        <w:t xml:space="preserve"> however</w:t>
      </w:r>
      <w:r w:rsidR="008E5793" w:rsidRPr="00582E5F">
        <w:t>,</w:t>
      </w:r>
      <w:r w:rsidRPr="00582E5F">
        <w:t xml:space="preserve"> heart rate was unaffected in animal studies. P</w:t>
      </w:r>
      <w:r w:rsidR="0064635D" w:rsidRPr="00582E5F">
        <w:t>DE</w:t>
      </w:r>
      <w:r w:rsidRPr="00582E5F">
        <w:t xml:space="preserve">4D inhibitors induce vasculitis in primates and </w:t>
      </w:r>
      <w:r w:rsidR="003B311A" w:rsidRPr="001C51C9">
        <w:t>rodents</w:t>
      </w:r>
      <w:r w:rsidRPr="00582E5F">
        <w:t>;</w:t>
      </w:r>
      <w:r w:rsidR="0088560C">
        <w:rPr>
          <w:rStyle w:val="FootnoteReference"/>
        </w:rPr>
        <w:footnoteReference w:id="20"/>
      </w:r>
      <w:r w:rsidRPr="00582E5F">
        <w:t xml:space="preserve"> however</w:t>
      </w:r>
      <w:r w:rsidR="008E5793" w:rsidRPr="00582E5F">
        <w:t>,</w:t>
      </w:r>
      <w:r w:rsidRPr="00582E5F">
        <w:t xml:space="preserve"> these effects have also not been observed in human patients and did not occur with ribo</w:t>
      </w:r>
      <w:r w:rsidR="0064635D" w:rsidRPr="00582E5F">
        <w:t>ciclib dosing of rats and dogs.</w:t>
      </w:r>
    </w:p>
    <w:p w14:paraId="1098EF30" w14:textId="1D3EA9EE" w:rsidR="00E231C2" w:rsidRPr="00582E5F" w:rsidRDefault="00E231C2" w:rsidP="00E231C2">
      <w:r w:rsidRPr="00582E5F">
        <w:t>Ribociclib also inhibited vesicular monoamine transporter</w:t>
      </w:r>
      <w:r w:rsidR="0064635D" w:rsidRPr="00582E5F">
        <w:t xml:space="preserve"> 2</w:t>
      </w:r>
      <w:r w:rsidRPr="00582E5F">
        <w:t xml:space="preserve"> </w:t>
      </w:r>
      <w:r w:rsidR="0064635D" w:rsidRPr="00582E5F">
        <w:t>(</w:t>
      </w:r>
      <w:r w:rsidRPr="00582E5F">
        <w:t>VMAT2</w:t>
      </w:r>
      <w:r w:rsidR="0064635D" w:rsidRPr="00582E5F">
        <w:t xml:space="preserve">) with an </w:t>
      </w:r>
      <w:r w:rsidRPr="00582E5F">
        <w:t>IC</w:t>
      </w:r>
      <w:r w:rsidRPr="00582E5F">
        <w:rPr>
          <w:vertAlign w:val="subscript"/>
        </w:rPr>
        <w:t>50</w:t>
      </w:r>
      <w:r w:rsidR="0064635D" w:rsidRPr="00582E5F">
        <w:t> 6.3 µM</w:t>
      </w:r>
      <w:r w:rsidRPr="00582E5F">
        <w:t xml:space="preserve">. However, VMAT2 is distributed in the CNS nigrostriatal and mesolimbic pathways which are protected by the </w:t>
      </w:r>
      <w:r w:rsidR="0064635D" w:rsidRPr="00582E5F">
        <w:t>BBB</w:t>
      </w:r>
      <w:r w:rsidRPr="00582E5F">
        <w:t>. Given the low BBB penetration of ribociclib, the risks of off target effects at VMAT2 are low. Clearly adverse effects attributable to the nigrostriatal and mesolimbic pathways were not observed in the nonclinical data.</w:t>
      </w:r>
    </w:p>
    <w:p w14:paraId="561CCAF2" w14:textId="252516F4" w:rsidR="00E231C2" w:rsidRDefault="00E231C2" w:rsidP="00E231C2">
      <w:r w:rsidRPr="00582E5F">
        <w:lastRenderedPageBreak/>
        <w:t>The ribociclib metabolite, LEQ803 also showed inhibition of PDE4D (IC</w:t>
      </w:r>
      <w:r w:rsidRPr="00582E5F">
        <w:rPr>
          <w:vertAlign w:val="subscript"/>
        </w:rPr>
        <w:t>50</w:t>
      </w:r>
      <w:r w:rsidR="0064635D" w:rsidRPr="00582E5F">
        <w:t xml:space="preserve"> 0.6 µM, </w:t>
      </w:r>
      <w:r w:rsidR="00D209AC">
        <w:t>12</w:t>
      </w:r>
      <w:r w:rsidR="00890086" w:rsidRPr="006F3026">
        <w:t> </w:t>
      </w:r>
      <w:r w:rsidR="0064635D" w:rsidRPr="00582E5F">
        <w:t> x </w:t>
      </w:r>
      <w:r w:rsidRPr="00582E5F">
        <w:t>clinical C</w:t>
      </w:r>
      <w:r w:rsidRPr="00582E5F">
        <w:rPr>
          <w:vertAlign w:val="subscript"/>
        </w:rPr>
        <w:t>max unbound</w:t>
      </w:r>
      <w:r w:rsidRPr="00582E5F">
        <w:t xml:space="preserve"> </w:t>
      </w:r>
      <w:r w:rsidR="003B311A" w:rsidRPr="001C51C9">
        <w:t>0.</w:t>
      </w:r>
      <w:r w:rsidR="00D209AC">
        <w:t>05</w:t>
      </w:r>
      <w:r w:rsidR="00890086" w:rsidRPr="00372A95">
        <w:t xml:space="preserve"> </w:t>
      </w:r>
      <w:r w:rsidRPr="00582E5F">
        <w:t xml:space="preserve">µM), and at higher concentrations, </w:t>
      </w:r>
      <w:r w:rsidR="00F2051A" w:rsidRPr="00582E5F">
        <w:t xml:space="preserve">the </w:t>
      </w:r>
      <w:r w:rsidR="008E5793" w:rsidRPr="00582E5F">
        <w:t>5-hydroxytryptamine (</w:t>
      </w:r>
      <w:r w:rsidR="00F2051A" w:rsidRPr="00582E5F">
        <w:t>serotonin</w:t>
      </w:r>
      <w:r w:rsidR="008E5793" w:rsidRPr="00582E5F">
        <w:t>)</w:t>
      </w:r>
      <w:r w:rsidR="00F2051A" w:rsidRPr="00582E5F">
        <w:t xml:space="preserve"> 3 receptor subtype (</w:t>
      </w:r>
      <w:r w:rsidRPr="00582E5F">
        <w:t>5HT</w:t>
      </w:r>
      <w:r w:rsidRPr="00582E5F">
        <w:rPr>
          <w:vertAlign w:val="subscript"/>
        </w:rPr>
        <w:t>3</w:t>
      </w:r>
      <w:r w:rsidR="00F2051A" w:rsidRPr="00582E5F">
        <w:t xml:space="preserve">) </w:t>
      </w:r>
      <w:r w:rsidRPr="00582E5F">
        <w:t>(IC</w:t>
      </w:r>
      <w:r w:rsidRPr="00582E5F">
        <w:rPr>
          <w:vertAlign w:val="subscript"/>
        </w:rPr>
        <w:t>50</w:t>
      </w:r>
      <w:r w:rsidRPr="00582E5F">
        <w:t xml:space="preserve"> 2.63 µM, </w:t>
      </w:r>
      <w:r w:rsidR="008F1BF3" w:rsidRPr="00582E5F">
        <w:t>inhibitor</w:t>
      </w:r>
      <w:r w:rsidR="008E5793" w:rsidRPr="00582E5F">
        <w:t>y</w:t>
      </w:r>
      <w:r w:rsidR="008F1BF3" w:rsidRPr="00CE30E3">
        <w:t xml:space="preserve"> constant (</w:t>
      </w:r>
      <w:r w:rsidR="004E4287" w:rsidRPr="00B8122D">
        <w:t>K</w:t>
      </w:r>
      <w:r w:rsidR="004E4287" w:rsidRPr="004E4287">
        <w:rPr>
          <w:vertAlign w:val="subscript"/>
        </w:rPr>
        <w:t>i</w:t>
      </w:r>
      <w:r w:rsidR="008E5793" w:rsidRPr="00CE30E3">
        <w:t xml:space="preserve">) 0.78 µM, </w:t>
      </w:r>
      <w:r w:rsidR="00D209AC">
        <w:t>16</w:t>
      </w:r>
      <w:r w:rsidR="00BB096C" w:rsidRPr="00BB096C">
        <w:t> </w:t>
      </w:r>
      <w:r w:rsidR="008F1BF3" w:rsidRPr="00CE30E3">
        <w:t>x</w:t>
      </w:r>
      <w:r w:rsidR="008E5793" w:rsidRPr="00CE30E3">
        <w:t> </w:t>
      </w:r>
      <w:r w:rsidRPr="00CE30E3">
        <w:t>clinical C</w:t>
      </w:r>
      <w:r w:rsidRPr="00CE30E3">
        <w:rPr>
          <w:vertAlign w:val="subscript"/>
        </w:rPr>
        <w:t>max unbound</w:t>
      </w:r>
      <w:r w:rsidRPr="00CE30E3">
        <w:t>).</w:t>
      </w:r>
      <w:r w:rsidR="00FF1FCB" w:rsidRPr="006F3026">
        <w:rPr>
          <w:vertAlign w:val="superscript"/>
        </w:rPr>
        <w:fldChar w:fldCharType="begin"/>
      </w:r>
      <w:r w:rsidR="00FF1FCB" w:rsidRPr="006F3026">
        <w:rPr>
          <w:vertAlign w:val="superscript"/>
        </w:rPr>
        <w:instrText xml:space="preserve"> NOTEREF _Ref34226526 \h </w:instrText>
      </w:r>
      <w:r w:rsidR="00FF1FCB">
        <w:rPr>
          <w:vertAlign w:val="superscript"/>
        </w:rPr>
        <w:instrText xml:space="preserve"> \* MERGEFORMAT </w:instrText>
      </w:r>
      <w:r w:rsidR="00FF1FCB" w:rsidRPr="006F3026">
        <w:rPr>
          <w:vertAlign w:val="superscript"/>
        </w:rPr>
      </w:r>
      <w:r w:rsidR="00FF1FCB" w:rsidRPr="006F3026">
        <w:rPr>
          <w:vertAlign w:val="superscript"/>
        </w:rPr>
        <w:fldChar w:fldCharType="separate"/>
      </w:r>
      <w:r w:rsidR="00FF1FCB" w:rsidRPr="006F3026">
        <w:rPr>
          <w:vertAlign w:val="superscript"/>
        </w:rPr>
        <w:t>21</w:t>
      </w:r>
      <w:r w:rsidR="00FF1FCB" w:rsidRPr="006F3026">
        <w:rPr>
          <w:vertAlign w:val="superscript"/>
        </w:rPr>
        <w:fldChar w:fldCharType="end"/>
      </w:r>
      <w:r w:rsidRPr="00CE30E3">
        <w:t xml:space="preserve"> Inhibition of other targets occurred only at very high concentrations and are unlikely to be cl</w:t>
      </w:r>
      <w:r w:rsidR="008F1BF3" w:rsidRPr="00CE30E3">
        <w:t>inically relevant (ribociclib: a</w:t>
      </w:r>
      <w:r w:rsidRPr="00CE30E3">
        <w:t>pelin receptors IC</w:t>
      </w:r>
      <w:r w:rsidRPr="00CE30E3">
        <w:rPr>
          <w:vertAlign w:val="subscript"/>
        </w:rPr>
        <w:t>50</w:t>
      </w:r>
      <w:r w:rsidRPr="00CE30E3">
        <w:t xml:space="preserve"> </w:t>
      </w:r>
      <w:r w:rsidR="008F1BF3" w:rsidRPr="00CE30E3">
        <w:t xml:space="preserve">around </w:t>
      </w:r>
      <w:r w:rsidRPr="00CE30E3">
        <w:t>10 µ</w:t>
      </w:r>
      <w:r w:rsidR="008F1BF3" w:rsidRPr="00CE30E3">
        <w:t>M, orexin-2 receptors 70% at 10 </w:t>
      </w:r>
      <w:r w:rsidRPr="00CE30E3">
        <w:t>µM; LEQ803: neuronal nicotinic alpha 2 channels IC</w:t>
      </w:r>
      <w:r w:rsidRPr="00CE30E3">
        <w:rPr>
          <w:vertAlign w:val="subscript"/>
        </w:rPr>
        <w:t>50</w:t>
      </w:r>
      <w:r w:rsidR="008E5793" w:rsidRPr="00CE30E3">
        <w:t> 5.7 </w:t>
      </w:r>
      <w:r w:rsidRPr="00CE30E3">
        <w:t>µM/</w:t>
      </w:r>
      <w:r w:rsidR="004E4287" w:rsidRPr="00B8122D">
        <w:t>K</w:t>
      </w:r>
      <w:r w:rsidR="004E4287" w:rsidRPr="004E4287">
        <w:rPr>
          <w:vertAlign w:val="subscript"/>
        </w:rPr>
        <w:t>i</w:t>
      </w:r>
      <w:r w:rsidRPr="00CE30E3">
        <w:t xml:space="preserve"> 4.27 µM,</w:t>
      </w:r>
      <w:r w:rsidRPr="00CE30E3" w:rsidDel="00620BAE">
        <w:t xml:space="preserve"> </w:t>
      </w:r>
      <w:r w:rsidRPr="00CE30E3">
        <w:t>cannabinoid CB</w:t>
      </w:r>
      <w:r w:rsidRPr="00CE30E3">
        <w:rPr>
          <w:vertAlign w:val="subscript"/>
        </w:rPr>
        <w:t>1</w:t>
      </w:r>
      <w:r w:rsidRPr="00CE30E3">
        <w:t xml:space="preserve"> receptor IC</w:t>
      </w:r>
      <w:r w:rsidRPr="00CE30E3">
        <w:rPr>
          <w:vertAlign w:val="subscript"/>
        </w:rPr>
        <w:t>50</w:t>
      </w:r>
      <w:r w:rsidRPr="00CE30E3">
        <w:t xml:space="preserve"> 28 </w:t>
      </w:r>
      <w:r w:rsidR="008E5793" w:rsidRPr="00CE30E3">
        <w:t>µM/</w:t>
      </w:r>
      <w:r w:rsidR="004E4287" w:rsidRPr="00B8122D">
        <w:t>K</w:t>
      </w:r>
      <w:r w:rsidR="004E4287" w:rsidRPr="004E4287">
        <w:rPr>
          <w:vertAlign w:val="subscript"/>
        </w:rPr>
        <w:t>i</w:t>
      </w:r>
      <w:r w:rsidR="008E5793" w:rsidRPr="00CE30E3">
        <w:t xml:space="preserve"> 24 µM, rat imidazoline I2 </w:t>
      </w:r>
      <w:r w:rsidRPr="00CE30E3">
        <w:t>receptor 71% at 10 µM, rat brain sodium channel site II 70% at 10 µM;</w:t>
      </w:r>
      <w:r w:rsidRPr="00B8122D">
        <w:t xml:space="preserve"> </w:t>
      </w:r>
      <w:r w:rsidRPr="00CE30E3">
        <w:t>VMAT2 84% at 10 µM). There were no</w:t>
      </w:r>
      <w:r w:rsidRPr="00CE30E3">
        <w:rPr>
          <w:i/>
        </w:rPr>
        <w:t xml:space="preserve"> </w:t>
      </w:r>
      <w:r w:rsidRPr="00CE30E3">
        <w:t>toxicology correlates with any of these effects and pharmacologically relevant exposure of receptors in the brain (</w:t>
      </w:r>
      <w:r w:rsidR="003D73CD" w:rsidRPr="00CE30E3">
        <w:t>that is,</w:t>
      </w:r>
      <w:r w:rsidRPr="00CE30E3">
        <w:t xml:space="preserve"> </w:t>
      </w:r>
      <w:r w:rsidR="008F1BF3" w:rsidRPr="00CE30E3">
        <w:t>o</w:t>
      </w:r>
      <w:r w:rsidRPr="00CE30E3">
        <w:t>rexin-2 and brain sodium channel site II) to ribociclib is unlikely to occur for pharmacokinetic reasons.</w:t>
      </w:r>
    </w:p>
    <w:p w14:paraId="3CF3E8CE" w14:textId="77777777" w:rsidR="008F1BF3" w:rsidRPr="00B8122D" w:rsidRDefault="00E231C2" w:rsidP="00DF7E36">
      <w:pPr>
        <w:pStyle w:val="Heading5"/>
      </w:pPr>
      <w:r w:rsidRPr="00B8122D">
        <w:t>Safety pharmacology</w:t>
      </w:r>
    </w:p>
    <w:p w14:paraId="29A27CD5" w14:textId="03CBD9C2" w:rsidR="00E231C2" w:rsidRPr="00B8122D" w:rsidRDefault="008F1BF3" w:rsidP="00E231C2">
      <w:r w:rsidRPr="00B8122D">
        <w:t>Oral</w:t>
      </w:r>
      <w:r w:rsidR="00E231C2" w:rsidRPr="00B8122D">
        <w:t xml:space="preserve"> dosing of rats at 200 mg/kg (C</w:t>
      </w:r>
      <w:r w:rsidR="00E231C2" w:rsidRPr="00B8122D">
        <w:rPr>
          <w:vertAlign w:val="subscript"/>
        </w:rPr>
        <w:t>max</w:t>
      </w:r>
      <w:r w:rsidR="00E231C2" w:rsidRPr="00B8122D">
        <w:t xml:space="preserve"> comparable to the clinical C</w:t>
      </w:r>
      <w:r w:rsidR="00E231C2" w:rsidRPr="00B8122D">
        <w:rPr>
          <w:vertAlign w:val="subscript"/>
        </w:rPr>
        <w:t>max</w:t>
      </w:r>
      <w:r w:rsidR="00E231C2" w:rsidRPr="00B8122D">
        <w:t>) was not associated with adverse effects on basic neurobehaviour by functional observation or on basic respiratory parameters. No adverse effects were observed in the study, and higher dose</w:t>
      </w:r>
      <w:r w:rsidR="000A6C45" w:rsidRPr="00B8122D">
        <w:t>s could have been administered.</w:t>
      </w:r>
    </w:p>
    <w:p w14:paraId="599BC5D4" w14:textId="162EAE20" w:rsidR="00E231C2" w:rsidRPr="00CE50A8" w:rsidRDefault="00E231C2" w:rsidP="00E231C2">
      <w:r w:rsidRPr="00B8122D">
        <w:t xml:space="preserve">Ribociclib </w:t>
      </w:r>
      <w:r w:rsidRPr="00CE50A8">
        <w:t>displayed the following channelopathic effects in vitro</w:t>
      </w:r>
      <w:r w:rsidR="006156A5" w:rsidRPr="00CE50A8">
        <w:t>: a)</w:t>
      </w:r>
      <w:r w:rsidRPr="00CE50A8">
        <w:t xml:space="preserve"> concentration dependent inhibition of the</w:t>
      </w:r>
      <w:r w:rsidR="00D07727" w:rsidRPr="00CE50A8">
        <w:t xml:space="preserve"> cardiac</w:t>
      </w:r>
      <w:r w:rsidRPr="00CE50A8">
        <w:t xml:space="preserve"> </w:t>
      </w:r>
      <w:r w:rsidR="006156A5" w:rsidRPr="00CE50A8">
        <w:t xml:space="preserve">sodium channel </w:t>
      </w:r>
      <w:r w:rsidR="008E5793" w:rsidRPr="00CE50A8">
        <w:t>(</w:t>
      </w:r>
      <w:r w:rsidRPr="00CE50A8">
        <w:t>Na</w:t>
      </w:r>
      <w:r w:rsidRPr="00CE50A8">
        <w:rPr>
          <w:vertAlign w:val="subscript"/>
        </w:rPr>
        <w:t>v</w:t>
      </w:r>
      <w:r w:rsidRPr="00CE50A8">
        <w:t>1.5</w:t>
      </w:r>
      <w:r w:rsidR="008E5793" w:rsidRPr="00CE50A8">
        <w:t>)</w:t>
      </w:r>
      <w:r w:rsidRPr="00CE50A8">
        <w:t xml:space="preserve"> (IC</w:t>
      </w:r>
      <w:r w:rsidRPr="00CE50A8">
        <w:rPr>
          <w:vertAlign w:val="subscript"/>
        </w:rPr>
        <w:t>50</w:t>
      </w:r>
      <w:r w:rsidR="006156A5" w:rsidRPr="00CE50A8">
        <w:t xml:space="preserve"> 24 µM, </w:t>
      </w:r>
      <w:r w:rsidR="00D209AC">
        <w:t>15</w:t>
      </w:r>
      <w:r w:rsidR="00673CDD">
        <w:t xml:space="preserve"> </w:t>
      </w:r>
      <w:r w:rsidR="006156A5" w:rsidRPr="00CE50A8">
        <w:t>x</w:t>
      </w:r>
      <w:r w:rsidRPr="00CE50A8">
        <w:t xml:space="preserve"> clinical C</w:t>
      </w:r>
      <w:r w:rsidR="00D07727" w:rsidRPr="00CE50A8">
        <w:rPr>
          <w:vertAlign w:val="subscript"/>
        </w:rPr>
        <w:t>max </w:t>
      </w:r>
      <w:r w:rsidRPr="00CE50A8">
        <w:rPr>
          <w:vertAlign w:val="subscript"/>
        </w:rPr>
        <w:t>unbound</w:t>
      </w:r>
      <w:r w:rsidR="00D07727" w:rsidRPr="00CE50A8">
        <w:t xml:space="preserve">); </w:t>
      </w:r>
      <w:r w:rsidRPr="00CE50A8">
        <w:t xml:space="preserve">b) binding to the </w:t>
      </w:r>
      <w:r w:rsidR="00D07727" w:rsidRPr="00CE50A8">
        <w:t>human Ether-à-go-go-Related gene (</w:t>
      </w:r>
      <w:r w:rsidRPr="00CE50A8">
        <w:t>hERG</w:t>
      </w:r>
      <w:r w:rsidR="00D07727" w:rsidRPr="00CE50A8">
        <w:t>)</w:t>
      </w:r>
      <w:r w:rsidRPr="00CE50A8">
        <w:t xml:space="preserve"> </w:t>
      </w:r>
      <w:r w:rsidR="00252995" w:rsidRPr="00CE50A8">
        <w:t>potassium (</w:t>
      </w:r>
      <w:r w:rsidRPr="00CE50A8">
        <w:t>K</w:t>
      </w:r>
      <w:r w:rsidRPr="00CE50A8">
        <w:rPr>
          <w:vertAlign w:val="superscript"/>
        </w:rPr>
        <w:t>+</w:t>
      </w:r>
      <w:r w:rsidR="00252995" w:rsidRPr="00CE50A8">
        <w:t xml:space="preserve">) </w:t>
      </w:r>
      <w:r w:rsidR="00D07727" w:rsidRPr="00CE50A8">
        <w:t xml:space="preserve">channel (50% binding at 5.5 µM </w:t>
      </w:r>
      <w:r w:rsidR="00D209AC">
        <w:t>3</w:t>
      </w:r>
      <w:r w:rsidR="007D2067" w:rsidRPr="00CE50A8">
        <w:t>x</w:t>
      </w:r>
      <w:r w:rsidRPr="00CE50A8">
        <w:t xml:space="preserve"> clinical C</w:t>
      </w:r>
      <w:r w:rsidRPr="00CE50A8">
        <w:rPr>
          <w:vertAlign w:val="subscript"/>
        </w:rPr>
        <w:t>max unbound</w:t>
      </w:r>
      <w:r w:rsidR="00D07727" w:rsidRPr="00CE50A8">
        <w:t xml:space="preserve">); and </w:t>
      </w:r>
      <w:r w:rsidRPr="00CE50A8">
        <w:t>c) hERG K</w:t>
      </w:r>
      <w:r w:rsidRPr="00CE50A8">
        <w:rPr>
          <w:vertAlign w:val="superscript"/>
        </w:rPr>
        <w:t>+</w:t>
      </w:r>
      <w:r w:rsidR="00252995" w:rsidRPr="00CE50A8">
        <w:t xml:space="preserve"> </w:t>
      </w:r>
      <w:r w:rsidRPr="00CE50A8">
        <w:t>channel inhibition (IC</w:t>
      </w:r>
      <w:r w:rsidRPr="00CE50A8">
        <w:rPr>
          <w:vertAlign w:val="subscript"/>
        </w:rPr>
        <w:t>50</w:t>
      </w:r>
      <w:r w:rsidR="00D07727" w:rsidRPr="00CE50A8">
        <w:t xml:space="preserve"> 21 to 53 µM, </w:t>
      </w:r>
      <w:r w:rsidR="00D209AC">
        <w:t>13</w:t>
      </w:r>
      <w:r w:rsidR="00CE50A8" w:rsidRPr="00CE50A8">
        <w:t xml:space="preserve"> </w:t>
      </w:r>
      <w:r w:rsidR="007D2067" w:rsidRPr="00CE50A8">
        <w:t xml:space="preserve">to </w:t>
      </w:r>
      <w:r w:rsidR="00D209AC">
        <w:t>33</w:t>
      </w:r>
      <w:r w:rsidR="00CE50A8" w:rsidRPr="00CE50A8">
        <w:t xml:space="preserve"> </w:t>
      </w:r>
      <w:r w:rsidR="00D07727" w:rsidRPr="00CE50A8">
        <w:t>x</w:t>
      </w:r>
      <w:r w:rsidRPr="00CE50A8">
        <w:t xml:space="preserve"> clinical C</w:t>
      </w:r>
      <w:r w:rsidR="00DF07ED" w:rsidRPr="00CE50A8">
        <w:rPr>
          <w:vertAlign w:val="subscript"/>
        </w:rPr>
        <w:t xml:space="preserve">max </w:t>
      </w:r>
      <w:r w:rsidRPr="00CE50A8">
        <w:rPr>
          <w:vertAlign w:val="subscript"/>
        </w:rPr>
        <w:t>unbound</w:t>
      </w:r>
      <w:r w:rsidRPr="00CE50A8">
        <w:t>).</w:t>
      </w:r>
      <w:bookmarkStart w:id="52" w:name="_Ref34226526"/>
      <w:r w:rsidR="00275B8C">
        <w:rPr>
          <w:rStyle w:val="FootnoteReference"/>
        </w:rPr>
        <w:footnoteReference w:id="21"/>
      </w:r>
      <w:bookmarkEnd w:id="52"/>
      <w:r w:rsidRPr="00CE50A8">
        <w:t xml:space="preserve"> The major metabolite LEQ803 only bound to and inhibited hERG K</w:t>
      </w:r>
      <w:r w:rsidRPr="00CE50A8">
        <w:rPr>
          <w:vertAlign w:val="superscript"/>
        </w:rPr>
        <w:t>+</w:t>
      </w:r>
      <w:r w:rsidRPr="00CE50A8">
        <w:t xml:space="preserve"> channels at supratherapeutic con</w:t>
      </w:r>
      <w:r w:rsidR="00D07727" w:rsidRPr="00CE50A8">
        <w:t>centrations (50% binding at 6.3 </w:t>
      </w:r>
      <w:r w:rsidRPr="00CE50A8">
        <w:t>µM and K</w:t>
      </w:r>
      <w:r w:rsidRPr="00CE50A8">
        <w:rPr>
          <w:vertAlign w:val="superscript"/>
        </w:rPr>
        <w:t>+</w:t>
      </w:r>
      <w:r w:rsidRPr="00CE50A8">
        <w:t xml:space="preserve"> channel inhibition IC</w:t>
      </w:r>
      <w:r w:rsidRPr="00CE50A8">
        <w:rPr>
          <w:vertAlign w:val="subscript"/>
        </w:rPr>
        <w:t>50</w:t>
      </w:r>
      <w:r w:rsidRPr="00CE50A8">
        <w:t xml:space="preserve"> 4.</w:t>
      </w:r>
      <w:r w:rsidR="00D209AC">
        <w:t>5</w:t>
      </w:r>
      <w:r w:rsidR="00BF789A" w:rsidRPr="00CE50A8">
        <w:t xml:space="preserve"> </w:t>
      </w:r>
      <w:r w:rsidRPr="00CE50A8">
        <w:t>µM, ≥</w:t>
      </w:r>
      <w:r w:rsidR="00252995" w:rsidRPr="00CE50A8">
        <w:t xml:space="preserve"> </w:t>
      </w:r>
      <w:r w:rsidR="00D209AC">
        <w:t>90</w:t>
      </w:r>
      <w:r w:rsidR="00CE50A8" w:rsidRPr="00CE50A8">
        <w:t xml:space="preserve"> </w:t>
      </w:r>
      <w:r w:rsidRPr="00CE50A8">
        <w:t>x clinical C</w:t>
      </w:r>
      <w:r w:rsidRPr="00CE50A8">
        <w:rPr>
          <w:vertAlign w:val="subscript"/>
        </w:rPr>
        <w:t>max unbound</w:t>
      </w:r>
      <w:r w:rsidRPr="00CE50A8">
        <w:t xml:space="preserve"> </w:t>
      </w:r>
      <w:r w:rsidR="007D2067" w:rsidRPr="00CE50A8">
        <w:t>0.</w:t>
      </w:r>
      <w:r w:rsidR="00CE50A8" w:rsidRPr="00CE50A8">
        <w:t>0</w:t>
      </w:r>
      <w:r w:rsidR="00D209AC">
        <w:t>5</w:t>
      </w:r>
      <w:r w:rsidR="00CE50A8" w:rsidRPr="00CE50A8">
        <w:t xml:space="preserve"> </w:t>
      </w:r>
      <w:r w:rsidRPr="00CE50A8">
        <w:t>µM)</w:t>
      </w:r>
      <w:r w:rsidR="00372A95">
        <w:t>,</w:t>
      </w:r>
      <w:r w:rsidR="00275B8C" w:rsidRPr="00372A95">
        <w:rPr>
          <w:vertAlign w:val="superscript"/>
        </w:rPr>
        <w:fldChar w:fldCharType="begin"/>
      </w:r>
      <w:r w:rsidR="00275B8C" w:rsidRPr="00372A95">
        <w:rPr>
          <w:vertAlign w:val="superscript"/>
        </w:rPr>
        <w:instrText xml:space="preserve"> NOTEREF _Ref34226526 \h </w:instrText>
      </w:r>
      <w:r w:rsidR="00275B8C">
        <w:rPr>
          <w:vertAlign w:val="superscript"/>
        </w:rPr>
        <w:instrText xml:space="preserve"> \* MERGEFORMAT </w:instrText>
      </w:r>
      <w:r w:rsidR="00275B8C" w:rsidRPr="00372A95">
        <w:rPr>
          <w:vertAlign w:val="superscript"/>
        </w:rPr>
      </w:r>
      <w:r w:rsidR="00275B8C" w:rsidRPr="00372A95">
        <w:rPr>
          <w:vertAlign w:val="superscript"/>
        </w:rPr>
        <w:fldChar w:fldCharType="separate"/>
      </w:r>
      <w:r w:rsidR="00275B8C" w:rsidRPr="00372A95">
        <w:rPr>
          <w:vertAlign w:val="superscript"/>
        </w:rPr>
        <w:t>22</w:t>
      </w:r>
      <w:r w:rsidR="00275B8C" w:rsidRPr="00372A95">
        <w:rPr>
          <w:vertAlign w:val="superscript"/>
        </w:rPr>
        <w:fldChar w:fldCharType="end"/>
      </w:r>
      <w:r w:rsidRPr="00CE50A8">
        <w:t xml:space="preserve"> and had no effects on hERG receptor trafficking/expression in vitro at up to 30 µM.</w:t>
      </w:r>
    </w:p>
    <w:p w14:paraId="480136AC" w14:textId="167A4345" w:rsidR="00E231C2" w:rsidRPr="00B8122D" w:rsidRDefault="00E231C2" w:rsidP="00E231C2">
      <w:r w:rsidRPr="0085588F">
        <w:rPr>
          <w:i/>
        </w:rPr>
        <w:t>In vivo</w:t>
      </w:r>
      <w:r w:rsidR="00252995" w:rsidRPr="00CE50A8">
        <w:t xml:space="preserve"> in telemetered dogs, dose </w:t>
      </w:r>
      <w:r w:rsidRPr="00CE50A8">
        <w:t>dependent, significant (p</w:t>
      </w:r>
      <w:r w:rsidRPr="00CE50A8">
        <w:rPr>
          <w:i/>
        </w:rPr>
        <w:t xml:space="preserve"> </w:t>
      </w:r>
      <w:r w:rsidRPr="00CE50A8">
        <w:t>&lt;</w:t>
      </w:r>
      <w:r w:rsidR="00252995" w:rsidRPr="00CE50A8">
        <w:t xml:space="preserve"> </w:t>
      </w:r>
      <w:r w:rsidRPr="00CE50A8">
        <w:t>0.05) QT</w:t>
      </w:r>
      <w:r w:rsidR="00252995" w:rsidRPr="00CE50A8">
        <w:t xml:space="preserve"> interval;</w:t>
      </w:r>
      <w:r w:rsidR="00252995" w:rsidRPr="00CE50A8">
        <w:rPr>
          <w:rStyle w:val="FootnoteReference"/>
        </w:rPr>
        <w:footnoteReference w:id="22"/>
      </w:r>
      <w:r w:rsidRPr="00CE50A8">
        <w:t xml:space="preserve"> and QTc </w:t>
      </w:r>
      <w:r w:rsidR="00252995" w:rsidRPr="00CE50A8">
        <w:t>interval</w:t>
      </w:r>
      <w:r w:rsidR="00E553B8" w:rsidRPr="00CE50A8">
        <w:t>;</w:t>
      </w:r>
      <w:r w:rsidR="002F249C" w:rsidRPr="00CE50A8">
        <w:rPr>
          <w:rStyle w:val="FootnoteReference"/>
        </w:rPr>
        <w:footnoteReference w:id="23"/>
      </w:r>
      <w:r w:rsidR="00E553B8" w:rsidRPr="00CE50A8">
        <w:t xml:space="preserve"> </w:t>
      </w:r>
      <w:r w:rsidRPr="00CE50A8">
        <w:t xml:space="preserve">prolongation occurred following a single </w:t>
      </w:r>
      <w:r w:rsidR="002F249C" w:rsidRPr="00CE50A8">
        <w:t>oral</w:t>
      </w:r>
      <w:r w:rsidRPr="00CE50A8">
        <w:t xml:space="preserve"> dose of ribociclib at ≥</w:t>
      </w:r>
      <w:r w:rsidR="002F249C" w:rsidRPr="00CE50A8">
        <w:t xml:space="preserve"> </w:t>
      </w:r>
      <w:r w:rsidRPr="00CE50A8">
        <w:t>20 mg/kg (C</w:t>
      </w:r>
      <w:r w:rsidRPr="00CE50A8">
        <w:rPr>
          <w:vertAlign w:val="subscript"/>
        </w:rPr>
        <w:t>max</w:t>
      </w:r>
      <w:r w:rsidR="002F249C" w:rsidRPr="00CE50A8">
        <w:t xml:space="preserve"> approximately equal to </w:t>
      </w:r>
      <w:r w:rsidRPr="00CE50A8">
        <w:t>0.5</w:t>
      </w:r>
      <w:r w:rsidR="002F249C" w:rsidRPr="00CE50A8">
        <w:t xml:space="preserve"> x</w:t>
      </w:r>
      <w:r w:rsidRPr="00CE50A8">
        <w:t xml:space="preserve"> clinical </w:t>
      </w:r>
      <w:r w:rsidR="007D2067" w:rsidRPr="00CE50A8">
        <w:t>C</w:t>
      </w:r>
      <w:r w:rsidR="007D2067" w:rsidRPr="00CE50A8">
        <w:rPr>
          <w:vertAlign w:val="subscript"/>
        </w:rPr>
        <w:t>max</w:t>
      </w:r>
      <w:r w:rsidR="007D2067" w:rsidRPr="00CE50A8">
        <w:t xml:space="preserve"> </w:t>
      </w:r>
      <w:r w:rsidR="00D20939">
        <w:t>2360</w:t>
      </w:r>
      <w:r w:rsidR="00CE50A8" w:rsidRPr="00CE50A8">
        <w:t xml:space="preserve"> </w:t>
      </w:r>
      <w:r w:rsidR="007D2067" w:rsidRPr="00CE50A8">
        <w:t>ng/mL</w:t>
      </w:r>
      <w:r w:rsidR="002F249C" w:rsidRPr="00CE50A8">
        <w:t>)</w:t>
      </w:r>
      <w:r w:rsidR="00275B8C" w:rsidRPr="00372A95">
        <w:rPr>
          <w:vertAlign w:val="superscript"/>
        </w:rPr>
        <w:fldChar w:fldCharType="begin"/>
      </w:r>
      <w:r w:rsidR="00275B8C" w:rsidRPr="00372A95">
        <w:rPr>
          <w:vertAlign w:val="superscript"/>
        </w:rPr>
        <w:instrText xml:space="preserve"> NOTEREF _Ref34226526 \h </w:instrText>
      </w:r>
      <w:r w:rsidR="00275B8C">
        <w:rPr>
          <w:vertAlign w:val="superscript"/>
        </w:rPr>
        <w:instrText xml:space="preserve"> \* MERGEFORMAT </w:instrText>
      </w:r>
      <w:r w:rsidR="00275B8C" w:rsidRPr="00372A95">
        <w:rPr>
          <w:vertAlign w:val="superscript"/>
        </w:rPr>
      </w:r>
      <w:r w:rsidR="00275B8C" w:rsidRPr="00372A95">
        <w:rPr>
          <w:vertAlign w:val="superscript"/>
        </w:rPr>
        <w:fldChar w:fldCharType="separate"/>
      </w:r>
      <w:r w:rsidR="00275B8C" w:rsidRPr="00372A95">
        <w:rPr>
          <w:vertAlign w:val="superscript"/>
        </w:rPr>
        <w:t>22</w:t>
      </w:r>
      <w:r w:rsidR="00275B8C" w:rsidRPr="00372A95">
        <w:rPr>
          <w:vertAlign w:val="superscript"/>
        </w:rPr>
        <w:fldChar w:fldCharType="end"/>
      </w:r>
      <w:r w:rsidR="002F249C" w:rsidRPr="00CE50A8">
        <w:t xml:space="preserve"> and also in the 4 </w:t>
      </w:r>
      <w:r w:rsidRPr="00CE50A8">
        <w:t xml:space="preserve">week repeat dose toxicity study. The effect started at </w:t>
      </w:r>
      <w:r w:rsidR="002F249C" w:rsidRPr="00CE50A8">
        <w:t xml:space="preserve">approximately </w:t>
      </w:r>
      <w:r w:rsidRPr="00CE50A8">
        <w:t>1.75 h</w:t>
      </w:r>
      <w:r w:rsidR="002F249C" w:rsidRPr="00CE50A8">
        <w:t>ours post dose (approximately the t</w:t>
      </w:r>
      <w:r w:rsidRPr="00CE50A8">
        <w:rPr>
          <w:vertAlign w:val="subscript"/>
        </w:rPr>
        <w:t>max</w:t>
      </w:r>
      <w:r w:rsidRPr="00CE50A8">
        <w:t xml:space="preserve">), and plateaued at </w:t>
      </w:r>
      <w:r w:rsidR="002F249C" w:rsidRPr="00CE50A8">
        <w:t xml:space="preserve">approximately 2.5 to </w:t>
      </w:r>
      <w:r w:rsidRPr="00CE50A8">
        <w:t>4.5 h</w:t>
      </w:r>
      <w:r w:rsidR="002F249C" w:rsidRPr="00CE50A8">
        <w:t>ours</w:t>
      </w:r>
      <w:r w:rsidRPr="00CE50A8">
        <w:t xml:space="preserve"> post dose. Both the amplitude of the QT/QTc prolongation and the number of time points with statistically significant changes increased with the dose level, whereas the time of onset was similar at all dosages. The strongest increase in mean QTc was +57 </w:t>
      </w:r>
      <w:r w:rsidR="002F249C" w:rsidRPr="00CE50A8">
        <w:t>milliseconds (</w:t>
      </w:r>
      <w:r w:rsidRPr="00CE50A8">
        <w:t>ms</w:t>
      </w:r>
      <w:r w:rsidR="002F249C" w:rsidRPr="00CE50A8">
        <w:t>)</w:t>
      </w:r>
      <w:r w:rsidRPr="00CE50A8">
        <w:t xml:space="preserve"> (+24.9 %) seen at 9.25 h</w:t>
      </w:r>
      <w:r w:rsidR="002F249C" w:rsidRPr="00CE50A8">
        <w:t>ours post dosing at 100 mg/kg (approximately 2 x</w:t>
      </w:r>
      <w:r w:rsidRPr="00CE50A8">
        <w:t xml:space="preserve"> clinical C</w:t>
      </w:r>
      <w:r w:rsidRPr="00CE50A8">
        <w:rPr>
          <w:vertAlign w:val="subscript"/>
        </w:rPr>
        <w:t>max</w:t>
      </w:r>
      <w:r w:rsidRPr="00CE50A8">
        <w:t>) in the</w:t>
      </w:r>
      <w:r w:rsidRPr="00CE30E3">
        <w:t xml:space="preserve"> absence of other electrocardiographic effects.</w:t>
      </w:r>
      <w:r w:rsidRPr="00385794">
        <w:t xml:space="preserve"> Isolated or bigeminal premature ventricular contractions (PVC) were recorded in one out of 3 dogs in another telemetered dog study after a single </w:t>
      </w:r>
      <w:r w:rsidR="002F249C" w:rsidRPr="00385794">
        <w:t>oral</w:t>
      </w:r>
      <w:r w:rsidRPr="00385794">
        <w:t xml:space="preserve"> dose of 100 mg/kg, in addition to QTc prolon</w:t>
      </w:r>
      <w:r w:rsidR="002F249C" w:rsidRPr="00385794">
        <w:t>gation (</w:t>
      </w:r>
      <w:r w:rsidR="002F249C" w:rsidRPr="00CE30E3">
        <w:t xml:space="preserve">up to 31 ms, a 12% increase (range 10 to 30%)) at 3 to </w:t>
      </w:r>
      <w:r w:rsidRPr="00CE30E3">
        <w:t>20 h</w:t>
      </w:r>
      <w:r w:rsidR="002F249C" w:rsidRPr="00CE30E3">
        <w:t>ours</w:t>
      </w:r>
      <w:r w:rsidRPr="00CE30E3">
        <w:t xml:space="preserve"> post dose.</w:t>
      </w:r>
      <w:r w:rsidRPr="00385794">
        <w:t xml:space="preserve"> The dog with PVCs had a relatively high C</w:t>
      </w:r>
      <w:r w:rsidRPr="00385794">
        <w:rPr>
          <w:vertAlign w:val="subscript"/>
        </w:rPr>
        <w:t>max</w:t>
      </w:r>
      <w:r w:rsidRPr="00385794">
        <w:t xml:space="preserve"> (9720 ng/mL </w:t>
      </w:r>
      <w:r w:rsidR="002F249C" w:rsidRPr="00385794">
        <w:t>compared</w:t>
      </w:r>
      <w:r w:rsidR="002F249C" w:rsidRPr="00B8122D">
        <w:t xml:space="preserve"> with the</w:t>
      </w:r>
      <w:r w:rsidRPr="00B8122D">
        <w:t xml:space="preserve"> clinical </w:t>
      </w:r>
      <w:r w:rsidR="007D2067" w:rsidRPr="00B8122D">
        <w:t>C</w:t>
      </w:r>
      <w:r w:rsidR="007D2067" w:rsidRPr="00B8122D">
        <w:rPr>
          <w:vertAlign w:val="subscript"/>
        </w:rPr>
        <w:t>max</w:t>
      </w:r>
      <w:r w:rsidR="007D2067" w:rsidRPr="00B8122D">
        <w:t xml:space="preserve"> </w:t>
      </w:r>
      <w:r w:rsidR="00CE50A8">
        <w:t>1820</w:t>
      </w:r>
      <w:r w:rsidR="00CE50A8" w:rsidRPr="00B8122D">
        <w:t xml:space="preserve"> </w:t>
      </w:r>
      <w:r w:rsidR="007D2067" w:rsidRPr="00B8122D">
        <w:t>ng/mL</w:t>
      </w:r>
      <w:r w:rsidRPr="00B8122D">
        <w:t>). There were no adverse effects on blood pres</w:t>
      </w:r>
      <w:r w:rsidR="002F249C" w:rsidRPr="00B8122D">
        <w:t>sures or core body temperature.</w:t>
      </w:r>
    </w:p>
    <w:p w14:paraId="719B4A76" w14:textId="0C9C0A8A" w:rsidR="00E231C2" w:rsidRPr="00B8122D" w:rsidRDefault="00E231C2" w:rsidP="00E231C2">
      <w:r w:rsidRPr="00B8122D">
        <w:t xml:space="preserve">One telemetry study in dogs dosed with LEQ803 at 5 mg/kg </w:t>
      </w:r>
      <w:r w:rsidR="005401A1" w:rsidRPr="00B8122D">
        <w:t>orally</w:t>
      </w:r>
      <w:r w:rsidRPr="00B8122D">
        <w:t xml:space="preserve"> (C</w:t>
      </w:r>
      <w:r w:rsidRPr="00B8122D">
        <w:rPr>
          <w:vertAlign w:val="subscript"/>
        </w:rPr>
        <w:t>max</w:t>
      </w:r>
      <w:r w:rsidRPr="00B8122D">
        <w:t xml:space="preserve"> 30% of the clinical C</w:t>
      </w:r>
      <w:r w:rsidRPr="00B8122D">
        <w:rPr>
          <w:vertAlign w:val="subscript"/>
        </w:rPr>
        <w:t>max</w:t>
      </w:r>
      <w:r w:rsidRPr="00B8122D">
        <w:t xml:space="preserve">) also showed QT prolongation (18 ms, 7%), although the study was confounded by toxicity of maleic acid, which </w:t>
      </w:r>
      <w:r w:rsidR="002F249C" w:rsidRPr="00B8122D">
        <w:t>was used in the dosing vehicle.</w:t>
      </w:r>
    </w:p>
    <w:p w14:paraId="6D8472DF" w14:textId="01D9A79C" w:rsidR="00E231C2" w:rsidRPr="00B8122D" w:rsidRDefault="00E231C2" w:rsidP="00E231C2">
      <w:r w:rsidRPr="00B8122D">
        <w:t>The nonclinical findings suggest that ribociclib may cau</w:t>
      </w:r>
      <w:r w:rsidR="002F249C" w:rsidRPr="00B8122D">
        <w:t>se QT prolongation in patients.</w:t>
      </w:r>
    </w:p>
    <w:p w14:paraId="59DE9478" w14:textId="77777777" w:rsidR="007D2067" w:rsidRPr="00B8122D" w:rsidRDefault="007D2067" w:rsidP="007D2067">
      <w:pPr>
        <w:pStyle w:val="Heading3"/>
      </w:pPr>
      <w:bookmarkStart w:id="53" w:name="_Toc247691513"/>
      <w:bookmarkStart w:id="54" w:name="_Toc314842497"/>
      <w:bookmarkStart w:id="55" w:name="_Toc44685899"/>
      <w:r w:rsidRPr="00B8122D">
        <w:lastRenderedPageBreak/>
        <w:t>Pharmacokinetics</w:t>
      </w:r>
      <w:bookmarkEnd w:id="53"/>
      <w:bookmarkEnd w:id="54"/>
      <w:bookmarkEnd w:id="55"/>
    </w:p>
    <w:p w14:paraId="594D0D63" w14:textId="7C076877" w:rsidR="005401A1" w:rsidRPr="00B8122D" w:rsidRDefault="005401A1" w:rsidP="005401A1">
      <w:pPr>
        <w:pStyle w:val="Heading4"/>
      </w:pPr>
      <w:r w:rsidRPr="00B8122D">
        <w:t>Absorption</w:t>
      </w:r>
    </w:p>
    <w:p w14:paraId="2F9A0C25" w14:textId="433D183D" w:rsidR="00E231C2" w:rsidRPr="00B8122D" w:rsidRDefault="00E231C2" w:rsidP="00E231C2">
      <w:r w:rsidRPr="00B8122D">
        <w:t xml:space="preserve">Based on studies in Caco-2 cell monolayers, intestinal permeation of ribociclib is by passive perfusion limited by active efflux. </w:t>
      </w:r>
      <w:r w:rsidRPr="00796B42">
        <w:t>Riboci</w:t>
      </w:r>
      <w:r w:rsidR="00C86CBD" w:rsidRPr="00796B42">
        <w:t>clib is not a substrate of mitoxantrone resistance protein (MXR)</w:t>
      </w:r>
      <w:r w:rsidRPr="00796B42">
        <w:t>;</w:t>
      </w:r>
      <w:bookmarkStart w:id="56" w:name="_Ref505093446"/>
      <w:r w:rsidR="00C86CBD" w:rsidRPr="00796B42">
        <w:rPr>
          <w:rStyle w:val="FootnoteReference"/>
        </w:rPr>
        <w:footnoteReference w:id="24"/>
      </w:r>
      <w:bookmarkEnd w:id="56"/>
      <w:r w:rsidRPr="00796B42">
        <w:t xml:space="preserve"> however ribociclib is a substrate of </w:t>
      </w:r>
      <w:r w:rsidR="00A33F65" w:rsidRPr="00796B42">
        <w:t>the multidrug resistance protein 1 (</w:t>
      </w:r>
      <w:r w:rsidRPr="00796B42">
        <w:t>MDR1</w:t>
      </w:r>
      <w:r w:rsidR="00A33F65" w:rsidRPr="00796B42">
        <w:t xml:space="preserve">) </w:t>
      </w:r>
      <w:r w:rsidRPr="00796B42">
        <w:t>efflux transporter.</w:t>
      </w:r>
      <w:bookmarkStart w:id="57" w:name="_Ref505093448"/>
      <w:r w:rsidR="00A33F65" w:rsidRPr="00796B42">
        <w:rPr>
          <w:rStyle w:val="FootnoteReference"/>
        </w:rPr>
        <w:footnoteReference w:id="25"/>
      </w:r>
      <w:bookmarkEnd w:id="57"/>
      <w:r w:rsidRPr="00DF07ED">
        <w:t xml:space="preserve"> </w:t>
      </w:r>
      <w:r w:rsidR="00590FD5" w:rsidRPr="00590FD5">
        <w:t xml:space="preserve"> </w:t>
      </w:r>
      <w:r w:rsidR="00590FD5" w:rsidRPr="00CE30E3">
        <w:t xml:space="preserve">MDR1 saturation did not occur at concentrations up to 297 µM. </w:t>
      </w:r>
      <w:r w:rsidRPr="00CE30E3">
        <w:t>Intestinal secretion of ribociclib was also demonstrated in intact and bile duct cannulated rats following</w:t>
      </w:r>
      <w:r w:rsidR="00A33F65" w:rsidRPr="00CE30E3">
        <w:t xml:space="preserve"> intravenous (</w:t>
      </w:r>
      <w:r w:rsidRPr="00CE30E3">
        <w:t>IV</w:t>
      </w:r>
      <w:r w:rsidR="00A33F65" w:rsidRPr="00CE30E3">
        <w:t>)</w:t>
      </w:r>
      <w:r w:rsidRPr="00CE30E3">
        <w:t xml:space="preserve"> dosing (disc</w:t>
      </w:r>
      <w:r w:rsidR="00A33F65" w:rsidRPr="00CE30E3">
        <w:t xml:space="preserve">ussed under ‘Excretion’, </w:t>
      </w:r>
      <w:r w:rsidRPr="00CE30E3">
        <w:t xml:space="preserve">below). An </w:t>
      </w:r>
      <w:r w:rsidRPr="0085588F">
        <w:rPr>
          <w:i/>
        </w:rPr>
        <w:t>in silico</w:t>
      </w:r>
      <w:r w:rsidRPr="00CE30E3">
        <w:rPr>
          <w:i/>
        </w:rPr>
        <w:t xml:space="preserve"> </w:t>
      </w:r>
      <w:r w:rsidRPr="00CE30E3">
        <w:t>analysis predicts that g</w:t>
      </w:r>
      <w:r w:rsidR="00A33F65" w:rsidRPr="00CE30E3">
        <w:t xml:space="preserve">astric pH over the range of 1.5 to </w:t>
      </w:r>
      <w:r w:rsidRPr="00CE30E3">
        <w:t xml:space="preserve">8.0 will not impact the </w:t>
      </w:r>
      <w:r w:rsidR="00A33F65" w:rsidRPr="00CE30E3">
        <w:t>oral</w:t>
      </w:r>
      <w:r w:rsidRPr="00CE30E3">
        <w:t xml:space="preserve"> bioavailability of ribociclib in humans at the proposed clinical dose of 600 mg</w:t>
      </w:r>
      <w:r w:rsidRPr="00B8122D">
        <w:t>.</w:t>
      </w:r>
    </w:p>
    <w:p w14:paraId="43D0BF1C" w14:textId="663E87B7" w:rsidR="00E231C2" w:rsidRPr="00B8122D" w:rsidRDefault="00E231C2" w:rsidP="00E231C2">
      <w:r w:rsidRPr="00796B42">
        <w:t>Across species (mouse, rat, dog, monkey and human</w:t>
      </w:r>
      <w:r w:rsidR="00DF7E36" w:rsidRPr="00796B42">
        <w:t>s) oral absorption is rapid (t</w:t>
      </w:r>
      <w:r w:rsidRPr="00796B42">
        <w:rPr>
          <w:vertAlign w:val="subscript"/>
        </w:rPr>
        <w:t>max</w:t>
      </w:r>
      <w:r w:rsidR="00DF7E36" w:rsidRPr="00796B42">
        <w:t xml:space="preserve"> 1 to </w:t>
      </w:r>
      <w:r w:rsidRPr="00796B42">
        <w:t>4</w:t>
      </w:r>
      <w:r w:rsidR="00DF7E36" w:rsidRPr="00796B42">
        <w:t> </w:t>
      </w:r>
      <w:r w:rsidRPr="00796B42">
        <w:t>h</w:t>
      </w:r>
      <w:r w:rsidR="00DF7E36" w:rsidRPr="00796B42">
        <w:t>ours</w:t>
      </w:r>
      <w:r w:rsidRPr="00796B42">
        <w:t>), absolute bioavailability i</w:t>
      </w:r>
      <w:r w:rsidR="00DF7E36" w:rsidRPr="00796B42">
        <w:t xml:space="preserve">s moderate (mouse: 65%; rat: 37 to 55%; dog: 64 to </w:t>
      </w:r>
      <w:r w:rsidRPr="00796B42">
        <w:t xml:space="preserve">86%; monkey: 17%) and </w:t>
      </w:r>
      <w:r w:rsidRPr="00CE30E3">
        <w:t>a moderate first pass effec</w:t>
      </w:r>
      <w:r w:rsidR="00DF7E36" w:rsidRPr="00CE30E3">
        <w:t>t occurred in rats (absorption approximately equal to 1.8 x</w:t>
      </w:r>
      <w:r w:rsidRPr="00CE30E3">
        <w:t xml:space="preserve"> bioavailability).</w:t>
      </w:r>
    </w:p>
    <w:p w14:paraId="4DA1EA59" w14:textId="77777777" w:rsidR="00DF7E36" w:rsidRPr="00B8122D" w:rsidRDefault="00E231C2" w:rsidP="00DF7E36">
      <w:pPr>
        <w:pStyle w:val="Heading4"/>
      </w:pPr>
      <w:r w:rsidRPr="00B8122D">
        <w:t>Clearance</w:t>
      </w:r>
    </w:p>
    <w:p w14:paraId="3A405C94" w14:textId="00B73536" w:rsidR="00E231C2" w:rsidRPr="00B8122D" w:rsidRDefault="00E231C2" w:rsidP="00E231C2">
      <w:r w:rsidRPr="00B8122D">
        <w:t>Clearance in mice, rats, dogs a</w:t>
      </w:r>
      <w:r w:rsidR="00DF7E36" w:rsidRPr="00B8122D">
        <w:t>nd monkeys was rapid (</w:t>
      </w:r>
      <w:r w:rsidR="00DF7E36" w:rsidRPr="00CE30E3">
        <w:t xml:space="preserve">2.1 to </w:t>
      </w:r>
      <w:r w:rsidRPr="00CE30E3">
        <w:t xml:space="preserve">7.8 L/h/kg; greatly exceeding hepatic </w:t>
      </w:r>
      <w:r w:rsidRPr="00372A95">
        <w:t>blood flow</w:t>
      </w:r>
      <w:r w:rsidR="00B40549" w:rsidRPr="00372A95">
        <w:t xml:space="preserve"> in female rats only</w:t>
      </w:r>
      <w:r w:rsidRPr="00372A95">
        <w:t>). A sex difference occurre</w:t>
      </w:r>
      <w:r w:rsidRPr="00B8122D">
        <w:t>d in rats due to higher P</w:t>
      </w:r>
      <w:r w:rsidR="00DF7E36" w:rsidRPr="00B8122D">
        <w:t>hase II sulfation metabolism in females (</w:t>
      </w:r>
      <w:r w:rsidR="00DF7E36" w:rsidRPr="00CE30E3">
        <w:t xml:space="preserve">approximately </w:t>
      </w:r>
      <w:r w:rsidRPr="00CE30E3">
        <w:t>2.7</w:t>
      </w:r>
      <w:r w:rsidR="00DF7E36" w:rsidRPr="00CE30E3">
        <w:t xml:space="preserve"> x</w:t>
      </w:r>
      <w:r w:rsidRPr="00CE30E3">
        <w:t xml:space="preserve"> higher clearance in</w:t>
      </w:r>
      <w:r w:rsidR="00DF7E36" w:rsidRPr="00CE30E3">
        <w:t xml:space="preserve"> females </w:t>
      </w:r>
      <w:r w:rsidRPr="00CE30E3">
        <w:t>with substantially lower, &gt;</w:t>
      </w:r>
      <w:r w:rsidR="00DF7E36" w:rsidRPr="00CE30E3">
        <w:t xml:space="preserve"> 10 x</w:t>
      </w:r>
      <w:r w:rsidRPr="00CE30E3">
        <w:t xml:space="preserve"> in some cases, </w:t>
      </w:r>
      <w:r w:rsidR="00DF7E36" w:rsidRPr="00CE30E3">
        <w:t xml:space="preserve">area under the </w:t>
      </w:r>
      <w:r w:rsidR="00E92ABC" w:rsidRPr="00CE30E3">
        <w:t xml:space="preserve">drug </w:t>
      </w:r>
      <w:r w:rsidR="00DF7E36" w:rsidRPr="00CE30E3">
        <w:t>concentration</w:t>
      </w:r>
      <w:r w:rsidR="00E92ABC" w:rsidRPr="00CE30E3">
        <w:t>-time</w:t>
      </w:r>
      <w:r w:rsidR="00DF7E36" w:rsidRPr="00CE30E3">
        <w:t xml:space="preserve"> curve</w:t>
      </w:r>
      <w:r w:rsidR="00221610" w:rsidRPr="00CE30E3">
        <w:t xml:space="preserve"> in plasma</w:t>
      </w:r>
      <w:r w:rsidR="00DF7E36" w:rsidRPr="00CE30E3">
        <w:t xml:space="preserve"> (</w:t>
      </w:r>
      <w:r w:rsidRPr="00CE30E3">
        <w:t>AUC</w:t>
      </w:r>
      <w:r w:rsidR="00DF7E36" w:rsidRPr="00CE30E3">
        <w:t>)</w:t>
      </w:r>
      <w:r w:rsidRPr="00CE30E3">
        <w:t xml:space="preserve"> values in</w:t>
      </w:r>
      <w:r w:rsidR="00E92ABC" w:rsidRPr="00CE30E3">
        <w:t xml:space="preserve"> females compared with males</w:t>
      </w:r>
      <w:r w:rsidRPr="00385794">
        <w:t>). Plasma elimination</w:t>
      </w:r>
      <w:r w:rsidR="00E92ABC" w:rsidRPr="00385794">
        <w:t xml:space="preserve"> half life (t</w:t>
      </w:r>
      <w:r w:rsidRPr="00385794">
        <w:rPr>
          <w:vertAlign w:val="subscript"/>
        </w:rPr>
        <w:t>½</w:t>
      </w:r>
      <w:r w:rsidR="00E92ABC" w:rsidRPr="00385794">
        <w:t xml:space="preserve">) </w:t>
      </w:r>
      <w:r w:rsidRPr="00385794">
        <w:t>was</w:t>
      </w:r>
      <w:r w:rsidR="00E92ABC" w:rsidRPr="00385794">
        <w:t xml:space="preserve"> short in rodents and monkeys (approximately equal to between 2 and 5 hours</w:t>
      </w:r>
      <w:r w:rsidRPr="00385794">
        <w:t>), bu</w:t>
      </w:r>
      <w:r w:rsidR="00E92ABC" w:rsidRPr="00385794">
        <w:t xml:space="preserve">t considerably longer in dogs (approximately </w:t>
      </w:r>
      <w:r w:rsidRPr="00385794">
        <w:t>18</w:t>
      </w:r>
      <w:r w:rsidR="00E92ABC" w:rsidRPr="00385794">
        <w:t xml:space="preserve"> </w:t>
      </w:r>
      <w:r w:rsidRPr="00385794">
        <w:t>h</w:t>
      </w:r>
      <w:r w:rsidR="00E92ABC" w:rsidRPr="00385794">
        <w:t>ours</w:t>
      </w:r>
      <w:r w:rsidRPr="00385794">
        <w:t>). Across species</w:t>
      </w:r>
      <w:r w:rsidR="00E92ABC" w:rsidRPr="00385794">
        <w:t>, the volume of distribution</w:t>
      </w:r>
      <w:r w:rsidRPr="00B8122D">
        <w:t xml:space="preserve"> </w:t>
      </w:r>
      <w:r w:rsidR="00E92ABC" w:rsidRPr="00B8122D">
        <w:t>(</w:t>
      </w:r>
      <w:r w:rsidRPr="00B8122D">
        <w:t>V</w:t>
      </w:r>
      <w:r w:rsidRPr="00B8122D">
        <w:rPr>
          <w:vertAlign w:val="subscript"/>
        </w:rPr>
        <w:t>d</w:t>
      </w:r>
      <w:r w:rsidR="00E92ABC" w:rsidRPr="00B8122D">
        <w:t xml:space="preserve">) greatly exceeded 1 L/kg (approximately 8 to </w:t>
      </w:r>
      <w:r w:rsidRPr="00B8122D">
        <w:t xml:space="preserve">28 L/kg) implying substantial tissue sequestration. </w:t>
      </w:r>
      <w:r w:rsidR="001521D1">
        <w:t>The a</w:t>
      </w:r>
      <w:r w:rsidR="00E92ABC" w:rsidRPr="00B8122D">
        <w:t xml:space="preserve">rea under the drug concentration-time curve </w:t>
      </w:r>
      <w:r w:rsidR="00221610">
        <w:t xml:space="preserve">in plasma </w:t>
      </w:r>
      <w:r w:rsidR="00E92ABC" w:rsidRPr="00B8122D">
        <w:t>from time zero to 24 hours (</w:t>
      </w:r>
      <w:r w:rsidRPr="00B8122D">
        <w:t>AUC</w:t>
      </w:r>
      <w:r w:rsidRPr="00B8122D">
        <w:rPr>
          <w:vertAlign w:val="subscript"/>
        </w:rPr>
        <w:t>0-24h</w:t>
      </w:r>
      <w:r w:rsidR="00E92ABC" w:rsidRPr="00B8122D">
        <w:t xml:space="preserve">) </w:t>
      </w:r>
      <w:r w:rsidRPr="00B8122D">
        <w:t>was approximately dose proportional in rats, dogs and rabbits over the dose range used in the toxicity studies. There was no major plasmatic accu</w:t>
      </w:r>
      <w:r w:rsidR="00E92ABC" w:rsidRPr="00B8122D">
        <w:t>mulation after repeated dosing.</w:t>
      </w:r>
    </w:p>
    <w:p w14:paraId="661C5019" w14:textId="77777777" w:rsidR="00E92ABC" w:rsidRPr="00B8122D" w:rsidRDefault="00E231C2" w:rsidP="00E92ABC">
      <w:pPr>
        <w:pStyle w:val="Heading4"/>
      </w:pPr>
      <w:r w:rsidRPr="00B8122D">
        <w:t>Plasma protein bi</w:t>
      </w:r>
      <w:r w:rsidR="00E92ABC" w:rsidRPr="00B8122D">
        <w:t>nding and distribution in blood</w:t>
      </w:r>
    </w:p>
    <w:p w14:paraId="522C7793" w14:textId="15CC26FB" w:rsidR="00E231C2" w:rsidRPr="00B8122D" w:rsidRDefault="00E231C2" w:rsidP="00E231C2">
      <w:r w:rsidRPr="00B8122D">
        <w:t>Plasma protein</w:t>
      </w:r>
      <w:r w:rsidRPr="00B8122D">
        <w:rPr>
          <w:i/>
        </w:rPr>
        <w:t xml:space="preserve"> </w:t>
      </w:r>
      <w:r w:rsidRPr="00B8122D">
        <w:t xml:space="preserve">binding was similar across species and was not concentration dependent. </w:t>
      </w:r>
      <w:r w:rsidR="00825A32" w:rsidRPr="00B8122D">
        <w:t>The m</w:t>
      </w:r>
      <w:r w:rsidRPr="00B8122D">
        <w:t xml:space="preserve">ean </w:t>
      </w:r>
      <w:r w:rsidR="00825A32" w:rsidRPr="00B8122D">
        <w:t>fraction unbound in plasma (</w:t>
      </w:r>
      <w:r w:rsidRPr="00B8122D">
        <w:t>f</w:t>
      </w:r>
      <w:r w:rsidRPr="00B8122D">
        <w:rPr>
          <w:vertAlign w:val="subscript"/>
        </w:rPr>
        <w:t>u</w:t>
      </w:r>
      <w:r w:rsidR="00825A32" w:rsidRPr="00B8122D">
        <w:t xml:space="preserve">) ranged from 0.20 to </w:t>
      </w:r>
      <w:r w:rsidRPr="00B8122D">
        <w:t>0.34 in mouse, rat, dog and monkey plasma (human: 0.30). Plasma protein binding displacement effects of toxicological importance are unlikely. The blood:</w:t>
      </w:r>
      <w:r w:rsidR="00825A32" w:rsidRPr="00B8122D">
        <w:t xml:space="preserve"> </w:t>
      </w:r>
      <w:r w:rsidRPr="00B8122D">
        <w:t>plasma ratio was</w:t>
      </w:r>
      <w:r w:rsidR="00825A32" w:rsidRPr="00B8122D">
        <w:t xml:space="preserve"> consistent across species (0.9 to </w:t>
      </w:r>
      <w:r w:rsidRPr="00B8122D">
        <w:t>1.30; 1.01 in humans) with no evidence of selective erythrocyte partitioning.</w:t>
      </w:r>
    </w:p>
    <w:p w14:paraId="0D29F024" w14:textId="77777777" w:rsidR="00825A32" w:rsidRPr="00B8122D" w:rsidRDefault="00E231C2" w:rsidP="00825A32">
      <w:pPr>
        <w:pStyle w:val="Heading4"/>
      </w:pPr>
      <w:r w:rsidRPr="00B8122D">
        <w:t>Tissue distribution</w:t>
      </w:r>
    </w:p>
    <w:p w14:paraId="0EF42C21" w14:textId="7EE4A120" w:rsidR="00E231C2" w:rsidRPr="00B8122D" w:rsidRDefault="00E231C2" w:rsidP="00E231C2">
      <w:r w:rsidRPr="00CE30E3">
        <w:t>Drug associated radioactivity</w:t>
      </w:r>
      <w:r w:rsidR="00825A32" w:rsidRPr="00CE30E3">
        <w:t xml:space="preserve"> was rapidly, widely, and extra</w:t>
      </w:r>
      <w:r w:rsidR="00582E5F">
        <w:t>-</w:t>
      </w:r>
      <w:r w:rsidRPr="00CE30E3">
        <w:t>vascularly distributed. For most non</w:t>
      </w:r>
      <w:r w:rsidR="00825A32" w:rsidRPr="00CE30E3">
        <w:t>-pigmented tissues elimination t</w:t>
      </w:r>
      <w:r w:rsidRPr="00CE30E3">
        <w:rPr>
          <w:vertAlign w:val="subscript"/>
        </w:rPr>
        <w:t>½</w:t>
      </w:r>
      <w:r w:rsidRPr="00CE30E3">
        <w:t xml:space="preserve"> was short and reflected plasma was</w:t>
      </w:r>
      <w:r w:rsidR="00825A32" w:rsidRPr="00CE30E3">
        <w:t>hout. Longer tissue t</w:t>
      </w:r>
      <w:r w:rsidRPr="00CE30E3">
        <w:rPr>
          <w:vertAlign w:val="subscript"/>
        </w:rPr>
        <w:t>½</w:t>
      </w:r>
      <w:r w:rsidRPr="00CE30E3">
        <w:t xml:space="preserve"> (168</w:t>
      </w:r>
      <w:r w:rsidR="00825A32" w:rsidRPr="00CE30E3">
        <w:t xml:space="preserve"> </w:t>
      </w:r>
      <w:r w:rsidRPr="00CE30E3">
        <w:t>h</w:t>
      </w:r>
      <w:r w:rsidR="00825A32" w:rsidRPr="00CE30E3">
        <w:t>ours</w:t>
      </w:r>
      <w:r w:rsidRPr="00CE30E3">
        <w:t>) occurred in lymph nodes, preputial glands, testes, Harderian glands, liver, and thyroid gland. Melanophilic sequestration (</w:t>
      </w:r>
      <w:r w:rsidR="00825A32" w:rsidRPr="00CE30E3">
        <w:t>at the time of last measured concentration (</w:t>
      </w:r>
      <w:r w:rsidRPr="00CE30E3">
        <w:t>t</w:t>
      </w:r>
      <w:r w:rsidRPr="00CE30E3">
        <w:rPr>
          <w:vertAlign w:val="subscript"/>
        </w:rPr>
        <w:t>last</w:t>
      </w:r>
      <w:r w:rsidR="00825A32" w:rsidRPr="00CE30E3">
        <w:t xml:space="preserve">) </w:t>
      </w:r>
      <w:r w:rsidRPr="00CE30E3">
        <w:t>840</w:t>
      </w:r>
      <w:r w:rsidR="00825A32" w:rsidRPr="00CE30E3">
        <w:t xml:space="preserve"> </w:t>
      </w:r>
      <w:r w:rsidRPr="00CE30E3">
        <w:t>h</w:t>
      </w:r>
      <w:r w:rsidR="00825A32" w:rsidRPr="00CE30E3">
        <w:t>ours</w:t>
      </w:r>
      <w:r w:rsidRPr="00CE30E3">
        <w:t xml:space="preserve">) occurred in the choroid, ciliary body, and meninges. Melanophilic accumulation is likely with repeated dosing, but toxicity studies showed no </w:t>
      </w:r>
      <w:r w:rsidRPr="00CE30E3">
        <w:lastRenderedPageBreak/>
        <w:t>adverse effects on these tissues</w:t>
      </w:r>
      <w:r w:rsidRPr="00B8122D">
        <w:t>. Based on quantitative whole body autoradiography and ex vivo perfusion studies ribociclib associated radioa</w:t>
      </w:r>
      <w:r w:rsidR="00825A32" w:rsidRPr="00B8122D">
        <w:t xml:space="preserve">ctivity does not </w:t>
      </w:r>
      <w:r w:rsidR="00E33D1D">
        <w:t xml:space="preserve">largely </w:t>
      </w:r>
      <w:r w:rsidR="00825A32" w:rsidRPr="00B8122D">
        <w:t>cross the BBB.</w:t>
      </w:r>
    </w:p>
    <w:p w14:paraId="40467FE5" w14:textId="48CB89B5" w:rsidR="00B07668" w:rsidRPr="00B8122D" w:rsidRDefault="00B07668" w:rsidP="00B07668">
      <w:r w:rsidRPr="00372A95">
        <w:rPr>
          <w:i/>
        </w:rPr>
        <w:t>In vitro</w:t>
      </w:r>
      <w:r w:rsidRPr="00B8122D">
        <w:rPr>
          <w:i/>
        </w:rPr>
        <w:t xml:space="preserve"> </w:t>
      </w:r>
      <w:r w:rsidRPr="00B8122D">
        <w:t xml:space="preserve">human hepatocyte studies demonstrated uptake via a moderate to high passive permeation with some involvement of transporters. Transporters responsible for hepatocyte uptake have not been identified, but organic anion </w:t>
      </w:r>
      <w:r w:rsidRPr="00C81C23">
        <w:t>transporter</w:t>
      </w:r>
      <w:r>
        <w:t>s</w:t>
      </w:r>
      <w:r w:rsidRPr="00C81C23">
        <w:t xml:space="preserve"> (OAT)</w:t>
      </w:r>
      <w:r w:rsidRPr="00B8122D">
        <w:t xml:space="preserve"> may be involved since co-incubation with the OAT inhibitor, p-aminohippuric acid caused a slight to moderate decrease in hepatocyte uptake. </w:t>
      </w:r>
      <w:r>
        <w:t>Organic anion transporter polypeptide (</w:t>
      </w:r>
      <w:r w:rsidRPr="00B8122D">
        <w:t>OATP</w:t>
      </w:r>
      <w:r>
        <w:t>)</w:t>
      </w:r>
      <w:r w:rsidRPr="00B8122D">
        <w:t xml:space="preserve">, </w:t>
      </w:r>
      <w:r>
        <w:t>organic cation transporter (</w:t>
      </w:r>
      <w:r w:rsidRPr="00B8122D">
        <w:t>OCT</w:t>
      </w:r>
      <w:r>
        <w:t>)</w:t>
      </w:r>
      <w:r w:rsidRPr="00B8122D">
        <w:t xml:space="preserve"> and </w:t>
      </w:r>
      <w:r w:rsidRPr="00CE30E3">
        <w:t>sodium/taurocholate co-transporting polypeptide (NCTP) inhibitors</w:t>
      </w:r>
      <w:r w:rsidRPr="00C81C23">
        <w:t xml:space="preserve"> had minimal effects on hepatocyte uptake, suggesting ribociclib is not a substrate of these transporters. </w:t>
      </w:r>
      <w:r w:rsidRPr="0085588F">
        <w:rPr>
          <w:i/>
        </w:rPr>
        <w:t>In vitro</w:t>
      </w:r>
      <w:r w:rsidRPr="00CE30E3">
        <w:rPr>
          <w:i/>
        </w:rPr>
        <w:t xml:space="preserve"> </w:t>
      </w:r>
      <w:r w:rsidRPr="00CE30E3">
        <w:t>hepatocyte uptake maximum velocity (V</w:t>
      </w:r>
      <w:r w:rsidRPr="00CE30E3">
        <w:rPr>
          <w:vertAlign w:val="subscript"/>
        </w:rPr>
        <w:t>max</w:t>
      </w:r>
      <w:r w:rsidRPr="00CE30E3">
        <w:t>) and K</w:t>
      </w:r>
      <w:r w:rsidRPr="00CE30E3">
        <w:rPr>
          <w:vertAlign w:val="subscript"/>
        </w:rPr>
        <w:t>m</w:t>
      </w:r>
      <w:r w:rsidRPr="00CE30E3">
        <w:t xml:space="preserve"> is substantially higher in rats compared with dogs and humans, suggesting higher hepatic first pass clearance in rats than dogs and humans.</w:t>
      </w:r>
    </w:p>
    <w:p w14:paraId="3FFFBAEB" w14:textId="77777777" w:rsidR="004F248B" w:rsidRPr="00B8122D" w:rsidRDefault="00E231C2" w:rsidP="004F248B">
      <w:pPr>
        <w:pStyle w:val="Heading4"/>
      </w:pPr>
      <w:r w:rsidRPr="00B8122D">
        <w:t>Metabolism</w:t>
      </w:r>
    </w:p>
    <w:p w14:paraId="66EA305F" w14:textId="020BC513" w:rsidR="00E231C2" w:rsidRPr="00B8122D" w:rsidRDefault="00E231C2" w:rsidP="005C77D9">
      <w:r w:rsidRPr="00B8122D">
        <w:t xml:space="preserve">The metabolism of ribociclib is complex, with more than 50 metabolites. In rats, the predominant metabolic pathway was sulfation to metabolite M8 and N-dealkylation to M4 (LEQ803) with subsequent Phase II reactions. </w:t>
      </w:r>
      <w:r w:rsidR="004F248B" w:rsidRPr="00B8122D">
        <w:t xml:space="preserve">Higher clearance in female rats compared with </w:t>
      </w:r>
      <w:r w:rsidRPr="00B8122D">
        <w:t xml:space="preserve">males is due to higher sulfation to M8 in females, which is a minor pathway in dogs and humans. In dogs and humans, metabolism was dominated by oxidative pathways with various combinations of </w:t>
      </w:r>
      <w:r w:rsidRPr="005864DB">
        <w:t xml:space="preserve">dealkylation, C- and N-oxygenation and oxidations, mainly by </w:t>
      </w:r>
      <w:r w:rsidR="004F248B" w:rsidRPr="005864DB">
        <w:t xml:space="preserve">the cytochrome P450 </w:t>
      </w:r>
      <w:r w:rsidR="00C81C23" w:rsidRPr="005864DB">
        <w:t xml:space="preserve">system enzyme </w:t>
      </w:r>
      <w:r w:rsidR="004F248B" w:rsidRPr="005864DB">
        <w:t xml:space="preserve">(CYP) </w:t>
      </w:r>
      <w:r w:rsidR="005C77D9" w:rsidRPr="005864DB">
        <w:t>3A4. In all 3</w:t>
      </w:r>
      <w:r w:rsidRPr="005864DB">
        <w:t xml:space="preserve"> species, the major plasma component was unchanged ribociclib. Exposure to human oxidative plasma metabolites was covered by the studies in rats, dogs and/or rabbits. Of the major human metabolites, M1 (a glucuronide metabolite by UGT2B7), LEQ803 (by CYP3A4) and M13 (CCI284, N-hydroxylation metabolite most likely by </w:t>
      </w:r>
      <w:r w:rsidR="005C77D9" w:rsidRPr="005864DB">
        <w:t>flavin containing monooxygenase 3 (</w:t>
      </w:r>
      <w:r w:rsidRPr="005864DB">
        <w:t>FMO3</w:t>
      </w:r>
      <w:r w:rsidR="005C77D9" w:rsidRPr="005864DB">
        <w:t>)</w:t>
      </w:r>
      <w:r w:rsidRPr="005864DB">
        <w:t xml:space="preserve">), representing approximately </w:t>
      </w:r>
      <w:r w:rsidR="00CE30E3">
        <w:t>7.78</w:t>
      </w:r>
      <w:r w:rsidRPr="005864DB">
        <w:t>%, 8.6% and 9.4% of total radioactivity and</w:t>
      </w:r>
      <w:r w:rsidR="00D7665F" w:rsidRPr="005864DB">
        <w:t xml:space="preserve">17.9% </w:t>
      </w:r>
      <w:r w:rsidRPr="005864DB">
        <w:t xml:space="preserve">, 19.8% and </w:t>
      </w:r>
      <w:r w:rsidR="00D7665F" w:rsidRPr="005864DB">
        <w:t>21.6%</w:t>
      </w:r>
      <w:r w:rsidR="00372A95">
        <w:t xml:space="preserve"> </w:t>
      </w:r>
      <w:r w:rsidRPr="005864DB">
        <w:t xml:space="preserve">of ribociclib, respectively, in human plasma, LEQ803 and CCI284 were detected in rat, rabbit and dog plasma although the levels in dogs were low. </w:t>
      </w:r>
      <w:r w:rsidRPr="00CE30E3">
        <w:t>No M1 was formed in rat and dog plasma and very low level in rabbit plasma; however, since this metabolite is a phase II glucuronide, it is unlikely to be of pharmacological or toxicological significance</w:t>
      </w:r>
      <w:r w:rsidRPr="00B8122D">
        <w:t xml:space="preserve">. LEQ803 and CCI284 are pharmacologically active (discussed above under </w:t>
      </w:r>
      <w:r w:rsidR="005C77D9" w:rsidRPr="00B8122D">
        <w:t>‘</w:t>
      </w:r>
      <w:r w:rsidRPr="00372A95">
        <w:rPr>
          <w:i/>
        </w:rPr>
        <w:t xml:space="preserve">Primary </w:t>
      </w:r>
      <w:r w:rsidR="005C77D9" w:rsidRPr="00372A95">
        <w:rPr>
          <w:i/>
        </w:rPr>
        <w:t>p</w:t>
      </w:r>
      <w:r w:rsidRPr="00372A95">
        <w:rPr>
          <w:i/>
        </w:rPr>
        <w:t>harmacology</w:t>
      </w:r>
      <w:r w:rsidR="005C77D9" w:rsidRPr="00372A95">
        <w:rPr>
          <w:i/>
        </w:rPr>
        <w:t>’</w:t>
      </w:r>
      <w:r w:rsidRPr="00B8122D">
        <w:t>), but given the low activity and plasma level relative to the parent drug, LEQ803 and CCI284 are expected to have only a minor contribution to the overall efficacy in patients.</w:t>
      </w:r>
    </w:p>
    <w:p w14:paraId="414EA3CC" w14:textId="70D9F072" w:rsidR="00E231C2" w:rsidRPr="00B8122D" w:rsidRDefault="00E231C2" w:rsidP="00E231C2">
      <w:r w:rsidRPr="0085588F">
        <w:rPr>
          <w:i/>
        </w:rPr>
        <w:t>In vitro</w:t>
      </w:r>
      <w:r w:rsidRPr="00B8122D">
        <w:rPr>
          <w:i/>
        </w:rPr>
        <w:t xml:space="preserve"> </w:t>
      </w:r>
      <w:r w:rsidRPr="00B8122D">
        <w:t>studies in human, canine and rat hepatocytes and recombinant human CYPs and FMO3 showed that metabolism of ribociclib by CYP3A4 and FMO3 generates reactive intermediates with subsequent formation of covalent drug-protein adducts. This may explain some of the hepatotoxicity associated with the drug. CYP3A4-medi</w:t>
      </w:r>
      <w:r w:rsidR="005C77D9" w:rsidRPr="00B8122D">
        <w:t xml:space="preserve">ated metabolites accounted for approximately equal to between 72 and </w:t>
      </w:r>
      <w:r w:rsidRPr="00B8122D">
        <w:t xml:space="preserve">83% protein adduct formation. Ribociclib was a moderate to strong irreversible CYP3A4 </w:t>
      </w:r>
      <w:r w:rsidRPr="005864DB">
        <w:t xml:space="preserve">inhibitor in pooled human liver microsomes in vitro (lowest </w:t>
      </w:r>
      <w:r w:rsidR="005F3A7F">
        <w:t>KI</w:t>
      </w:r>
      <w:r w:rsidR="00372A95">
        <w:t xml:space="preserve"> </w:t>
      </w:r>
      <w:r w:rsidRPr="005864DB">
        <w:t xml:space="preserve">5 µM, </w:t>
      </w:r>
      <w:r w:rsidR="00AD1B01" w:rsidRPr="005864DB">
        <w:t>rate of enzyme inactivation (</w:t>
      </w:r>
      <w:r w:rsidRPr="005864DB">
        <w:t>K</w:t>
      </w:r>
      <w:r w:rsidRPr="005864DB">
        <w:rPr>
          <w:vertAlign w:val="subscript"/>
        </w:rPr>
        <w:t>inact</w:t>
      </w:r>
      <w:r w:rsidR="00AD1B01" w:rsidRPr="005864DB">
        <w:t>)</w:t>
      </w:r>
      <w:r w:rsidR="00AD1B01" w:rsidRPr="00B8122D">
        <w:t xml:space="preserve"> 0.02 µM); </w:t>
      </w:r>
      <w:r w:rsidR="00AD1B01" w:rsidRPr="00CE30E3">
        <w:t>however</w:t>
      </w:r>
      <w:r w:rsidR="005864DB" w:rsidRPr="00CE30E3">
        <w:t>,</w:t>
      </w:r>
      <w:r w:rsidR="00AD1B01" w:rsidRPr="00CE30E3">
        <w:t xml:space="preserve"> ribociclib </w:t>
      </w:r>
      <w:r w:rsidRPr="00CE30E3">
        <w:t>CYP3A4 adducts were not conclusively identified. The metabolites LEQ803 and CCI284 are also irreversible inhibitors of CYP3A4 (</w:t>
      </w:r>
      <w:r w:rsidR="005F3A7F">
        <w:t>KI</w:t>
      </w:r>
      <w:r w:rsidR="00372A95">
        <w:t xml:space="preserve"> </w:t>
      </w:r>
      <w:r w:rsidRPr="00CE30E3">
        <w:t>10</w:t>
      </w:r>
      <w:r w:rsidR="00AD1B01" w:rsidRPr="00CE30E3">
        <w:t xml:space="preserve"> to 12 </w:t>
      </w:r>
      <w:r w:rsidRPr="00CE30E3">
        <w:t>µM, K</w:t>
      </w:r>
      <w:r w:rsidRPr="00CE30E3">
        <w:rPr>
          <w:vertAlign w:val="subscript"/>
        </w:rPr>
        <w:t>inact</w:t>
      </w:r>
      <w:r w:rsidRPr="00CE30E3">
        <w:t xml:space="preserve"> 0.02 min</w:t>
      </w:r>
      <w:r w:rsidRPr="00CE30E3">
        <w:rPr>
          <w:vertAlign w:val="superscript"/>
        </w:rPr>
        <w:t>-1</w:t>
      </w:r>
      <w:r w:rsidRPr="00CE30E3">
        <w:t xml:space="preserve"> for both metabolites).</w:t>
      </w:r>
    </w:p>
    <w:p w14:paraId="587306E6" w14:textId="77777777" w:rsidR="00AD1B01" w:rsidRPr="00B8122D" w:rsidRDefault="00AD1B01" w:rsidP="00AD1B01">
      <w:pPr>
        <w:pStyle w:val="Heading4"/>
      </w:pPr>
      <w:r w:rsidRPr="00B8122D">
        <w:t>Excretion</w:t>
      </w:r>
    </w:p>
    <w:p w14:paraId="00EEA98C" w14:textId="5D6166AB" w:rsidR="00E231C2" w:rsidRPr="00B8122D" w:rsidRDefault="00E231C2" w:rsidP="00E231C2">
      <w:r w:rsidRPr="00B8122D">
        <w:t xml:space="preserve">The predominant route of excretion in rats and dogs is faecal with urinary excretion as a minor route. </w:t>
      </w:r>
      <w:r w:rsidRPr="00A6172E">
        <w:t>Around</w:t>
      </w:r>
      <w:r w:rsidR="00AD1B01" w:rsidRPr="00A6172E">
        <w:t xml:space="preserve"> 70 to </w:t>
      </w:r>
      <w:r w:rsidRPr="00A6172E">
        <w:t>80% drug associated radioactivi</w:t>
      </w:r>
      <w:r w:rsidR="00AD1B01" w:rsidRPr="00A6172E">
        <w:t xml:space="preserve">ty was excreted in faeces and 6 to </w:t>
      </w:r>
      <w:r w:rsidRPr="00A6172E">
        <w:t xml:space="preserve">19% in urine following </w:t>
      </w:r>
      <w:r w:rsidR="00AD1B01" w:rsidRPr="00A6172E">
        <w:t>oral dosing</w:t>
      </w:r>
      <w:r w:rsidR="00AD1B01" w:rsidRPr="00B8122D">
        <w:t xml:space="preserve"> (compared with </w:t>
      </w:r>
      <w:r w:rsidRPr="00B8122D">
        <w:t>69.1% in faeces and 22.6% in urine in humans). The majority (≥ 65% of</w:t>
      </w:r>
      <w:r w:rsidR="00AD1B01" w:rsidRPr="00B8122D">
        <w:t xml:space="preserve"> dose) was excreted within 24 hours </w:t>
      </w:r>
      <w:r w:rsidRPr="00B8122D">
        <w:t>of dosing. Non-metabolised riboci</w:t>
      </w:r>
      <w:r w:rsidR="00AD1B01" w:rsidRPr="00B8122D">
        <w:t xml:space="preserve">clib in faeces accounted for 11 to </w:t>
      </w:r>
      <w:r w:rsidRPr="00B8122D">
        <w:t xml:space="preserve">22% of the </w:t>
      </w:r>
      <w:r w:rsidR="00AD1B01" w:rsidRPr="00B8122D">
        <w:t xml:space="preserve">oral dose and in urine for 3 to </w:t>
      </w:r>
      <w:r w:rsidRPr="00B8122D">
        <w:t xml:space="preserve">13% of the </w:t>
      </w:r>
      <w:r w:rsidR="00AD1B01" w:rsidRPr="00B8122D">
        <w:t>oral</w:t>
      </w:r>
      <w:r w:rsidRPr="00B8122D">
        <w:t xml:space="preserve"> dose. Elimination in rats, dogs and humans was mainly by </w:t>
      </w:r>
      <w:r w:rsidRPr="00B8122D">
        <w:lastRenderedPageBreak/>
        <w:t>metabolism with a limited contribution of renal clearance. A study in bile duct cannulated male rats indicated that the majority of metabolites in faeces were excreted in bile, with unchanged ribociclib representing 1% of dose in bile and 8% of dose in faeces. Similar faecal excretion of unchanged ribociclib (9.5% of dose) was observed in female rats without bile cannulation following IV dosing. However, much higher faecal excretion of unchanged ribociclib (18.4%) was detected in another IV study in male rats without bile cannulation. The discrepancy was not explained by t</w:t>
      </w:r>
      <w:r w:rsidR="00AD1B01" w:rsidRPr="00B8122D">
        <w:t>he sponsor. Nonetheless, the min</w:t>
      </w:r>
      <w:r w:rsidRPr="00B8122D">
        <w:t xml:space="preserve">imal biliary excretion and significant faecal excretion of unchanged drug following an IV dose indicate elimination of intact ribociclib by intestinal </w:t>
      </w:r>
      <w:r w:rsidR="00AD1B01" w:rsidRPr="00B8122D">
        <w:t>secretion.</w:t>
      </w:r>
    </w:p>
    <w:p w14:paraId="5EEB0A91" w14:textId="77777777" w:rsidR="00E231C2" w:rsidRPr="00B8122D" w:rsidRDefault="00E231C2" w:rsidP="00AD1B01">
      <w:pPr>
        <w:pStyle w:val="Heading4"/>
      </w:pPr>
      <w:bookmarkStart w:id="58" w:name="_Toc294861725"/>
      <w:r w:rsidRPr="00B8122D">
        <w:t>Pharmacokinetic drug interactions</w:t>
      </w:r>
      <w:bookmarkEnd w:id="58"/>
    </w:p>
    <w:p w14:paraId="7A014B0B" w14:textId="05443360" w:rsidR="00E231C2" w:rsidRPr="00B8122D" w:rsidRDefault="00E231C2" w:rsidP="00AD1B01">
      <w:pPr>
        <w:pStyle w:val="Heading5"/>
      </w:pPr>
      <w:r w:rsidRPr="00B8122D">
        <w:t>Ribociclib as a victim</w:t>
      </w:r>
    </w:p>
    <w:p w14:paraId="1EA8DFA8" w14:textId="5DD43D73" w:rsidR="00E231C2" w:rsidRPr="00B8122D" w:rsidRDefault="00E231C2" w:rsidP="00A67536">
      <w:r w:rsidRPr="00B8122D">
        <w:t xml:space="preserve">Ribociclib is </w:t>
      </w:r>
      <w:r w:rsidR="00A67536">
        <w:t>primarily</w:t>
      </w:r>
      <w:r w:rsidR="00A67536" w:rsidRPr="00B8122D">
        <w:t xml:space="preserve"> </w:t>
      </w:r>
      <w:r w:rsidRPr="00B8122D">
        <w:t>metabolised by CYP3A4</w:t>
      </w:r>
      <w:r w:rsidR="00A67536" w:rsidRPr="00A67536">
        <w:t xml:space="preserve"> </w:t>
      </w:r>
      <w:r w:rsidR="00A67536">
        <w:t xml:space="preserve">and is a time-dependent inhibitor of CYP3A4 </w:t>
      </w:r>
      <w:r w:rsidR="00A67536" w:rsidRPr="00A67536">
        <w:rPr>
          <w:i/>
        </w:rPr>
        <w:t>in vitro</w:t>
      </w:r>
      <w:r w:rsidRPr="00B8122D">
        <w:t>. Clinically relevant interactions are expected to occur with moderate to strong CYP3A4 inhibitors and inducers</w:t>
      </w:r>
      <w:r w:rsidR="004B1FE1">
        <w:t>.</w:t>
      </w:r>
      <w:r w:rsidR="00D7665F" w:rsidRPr="00D7665F">
        <w:t xml:space="preserve"> </w:t>
      </w:r>
      <w:r w:rsidR="00D7665F" w:rsidRPr="00B8122D">
        <w:t>Warning statements based on the human clinical data have been included in the PI.</w:t>
      </w:r>
    </w:p>
    <w:p w14:paraId="4F98F0D8" w14:textId="7323FA2B" w:rsidR="00E231C2" w:rsidRPr="00B8122D" w:rsidRDefault="00AD1B01" w:rsidP="00E231C2">
      <w:r w:rsidRPr="00B8122D">
        <w:t xml:space="preserve">Ribociclib is a substrate of </w:t>
      </w:r>
      <w:r w:rsidR="007C0A85" w:rsidRPr="00B8122D">
        <w:t>P-gp</w:t>
      </w:r>
      <w:r w:rsidR="00E231C2" w:rsidRPr="00B8122D">
        <w:t xml:space="preserve"> (MDR1) but not BCRP (MXR).</w:t>
      </w:r>
      <w:r w:rsidR="005864DB" w:rsidRPr="005864DB">
        <w:rPr>
          <w:vertAlign w:val="superscript"/>
        </w:rPr>
        <w:fldChar w:fldCharType="begin"/>
      </w:r>
      <w:r w:rsidR="005864DB" w:rsidRPr="005864DB">
        <w:rPr>
          <w:vertAlign w:val="superscript"/>
        </w:rPr>
        <w:instrText xml:space="preserve"> NOTEREF _Ref505093446 \h </w:instrText>
      </w:r>
      <w:r w:rsidR="005864DB">
        <w:rPr>
          <w:vertAlign w:val="superscript"/>
        </w:rPr>
        <w:instrText xml:space="preserve"> \* MERGEFORMAT </w:instrText>
      </w:r>
      <w:r w:rsidR="005864DB" w:rsidRPr="005864DB">
        <w:rPr>
          <w:vertAlign w:val="superscript"/>
        </w:rPr>
      </w:r>
      <w:r w:rsidR="005864DB" w:rsidRPr="005864DB">
        <w:rPr>
          <w:vertAlign w:val="superscript"/>
        </w:rPr>
        <w:fldChar w:fldCharType="separate"/>
      </w:r>
      <w:r w:rsidR="0085588F">
        <w:rPr>
          <w:vertAlign w:val="superscript"/>
        </w:rPr>
        <w:t>24</w:t>
      </w:r>
      <w:r w:rsidR="005864DB" w:rsidRPr="005864DB">
        <w:rPr>
          <w:vertAlign w:val="superscript"/>
        </w:rPr>
        <w:fldChar w:fldCharType="end"/>
      </w:r>
      <w:r w:rsidR="005864DB" w:rsidRPr="005864DB">
        <w:rPr>
          <w:vertAlign w:val="superscript"/>
        </w:rPr>
        <w:t>,</w:t>
      </w:r>
      <w:r w:rsidR="005864DB" w:rsidRPr="005864DB">
        <w:rPr>
          <w:vertAlign w:val="superscript"/>
        </w:rPr>
        <w:fldChar w:fldCharType="begin"/>
      </w:r>
      <w:r w:rsidR="005864DB" w:rsidRPr="005864DB">
        <w:rPr>
          <w:vertAlign w:val="superscript"/>
        </w:rPr>
        <w:instrText xml:space="preserve"> NOTEREF _Ref505093448 \h </w:instrText>
      </w:r>
      <w:r w:rsidR="005864DB">
        <w:rPr>
          <w:vertAlign w:val="superscript"/>
        </w:rPr>
        <w:instrText xml:space="preserve"> \* MERGEFORMAT </w:instrText>
      </w:r>
      <w:r w:rsidR="005864DB" w:rsidRPr="005864DB">
        <w:rPr>
          <w:vertAlign w:val="superscript"/>
        </w:rPr>
      </w:r>
      <w:r w:rsidR="005864DB" w:rsidRPr="005864DB">
        <w:rPr>
          <w:vertAlign w:val="superscript"/>
        </w:rPr>
        <w:fldChar w:fldCharType="separate"/>
      </w:r>
      <w:r w:rsidR="0085588F">
        <w:rPr>
          <w:vertAlign w:val="superscript"/>
        </w:rPr>
        <w:t>25</w:t>
      </w:r>
      <w:r w:rsidR="005864DB" w:rsidRPr="005864DB">
        <w:rPr>
          <w:vertAlign w:val="superscript"/>
        </w:rPr>
        <w:fldChar w:fldCharType="end"/>
      </w:r>
      <w:r w:rsidR="00E231C2" w:rsidRPr="00B8122D">
        <w:t xml:space="preserve"> </w:t>
      </w:r>
      <w:r w:rsidR="00E231C2" w:rsidRPr="00CE30E3">
        <w:t>It is actively secreted to the</w:t>
      </w:r>
      <w:r w:rsidRPr="00CE30E3">
        <w:t xml:space="preserve"> intestinal tract probably by </w:t>
      </w:r>
      <w:r w:rsidR="007C0A85" w:rsidRPr="00CE30E3">
        <w:t>P-gp</w:t>
      </w:r>
      <w:r w:rsidR="00E231C2" w:rsidRPr="00CE30E3">
        <w:t xml:space="preserve"> an</w:t>
      </w:r>
      <w:r w:rsidRPr="00CE30E3">
        <w:t xml:space="preserve">d excreted in faeces in rats (9 to </w:t>
      </w:r>
      <w:r w:rsidR="00E231C2" w:rsidRPr="00CE30E3">
        <w:t>18% of an IV dose recovered as unchanged ribociclib in rat faeces), suggesting intestinal secretion plays a role in ribociclib elimination.</w:t>
      </w:r>
      <w:r w:rsidR="00E231C2" w:rsidRPr="00B8122D">
        <w:t xml:space="preserve"> Since ribociclib has moderate passive permeability </w:t>
      </w:r>
      <w:r w:rsidRPr="00B8122D">
        <w:t>as shown in the intestinal Caco-</w:t>
      </w:r>
      <w:r w:rsidR="00E231C2" w:rsidRPr="00B8122D">
        <w:t>2 cell membrane assay, oral absorption is not expected to be sig</w:t>
      </w:r>
      <w:r w:rsidRPr="00B8122D">
        <w:t xml:space="preserve">nificantly affected by </w:t>
      </w:r>
      <w:r w:rsidR="007C0A85" w:rsidRPr="00B8122D">
        <w:t>P-gp</w:t>
      </w:r>
      <w:r w:rsidR="00E231C2" w:rsidRPr="00B8122D">
        <w:t xml:space="preserve"> inhibitors. However, given the intestinal secretion of ribociclib is a significant route of ribociclib clearance (17</w:t>
      </w:r>
      <w:r w:rsidR="00C75FEB">
        <w:t>.3</w:t>
      </w:r>
      <w:r w:rsidR="00E231C2" w:rsidRPr="00B8122D">
        <w:t>% of dose excreted as unchanged riboci</w:t>
      </w:r>
      <w:r w:rsidRPr="00B8122D">
        <w:t xml:space="preserve">clib in human faeces), strong </w:t>
      </w:r>
      <w:r w:rsidR="007C0A85" w:rsidRPr="00B8122D">
        <w:t>P-gp</w:t>
      </w:r>
      <w:r w:rsidR="00E231C2" w:rsidRPr="00B8122D">
        <w:t xml:space="preserve"> inhibitors might increase plasma riboci</w:t>
      </w:r>
      <w:r w:rsidRPr="00B8122D">
        <w:t>clib concentration in patients.</w:t>
      </w:r>
    </w:p>
    <w:p w14:paraId="42BF5330" w14:textId="43FA530E" w:rsidR="00C75FEB" w:rsidRPr="00B8122D" w:rsidRDefault="00C75FEB" w:rsidP="00C75FEB">
      <w:r w:rsidRPr="00B8122D">
        <w:t xml:space="preserve">Ribociclib was shown to be a substrate of OAT but not OATP, OCT </w:t>
      </w:r>
      <w:r w:rsidRPr="00CE30E3">
        <w:t>or NCTP</w:t>
      </w:r>
      <w:r w:rsidRPr="00B8122D">
        <w:t>. However, since it has moderate to high passive permeation into human hepatocytes in vitro, the hepatic uptake of ribociclib is not expected to be significantly affected by OAT inhibitors.</w:t>
      </w:r>
    </w:p>
    <w:p w14:paraId="29C9C87C" w14:textId="5099C383" w:rsidR="00E231C2" w:rsidRPr="00B8122D" w:rsidRDefault="00E231C2" w:rsidP="00C75FEB">
      <w:pPr>
        <w:pStyle w:val="Heading5"/>
      </w:pPr>
      <w:r w:rsidRPr="00B8122D">
        <w:t>Ribociclib as a perpetrator</w:t>
      </w:r>
    </w:p>
    <w:p w14:paraId="3D1D013B" w14:textId="219D949E" w:rsidR="00E231C2" w:rsidRPr="00B8122D" w:rsidRDefault="00E231C2" w:rsidP="00C75FEB">
      <w:r w:rsidRPr="00B8122D">
        <w:t>Ribociclib is moderate to strong irreversible (</w:t>
      </w:r>
      <w:r w:rsidR="003D73CD" w:rsidRPr="00B8122D">
        <w:t>that is,</w:t>
      </w:r>
      <w:r w:rsidR="005864DB">
        <w:t xml:space="preserve"> time </w:t>
      </w:r>
      <w:r w:rsidRPr="00B8122D">
        <w:t>dependent) CYP3A4 inhibitor (discussed above). The major human metabolites LEQ803 and CCI284 are also time-dependent inhibitor</w:t>
      </w:r>
      <w:r w:rsidR="00AD1B01" w:rsidRPr="00B8122D">
        <w:t>s of CYP3A4 (</w:t>
      </w:r>
      <w:r w:rsidR="00AD1B01" w:rsidRPr="00CE30E3">
        <w:t>K</w:t>
      </w:r>
      <w:r w:rsidR="00D70C6C">
        <w:t>I</w:t>
      </w:r>
      <w:r w:rsidR="00AD1B01" w:rsidRPr="00CE30E3">
        <w:t xml:space="preserve"> around </w:t>
      </w:r>
      <w:r w:rsidRPr="00CE30E3">
        <w:t>10 µM and K</w:t>
      </w:r>
      <w:r w:rsidRPr="00CE30E3">
        <w:rPr>
          <w:vertAlign w:val="subscript"/>
        </w:rPr>
        <w:t>inact</w:t>
      </w:r>
      <w:r w:rsidRPr="00CE30E3">
        <w:t xml:space="preserve"> 0.02 min</w:t>
      </w:r>
      <w:r w:rsidRPr="00CE30E3">
        <w:rPr>
          <w:vertAlign w:val="superscript"/>
        </w:rPr>
        <w:t>-1</w:t>
      </w:r>
      <w:r w:rsidRPr="00B8122D">
        <w:t>). Clinically relevant interactions with CYP3A4 substrates are highly likely</w:t>
      </w:r>
      <w:r w:rsidR="00A67536">
        <w:t>)</w:t>
      </w:r>
      <w:r w:rsidRPr="00B8122D">
        <w:t>.</w:t>
      </w:r>
      <w:r w:rsidR="00582E5F">
        <w:t xml:space="preserve"> </w:t>
      </w:r>
      <w:r w:rsidR="00C75FEB" w:rsidRPr="00B8122D">
        <w:t>Warning statements based on the human clinical data have been included in the draft PI.</w:t>
      </w:r>
    </w:p>
    <w:p w14:paraId="1CC51984" w14:textId="27D479D2" w:rsidR="00E231C2" w:rsidRPr="00B8122D" w:rsidRDefault="00E231C2" w:rsidP="00C75FEB">
      <w:r w:rsidRPr="00B8122D">
        <w:t xml:space="preserve">Ribociclib </w:t>
      </w:r>
      <w:r w:rsidRPr="00CE30E3">
        <w:t>and the metabolite CCI284</w:t>
      </w:r>
      <w:r w:rsidRPr="00B8122D">
        <w:t xml:space="preserve"> are reversible inhibit</w:t>
      </w:r>
      <w:r w:rsidR="00AD1B01" w:rsidRPr="00B8122D">
        <w:t xml:space="preserve">ors of CYP1A2 </w:t>
      </w:r>
      <w:r w:rsidR="00AD1B01" w:rsidRPr="00CE30E3">
        <w:t xml:space="preserve">with </w:t>
      </w:r>
      <w:r w:rsidR="004E4287" w:rsidRPr="00B8122D">
        <w:t>K</w:t>
      </w:r>
      <w:r w:rsidR="004E4287" w:rsidRPr="004E4287">
        <w:rPr>
          <w:vertAlign w:val="subscript"/>
        </w:rPr>
        <w:t>i</w:t>
      </w:r>
      <w:r w:rsidR="00AD1B01" w:rsidRPr="00CE30E3">
        <w:t xml:space="preserve"> values 13 </w:t>
      </w:r>
      <w:r w:rsidRPr="00CE30E3">
        <w:t>µM (unbound) and 14 µM (total), respectively, cf. the respective clinical C</w:t>
      </w:r>
      <w:r w:rsidRPr="00CE30E3">
        <w:rPr>
          <w:vertAlign w:val="subscript"/>
        </w:rPr>
        <w:t>max unbound</w:t>
      </w:r>
      <w:r w:rsidRPr="00CE30E3">
        <w:t xml:space="preserve"> of 1.63 µM and 0.11 µM. CYP1A2 was not inhibited by LEQ803</w:t>
      </w:r>
      <w:r w:rsidRPr="00B8122D">
        <w:t xml:space="preserve">. Ribociclib is not expected to have a significant impact on the clearance of CYP1A2 substrates. Ribociclib </w:t>
      </w:r>
      <w:r w:rsidRPr="00CE30E3">
        <w:t xml:space="preserve">and the </w:t>
      </w:r>
      <w:r w:rsidR="00AD1B01" w:rsidRPr="00CE30E3">
        <w:t>2</w:t>
      </w:r>
      <w:r w:rsidRPr="00CE30E3">
        <w:t xml:space="preserve"> metabolites</w:t>
      </w:r>
      <w:r w:rsidRPr="00B8122D">
        <w:t xml:space="preserve"> had no significant or only weak inhibition of CYP2A6, 2B6, 2C8, 2C9, 2C19, 2D6 and 2E1 and did not show enzyme inducing activity of CYPs tested (CYP1A2, 2B6, 2C9 and 3A4) in human hepatocytes in vitro. Ribociclib </w:t>
      </w:r>
      <w:r w:rsidRPr="00CE30E3">
        <w:t>and LEQ803</w:t>
      </w:r>
      <w:r w:rsidRPr="00B8122D">
        <w:t xml:space="preserve"> did not demonstrate inhibitory activity agai</w:t>
      </w:r>
      <w:r w:rsidR="00AD1B01" w:rsidRPr="00B8122D">
        <w:t xml:space="preserve">nst UGT2B7 </w:t>
      </w:r>
      <w:r w:rsidR="00AD1B01" w:rsidRPr="00CE30E3">
        <w:t>(CCI284 not tested)</w:t>
      </w:r>
      <w:r w:rsidR="00AD1B01" w:rsidRPr="00B8122D">
        <w:t>.</w:t>
      </w:r>
    </w:p>
    <w:p w14:paraId="507091B4" w14:textId="4B566808" w:rsidR="00E231C2" w:rsidRPr="00B8122D" w:rsidRDefault="00E231C2" w:rsidP="00E231C2">
      <w:r w:rsidRPr="0085588F">
        <w:rPr>
          <w:i/>
        </w:rPr>
        <w:t>In vitro</w:t>
      </w:r>
      <w:r w:rsidRPr="00B8122D">
        <w:t xml:space="preserve"> studies using mammalian cells expressing human transporters showed that ribociclib and the two major metabolites had no or only weak inh</w:t>
      </w:r>
      <w:r w:rsidR="00AD1B01" w:rsidRPr="00B8122D">
        <w:t xml:space="preserve">ibition of </w:t>
      </w:r>
      <w:r w:rsidR="007C0A85" w:rsidRPr="00B8122D">
        <w:t>P-gp</w:t>
      </w:r>
      <w:r w:rsidRPr="00B8122D">
        <w:t>, MRP2, OATP1B1, OATP1B3, OAT1, OAT3 and MATE2K. Comparisons of the IC</w:t>
      </w:r>
      <w:r w:rsidRPr="00B8122D">
        <w:rPr>
          <w:vertAlign w:val="subscript"/>
        </w:rPr>
        <w:t>50</w:t>
      </w:r>
      <w:r w:rsidRPr="00B8122D">
        <w:t xml:space="preserve"> or </w:t>
      </w:r>
      <w:r w:rsidR="004E4287" w:rsidRPr="00B8122D">
        <w:t>K</w:t>
      </w:r>
      <w:r w:rsidR="004E4287" w:rsidRPr="004E4287">
        <w:rPr>
          <w:vertAlign w:val="subscript"/>
        </w:rPr>
        <w:t>i</w:t>
      </w:r>
      <w:r w:rsidRPr="00B8122D">
        <w:t xml:space="preserve"> values with the unbound clinical </w:t>
      </w:r>
      <w:r w:rsidRPr="00385794">
        <w:t>C</w:t>
      </w:r>
      <w:r w:rsidRPr="00385794">
        <w:rPr>
          <w:vertAlign w:val="subscript"/>
        </w:rPr>
        <w:t>max</w:t>
      </w:r>
      <w:r w:rsidRPr="00385794">
        <w:t xml:space="preserve"> (</w:t>
      </w:r>
      <w:r w:rsidR="00385794" w:rsidRPr="00385794">
        <w:t xml:space="preserve">see Table </w:t>
      </w:r>
      <w:r w:rsidR="00077B6B">
        <w:t>3</w:t>
      </w:r>
      <w:r w:rsidR="007C0A85" w:rsidRPr="00385794">
        <w:t>, below</w:t>
      </w:r>
      <w:r w:rsidRPr="00385794">
        <w:t>) suggest</w:t>
      </w:r>
      <w:r w:rsidRPr="00B8122D">
        <w:t xml:space="preserve"> that clinically relevant inhibition of transporters OCT1, OCT2, MA</w:t>
      </w:r>
      <w:r w:rsidR="007C0A85" w:rsidRPr="00B8122D">
        <w:t>TE1, BCRP and BSEP is possible.</w:t>
      </w:r>
    </w:p>
    <w:p w14:paraId="09927B70" w14:textId="3A2704CA" w:rsidR="00E231C2" w:rsidRPr="00B8122D" w:rsidRDefault="00385794" w:rsidP="003D79AF">
      <w:pPr>
        <w:pStyle w:val="TableTitle"/>
      </w:pPr>
      <w:r>
        <w:lastRenderedPageBreak/>
        <w:t xml:space="preserve">Table </w:t>
      </w:r>
      <w:r w:rsidR="00077B6B">
        <w:t>3:</w:t>
      </w:r>
      <w:r w:rsidR="00E231C2" w:rsidRPr="00B8122D">
        <w:t xml:space="preserve"> Inhibitory activity of ribociclib and metabolites against transporters</w:t>
      </w:r>
    </w:p>
    <w:tbl>
      <w:tblPr>
        <w:tblStyle w:val="TableTGAblue"/>
        <w:tblW w:w="8613" w:type="dxa"/>
        <w:tblLayout w:type="fixed"/>
        <w:tblLook w:val="01E0" w:firstRow="1" w:lastRow="1" w:firstColumn="1" w:lastColumn="1" w:noHBand="0" w:noVBand="0"/>
      </w:tblPr>
      <w:tblGrid>
        <w:gridCol w:w="1668"/>
        <w:gridCol w:w="1134"/>
        <w:gridCol w:w="1275"/>
        <w:gridCol w:w="993"/>
        <w:gridCol w:w="1275"/>
        <w:gridCol w:w="993"/>
        <w:gridCol w:w="1275"/>
      </w:tblGrid>
      <w:tr w:rsidR="007C0A85" w:rsidRPr="004B1FE1" w14:paraId="59B1459D" w14:textId="77777777" w:rsidTr="00142478">
        <w:trPr>
          <w:cnfStyle w:val="100000000000" w:firstRow="1" w:lastRow="0" w:firstColumn="0" w:lastColumn="0" w:oddVBand="0" w:evenVBand="0" w:oddHBand="0" w:evenHBand="0" w:firstRowFirstColumn="0" w:firstRowLastColumn="0" w:lastRowFirstColumn="0" w:lastRowLastColumn="0"/>
          <w:trHeight w:val="234"/>
        </w:trPr>
        <w:tc>
          <w:tcPr>
            <w:tcW w:w="1668" w:type="dxa"/>
            <w:vMerge w:val="restart"/>
          </w:tcPr>
          <w:p w14:paraId="53963162" w14:textId="77777777" w:rsidR="00E231C2" w:rsidRPr="00AF4455" w:rsidRDefault="00E231C2" w:rsidP="004B1FE1">
            <w:pPr>
              <w:ind w:left="0"/>
              <w:rPr>
                <w:b w:val="0"/>
                <w:sz w:val="20"/>
                <w:szCs w:val="20"/>
                <w:lang w:eastAsia="en-US"/>
              </w:rPr>
            </w:pPr>
            <w:r w:rsidRPr="00AF4455">
              <w:rPr>
                <w:sz w:val="20"/>
                <w:szCs w:val="20"/>
              </w:rPr>
              <w:t>Transporter</w:t>
            </w:r>
          </w:p>
        </w:tc>
        <w:tc>
          <w:tcPr>
            <w:tcW w:w="2409" w:type="dxa"/>
            <w:gridSpan w:val="2"/>
          </w:tcPr>
          <w:p w14:paraId="43F15132" w14:textId="77777777" w:rsidR="00E231C2" w:rsidRPr="00AF4455" w:rsidRDefault="00E231C2" w:rsidP="007C0A85">
            <w:pPr>
              <w:keepNext w:val="0"/>
              <w:ind w:left="0" w:right="0"/>
              <w:rPr>
                <w:sz w:val="20"/>
                <w:szCs w:val="20"/>
              </w:rPr>
            </w:pPr>
            <w:r w:rsidRPr="00AF4455">
              <w:rPr>
                <w:sz w:val="20"/>
                <w:szCs w:val="20"/>
              </w:rPr>
              <w:t>Ribociclib</w:t>
            </w:r>
          </w:p>
        </w:tc>
        <w:tc>
          <w:tcPr>
            <w:tcW w:w="2268" w:type="dxa"/>
            <w:gridSpan w:val="2"/>
          </w:tcPr>
          <w:p w14:paraId="1BC4C7C7" w14:textId="77777777" w:rsidR="00E231C2" w:rsidRPr="00AF4455" w:rsidRDefault="00E231C2" w:rsidP="007C0A85">
            <w:pPr>
              <w:keepNext w:val="0"/>
              <w:ind w:left="0" w:right="0"/>
              <w:rPr>
                <w:sz w:val="20"/>
                <w:szCs w:val="20"/>
              </w:rPr>
            </w:pPr>
            <w:r w:rsidRPr="00AF4455">
              <w:rPr>
                <w:sz w:val="20"/>
                <w:szCs w:val="20"/>
              </w:rPr>
              <w:t>LEQ803</w:t>
            </w:r>
          </w:p>
        </w:tc>
        <w:tc>
          <w:tcPr>
            <w:tcW w:w="2268" w:type="dxa"/>
            <w:gridSpan w:val="2"/>
          </w:tcPr>
          <w:p w14:paraId="6730E43F" w14:textId="77777777" w:rsidR="00E231C2" w:rsidRPr="00AF4455" w:rsidRDefault="00E231C2" w:rsidP="007C0A85">
            <w:pPr>
              <w:keepNext w:val="0"/>
              <w:ind w:left="0" w:right="0"/>
              <w:rPr>
                <w:sz w:val="20"/>
                <w:szCs w:val="20"/>
              </w:rPr>
            </w:pPr>
            <w:r w:rsidRPr="00AF4455">
              <w:rPr>
                <w:sz w:val="20"/>
                <w:szCs w:val="20"/>
              </w:rPr>
              <w:t>CCI284</w:t>
            </w:r>
          </w:p>
        </w:tc>
      </w:tr>
      <w:tr w:rsidR="007C0A85" w:rsidRPr="004B1FE1" w14:paraId="5ACB9BAE" w14:textId="77777777" w:rsidTr="00AF4455">
        <w:trPr>
          <w:trHeight w:val="149"/>
        </w:trPr>
        <w:tc>
          <w:tcPr>
            <w:tcW w:w="1668" w:type="dxa"/>
            <w:vMerge/>
            <w:shd w:val="clear" w:color="auto" w:fill="006DA7"/>
          </w:tcPr>
          <w:p w14:paraId="00C87420" w14:textId="77777777" w:rsidR="00E231C2" w:rsidRPr="00AF4455" w:rsidRDefault="00E231C2" w:rsidP="007C0A85">
            <w:pPr>
              <w:rPr>
                <w:color w:val="FFFFFF" w:themeColor="background1"/>
                <w:sz w:val="20"/>
                <w:szCs w:val="20"/>
              </w:rPr>
            </w:pPr>
          </w:p>
        </w:tc>
        <w:tc>
          <w:tcPr>
            <w:tcW w:w="1134" w:type="dxa"/>
            <w:shd w:val="clear" w:color="auto" w:fill="006DA7"/>
          </w:tcPr>
          <w:p w14:paraId="251BAC2B" w14:textId="71776DA6" w:rsidR="00E231C2" w:rsidRPr="0031042A" w:rsidRDefault="00E231C2" w:rsidP="007C0A85">
            <w:pPr>
              <w:rPr>
                <w:b/>
                <w:color w:val="FFFFFF" w:themeColor="background1"/>
                <w:sz w:val="20"/>
                <w:szCs w:val="20"/>
                <w:vertAlign w:val="superscript"/>
              </w:rPr>
            </w:pPr>
            <w:r w:rsidRPr="0031042A">
              <w:rPr>
                <w:b/>
                <w:color w:val="FFFFFF" w:themeColor="background1"/>
                <w:sz w:val="20"/>
                <w:szCs w:val="20"/>
              </w:rPr>
              <w:t>IC</w:t>
            </w:r>
            <w:r w:rsidRPr="0031042A">
              <w:rPr>
                <w:b/>
                <w:color w:val="FFFFFF" w:themeColor="background1"/>
                <w:sz w:val="20"/>
                <w:szCs w:val="20"/>
                <w:vertAlign w:val="subscript"/>
              </w:rPr>
              <w:t>50</w:t>
            </w:r>
            <w:r w:rsidR="007C0A85" w:rsidRPr="0031042A">
              <w:rPr>
                <w:b/>
                <w:color w:val="FFFFFF" w:themeColor="background1"/>
                <w:sz w:val="20"/>
                <w:szCs w:val="20"/>
              </w:rPr>
              <w:t xml:space="preserve"> or K</w:t>
            </w:r>
            <w:r w:rsidR="007C0A85" w:rsidRPr="0031042A">
              <w:rPr>
                <w:b/>
                <w:color w:val="FFFFFF" w:themeColor="background1"/>
                <w:sz w:val="20"/>
                <w:szCs w:val="20"/>
                <w:vertAlign w:val="subscript"/>
              </w:rPr>
              <w:t>i</w:t>
            </w:r>
            <w:r w:rsidR="007C0A85" w:rsidRPr="0031042A">
              <w:rPr>
                <w:b/>
                <w:color w:val="FFFFFF" w:themeColor="background1"/>
                <w:sz w:val="20"/>
                <w:szCs w:val="20"/>
                <w:vertAlign w:val="superscript"/>
              </w:rPr>
              <w:t>1</w:t>
            </w:r>
          </w:p>
        </w:tc>
        <w:tc>
          <w:tcPr>
            <w:tcW w:w="1275" w:type="dxa"/>
            <w:shd w:val="clear" w:color="auto" w:fill="006DA7"/>
          </w:tcPr>
          <w:p w14:paraId="31A8BE79" w14:textId="1007456A" w:rsidR="00E231C2" w:rsidRPr="0031042A" w:rsidRDefault="00E231C2" w:rsidP="007C0A85">
            <w:pPr>
              <w:rPr>
                <w:b/>
                <w:color w:val="FFFFFF" w:themeColor="background1"/>
                <w:sz w:val="20"/>
                <w:szCs w:val="20"/>
                <w:vertAlign w:val="superscript"/>
              </w:rPr>
            </w:pPr>
            <w:r w:rsidRPr="0031042A">
              <w:rPr>
                <w:b/>
                <w:color w:val="FFFFFF" w:themeColor="background1"/>
                <w:sz w:val="20"/>
                <w:szCs w:val="20"/>
              </w:rPr>
              <w:t>IC</w:t>
            </w:r>
            <w:r w:rsidRPr="0031042A">
              <w:rPr>
                <w:b/>
                <w:color w:val="FFFFFF" w:themeColor="background1"/>
                <w:sz w:val="20"/>
                <w:szCs w:val="20"/>
                <w:vertAlign w:val="subscript"/>
              </w:rPr>
              <w:t>50</w:t>
            </w:r>
            <w:r w:rsidRPr="0031042A">
              <w:rPr>
                <w:b/>
                <w:color w:val="FFFFFF" w:themeColor="background1"/>
                <w:sz w:val="20"/>
                <w:szCs w:val="20"/>
              </w:rPr>
              <w:t xml:space="preserve"> or </w:t>
            </w:r>
            <w:r w:rsidR="004E4287" w:rsidRPr="0031042A">
              <w:rPr>
                <w:b/>
                <w:color w:val="FFFFFF" w:themeColor="background1"/>
                <w:sz w:val="20"/>
                <w:szCs w:val="20"/>
              </w:rPr>
              <w:t>K</w:t>
            </w:r>
            <w:r w:rsidR="004E4287" w:rsidRPr="0031042A">
              <w:rPr>
                <w:b/>
                <w:color w:val="FFFFFF" w:themeColor="background1"/>
                <w:sz w:val="20"/>
                <w:szCs w:val="20"/>
                <w:vertAlign w:val="subscript"/>
              </w:rPr>
              <w:t>i</w:t>
            </w:r>
            <w:r w:rsidRPr="0031042A">
              <w:rPr>
                <w:b/>
                <w:color w:val="FFFFFF" w:themeColor="background1"/>
                <w:sz w:val="20"/>
                <w:szCs w:val="20"/>
              </w:rPr>
              <w:t>/C</w:t>
            </w:r>
            <w:r w:rsidRPr="0031042A">
              <w:rPr>
                <w:b/>
                <w:color w:val="FFFFFF" w:themeColor="background1"/>
                <w:sz w:val="20"/>
                <w:szCs w:val="20"/>
                <w:vertAlign w:val="subscript"/>
              </w:rPr>
              <w:t>max</w:t>
            </w:r>
            <w:r w:rsidR="007C0A85" w:rsidRPr="0031042A">
              <w:rPr>
                <w:b/>
                <w:color w:val="FFFFFF" w:themeColor="background1"/>
                <w:sz w:val="20"/>
                <w:szCs w:val="20"/>
              </w:rPr>
              <w:t> </w:t>
            </w:r>
            <w:r w:rsidR="00CC1E78" w:rsidRPr="0031042A">
              <w:rPr>
                <w:b/>
                <w:color w:val="FFFFFF" w:themeColor="background1"/>
                <w:sz w:val="20"/>
                <w:szCs w:val="20"/>
              </w:rPr>
              <w:t>ratio</w:t>
            </w:r>
            <w:r w:rsidR="00CC1E78" w:rsidRPr="0031042A">
              <w:rPr>
                <w:b/>
                <w:color w:val="FFFFFF" w:themeColor="background1"/>
                <w:sz w:val="20"/>
                <w:szCs w:val="20"/>
                <w:vertAlign w:val="superscript"/>
              </w:rPr>
              <w:t>2</w:t>
            </w:r>
          </w:p>
        </w:tc>
        <w:tc>
          <w:tcPr>
            <w:tcW w:w="993" w:type="dxa"/>
            <w:shd w:val="clear" w:color="auto" w:fill="006DA7"/>
          </w:tcPr>
          <w:p w14:paraId="319FE690" w14:textId="3EF2566B" w:rsidR="00E231C2" w:rsidRPr="0031042A" w:rsidRDefault="00E231C2" w:rsidP="007C0A85">
            <w:pPr>
              <w:rPr>
                <w:b/>
                <w:color w:val="FFFFFF" w:themeColor="background1"/>
                <w:sz w:val="20"/>
                <w:szCs w:val="20"/>
                <w:vertAlign w:val="superscript"/>
              </w:rPr>
            </w:pPr>
            <w:r w:rsidRPr="0031042A">
              <w:rPr>
                <w:b/>
                <w:color w:val="FFFFFF" w:themeColor="background1"/>
                <w:sz w:val="20"/>
                <w:szCs w:val="20"/>
              </w:rPr>
              <w:t>IC</w:t>
            </w:r>
            <w:r w:rsidRPr="0031042A">
              <w:rPr>
                <w:b/>
                <w:color w:val="FFFFFF" w:themeColor="background1"/>
                <w:sz w:val="20"/>
                <w:szCs w:val="20"/>
                <w:vertAlign w:val="subscript"/>
              </w:rPr>
              <w:t>50</w:t>
            </w:r>
            <w:r w:rsidR="007C0A85" w:rsidRPr="0031042A">
              <w:rPr>
                <w:b/>
                <w:color w:val="FFFFFF" w:themeColor="background1"/>
                <w:sz w:val="20"/>
                <w:szCs w:val="20"/>
              </w:rPr>
              <w:t xml:space="preserve"> or K</w:t>
            </w:r>
            <w:r w:rsidR="007C0A85" w:rsidRPr="0031042A">
              <w:rPr>
                <w:b/>
                <w:color w:val="FFFFFF" w:themeColor="background1"/>
                <w:sz w:val="20"/>
                <w:szCs w:val="20"/>
                <w:vertAlign w:val="subscript"/>
              </w:rPr>
              <w:t>i</w:t>
            </w:r>
            <w:r w:rsidR="007C0A85" w:rsidRPr="0031042A">
              <w:rPr>
                <w:b/>
                <w:color w:val="FFFFFF" w:themeColor="background1"/>
                <w:sz w:val="20"/>
                <w:szCs w:val="20"/>
                <w:vertAlign w:val="superscript"/>
              </w:rPr>
              <w:t>1</w:t>
            </w:r>
          </w:p>
        </w:tc>
        <w:tc>
          <w:tcPr>
            <w:tcW w:w="1275" w:type="dxa"/>
            <w:shd w:val="clear" w:color="auto" w:fill="006DA7"/>
          </w:tcPr>
          <w:p w14:paraId="5E5CDFCA" w14:textId="214A83DE" w:rsidR="00E231C2" w:rsidRPr="0031042A" w:rsidRDefault="00E231C2" w:rsidP="007C0A85">
            <w:pPr>
              <w:rPr>
                <w:b/>
                <w:color w:val="FFFFFF" w:themeColor="background1"/>
                <w:sz w:val="20"/>
                <w:szCs w:val="20"/>
                <w:vertAlign w:val="superscript"/>
              </w:rPr>
            </w:pPr>
            <w:r w:rsidRPr="0031042A">
              <w:rPr>
                <w:b/>
                <w:color w:val="FFFFFF" w:themeColor="background1"/>
                <w:sz w:val="20"/>
                <w:szCs w:val="20"/>
              </w:rPr>
              <w:t>IC</w:t>
            </w:r>
            <w:r w:rsidRPr="0031042A">
              <w:rPr>
                <w:b/>
                <w:color w:val="FFFFFF" w:themeColor="background1"/>
                <w:sz w:val="20"/>
                <w:szCs w:val="20"/>
                <w:vertAlign w:val="subscript"/>
              </w:rPr>
              <w:t>50</w:t>
            </w:r>
            <w:r w:rsidRPr="0031042A">
              <w:rPr>
                <w:b/>
                <w:color w:val="FFFFFF" w:themeColor="background1"/>
                <w:sz w:val="20"/>
                <w:szCs w:val="20"/>
              </w:rPr>
              <w:t xml:space="preserve"> or </w:t>
            </w:r>
            <w:r w:rsidR="004E4287" w:rsidRPr="0031042A">
              <w:rPr>
                <w:b/>
                <w:color w:val="FFFFFF" w:themeColor="background1"/>
                <w:sz w:val="20"/>
                <w:szCs w:val="20"/>
              </w:rPr>
              <w:t>K</w:t>
            </w:r>
            <w:r w:rsidR="004E4287" w:rsidRPr="0031042A">
              <w:rPr>
                <w:b/>
                <w:color w:val="FFFFFF" w:themeColor="background1"/>
                <w:sz w:val="20"/>
                <w:szCs w:val="20"/>
                <w:vertAlign w:val="subscript"/>
              </w:rPr>
              <w:t>i</w:t>
            </w:r>
            <w:r w:rsidRPr="0031042A">
              <w:rPr>
                <w:b/>
                <w:color w:val="FFFFFF" w:themeColor="background1"/>
                <w:sz w:val="20"/>
                <w:szCs w:val="20"/>
              </w:rPr>
              <w:t>/C</w:t>
            </w:r>
            <w:r w:rsidRPr="0031042A">
              <w:rPr>
                <w:b/>
                <w:color w:val="FFFFFF" w:themeColor="background1"/>
                <w:sz w:val="20"/>
                <w:szCs w:val="20"/>
                <w:vertAlign w:val="subscript"/>
              </w:rPr>
              <w:t>max</w:t>
            </w:r>
            <w:r w:rsidR="007C0A85" w:rsidRPr="0031042A">
              <w:rPr>
                <w:b/>
                <w:color w:val="FFFFFF" w:themeColor="background1"/>
                <w:sz w:val="20"/>
                <w:szCs w:val="20"/>
              </w:rPr>
              <w:t> </w:t>
            </w:r>
            <w:r w:rsidR="00CC1E78" w:rsidRPr="0031042A">
              <w:rPr>
                <w:b/>
                <w:color w:val="FFFFFF" w:themeColor="background1"/>
                <w:sz w:val="20"/>
                <w:szCs w:val="20"/>
              </w:rPr>
              <w:t>ratio</w:t>
            </w:r>
            <w:r w:rsidR="00CC1E78" w:rsidRPr="0031042A">
              <w:rPr>
                <w:b/>
                <w:color w:val="FFFFFF" w:themeColor="background1"/>
                <w:sz w:val="20"/>
                <w:szCs w:val="20"/>
                <w:vertAlign w:val="superscript"/>
              </w:rPr>
              <w:t>2</w:t>
            </w:r>
          </w:p>
        </w:tc>
        <w:tc>
          <w:tcPr>
            <w:tcW w:w="993" w:type="dxa"/>
            <w:shd w:val="clear" w:color="auto" w:fill="006DA7"/>
          </w:tcPr>
          <w:p w14:paraId="2C0236CB" w14:textId="3F546803" w:rsidR="00E231C2" w:rsidRPr="0031042A" w:rsidRDefault="00E231C2" w:rsidP="007C0A85">
            <w:pPr>
              <w:rPr>
                <w:b/>
                <w:color w:val="FFFFFF" w:themeColor="background1"/>
                <w:sz w:val="20"/>
                <w:szCs w:val="20"/>
                <w:vertAlign w:val="superscript"/>
              </w:rPr>
            </w:pPr>
            <w:r w:rsidRPr="0031042A">
              <w:rPr>
                <w:b/>
                <w:color w:val="FFFFFF" w:themeColor="background1"/>
                <w:sz w:val="20"/>
                <w:szCs w:val="20"/>
              </w:rPr>
              <w:t>IC</w:t>
            </w:r>
            <w:r w:rsidRPr="0031042A">
              <w:rPr>
                <w:b/>
                <w:color w:val="FFFFFF" w:themeColor="background1"/>
                <w:sz w:val="20"/>
                <w:szCs w:val="20"/>
                <w:vertAlign w:val="subscript"/>
              </w:rPr>
              <w:t>50</w:t>
            </w:r>
            <w:r w:rsidR="007C0A85" w:rsidRPr="0031042A">
              <w:rPr>
                <w:b/>
                <w:color w:val="FFFFFF" w:themeColor="background1"/>
                <w:sz w:val="20"/>
                <w:szCs w:val="20"/>
              </w:rPr>
              <w:t xml:space="preserve"> or K</w:t>
            </w:r>
            <w:r w:rsidR="007C0A85" w:rsidRPr="0031042A">
              <w:rPr>
                <w:b/>
                <w:color w:val="FFFFFF" w:themeColor="background1"/>
                <w:sz w:val="20"/>
                <w:szCs w:val="20"/>
                <w:vertAlign w:val="subscript"/>
              </w:rPr>
              <w:t>i</w:t>
            </w:r>
            <w:r w:rsidR="007C0A85" w:rsidRPr="0031042A">
              <w:rPr>
                <w:b/>
                <w:color w:val="FFFFFF" w:themeColor="background1"/>
                <w:sz w:val="20"/>
                <w:szCs w:val="20"/>
                <w:vertAlign w:val="superscript"/>
              </w:rPr>
              <w:t>1</w:t>
            </w:r>
          </w:p>
        </w:tc>
        <w:tc>
          <w:tcPr>
            <w:tcW w:w="1275" w:type="dxa"/>
            <w:shd w:val="clear" w:color="auto" w:fill="006DA7"/>
          </w:tcPr>
          <w:p w14:paraId="6BFCC2D7" w14:textId="33D1E483" w:rsidR="00E231C2" w:rsidRPr="0031042A" w:rsidRDefault="00E231C2" w:rsidP="007C0A85">
            <w:pPr>
              <w:rPr>
                <w:b/>
                <w:color w:val="FFFFFF" w:themeColor="background1"/>
                <w:sz w:val="20"/>
                <w:szCs w:val="20"/>
                <w:vertAlign w:val="superscript"/>
              </w:rPr>
            </w:pPr>
            <w:r w:rsidRPr="0031042A">
              <w:rPr>
                <w:b/>
                <w:color w:val="FFFFFF" w:themeColor="background1"/>
                <w:sz w:val="20"/>
                <w:szCs w:val="20"/>
              </w:rPr>
              <w:t>IC</w:t>
            </w:r>
            <w:r w:rsidRPr="0031042A">
              <w:rPr>
                <w:b/>
                <w:color w:val="FFFFFF" w:themeColor="background1"/>
                <w:sz w:val="20"/>
                <w:szCs w:val="20"/>
                <w:vertAlign w:val="subscript"/>
              </w:rPr>
              <w:t>50</w:t>
            </w:r>
            <w:r w:rsidRPr="0031042A">
              <w:rPr>
                <w:b/>
                <w:color w:val="FFFFFF" w:themeColor="background1"/>
                <w:sz w:val="20"/>
                <w:szCs w:val="20"/>
              </w:rPr>
              <w:t xml:space="preserve"> or </w:t>
            </w:r>
            <w:r w:rsidR="004E4287" w:rsidRPr="0031042A">
              <w:rPr>
                <w:b/>
                <w:color w:val="FFFFFF" w:themeColor="background1"/>
                <w:sz w:val="20"/>
                <w:szCs w:val="20"/>
              </w:rPr>
              <w:t>K</w:t>
            </w:r>
            <w:r w:rsidR="004E4287" w:rsidRPr="0031042A">
              <w:rPr>
                <w:b/>
                <w:color w:val="FFFFFF" w:themeColor="background1"/>
                <w:sz w:val="20"/>
                <w:szCs w:val="20"/>
                <w:vertAlign w:val="subscript"/>
              </w:rPr>
              <w:t>i</w:t>
            </w:r>
            <w:r w:rsidRPr="0031042A">
              <w:rPr>
                <w:b/>
                <w:color w:val="FFFFFF" w:themeColor="background1"/>
                <w:sz w:val="20"/>
                <w:szCs w:val="20"/>
              </w:rPr>
              <w:t>/C</w:t>
            </w:r>
            <w:r w:rsidRPr="0031042A">
              <w:rPr>
                <w:b/>
                <w:color w:val="FFFFFF" w:themeColor="background1"/>
                <w:sz w:val="20"/>
                <w:szCs w:val="20"/>
                <w:vertAlign w:val="subscript"/>
              </w:rPr>
              <w:t>max</w:t>
            </w:r>
            <w:r w:rsidR="007C0A85" w:rsidRPr="0031042A">
              <w:rPr>
                <w:b/>
                <w:color w:val="FFFFFF" w:themeColor="background1"/>
                <w:sz w:val="20"/>
                <w:szCs w:val="20"/>
              </w:rPr>
              <w:t> </w:t>
            </w:r>
            <w:r w:rsidR="00CC1E78" w:rsidRPr="0031042A">
              <w:rPr>
                <w:b/>
                <w:color w:val="FFFFFF" w:themeColor="background1"/>
                <w:sz w:val="20"/>
                <w:szCs w:val="20"/>
              </w:rPr>
              <w:t>ratio</w:t>
            </w:r>
            <w:r w:rsidR="00CC1E78" w:rsidRPr="0031042A">
              <w:rPr>
                <w:b/>
                <w:color w:val="FFFFFF" w:themeColor="background1"/>
                <w:sz w:val="20"/>
                <w:szCs w:val="20"/>
                <w:vertAlign w:val="superscript"/>
              </w:rPr>
              <w:t>2</w:t>
            </w:r>
          </w:p>
        </w:tc>
      </w:tr>
      <w:tr w:rsidR="007C0A85" w:rsidRPr="004B1FE1" w14:paraId="0C754DA9" w14:textId="77777777" w:rsidTr="004B1FE1">
        <w:trPr>
          <w:trHeight w:val="194"/>
        </w:trPr>
        <w:tc>
          <w:tcPr>
            <w:tcW w:w="1668" w:type="dxa"/>
          </w:tcPr>
          <w:p w14:paraId="50203980" w14:textId="77777777" w:rsidR="00E231C2" w:rsidRPr="004B1FE1" w:rsidRDefault="00E231C2" w:rsidP="007C0A85">
            <w:pPr>
              <w:rPr>
                <w:sz w:val="20"/>
                <w:szCs w:val="20"/>
              </w:rPr>
            </w:pPr>
            <w:r w:rsidRPr="004B1FE1">
              <w:rPr>
                <w:sz w:val="20"/>
                <w:szCs w:val="20"/>
              </w:rPr>
              <w:t xml:space="preserve">P-gp </w:t>
            </w:r>
          </w:p>
        </w:tc>
        <w:tc>
          <w:tcPr>
            <w:tcW w:w="1134" w:type="dxa"/>
          </w:tcPr>
          <w:p w14:paraId="7F4AD4CA" w14:textId="77777777" w:rsidR="00E231C2" w:rsidRPr="004B1FE1" w:rsidRDefault="00E231C2" w:rsidP="007C0A85">
            <w:pPr>
              <w:rPr>
                <w:sz w:val="20"/>
                <w:szCs w:val="20"/>
              </w:rPr>
            </w:pPr>
            <w:r w:rsidRPr="004B1FE1">
              <w:rPr>
                <w:sz w:val="20"/>
                <w:szCs w:val="20"/>
              </w:rPr>
              <w:t>143</w:t>
            </w:r>
          </w:p>
        </w:tc>
        <w:tc>
          <w:tcPr>
            <w:tcW w:w="1275" w:type="dxa"/>
          </w:tcPr>
          <w:p w14:paraId="74D23BCC" w14:textId="77777777" w:rsidR="00E231C2" w:rsidRPr="004B1FE1" w:rsidRDefault="00E231C2" w:rsidP="007C0A85">
            <w:pPr>
              <w:rPr>
                <w:sz w:val="20"/>
                <w:szCs w:val="20"/>
              </w:rPr>
            </w:pPr>
            <w:r w:rsidRPr="004B1FE1">
              <w:rPr>
                <w:sz w:val="20"/>
                <w:szCs w:val="20"/>
              </w:rPr>
              <w:t>88</w:t>
            </w:r>
          </w:p>
        </w:tc>
        <w:tc>
          <w:tcPr>
            <w:tcW w:w="993" w:type="dxa"/>
          </w:tcPr>
          <w:p w14:paraId="404CE909" w14:textId="77777777" w:rsidR="00E231C2" w:rsidRPr="004B1FE1" w:rsidRDefault="00E231C2" w:rsidP="007C0A85">
            <w:pPr>
              <w:rPr>
                <w:sz w:val="20"/>
                <w:szCs w:val="20"/>
              </w:rPr>
            </w:pPr>
            <w:r w:rsidRPr="004B1FE1">
              <w:rPr>
                <w:sz w:val="20"/>
                <w:szCs w:val="20"/>
              </w:rPr>
              <w:t>37.2</w:t>
            </w:r>
          </w:p>
        </w:tc>
        <w:tc>
          <w:tcPr>
            <w:tcW w:w="1275" w:type="dxa"/>
          </w:tcPr>
          <w:p w14:paraId="6194D5B6" w14:textId="77777777" w:rsidR="00E231C2" w:rsidRPr="004B1FE1" w:rsidRDefault="00E231C2" w:rsidP="007C0A85">
            <w:pPr>
              <w:rPr>
                <w:sz w:val="20"/>
                <w:szCs w:val="20"/>
              </w:rPr>
            </w:pPr>
            <w:r w:rsidRPr="004B1FE1">
              <w:rPr>
                <w:sz w:val="20"/>
                <w:szCs w:val="20"/>
              </w:rPr>
              <w:t>791</w:t>
            </w:r>
          </w:p>
        </w:tc>
        <w:tc>
          <w:tcPr>
            <w:tcW w:w="993" w:type="dxa"/>
          </w:tcPr>
          <w:p w14:paraId="25D77FFC" w14:textId="19029B59" w:rsidR="00E231C2" w:rsidRPr="004B1FE1" w:rsidRDefault="00E231C2" w:rsidP="007C0A85">
            <w:pPr>
              <w:rPr>
                <w:sz w:val="20"/>
                <w:szCs w:val="20"/>
              </w:rPr>
            </w:pPr>
          </w:p>
        </w:tc>
        <w:tc>
          <w:tcPr>
            <w:tcW w:w="1275" w:type="dxa"/>
          </w:tcPr>
          <w:p w14:paraId="5755AA5B" w14:textId="5CFBA23C" w:rsidR="00E231C2" w:rsidRPr="004B1FE1" w:rsidRDefault="00E231C2" w:rsidP="007C0A85">
            <w:pPr>
              <w:rPr>
                <w:sz w:val="20"/>
                <w:szCs w:val="20"/>
              </w:rPr>
            </w:pPr>
          </w:p>
        </w:tc>
      </w:tr>
      <w:tr w:rsidR="007C0A85" w:rsidRPr="004B1FE1" w14:paraId="2EED109E" w14:textId="77777777" w:rsidTr="004B1FE1">
        <w:trPr>
          <w:trHeight w:val="145"/>
        </w:trPr>
        <w:tc>
          <w:tcPr>
            <w:tcW w:w="1668" w:type="dxa"/>
          </w:tcPr>
          <w:p w14:paraId="0B3115C1" w14:textId="77777777" w:rsidR="00E231C2" w:rsidRPr="004B1FE1" w:rsidRDefault="00E231C2" w:rsidP="007C0A85">
            <w:pPr>
              <w:rPr>
                <w:sz w:val="20"/>
                <w:szCs w:val="20"/>
              </w:rPr>
            </w:pPr>
            <w:r w:rsidRPr="004B1FE1">
              <w:rPr>
                <w:sz w:val="20"/>
                <w:szCs w:val="20"/>
              </w:rPr>
              <w:t>BCRP</w:t>
            </w:r>
          </w:p>
        </w:tc>
        <w:tc>
          <w:tcPr>
            <w:tcW w:w="1134" w:type="dxa"/>
          </w:tcPr>
          <w:p w14:paraId="751C39EB" w14:textId="77777777" w:rsidR="00E231C2" w:rsidRPr="004B1FE1" w:rsidRDefault="00E231C2" w:rsidP="007C0A85">
            <w:pPr>
              <w:rPr>
                <w:sz w:val="20"/>
                <w:szCs w:val="20"/>
              </w:rPr>
            </w:pPr>
            <w:r w:rsidRPr="004B1FE1">
              <w:rPr>
                <w:sz w:val="20"/>
                <w:szCs w:val="20"/>
              </w:rPr>
              <w:t>24</w:t>
            </w:r>
          </w:p>
        </w:tc>
        <w:tc>
          <w:tcPr>
            <w:tcW w:w="1275" w:type="dxa"/>
          </w:tcPr>
          <w:p w14:paraId="56E6DE09" w14:textId="77777777" w:rsidR="00E231C2" w:rsidRPr="004B1FE1" w:rsidRDefault="00E231C2" w:rsidP="007C0A85">
            <w:pPr>
              <w:rPr>
                <w:sz w:val="20"/>
                <w:szCs w:val="20"/>
              </w:rPr>
            </w:pPr>
            <w:r w:rsidRPr="004B1FE1">
              <w:rPr>
                <w:sz w:val="20"/>
                <w:szCs w:val="20"/>
              </w:rPr>
              <w:t>15</w:t>
            </w:r>
          </w:p>
        </w:tc>
        <w:tc>
          <w:tcPr>
            <w:tcW w:w="993" w:type="dxa"/>
          </w:tcPr>
          <w:p w14:paraId="71E0EE3C" w14:textId="315C8ADA" w:rsidR="00E231C2" w:rsidRPr="004B1FE1" w:rsidRDefault="00E231C2" w:rsidP="007C0A85">
            <w:pPr>
              <w:rPr>
                <w:sz w:val="20"/>
                <w:szCs w:val="20"/>
              </w:rPr>
            </w:pPr>
          </w:p>
        </w:tc>
        <w:tc>
          <w:tcPr>
            <w:tcW w:w="1275" w:type="dxa"/>
          </w:tcPr>
          <w:p w14:paraId="5D20745F" w14:textId="50B699DB" w:rsidR="00E231C2" w:rsidRPr="004B1FE1" w:rsidRDefault="00E231C2" w:rsidP="007C0A85">
            <w:pPr>
              <w:rPr>
                <w:sz w:val="20"/>
                <w:szCs w:val="20"/>
              </w:rPr>
            </w:pPr>
          </w:p>
        </w:tc>
        <w:tc>
          <w:tcPr>
            <w:tcW w:w="993" w:type="dxa"/>
          </w:tcPr>
          <w:p w14:paraId="411D5507" w14:textId="72766E96" w:rsidR="00E231C2" w:rsidRPr="004B1FE1" w:rsidRDefault="00E231C2" w:rsidP="007C0A85">
            <w:pPr>
              <w:rPr>
                <w:sz w:val="20"/>
                <w:szCs w:val="20"/>
              </w:rPr>
            </w:pPr>
          </w:p>
        </w:tc>
        <w:tc>
          <w:tcPr>
            <w:tcW w:w="1275" w:type="dxa"/>
          </w:tcPr>
          <w:p w14:paraId="1D53B254" w14:textId="3C8BCF4F" w:rsidR="00E231C2" w:rsidRPr="004B1FE1" w:rsidRDefault="00E231C2" w:rsidP="007C0A85">
            <w:pPr>
              <w:rPr>
                <w:sz w:val="20"/>
                <w:szCs w:val="20"/>
              </w:rPr>
            </w:pPr>
          </w:p>
        </w:tc>
      </w:tr>
      <w:tr w:rsidR="007C0A85" w:rsidRPr="004B1FE1" w14:paraId="4EDB6DF0" w14:textId="77777777" w:rsidTr="004B1FE1">
        <w:trPr>
          <w:trHeight w:val="168"/>
        </w:trPr>
        <w:tc>
          <w:tcPr>
            <w:tcW w:w="1668" w:type="dxa"/>
          </w:tcPr>
          <w:p w14:paraId="57A3378B" w14:textId="77777777" w:rsidR="00E231C2" w:rsidRPr="004B1FE1" w:rsidRDefault="00E231C2" w:rsidP="007C0A85">
            <w:pPr>
              <w:rPr>
                <w:sz w:val="20"/>
                <w:szCs w:val="20"/>
              </w:rPr>
            </w:pPr>
            <w:r w:rsidRPr="004B1FE1">
              <w:rPr>
                <w:sz w:val="20"/>
                <w:szCs w:val="20"/>
              </w:rPr>
              <w:t>BSEP</w:t>
            </w:r>
          </w:p>
        </w:tc>
        <w:tc>
          <w:tcPr>
            <w:tcW w:w="1134" w:type="dxa"/>
          </w:tcPr>
          <w:p w14:paraId="2B96A78A" w14:textId="77777777" w:rsidR="00E231C2" w:rsidRPr="004B1FE1" w:rsidRDefault="00E231C2" w:rsidP="007C0A85">
            <w:pPr>
              <w:rPr>
                <w:sz w:val="20"/>
                <w:szCs w:val="20"/>
              </w:rPr>
            </w:pPr>
            <w:r w:rsidRPr="004B1FE1">
              <w:rPr>
                <w:sz w:val="20"/>
                <w:szCs w:val="20"/>
              </w:rPr>
              <w:t>4.7</w:t>
            </w:r>
          </w:p>
        </w:tc>
        <w:tc>
          <w:tcPr>
            <w:tcW w:w="1275" w:type="dxa"/>
          </w:tcPr>
          <w:p w14:paraId="4DA61D04" w14:textId="77777777" w:rsidR="00E231C2" w:rsidRPr="004B1FE1" w:rsidRDefault="00E231C2" w:rsidP="007C0A85">
            <w:pPr>
              <w:rPr>
                <w:sz w:val="20"/>
                <w:szCs w:val="20"/>
              </w:rPr>
            </w:pPr>
            <w:r w:rsidRPr="004B1FE1">
              <w:rPr>
                <w:sz w:val="20"/>
                <w:szCs w:val="20"/>
              </w:rPr>
              <w:t>3</w:t>
            </w:r>
          </w:p>
        </w:tc>
        <w:tc>
          <w:tcPr>
            <w:tcW w:w="993" w:type="dxa"/>
          </w:tcPr>
          <w:p w14:paraId="78B41205" w14:textId="5D9DBE6F" w:rsidR="00E231C2" w:rsidRPr="004B1FE1" w:rsidRDefault="00E231C2" w:rsidP="007C0A85">
            <w:pPr>
              <w:rPr>
                <w:sz w:val="20"/>
                <w:szCs w:val="20"/>
              </w:rPr>
            </w:pPr>
          </w:p>
        </w:tc>
        <w:tc>
          <w:tcPr>
            <w:tcW w:w="1275" w:type="dxa"/>
          </w:tcPr>
          <w:p w14:paraId="2F24356A" w14:textId="08393C35" w:rsidR="00E231C2" w:rsidRPr="004B1FE1" w:rsidRDefault="00E231C2" w:rsidP="007C0A85">
            <w:pPr>
              <w:rPr>
                <w:sz w:val="20"/>
                <w:szCs w:val="20"/>
              </w:rPr>
            </w:pPr>
          </w:p>
        </w:tc>
        <w:tc>
          <w:tcPr>
            <w:tcW w:w="993" w:type="dxa"/>
          </w:tcPr>
          <w:p w14:paraId="1B21F70E" w14:textId="77777777" w:rsidR="00E231C2" w:rsidRPr="004B1FE1" w:rsidRDefault="00E231C2" w:rsidP="007C0A85">
            <w:pPr>
              <w:rPr>
                <w:sz w:val="20"/>
                <w:szCs w:val="20"/>
              </w:rPr>
            </w:pPr>
            <w:r w:rsidRPr="004B1FE1">
              <w:rPr>
                <w:sz w:val="20"/>
                <w:szCs w:val="20"/>
              </w:rPr>
              <w:t>3.93</w:t>
            </w:r>
          </w:p>
        </w:tc>
        <w:tc>
          <w:tcPr>
            <w:tcW w:w="1275" w:type="dxa"/>
          </w:tcPr>
          <w:p w14:paraId="010F9BDF" w14:textId="77777777" w:rsidR="00E231C2" w:rsidRPr="004B1FE1" w:rsidRDefault="00E231C2" w:rsidP="007C0A85">
            <w:pPr>
              <w:rPr>
                <w:sz w:val="20"/>
                <w:szCs w:val="20"/>
              </w:rPr>
            </w:pPr>
            <w:r w:rsidRPr="004B1FE1">
              <w:rPr>
                <w:sz w:val="20"/>
                <w:szCs w:val="20"/>
              </w:rPr>
              <w:t>36</w:t>
            </w:r>
          </w:p>
        </w:tc>
      </w:tr>
      <w:tr w:rsidR="007C0A85" w:rsidRPr="004B1FE1" w14:paraId="0B1A4665" w14:textId="77777777" w:rsidTr="004B1FE1">
        <w:trPr>
          <w:trHeight w:val="168"/>
        </w:trPr>
        <w:tc>
          <w:tcPr>
            <w:tcW w:w="1668" w:type="dxa"/>
          </w:tcPr>
          <w:p w14:paraId="5315654E" w14:textId="77777777" w:rsidR="00E231C2" w:rsidRPr="004B1FE1" w:rsidRDefault="00E231C2" w:rsidP="007C0A85">
            <w:pPr>
              <w:rPr>
                <w:sz w:val="20"/>
                <w:szCs w:val="20"/>
              </w:rPr>
            </w:pPr>
            <w:r w:rsidRPr="004B1FE1">
              <w:rPr>
                <w:sz w:val="20"/>
                <w:szCs w:val="20"/>
              </w:rPr>
              <w:t>OATP1B1</w:t>
            </w:r>
          </w:p>
        </w:tc>
        <w:tc>
          <w:tcPr>
            <w:tcW w:w="1134" w:type="dxa"/>
          </w:tcPr>
          <w:p w14:paraId="76DC53D3" w14:textId="30D15FD3" w:rsidR="00E231C2" w:rsidRPr="004B1FE1" w:rsidRDefault="00C75FEB" w:rsidP="007C0A85">
            <w:pPr>
              <w:rPr>
                <w:sz w:val="20"/>
                <w:szCs w:val="20"/>
              </w:rPr>
            </w:pPr>
            <w:r w:rsidRPr="004B1FE1">
              <w:rPr>
                <w:sz w:val="20"/>
                <w:szCs w:val="20"/>
              </w:rPr>
              <w:t>33.4</w:t>
            </w:r>
          </w:p>
        </w:tc>
        <w:tc>
          <w:tcPr>
            <w:tcW w:w="1275" w:type="dxa"/>
          </w:tcPr>
          <w:p w14:paraId="7D88B478" w14:textId="77777777" w:rsidR="00E231C2" w:rsidRPr="004B1FE1" w:rsidRDefault="00E231C2" w:rsidP="007C0A85">
            <w:pPr>
              <w:rPr>
                <w:sz w:val="20"/>
                <w:szCs w:val="20"/>
              </w:rPr>
            </w:pPr>
            <w:r w:rsidRPr="004B1FE1">
              <w:rPr>
                <w:sz w:val="20"/>
                <w:szCs w:val="20"/>
              </w:rPr>
              <w:t>21</w:t>
            </w:r>
          </w:p>
        </w:tc>
        <w:tc>
          <w:tcPr>
            <w:tcW w:w="993" w:type="dxa"/>
          </w:tcPr>
          <w:p w14:paraId="00805250" w14:textId="36CDA953" w:rsidR="00E231C2" w:rsidRPr="004B1FE1" w:rsidRDefault="00E231C2" w:rsidP="007C0A85">
            <w:pPr>
              <w:rPr>
                <w:sz w:val="20"/>
                <w:szCs w:val="20"/>
              </w:rPr>
            </w:pPr>
          </w:p>
        </w:tc>
        <w:tc>
          <w:tcPr>
            <w:tcW w:w="1275" w:type="dxa"/>
          </w:tcPr>
          <w:p w14:paraId="55E27E22" w14:textId="4E31298E" w:rsidR="00E231C2" w:rsidRPr="004B1FE1" w:rsidRDefault="00E231C2" w:rsidP="007C0A85">
            <w:pPr>
              <w:rPr>
                <w:sz w:val="20"/>
                <w:szCs w:val="20"/>
              </w:rPr>
            </w:pPr>
          </w:p>
        </w:tc>
        <w:tc>
          <w:tcPr>
            <w:tcW w:w="993" w:type="dxa"/>
          </w:tcPr>
          <w:p w14:paraId="6D0DCB99" w14:textId="77777777" w:rsidR="00E231C2" w:rsidRPr="004B1FE1" w:rsidRDefault="00E231C2" w:rsidP="007C0A85">
            <w:pPr>
              <w:rPr>
                <w:sz w:val="20"/>
                <w:szCs w:val="20"/>
              </w:rPr>
            </w:pPr>
            <w:r w:rsidRPr="004B1FE1">
              <w:rPr>
                <w:sz w:val="20"/>
                <w:szCs w:val="20"/>
              </w:rPr>
              <w:t>3.99</w:t>
            </w:r>
          </w:p>
        </w:tc>
        <w:tc>
          <w:tcPr>
            <w:tcW w:w="1275" w:type="dxa"/>
          </w:tcPr>
          <w:p w14:paraId="45488B71" w14:textId="77777777" w:rsidR="00E231C2" w:rsidRPr="004B1FE1" w:rsidRDefault="00E231C2" w:rsidP="007C0A85">
            <w:pPr>
              <w:rPr>
                <w:sz w:val="20"/>
                <w:szCs w:val="20"/>
              </w:rPr>
            </w:pPr>
            <w:r w:rsidRPr="004B1FE1">
              <w:rPr>
                <w:sz w:val="20"/>
                <w:szCs w:val="20"/>
              </w:rPr>
              <w:t>36</w:t>
            </w:r>
          </w:p>
        </w:tc>
      </w:tr>
      <w:tr w:rsidR="007C0A85" w:rsidRPr="004B1FE1" w14:paraId="493C66DC" w14:textId="77777777" w:rsidTr="004B1FE1">
        <w:trPr>
          <w:trHeight w:val="168"/>
        </w:trPr>
        <w:tc>
          <w:tcPr>
            <w:tcW w:w="1668" w:type="dxa"/>
          </w:tcPr>
          <w:p w14:paraId="0A0B4A17" w14:textId="77777777" w:rsidR="00E231C2" w:rsidRPr="004B1FE1" w:rsidRDefault="00E231C2" w:rsidP="007C0A85">
            <w:pPr>
              <w:rPr>
                <w:sz w:val="20"/>
                <w:szCs w:val="20"/>
              </w:rPr>
            </w:pPr>
            <w:r w:rsidRPr="004B1FE1">
              <w:rPr>
                <w:sz w:val="20"/>
                <w:szCs w:val="20"/>
              </w:rPr>
              <w:t>OCT1</w:t>
            </w:r>
          </w:p>
        </w:tc>
        <w:tc>
          <w:tcPr>
            <w:tcW w:w="1134" w:type="dxa"/>
          </w:tcPr>
          <w:p w14:paraId="6E260D13" w14:textId="125915BD" w:rsidR="00E231C2" w:rsidRPr="004B1FE1" w:rsidRDefault="00C75FEB" w:rsidP="00C75FEB">
            <w:pPr>
              <w:rPr>
                <w:sz w:val="20"/>
                <w:szCs w:val="20"/>
              </w:rPr>
            </w:pPr>
            <w:r w:rsidRPr="004B1FE1">
              <w:rPr>
                <w:sz w:val="20"/>
                <w:szCs w:val="20"/>
              </w:rPr>
              <w:t>17.3</w:t>
            </w:r>
          </w:p>
        </w:tc>
        <w:tc>
          <w:tcPr>
            <w:tcW w:w="1275" w:type="dxa"/>
          </w:tcPr>
          <w:p w14:paraId="44D07EFF" w14:textId="77777777" w:rsidR="00E231C2" w:rsidRPr="004B1FE1" w:rsidRDefault="00E231C2" w:rsidP="007C0A85">
            <w:pPr>
              <w:rPr>
                <w:sz w:val="20"/>
                <w:szCs w:val="20"/>
              </w:rPr>
            </w:pPr>
            <w:r w:rsidRPr="004B1FE1">
              <w:rPr>
                <w:sz w:val="20"/>
                <w:szCs w:val="20"/>
              </w:rPr>
              <w:t>11</w:t>
            </w:r>
          </w:p>
        </w:tc>
        <w:tc>
          <w:tcPr>
            <w:tcW w:w="993" w:type="dxa"/>
          </w:tcPr>
          <w:p w14:paraId="0DA4E876" w14:textId="77777777" w:rsidR="00E231C2" w:rsidRPr="004B1FE1" w:rsidRDefault="00E231C2" w:rsidP="007C0A85">
            <w:pPr>
              <w:rPr>
                <w:sz w:val="20"/>
                <w:szCs w:val="20"/>
              </w:rPr>
            </w:pPr>
            <w:r w:rsidRPr="004B1FE1">
              <w:rPr>
                <w:sz w:val="20"/>
                <w:szCs w:val="20"/>
              </w:rPr>
              <w:t>6.39</w:t>
            </w:r>
          </w:p>
        </w:tc>
        <w:tc>
          <w:tcPr>
            <w:tcW w:w="1275" w:type="dxa"/>
          </w:tcPr>
          <w:p w14:paraId="0A76B8F5" w14:textId="77777777" w:rsidR="00E231C2" w:rsidRPr="004B1FE1" w:rsidRDefault="00E231C2" w:rsidP="007C0A85">
            <w:pPr>
              <w:rPr>
                <w:sz w:val="20"/>
                <w:szCs w:val="20"/>
              </w:rPr>
            </w:pPr>
            <w:r w:rsidRPr="004B1FE1">
              <w:rPr>
                <w:sz w:val="20"/>
                <w:szCs w:val="20"/>
              </w:rPr>
              <w:t>136</w:t>
            </w:r>
          </w:p>
        </w:tc>
        <w:tc>
          <w:tcPr>
            <w:tcW w:w="993" w:type="dxa"/>
          </w:tcPr>
          <w:p w14:paraId="07A24A6D" w14:textId="77777777" w:rsidR="00E231C2" w:rsidRPr="004B1FE1" w:rsidRDefault="00E231C2" w:rsidP="007C0A85">
            <w:pPr>
              <w:rPr>
                <w:sz w:val="20"/>
                <w:szCs w:val="20"/>
              </w:rPr>
            </w:pPr>
            <w:r w:rsidRPr="004B1FE1">
              <w:rPr>
                <w:sz w:val="20"/>
                <w:szCs w:val="20"/>
              </w:rPr>
              <w:t>3.50</w:t>
            </w:r>
          </w:p>
        </w:tc>
        <w:tc>
          <w:tcPr>
            <w:tcW w:w="1275" w:type="dxa"/>
          </w:tcPr>
          <w:p w14:paraId="780DECA5" w14:textId="77777777" w:rsidR="00E231C2" w:rsidRPr="004B1FE1" w:rsidRDefault="00E231C2" w:rsidP="007C0A85">
            <w:pPr>
              <w:rPr>
                <w:sz w:val="20"/>
                <w:szCs w:val="20"/>
              </w:rPr>
            </w:pPr>
            <w:r w:rsidRPr="004B1FE1">
              <w:rPr>
                <w:sz w:val="20"/>
                <w:szCs w:val="20"/>
              </w:rPr>
              <w:t>32</w:t>
            </w:r>
          </w:p>
        </w:tc>
      </w:tr>
      <w:tr w:rsidR="007C0A85" w:rsidRPr="004B1FE1" w14:paraId="7646AF60" w14:textId="77777777" w:rsidTr="004B1FE1">
        <w:trPr>
          <w:trHeight w:val="168"/>
        </w:trPr>
        <w:tc>
          <w:tcPr>
            <w:tcW w:w="1668" w:type="dxa"/>
          </w:tcPr>
          <w:p w14:paraId="2D42D592" w14:textId="77777777" w:rsidR="00E231C2" w:rsidRPr="004B1FE1" w:rsidRDefault="00E231C2" w:rsidP="007C0A85">
            <w:pPr>
              <w:rPr>
                <w:sz w:val="20"/>
                <w:szCs w:val="20"/>
              </w:rPr>
            </w:pPr>
            <w:r w:rsidRPr="004B1FE1">
              <w:rPr>
                <w:sz w:val="20"/>
                <w:szCs w:val="20"/>
              </w:rPr>
              <w:t>OCT2</w:t>
            </w:r>
          </w:p>
        </w:tc>
        <w:tc>
          <w:tcPr>
            <w:tcW w:w="1134" w:type="dxa"/>
          </w:tcPr>
          <w:p w14:paraId="78081F19" w14:textId="77777777" w:rsidR="00E231C2" w:rsidRPr="004B1FE1" w:rsidRDefault="00E231C2" w:rsidP="007C0A85">
            <w:pPr>
              <w:rPr>
                <w:sz w:val="20"/>
                <w:szCs w:val="20"/>
              </w:rPr>
            </w:pPr>
            <w:r w:rsidRPr="004B1FE1">
              <w:rPr>
                <w:sz w:val="20"/>
                <w:szCs w:val="20"/>
              </w:rPr>
              <w:t>1.9</w:t>
            </w:r>
          </w:p>
        </w:tc>
        <w:tc>
          <w:tcPr>
            <w:tcW w:w="1275" w:type="dxa"/>
          </w:tcPr>
          <w:p w14:paraId="6A9DF2D9" w14:textId="77777777" w:rsidR="00E231C2" w:rsidRPr="004B1FE1" w:rsidRDefault="00E231C2" w:rsidP="007C0A85">
            <w:pPr>
              <w:rPr>
                <w:sz w:val="20"/>
                <w:szCs w:val="20"/>
              </w:rPr>
            </w:pPr>
            <w:r w:rsidRPr="004B1FE1">
              <w:rPr>
                <w:sz w:val="20"/>
                <w:szCs w:val="20"/>
              </w:rPr>
              <w:t>1.2</w:t>
            </w:r>
          </w:p>
        </w:tc>
        <w:tc>
          <w:tcPr>
            <w:tcW w:w="993" w:type="dxa"/>
          </w:tcPr>
          <w:p w14:paraId="487A56E8" w14:textId="77777777" w:rsidR="00E231C2" w:rsidRPr="004B1FE1" w:rsidRDefault="00E231C2" w:rsidP="007C0A85">
            <w:pPr>
              <w:rPr>
                <w:sz w:val="20"/>
                <w:szCs w:val="20"/>
              </w:rPr>
            </w:pPr>
            <w:r w:rsidRPr="004B1FE1">
              <w:rPr>
                <w:sz w:val="20"/>
                <w:szCs w:val="20"/>
              </w:rPr>
              <w:t>2.16</w:t>
            </w:r>
          </w:p>
        </w:tc>
        <w:tc>
          <w:tcPr>
            <w:tcW w:w="1275" w:type="dxa"/>
          </w:tcPr>
          <w:p w14:paraId="1864E796" w14:textId="77777777" w:rsidR="00E231C2" w:rsidRPr="004B1FE1" w:rsidRDefault="00E231C2" w:rsidP="007C0A85">
            <w:pPr>
              <w:rPr>
                <w:sz w:val="20"/>
                <w:szCs w:val="20"/>
              </w:rPr>
            </w:pPr>
            <w:r w:rsidRPr="004B1FE1">
              <w:rPr>
                <w:sz w:val="20"/>
                <w:szCs w:val="20"/>
              </w:rPr>
              <w:t>46</w:t>
            </w:r>
          </w:p>
        </w:tc>
        <w:tc>
          <w:tcPr>
            <w:tcW w:w="993" w:type="dxa"/>
          </w:tcPr>
          <w:p w14:paraId="72152F25" w14:textId="77777777" w:rsidR="00E231C2" w:rsidRPr="004B1FE1" w:rsidRDefault="00E231C2" w:rsidP="007C0A85">
            <w:pPr>
              <w:rPr>
                <w:sz w:val="20"/>
                <w:szCs w:val="20"/>
              </w:rPr>
            </w:pPr>
            <w:r w:rsidRPr="004B1FE1">
              <w:rPr>
                <w:sz w:val="20"/>
                <w:szCs w:val="20"/>
              </w:rPr>
              <w:t>1.01</w:t>
            </w:r>
          </w:p>
        </w:tc>
        <w:tc>
          <w:tcPr>
            <w:tcW w:w="1275" w:type="dxa"/>
          </w:tcPr>
          <w:p w14:paraId="31BE8D7D" w14:textId="77777777" w:rsidR="00E231C2" w:rsidRPr="004B1FE1" w:rsidRDefault="00E231C2" w:rsidP="007C0A85">
            <w:pPr>
              <w:rPr>
                <w:sz w:val="20"/>
                <w:szCs w:val="20"/>
              </w:rPr>
            </w:pPr>
            <w:r w:rsidRPr="004B1FE1">
              <w:rPr>
                <w:sz w:val="20"/>
                <w:szCs w:val="20"/>
              </w:rPr>
              <w:t>9</w:t>
            </w:r>
          </w:p>
        </w:tc>
      </w:tr>
      <w:tr w:rsidR="007C0A85" w:rsidRPr="004B1FE1" w14:paraId="43802647" w14:textId="77777777" w:rsidTr="004B1FE1">
        <w:trPr>
          <w:trHeight w:val="168"/>
        </w:trPr>
        <w:tc>
          <w:tcPr>
            <w:tcW w:w="1668" w:type="dxa"/>
          </w:tcPr>
          <w:p w14:paraId="10C2F435" w14:textId="77777777" w:rsidR="00E231C2" w:rsidRPr="004B1FE1" w:rsidRDefault="00E231C2" w:rsidP="007C0A85">
            <w:pPr>
              <w:rPr>
                <w:sz w:val="20"/>
                <w:szCs w:val="20"/>
              </w:rPr>
            </w:pPr>
            <w:r w:rsidRPr="004B1FE1">
              <w:rPr>
                <w:sz w:val="20"/>
                <w:szCs w:val="20"/>
              </w:rPr>
              <w:t>MATE1</w:t>
            </w:r>
          </w:p>
        </w:tc>
        <w:tc>
          <w:tcPr>
            <w:tcW w:w="1134" w:type="dxa"/>
          </w:tcPr>
          <w:p w14:paraId="221F5253" w14:textId="77777777" w:rsidR="00E231C2" w:rsidRPr="004B1FE1" w:rsidRDefault="00E231C2" w:rsidP="007C0A85">
            <w:pPr>
              <w:rPr>
                <w:sz w:val="20"/>
                <w:szCs w:val="20"/>
              </w:rPr>
            </w:pPr>
            <w:r w:rsidRPr="004B1FE1">
              <w:rPr>
                <w:sz w:val="20"/>
                <w:szCs w:val="20"/>
              </w:rPr>
              <w:t>1.7</w:t>
            </w:r>
          </w:p>
        </w:tc>
        <w:tc>
          <w:tcPr>
            <w:tcW w:w="1275" w:type="dxa"/>
          </w:tcPr>
          <w:p w14:paraId="26A5EF0E" w14:textId="77777777" w:rsidR="00E231C2" w:rsidRPr="004B1FE1" w:rsidRDefault="00E231C2" w:rsidP="007C0A85">
            <w:pPr>
              <w:rPr>
                <w:sz w:val="20"/>
                <w:szCs w:val="20"/>
              </w:rPr>
            </w:pPr>
            <w:r w:rsidRPr="004B1FE1">
              <w:rPr>
                <w:sz w:val="20"/>
                <w:szCs w:val="20"/>
              </w:rPr>
              <w:t>1.0</w:t>
            </w:r>
          </w:p>
        </w:tc>
        <w:tc>
          <w:tcPr>
            <w:tcW w:w="993" w:type="dxa"/>
          </w:tcPr>
          <w:p w14:paraId="46D0A8B4" w14:textId="77777777" w:rsidR="00E231C2" w:rsidRPr="004B1FE1" w:rsidRDefault="00E231C2" w:rsidP="007C0A85">
            <w:pPr>
              <w:rPr>
                <w:sz w:val="20"/>
                <w:szCs w:val="20"/>
              </w:rPr>
            </w:pPr>
            <w:r w:rsidRPr="004B1FE1">
              <w:rPr>
                <w:sz w:val="20"/>
                <w:szCs w:val="20"/>
              </w:rPr>
              <w:t>0.28</w:t>
            </w:r>
          </w:p>
        </w:tc>
        <w:tc>
          <w:tcPr>
            <w:tcW w:w="1275" w:type="dxa"/>
          </w:tcPr>
          <w:p w14:paraId="4DE4D935" w14:textId="77777777" w:rsidR="00E231C2" w:rsidRPr="004B1FE1" w:rsidRDefault="00E231C2" w:rsidP="007C0A85">
            <w:pPr>
              <w:rPr>
                <w:sz w:val="20"/>
                <w:szCs w:val="20"/>
              </w:rPr>
            </w:pPr>
            <w:r w:rsidRPr="004B1FE1">
              <w:rPr>
                <w:sz w:val="20"/>
                <w:szCs w:val="20"/>
              </w:rPr>
              <w:t>6</w:t>
            </w:r>
          </w:p>
        </w:tc>
        <w:tc>
          <w:tcPr>
            <w:tcW w:w="993" w:type="dxa"/>
          </w:tcPr>
          <w:p w14:paraId="5F6D9B98" w14:textId="77777777" w:rsidR="00E231C2" w:rsidRPr="004B1FE1" w:rsidRDefault="00E231C2" w:rsidP="007C0A85">
            <w:pPr>
              <w:rPr>
                <w:sz w:val="20"/>
                <w:szCs w:val="20"/>
              </w:rPr>
            </w:pPr>
            <w:r w:rsidRPr="004B1FE1">
              <w:rPr>
                <w:sz w:val="20"/>
                <w:szCs w:val="20"/>
              </w:rPr>
              <w:t>0.58</w:t>
            </w:r>
          </w:p>
        </w:tc>
        <w:tc>
          <w:tcPr>
            <w:tcW w:w="1275" w:type="dxa"/>
          </w:tcPr>
          <w:p w14:paraId="0AF71227" w14:textId="77777777" w:rsidR="00E231C2" w:rsidRPr="004B1FE1" w:rsidRDefault="00E231C2" w:rsidP="007C0A85">
            <w:pPr>
              <w:rPr>
                <w:sz w:val="20"/>
                <w:szCs w:val="20"/>
              </w:rPr>
            </w:pPr>
            <w:r w:rsidRPr="004B1FE1">
              <w:rPr>
                <w:sz w:val="20"/>
                <w:szCs w:val="20"/>
              </w:rPr>
              <w:t>5</w:t>
            </w:r>
          </w:p>
        </w:tc>
      </w:tr>
      <w:tr w:rsidR="007C0A85" w:rsidRPr="004B1FE1" w14:paraId="193A589D" w14:textId="77777777" w:rsidTr="004B1FE1">
        <w:trPr>
          <w:trHeight w:val="168"/>
        </w:trPr>
        <w:tc>
          <w:tcPr>
            <w:tcW w:w="1668" w:type="dxa"/>
          </w:tcPr>
          <w:p w14:paraId="26494FE8" w14:textId="77777777" w:rsidR="00E231C2" w:rsidRPr="004B1FE1" w:rsidRDefault="00E231C2" w:rsidP="007C0A85">
            <w:pPr>
              <w:rPr>
                <w:sz w:val="20"/>
                <w:szCs w:val="20"/>
              </w:rPr>
            </w:pPr>
            <w:r w:rsidRPr="004B1FE1">
              <w:rPr>
                <w:sz w:val="20"/>
                <w:szCs w:val="20"/>
              </w:rPr>
              <w:t>MATE2K</w:t>
            </w:r>
          </w:p>
        </w:tc>
        <w:tc>
          <w:tcPr>
            <w:tcW w:w="1134" w:type="dxa"/>
          </w:tcPr>
          <w:p w14:paraId="658B3026" w14:textId="77777777" w:rsidR="00E231C2" w:rsidRPr="004B1FE1" w:rsidRDefault="00E231C2" w:rsidP="007C0A85">
            <w:pPr>
              <w:rPr>
                <w:sz w:val="20"/>
                <w:szCs w:val="20"/>
              </w:rPr>
            </w:pPr>
            <w:r w:rsidRPr="004B1FE1">
              <w:rPr>
                <w:sz w:val="20"/>
                <w:szCs w:val="20"/>
              </w:rPr>
              <w:t>30.7</w:t>
            </w:r>
          </w:p>
        </w:tc>
        <w:tc>
          <w:tcPr>
            <w:tcW w:w="1275" w:type="dxa"/>
          </w:tcPr>
          <w:p w14:paraId="27C31CD7" w14:textId="77777777" w:rsidR="00E231C2" w:rsidRPr="004B1FE1" w:rsidRDefault="00E231C2" w:rsidP="007C0A85">
            <w:pPr>
              <w:rPr>
                <w:sz w:val="20"/>
                <w:szCs w:val="20"/>
              </w:rPr>
            </w:pPr>
            <w:r w:rsidRPr="004B1FE1">
              <w:rPr>
                <w:sz w:val="20"/>
                <w:szCs w:val="20"/>
              </w:rPr>
              <w:t>19</w:t>
            </w:r>
          </w:p>
        </w:tc>
        <w:tc>
          <w:tcPr>
            <w:tcW w:w="993" w:type="dxa"/>
          </w:tcPr>
          <w:p w14:paraId="03362153" w14:textId="77777777" w:rsidR="00E231C2" w:rsidRPr="004B1FE1" w:rsidRDefault="00E231C2" w:rsidP="007C0A85">
            <w:pPr>
              <w:rPr>
                <w:sz w:val="20"/>
                <w:szCs w:val="20"/>
              </w:rPr>
            </w:pPr>
            <w:r w:rsidRPr="004B1FE1">
              <w:rPr>
                <w:sz w:val="20"/>
                <w:szCs w:val="20"/>
              </w:rPr>
              <w:t>2.09</w:t>
            </w:r>
          </w:p>
        </w:tc>
        <w:tc>
          <w:tcPr>
            <w:tcW w:w="1275" w:type="dxa"/>
          </w:tcPr>
          <w:p w14:paraId="4EA92FFD" w14:textId="77777777" w:rsidR="00E231C2" w:rsidRPr="004B1FE1" w:rsidRDefault="00E231C2" w:rsidP="007C0A85">
            <w:pPr>
              <w:rPr>
                <w:sz w:val="20"/>
                <w:szCs w:val="20"/>
              </w:rPr>
            </w:pPr>
            <w:r w:rsidRPr="004B1FE1">
              <w:rPr>
                <w:sz w:val="20"/>
                <w:szCs w:val="20"/>
              </w:rPr>
              <w:t>44</w:t>
            </w:r>
          </w:p>
        </w:tc>
        <w:tc>
          <w:tcPr>
            <w:tcW w:w="993" w:type="dxa"/>
          </w:tcPr>
          <w:p w14:paraId="4BA2D7A6" w14:textId="77777777" w:rsidR="00E231C2" w:rsidRPr="004B1FE1" w:rsidRDefault="00E231C2" w:rsidP="007C0A85">
            <w:pPr>
              <w:rPr>
                <w:sz w:val="20"/>
                <w:szCs w:val="20"/>
              </w:rPr>
            </w:pPr>
            <w:r w:rsidRPr="004B1FE1">
              <w:rPr>
                <w:sz w:val="20"/>
                <w:szCs w:val="20"/>
              </w:rPr>
              <w:t>6.2</w:t>
            </w:r>
          </w:p>
        </w:tc>
        <w:tc>
          <w:tcPr>
            <w:tcW w:w="1275" w:type="dxa"/>
          </w:tcPr>
          <w:p w14:paraId="4137EAE0" w14:textId="77777777" w:rsidR="00E231C2" w:rsidRPr="004B1FE1" w:rsidRDefault="00E231C2" w:rsidP="007C0A85">
            <w:pPr>
              <w:rPr>
                <w:sz w:val="20"/>
                <w:szCs w:val="20"/>
              </w:rPr>
            </w:pPr>
            <w:r w:rsidRPr="004B1FE1">
              <w:rPr>
                <w:sz w:val="20"/>
                <w:szCs w:val="20"/>
              </w:rPr>
              <w:t>56</w:t>
            </w:r>
          </w:p>
        </w:tc>
      </w:tr>
    </w:tbl>
    <w:p w14:paraId="346B5BD0" w14:textId="08774A35" w:rsidR="004334C7" w:rsidRPr="00B8122D" w:rsidRDefault="007C0A85" w:rsidP="00CC1E78">
      <w:pPr>
        <w:pStyle w:val="TableDescription"/>
      </w:pPr>
      <w:r w:rsidRPr="00B8122D">
        <w:t>1)</w:t>
      </w:r>
      <w:r w:rsidR="00CC1E78" w:rsidRPr="00B8122D">
        <w:t xml:space="preserve"> </w:t>
      </w:r>
      <w:r w:rsidR="004E4287" w:rsidRPr="00B8122D">
        <w:t>K</w:t>
      </w:r>
      <w:r w:rsidR="004E4287" w:rsidRPr="004E4287">
        <w:rPr>
          <w:vertAlign w:val="subscript"/>
        </w:rPr>
        <w:t>i</w:t>
      </w:r>
      <w:r w:rsidR="00CC1E78" w:rsidRPr="00B8122D">
        <w:t xml:space="preserve"> is shown where available. 2)</w:t>
      </w:r>
      <w:r w:rsidR="00E231C2" w:rsidRPr="00B8122D">
        <w:t xml:space="preserve"> Free fraction clinical C</w:t>
      </w:r>
      <w:r w:rsidR="00E231C2" w:rsidRPr="00B8122D">
        <w:rPr>
          <w:vertAlign w:val="subscript"/>
        </w:rPr>
        <w:t>max</w:t>
      </w:r>
      <w:r w:rsidR="00E231C2" w:rsidRPr="00B8122D">
        <w:t xml:space="preserve"> of 1.63 µM</w:t>
      </w:r>
      <w:r w:rsidR="00CC1E78" w:rsidRPr="00B8122D">
        <w:t xml:space="preserve"> ribociclib, 0.047 </w:t>
      </w:r>
      <w:r w:rsidR="00E231C2" w:rsidRPr="00B8122D">
        <w:t xml:space="preserve">µM LEQ803, and 0.11 µM CCI284. </w:t>
      </w:r>
      <w:r w:rsidR="00CC1E78" w:rsidRPr="00B8122D">
        <w:t xml:space="preserve">Note, empty cells indicate </w:t>
      </w:r>
      <w:r w:rsidR="00E231C2" w:rsidRPr="00B8122D">
        <w:t>no or weak inhibition at the highest concentration tested (50</w:t>
      </w:r>
      <w:r w:rsidR="001521D1">
        <w:t> </w:t>
      </w:r>
      <w:r w:rsidR="00E231C2" w:rsidRPr="00B8122D">
        <w:t xml:space="preserve">µM). Ratios in bold indicate potential for clinically relevant </w:t>
      </w:r>
      <w:bookmarkStart w:id="59" w:name="_Toc247691514"/>
      <w:bookmarkStart w:id="60" w:name="_Toc314842498"/>
      <w:r w:rsidR="00CC1E78" w:rsidRPr="00B8122D">
        <w:t>inhibition of the transporters.</w:t>
      </w:r>
    </w:p>
    <w:p w14:paraId="15AE0592" w14:textId="77777777" w:rsidR="001B5C90" w:rsidRPr="00B8122D" w:rsidRDefault="008E7846" w:rsidP="001B5C90">
      <w:pPr>
        <w:pStyle w:val="Heading3"/>
      </w:pPr>
      <w:bookmarkStart w:id="61" w:name="_Toc44685900"/>
      <w:r w:rsidRPr="00B8122D">
        <w:t>Toxicology</w:t>
      </w:r>
      <w:bookmarkEnd w:id="59"/>
      <w:bookmarkEnd w:id="60"/>
      <w:bookmarkEnd w:id="61"/>
    </w:p>
    <w:p w14:paraId="5EF91E4B" w14:textId="77777777" w:rsidR="00E231C2" w:rsidRPr="00B8122D" w:rsidRDefault="00E231C2" w:rsidP="00CC1E78">
      <w:pPr>
        <w:pStyle w:val="Heading4"/>
      </w:pPr>
      <w:bookmarkStart w:id="62" w:name="_Toc294861727"/>
      <w:r w:rsidRPr="00B8122D">
        <w:t>Acute toxicity</w:t>
      </w:r>
      <w:bookmarkEnd w:id="62"/>
    </w:p>
    <w:p w14:paraId="160C17D6" w14:textId="37A1B8D3" w:rsidR="00E231C2" w:rsidRPr="00B8122D" w:rsidRDefault="00CC1E78" w:rsidP="00E231C2">
      <w:r w:rsidRPr="00B8122D">
        <w:t xml:space="preserve">Oral and IV single </w:t>
      </w:r>
      <w:r w:rsidR="00E231C2" w:rsidRPr="00B8122D">
        <w:t>dose studies were performed only in dogs with only on</w:t>
      </w:r>
      <w:r w:rsidRPr="00B8122D">
        <w:t xml:space="preserve">e animal per sex per dose. Dose </w:t>
      </w:r>
      <w:r w:rsidR="00E231C2" w:rsidRPr="00B8122D">
        <w:t>dep</w:t>
      </w:r>
      <w:r w:rsidRPr="00B8122D">
        <w:t xml:space="preserve">endent emesis was observed. The </w:t>
      </w:r>
      <w:r w:rsidR="00E231C2" w:rsidRPr="00B8122D">
        <w:t xml:space="preserve">maximum tolerated </w:t>
      </w:r>
      <w:r w:rsidRPr="00B8122D">
        <w:t>oral dose was 100 mg/kg (approximately equal to 5 x</w:t>
      </w:r>
      <w:r w:rsidR="00E231C2" w:rsidRPr="00B8122D">
        <w:t xml:space="preserve"> the clin</w:t>
      </w:r>
      <w:r w:rsidRPr="00B8122D">
        <w:t xml:space="preserve">ical dose by body surface </w:t>
      </w:r>
      <w:r w:rsidRPr="005864DB">
        <w:t>area (BSA)</w:t>
      </w:r>
      <w:r w:rsidR="00E231C2" w:rsidRPr="005864DB">
        <w:t>) based on severe suppression of food consumption at 150 mg/kg and the maximum nonlethal</w:t>
      </w:r>
      <w:r w:rsidR="00E231C2" w:rsidRPr="00B8122D">
        <w:t xml:space="preserve"> </w:t>
      </w:r>
      <w:r w:rsidRPr="00B8122D">
        <w:t>oral</w:t>
      </w:r>
      <w:r w:rsidR="00E231C2" w:rsidRPr="00B8122D">
        <w:t xml:space="preserve"> dose was 150 mg/kg. IV dosing at 10 mg/kg resulted in </w:t>
      </w:r>
      <w:r w:rsidR="00E231C2" w:rsidRPr="00CE30E3">
        <w:t>immediate</w:t>
      </w:r>
      <w:r w:rsidR="00E231C2" w:rsidRPr="00B8122D">
        <w:t xml:space="preserve"> vomiting, trembling, and head shaking. Other</w:t>
      </w:r>
      <w:r w:rsidRPr="00B8122D">
        <w:t xml:space="preserve"> clinical signs at all doses (2 to </w:t>
      </w:r>
      <w:r w:rsidR="00E231C2" w:rsidRPr="00B8122D">
        <w:t>10 mg/kg) included salivation, excessive licking, and reddened skin and oral mucosa (suggesting vasodilation). The maximum nonlethal dos</w:t>
      </w:r>
      <w:r w:rsidRPr="00B8122D">
        <w:t>e by the IV route was 10 mg/kg.</w:t>
      </w:r>
    </w:p>
    <w:p w14:paraId="68FB387E" w14:textId="483ED533" w:rsidR="00E231C2" w:rsidRPr="00B8122D" w:rsidRDefault="0091477D" w:rsidP="00CC1E78">
      <w:pPr>
        <w:pStyle w:val="Heading4"/>
      </w:pPr>
      <w:bookmarkStart w:id="63" w:name="_Toc294861728"/>
      <w:r w:rsidRPr="00B8122D">
        <w:t xml:space="preserve">Repeat </w:t>
      </w:r>
      <w:r w:rsidR="00E231C2" w:rsidRPr="00B8122D">
        <w:t>dose toxicity</w:t>
      </w:r>
      <w:bookmarkEnd w:id="63"/>
    </w:p>
    <w:p w14:paraId="08B32C1E" w14:textId="047DA353" w:rsidR="00E231C2" w:rsidRPr="00B8122D" w:rsidRDefault="00E231C2" w:rsidP="0085588F">
      <w:pPr>
        <w:rPr>
          <w:b/>
          <w:i/>
        </w:rPr>
      </w:pPr>
      <w:r w:rsidRPr="00B8122D">
        <w:t xml:space="preserve">Repeat dose toxicity was studied in rats and dogs with dosing duration up to 27 weeks and 39 weeks, respectively. Short term studies of up to 4 weeks were performed by continual daily dosing and studies of 15 weeks and longer were by the same dosing schedule as the proposed clinical dosing, </w:t>
      </w:r>
      <w:r w:rsidR="003D73CD" w:rsidRPr="00B8122D">
        <w:t>that is,</w:t>
      </w:r>
      <w:r w:rsidRPr="00B8122D">
        <w:t xml:space="preserve"> 3 weeks dosing and one week off for each 28</w:t>
      </w:r>
      <w:r w:rsidR="0091477D" w:rsidRPr="00B8122D">
        <w:t xml:space="preserve"> day</w:t>
      </w:r>
      <w:r w:rsidRPr="00B8122D">
        <w:t xml:space="preserve"> dosing cycle. The repeat dose studies were adequate to support the proposed clinical use, although slightly higher doses could have been administere</w:t>
      </w:r>
      <w:r w:rsidR="0091477D" w:rsidRPr="00B8122D">
        <w:t>d in the cyclic dosing studies.</w:t>
      </w:r>
    </w:p>
    <w:p w14:paraId="5CB0356A" w14:textId="77777777" w:rsidR="00E231C2" w:rsidRPr="00B8122D" w:rsidRDefault="00E231C2" w:rsidP="00CC1E78">
      <w:pPr>
        <w:pStyle w:val="Heading4"/>
      </w:pPr>
      <w:bookmarkStart w:id="64" w:name="_Toc482796030"/>
      <w:r w:rsidRPr="00B8122D">
        <w:t>Relative exposure</w:t>
      </w:r>
      <w:bookmarkEnd w:id="64"/>
    </w:p>
    <w:p w14:paraId="6EFE1E63" w14:textId="24464C32" w:rsidR="00E231C2" w:rsidRPr="0030489B" w:rsidRDefault="00E231C2" w:rsidP="00E231C2">
      <w:r w:rsidRPr="00B8122D">
        <w:t>Relatively low, generally subclinical, exposure levels of ribociclib and the major circulating metabolite LEQ803, were achieved in the repeat dose animal studies (</w:t>
      </w:r>
      <w:r w:rsidR="005864DB" w:rsidRPr="0030489B">
        <w:t xml:space="preserve">see </w:t>
      </w:r>
      <w:r w:rsidRPr="0030489B">
        <w:t>Table</w:t>
      </w:r>
      <w:r w:rsidR="005864DB" w:rsidRPr="0030489B">
        <w:t xml:space="preserve">s </w:t>
      </w:r>
      <w:r w:rsidR="00077B6B">
        <w:t>4</w:t>
      </w:r>
      <w:r w:rsidR="0030489B">
        <w:t xml:space="preserve"> </w:t>
      </w:r>
      <w:r w:rsidR="005864DB" w:rsidRPr="0030489B">
        <w:t xml:space="preserve">and </w:t>
      </w:r>
      <w:r w:rsidR="00077B6B">
        <w:t>5</w:t>
      </w:r>
      <w:r w:rsidR="005864DB" w:rsidRPr="0030489B">
        <w:t>, below).</w:t>
      </w:r>
    </w:p>
    <w:p w14:paraId="779746BE" w14:textId="2B1756E5" w:rsidR="00582E5F" w:rsidRPr="00582E5F" w:rsidRDefault="00D7665F">
      <w:r w:rsidRPr="004B1FE1">
        <w:lastRenderedPageBreak/>
        <w:t>Plasma CCI284 concentrations were measured in high dose males of the 26</w:t>
      </w:r>
      <w:r w:rsidR="001521D1">
        <w:t> </w:t>
      </w:r>
      <w:r w:rsidRPr="00CE30E3">
        <w:t>week study in rats. The AUC</w:t>
      </w:r>
      <w:r w:rsidRPr="00CE30E3">
        <w:rPr>
          <w:vertAlign w:val="subscript"/>
        </w:rPr>
        <w:t>0-24h</w:t>
      </w:r>
      <w:r w:rsidRPr="00CE30E3">
        <w:t xml:space="preserve"> values for CCI284 ranged from 20100 to 24400</w:t>
      </w:r>
      <w:r w:rsidR="001521D1">
        <w:t> </w:t>
      </w:r>
      <w:r w:rsidRPr="00CE30E3">
        <w:t>ng.h/mL during the dosing period and were more than 3 x the steady state exposure (AUC</w:t>
      </w:r>
      <w:r w:rsidRPr="00CE30E3">
        <w:rPr>
          <w:vertAlign w:val="subscript"/>
        </w:rPr>
        <w:t>0-24h</w:t>
      </w:r>
      <w:r w:rsidRPr="00CE30E3">
        <w:t xml:space="preserve"> 5747 ng/h/mL, Study X2101) in patients receiving 600 mg daily ribociclib. The exposures of female rats to CCI284 were much lower (&gt; 10 fold) than those of male rats based on liquid chromatography mass spectrometry (LC-MS) peak areas of pooled plasma samples from mid dose animals in the 15 week repeat dose study. Exposure of dogs to CCI284 is expected to be negligible based on the very low circulating levels of this metabolite in a pharmacokinetic study in dogs and comparison of LC-MS peak areas of pooled plasma samples from the high dose group in the 15 week dog study and from patients receiving a 900 mg dose.</w:t>
      </w:r>
    </w:p>
    <w:p w14:paraId="38FE969C" w14:textId="0B0CA6E6" w:rsidR="00E231C2" w:rsidRPr="00CE30E3" w:rsidRDefault="00E231C2" w:rsidP="004B1FE1">
      <w:pPr>
        <w:pStyle w:val="TableTitle"/>
      </w:pPr>
      <w:r w:rsidRPr="00CE30E3">
        <w:t>Table</w:t>
      </w:r>
      <w:r w:rsidR="005864DB" w:rsidRPr="00CE30E3">
        <w:t xml:space="preserve"> </w:t>
      </w:r>
      <w:r w:rsidR="00077B6B" w:rsidRPr="00CE30E3">
        <w:t>4:</w:t>
      </w:r>
      <w:r w:rsidRPr="00CE30E3">
        <w:t xml:space="preserve"> Relative exposure to ribociclib in pivotal repeat-dose toxicity studies</w:t>
      </w:r>
    </w:p>
    <w:tbl>
      <w:tblPr>
        <w:tblStyle w:val="TableTGAblue"/>
        <w:tblW w:w="8613" w:type="dxa"/>
        <w:tblLayout w:type="fixed"/>
        <w:tblLook w:val="01E0" w:firstRow="1" w:lastRow="1" w:firstColumn="1" w:lastColumn="1" w:noHBand="0" w:noVBand="0"/>
      </w:tblPr>
      <w:tblGrid>
        <w:gridCol w:w="1242"/>
        <w:gridCol w:w="1418"/>
        <w:gridCol w:w="1701"/>
        <w:gridCol w:w="1134"/>
        <w:gridCol w:w="1134"/>
        <w:gridCol w:w="850"/>
        <w:gridCol w:w="1134"/>
      </w:tblGrid>
      <w:tr w:rsidR="0045403A" w:rsidRPr="004B1FE1" w14:paraId="5797CE8B" w14:textId="77777777" w:rsidTr="00102EC3">
        <w:trPr>
          <w:cnfStyle w:val="100000000000" w:firstRow="1" w:lastRow="0" w:firstColumn="0" w:lastColumn="0" w:oddVBand="0" w:evenVBand="0" w:oddHBand="0" w:evenHBand="0" w:firstRowFirstColumn="0" w:firstRowLastColumn="0" w:lastRowFirstColumn="0" w:lastRowLastColumn="0"/>
          <w:trHeight w:val="482"/>
        </w:trPr>
        <w:tc>
          <w:tcPr>
            <w:tcW w:w="1242" w:type="dxa"/>
            <w:vMerge w:val="restart"/>
            <w:tcBorders>
              <w:right w:val="single" w:sz="4" w:space="0" w:color="000000"/>
            </w:tcBorders>
          </w:tcPr>
          <w:p w14:paraId="19E4BFA2" w14:textId="77777777" w:rsidR="00E231C2" w:rsidRPr="004B1FE1" w:rsidRDefault="00E231C2" w:rsidP="004B1FE1">
            <w:pPr>
              <w:ind w:left="0"/>
              <w:rPr>
                <w:b w:val="0"/>
                <w:color w:val="auto"/>
                <w:sz w:val="20"/>
                <w:szCs w:val="20"/>
                <w:lang w:eastAsia="en-US"/>
              </w:rPr>
            </w:pPr>
            <w:r w:rsidRPr="004B1FE1">
              <w:rPr>
                <w:sz w:val="20"/>
                <w:szCs w:val="20"/>
              </w:rPr>
              <w:t>Species</w:t>
            </w:r>
          </w:p>
        </w:tc>
        <w:tc>
          <w:tcPr>
            <w:tcW w:w="1418" w:type="dxa"/>
            <w:vMerge w:val="restart"/>
            <w:tcBorders>
              <w:left w:val="single" w:sz="4" w:space="0" w:color="000000"/>
              <w:right w:val="single" w:sz="4" w:space="0" w:color="000000"/>
            </w:tcBorders>
          </w:tcPr>
          <w:p w14:paraId="77985EF9" w14:textId="3E71317F" w:rsidR="00E231C2" w:rsidRPr="0031042A" w:rsidRDefault="0030489B" w:rsidP="004B1FE1">
            <w:pPr>
              <w:ind w:left="0"/>
              <w:rPr>
                <w:sz w:val="20"/>
                <w:szCs w:val="20"/>
                <w:lang w:eastAsia="en-US"/>
              </w:rPr>
            </w:pPr>
            <w:r w:rsidRPr="0031042A">
              <w:rPr>
                <w:sz w:val="20"/>
                <w:szCs w:val="20"/>
              </w:rPr>
              <w:t>Study duration (ID</w:t>
            </w:r>
            <w:r w:rsidR="0091477D" w:rsidRPr="0031042A">
              <w:rPr>
                <w:sz w:val="20"/>
                <w:szCs w:val="20"/>
              </w:rPr>
              <w:t>)</w:t>
            </w:r>
          </w:p>
        </w:tc>
        <w:tc>
          <w:tcPr>
            <w:tcW w:w="1701" w:type="dxa"/>
            <w:vMerge w:val="restart"/>
            <w:tcBorders>
              <w:left w:val="single" w:sz="4" w:space="0" w:color="000000"/>
              <w:right w:val="single" w:sz="4" w:space="0" w:color="000000"/>
            </w:tcBorders>
          </w:tcPr>
          <w:p w14:paraId="2B806E58" w14:textId="5AB0A4AB" w:rsidR="00E231C2" w:rsidRPr="004221AB" w:rsidRDefault="0091477D" w:rsidP="004B1FE1">
            <w:pPr>
              <w:ind w:left="0"/>
              <w:rPr>
                <w:sz w:val="20"/>
                <w:szCs w:val="20"/>
                <w:lang w:eastAsia="en-US"/>
              </w:rPr>
            </w:pPr>
            <w:r w:rsidRPr="004221AB">
              <w:rPr>
                <w:sz w:val="20"/>
                <w:szCs w:val="20"/>
              </w:rPr>
              <w:t xml:space="preserve">Dose </w:t>
            </w:r>
            <w:r w:rsidR="00E231C2" w:rsidRPr="004221AB">
              <w:rPr>
                <w:sz w:val="20"/>
                <w:szCs w:val="20"/>
              </w:rPr>
              <w:t>(mg/kg/day)</w:t>
            </w:r>
          </w:p>
        </w:tc>
        <w:tc>
          <w:tcPr>
            <w:tcW w:w="2268" w:type="dxa"/>
            <w:gridSpan w:val="2"/>
            <w:tcBorders>
              <w:left w:val="single" w:sz="4" w:space="0" w:color="000000"/>
              <w:right w:val="single" w:sz="4" w:space="0" w:color="000000"/>
            </w:tcBorders>
          </w:tcPr>
          <w:p w14:paraId="7915F16B" w14:textId="77777777" w:rsidR="00E231C2" w:rsidRPr="004221AB" w:rsidRDefault="00E231C2" w:rsidP="004B1FE1">
            <w:pPr>
              <w:ind w:left="0"/>
              <w:rPr>
                <w:sz w:val="20"/>
                <w:szCs w:val="20"/>
                <w:lang w:eastAsia="en-US"/>
              </w:rPr>
            </w:pPr>
            <w:r w:rsidRPr="004221AB">
              <w:rPr>
                <w:sz w:val="20"/>
                <w:szCs w:val="20"/>
              </w:rPr>
              <w:t>AUC</w:t>
            </w:r>
            <w:r w:rsidRPr="004221AB">
              <w:rPr>
                <w:sz w:val="20"/>
                <w:szCs w:val="20"/>
                <w:vertAlign w:val="subscript"/>
              </w:rPr>
              <w:t xml:space="preserve">0–24 h </w:t>
            </w:r>
            <w:r w:rsidRPr="004221AB">
              <w:rPr>
                <w:sz w:val="20"/>
                <w:szCs w:val="20"/>
              </w:rPr>
              <w:t>(ng∙h/mL)</w:t>
            </w:r>
          </w:p>
        </w:tc>
        <w:tc>
          <w:tcPr>
            <w:tcW w:w="1984" w:type="dxa"/>
            <w:gridSpan w:val="2"/>
            <w:tcBorders>
              <w:left w:val="single" w:sz="4" w:space="0" w:color="000000"/>
            </w:tcBorders>
          </w:tcPr>
          <w:p w14:paraId="59DB92B3" w14:textId="293C78A7" w:rsidR="00E231C2" w:rsidRPr="004221AB" w:rsidRDefault="00E231C2" w:rsidP="004B1FE1">
            <w:pPr>
              <w:ind w:left="0"/>
              <w:rPr>
                <w:sz w:val="20"/>
                <w:szCs w:val="20"/>
                <w:lang w:eastAsia="en-US"/>
              </w:rPr>
            </w:pPr>
            <w:r w:rsidRPr="004221AB">
              <w:rPr>
                <w:sz w:val="20"/>
                <w:szCs w:val="20"/>
              </w:rPr>
              <w:t>Exposure ratio (ER)</w:t>
            </w:r>
            <w:r w:rsidR="0091477D" w:rsidRPr="004221AB">
              <w:rPr>
                <w:sz w:val="20"/>
                <w:szCs w:val="20"/>
                <w:vertAlign w:val="superscript"/>
              </w:rPr>
              <w:t>1</w:t>
            </w:r>
          </w:p>
        </w:tc>
      </w:tr>
      <w:tr w:rsidR="0045403A" w:rsidRPr="004B1FE1" w14:paraId="28110318" w14:textId="77777777" w:rsidTr="00102EC3">
        <w:trPr>
          <w:cnfStyle w:val="100000000000" w:firstRow="1" w:lastRow="0" w:firstColumn="0" w:lastColumn="0" w:oddVBand="0" w:evenVBand="0" w:oddHBand="0" w:evenHBand="0" w:firstRowFirstColumn="0" w:firstRowLastColumn="0" w:lastRowFirstColumn="0" w:lastRowLastColumn="0"/>
          <w:trHeight w:val="270"/>
        </w:trPr>
        <w:tc>
          <w:tcPr>
            <w:tcW w:w="1242" w:type="dxa"/>
            <w:vMerge/>
            <w:tcBorders>
              <w:right w:val="single" w:sz="4" w:space="0" w:color="000000"/>
            </w:tcBorders>
          </w:tcPr>
          <w:p w14:paraId="75DB8B73" w14:textId="0421CB81" w:rsidR="00E231C2" w:rsidRPr="004B1FE1" w:rsidRDefault="00E231C2" w:rsidP="0091477D">
            <w:pPr>
              <w:rPr>
                <w:b w:val="0"/>
                <w:sz w:val="20"/>
                <w:szCs w:val="20"/>
              </w:rPr>
            </w:pPr>
          </w:p>
        </w:tc>
        <w:tc>
          <w:tcPr>
            <w:tcW w:w="1418" w:type="dxa"/>
            <w:vMerge/>
            <w:tcBorders>
              <w:left w:val="single" w:sz="4" w:space="0" w:color="000000"/>
              <w:right w:val="single" w:sz="4" w:space="0" w:color="000000"/>
            </w:tcBorders>
          </w:tcPr>
          <w:p w14:paraId="0281BCA2" w14:textId="77777777" w:rsidR="00E231C2" w:rsidRPr="0031042A" w:rsidRDefault="00E231C2" w:rsidP="0091477D">
            <w:pPr>
              <w:rPr>
                <w:b w:val="0"/>
                <w:sz w:val="20"/>
                <w:szCs w:val="20"/>
              </w:rPr>
            </w:pPr>
          </w:p>
        </w:tc>
        <w:tc>
          <w:tcPr>
            <w:tcW w:w="1701" w:type="dxa"/>
            <w:vMerge/>
            <w:tcBorders>
              <w:left w:val="single" w:sz="4" w:space="0" w:color="000000"/>
              <w:bottom w:val="single" w:sz="4" w:space="0" w:color="000000"/>
              <w:right w:val="single" w:sz="4" w:space="0" w:color="000000"/>
            </w:tcBorders>
          </w:tcPr>
          <w:p w14:paraId="462E3E16" w14:textId="77777777" w:rsidR="00E231C2" w:rsidRPr="004221AB" w:rsidRDefault="00E231C2" w:rsidP="0091477D">
            <w:pPr>
              <w:rPr>
                <w:b w:val="0"/>
                <w:sz w:val="20"/>
                <w:szCs w:val="20"/>
              </w:rPr>
            </w:pPr>
          </w:p>
        </w:tc>
        <w:tc>
          <w:tcPr>
            <w:tcW w:w="1134" w:type="dxa"/>
            <w:tcBorders>
              <w:left w:val="single" w:sz="4" w:space="0" w:color="000000"/>
            </w:tcBorders>
          </w:tcPr>
          <w:p w14:paraId="7710A46A" w14:textId="77777777" w:rsidR="00E231C2" w:rsidRPr="004221AB" w:rsidRDefault="00E231C2" w:rsidP="004B1FE1">
            <w:pPr>
              <w:ind w:left="0"/>
              <w:rPr>
                <w:b w:val="0"/>
                <w:sz w:val="20"/>
                <w:szCs w:val="20"/>
              </w:rPr>
            </w:pPr>
            <w:r w:rsidRPr="004221AB">
              <w:rPr>
                <w:b w:val="0"/>
                <w:sz w:val="20"/>
                <w:szCs w:val="20"/>
              </w:rPr>
              <w:t>Male</w:t>
            </w:r>
          </w:p>
        </w:tc>
        <w:tc>
          <w:tcPr>
            <w:tcW w:w="1134" w:type="dxa"/>
          </w:tcPr>
          <w:p w14:paraId="54805FDB" w14:textId="77777777" w:rsidR="00E231C2" w:rsidRPr="004221AB" w:rsidRDefault="00E231C2" w:rsidP="004B1FE1">
            <w:pPr>
              <w:ind w:left="0"/>
              <w:rPr>
                <w:b w:val="0"/>
                <w:sz w:val="20"/>
                <w:szCs w:val="20"/>
              </w:rPr>
            </w:pPr>
            <w:r w:rsidRPr="004221AB">
              <w:rPr>
                <w:b w:val="0"/>
                <w:sz w:val="20"/>
                <w:szCs w:val="20"/>
              </w:rPr>
              <w:t>Female</w:t>
            </w:r>
          </w:p>
        </w:tc>
        <w:tc>
          <w:tcPr>
            <w:tcW w:w="850" w:type="dxa"/>
          </w:tcPr>
          <w:p w14:paraId="5BEA3D62" w14:textId="77777777" w:rsidR="00E231C2" w:rsidRPr="004221AB" w:rsidRDefault="00E231C2" w:rsidP="004B1FE1">
            <w:pPr>
              <w:ind w:left="0"/>
              <w:rPr>
                <w:b w:val="0"/>
                <w:sz w:val="20"/>
                <w:szCs w:val="20"/>
              </w:rPr>
            </w:pPr>
            <w:r w:rsidRPr="004221AB">
              <w:rPr>
                <w:b w:val="0"/>
                <w:sz w:val="20"/>
                <w:szCs w:val="20"/>
              </w:rPr>
              <w:t>Male</w:t>
            </w:r>
          </w:p>
        </w:tc>
        <w:tc>
          <w:tcPr>
            <w:tcW w:w="1134" w:type="dxa"/>
          </w:tcPr>
          <w:p w14:paraId="4441B6DD" w14:textId="77777777" w:rsidR="00E231C2" w:rsidRPr="004221AB" w:rsidRDefault="00E231C2" w:rsidP="004B1FE1">
            <w:pPr>
              <w:ind w:left="0"/>
              <w:rPr>
                <w:b w:val="0"/>
                <w:sz w:val="20"/>
                <w:szCs w:val="20"/>
              </w:rPr>
            </w:pPr>
            <w:r w:rsidRPr="004221AB">
              <w:rPr>
                <w:b w:val="0"/>
                <w:sz w:val="20"/>
                <w:szCs w:val="20"/>
              </w:rPr>
              <w:t>Female</w:t>
            </w:r>
          </w:p>
        </w:tc>
      </w:tr>
      <w:tr w:rsidR="0045403A" w:rsidRPr="004B1FE1" w14:paraId="61FB67FE" w14:textId="77777777" w:rsidTr="004B1FE1">
        <w:trPr>
          <w:trHeight w:val="226"/>
        </w:trPr>
        <w:tc>
          <w:tcPr>
            <w:tcW w:w="1242" w:type="dxa"/>
            <w:vMerge w:val="restart"/>
          </w:tcPr>
          <w:p w14:paraId="25B2D287" w14:textId="77777777" w:rsidR="0091477D" w:rsidRPr="004B1FE1" w:rsidRDefault="00E231C2" w:rsidP="004B1FE1">
            <w:pPr>
              <w:ind w:left="0"/>
              <w:rPr>
                <w:color w:val="auto"/>
                <w:sz w:val="20"/>
                <w:szCs w:val="20"/>
                <w:lang w:eastAsia="en-US"/>
              </w:rPr>
            </w:pPr>
            <w:r w:rsidRPr="004B1FE1">
              <w:rPr>
                <w:b/>
                <w:sz w:val="20"/>
                <w:szCs w:val="20"/>
              </w:rPr>
              <w:t>Rat</w:t>
            </w:r>
          </w:p>
          <w:p w14:paraId="2FB07C26" w14:textId="5843403C" w:rsidR="00E231C2" w:rsidRPr="004B1FE1" w:rsidRDefault="00E231C2" w:rsidP="004B1FE1">
            <w:pPr>
              <w:ind w:left="0"/>
              <w:rPr>
                <w:color w:val="auto"/>
                <w:sz w:val="20"/>
                <w:szCs w:val="20"/>
                <w:lang w:eastAsia="en-US"/>
              </w:rPr>
            </w:pPr>
            <w:r w:rsidRPr="004B1FE1">
              <w:rPr>
                <w:sz w:val="20"/>
                <w:szCs w:val="20"/>
              </w:rPr>
              <w:t>(HanRcc: Wist)</w:t>
            </w:r>
          </w:p>
        </w:tc>
        <w:tc>
          <w:tcPr>
            <w:tcW w:w="1418" w:type="dxa"/>
            <w:vMerge w:val="restart"/>
          </w:tcPr>
          <w:p w14:paraId="30C99D4A" w14:textId="77777777" w:rsidR="0091477D" w:rsidRPr="004B1FE1" w:rsidRDefault="0091477D" w:rsidP="004B1FE1">
            <w:pPr>
              <w:ind w:left="0"/>
              <w:rPr>
                <w:color w:val="auto"/>
                <w:sz w:val="20"/>
                <w:szCs w:val="20"/>
                <w:lang w:eastAsia="en-US"/>
              </w:rPr>
            </w:pPr>
            <w:r w:rsidRPr="004B1FE1">
              <w:rPr>
                <w:sz w:val="20"/>
                <w:szCs w:val="20"/>
              </w:rPr>
              <w:t>4 weeks</w:t>
            </w:r>
          </w:p>
          <w:p w14:paraId="20977BC6" w14:textId="18B36E66" w:rsidR="00E231C2" w:rsidRPr="004B1FE1" w:rsidRDefault="0091477D" w:rsidP="004B1FE1">
            <w:pPr>
              <w:ind w:left="0"/>
              <w:rPr>
                <w:color w:val="auto"/>
                <w:sz w:val="20"/>
                <w:szCs w:val="20"/>
                <w:lang w:eastAsia="en-US"/>
              </w:rPr>
            </w:pPr>
            <w:r w:rsidRPr="004B1FE1">
              <w:rPr>
                <w:sz w:val="20"/>
                <w:szCs w:val="20"/>
              </w:rPr>
              <w:t>(0870393)</w:t>
            </w:r>
          </w:p>
        </w:tc>
        <w:tc>
          <w:tcPr>
            <w:tcW w:w="1701" w:type="dxa"/>
            <w:tcBorders>
              <w:top w:val="single" w:sz="4" w:space="0" w:color="000000"/>
            </w:tcBorders>
          </w:tcPr>
          <w:p w14:paraId="6E7416B8" w14:textId="77777777" w:rsidR="00E231C2" w:rsidRPr="004B1FE1" w:rsidRDefault="00E231C2" w:rsidP="0091477D">
            <w:pPr>
              <w:rPr>
                <w:sz w:val="20"/>
                <w:szCs w:val="20"/>
              </w:rPr>
            </w:pPr>
            <w:r w:rsidRPr="004B1FE1">
              <w:rPr>
                <w:sz w:val="20"/>
                <w:szCs w:val="20"/>
              </w:rPr>
              <w:t>25</w:t>
            </w:r>
          </w:p>
        </w:tc>
        <w:tc>
          <w:tcPr>
            <w:tcW w:w="1134" w:type="dxa"/>
          </w:tcPr>
          <w:p w14:paraId="76988F18" w14:textId="77777777" w:rsidR="00E231C2" w:rsidRPr="004B1FE1" w:rsidRDefault="00E231C2" w:rsidP="004B1FE1">
            <w:pPr>
              <w:ind w:left="57" w:right="57"/>
              <w:rPr>
                <w:color w:val="auto"/>
                <w:sz w:val="20"/>
                <w:szCs w:val="20"/>
                <w:lang w:eastAsia="en-US"/>
              </w:rPr>
            </w:pPr>
            <w:r w:rsidRPr="004B1FE1">
              <w:rPr>
                <w:sz w:val="20"/>
                <w:szCs w:val="20"/>
              </w:rPr>
              <w:t>6180</w:t>
            </w:r>
          </w:p>
        </w:tc>
        <w:tc>
          <w:tcPr>
            <w:tcW w:w="1134" w:type="dxa"/>
          </w:tcPr>
          <w:p w14:paraId="55B68E78" w14:textId="77777777" w:rsidR="00E231C2" w:rsidRPr="004B1FE1" w:rsidRDefault="00E231C2" w:rsidP="004B1FE1">
            <w:pPr>
              <w:ind w:left="57" w:right="57"/>
              <w:rPr>
                <w:color w:val="auto"/>
                <w:sz w:val="20"/>
                <w:szCs w:val="20"/>
                <w:lang w:eastAsia="en-US"/>
              </w:rPr>
            </w:pPr>
            <w:r w:rsidRPr="004B1FE1">
              <w:rPr>
                <w:sz w:val="20"/>
                <w:szCs w:val="20"/>
              </w:rPr>
              <w:t>885</w:t>
            </w:r>
          </w:p>
        </w:tc>
        <w:tc>
          <w:tcPr>
            <w:tcW w:w="850" w:type="dxa"/>
          </w:tcPr>
          <w:p w14:paraId="57846A15" w14:textId="77777777" w:rsidR="00E231C2" w:rsidRPr="004B1FE1" w:rsidRDefault="00E231C2" w:rsidP="004B1FE1">
            <w:pPr>
              <w:ind w:left="57" w:right="57"/>
              <w:rPr>
                <w:color w:val="auto"/>
                <w:sz w:val="20"/>
                <w:szCs w:val="20"/>
                <w:lang w:eastAsia="en-US"/>
              </w:rPr>
            </w:pPr>
            <w:r w:rsidRPr="004B1FE1">
              <w:rPr>
                <w:sz w:val="20"/>
                <w:szCs w:val="20"/>
              </w:rPr>
              <w:t>0.2</w:t>
            </w:r>
          </w:p>
        </w:tc>
        <w:tc>
          <w:tcPr>
            <w:tcW w:w="1134" w:type="dxa"/>
          </w:tcPr>
          <w:p w14:paraId="0DE69554" w14:textId="77777777" w:rsidR="00E231C2" w:rsidRPr="004B1FE1" w:rsidRDefault="00E231C2" w:rsidP="004B1FE1">
            <w:pPr>
              <w:ind w:left="57" w:right="57"/>
              <w:rPr>
                <w:color w:val="auto"/>
                <w:sz w:val="20"/>
                <w:szCs w:val="20"/>
                <w:lang w:eastAsia="en-US"/>
              </w:rPr>
            </w:pPr>
            <w:r w:rsidRPr="004B1FE1">
              <w:rPr>
                <w:sz w:val="20"/>
                <w:szCs w:val="20"/>
              </w:rPr>
              <w:t>0.03</w:t>
            </w:r>
          </w:p>
        </w:tc>
      </w:tr>
      <w:tr w:rsidR="0045403A" w:rsidRPr="004B1FE1" w14:paraId="31C64A09" w14:textId="77777777" w:rsidTr="004B1FE1">
        <w:trPr>
          <w:trHeight w:val="226"/>
        </w:trPr>
        <w:tc>
          <w:tcPr>
            <w:tcW w:w="1242" w:type="dxa"/>
            <w:vMerge/>
          </w:tcPr>
          <w:p w14:paraId="04D1691F" w14:textId="41A3DF7F" w:rsidR="00E231C2" w:rsidRPr="004B1FE1" w:rsidRDefault="00E231C2" w:rsidP="0091477D">
            <w:pPr>
              <w:rPr>
                <w:sz w:val="20"/>
                <w:szCs w:val="20"/>
              </w:rPr>
            </w:pPr>
          </w:p>
        </w:tc>
        <w:tc>
          <w:tcPr>
            <w:tcW w:w="1418" w:type="dxa"/>
            <w:vMerge/>
          </w:tcPr>
          <w:p w14:paraId="70BA88AD" w14:textId="77777777" w:rsidR="00E231C2" w:rsidRPr="004B1FE1" w:rsidRDefault="00E231C2" w:rsidP="0091477D">
            <w:pPr>
              <w:rPr>
                <w:sz w:val="20"/>
                <w:szCs w:val="20"/>
              </w:rPr>
            </w:pPr>
          </w:p>
        </w:tc>
        <w:tc>
          <w:tcPr>
            <w:tcW w:w="1701" w:type="dxa"/>
          </w:tcPr>
          <w:p w14:paraId="3F1A3A73" w14:textId="77777777" w:rsidR="00E231C2" w:rsidRPr="004B1FE1" w:rsidRDefault="00E231C2" w:rsidP="0091477D">
            <w:pPr>
              <w:rPr>
                <w:sz w:val="20"/>
                <w:szCs w:val="20"/>
              </w:rPr>
            </w:pPr>
            <w:r w:rsidRPr="004B1FE1">
              <w:rPr>
                <w:sz w:val="20"/>
                <w:szCs w:val="20"/>
              </w:rPr>
              <w:t>75</w:t>
            </w:r>
          </w:p>
        </w:tc>
        <w:tc>
          <w:tcPr>
            <w:tcW w:w="1134" w:type="dxa"/>
          </w:tcPr>
          <w:p w14:paraId="6C41334E" w14:textId="77777777" w:rsidR="00E231C2" w:rsidRPr="004B1FE1" w:rsidRDefault="00E231C2" w:rsidP="004B1FE1">
            <w:pPr>
              <w:ind w:left="57" w:right="57"/>
              <w:rPr>
                <w:color w:val="auto"/>
                <w:sz w:val="20"/>
                <w:szCs w:val="20"/>
                <w:lang w:eastAsia="en-US"/>
              </w:rPr>
            </w:pPr>
            <w:r w:rsidRPr="004B1FE1">
              <w:rPr>
                <w:sz w:val="20"/>
                <w:szCs w:val="20"/>
              </w:rPr>
              <w:t>25900</w:t>
            </w:r>
          </w:p>
        </w:tc>
        <w:tc>
          <w:tcPr>
            <w:tcW w:w="1134" w:type="dxa"/>
          </w:tcPr>
          <w:p w14:paraId="1C5A15E6" w14:textId="77777777" w:rsidR="00E231C2" w:rsidRPr="004B1FE1" w:rsidRDefault="00E231C2" w:rsidP="004B1FE1">
            <w:pPr>
              <w:ind w:left="57" w:right="57"/>
              <w:rPr>
                <w:color w:val="auto"/>
                <w:sz w:val="20"/>
                <w:szCs w:val="20"/>
                <w:lang w:eastAsia="en-US"/>
              </w:rPr>
            </w:pPr>
            <w:r w:rsidRPr="004B1FE1">
              <w:rPr>
                <w:sz w:val="20"/>
                <w:szCs w:val="20"/>
              </w:rPr>
              <w:t>3680</w:t>
            </w:r>
          </w:p>
        </w:tc>
        <w:tc>
          <w:tcPr>
            <w:tcW w:w="850" w:type="dxa"/>
          </w:tcPr>
          <w:p w14:paraId="4706D506" w14:textId="77777777" w:rsidR="00E231C2" w:rsidRPr="004B1FE1" w:rsidRDefault="00E231C2" w:rsidP="004B1FE1">
            <w:pPr>
              <w:ind w:left="57" w:right="57"/>
              <w:rPr>
                <w:color w:val="auto"/>
                <w:sz w:val="20"/>
                <w:szCs w:val="20"/>
                <w:lang w:eastAsia="en-US"/>
              </w:rPr>
            </w:pPr>
            <w:r w:rsidRPr="004B1FE1">
              <w:rPr>
                <w:sz w:val="20"/>
                <w:szCs w:val="20"/>
              </w:rPr>
              <w:t>0.8</w:t>
            </w:r>
          </w:p>
        </w:tc>
        <w:tc>
          <w:tcPr>
            <w:tcW w:w="1134" w:type="dxa"/>
          </w:tcPr>
          <w:p w14:paraId="6C27110E" w14:textId="77777777" w:rsidR="00E231C2" w:rsidRPr="004B1FE1" w:rsidRDefault="00E231C2" w:rsidP="004B1FE1">
            <w:pPr>
              <w:ind w:left="57" w:right="57"/>
              <w:rPr>
                <w:color w:val="auto"/>
                <w:sz w:val="20"/>
                <w:szCs w:val="20"/>
                <w:lang w:eastAsia="en-US"/>
              </w:rPr>
            </w:pPr>
            <w:r w:rsidRPr="004B1FE1">
              <w:rPr>
                <w:sz w:val="20"/>
                <w:szCs w:val="20"/>
              </w:rPr>
              <w:t>0.1</w:t>
            </w:r>
          </w:p>
        </w:tc>
      </w:tr>
      <w:tr w:rsidR="0045403A" w:rsidRPr="004B1FE1" w14:paraId="79F9F7D9" w14:textId="77777777" w:rsidTr="004B1FE1">
        <w:trPr>
          <w:trHeight w:val="226"/>
        </w:trPr>
        <w:tc>
          <w:tcPr>
            <w:tcW w:w="1242" w:type="dxa"/>
            <w:vMerge/>
          </w:tcPr>
          <w:p w14:paraId="1F13102A" w14:textId="77777777" w:rsidR="00E231C2" w:rsidRPr="004B1FE1" w:rsidRDefault="00E231C2" w:rsidP="0091477D">
            <w:pPr>
              <w:rPr>
                <w:sz w:val="20"/>
                <w:szCs w:val="20"/>
              </w:rPr>
            </w:pPr>
          </w:p>
        </w:tc>
        <w:tc>
          <w:tcPr>
            <w:tcW w:w="1418" w:type="dxa"/>
            <w:vMerge/>
          </w:tcPr>
          <w:p w14:paraId="395FED61" w14:textId="77777777" w:rsidR="00E231C2" w:rsidRPr="004B1FE1" w:rsidRDefault="00E231C2" w:rsidP="0091477D">
            <w:pPr>
              <w:rPr>
                <w:sz w:val="20"/>
                <w:szCs w:val="20"/>
              </w:rPr>
            </w:pPr>
          </w:p>
        </w:tc>
        <w:tc>
          <w:tcPr>
            <w:tcW w:w="1701" w:type="dxa"/>
          </w:tcPr>
          <w:p w14:paraId="30227F13" w14:textId="77777777" w:rsidR="00E231C2" w:rsidRPr="004B1FE1" w:rsidRDefault="00E231C2" w:rsidP="0091477D">
            <w:pPr>
              <w:rPr>
                <w:sz w:val="20"/>
                <w:szCs w:val="20"/>
              </w:rPr>
            </w:pPr>
            <w:r w:rsidRPr="004B1FE1">
              <w:rPr>
                <w:sz w:val="20"/>
                <w:szCs w:val="20"/>
              </w:rPr>
              <w:t>150</w:t>
            </w:r>
          </w:p>
        </w:tc>
        <w:tc>
          <w:tcPr>
            <w:tcW w:w="1134" w:type="dxa"/>
          </w:tcPr>
          <w:p w14:paraId="3671D7C4" w14:textId="77777777" w:rsidR="00E231C2" w:rsidRPr="004B1FE1" w:rsidRDefault="00E231C2" w:rsidP="004B1FE1">
            <w:pPr>
              <w:ind w:left="57" w:right="57"/>
              <w:rPr>
                <w:color w:val="auto"/>
                <w:sz w:val="20"/>
                <w:szCs w:val="20"/>
                <w:lang w:eastAsia="en-US"/>
              </w:rPr>
            </w:pPr>
            <w:r w:rsidRPr="004B1FE1">
              <w:rPr>
                <w:sz w:val="20"/>
                <w:szCs w:val="20"/>
              </w:rPr>
              <w:t>47800</w:t>
            </w:r>
          </w:p>
        </w:tc>
        <w:tc>
          <w:tcPr>
            <w:tcW w:w="1134" w:type="dxa"/>
          </w:tcPr>
          <w:p w14:paraId="486F4834" w14:textId="77777777" w:rsidR="00E231C2" w:rsidRPr="004B1FE1" w:rsidRDefault="00E231C2" w:rsidP="004B1FE1">
            <w:pPr>
              <w:ind w:left="57" w:right="57"/>
              <w:rPr>
                <w:color w:val="auto"/>
                <w:sz w:val="20"/>
                <w:szCs w:val="20"/>
                <w:lang w:eastAsia="en-US"/>
              </w:rPr>
            </w:pPr>
            <w:r w:rsidRPr="004B1FE1">
              <w:rPr>
                <w:sz w:val="20"/>
                <w:szCs w:val="20"/>
              </w:rPr>
              <w:t>11000</w:t>
            </w:r>
          </w:p>
        </w:tc>
        <w:tc>
          <w:tcPr>
            <w:tcW w:w="850" w:type="dxa"/>
          </w:tcPr>
          <w:p w14:paraId="7031D019" w14:textId="77777777" w:rsidR="00E231C2" w:rsidRPr="004B1FE1" w:rsidRDefault="00E231C2" w:rsidP="004B1FE1">
            <w:pPr>
              <w:ind w:left="57" w:right="57"/>
              <w:rPr>
                <w:color w:val="auto"/>
                <w:sz w:val="20"/>
                <w:szCs w:val="20"/>
                <w:lang w:eastAsia="en-US"/>
              </w:rPr>
            </w:pPr>
            <w:r w:rsidRPr="004B1FE1">
              <w:rPr>
                <w:sz w:val="20"/>
                <w:szCs w:val="20"/>
              </w:rPr>
              <w:t>1.5</w:t>
            </w:r>
          </w:p>
        </w:tc>
        <w:tc>
          <w:tcPr>
            <w:tcW w:w="1134" w:type="dxa"/>
          </w:tcPr>
          <w:p w14:paraId="42094DC9" w14:textId="77777777" w:rsidR="00E231C2" w:rsidRPr="004B1FE1" w:rsidRDefault="00E231C2" w:rsidP="004B1FE1">
            <w:pPr>
              <w:ind w:left="57" w:right="57"/>
              <w:rPr>
                <w:color w:val="auto"/>
                <w:sz w:val="20"/>
                <w:szCs w:val="20"/>
                <w:lang w:eastAsia="en-US"/>
              </w:rPr>
            </w:pPr>
            <w:r w:rsidRPr="004B1FE1">
              <w:rPr>
                <w:sz w:val="20"/>
                <w:szCs w:val="20"/>
              </w:rPr>
              <w:t>0.3</w:t>
            </w:r>
          </w:p>
        </w:tc>
      </w:tr>
      <w:tr w:rsidR="0045403A" w:rsidRPr="004B1FE1" w14:paraId="54FACFEB" w14:textId="77777777" w:rsidTr="004B1FE1">
        <w:trPr>
          <w:trHeight w:val="226"/>
        </w:trPr>
        <w:tc>
          <w:tcPr>
            <w:tcW w:w="1242" w:type="dxa"/>
            <w:vMerge/>
          </w:tcPr>
          <w:p w14:paraId="05A64C40" w14:textId="77777777" w:rsidR="00E231C2" w:rsidRPr="004B1FE1" w:rsidRDefault="00E231C2" w:rsidP="0091477D">
            <w:pPr>
              <w:rPr>
                <w:sz w:val="20"/>
                <w:szCs w:val="20"/>
              </w:rPr>
            </w:pPr>
          </w:p>
        </w:tc>
        <w:tc>
          <w:tcPr>
            <w:tcW w:w="1418" w:type="dxa"/>
            <w:vMerge w:val="restart"/>
          </w:tcPr>
          <w:p w14:paraId="5B5AB910" w14:textId="77777777" w:rsidR="0091477D" w:rsidRPr="004B1FE1" w:rsidRDefault="0091477D" w:rsidP="004B1FE1">
            <w:pPr>
              <w:ind w:left="0"/>
              <w:rPr>
                <w:color w:val="auto"/>
                <w:sz w:val="20"/>
                <w:szCs w:val="20"/>
                <w:lang w:eastAsia="en-US"/>
              </w:rPr>
            </w:pPr>
            <w:r w:rsidRPr="004B1FE1">
              <w:rPr>
                <w:sz w:val="20"/>
                <w:szCs w:val="20"/>
              </w:rPr>
              <w:t>15 weeks</w:t>
            </w:r>
            <w:r w:rsidRPr="004B1FE1">
              <w:rPr>
                <w:sz w:val="20"/>
                <w:szCs w:val="20"/>
                <w:vertAlign w:val="superscript"/>
              </w:rPr>
              <w:t>2</w:t>
            </w:r>
          </w:p>
          <w:p w14:paraId="57C7F603" w14:textId="427A947F" w:rsidR="00E231C2" w:rsidRPr="004B1FE1" w:rsidRDefault="0091477D" w:rsidP="004B1FE1">
            <w:pPr>
              <w:ind w:left="0"/>
              <w:rPr>
                <w:color w:val="auto"/>
                <w:sz w:val="20"/>
                <w:szCs w:val="20"/>
                <w:lang w:eastAsia="en-US"/>
              </w:rPr>
            </w:pPr>
            <w:r w:rsidRPr="004B1FE1">
              <w:rPr>
                <w:sz w:val="20"/>
                <w:szCs w:val="20"/>
              </w:rPr>
              <w:t>(1370292)</w:t>
            </w:r>
          </w:p>
        </w:tc>
        <w:tc>
          <w:tcPr>
            <w:tcW w:w="1701" w:type="dxa"/>
          </w:tcPr>
          <w:p w14:paraId="2D35A4DC" w14:textId="77777777" w:rsidR="00E231C2" w:rsidRPr="004B1FE1" w:rsidRDefault="00E231C2" w:rsidP="0091477D">
            <w:pPr>
              <w:rPr>
                <w:sz w:val="20"/>
                <w:szCs w:val="20"/>
              </w:rPr>
            </w:pPr>
            <w:r w:rsidRPr="004B1FE1">
              <w:rPr>
                <w:sz w:val="20"/>
                <w:szCs w:val="20"/>
              </w:rPr>
              <w:t>25</w:t>
            </w:r>
          </w:p>
        </w:tc>
        <w:tc>
          <w:tcPr>
            <w:tcW w:w="1134" w:type="dxa"/>
          </w:tcPr>
          <w:p w14:paraId="7E02689B" w14:textId="77777777" w:rsidR="00E231C2" w:rsidRPr="004B1FE1" w:rsidRDefault="00E231C2" w:rsidP="004B1FE1">
            <w:pPr>
              <w:ind w:left="57" w:right="57"/>
              <w:rPr>
                <w:color w:val="auto"/>
                <w:sz w:val="20"/>
                <w:szCs w:val="20"/>
                <w:lang w:eastAsia="en-US"/>
              </w:rPr>
            </w:pPr>
            <w:r w:rsidRPr="004B1FE1">
              <w:rPr>
                <w:sz w:val="20"/>
                <w:szCs w:val="20"/>
              </w:rPr>
              <w:t>15300</w:t>
            </w:r>
          </w:p>
        </w:tc>
        <w:tc>
          <w:tcPr>
            <w:tcW w:w="1134" w:type="dxa"/>
          </w:tcPr>
          <w:p w14:paraId="3D73F699" w14:textId="03B8A67E" w:rsidR="00E231C2" w:rsidRPr="004B1FE1" w:rsidRDefault="00E231C2" w:rsidP="004B1FE1">
            <w:pPr>
              <w:ind w:left="57" w:right="57"/>
              <w:rPr>
                <w:color w:val="auto"/>
                <w:sz w:val="20"/>
                <w:szCs w:val="20"/>
                <w:lang w:eastAsia="en-US"/>
              </w:rPr>
            </w:pPr>
          </w:p>
        </w:tc>
        <w:tc>
          <w:tcPr>
            <w:tcW w:w="850" w:type="dxa"/>
          </w:tcPr>
          <w:p w14:paraId="24C821D4" w14:textId="77777777" w:rsidR="00E231C2" w:rsidRPr="004B1FE1" w:rsidRDefault="00E231C2" w:rsidP="004B1FE1">
            <w:pPr>
              <w:ind w:left="57" w:right="57"/>
              <w:rPr>
                <w:color w:val="auto"/>
                <w:sz w:val="20"/>
                <w:szCs w:val="20"/>
                <w:lang w:eastAsia="en-US"/>
              </w:rPr>
            </w:pPr>
            <w:r w:rsidRPr="004B1FE1">
              <w:rPr>
                <w:sz w:val="20"/>
                <w:szCs w:val="20"/>
              </w:rPr>
              <w:t>0.5</w:t>
            </w:r>
          </w:p>
        </w:tc>
        <w:tc>
          <w:tcPr>
            <w:tcW w:w="1134" w:type="dxa"/>
          </w:tcPr>
          <w:p w14:paraId="2CC6781E" w14:textId="5974849E" w:rsidR="00E231C2" w:rsidRPr="004B1FE1" w:rsidRDefault="00E231C2" w:rsidP="004B1FE1">
            <w:pPr>
              <w:ind w:left="57" w:right="57"/>
              <w:rPr>
                <w:color w:val="auto"/>
                <w:sz w:val="20"/>
                <w:szCs w:val="20"/>
                <w:lang w:eastAsia="en-US"/>
              </w:rPr>
            </w:pPr>
          </w:p>
        </w:tc>
      </w:tr>
      <w:tr w:rsidR="0045403A" w:rsidRPr="004B1FE1" w14:paraId="0E012694" w14:textId="77777777" w:rsidTr="004B1FE1">
        <w:trPr>
          <w:trHeight w:val="226"/>
        </w:trPr>
        <w:tc>
          <w:tcPr>
            <w:tcW w:w="1242" w:type="dxa"/>
            <w:vMerge/>
          </w:tcPr>
          <w:p w14:paraId="35074CFA" w14:textId="77777777" w:rsidR="00E231C2" w:rsidRPr="004B1FE1" w:rsidRDefault="00E231C2" w:rsidP="0091477D">
            <w:pPr>
              <w:rPr>
                <w:sz w:val="20"/>
                <w:szCs w:val="20"/>
              </w:rPr>
            </w:pPr>
          </w:p>
        </w:tc>
        <w:tc>
          <w:tcPr>
            <w:tcW w:w="1418" w:type="dxa"/>
            <w:vMerge/>
          </w:tcPr>
          <w:p w14:paraId="7420EE28" w14:textId="77777777" w:rsidR="00E231C2" w:rsidRPr="004B1FE1" w:rsidRDefault="00E231C2" w:rsidP="0091477D">
            <w:pPr>
              <w:rPr>
                <w:sz w:val="20"/>
                <w:szCs w:val="20"/>
              </w:rPr>
            </w:pPr>
          </w:p>
        </w:tc>
        <w:tc>
          <w:tcPr>
            <w:tcW w:w="1701" w:type="dxa"/>
          </w:tcPr>
          <w:p w14:paraId="2E5D5E7B" w14:textId="77777777" w:rsidR="00E231C2" w:rsidRPr="004B1FE1" w:rsidRDefault="00E231C2" w:rsidP="0091477D">
            <w:pPr>
              <w:rPr>
                <w:sz w:val="20"/>
                <w:szCs w:val="20"/>
              </w:rPr>
            </w:pPr>
            <w:r w:rsidRPr="004B1FE1">
              <w:rPr>
                <w:sz w:val="20"/>
                <w:szCs w:val="20"/>
              </w:rPr>
              <w:t>50</w:t>
            </w:r>
          </w:p>
        </w:tc>
        <w:tc>
          <w:tcPr>
            <w:tcW w:w="1134" w:type="dxa"/>
          </w:tcPr>
          <w:p w14:paraId="4EFE6887" w14:textId="751D6500" w:rsidR="00E231C2" w:rsidRPr="004B1FE1" w:rsidRDefault="00E231C2" w:rsidP="004B1FE1">
            <w:pPr>
              <w:ind w:left="57" w:right="57"/>
              <w:rPr>
                <w:color w:val="auto"/>
                <w:sz w:val="20"/>
                <w:szCs w:val="20"/>
                <w:lang w:eastAsia="en-US"/>
              </w:rPr>
            </w:pPr>
          </w:p>
        </w:tc>
        <w:tc>
          <w:tcPr>
            <w:tcW w:w="1134" w:type="dxa"/>
          </w:tcPr>
          <w:p w14:paraId="10FCE6B3" w14:textId="77777777" w:rsidR="00E231C2" w:rsidRPr="004B1FE1" w:rsidRDefault="00E231C2" w:rsidP="004B1FE1">
            <w:pPr>
              <w:ind w:left="57" w:right="57"/>
              <w:rPr>
                <w:color w:val="auto"/>
                <w:sz w:val="20"/>
                <w:szCs w:val="20"/>
                <w:lang w:eastAsia="en-US"/>
              </w:rPr>
            </w:pPr>
            <w:r w:rsidRPr="004B1FE1">
              <w:rPr>
                <w:sz w:val="20"/>
                <w:szCs w:val="20"/>
              </w:rPr>
              <w:t>2960</w:t>
            </w:r>
          </w:p>
        </w:tc>
        <w:tc>
          <w:tcPr>
            <w:tcW w:w="850" w:type="dxa"/>
          </w:tcPr>
          <w:p w14:paraId="512B2AD5" w14:textId="3D21EC56" w:rsidR="00E231C2" w:rsidRPr="004B1FE1" w:rsidRDefault="00E231C2" w:rsidP="004B1FE1">
            <w:pPr>
              <w:ind w:left="57" w:right="57"/>
              <w:rPr>
                <w:color w:val="auto"/>
                <w:sz w:val="20"/>
                <w:szCs w:val="20"/>
                <w:lang w:eastAsia="en-US"/>
              </w:rPr>
            </w:pPr>
          </w:p>
        </w:tc>
        <w:tc>
          <w:tcPr>
            <w:tcW w:w="1134" w:type="dxa"/>
          </w:tcPr>
          <w:p w14:paraId="00170400" w14:textId="77777777" w:rsidR="00E231C2" w:rsidRPr="004B1FE1" w:rsidRDefault="00E231C2" w:rsidP="004B1FE1">
            <w:pPr>
              <w:ind w:left="57" w:right="57"/>
              <w:rPr>
                <w:color w:val="auto"/>
                <w:sz w:val="20"/>
                <w:szCs w:val="20"/>
                <w:lang w:eastAsia="en-US"/>
              </w:rPr>
            </w:pPr>
            <w:r w:rsidRPr="004B1FE1">
              <w:rPr>
                <w:sz w:val="20"/>
                <w:szCs w:val="20"/>
              </w:rPr>
              <w:t>0.1</w:t>
            </w:r>
          </w:p>
        </w:tc>
      </w:tr>
      <w:tr w:rsidR="0045403A" w:rsidRPr="004B1FE1" w14:paraId="5E94BDBD" w14:textId="77777777" w:rsidTr="004B1FE1">
        <w:trPr>
          <w:trHeight w:val="226"/>
        </w:trPr>
        <w:tc>
          <w:tcPr>
            <w:tcW w:w="1242" w:type="dxa"/>
            <w:vMerge/>
          </w:tcPr>
          <w:p w14:paraId="5D31C68B" w14:textId="77777777" w:rsidR="00E231C2" w:rsidRPr="004B1FE1" w:rsidRDefault="00E231C2" w:rsidP="0091477D">
            <w:pPr>
              <w:rPr>
                <w:sz w:val="20"/>
                <w:szCs w:val="20"/>
              </w:rPr>
            </w:pPr>
          </w:p>
        </w:tc>
        <w:tc>
          <w:tcPr>
            <w:tcW w:w="1418" w:type="dxa"/>
            <w:vMerge/>
          </w:tcPr>
          <w:p w14:paraId="599AB4A1" w14:textId="77777777" w:rsidR="00E231C2" w:rsidRPr="004B1FE1" w:rsidRDefault="00E231C2" w:rsidP="0091477D">
            <w:pPr>
              <w:rPr>
                <w:sz w:val="20"/>
                <w:szCs w:val="20"/>
              </w:rPr>
            </w:pPr>
          </w:p>
        </w:tc>
        <w:tc>
          <w:tcPr>
            <w:tcW w:w="1701" w:type="dxa"/>
          </w:tcPr>
          <w:p w14:paraId="1F106EF7" w14:textId="77777777" w:rsidR="00E231C2" w:rsidRPr="004B1FE1" w:rsidRDefault="00E231C2" w:rsidP="0091477D">
            <w:pPr>
              <w:rPr>
                <w:sz w:val="20"/>
                <w:szCs w:val="20"/>
              </w:rPr>
            </w:pPr>
            <w:r w:rsidRPr="004B1FE1">
              <w:rPr>
                <w:sz w:val="20"/>
                <w:szCs w:val="20"/>
              </w:rPr>
              <w:t>75</w:t>
            </w:r>
          </w:p>
        </w:tc>
        <w:tc>
          <w:tcPr>
            <w:tcW w:w="1134" w:type="dxa"/>
          </w:tcPr>
          <w:p w14:paraId="547DB17A" w14:textId="77777777" w:rsidR="00E231C2" w:rsidRPr="004B1FE1" w:rsidRDefault="00E231C2" w:rsidP="004B1FE1">
            <w:pPr>
              <w:ind w:left="57" w:right="57"/>
              <w:rPr>
                <w:color w:val="auto"/>
                <w:sz w:val="20"/>
                <w:szCs w:val="20"/>
                <w:lang w:eastAsia="en-US"/>
              </w:rPr>
            </w:pPr>
            <w:r w:rsidRPr="004B1FE1">
              <w:rPr>
                <w:sz w:val="20"/>
                <w:szCs w:val="20"/>
              </w:rPr>
              <w:t>55400</w:t>
            </w:r>
          </w:p>
        </w:tc>
        <w:tc>
          <w:tcPr>
            <w:tcW w:w="1134" w:type="dxa"/>
          </w:tcPr>
          <w:p w14:paraId="750E748D" w14:textId="5DD7DC0E" w:rsidR="00E231C2" w:rsidRPr="004B1FE1" w:rsidRDefault="00E231C2" w:rsidP="004B1FE1">
            <w:pPr>
              <w:ind w:left="57" w:right="57"/>
              <w:rPr>
                <w:color w:val="auto"/>
                <w:sz w:val="20"/>
                <w:szCs w:val="20"/>
                <w:lang w:eastAsia="en-US"/>
              </w:rPr>
            </w:pPr>
          </w:p>
        </w:tc>
        <w:tc>
          <w:tcPr>
            <w:tcW w:w="850" w:type="dxa"/>
          </w:tcPr>
          <w:p w14:paraId="469A4041" w14:textId="77777777" w:rsidR="00E231C2" w:rsidRPr="004B1FE1" w:rsidRDefault="00E231C2" w:rsidP="004B1FE1">
            <w:pPr>
              <w:ind w:left="57" w:right="57"/>
              <w:rPr>
                <w:color w:val="auto"/>
                <w:sz w:val="20"/>
                <w:szCs w:val="20"/>
                <w:lang w:eastAsia="en-US"/>
              </w:rPr>
            </w:pPr>
            <w:r w:rsidRPr="004B1FE1">
              <w:rPr>
                <w:sz w:val="20"/>
                <w:szCs w:val="20"/>
              </w:rPr>
              <w:t>1.7</w:t>
            </w:r>
          </w:p>
        </w:tc>
        <w:tc>
          <w:tcPr>
            <w:tcW w:w="1134" w:type="dxa"/>
          </w:tcPr>
          <w:p w14:paraId="269FE158" w14:textId="77777777" w:rsidR="00E231C2" w:rsidRPr="004B1FE1" w:rsidRDefault="00E231C2" w:rsidP="004B1FE1">
            <w:pPr>
              <w:ind w:left="57" w:right="57"/>
              <w:rPr>
                <w:color w:val="auto"/>
                <w:sz w:val="20"/>
                <w:szCs w:val="20"/>
                <w:lang w:eastAsia="en-US"/>
              </w:rPr>
            </w:pPr>
            <w:r w:rsidRPr="004B1FE1">
              <w:rPr>
                <w:sz w:val="20"/>
                <w:szCs w:val="20"/>
              </w:rPr>
              <w:t>-</w:t>
            </w:r>
          </w:p>
        </w:tc>
      </w:tr>
      <w:tr w:rsidR="0045403A" w:rsidRPr="004B1FE1" w14:paraId="2301777A" w14:textId="77777777" w:rsidTr="004B1FE1">
        <w:trPr>
          <w:trHeight w:val="226"/>
        </w:trPr>
        <w:tc>
          <w:tcPr>
            <w:tcW w:w="1242" w:type="dxa"/>
            <w:vMerge/>
          </w:tcPr>
          <w:p w14:paraId="0B3FF486" w14:textId="77777777" w:rsidR="00E231C2" w:rsidRPr="004B1FE1" w:rsidRDefault="00E231C2" w:rsidP="0091477D">
            <w:pPr>
              <w:rPr>
                <w:sz w:val="20"/>
                <w:szCs w:val="20"/>
              </w:rPr>
            </w:pPr>
          </w:p>
        </w:tc>
        <w:tc>
          <w:tcPr>
            <w:tcW w:w="1418" w:type="dxa"/>
            <w:vMerge/>
          </w:tcPr>
          <w:p w14:paraId="2F946BA2" w14:textId="77777777" w:rsidR="00E231C2" w:rsidRPr="004B1FE1" w:rsidRDefault="00E231C2" w:rsidP="0091477D">
            <w:pPr>
              <w:rPr>
                <w:sz w:val="20"/>
                <w:szCs w:val="20"/>
              </w:rPr>
            </w:pPr>
          </w:p>
        </w:tc>
        <w:tc>
          <w:tcPr>
            <w:tcW w:w="1701" w:type="dxa"/>
          </w:tcPr>
          <w:p w14:paraId="6BF1ED1B" w14:textId="77777777" w:rsidR="00E231C2" w:rsidRPr="004B1FE1" w:rsidRDefault="00E231C2" w:rsidP="0091477D">
            <w:pPr>
              <w:rPr>
                <w:sz w:val="20"/>
                <w:szCs w:val="20"/>
              </w:rPr>
            </w:pPr>
            <w:r w:rsidRPr="004B1FE1">
              <w:rPr>
                <w:sz w:val="20"/>
                <w:szCs w:val="20"/>
              </w:rPr>
              <w:t>150</w:t>
            </w:r>
          </w:p>
        </w:tc>
        <w:tc>
          <w:tcPr>
            <w:tcW w:w="1134" w:type="dxa"/>
          </w:tcPr>
          <w:p w14:paraId="3B221B0C" w14:textId="77777777" w:rsidR="00E231C2" w:rsidRPr="004B1FE1" w:rsidRDefault="00E231C2" w:rsidP="004B1FE1">
            <w:pPr>
              <w:ind w:left="57" w:right="57"/>
              <w:rPr>
                <w:color w:val="auto"/>
                <w:sz w:val="20"/>
                <w:szCs w:val="20"/>
                <w:lang w:eastAsia="en-US"/>
              </w:rPr>
            </w:pPr>
            <w:r w:rsidRPr="004B1FE1">
              <w:rPr>
                <w:sz w:val="20"/>
                <w:szCs w:val="20"/>
              </w:rPr>
              <w:t>104000</w:t>
            </w:r>
          </w:p>
        </w:tc>
        <w:tc>
          <w:tcPr>
            <w:tcW w:w="1134" w:type="dxa"/>
          </w:tcPr>
          <w:p w14:paraId="2674671D" w14:textId="77777777" w:rsidR="00E231C2" w:rsidRPr="004B1FE1" w:rsidRDefault="00E231C2" w:rsidP="004B1FE1">
            <w:pPr>
              <w:ind w:left="57" w:right="57"/>
              <w:rPr>
                <w:color w:val="auto"/>
                <w:sz w:val="20"/>
                <w:szCs w:val="20"/>
                <w:lang w:eastAsia="en-US"/>
              </w:rPr>
            </w:pPr>
            <w:r w:rsidRPr="004B1FE1">
              <w:rPr>
                <w:sz w:val="20"/>
                <w:szCs w:val="20"/>
              </w:rPr>
              <w:t>11100</w:t>
            </w:r>
          </w:p>
        </w:tc>
        <w:tc>
          <w:tcPr>
            <w:tcW w:w="850" w:type="dxa"/>
          </w:tcPr>
          <w:p w14:paraId="5AA48F83" w14:textId="77777777" w:rsidR="00E231C2" w:rsidRPr="004B1FE1" w:rsidRDefault="00E231C2" w:rsidP="004B1FE1">
            <w:pPr>
              <w:ind w:left="57" w:right="57"/>
              <w:rPr>
                <w:color w:val="auto"/>
                <w:sz w:val="20"/>
                <w:szCs w:val="20"/>
                <w:lang w:eastAsia="en-US"/>
              </w:rPr>
            </w:pPr>
            <w:r w:rsidRPr="004B1FE1">
              <w:rPr>
                <w:sz w:val="20"/>
                <w:szCs w:val="20"/>
              </w:rPr>
              <w:t>3</w:t>
            </w:r>
          </w:p>
        </w:tc>
        <w:tc>
          <w:tcPr>
            <w:tcW w:w="1134" w:type="dxa"/>
          </w:tcPr>
          <w:p w14:paraId="76227578" w14:textId="77777777" w:rsidR="00E231C2" w:rsidRPr="004B1FE1" w:rsidRDefault="00E231C2" w:rsidP="004B1FE1">
            <w:pPr>
              <w:ind w:left="57" w:right="57"/>
              <w:rPr>
                <w:color w:val="auto"/>
                <w:sz w:val="20"/>
                <w:szCs w:val="20"/>
                <w:lang w:eastAsia="en-US"/>
              </w:rPr>
            </w:pPr>
            <w:r w:rsidRPr="004B1FE1">
              <w:rPr>
                <w:sz w:val="20"/>
                <w:szCs w:val="20"/>
              </w:rPr>
              <w:t>0.3</w:t>
            </w:r>
          </w:p>
        </w:tc>
      </w:tr>
      <w:tr w:rsidR="0045403A" w:rsidRPr="004B1FE1" w14:paraId="0F0F7C99" w14:textId="77777777" w:rsidTr="004B1FE1">
        <w:trPr>
          <w:trHeight w:val="226"/>
        </w:trPr>
        <w:tc>
          <w:tcPr>
            <w:tcW w:w="1242" w:type="dxa"/>
            <w:vMerge/>
          </w:tcPr>
          <w:p w14:paraId="0A5158F8" w14:textId="77777777" w:rsidR="00E231C2" w:rsidRPr="004B1FE1" w:rsidRDefault="00E231C2" w:rsidP="0091477D">
            <w:pPr>
              <w:rPr>
                <w:sz w:val="20"/>
                <w:szCs w:val="20"/>
              </w:rPr>
            </w:pPr>
          </w:p>
        </w:tc>
        <w:tc>
          <w:tcPr>
            <w:tcW w:w="1418" w:type="dxa"/>
            <w:vMerge/>
          </w:tcPr>
          <w:p w14:paraId="6DCEC6CE" w14:textId="77777777" w:rsidR="00E231C2" w:rsidRPr="004B1FE1" w:rsidRDefault="00E231C2" w:rsidP="0091477D">
            <w:pPr>
              <w:rPr>
                <w:sz w:val="20"/>
                <w:szCs w:val="20"/>
              </w:rPr>
            </w:pPr>
          </w:p>
        </w:tc>
        <w:tc>
          <w:tcPr>
            <w:tcW w:w="1701" w:type="dxa"/>
          </w:tcPr>
          <w:p w14:paraId="30ADCD30" w14:textId="77777777" w:rsidR="00E231C2" w:rsidRPr="004B1FE1" w:rsidRDefault="00E231C2" w:rsidP="0091477D">
            <w:pPr>
              <w:rPr>
                <w:sz w:val="20"/>
                <w:szCs w:val="20"/>
              </w:rPr>
            </w:pPr>
            <w:r w:rsidRPr="004B1FE1">
              <w:rPr>
                <w:sz w:val="20"/>
                <w:szCs w:val="20"/>
              </w:rPr>
              <w:t>300</w:t>
            </w:r>
          </w:p>
        </w:tc>
        <w:tc>
          <w:tcPr>
            <w:tcW w:w="1134" w:type="dxa"/>
          </w:tcPr>
          <w:p w14:paraId="16A58A20" w14:textId="3556E1DE" w:rsidR="00E231C2" w:rsidRPr="004B1FE1" w:rsidRDefault="00E231C2" w:rsidP="004B1FE1">
            <w:pPr>
              <w:ind w:left="57" w:right="57"/>
              <w:rPr>
                <w:color w:val="auto"/>
                <w:sz w:val="20"/>
                <w:szCs w:val="20"/>
                <w:lang w:eastAsia="en-US"/>
              </w:rPr>
            </w:pPr>
          </w:p>
        </w:tc>
        <w:tc>
          <w:tcPr>
            <w:tcW w:w="1134" w:type="dxa"/>
          </w:tcPr>
          <w:p w14:paraId="67B09F60" w14:textId="77777777" w:rsidR="00E231C2" w:rsidRPr="004B1FE1" w:rsidRDefault="00E231C2" w:rsidP="004B1FE1">
            <w:pPr>
              <w:ind w:left="57" w:right="57"/>
              <w:rPr>
                <w:color w:val="auto"/>
                <w:sz w:val="20"/>
                <w:szCs w:val="20"/>
                <w:lang w:eastAsia="en-US"/>
              </w:rPr>
            </w:pPr>
            <w:r w:rsidRPr="004B1FE1">
              <w:rPr>
                <w:sz w:val="20"/>
                <w:szCs w:val="20"/>
              </w:rPr>
              <w:t>23400</w:t>
            </w:r>
          </w:p>
        </w:tc>
        <w:tc>
          <w:tcPr>
            <w:tcW w:w="850" w:type="dxa"/>
          </w:tcPr>
          <w:p w14:paraId="7DDF1717" w14:textId="77777777" w:rsidR="00E231C2" w:rsidRPr="004B1FE1" w:rsidRDefault="00E231C2" w:rsidP="004B1FE1">
            <w:pPr>
              <w:ind w:left="57" w:right="57"/>
              <w:rPr>
                <w:color w:val="auto"/>
                <w:sz w:val="20"/>
                <w:szCs w:val="20"/>
                <w:lang w:eastAsia="en-US"/>
              </w:rPr>
            </w:pPr>
          </w:p>
        </w:tc>
        <w:tc>
          <w:tcPr>
            <w:tcW w:w="1134" w:type="dxa"/>
          </w:tcPr>
          <w:p w14:paraId="7285B8CD" w14:textId="77777777" w:rsidR="00E231C2" w:rsidRPr="004B1FE1" w:rsidRDefault="00E231C2" w:rsidP="004B1FE1">
            <w:pPr>
              <w:ind w:left="57" w:right="57"/>
              <w:rPr>
                <w:color w:val="auto"/>
                <w:sz w:val="20"/>
                <w:szCs w:val="20"/>
                <w:lang w:eastAsia="en-US"/>
              </w:rPr>
            </w:pPr>
            <w:r w:rsidRPr="004B1FE1">
              <w:rPr>
                <w:sz w:val="20"/>
                <w:szCs w:val="20"/>
              </w:rPr>
              <w:t>0.7</w:t>
            </w:r>
          </w:p>
        </w:tc>
      </w:tr>
      <w:tr w:rsidR="0045403A" w:rsidRPr="004B1FE1" w14:paraId="1310878A" w14:textId="77777777" w:rsidTr="004B1FE1">
        <w:trPr>
          <w:trHeight w:val="226"/>
        </w:trPr>
        <w:tc>
          <w:tcPr>
            <w:tcW w:w="1242" w:type="dxa"/>
            <w:vMerge/>
          </w:tcPr>
          <w:p w14:paraId="602BB141" w14:textId="77777777" w:rsidR="00E231C2" w:rsidRPr="004B1FE1" w:rsidRDefault="00E231C2" w:rsidP="0091477D">
            <w:pPr>
              <w:rPr>
                <w:sz w:val="20"/>
                <w:szCs w:val="20"/>
              </w:rPr>
            </w:pPr>
          </w:p>
        </w:tc>
        <w:tc>
          <w:tcPr>
            <w:tcW w:w="1418" w:type="dxa"/>
            <w:vMerge w:val="restart"/>
          </w:tcPr>
          <w:p w14:paraId="073BE2E2" w14:textId="734346A8" w:rsidR="00E231C2" w:rsidRPr="004B1FE1" w:rsidRDefault="0091477D" w:rsidP="004B1FE1">
            <w:pPr>
              <w:ind w:left="0"/>
              <w:rPr>
                <w:color w:val="auto"/>
                <w:sz w:val="20"/>
                <w:szCs w:val="20"/>
                <w:vertAlign w:val="superscript"/>
                <w:lang w:eastAsia="en-US"/>
              </w:rPr>
            </w:pPr>
            <w:r w:rsidRPr="004B1FE1">
              <w:rPr>
                <w:sz w:val="20"/>
                <w:szCs w:val="20"/>
              </w:rPr>
              <w:t>27 weeks</w:t>
            </w:r>
            <w:r w:rsidRPr="004B1FE1">
              <w:rPr>
                <w:sz w:val="20"/>
                <w:szCs w:val="20"/>
                <w:vertAlign w:val="superscript"/>
              </w:rPr>
              <w:t>2</w:t>
            </w:r>
          </w:p>
          <w:p w14:paraId="1F7BAA88" w14:textId="5B93A291" w:rsidR="00E231C2" w:rsidRPr="004B1FE1" w:rsidRDefault="0091477D" w:rsidP="004B1FE1">
            <w:pPr>
              <w:ind w:left="0"/>
              <w:rPr>
                <w:color w:val="auto"/>
                <w:sz w:val="20"/>
                <w:szCs w:val="20"/>
                <w:lang w:eastAsia="en-US"/>
              </w:rPr>
            </w:pPr>
            <w:r w:rsidRPr="004B1FE1">
              <w:rPr>
                <w:sz w:val="20"/>
                <w:szCs w:val="20"/>
              </w:rPr>
              <w:t>(1470078)</w:t>
            </w:r>
          </w:p>
        </w:tc>
        <w:tc>
          <w:tcPr>
            <w:tcW w:w="1701" w:type="dxa"/>
          </w:tcPr>
          <w:p w14:paraId="6649E03F" w14:textId="77777777" w:rsidR="00E231C2" w:rsidRPr="004B1FE1" w:rsidRDefault="00E231C2" w:rsidP="0091477D">
            <w:pPr>
              <w:rPr>
                <w:sz w:val="20"/>
                <w:szCs w:val="20"/>
              </w:rPr>
            </w:pPr>
            <w:r w:rsidRPr="004B1FE1">
              <w:rPr>
                <w:sz w:val="20"/>
                <w:szCs w:val="20"/>
              </w:rPr>
              <w:t>25</w:t>
            </w:r>
          </w:p>
        </w:tc>
        <w:tc>
          <w:tcPr>
            <w:tcW w:w="1134" w:type="dxa"/>
          </w:tcPr>
          <w:p w14:paraId="3B2CBD9C" w14:textId="77777777" w:rsidR="00E231C2" w:rsidRPr="004B1FE1" w:rsidRDefault="00E231C2" w:rsidP="004B1FE1">
            <w:pPr>
              <w:ind w:left="57" w:right="57"/>
              <w:rPr>
                <w:color w:val="auto"/>
                <w:sz w:val="20"/>
                <w:szCs w:val="20"/>
                <w:lang w:eastAsia="en-US"/>
              </w:rPr>
            </w:pPr>
            <w:r w:rsidRPr="004B1FE1">
              <w:rPr>
                <w:sz w:val="20"/>
                <w:szCs w:val="20"/>
              </w:rPr>
              <w:t>13200</w:t>
            </w:r>
          </w:p>
        </w:tc>
        <w:tc>
          <w:tcPr>
            <w:tcW w:w="1134" w:type="dxa"/>
          </w:tcPr>
          <w:p w14:paraId="3E72D2A7" w14:textId="68B75610" w:rsidR="00E231C2" w:rsidRPr="004B1FE1" w:rsidRDefault="00E231C2" w:rsidP="004B1FE1">
            <w:pPr>
              <w:ind w:left="57" w:right="57"/>
              <w:rPr>
                <w:color w:val="auto"/>
                <w:sz w:val="20"/>
                <w:szCs w:val="20"/>
                <w:lang w:eastAsia="en-US"/>
              </w:rPr>
            </w:pPr>
          </w:p>
        </w:tc>
        <w:tc>
          <w:tcPr>
            <w:tcW w:w="850" w:type="dxa"/>
          </w:tcPr>
          <w:p w14:paraId="5608275C" w14:textId="77777777" w:rsidR="00E231C2" w:rsidRPr="004B1FE1" w:rsidRDefault="00E231C2" w:rsidP="004B1FE1">
            <w:pPr>
              <w:ind w:left="57" w:right="57"/>
              <w:rPr>
                <w:color w:val="auto"/>
                <w:sz w:val="20"/>
                <w:szCs w:val="20"/>
                <w:lang w:eastAsia="en-US"/>
              </w:rPr>
            </w:pPr>
            <w:r w:rsidRPr="004B1FE1">
              <w:rPr>
                <w:sz w:val="20"/>
                <w:szCs w:val="20"/>
              </w:rPr>
              <w:t>0.4</w:t>
            </w:r>
          </w:p>
        </w:tc>
        <w:tc>
          <w:tcPr>
            <w:tcW w:w="1134" w:type="dxa"/>
          </w:tcPr>
          <w:p w14:paraId="11DAD455" w14:textId="77777777" w:rsidR="00E231C2" w:rsidRPr="004B1FE1" w:rsidRDefault="00E231C2" w:rsidP="004B1FE1">
            <w:pPr>
              <w:ind w:left="57" w:right="57"/>
              <w:rPr>
                <w:color w:val="auto"/>
                <w:sz w:val="20"/>
                <w:szCs w:val="20"/>
                <w:lang w:eastAsia="en-US"/>
              </w:rPr>
            </w:pPr>
            <w:r w:rsidRPr="004B1FE1">
              <w:rPr>
                <w:sz w:val="20"/>
                <w:szCs w:val="20"/>
              </w:rPr>
              <w:t>-</w:t>
            </w:r>
          </w:p>
        </w:tc>
      </w:tr>
      <w:tr w:rsidR="0045403A" w:rsidRPr="004B1FE1" w14:paraId="6B7FC8E1" w14:textId="77777777" w:rsidTr="004B1FE1">
        <w:trPr>
          <w:trHeight w:val="226"/>
        </w:trPr>
        <w:tc>
          <w:tcPr>
            <w:tcW w:w="1242" w:type="dxa"/>
            <w:vMerge/>
          </w:tcPr>
          <w:p w14:paraId="7C2C779F" w14:textId="77777777" w:rsidR="00E231C2" w:rsidRPr="004B1FE1" w:rsidRDefault="00E231C2" w:rsidP="0091477D">
            <w:pPr>
              <w:rPr>
                <w:sz w:val="20"/>
                <w:szCs w:val="20"/>
              </w:rPr>
            </w:pPr>
          </w:p>
        </w:tc>
        <w:tc>
          <w:tcPr>
            <w:tcW w:w="1418" w:type="dxa"/>
            <w:vMerge/>
          </w:tcPr>
          <w:p w14:paraId="50F5FB55" w14:textId="77777777" w:rsidR="00E231C2" w:rsidRPr="004B1FE1" w:rsidRDefault="00E231C2" w:rsidP="0091477D">
            <w:pPr>
              <w:rPr>
                <w:sz w:val="20"/>
                <w:szCs w:val="20"/>
              </w:rPr>
            </w:pPr>
          </w:p>
        </w:tc>
        <w:tc>
          <w:tcPr>
            <w:tcW w:w="1701" w:type="dxa"/>
          </w:tcPr>
          <w:p w14:paraId="07B7CD5D" w14:textId="77777777" w:rsidR="00E231C2" w:rsidRPr="004B1FE1" w:rsidRDefault="00E231C2" w:rsidP="0091477D">
            <w:pPr>
              <w:rPr>
                <w:sz w:val="20"/>
                <w:szCs w:val="20"/>
              </w:rPr>
            </w:pPr>
            <w:r w:rsidRPr="004B1FE1">
              <w:rPr>
                <w:sz w:val="20"/>
                <w:szCs w:val="20"/>
              </w:rPr>
              <w:t>50</w:t>
            </w:r>
          </w:p>
        </w:tc>
        <w:tc>
          <w:tcPr>
            <w:tcW w:w="1134" w:type="dxa"/>
          </w:tcPr>
          <w:p w14:paraId="314E2853" w14:textId="1336B8A9" w:rsidR="00E231C2" w:rsidRPr="004B1FE1" w:rsidRDefault="00E231C2" w:rsidP="004B1FE1">
            <w:pPr>
              <w:ind w:left="57" w:right="57"/>
              <w:rPr>
                <w:color w:val="auto"/>
                <w:sz w:val="20"/>
                <w:szCs w:val="20"/>
                <w:lang w:eastAsia="en-US"/>
              </w:rPr>
            </w:pPr>
          </w:p>
        </w:tc>
        <w:tc>
          <w:tcPr>
            <w:tcW w:w="1134" w:type="dxa"/>
          </w:tcPr>
          <w:p w14:paraId="1E6DD331" w14:textId="71D96002" w:rsidR="00E231C2" w:rsidRPr="004B1FE1" w:rsidRDefault="00E231C2" w:rsidP="004B1FE1">
            <w:pPr>
              <w:ind w:left="57" w:right="57"/>
              <w:rPr>
                <w:color w:val="auto"/>
                <w:sz w:val="20"/>
                <w:szCs w:val="20"/>
                <w:lang w:eastAsia="en-US"/>
              </w:rPr>
            </w:pPr>
            <w:r w:rsidRPr="004B1FE1">
              <w:rPr>
                <w:sz w:val="20"/>
                <w:szCs w:val="20"/>
              </w:rPr>
              <w:t>4610</w:t>
            </w:r>
          </w:p>
        </w:tc>
        <w:tc>
          <w:tcPr>
            <w:tcW w:w="850" w:type="dxa"/>
          </w:tcPr>
          <w:p w14:paraId="764BCCE0" w14:textId="6F33043E" w:rsidR="00E231C2" w:rsidRPr="004B1FE1" w:rsidRDefault="00E231C2" w:rsidP="004B1FE1">
            <w:pPr>
              <w:ind w:left="57" w:right="57"/>
              <w:rPr>
                <w:color w:val="auto"/>
                <w:sz w:val="20"/>
                <w:szCs w:val="20"/>
                <w:lang w:eastAsia="en-US"/>
              </w:rPr>
            </w:pPr>
          </w:p>
        </w:tc>
        <w:tc>
          <w:tcPr>
            <w:tcW w:w="1134" w:type="dxa"/>
          </w:tcPr>
          <w:p w14:paraId="54FF918E" w14:textId="77777777" w:rsidR="00E231C2" w:rsidRPr="004B1FE1" w:rsidRDefault="00E231C2" w:rsidP="004B1FE1">
            <w:pPr>
              <w:ind w:left="57" w:right="57"/>
              <w:rPr>
                <w:color w:val="auto"/>
                <w:sz w:val="20"/>
                <w:szCs w:val="20"/>
                <w:lang w:eastAsia="en-US"/>
              </w:rPr>
            </w:pPr>
            <w:r w:rsidRPr="004B1FE1">
              <w:rPr>
                <w:sz w:val="20"/>
                <w:szCs w:val="20"/>
              </w:rPr>
              <w:t>0.1</w:t>
            </w:r>
          </w:p>
        </w:tc>
      </w:tr>
      <w:tr w:rsidR="0045403A" w:rsidRPr="004B1FE1" w14:paraId="4BA221EF" w14:textId="77777777" w:rsidTr="004B1FE1">
        <w:trPr>
          <w:trHeight w:val="226"/>
        </w:trPr>
        <w:tc>
          <w:tcPr>
            <w:tcW w:w="1242" w:type="dxa"/>
            <w:vMerge/>
          </w:tcPr>
          <w:p w14:paraId="204A46D8" w14:textId="77777777" w:rsidR="00E231C2" w:rsidRPr="004B1FE1" w:rsidRDefault="00E231C2" w:rsidP="0091477D">
            <w:pPr>
              <w:rPr>
                <w:sz w:val="20"/>
                <w:szCs w:val="20"/>
              </w:rPr>
            </w:pPr>
          </w:p>
        </w:tc>
        <w:tc>
          <w:tcPr>
            <w:tcW w:w="1418" w:type="dxa"/>
            <w:vMerge/>
          </w:tcPr>
          <w:p w14:paraId="5C8C7D8C" w14:textId="77777777" w:rsidR="00E231C2" w:rsidRPr="004B1FE1" w:rsidRDefault="00E231C2" w:rsidP="0091477D">
            <w:pPr>
              <w:rPr>
                <w:sz w:val="20"/>
                <w:szCs w:val="20"/>
              </w:rPr>
            </w:pPr>
          </w:p>
        </w:tc>
        <w:tc>
          <w:tcPr>
            <w:tcW w:w="1701" w:type="dxa"/>
          </w:tcPr>
          <w:p w14:paraId="14B93CBA" w14:textId="77777777" w:rsidR="00E231C2" w:rsidRPr="004B1FE1" w:rsidRDefault="00E231C2" w:rsidP="0091477D">
            <w:pPr>
              <w:rPr>
                <w:sz w:val="20"/>
                <w:szCs w:val="20"/>
              </w:rPr>
            </w:pPr>
            <w:r w:rsidRPr="004B1FE1">
              <w:rPr>
                <w:sz w:val="20"/>
                <w:szCs w:val="20"/>
              </w:rPr>
              <w:t>75</w:t>
            </w:r>
          </w:p>
        </w:tc>
        <w:tc>
          <w:tcPr>
            <w:tcW w:w="1134" w:type="dxa"/>
          </w:tcPr>
          <w:p w14:paraId="215B6F62" w14:textId="77777777" w:rsidR="00E231C2" w:rsidRPr="004B1FE1" w:rsidRDefault="00E231C2" w:rsidP="004B1FE1">
            <w:pPr>
              <w:ind w:left="57" w:right="57"/>
              <w:rPr>
                <w:color w:val="auto"/>
                <w:sz w:val="20"/>
                <w:szCs w:val="20"/>
                <w:lang w:eastAsia="en-US"/>
              </w:rPr>
            </w:pPr>
            <w:r w:rsidRPr="004B1FE1">
              <w:rPr>
                <w:sz w:val="20"/>
                <w:szCs w:val="20"/>
              </w:rPr>
              <w:t>32800</w:t>
            </w:r>
          </w:p>
        </w:tc>
        <w:tc>
          <w:tcPr>
            <w:tcW w:w="1134" w:type="dxa"/>
          </w:tcPr>
          <w:p w14:paraId="4BCCC4D6" w14:textId="37F5B897" w:rsidR="00E231C2" w:rsidRPr="004B1FE1" w:rsidRDefault="00E231C2" w:rsidP="004B1FE1">
            <w:pPr>
              <w:ind w:left="57" w:right="57"/>
              <w:rPr>
                <w:color w:val="auto"/>
                <w:sz w:val="20"/>
                <w:szCs w:val="20"/>
                <w:lang w:eastAsia="en-US"/>
              </w:rPr>
            </w:pPr>
          </w:p>
        </w:tc>
        <w:tc>
          <w:tcPr>
            <w:tcW w:w="850" w:type="dxa"/>
          </w:tcPr>
          <w:p w14:paraId="09A83577" w14:textId="77777777" w:rsidR="00E231C2" w:rsidRPr="004B1FE1" w:rsidRDefault="00E231C2" w:rsidP="004B1FE1">
            <w:pPr>
              <w:ind w:left="57" w:right="57"/>
              <w:rPr>
                <w:color w:val="auto"/>
                <w:sz w:val="20"/>
                <w:szCs w:val="20"/>
                <w:lang w:eastAsia="en-US"/>
              </w:rPr>
            </w:pPr>
            <w:r w:rsidRPr="004B1FE1">
              <w:rPr>
                <w:sz w:val="20"/>
                <w:szCs w:val="20"/>
              </w:rPr>
              <w:t>1.0</w:t>
            </w:r>
          </w:p>
        </w:tc>
        <w:tc>
          <w:tcPr>
            <w:tcW w:w="1134" w:type="dxa"/>
          </w:tcPr>
          <w:p w14:paraId="1517C30A" w14:textId="77777777" w:rsidR="00E231C2" w:rsidRPr="004B1FE1" w:rsidRDefault="00E231C2" w:rsidP="004B1FE1">
            <w:pPr>
              <w:ind w:left="57" w:right="57"/>
              <w:rPr>
                <w:color w:val="auto"/>
                <w:sz w:val="20"/>
                <w:szCs w:val="20"/>
                <w:lang w:eastAsia="en-US"/>
              </w:rPr>
            </w:pPr>
            <w:r w:rsidRPr="004B1FE1">
              <w:rPr>
                <w:sz w:val="20"/>
                <w:szCs w:val="20"/>
              </w:rPr>
              <w:t>-</w:t>
            </w:r>
          </w:p>
        </w:tc>
      </w:tr>
      <w:tr w:rsidR="0045403A" w:rsidRPr="004B1FE1" w14:paraId="6FDDE27B" w14:textId="77777777" w:rsidTr="004B1FE1">
        <w:trPr>
          <w:trHeight w:val="226"/>
        </w:trPr>
        <w:tc>
          <w:tcPr>
            <w:tcW w:w="1242" w:type="dxa"/>
            <w:vMerge/>
          </w:tcPr>
          <w:p w14:paraId="25FCBCB8" w14:textId="77777777" w:rsidR="00E231C2" w:rsidRPr="004B1FE1" w:rsidRDefault="00E231C2" w:rsidP="0091477D">
            <w:pPr>
              <w:rPr>
                <w:sz w:val="20"/>
                <w:szCs w:val="20"/>
              </w:rPr>
            </w:pPr>
          </w:p>
        </w:tc>
        <w:tc>
          <w:tcPr>
            <w:tcW w:w="1418" w:type="dxa"/>
            <w:vMerge/>
          </w:tcPr>
          <w:p w14:paraId="6BE0B216" w14:textId="77777777" w:rsidR="00E231C2" w:rsidRPr="004B1FE1" w:rsidRDefault="00E231C2" w:rsidP="0091477D">
            <w:pPr>
              <w:rPr>
                <w:sz w:val="20"/>
                <w:szCs w:val="20"/>
              </w:rPr>
            </w:pPr>
          </w:p>
        </w:tc>
        <w:tc>
          <w:tcPr>
            <w:tcW w:w="1701" w:type="dxa"/>
          </w:tcPr>
          <w:p w14:paraId="261CEEA1" w14:textId="77777777" w:rsidR="00E231C2" w:rsidRPr="004B1FE1" w:rsidRDefault="00E231C2" w:rsidP="0091477D">
            <w:pPr>
              <w:rPr>
                <w:sz w:val="20"/>
                <w:szCs w:val="20"/>
              </w:rPr>
            </w:pPr>
            <w:r w:rsidRPr="004B1FE1">
              <w:rPr>
                <w:sz w:val="20"/>
                <w:szCs w:val="20"/>
              </w:rPr>
              <w:t>150</w:t>
            </w:r>
          </w:p>
        </w:tc>
        <w:tc>
          <w:tcPr>
            <w:tcW w:w="1134" w:type="dxa"/>
          </w:tcPr>
          <w:p w14:paraId="3EFB5B0C" w14:textId="77777777" w:rsidR="00E231C2" w:rsidRPr="004B1FE1" w:rsidRDefault="00E231C2" w:rsidP="004B1FE1">
            <w:pPr>
              <w:ind w:left="57" w:right="57"/>
              <w:rPr>
                <w:color w:val="auto"/>
                <w:sz w:val="20"/>
                <w:szCs w:val="20"/>
                <w:lang w:eastAsia="en-US"/>
              </w:rPr>
            </w:pPr>
            <w:r w:rsidRPr="004B1FE1">
              <w:rPr>
                <w:sz w:val="20"/>
                <w:szCs w:val="20"/>
              </w:rPr>
              <w:t>45300</w:t>
            </w:r>
          </w:p>
        </w:tc>
        <w:tc>
          <w:tcPr>
            <w:tcW w:w="1134" w:type="dxa"/>
          </w:tcPr>
          <w:p w14:paraId="4BE0BCEA" w14:textId="77777777" w:rsidR="00E231C2" w:rsidRPr="004B1FE1" w:rsidRDefault="00E231C2" w:rsidP="004B1FE1">
            <w:pPr>
              <w:ind w:left="57" w:right="57"/>
              <w:rPr>
                <w:color w:val="auto"/>
                <w:sz w:val="20"/>
                <w:szCs w:val="20"/>
                <w:lang w:eastAsia="en-US"/>
              </w:rPr>
            </w:pPr>
            <w:r w:rsidRPr="004B1FE1">
              <w:rPr>
                <w:sz w:val="20"/>
                <w:szCs w:val="20"/>
              </w:rPr>
              <w:t>9130</w:t>
            </w:r>
          </w:p>
        </w:tc>
        <w:tc>
          <w:tcPr>
            <w:tcW w:w="850" w:type="dxa"/>
          </w:tcPr>
          <w:p w14:paraId="07BC49E2" w14:textId="77777777" w:rsidR="00E231C2" w:rsidRPr="004B1FE1" w:rsidRDefault="00E231C2" w:rsidP="004B1FE1">
            <w:pPr>
              <w:ind w:left="57" w:right="57"/>
              <w:rPr>
                <w:color w:val="auto"/>
                <w:sz w:val="20"/>
                <w:szCs w:val="20"/>
                <w:lang w:eastAsia="en-US"/>
              </w:rPr>
            </w:pPr>
            <w:r w:rsidRPr="004B1FE1">
              <w:rPr>
                <w:sz w:val="20"/>
                <w:szCs w:val="20"/>
              </w:rPr>
              <w:t>1.4</w:t>
            </w:r>
          </w:p>
        </w:tc>
        <w:tc>
          <w:tcPr>
            <w:tcW w:w="1134" w:type="dxa"/>
          </w:tcPr>
          <w:p w14:paraId="5D6B13A7" w14:textId="77777777" w:rsidR="00E231C2" w:rsidRPr="004B1FE1" w:rsidRDefault="00E231C2" w:rsidP="004B1FE1">
            <w:pPr>
              <w:ind w:left="57" w:right="57"/>
              <w:rPr>
                <w:color w:val="auto"/>
                <w:sz w:val="20"/>
                <w:szCs w:val="20"/>
                <w:lang w:eastAsia="en-US"/>
              </w:rPr>
            </w:pPr>
            <w:r w:rsidRPr="004B1FE1">
              <w:rPr>
                <w:sz w:val="20"/>
                <w:szCs w:val="20"/>
              </w:rPr>
              <w:t>0.3</w:t>
            </w:r>
          </w:p>
        </w:tc>
      </w:tr>
      <w:tr w:rsidR="0045403A" w:rsidRPr="004B1FE1" w14:paraId="3F25E4EA" w14:textId="77777777" w:rsidTr="004B1FE1">
        <w:trPr>
          <w:trHeight w:val="226"/>
        </w:trPr>
        <w:tc>
          <w:tcPr>
            <w:tcW w:w="1242" w:type="dxa"/>
            <w:vMerge/>
          </w:tcPr>
          <w:p w14:paraId="2E466958" w14:textId="77777777" w:rsidR="00E231C2" w:rsidRPr="004B1FE1" w:rsidRDefault="00E231C2" w:rsidP="0091477D">
            <w:pPr>
              <w:rPr>
                <w:sz w:val="20"/>
                <w:szCs w:val="20"/>
              </w:rPr>
            </w:pPr>
          </w:p>
        </w:tc>
        <w:tc>
          <w:tcPr>
            <w:tcW w:w="1418" w:type="dxa"/>
            <w:vMerge/>
          </w:tcPr>
          <w:p w14:paraId="5E4414BB" w14:textId="77777777" w:rsidR="00E231C2" w:rsidRPr="004B1FE1" w:rsidRDefault="00E231C2" w:rsidP="0091477D">
            <w:pPr>
              <w:rPr>
                <w:sz w:val="20"/>
                <w:szCs w:val="20"/>
              </w:rPr>
            </w:pPr>
          </w:p>
        </w:tc>
        <w:tc>
          <w:tcPr>
            <w:tcW w:w="1701" w:type="dxa"/>
          </w:tcPr>
          <w:p w14:paraId="74DC39E0" w14:textId="77777777" w:rsidR="00E231C2" w:rsidRPr="004B1FE1" w:rsidRDefault="00E231C2" w:rsidP="0091477D">
            <w:pPr>
              <w:rPr>
                <w:sz w:val="20"/>
                <w:szCs w:val="20"/>
              </w:rPr>
            </w:pPr>
            <w:r w:rsidRPr="004B1FE1">
              <w:rPr>
                <w:sz w:val="20"/>
                <w:szCs w:val="20"/>
              </w:rPr>
              <w:t>300</w:t>
            </w:r>
          </w:p>
        </w:tc>
        <w:tc>
          <w:tcPr>
            <w:tcW w:w="1134" w:type="dxa"/>
          </w:tcPr>
          <w:p w14:paraId="3FA52E73" w14:textId="6123DD82" w:rsidR="00E231C2" w:rsidRPr="004B1FE1" w:rsidRDefault="00E231C2" w:rsidP="004B1FE1">
            <w:pPr>
              <w:ind w:left="57" w:right="57"/>
              <w:rPr>
                <w:color w:val="auto"/>
                <w:sz w:val="20"/>
                <w:szCs w:val="20"/>
                <w:lang w:eastAsia="en-US"/>
              </w:rPr>
            </w:pPr>
          </w:p>
        </w:tc>
        <w:tc>
          <w:tcPr>
            <w:tcW w:w="1134" w:type="dxa"/>
          </w:tcPr>
          <w:p w14:paraId="3EF3D728" w14:textId="77777777" w:rsidR="00E231C2" w:rsidRPr="004B1FE1" w:rsidRDefault="00E231C2" w:rsidP="004B1FE1">
            <w:pPr>
              <w:ind w:left="57" w:right="57"/>
              <w:rPr>
                <w:color w:val="auto"/>
                <w:sz w:val="20"/>
                <w:szCs w:val="20"/>
                <w:lang w:eastAsia="en-US"/>
              </w:rPr>
            </w:pPr>
            <w:r w:rsidRPr="004B1FE1">
              <w:rPr>
                <w:sz w:val="20"/>
                <w:szCs w:val="20"/>
              </w:rPr>
              <w:t>20000</w:t>
            </w:r>
          </w:p>
        </w:tc>
        <w:tc>
          <w:tcPr>
            <w:tcW w:w="850" w:type="dxa"/>
          </w:tcPr>
          <w:p w14:paraId="2B91EA28" w14:textId="5C6DA284" w:rsidR="00E231C2" w:rsidRPr="004B1FE1" w:rsidRDefault="00E231C2" w:rsidP="004B1FE1">
            <w:pPr>
              <w:ind w:left="57" w:right="57"/>
              <w:rPr>
                <w:color w:val="auto"/>
                <w:sz w:val="20"/>
                <w:szCs w:val="20"/>
                <w:lang w:eastAsia="en-US"/>
              </w:rPr>
            </w:pPr>
          </w:p>
        </w:tc>
        <w:tc>
          <w:tcPr>
            <w:tcW w:w="1134" w:type="dxa"/>
          </w:tcPr>
          <w:p w14:paraId="17D0C518" w14:textId="77777777" w:rsidR="00E231C2" w:rsidRPr="004B1FE1" w:rsidRDefault="00E231C2" w:rsidP="004B1FE1">
            <w:pPr>
              <w:ind w:left="57" w:right="57"/>
              <w:rPr>
                <w:color w:val="auto"/>
                <w:sz w:val="20"/>
                <w:szCs w:val="20"/>
                <w:lang w:eastAsia="en-US"/>
              </w:rPr>
            </w:pPr>
            <w:r w:rsidRPr="004B1FE1">
              <w:rPr>
                <w:sz w:val="20"/>
                <w:szCs w:val="20"/>
              </w:rPr>
              <w:t>0.6</w:t>
            </w:r>
          </w:p>
        </w:tc>
      </w:tr>
      <w:tr w:rsidR="0045403A" w:rsidRPr="004B1FE1" w14:paraId="75064B0E" w14:textId="77777777" w:rsidTr="004B1FE1">
        <w:trPr>
          <w:trHeight w:val="226"/>
        </w:trPr>
        <w:tc>
          <w:tcPr>
            <w:tcW w:w="1242" w:type="dxa"/>
            <w:vMerge w:val="restart"/>
          </w:tcPr>
          <w:p w14:paraId="79370FD3" w14:textId="77777777" w:rsidR="00887DAD" w:rsidRPr="004B1FE1" w:rsidRDefault="00E231C2" w:rsidP="004B1FE1">
            <w:pPr>
              <w:ind w:left="0"/>
              <w:rPr>
                <w:color w:val="auto"/>
                <w:sz w:val="20"/>
                <w:szCs w:val="20"/>
                <w:lang w:eastAsia="en-US"/>
              </w:rPr>
            </w:pPr>
            <w:r w:rsidRPr="004B1FE1">
              <w:rPr>
                <w:b/>
                <w:sz w:val="20"/>
                <w:szCs w:val="20"/>
              </w:rPr>
              <w:t>Dog</w:t>
            </w:r>
          </w:p>
          <w:p w14:paraId="2BCBAB84" w14:textId="5066FFA5" w:rsidR="00E231C2" w:rsidRPr="004B1FE1" w:rsidRDefault="00E231C2" w:rsidP="004B1FE1">
            <w:pPr>
              <w:ind w:left="0"/>
              <w:rPr>
                <w:color w:val="auto"/>
                <w:sz w:val="20"/>
                <w:szCs w:val="20"/>
                <w:lang w:eastAsia="en-US"/>
              </w:rPr>
            </w:pPr>
            <w:r w:rsidRPr="004B1FE1">
              <w:rPr>
                <w:sz w:val="20"/>
                <w:szCs w:val="20"/>
              </w:rPr>
              <w:t>(Beagle)</w:t>
            </w:r>
          </w:p>
        </w:tc>
        <w:tc>
          <w:tcPr>
            <w:tcW w:w="1418" w:type="dxa"/>
            <w:vMerge w:val="restart"/>
          </w:tcPr>
          <w:p w14:paraId="3F7FBDDF" w14:textId="77777777" w:rsidR="00E231C2" w:rsidRPr="004B1FE1" w:rsidRDefault="00E231C2" w:rsidP="004B1FE1">
            <w:pPr>
              <w:ind w:left="0"/>
              <w:rPr>
                <w:color w:val="auto"/>
                <w:sz w:val="20"/>
                <w:szCs w:val="20"/>
                <w:lang w:eastAsia="en-US"/>
              </w:rPr>
            </w:pPr>
            <w:r w:rsidRPr="004B1FE1">
              <w:rPr>
                <w:sz w:val="20"/>
                <w:szCs w:val="20"/>
              </w:rPr>
              <w:t>4 weeks</w:t>
            </w:r>
          </w:p>
          <w:p w14:paraId="22A3E277" w14:textId="3CA8079A" w:rsidR="00E231C2" w:rsidRPr="004B1FE1" w:rsidRDefault="0091477D" w:rsidP="004B1FE1">
            <w:pPr>
              <w:ind w:left="0"/>
              <w:rPr>
                <w:color w:val="auto"/>
                <w:sz w:val="20"/>
                <w:szCs w:val="20"/>
                <w:lang w:eastAsia="en-US"/>
              </w:rPr>
            </w:pPr>
            <w:r w:rsidRPr="004B1FE1">
              <w:rPr>
                <w:sz w:val="20"/>
                <w:szCs w:val="20"/>
              </w:rPr>
              <w:t>(0870399)</w:t>
            </w:r>
          </w:p>
        </w:tc>
        <w:tc>
          <w:tcPr>
            <w:tcW w:w="1701" w:type="dxa"/>
          </w:tcPr>
          <w:p w14:paraId="0433A987" w14:textId="77777777" w:rsidR="00E231C2" w:rsidRPr="004B1FE1" w:rsidRDefault="00E231C2" w:rsidP="0091477D">
            <w:pPr>
              <w:rPr>
                <w:sz w:val="20"/>
                <w:szCs w:val="20"/>
              </w:rPr>
            </w:pPr>
            <w:r w:rsidRPr="004B1FE1">
              <w:rPr>
                <w:sz w:val="20"/>
                <w:szCs w:val="20"/>
              </w:rPr>
              <w:t>5</w:t>
            </w:r>
          </w:p>
        </w:tc>
        <w:tc>
          <w:tcPr>
            <w:tcW w:w="1134" w:type="dxa"/>
          </w:tcPr>
          <w:p w14:paraId="4CFB5FA8" w14:textId="77777777" w:rsidR="00E231C2" w:rsidRPr="004B1FE1" w:rsidRDefault="00E231C2" w:rsidP="004B1FE1">
            <w:pPr>
              <w:ind w:left="57" w:right="57"/>
              <w:rPr>
                <w:color w:val="auto"/>
                <w:sz w:val="20"/>
                <w:szCs w:val="20"/>
                <w:lang w:eastAsia="en-US"/>
              </w:rPr>
            </w:pPr>
            <w:r w:rsidRPr="004B1FE1">
              <w:rPr>
                <w:sz w:val="20"/>
                <w:szCs w:val="20"/>
              </w:rPr>
              <w:t>5140</w:t>
            </w:r>
          </w:p>
        </w:tc>
        <w:tc>
          <w:tcPr>
            <w:tcW w:w="1134" w:type="dxa"/>
          </w:tcPr>
          <w:p w14:paraId="62919209" w14:textId="77777777" w:rsidR="00E231C2" w:rsidRPr="004B1FE1" w:rsidRDefault="00E231C2" w:rsidP="004B1FE1">
            <w:pPr>
              <w:ind w:left="57" w:right="57"/>
              <w:rPr>
                <w:color w:val="auto"/>
                <w:sz w:val="20"/>
                <w:szCs w:val="20"/>
                <w:lang w:eastAsia="en-US"/>
              </w:rPr>
            </w:pPr>
            <w:r w:rsidRPr="004B1FE1">
              <w:rPr>
                <w:sz w:val="20"/>
                <w:szCs w:val="20"/>
              </w:rPr>
              <w:t>3490</w:t>
            </w:r>
          </w:p>
        </w:tc>
        <w:tc>
          <w:tcPr>
            <w:tcW w:w="850" w:type="dxa"/>
          </w:tcPr>
          <w:p w14:paraId="059C5397" w14:textId="77777777" w:rsidR="00E231C2" w:rsidRPr="004B1FE1" w:rsidRDefault="00E231C2" w:rsidP="004B1FE1">
            <w:pPr>
              <w:ind w:left="57" w:right="57"/>
              <w:rPr>
                <w:color w:val="auto"/>
                <w:sz w:val="20"/>
                <w:szCs w:val="20"/>
                <w:lang w:eastAsia="en-US"/>
              </w:rPr>
            </w:pPr>
            <w:r w:rsidRPr="004B1FE1">
              <w:rPr>
                <w:sz w:val="20"/>
                <w:szCs w:val="20"/>
              </w:rPr>
              <w:t>0.2</w:t>
            </w:r>
          </w:p>
        </w:tc>
        <w:tc>
          <w:tcPr>
            <w:tcW w:w="1134" w:type="dxa"/>
          </w:tcPr>
          <w:p w14:paraId="593F860B" w14:textId="77777777" w:rsidR="00E231C2" w:rsidRPr="004B1FE1" w:rsidRDefault="00E231C2" w:rsidP="004B1FE1">
            <w:pPr>
              <w:ind w:left="57" w:right="57"/>
              <w:rPr>
                <w:color w:val="auto"/>
                <w:sz w:val="20"/>
                <w:szCs w:val="20"/>
                <w:lang w:eastAsia="en-US"/>
              </w:rPr>
            </w:pPr>
            <w:r w:rsidRPr="004B1FE1">
              <w:rPr>
                <w:sz w:val="20"/>
                <w:szCs w:val="20"/>
              </w:rPr>
              <w:t>0.1</w:t>
            </w:r>
          </w:p>
        </w:tc>
      </w:tr>
      <w:tr w:rsidR="0045403A" w:rsidRPr="004B1FE1" w14:paraId="34863D50" w14:textId="77777777" w:rsidTr="004B1FE1">
        <w:trPr>
          <w:trHeight w:val="226"/>
        </w:trPr>
        <w:tc>
          <w:tcPr>
            <w:tcW w:w="1242" w:type="dxa"/>
            <w:vMerge/>
          </w:tcPr>
          <w:p w14:paraId="0D7A49FB" w14:textId="77777777" w:rsidR="00E231C2" w:rsidRPr="004B1FE1" w:rsidRDefault="00E231C2" w:rsidP="0091477D">
            <w:pPr>
              <w:rPr>
                <w:sz w:val="20"/>
                <w:szCs w:val="20"/>
              </w:rPr>
            </w:pPr>
          </w:p>
        </w:tc>
        <w:tc>
          <w:tcPr>
            <w:tcW w:w="1418" w:type="dxa"/>
            <w:vMerge/>
          </w:tcPr>
          <w:p w14:paraId="2774D942" w14:textId="77777777" w:rsidR="00E231C2" w:rsidRPr="004B1FE1" w:rsidRDefault="00E231C2" w:rsidP="0091477D">
            <w:pPr>
              <w:rPr>
                <w:sz w:val="20"/>
                <w:szCs w:val="20"/>
              </w:rPr>
            </w:pPr>
          </w:p>
        </w:tc>
        <w:tc>
          <w:tcPr>
            <w:tcW w:w="1701" w:type="dxa"/>
          </w:tcPr>
          <w:p w14:paraId="48BF7FDC" w14:textId="77777777" w:rsidR="00E231C2" w:rsidRPr="004B1FE1" w:rsidRDefault="00E231C2" w:rsidP="0091477D">
            <w:pPr>
              <w:rPr>
                <w:sz w:val="20"/>
                <w:szCs w:val="20"/>
              </w:rPr>
            </w:pPr>
            <w:r w:rsidRPr="004B1FE1">
              <w:rPr>
                <w:sz w:val="20"/>
                <w:szCs w:val="20"/>
              </w:rPr>
              <w:t>10</w:t>
            </w:r>
          </w:p>
        </w:tc>
        <w:tc>
          <w:tcPr>
            <w:tcW w:w="1134" w:type="dxa"/>
          </w:tcPr>
          <w:p w14:paraId="7598EE50" w14:textId="77777777" w:rsidR="00E231C2" w:rsidRPr="004B1FE1" w:rsidRDefault="00E231C2" w:rsidP="004B1FE1">
            <w:pPr>
              <w:ind w:left="57" w:right="57"/>
              <w:rPr>
                <w:color w:val="auto"/>
                <w:sz w:val="20"/>
                <w:szCs w:val="20"/>
                <w:lang w:eastAsia="en-US"/>
              </w:rPr>
            </w:pPr>
            <w:r w:rsidRPr="004B1FE1">
              <w:rPr>
                <w:sz w:val="20"/>
                <w:szCs w:val="20"/>
              </w:rPr>
              <w:t>12400</w:t>
            </w:r>
          </w:p>
        </w:tc>
        <w:tc>
          <w:tcPr>
            <w:tcW w:w="1134" w:type="dxa"/>
          </w:tcPr>
          <w:p w14:paraId="06FB79A3" w14:textId="77777777" w:rsidR="00E231C2" w:rsidRPr="004B1FE1" w:rsidRDefault="00E231C2" w:rsidP="004B1FE1">
            <w:pPr>
              <w:ind w:left="57" w:right="57"/>
              <w:rPr>
                <w:color w:val="auto"/>
                <w:sz w:val="20"/>
                <w:szCs w:val="20"/>
                <w:lang w:eastAsia="en-US"/>
              </w:rPr>
            </w:pPr>
            <w:r w:rsidRPr="004B1FE1">
              <w:rPr>
                <w:sz w:val="20"/>
                <w:szCs w:val="20"/>
              </w:rPr>
              <w:t>9700</w:t>
            </w:r>
          </w:p>
        </w:tc>
        <w:tc>
          <w:tcPr>
            <w:tcW w:w="850" w:type="dxa"/>
          </w:tcPr>
          <w:p w14:paraId="78761E61" w14:textId="77777777" w:rsidR="00E231C2" w:rsidRPr="004B1FE1" w:rsidRDefault="00E231C2" w:rsidP="004B1FE1">
            <w:pPr>
              <w:ind w:left="57" w:right="57"/>
              <w:rPr>
                <w:color w:val="auto"/>
                <w:sz w:val="20"/>
                <w:szCs w:val="20"/>
                <w:lang w:eastAsia="en-US"/>
              </w:rPr>
            </w:pPr>
            <w:r w:rsidRPr="004B1FE1">
              <w:rPr>
                <w:sz w:val="20"/>
                <w:szCs w:val="20"/>
              </w:rPr>
              <w:t>0.4</w:t>
            </w:r>
          </w:p>
        </w:tc>
        <w:tc>
          <w:tcPr>
            <w:tcW w:w="1134" w:type="dxa"/>
          </w:tcPr>
          <w:p w14:paraId="667869F8" w14:textId="77777777" w:rsidR="00E231C2" w:rsidRPr="004B1FE1" w:rsidRDefault="00E231C2" w:rsidP="004B1FE1">
            <w:pPr>
              <w:ind w:left="57" w:right="57"/>
              <w:rPr>
                <w:color w:val="auto"/>
                <w:sz w:val="20"/>
                <w:szCs w:val="20"/>
                <w:lang w:eastAsia="en-US"/>
              </w:rPr>
            </w:pPr>
            <w:r w:rsidRPr="004B1FE1">
              <w:rPr>
                <w:sz w:val="20"/>
                <w:szCs w:val="20"/>
              </w:rPr>
              <w:t>0.3</w:t>
            </w:r>
          </w:p>
        </w:tc>
      </w:tr>
      <w:tr w:rsidR="0045403A" w:rsidRPr="004B1FE1" w14:paraId="37C2339D" w14:textId="77777777" w:rsidTr="004B1FE1">
        <w:trPr>
          <w:trHeight w:val="226"/>
        </w:trPr>
        <w:tc>
          <w:tcPr>
            <w:tcW w:w="1242" w:type="dxa"/>
            <w:vMerge/>
          </w:tcPr>
          <w:p w14:paraId="1CEB0752" w14:textId="77777777" w:rsidR="00E231C2" w:rsidRPr="004B1FE1" w:rsidRDefault="00E231C2" w:rsidP="0091477D">
            <w:pPr>
              <w:rPr>
                <w:sz w:val="20"/>
                <w:szCs w:val="20"/>
              </w:rPr>
            </w:pPr>
          </w:p>
        </w:tc>
        <w:tc>
          <w:tcPr>
            <w:tcW w:w="1418" w:type="dxa"/>
            <w:vMerge/>
          </w:tcPr>
          <w:p w14:paraId="7F84A5C8" w14:textId="77777777" w:rsidR="00E231C2" w:rsidRPr="004B1FE1" w:rsidRDefault="00E231C2" w:rsidP="0091477D">
            <w:pPr>
              <w:rPr>
                <w:sz w:val="20"/>
                <w:szCs w:val="20"/>
              </w:rPr>
            </w:pPr>
          </w:p>
        </w:tc>
        <w:tc>
          <w:tcPr>
            <w:tcW w:w="1701" w:type="dxa"/>
          </w:tcPr>
          <w:p w14:paraId="1ED8F76C" w14:textId="77777777" w:rsidR="00E231C2" w:rsidRPr="004B1FE1" w:rsidRDefault="00E231C2" w:rsidP="0091477D">
            <w:pPr>
              <w:rPr>
                <w:sz w:val="20"/>
                <w:szCs w:val="20"/>
              </w:rPr>
            </w:pPr>
            <w:r w:rsidRPr="004B1FE1">
              <w:rPr>
                <w:sz w:val="20"/>
                <w:szCs w:val="20"/>
              </w:rPr>
              <w:t>20</w:t>
            </w:r>
          </w:p>
        </w:tc>
        <w:tc>
          <w:tcPr>
            <w:tcW w:w="1134" w:type="dxa"/>
          </w:tcPr>
          <w:p w14:paraId="0498B731" w14:textId="77777777" w:rsidR="00E231C2" w:rsidRPr="004B1FE1" w:rsidRDefault="00E231C2" w:rsidP="004B1FE1">
            <w:pPr>
              <w:ind w:left="57" w:right="57"/>
              <w:rPr>
                <w:color w:val="auto"/>
                <w:sz w:val="20"/>
                <w:szCs w:val="20"/>
                <w:lang w:eastAsia="en-US"/>
              </w:rPr>
            </w:pPr>
            <w:r w:rsidRPr="004B1FE1">
              <w:rPr>
                <w:sz w:val="20"/>
                <w:szCs w:val="20"/>
              </w:rPr>
              <w:t>26300</w:t>
            </w:r>
          </w:p>
        </w:tc>
        <w:tc>
          <w:tcPr>
            <w:tcW w:w="1134" w:type="dxa"/>
          </w:tcPr>
          <w:p w14:paraId="71B874D1" w14:textId="77777777" w:rsidR="00E231C2" w:rsidRPr="004B1FE1" w:rsidRDefault="00E231C2" w:rsidP="004B1FE1">
            <w:pPr>
              <w:ind w:left="57" w:right="57"/>
              <w:rPr>
                <w:color w:val="auto"/>
                <w:sz w:val="20"/>
                <w:szCs w:val="20"/>
                <w:lang w:eastAsia="en-US"/>
              </w:rPr>
            </w:pPr>
            <w:r w:rsidRPr="004B1FE1">
              <w:rPr>
                <w:sz w:val="20"/>
                <w:szCs w:val="20"/>
              </w:rPr>
              <w:t>23900</w:t>
            </w:r>
          </w:p>
        </w:tc>
        <w:tc>
          <w:tcPr>
            <w:tcW w:w="850" w:type="dxa"/>
          </w:tcPr>
          <w:p w14:paraId="4C666199" w14:textId="77777777" w:rsidR="00E231C2" w:rsidRPr="004B1FE1" w:rsidRDefault="00E231C2" w:rsidP="004B1FE1">
            <w:pPr>
              <w:ind w:left="57" w:right="57"/>
              <w:rPr>
                <w:color w:val="auto"/>
                <w:sz w:val="20"/>
                <w:szCs w:val="20"/>
                <w:lang w:eastAsia="en-US"/>
              </w:rPr>
            </w:pPr>
            <w:r w:rsidRPr="004B1FE1">
              <w:rPr>
                <w:sz w:val="20"/>
                <w:szCs w:val="20"/>
              </w:rPr>
              <w:t>0.8</w:t>
            </w:r>
          </w:p>
        </w:tc>
        <w:tc>
          <w:tcPr>
            <w:tcW w:w="1134" w:type="dxa"/>
          </w:tcPr>
          <w:p w14:paraId="0EBB052C" w14:textId="77777777" w:rsidR="00E231C2" w:rsidRPr="004B1FE1" w:rsidRDefault="00E231C2" w:rsidP="004B1FE1">
            <w:pPr>
              <w:ind w:left="57" w:right="57"/>
              <w:rPr>
                <w:color w:val="auto"/>
                <w:sz w:val="20"/>
                <w:szCs w:val="20"/>
                <w:lang w:eastAsia="en-US"/>
              </w:rPr>
            </w:pPr>
            <w:r w:rsidRPr="004B1FE1">
              <w:rPr>
                <w:sz w:val="20"/>
                <w:szCs w:val="20"/>
              </w:rPr>
              <w:t>0.7</w:t>
            </w:r>
          </w:p>
        </w:tc>
      </w:tr>
      <w:tr w:rsidR="0045403A" w:rsidRPr="004B1FE1" w14:paraId="5E499A2A" w14:textId="77777777" w:rsidTr="004B1FE1">
        <w:trPr>
          <w:trHeight w:val="226"/>
        </w:trPr>
        <w:tc>
          <w:tcPr>
            <w:tcW w:w="1242" w:type="dxa"/>
            <w:vMerge/>
          </w:tcPr>
          <w:p w14:paraId="3042E494" w14:textId="77777777" w:rsidR="00E231C2" w:rsidRPr="004B1FE1" w:rsidRDefault="00E231C2" w:rsidP="0091477D">
            <w:pPr>
              <w:rPr>
                <w:sz w:val="20"/>
                <w:szCs w:val="20"/>
              </w:rPr>
            </w:pPr>
          </w:p>
        </w:tc>
        <w:tc>
          <w:tcPr>
            <w:tcW w:w="1418" w:type="dxa"/>
            <w:vMerge w:val="restart"/>
          </w:tcPr>
          <w:p w14:paraId="335EBE9B" w14:textId="77777777" w:rsidR="0091477D" w:rsidRPr="004B1FE1" w:rsidRDefault="0091477D" w:rsidP="004B1FE1">
            <w:pPr>
              <w:ind w:left="0"/>
              <w:rPr>
                <w:color w:val="auto"/>
                <w:sz w:val="20"/>
                <w:szCs w:val="20"/>
                <w:lang w:eastAsia="en-US"/>
              </w:rPr>
            </w:pPr>
            <w:r w:rsidRPr="004B1FE1">
              <w:rPr>
                <w:sz w:val="20"/>
                <w:szCs w:val="20"/>
              </w:rPr>
              <w:t>15 weeks</w:t>
            </w:r>
            <w:r w:rsidRPr="004B1FE1">
              <w:rPr>
                <w:sz w:val="20"/>
                <w:szCs w:val="20"/>
                <w:vertAlign w:val="superscript"/>
              </w:rPr>
              <w:t>2</w:t>
            </w:r>
          </w:p>
          <w:p w14:paraId="1147D3BE" w14:textId="2C1DC5CA" w:rsidR="00E231C2" w:rsidRPr="004B1FE1" w:rsidRDefault="0091477D" w:rsidP="004B1FE1">
            <w:pPr>
              <w:ind w:left="0"/>
              <w:rPr>
                <w:color w:val="auto"/>
                <w:sz w:val="20"/>
                <w:szCs w:val="20"/>
                <w:lang w:eastAsia="en-US"/>
              </w:rPr>
            </w:pPr>
            <w:r w:rsidRPr="004B1FE1">
              <w:rPr>
                <w:sz w:val="20"/>
                <w:szCs w:val="20"/>
              </w:rPr>
              <w:t>(1370291)</w:t>
            </w:r>
          </w:p>
        </w:tc>
        <w:tc>
          <w:tcPr>
            <w:tcW w:w="1701" w:type="dxa"/>
          </w:tcPr>
          <w:p w14:paraId="0B92C890" w14:textId="77777777" w:rsidR="00E231C2" w:rsidRPr="004B1FE1" w:rsidRDefault="00E231C2" w:rsidP="0091477D">
            <w:pPr>
              <w:rPr>
                <w:sz w:val="20"/>
                <w:szCs w:val="20"/>
              </w:rPr>
            </w:pPr>
            <w:r w:rsidRPr="004B1FE1">
              <w:rPr>
                <w:sz w:val="20"/>
                <w:szCs w:val="20"/>
              </w:rPr>
              <w:t>1</w:t>
            </w:r>
          </w:p>
        </w:tc>
        <w:tc>
          <w:tcPr>
            <w:tcW w:w="1134" w:type="dxa"/>
          </w:tcPr>
          <w:p w14:paraId="1924FA0E" w14:textId="77777777" w:rsidR="00E231C2" w:rsidRPr="004B1FE1" w:rsidRDefault="00E231C2" w:rsidP="004B1FE1">
            <w:pPr>
              <w:ind w:left="57" w:right="57"/>
              <w:rPr>
                <w:color w:val="auto"/>
                <w:sz w:val="20"/>
                <w:szCs w:val="20"/>
                <w:lang w:eastAsia="en-US"/>
              </w:rPr>
            </w:pPr>
            <w:r w:rsidRPr="004B1FE1">
              <w:rPr>
                <w:sz w:val="20"/>
                <w:szCs w:val="20"/>
              </w:rPr>
              <w:t>777</w:t>
            </w:r>
          </w:p>
        </w:tc>
        <w:tc>
          <w:tcPr>
            <w:tcW w:w="1134" w:type="dxa"/>
          </w:tcPr>
          <w:p w14:paraId="3A99B856" w14:textId="77777777" w:rsidR="00E231C2" w:rsidRPr="004B1FE1" w:rsidRDefault="00E231C2" w:rsidP="004B1FE1">
            <w:pPr>
              <w:ind w:left="57" w:right="57"/>
              <w:rPr>
                <w:color w:val="auto"/>
                <w:sz w:val="20"/>
                <w:szCs w:val="20"/>
                <w:lang w:eastAsia="en-US"/>
              </w:rPr>
            </w:pPr>
            <w:r w:rsidRPr="004B1FE1">
              <w:rPr>
                <w:sz w:val="20"/>
                <w:szCs w:val="20"/>
              </w:rPr>
              <w:t>553</w:t>
            </w:r>
          </w:p>
        </w:tc>
        <w:tc>
          <w:tcPr>
            <w:tcW w:w="850" w:type="dxa"/>
          </w:tcPr>
          <w:p w14:paraId="36419F7F" w14:textId="77777777" w:rsidR="00E231C2" w:rsidRPr="004B1FE1" w:rsidRDefault="00E231C2" w:rsidP="004B1FE1">
            <w:pPr>
              <w:ind w:left="57" w:right="57"/>
              <w:rPr>
                <w:color w:val="auto"/>
                <w:sz w:val="20"/>
                <w:szCs w:val="20"/>
                <w:lang w:eastAsia="en-US"/>
              </w:rPr>
            </w:pPr>
            <w:r w:rsidRPr="004B1FE1">
              <w:rPr>
                <w:sz w:val="20"/>
                <w:szCs w:val="20"/>
              </w:rPr>
              <w:t>0.02</w:t>
            </w:r>
          </w:p>
        </w:tc>
        <w:tc>
          <w:tcPr>
            <w:tcW w:w="1134" w:type="dxa"/>
          </w:tcPr>
          <w:p w14:paraId="0E90A654" w14:textId="77777777" w:rsidR="00E231C2" w:rsidRPr="004B1FE1" w:rsidRDefault="00E231C2" w:rsidP="004B1FE1">
            <w:pPr>
              <w:ind w:left="57" w:right="57"/>
              <w:rPr>
                <w:color w:val="auto"/>
                <w:sz w:val="20"/>
                <w:szCs w:val="20"/>
                <w:lang w:eastAsia="en-US"/>
              </w:rPr>
            </w:pPr>
            <w:r w:rsidRPr="004B1FE1">
              <w:rPr>
                <w:sz w:val="20"/>
                <w:szCs w:val="20"/>
              </w:rPr>
              <w:t>0.02</w:t>
            </w:r>
          </w:p>
        </w:tc>
      </w:tr>
      <w:tr w:rsidR="0045403A" w:rsidRPr="004B1FE1" w14:paraId="2E65B361" w14:textId="77777777" w:rsidTr="004B1FE1">
        <w:trPr>
          <w:trHeight w:val="226"/>
        </w:trPr>
        <w:tc>
          <w:tcPr>
            <w:tcW w:w="1242" w:type="dxa"/>
            <w:vMerge/>
          </w:tcPr>
          <w:p w14:paraId="48AC1932" w14:textId="77777777" w:rsidR="00E231C2" w:rsidRPr="004B1FE1" w:rsidRDefault="00E231C2" w:rsidP="0091477D">
            <w:pPr>
              <w:rPr>
                <w:sz w:val="20"/>
                <w:szCs w:val="20"/>
              </w:rPr>
            </w:pPr>
          </w:p>
        </w:tc>
        <w:tc>
          <w:tcPr>
            <w:tcW w:w="1418" w:type="dxa"/>
            <w:vMerge/>
          </w:tcPr>
          <w:p w14:paraId="0D4F6823" w14:textId="77777777" w:rsidR="00E231C2" w:rsidRPr="004B1FE1" w:rsidRDefault="00E231C2" w:rsidP="0091477D">
            <w:pPr>
              <w:rPr>
                <w:sz w:val="20"/>
                <w:szCs w:val="20"/>
              </w:rPr>
            </w:pPr>
          </w:p>
        </w:tc>
        <w:tc>
          <w:tcPr>
            <w:tcW w:w="1701" w:type="dxa"/>
          </w:tcPr>
          <w:p w14:paraId="3A5AB971" w14:textId="77777777" w:rsidR="00E231C2" w:rsidRPr="004B1FE1" w:rsidRDefault="00E231C2" w:rsidP="0091477D">
            <w:pPr>
              <w:rPr>
                <w:sz w:val="20"/>
                <w:szCs w:val="20"/>
              </w:rPr>
            </w:pPr>
            <w:r w:rsidRPr="004B1FE1">
              <w:rPr>
                <w:sz w:val="20"/>
                <w:szCs w:val="20"/>
              </w:rPr>
              <w:t>3</w:t>
            </w:r>
          </w:p>
        </w:tc>
        <w:tc>
          <w:tcPr>
            <w:tcW w:w="1134" w:type="dxa"/>
          </w:tcPr>
          <w:p w14:paraId="4588FCC4" w14:textId="77777777" w:rsidR="00E231C2" w:rsidRPr="004B1FE1" w:rsidRDefault="00E231C2" w:rsidP="004B1FE1">
            <w:pPr>
              <w:ind w:left="57" w:right="57"/>
              <w:rPr>
                <w:color w:val="auto"/>
                <w:sz w:val="20"/>
                <w:szCs w:val="20"/>
                <w:lang w:eastAsia="en-US"/>
              </w:rPr>
            </w:pPr>
            <w:r w:rsidRPr="004B1FE1">
              <w:rPr>
                <w:sz w:val="20"/>
                <w:szCs w:val="20"/>
              </w:rPr>
              <w:t>3010</w:t>
            </w:r>
          </w:p>
        </w:tc>
        <w:tc>
          <w:tcPr>
            <w:tcW w:w="1134" w:type="dxa"/>
          </w:tcPr>
          <w:p w14:paraId="3355C771" w14:textId="77777777" w:rsidR="00E231C2" w:rsidRPr="004B1FE1" w:rsidRDefault="00E231C2" w:rsidP="004B1FE1">
            <w:pPr>
              <w:ind w:left="57" w:right="57"/>
              <w:rPr>
                <w:color w:val="auto"/>
                <w:sz w:val="20"/>
                <w:szCs w:val="20"/>
                <w:lang w:eastAsia="en-US"/>
              </w:rPr>
            </w:pPr>
            <w:r w:rsidRPr="004B1FE1">
              <w:rPr>
                <w:sz w:val="20"/>
                <w:szCs w:val="20"/>
              </w:rPr>
              <w:t>1910</w:t>
            </w:r>
          </w:p>
        </w:tc>
        <w:tc>
          <w:tcPr>
            <w:tcW w:w="850" w:type="dxa"/>
          </w:tcPr>
          <w:p w14:paraId="7CD10487" w14:textId="77777777" w:rsidR="00E231C2" w:rsidRPr="004B1FE1" w:rsidRDefault="00E231C2" w:rsidP="004B1FE1">
            <w:pPr>
              <w:ind w:left="57" w:right="57"/>
              <w:rPr>
                <w:color w:val="auto"/>
                <w:sz w:val="20"/>
                <w:szCs w:val="20"/>
                <w:lang w:eastAsia="en-US"/>
              </w:rPr>
            </w:pPr>
            <w:r w:rsidRPr="004B1FE1">
              <w:rPr>
                <w:sz w:val="20"/>
                <w:szCs w:val="20"/>
              </w:rPr>
              <w:t>0.1</w:t>
            </w:r>
          </w:p>
        </w:tc>
        <w:tc>
          <w:tcPr>
            <w:tcW w:w="1134" w:type="dxa"/>
          </w:tcPr>
          <w:p w14:paraId="79A79E02" w14:textId="77777777" w:rsidR="00E231C2" w:rsidRPr="004B1FE1" w:rsidRDefault="00E231C2" w:rsidP="004B1FE1">
            <w:pPr>
              <w:ind w:left="57" w:right="57"/>
              <w:rPr>
                <w:color w:val="auto"/>
                <w:sz w:val="20"/>
                <w:szCs w:val="20"/>
                <w:lang w:eastAsia="en-US"/>
              </w:rPr>
            </w:pPr>
            <w:r w:rsidRPr="004B1FE1">
              <w:rPr>
                <w:sz w:val="20"/>
                <w:szCs w:val="20"/>
              </w:rPr>
              <w:t>0.06</w:t>
            </w:r>
          </w:p>
        </w:tc>
      </w:tr>
      <w:tr w:rsidR="0045403A" w:rsidRPr="004B1FE1" w14:paraId="4EF42BD0" w14:textId="77777777" w:rsidTr="004B1FE1">
        <w:trPr>
          <w:trHeight w:val="226"/>
        </w:trPr>
        <w:tc>
          <w:tcPr>
            <w:tcW w:w="1242" w:type="dxa"/>
            <w:vMerge/>
          </w:tcPr>
          <w:p w14:paraId="0E9F656F" w14:textId="77777777" w:rsidR="00E231C2" w:rsidRPr="004B1FE1" w:rsidRDefault="00E231C2" w:rsidP="0091477D">
            <w:pPr>
              <w:rPr>
                <w:sz w:val="20"/>
                <w:szCs w:val="20"/>
              </w:rPr>
            </w:pPr>
          </w:p>
        </w:tc>
        <w:tc>
          <w:tcPr>
            <w:tcW w:w="1418" w:type="dxa"/>
            <w:vMerge/>
          </w:tcPr>
          <w:p w14:paraId="14031AF5" w14:textId="77777777" w:rsidR="00E231C2" w:rsidRPr="004B1FE1" w:rsidRDefault="00E231C2" w:rsidP="0091477D">
            <w:pPr>
              <w:rPr>
                <w:sz w:val="20"/>
                <w:szCs w:val="20"/>
              </w:rPr>
            </w:pPr>
          </w:p>
        </w:tc>
        <w:tc>
          <w:tcPr>
            <w:tcW w:w="1701" w:type="dxa"/>
          </w:tcPr>
          <w:p w14:paraId="562DF55B" w14:textId="77777777" w:rsidR="00E231C2" w:rsidRPr="004B1FE1" w:rsidRDefault="00E231C2" w:rsidP="0091477D">
            <w:pPr>
              <w:rPr>
                <w:sz w:val="20"/>
                <w:szCs w:val="20"/>
              </w:rPr>
            </w:pPr>
            <w:r w:rsidRPr="004B1FE1">
              <w:rPr>
                <w:sz w:val="20"/>
                <w:szCs w:val="20"/>
              </w:rPr>
              <w:t>10</w:t>
            </w:r>
          </w:p>
        </w:tc>
        <w:tc>
          <w:tcPr>
            <w:tcW w:w="1134" w:type="dxa"/>
          </w:tcPr>
          <w:p w14:paraId="3C2A816B" w14:textId="77777777" w:rsidR="00E231C2" w:rsidRPr="004B1FE1" w:rsidRDefault="00E231C2" w:rsidP="004B1FE1">
            <w:pPr>
              <w:ind w:left="57" w:right="57"/>
              <w:rPr>
                <w:color w:val="auto"/>
                <w:sz w:val="20"/>
                <w:szCs w:val="20"/>
                <w:lang w:eastAsia="en-US"/>
              </w:rPr>
            </w:pPr>
            <w:r w:rsidRPr="004B1FE1">
              <w:rPr>
                <w:sz w:val="20"/>
                <w:szCs w:val="20"/>
              </w:rPr>
              <w:t>12500</w:t>
            </w:r>
          </w:p>
        </w:tc>
        <w:tc>
          <w:tcPr>
            <w:tcW w:w="1134" w:type="dxa"/>
          </w:tcPr>
          <w:p w14:paraId="45B3CC26" w14:textId="77777777" w:rsidR="00E231C2" w:rsidRPr="004B1FE1" w:rsidRDefault="00E231C2" w:rsidP="004B1FE1">
            <w:pPr>
              <w:ind w:left="57" w:right="57"/>
              <w:rPr>
                <w:color w:val="auto"/>
                <w:sz w:val="20"/>
                <w:szCs w:val="20"/>
                <w:lang w:eastAsia="en-US"/>
              </w:rPr>
            </w:pPr>
            <w:r w:rsidRPr="004B1FE1">
              <w:rPr>
                <w:sz w:val="20"/>
                <w:szCs w:val="20"/>
              </w:rPr>
              <w:t>12500</w:t>
            </w:r>
          </w:p>
        </w:tc>
        <w:tc>
          <w:tcPr>
            <w:tcW w:w="850" w:type="dxa"/>
          </w:tcPr>
          <w:p w14:paraId="1DABA553" w14:textId="77777777" w:rsidR="00E231C2" w:rsidRPr="004B1FE1" w:rsidRDefault="00E231C2" w:rsidP="004B1FE1">
            <w:pPr>
              <w:ind w:left="57" w:right="57"/>
              <w:rPr>
                <w:color w:val="auto"/>
                <w:sz w:val="20"/>
                <w:szCs w:val="20"/>
                <w:lang w:eastAsia="en-US"/>
              </w:rPr>
            </w:pPr>
            <w:r w:rsidRPr="004B1FE1">
              <w:rPr>
                <w:sz w:val="20"/>
                <w:szCs w:val="20"/>
              </w:rPr>
              <w:t>0.4</w:t>
            </w:r>
          </w:p>
        </w:tc>
        <w:tc>
          <w:tcPr>
            <w:tcW w:w="1134" w:type="dxa"/>
          </w:tcPr>
          <w:p w14:paraId="5CF21A9F" w14:textId="77777777" w:rsidR="00E231C2" w:rsidRPr="004B1FE1" w:rsidRDefault="00E231C2" w:rsidP="004B1FE1">
            <w:pPr>
              <w:ind w:left="57" w:right="57"/>
              <w:rPr>
                <w:color w:val="auto"/>
                <w:sz w:val="20"/>
                <w:szCs w:val="20"/>
                <w:lang w:eastAsia="en-US"/>
              </w:rPr>
            </w:pPr>
            <w:r w:rsidRPr="004B1FE1">
              <w:rPr>
                <w:sz w:val="20"/>
                <w:szCs w:val="20"/>
              </w:rPr>
              <w:t>0.4</w:t>
            </w:r>
          </w:p>
        </w:tc>
      </w:tr>
      <w:tr w:rsidR="0045403A" w:rsidRPr="004B1FE1" w14:paraId="3C8585BA" w14:textId="77777777" w:rsidTr="004B1FE1">
        <w:trPr>
          <w:trHeight w:val="226"/>
        </w:trPr>
        <w:tc>
          <w:tcPr>
            <w:tcW w:w="1242" w:type="dxa"/>
            <w:vMerge/>
          </w:tcPr>
          <w:p w14:paraId="0841B38A" w14:textId="77777777" w:rsidR="00E231C2" w:rsidRPr="004B1FE1" w:rsidRDefault="00E231C2" w:rsidP="0091477D">
            <w:pPr>
              <w:rPr>
                <w:sz w:val="20"/>
                <w:szCs w:val="20"/>
              </w:rPr>
            </w:pPr>
          </w:p>
        </w:tc>
        <w:tc>
          <w:tcPr>
            <w:tcW w:w="1418" w:type="dxa"/>
            <w:vMerge w:val="restart"/>
          </w:tcPr>
          <w:p w14:paraId="5B917AF7" w14:textId="0599540B" w:rsidR="00E231C2" w:rsidRPr="004B1FE1" w:rsidRDefault="0091477D" w:rsidP="004B1FE1">
            <w:pPr>
              <w:ind w:left="0"/>
              <w:rPr>
                <w:color w:val="auto"/>
                <w:sz w:val="20"/>
                <w:szCs w:val="20"/>
                <w:lang w:eastAsia="en-US"/>
              </w:rPr>
            </w:pPr>
            <w:r w:rsidRPr="004B1FE1">
              <w:rPr>
                <w:sz w:val="20"/>
                <w:szCs w:val="20"/>
              </w:rPr>
              <w:t>39 weeks</w:t>
            </w:r>
            <w:r w:rsidRPr="004B1FE1">
              <w:rPr>
                <w:sz w:val="20"/>
                <w:szCs w:val="20"/>
                <w:vertAlign w:val="superscript"/>
              </w:rPr>
              <w:t>2</w:t>
            </w:r>
            <w:r w:rsidRPr="004B1FE1">
              <w:rPr>
                <w:sz w:val="20"/>
                <w:szCs w:val="20"/>
              </w:rPr>
              <w:t xml:space="preserve"> (1470079)</w:t>
            </w:r>
          </w:p>
        </w:tc>
        <w:tc>
          <w:tcPr>
            <w:tcW w:w="1701" w:type="dxa"/>
          </w:tcPr>
          <w:p w14:paraId="77273AA8" w14:textId="77777777" w:rsidR="00E231C2" w:rsidRPr="004B1FE1" w:rsidRDefault="00E231C2" w:rsidP="0091477D">
            <w:pPr>
              <w:rPr>
                <w:sz w:val="20"/>
                <w:szCs w:val="20"/>
              </w:rPr>
            </w:pPr>
            <w:r w:rsidRPr="004B1FE1">
              <w:rPr>
                <w:sz w:val="20"/>
                <w:szCs w:val="20"/>
              </w:rPr>
              <w:t>1</w:t>
            </w:r>
          </w:p>
        </w:tc>
        <w:tc>
          <w:tcPr>
            <w:tcW w:w="1134" w:type="dxa"/>
          </w:tcPr>
          <w:p w14:paraId="37023292" w14:textId="77777777" w:rsidR="00E231C2" w:rsidRPr="004B1FE1" w:rsidRDefault="00E231C2" w:rsidP="004B1FE1">
            <w:pPr>
              <w:ind w:left="57" w:right="57"/>
              <w:rPr>
                <w:color w:val="auto"/>
                <w:sz w:val="20"/>
                <w:szCs w:val="20"/>
                <w:lang w:eastAsia="en-US"/>
              </w:rPr>
            </w:pPr>
            <w:r w:rsidRPr="004B1FE1">
              <w:rPr>
                <w:sz w:val="20"/>
                <w:szCs w:val="20"/>
              </w:rPr>
              <w:t>635</w:t>
            </w:r>
          </w:p>
        </w:tc>
        <w:tc>
          <w:tcPr>
            <w:tcW w:w="1134" w:type="dxa"/>
          </w:tcPr>
          <w:p w14:paraId="6A5AE879" w14:textId="77777777" w:rsidR="00E231C2" w:rsidRPr="004B1FE1" w:rsidRDefault="00E231C2" w:rsidP="004B1FE1">
            <w:pPr>
              <w:ind w:left="57" w:right="57"/>
              <w:rPr>
                <w:color w:val="auto"/>
                <w:sz w:val="20"/>
                <w:szCs w:val="20"/>
                <w:lang w:eastAsia="en-US"/>
              </w:rPr>
            </w:pPr>
            <w:r w:rsidRPr="004B1FE1">
              <w:rPr>
                <w:sz w:val="20"/>
                <w:szCs w:val="20"/>
              </w:rPr>
              <w:t>536</w:t>
            </w:r>
          </w:p>
        </w:tc>
        <w:tc>
          <w:tcPr>
            <w:tcW w:w="850" w:type="dxa"/>
          </w:tcPr>
          <w:p w14:paraId="3C955734" w14:textId="77777777" w:rsidR="00E231C2" w:rsidRPr="004B1FE1" w:rsidRDefault="00E231C2" w:rsidP="004B1FE1">
            <w:pPr>
              <w:ind w:left="57" w:right="57"/>
              <w:rPr>
                <w:color w:val="auto"/>
                <w:sz w:val="20"/>
                <w:szCs w:val="20"/>
                <w:lang w:eastAsia="en-US"/>
              </w:rPr>
            </w:pPr>
            <w:r w:rsidRPr="004B1FE1">
              <w:rPr>
                <w:sz w:val="20"/>
                <w:szCs w:val="20"/>
              </w:rPr>
              <w:t>0.02</w:t>
            </w:r>
          </w:p>
        </w:tc>
        <w:tc>
          <w:tcPr>
            <w:tcW w:w="1134" w:type="dxa"/>
          </w:tcPr>
          <w:p w14:paraId="483F3949" w14:textId="77777777" w:rsidR="00E231C2" w:rsidRPr="004B1FE1" w:rsidRDefault="00E231C2" w:rsidP="004B1FE1">
            <w:pPr>
              <w:ind w:left="57" w:right="57"/>
              <w:rPr>
                <w:color w:val="auto"/>
                <w:sz w:val="20"/>
                <w:szCs w:val="20"/>
                <w:lang w:eastAsia="en-US"/>
              </w:rPr>
            </w:pPr>
            <w:r w:rsidRPr="004B1FE1">
              <w:rPr>
                <w:sz w:val="20"/>
                <w:szCs w:val="20"/>
              </w:rPr>
              <w:t>0.02</w:t>
            </w:r>
          </w:p>
        </w:tc>
      </w:tr>
      <w:tr w:rsidR="0045403A" w:rsidRPr="004B1FE1" w14:paraId="2349CA1A" w14:textId="77777777" w:rsidTr="004B1FE1">
        <w:trPr>
          <w:trHeight w:val="226"/>
        </w:trPr>
        <w:tc>
          <w:tcPr>
            <w:tcW w:w="1242" w:type="dxa"/>
            <w:vMerge/>
          </w:tcPr>
          <w:p w14:paraId="69681319" w14:textId="77777777" w:rsidR="00E231C2" w:rsidRPr="004B1FE1" w:rsidRDefault="00E231C2" w:rsidP="0091477D">
            <w:pPr>
              <w:rPr>
                <w:sz w:val="20"/>
                <w:szCs w:val="20"/>
              </w:rPr>
            </w:pPr>
          </w:p>
        </w:tc>
        <w:tc>
          <w:tcPr>
            <w:tcW w:w="1418" w:type="dxa"/>
            <w:vMerge/>
          </w:tcPr>
          <w:p w14:paraId="58B1A0D0" w14:textId="77777777" w:rsidR="00E231C2" w:rsidRPr="004B1FE1" w:rsidRDefault="00E231C2" w:rsidP="0091477D">
            <w:pPr>
              <w:rPr>
                <w:sz w:val="20"/>
                <w:szCs w:val="20"/>
              </w:rPr>
            </w:pPr>
          </w:p>
        </w:tc>
        <w:tc>
          <w:tcPr>
            <w:tcW w:w="1701" w:type="dxa"/>
          </w:tcPr>
          <w:p w14:paraId="317339A2" w14:textId="77777777" w:rsidR="00E231C2" w:rsidRPr="004B1FE1" w:rsidRDefault="00E231C2" w:rsidP="0091477D">
            <w:pPr>
              <w:rPr>
                <w:sz w:val="20"/>
                <w:szCs w:val="20"/>
              </w:rPr>
            </w:pPr>
            <w:r w:rsidRPr="004B1FE1">
              <w:rPr>
                <w:sz w:val="20"/>
                <w:szCs w:val="20"/>
              </w:rPr>
              <w:t>3</w:t>
            </w:r>
          </w:p>
        </w:tc>
        <w:tc>
          <w:tcPr>
            <w:tcW w:w="1134" w:type="dxa"/>
          </w:tcPr>
          <w:p w14:paraId="2C76CF2C" w14:textId="77777777" w:rsidR="00E231C2" w:rsidRPr="004B1FE1" w:rsidRDefault="00E231C2" w:rsidP="004B1FE1">
            <w:pPr>
              <w:ind w:left="57" w:right="57"/>
              <w:rPr>
                <w:color w:val="auto"/>
                <w:sz w:val="20"/>
                <w:szCs w:val="20"/>
                <w:lang w:eastAsia="en-US"/>
              </w:rPr>
            </w:pPr>
            <w:r w:rsidRPr="004B1FE1">
              <w:rPr>
                <w:sz w:val="20"/>
                <w:szCs w:val="20"/>
              </w:rPr>
              <w:t>2340</w:t>
            </w:r>
          </w:p>
        </w:tc>
        <w:tc>
          <w:tcPr>
            <w:tcW w:w="1134" w:type="dxa"/>
          </w:tcPr>
          <w:p w14:paraId="64F6A439" w14:textId="77777777" w:rsidR="00E231C2" w:rsidRPr="004B1FE1" w:rsidRDefault="00E231C2" w:rsidP="004B1FE1">
            <w:pPr>
              <w:ind w:left="57" w:right="57"/>
              <w:rPr>
                <w:color w:val="auto"/>
                <w:sz w:val="20"/>
                <w:szCs w:val="20"/>
                <w:lang w:eastAsia="en-US"/>
              </w:rPr>
            </w:pPr>
            <w:r w:rsidRPr="004B1FE1">
              <w:rPr>
                <w:sz w:val="20"/>
                <w:szCs w:val="20"/>
              </w:rPr>
              <w:t>2290</w:t>
            </w:r>
          </w:p>
        </w:tc>
        <w:tc>
          <w:tcPr>
            <w:tcW w:w="850" w:type="dxa"/>
          </w:tcPr>
          <w:p w14:paraId="6507055B" w14:textId="77777777" w:rsidR="00E231C2" w:rsidRPr="004B1FE1" w:rsidRDefault="00E231C2" w:rsidP="004B1FE1">
            <w:pPr>
              <w:ind w:left="57" w:right="57"/>
              <w:rPr>
                <w:color w:val="auto"/>
                <w:sz w:val="20"/>
                <w:szCs w:val="20"/>
                <w:lang w:eastAsia="en-US"/>
              </w:rPr>
            </w:pPr>
            <w:r w:rsidRPr="004B1FE1">
              <w:rPr>
                <w:sz w:val="20"/>
                <w:szCs w:val="20"/>
              </w:rPr>
              <w:t>0.07</w:t>
            </w:r>
          </w:p>
        </w:tc>
        <w:tc>
          <w:tcPr>
            <w:tcW w:w="1134" w:type="dxa"/>
          </w:tcPr>
          <w:p w14:paraId="59656E6A" w14:textId="77777777" w:rsidR="00E231C2" w:rsidRPr="004B1FE1" w:rsidRDefault="00E231C2" w:rsidP="004B1FE1">
            <w:pPr>
              <w:ind w:left="57" w:right="57"/>
              <w:rPr>
                <w:color w:val="auto"/>
                <w:sz w:val="20"/>
                <w:szCs w:val="20"/>
                <w:lang w:eastAsia="en-US"/>
              </w:rPr>
            </w:pPr>
            <w:r w:rsidRPr="004B1FE1">
              <w:rPr>
                <w:sz w:val="20"/>
                <w:szCs w:val="20"/>
              </w:rPr>
              <w:t>0.07</w:t>
            </w:r>
          </w:p>
        </w:tc>
      </w:tr>
      <w:tr w:rsidR="0045403A" w:rsidRPr="004B1FE1" w14:paraId="40D89462" w14:textId="77777777" w:rsidTr="004B1FE1">
        <w:trPr>
          <w:trHeight w:val="226"/>
        </w:trPr>
        <w:tc>
          <w:tcPr>
            <w:tcW w:w="1242" w:type="dxa"/>
            <w:vMerge/>
          </w:tcPr>
          <w:p w14:paraId="60DB0902" w14:textId="77777777" w:rsidR="00E231C2" w:rsidRPr="004B1FE1" w:rsidRDefault="00E231C2" w:rsidP="0091477D">
            <w:pPr>
              <w:rPr>
                <w:sz w:val="20"/>
                <w:szCs w:val="20"/>
              </w:rPr>
            </w:pPr>
          </w:p>
        </w:tc>
        <w:tc>
          <w:tcPr>
            <w:tcW w:w="1418" w:type="dxa"/>
            <w:vMerge/>
          </w:tcPr>
          <w:p w14:paraId="4DF56918" w14:textId="77777777" w:rsidR="00E231C2" w:rsidRPr="004B1FE1" w:rsidRDefault="00E231C2" w:rsidP="0091477D">
            <w:pPr>
              <w:rPr>
                <w:sz w:val="20"/>
                <w:szCs w:val="20"/>
              </w:rPr>
            </w:pPr>
          </w:p>
        </w:tc>
        <w:tc>
          <w:tcPr>
            <w:tcW w:w="1701" w:type="dxa"/>
          </w:tcPr>
          <w:p w14:paraId="5ACD8F9D" w14:textId="77777777" w:rsidR="00E231C2" w:rsidRPr="004B1FE1" w:rsidRDefault="00E231C2" w:rsidP="0091477D">
            <w:pPr>
              <w:rPr>
                <w:sz w:val="20"/>
                <w:szCs w:val="20"/>
              </w:rPr>
            </w:pPr>
            <w:r w:rsidRPr="004B1FE1">
              <w:rPr>
                <w:sz w:val="20"/>
                <w:szCs w:val="20"/>
              </w:rPr>
              <w:t>10</w:t>
            </w:r>
          </w:p>
        </w:tc>
        <w:tc>
          <w:tcPr>
            <w:tcW w:w="1134" w:type="dxa"/>
          </w:tcPr>
          <w:p w14:paraId="1B0B6855" w14:textId="77777777" w:rsidR="00E231C2" w:rsidRPr="004B1FE1" w:rsidRDefault="00E231C2" w:rsidP="004B1FE1">
            <w:pPr>
              <w:ind w:left="57" w:right="57"/>
              <w:rPr>
                <w:color w:val="auto"/>
                <w:sz w:val="20"/>
                <w:szCs w:val="20"/>
                <w:lang w:eastAsia="en-US"/>
              </w:rPr>
            </w:pPr>
            <w:r w:rsidRPr="004B1FE1">
              <w:rPr>
                <w:sz w:val="20"/>
                <w:szCs w:val="20"/>
              </w:rPr>
              <w:t>9260</w:t>
            </w:r>
          </w:p>
        </w:tc>
        <w:tc>
          <w:tcPr>
            <w:tcW w:w="1134" w:type="dxa"/>
          </w:tcPr>
          <w:p w14:paraId="1FAE46BE" w14:textId="77777777" w:rsidR="00E231C2" w:rsidRPr="004B1FE1" w:rsidRDefault="00E231C2" w:rsidP="004B1FE1">
            <w:pPr>
              <w:ind w:left="57" w:right="57"/>
              <w:rPr>
                <w:color w:val="auto"/>
                <w:sz w:val="20"/>
                <w:szCs w:val="20"/>
                <w:lang w:eastAsia="en-US"/>
              </w:rPr>
            </w:pPr>
            <w:r w:rsidRPr="004B1FE1">
              <w:rPr>
                <w:sz w:val="20"/>
                <w:szCs w:val="20"/>
              </w:rPr>
              <w:t>8180</w:t>
            </w:r>
          </w:p>
        </w:tc>
        <w:tc>
          <w:tcPr>
            <w:tcW w:w="850" w:type="dxa"/>
          </w:tcPr>
          <w:p w14:paraId="7BDCB3E6" w14:textId="77777777" w:rsidR="00E231C2" w:rsidRPr="004B1FE1" w:rsidRDefault="00E231C2" w:rsidP="004B1FE1">
            <w:pPr>
              <w:ind w:left="57" w:right="57"/>
              <w:rPr>
                <w:color w:val="auto"/>
                <w:sz w:val="20"/>
                <w:szCs w:val="20"/>
                <w:lang w:eastAsia="en-US"/>
              </w:rPr>
            </w:pPr>
            <w:r w:rsidRPr="004B1FE1">
              <w:rPr>
                <w:sz w:val="20"/>
                <w:szCs w:val="20"/>
              </w:rPr>
              <w:t>0.3</w:t>
            </w:r>
          </w:p>
        </w:tc>
        <w:tc>
          <w:tcPr>
            <w:tcW w:w="1134" w:type="dxa"/>
          </w:tcPr>
          <w:p w14:paraId="5CEE6654" w14:textId="77777777" w:rsidR="00E231C2" w:rsidRPr="004B1FE1" w:rsidRDefault="00E231C2" w:rsidP="004B1FE1">
            <w:pPr>
              <w:ind w:left="57" w:right="57"/>
              <w:rPr>
                <w:color w:val="auto"/>
                <w:sz w:val="20"/>
                <w:szCs w:val="20"/>
                <w:lang w:eastAsia="en-US"/>
              </w:rPr>
            </w:pPr>
            <w:r w:rsidRPr="004B1FE1">
              <w:rPr>
                <w:sz w:val="20"/>
                <w:szCs w:val="20"/>
              </w:rPr>
              <w:t>0.3</w:t>
            </w:r>
          </w:p>
        </w:tc>
      </w:tr>
      <w:tr w:rsidR="0045403A" w:rsidRPr="004B1FE1" w14:paraId="5D77A127" w14:textId="77777777" w:rsidTr="004B1FE1">
        <w:trPr>
          <w:trHeight w:val="226"/>
        </w:trPr>
        <w:tc>
          <w:tcPr>
            <w:tcW w:w="1242" w:type="dxa"/>
          </w:tcPr>
          <w:p w14:paraId="4FC154B5" w14:textId="1B43CBF6" w:rsidR="00E231C2" w:rsidRPr="004B1FE1" w:rsidRDefault="00843499" w:rsidP="004B1FE1">
            <w:pPr>
              <w:ind w:left="0"/>
              <w:rPr>
                <w:color w:val="auto"/>
                <w:sz w:val="20"/>
                <w:szCs w:val="20"/>
                <w:lang w:eastAsia="en-US"/>
              </w:rPr>
            </w:pPr>
            <w:r w:rsidRPr="004B1FE1">
              <w:rPr>
                <w:b/>
                <w:sz w:val="20"/>
                <w:szCs w:val="20"/>
              </w:rPr>
              <w:t>Human</w:t>
            </w:r>
            <w:r w:rsidR="00887DAD" w:rsidRPr="004B1FE1">
              <w:rPr>
                <w:sz w:val="20"/>
                <w:szCs w:val="20"/>
              </w:rPr>
              <w:t xml:space="preserve"> </w:t>
            </w:r>
            <w:r w:rsidR="00E231C2" w:rsidRPr="004B1FE1">
              <w:rPr>
                <w:sz w:val="20"/>
                <w:szCs w:val="20"/>
              </w:rPr>
              <w:t>(Cancer patients)</w:t>
            </w:r>
          </w:p>
        </w:tc>
        <w:tc>
          <w:tcPr>
            <w:tcW w:w="1418" w:type="dxa"/>
          </w:tcPr>
          <w:p w14:paraId="46DB8D2E" w14:textId="577BC707" w:rsidR="00E231C2" w:rsidRPr="004B1FE1" w:rsidRDefault="00E231C2" w:rsidP="004B1FE1">
            <w:pPr>
              <w:ind w:left="0"/>
              <w:rPr>
                <w:color w:val="auto"/>
                <w:sz w:val="20"/>
                <w:szCs w:val="20"/>
                <w:vertAlign w:val="superscript"/>
                <w:lang w:eastAsia="en-US"/>
              </w:rPr>
            </w:pPr>
            <w:r w:rsidRPr="004B1FE1">
              <w:rPr>
                <w:sz w:val="20"/>
                <w:szCs w:val="20"/>
              </w:rPr>
              <w:t>PopPK modelling</w:t>
            </w:r>
            <w:r w:rsidR="0030489B" w:rsidRPr="004B1FE1">
              <w:rPr>
                <w:sz w:val="20"/>
                <w:szCs w:val="20"/>
                <w:vertAlign w:val="superscript"/>
              </w:rPr>
              <w:t>3</w:t>
            </w:r>
          </w:p>
        </w:tc>
        <w:tc>
          <w:tcPr>
            <w:tcW w:w="1701" w:type="dxa"/>
          </w:tcPr>
          <w:p w14:paraId="49816A7A" w14:textId="258E9142" w:rsidR="00E231C2" w:rsidRPr="004B1FE1" w:rsidRDefault="00E231C2" w:rsidP="0091477D">
            <w:pPr>
              <w:rPr>
                <w:sz w:val="20"/>
                <w:szCs w:val="20"/>
              </w:rPr>
            </w:pPr>
            <w:r w:rsidRPr="004B1FE1">
              <w:rPr>
                <w:sz w:val="20"/>
                <w:szCs w:val="20"/>
              </w:rPr>
              <w:t>600 mg qd</w:t>
            </w:r>
            <w:r w:rsidR="0030489B" w:rsidRPr="004B1FE1">
              <w:rPr>
                <w:sz w:val="20"/>
                <w:szCs w:val="20"/>
              </w:rPr>
              <w:t xml:space="preserve">, </w:t>
            </w:r>
            <w:r w:rsidR="0030489B" w:rsidRPr="004B1FE1">
              <w:rPr>
                <w:iCs/>
                <w:sz w:val="20"/>
                <w:szCs w:val="20"/>
              </w:rPr>
              <w:t>12 </w:t>
            </w:r>
            <w:r w:rsidRPr="004B1FE1">
              <w:rPr>
                <w:iCs/>
                <w:sz w:val="20"/>
                <w:szCs w:val="20"/>
              </w:rPr>
              <w:t>mg/kg/d</w:t>
            </w:r>
          </w:p>
        </w:tc>
        <w:tc>
          <w:tcPr>
            <w:tcW w:w="2268" w:type="dxa"/>
            <w:gridSpan w:val="2"/>
          </w:tcPr>
          <w:p w14:paraId="04DE99D3" w14:textId="77777777" w:rsidR="00E231C2" w:rsidRPr="004B1FE1" w:rsidRDefault="00E231C2" w:rsidP="004B1FE1">
            <w:pPr>
              <w:ind w:left="57" w:right="57"/>
              <w:rPr>
                <w:color w:val="auto"/>
                <w:sz w:val="20"/>
                <w:szCs w:val="20"/>
                <w:lang w:eastAsia="en-US"/>
              </w:rPr>
            </w:pPr>
            <w:r w:rsidRPr="004B1FE1">
              <w:rPr>
                <w:sz w:val="20"/>
                <w:szCs w:val="20"/>
              </w:rPr>
              <w:t>31900</w:t>
            </w:r>
          </w:p>
        </w:tc>
        <w:tc>
          <w:tcPr>
            <w:tcW w:w="1984" w:type="dxa"/>
            <w:gridSpan w:val="2"/>
          </w:tcPr>
          <w:p w14:paraId="6ABFDC69" w14:textId="750081B5" w:rsidR="00E231C2" w:rsidRPr="004B1FE1" w:rsidRDefault="00E231C2" w:rsidP="004B1FE1">
            <w:pPr>
              <w:ind w:left="57" w:right="57"/>
              <w:rPr>
                <w:color w:val="auto"/>
                <w:sz w:val="20"/>
                <w:szCs w:val="20"/>
                <w:lang w:eastAsia="en-US"/>
              </w:rPr>
            </w:pPr>
          </w:p>
        </w:tc>
      </w:tr>
    </w:tbl>
    <w:p w14:paraId="516E3C6B" w14:textId="5ABE199B" w:rsidR="00E231C2" w:rsidRPr="00CE30E3" w:rsidRDefault="0091477D" w:rsidP="00887DAD">
      <w:pPr>
        <w:pStyle w:val="TableDescription"/>
      </w:pPr>
      <w:r w:rsidRPr="00CE30E3">
        <w:t>1)</w:t>
      </w:r>
      <w:r w:rsidR="00E231C2" w:rsidRPr="00CE30E3">
        <w:t xml:space="preserve"> animal:</w:t>
      </w:r>
      <w:r w:rsidR="00887DAD" w:rsidRPr="00CE30E3">
        <w:t xml:space="preserve"> </w:t>
      </w:r>
      <w:r w:rsidR="00E231C2" w:rsidRPr="00CE30E3">
        <w:t>human plasma AUC</w:t>
      </w:r>
      <w:r w:rsidR="00E231C2" w:rsidRPr="00CE30E3">
        <w:rPr>
          <w:vertAlign w:val="subscript"/>
        </w:rPr>
        <w:t>0–24 h</w:t>
      </w:r>
      <w:r w:rsidRPr="00CE30E3">
        <w:t xml:space="preserve">; 2) </w:t>
      </w:r>
      <w:r w:rsidR="00887DAD" w:rsidRPr="00CE30E3">
        <w:t>3 weeks dosing, 1 week off; 3)</w:t>
      </w:r>
      <w:r w:rsidR="00E231C2" w:rsidRPr="00CE30E3">
        <w:t xml:space="preserve"> Assumes a body weight of 50 kg.</w:t>
      </w:r>
      <w:r w:rsidR="00F834A2">
        <w:t xml:space="preserve"> near the lower end of the range, to result in conservative estimates exposure ratios</w:t>
      </w:r>
      <w:r w:rsidR="00F834A2" w:rsidRPr="00CE30E3">
        <w:t>.</w:t>
      </w:r>
    </w:p>
    <w:p w14:paraId="0D10BA41" w14:textId="1A3C5360" w:rsidR="00E231C2" w:rsidRPr="00CE30E3" w:rsidRDefault="0030489B" w:rsidP="003D79AF">
      <w:pPr>
        <w:pStyle w:val="TableTitle"/>
      </w:pPr>
      <w:r w:rsidRPr="00CE30E3">
        <w:t xml:space="preserve">Table </w:t>
      </w:r>
      <w:r w:rsidR="00077B6B" w:rsidRPr="00CE30E3">
        <w:t>5:</w:t>
      </w:r>
      <w:r w:rsidR="00E231C2" w:rsidRPr="00CE30E3">
        <w:t xml:space="preserve"> Relative exposure to LEQ803 (M4), major metabolite of ribociclib in pivotal repeat-dose toxicity studies</w:t>
      </w:r>
    </w:p>
    <w:tbl>
      <w:tblPr>
        <w:tblStyle w:val="TableTGAblue"/>
        <w:tblW w:w="8613" w:type="dxa"/>
        <w:tblLayout w:type="fixed"/>
        <w:tblLook w:val="01E0" w:firstRow="1" w:lastRow="1" w:firstColumn="1" w:lastColumn="1" w:noHBand="0" w:noVBand="0"/>
      </w:tblPr>
      <w:tblGrid>
        <w:gridCol w:w="1101"/>
        <w:gridCol w:w="1559"/>
        <w:gridCol w:w="1626"/>
        <w:gridCol w:w="1037"/>
        <w:gridCol w:w="1164"/>
        <w:gridCol w:w="910"/>
        <w:gridCol w:w="1216"/>
      </w:tblGrid>
      <w:tr w:rsidR="00887DAD" w:rsidRPr="004F0C14" w14:paraId="57718FCE" w14:textId="77777777" w:rsidTr="00102EC3">
        <w:trPr>
          <w:cnfStyle w:val="100000000000" w:firstRow="1" w:lastRow="0" w:firstColumn="0" w:lastColumn="0" w:oddVBand="0" w:evenVBand="0" w:oddHBand="0" w:evenHBand="0" w:firstRowFirstColumn="0" w:firstRowLastColumn="0" w:lastRowFirstColumn="0" w:lastRowLastColumn="0"/>
          <w:trHeight w:val="466"/>
        </w:trPr>
        <w:tc>
          <w:tcPr>
            <w:tcW w:w="1101" w:type="dxa"/>
            <w:vMerge w:val="restart"/>
            <w:tcBorders>
              <w:right w:val="single" w:sz="4" w:space="0" w:color="000000"/>
            </w:tcBorders>
          </w:tcPr>
          <w:p w14:paraId="55C5F9DF" w14:textId="77777777" w:rsidR="00E231C2" w:rsidRPr="00736D35" w:rsidRDefault="00E231C2" w:rsidP="004B1FE1">
            <w:pPr>
              <w:ind w:left="0"/>
              <w:rPr>
                <w:sz w:val="20"/>
                <w:szCs w:val="22"/>
                <w:lang w:eastAsia="en-US"/>
              </w:rPr>
            </w:pPr>
            <w:r w:rsidRPr="00736D35">
              <w:rPr>
                <w:sz w:val="20"/>
              </w:rPr>
              <w:t>Species</w:t>
            </w:r>
          </w:p>
        </w:tc>
        <w:tc>
          <w:tcPr>
            <w:tcW w:w="1559" w:type="dxa"/>
            <w:vMerge w:val="restart"/>
            <w:tcBorders>
              <w:left w:val="single" w:sz="4" w:space="0" w:color="000000"/>
              <w:right w:val="single" w:sz="4" w:space="0" w:color="000000"/>
            </w:tcBorders>
          </w:tcPr>
          <w:p w14:paraId="270FCAF0" w14:textId="60D59446" w:rsidR="00E231C2" w:rsidRPr="00736D35" w:rsidRDefault="00887DAD" w:rsidP="004B1FE1">
            <w:pPr>
              <w:ind w:left="0"/>
              <w:rPr>
                <w:sz w:val="20"/>
                <w:szCs w:val="22"/>
                <w:lang w:eastAsia="en-US"/>
              </w:rPr>
            </w:pPr>
            <w:r w:rsidRPr="00736D35">
              <w:rPr>
                <w:sz w:val="20"/>
              </w:rPr>
              <w:t>Study duration (</w:t>
            </w:r>
            <w:r w:rsidR="00E231C2" w:rsidRPr="00736D35">
              <w:rPr>
                <w:sz w:val="20"/>
              </w:rPr>
              <w:t xml:space="preserve">Study </w:t>
            </w:r>
            <w:r w:rsidRPr="00736D35">
              <w:rPr>
                <w:sz w:val="20"/>
              </w:rPr>
              <w:t>ID)</w:t>
            </w:r>
          </w:p>
        </w:tc>
        <w:tc>
          <w:tcPr>
            <w:tcW w:w="1626" w:type="dxa"/>
            <w:vMerge w:val="restart"/>
            <w:tcBorders>
              <w:left w:val="single" w:sz="4" w:space="0" w:color="000000"/>
              <w:right w:val="single" w:sz="4" w:space="0" w:color="000000"/>
            </w:tcBorders>
          </w:tcPr>
          <w:p w14:paraId="23E91462" w14:textId="11770EF1" w:rsidR="00E231C2" w:rsidRPr="005B1DF3" w:rsidRDefault="00142478" w:rsidP="004B1FE1">
            <w:pPr>
              <w:ind w:left="0"/>
              <w:rPr>
                <w:sz w:val="20"/>
                <w:szCs w:val="22"/>
                <w:lang w:eastAsia="en-US"/>
              </w:rPr>
            </w:pPr>
            <w:r w:rsidRPr="005B1DF3">
              <w:rPr>
                <w:sz w:val="20"/>
              </w:rPr>
              <w:t xml:space="preserve">Dose </w:t>
            </w:r>
            <w:r w:rsidR="00E231C2" w:rsidRPr="005B1DF3">
              <w:rPr>
                <w:sz w:val="20"/>
              </w:rPr>
              <w:t>(mg/kg/day)</w:t>
            </w:r>
          </w:p>
        </w:tc>
        <w:tc>
          <w:tcPr>
            <w:tcW w:w="2201" w:type="dxa"/>
            <w:gridSpan w:val="2"/>
            <w:tcBorders>
              <w:left w:val="single" w:sz="4" w:space="0" w:color="000000"/>
              <w:right w:val="single" w:sz="4" w:space="0" w:color="000000"/>
            </w:tcBorders>
          </w:tcPr>
          <w:p w14:paraId="3FBFBA1C" w14:textId="77777777" w:rsidR="00E231C2" w:rsidRPr="005B1DF3" w:rsidRDefault="00E231C2" w:rsidP="004B1FE1">
            <w:pPr>
              <w:ind w:left="0"/>
              <w:rPr>
                <w:sz w:val="20"/>
                <w:szCs w:val="22"/>
                <w:lang w:eastAsia="en-US"/>
              </w:rPr>
            </w:pPr>
            <w:r w:rsidRPr="005B1DF3">
              <w:rPr>
                <w:sz w:val="20"/>
              </w:rPr>
              <w:t>AUC</w:t>
            </w:r>
            <w:r w:rsidRPr="005B1DF3">
              <w:rPr>
                <w:sz w:val="20"/>
                <w:vertAlign w:val="subscript"/>
              </w:rPr>
              <w:t xml:space="preserve">0–24 h </w:t>
            </w:r>
            <w:r w:rsidRPr="005B1DF3">
              <w:rPr>
                <w:sz w:val="20"/>
              </w:rPr>
              <w:t>(ng∙h/mL)</w:t>
            </w:r>
          </w:p>
        </w:tc>
        <w:tc>
          <w:tcPr>
            <w:tcW w:w="2126" w:type="dxa"/>
            <w:gridSpan w:val="2"/>
            <w:tcBorders>
              <w:left w:val="single" w:sz="4" w:space="0" w:color="000000"/>
            </w:tcBorders>
          </w:tcPr>
          <w:p w14:paraId="39539B17" w14:textId="1E1E7C23" w:rsidR="00E231C2" w:rsidRPr="005B1DF3" w:rsidRDefault="00E231C2" w:rsidP="004B1FE1">
            <w:pPr>
              <w:ind w:left="0"/>
              <w:rPr>
                <w:sz w:val="20"/>
                <w:szCs w:val="22"/>
                <w:lang w:eastAsia="en-US"/>
              </w:rPr>
            </w:pPr>
            <w:r w:rsidRPr="005B1DF3">
              <w:rPr>
                <w:sz w:val="20"/>
              </w:rPr>
              <w:t>Exposure ratio</w:t>
            </w:r>
            <w:r w:rsidR="007C19A3" w:rsidRPr="005B1DF3">
              <w:rPr>
                <w:sz w:val="20"/>
                <w:vertAlign w:val="superscript"/>
              </w:rPr>
              <w:t>1</w:t>
            </w:r>
          </w:p>
        </w:tc>
      </w:tr>
      <w:tr w:rsidR="00887DAD" w:rsidRPr="004F0C14" w14:paraId="2F38D141" w14:textId="77777777" w:rsidTr="00102EC3">
        <w:trPr>
          <w:cnfStyle w:val="100000000000" w:firstRow="1" w:lastRow="0" w:firstColumn="0" w:lastColumn="0" w:oddVBand="0" w:evenVBand="0" w:oddHBand="0" w:evenHBand="0" w:firstRowFirstColumn="0" w:firstRowLastColumn="0" w:lastRowFirstColumn="0" w:lastRowLastColumn="0"/>
          <w:trHeight w:val="142"/>
        </w:trPr>
        <w:tc>
          <w:tcPr>
            <w:tcW w:w="1101" w:type="dxa"/>
            <w:vMerge/>
            <w:tcBorders>
              <w:right w:val="single" w:sz="4" w:space="0" w:color="000000"/>
            </w:tcBorders>
          </w:tcPr>
          <w:p w14:paraId="3AA6B27E" w14:textId="77777777" w:rsidR="00E231C2" w:rsidRPr="00736D35" w:rsidRDefault="00E231C2" w:rsidP="00887DAD">
            <w:pPr>
              <w:rPr>
                <w:b w:val="0"/>
                <w:sz w:val="20"/>
              </w:rPr>
            </w:pPr>
          </w:p>
        </w:tc>
        <w:tc>
          <w:tcPr>
            <w:tcW w:w="1559" w:type="dxa"/>
            <w:vMerge/>
            <w:tcBorders>
              <w:left w:val="single" w:sz="4" w:space="0" w:color="000000"/>
              <w:right w:val="single" w:sz="4" w:space="0" w:color="000000"/>
            </w:tcBorders>
          </w:tcPr>
          <w:p w14:paraId="281A71C1" w14:textId="77777777" w:rsidR="00E231C2" w:rsidRPr="00736D35" w:rsidRDefault="00E231C2" w:rsidP="00887DAD">
            <w:pPr>
              <w:rPr>
                <w:b w:val="0"/>
                <w:sz w:val="20"/>
              </w:rPr>
            </w:pPr>
          </w:p>
        </w:tc>
        <w:tc>
          <w:tcPr>
            <w:tcW w:w="1626" w:type="dxa"/>
            <w:vMerge/>
            <w:tcBorders>
              <w:left w:val="single" w:sz="4" w:space="0" w:color="000000"/>
              <w:right w:val="single" w:sz="4" w:space="0" w:color="000000"/>
            </w:tcBorders>
          </w:tcPr>
          <w:p w14:paraId="198AB4C2" w14:textId="77777777" w:rsidR="00E231C2" w:rsidRPr="005B1DF3" w:rsidRDefault="00E231C2" w:rsidP="00887DAD">
            <w:pPr>
              <w:rPr>
                <w:b w:val="0"/>
                <w:sz w:val="20"/>
              </w:rPr>
            </w:pPr>
          </w:p>
        </w:tc>
        <w:tc>
          <w:tcPr>
            <w:tcW w:w="1037" w:type="dxa"/>
            <w:tcBorders>
              <w:left w:val="single" w:sz="4" w:space="0" w:color="000000"/>
            </w:tcBorders>
          </w:tcPr>
          <w:p w14:paraId="7945406D" w14:textId="77777777" w:rsidR="00E231C2" w:rsidRPr="005B1DF3" w:rsidRDefault="00E231C2" w:rsidP="004B1FE1">
            <w:pPr>
              <w:ind w:left="0"/>
              <w:rPr>
                <w:b w:val="0"/>
                <w:sz w:val="20"/>
                <w:szCs w:val="22"/>
                <w:lang w:eastAsia="en-US"/>
              </w:rPr>
            </w:pPr>
            <w:r w:rsidRPr="005B1DF3">
              <w:rPr>
                <w:b w:val="0"/>
                <w:sz w:val="20"/>
              </w:rPr>
              <w:t>Male</w:t>
            </w:r>
          </w:p>
        </w:tc>
        <w:tc>
          <w:tcPr>
            <w:tcW w:w="1164" w:type="dxa"/>
          </w:tcPr>
          <w:p w14:paraId="70C5A083" w14:textId="77777777" w:rsidR="00E231C2" w:rsidRPr="005B1DF3" w:rsidRDefault="00E231C2" w:rsidP="004B1FE1">
            <w:pPr>
              <w:ind w:left="0"/>
              <w:rPr>
                <w:b w:val="0"/>
                <w:sz w:val="20"/>
                <w:szCs w:val="22"/>
                <w:lang w:eastAsia="en-US"/>
              </w:rPr>
            </w:pPr>
            <w:r w:rsidRPr="005B1DF3">
              <w:rPr>
                <w:b w:val="0"/>
                <w:sz w:val="20"/>
              </w:rPr>
              <w:t>Female</w:t>
            </w:r>
          </w:p>
        </w:tc>
        <w:tc>
          <w:tcPr>
            <w:tcW w:w="910" w:type="dxa"/>
          </w:tcPr>
          <w:p w14:paraId="68ABB8CC" w14:textId="77777777" w:rsidR="00E231C2" w:rsidRPr="005B1DF3" w:rsidRDefault="00E231C2" w:rsidP="004B1FE1">
            <w:pPr>
              <w:ind w:left="0"/>
              <w:rPr>
                <w:b w:val="0"/>
                <w:sz w:val="20"/>
                <w:szCs w:val="22"/>
                <w:lang w:eastAsia="en-US"/>
              </w:rPr>
            </w:pPr>
            <w:r w:rsidRPr="005B1DF3">
              <w:rPr>
                <w:b w:val="0"/>
                <w:sz w:val="20"/>
              </w:rPr>
              <w:t>Male</w:t>
            </w:r>
          </w:p>
        </w:tc>
        <w:tc>
          <w:tcPr>
            <w:tcW w:w="1216" w:type="dxa"/>
          </w:tcPr>
          <w:p w14:paraId="1EDD6A04" w14:textId="77777777" w:rsidR="00E231C2" w:rsidRPr="005B1DF3" w:rsidRDefault="00E231C2" w:rsidP="004B1FE1">
            <w:pPr>
              <w:ind w:left="0"/>
              <w:rPr>
                <w:b w:val="0"/>
                <w:sz w:val="20"/>
                <w:szCs w:val="22"/>
                <w:lang w:eastAsia="en-US"/>
              </w:rPr>
            </w:pPr>
            <w:r w:rsidRPr="005B1DF3">
              <w:rPr>
                <w:b w:val="0"/>
                <w:sz w:val="20"/>
              </w:rPr>
              <w:t>Female</w:t>
            </w:r>
          </w:p>
        </w:tc>
      </w:tr>
      <w:tr w:rsidR="00887DAD" w:rsidRPr="004F0C14" w14:paraId="33A1F5BB" w14:textId="77777777" w:rsidTr="004B1FE1">
        <w:trPr>
          <w:trHeight w:val="224"/>
        </w:trPr>
        <w:tc>
          <w:tcPr>
            <w:tcW w:w="1101" w:type="dxa"/>
            <w:vMerge w:val="restart"/>
          </w:tcPr>
          <w:p w14:paraId="31C06E20" w14:textId="0D98DEE9" w:rsidR="00E231C2" w:rsidRPr="004F0C14" w:rsidRDefault="00E231C2">
            <w:pPr>
              <w:ind w:left="0" w:right="0"/>
              <w:rPr>
                <w:color w:val="auto"/>
                <w:sz w:val="20"/>
                <w:szCs w:val="22"/>
                <w:lang w:eastAsia="en-US"/>
              </w:rPr>
            </w:pPr>
            <w:r w:rsidRPr="004F0C14">
              <w:rPr>
                <w:b/>
                <w:sz w:val="20"/>
              </w:rPr>
              <w:t>Rat</w:t>
            </w:r>
            <w:r w:rsidR="00887DAD" w:rsidRPr="004F0C14">
              <w:rPr>
                <w:sz w:val="20"/>
              </w:rPr>
              <w:t xml:space="preserve"> </w:t>
            </w:r>
            <w:r w:rsidRPr="004F0C14">
              <w:rPr>
                <w:sz w:val="20"/>
              </w:rPr>
              <w:t>(HanRcc: Wist)</w:t>
            </w:r>
          </w:p>
        </w:tc>
        <w:tc>
          <w:tcPr>
            <w:tcW w:w="1559" w:type="dxa"/>
            <w:vMerge w:val="restart"/>
          </w:tcPr>
          <w:p w14:paraId="3E4D8E5A" w14:textId="7AD89895" w:rsidR="00E231C2" w:rsidRPr="004F0C14" w:rsidRDefault="007C19A3">
            <w:pPr>
              <w:ind w:left="0" w:right="0"/>
              <w:rPr>
                <w:color w:val="auto"/>
                <w:sz w:val="20"/>
                <w:szCs w:val="22"/>
                <w:lang w:eastAsia="en-US"/>
              </w:rPr>
            </w:pPr>
            <w:r w:rsidRPr="004F0C14">
              <w:rPr>
                <w:sz w:val="20"/>
              </w:rPr>
              <w:t>15 weeks</w:t>
            </w:r>
            <w:r w:rsidRPr="004F0C14">
              <w:rPr>
                <w:sz w:val="20"/>
                <w:vertAlign w:val="superscript"/>
              </w:rPr>
              <w:t>2</w:t>
            </w:r>
            <w:r w:rsidR="00887DAD" w:rsidRPr="004F0C14">
              <w:rPr>
                <w:sz w:val="20"/>
              </w:rPr>
              <w:t xml:space="preserve"> (1370292)</w:t>
            </w:r>
          </w:p>
        </w:tc>
        <w:tc>
          <w:tcPr>
            <w:tcW w:w="1626" w:type="dxa"/>
          </w:tcPr>
          <w:p w14:paraId="405AEC89" w14:textId="77777777" w:rsidR="00E231C2" w:rsidRPr="004F0C14" w:rsidRDefault="00E231C2">
            <w:pPr>
              <w:ind w:left="0" w:right="0"/>
              <w:rPr>
                <w:color w:val="auto"/>
                <w:sz w:val="20"/>
                <w:szCs w:val="22"/>
                <w:lang w:eastAsia="en-US"/>
              </w:rPr>
            </w:pPr>
            <w:r w:rsidRPr="004F0C14">
              <w:rPr>
                <w:sz w:val="20"/>
              </w:rPr>
              <w:t>25</w:t>
            </w:r>
          </w:p>
        </w:tc>
        <w:tc>
          <w:tcPr>
            <w:tcW w:w="1037" w:type="dxa"/>
          </w:tcPr>
          <w:p w14:paraId="7B311570" w14:textId="77777777" w:rsidR="00E231C2" w:rsidRPr="004F0C14" w:rsidRDefault="00E231C2">
            <w:pPr>
              <w:ind w:left="0" w:right="0"/>
              <w:rPr>
                <w:color w:val="auto"/>
                <w:sz w:val="20"/>
                <w:szCs w:val="22"/>
                <w:lang w:eastAsia="en-US"/>
              </w:rPr>
            </w:pPr>
            <w:r w:rsidRPr="004F0C14">
              <w:rPr>
                <w:sz w:val="20"/>
              </w:rPr>
              <w:t>1460</w:t>
            </w:r>
          </w:p>
        </w:tc>
        <w:tc>
          <w:tcPr>
            <w:tcW w:w="1164" w:type="dxa"/>
          </w:tcPr>
          <w:p w14:paraId="25106971" w14:textId="3974BF7D" w:rsidR="00E231C2" w:rsidRPr="004F0C14" w:rsidRDefault="00E231C2">
            <w:pPr>
              <w:ind w:left="0" w:right="0"/>
              <w:rPr>
                <w:color w:val="auto"/>
                <w:sz w:val="20"/>
                <w:szCs w:val="22"/>
                <w:lang w:eastAsia="en-US"/>
              </w:rPr>
            </w:pPr>
          </w:p>
        </w:tc>
        <w:tc>
          <w:tcPr>
            <w:tcW w:w="910" w:type="dxa"/>
          </w:tcPr>
          <w:p w14:paraId="01A9E25B" w14:textId="77777777" w:rsidR="00E231C2" w:rsidRPr="004F0C14" w:rsidRDefault="00E231C2">
            <w:pPr>
              <w:ind w:left="0" w:right="0"/>
              <w:rPr>
                <w:color w:val="auto"/>
                <w:sz w:val="20"/>
                <w:szCs w:val="22"/>
                <w:lang w:eastAsia="en-US"/>
              </w:rPr>
            </w:pPr>
            <w:r w:rsidRPr="004F0C14">
              <w:rPr>
                <w:sz w:val="20"/>
              </w:rPr>
              <w:t>0.5</w:t>
            </w:r>
          </w:p>
        </w:tc>
        <w:tc>
          <w:tcPr>
            <w:tcW w:w="1216" w:type="dxa"/>
          </w:tcPr>
          <w:p w14:paraId="6D5D696A" w14:textId="723E193B" w:rsidR="00E231C2" w:rsidRPr="004F0C14" w:rsidRDefault="00E231C2">
            <w:pPr>
              <w:ind w:left="0" w:right="0"/>
              <w:rPr>
                <w:color w:val="auto"/>
                <w:sz w:val="20"/>
                <w:szCs w:val="22"/>
                <w:lang w:eastAsia="en-US"/>
              </w:rPr>
            </w:pPr>
          </w:p>
        </w:tc>
      </w:tr>
      <w:tr w:rsidR="00887DAD" w:rsidRPr="004F0C14" w14:paraId="7B0C990E" w14:textId="77777777" w:rsidTr="004B1FE1">
        <w:trPr>
          <w:trHeight w:val="224"/>
        </w:trPr>
        <w:tc>
          <w:tcPr>
            <w:tcW w:w="1101" w:type="dxa"/>
            <w:vMerge/>
          </w:tcPr>
          <w:p w14:paraId="675CCD70" w14:textId="77777777" w:rsidR="00E231C2" w:rsidRPr="004F0C14" w:rsidRDefault="00E231C2">
            <w:pPr>
              <w:ind w:left="0" w:right="0"/>
              <w:rPr>
                <w:color w:val="auto"/>
                <w:sz w:val="20"/>
                <w:szCs w:val="22"/>
                <w:lang w:eastAsia="en-US"/>
              </w:rPr>
            </w:pPr>
          </w:p>
        </w:tc>
        <w:tc>
          <w:tcPr>
            <w:tcW w:w="1559" w:type="dxa"/>
            <w:vMerge/>
          </w:tcPr>
          <w:p w14:paraId="6E423EF7" w14:textId="77777777" w:rsidR="00E231C2" w:rsidRPr="004F0C14" w:rsidRDefault="00E231C2">
            <w:pPr>
              <w:ind w:left="0" w:right="0"/>
              <w:rPr>
                <w:color w:val="auto"/>
                <w:sz w:val="20"/>
                <w:szCs w:val="22"/>
                <w:lang w:eastAsia="en-US"/>
              </w:rPr>
            </w:pPr>
          </w:p>
        </w:tc>
        <w:tc>
          <w:tcPr>
            <w:tcW w:w="1626" w:type="dxa"/>
          </w:tcPr>
          <w:p w14:paraId="7E767E8A" w14:textId="77777777" w:rsidR="00E231C2" w:rsidRPr="004F0C14" w:rsidRDefault="00E231C2">
            <w:pPr>
              <w:ind w:left="0" w:right="0"/>
              <w:rPr>
                <w:color w:val="auto"/>
                <w:sz w:val="20"/>
                <w:szCs w:val="22"/>
                <w:lang w:eastAsia="en-US"/>
              </w:rPr>
            </w:pPr>
            <w:r w:rsidRPr="004F0C14">
              <w:rPr>
                <w:sz w:val="20"/>
              </w:rPr>
              <w:t>50</w:t>
            </w:r>
          </w:p>
        </w:tc>
        <w:tc>
          <w:tcPr>
            <w:tcW w:w="1037" w:type="dxa"/>
          </w:tcPr>
          <w:p w14:paraId="22E17B3B" w14:textId="535AF3AE" w:rsidR="00E231C2" w:rsidRPr="004F0C14" w:rsidRDefault="00E231C2">
            <w:pPr>
              <w:ind w:left="0" w:right="0"/>
              <w:rPr>
                <w:color w:val="auto"/>
                <w:sz w:val="20"/>
                <w:szCs w:val="22"/>
                <w:lang w:eastAsia="en-US"/>
              </w:rPr>
            </w:pPr>
          </w:p>
        </w:tc>
        <w:tc>
          <w:tcPr>
            <w:tcW w:w="1164" w:type="dxa"/>
          </w:tcPr>
          <w:p w14:paraId="3F414D17" w14:textId="77777777" w:rsidR="00E231C2" w:rsidRPr="004F0C14" w:rsidRDefault="00E231C2">
            <w:pPr>
              <w:ind w:left="0" w:right="0"/>
              <w:rPr>
                <w:color w:val="auto"/>
                <w:sz w:val="20"/>
                <w:szCs w:val="22"/>
                <w:lang w:eastAsia="en-US"/>
              </w:rPr>
            </w:pPr>
            <w:r w:rsidRPr="004F0C14">
              <w:rPr>
                <w:sz w:val="20"/>
              </w:rPr>
              <w:t>78.5</w:t>
            </w:r>
          </w:p>
        </w:tc>
        <w:tc>
          <w:tcPr>
            <w:tcW w:w="910" w:type="dxa"/>
          </w:tcPr>
          <w:p w14:paraId="47375035" w14:textId="4EE2EA29" w:rsidR="00E231C2" w:rsidRPr="004F0C14" w:rsidRDefault="00E231C2">
            <w:pPr>
              <w:ind w:left="0" w:right="0"/>
              <w:rPr>
                <w:color w:val="auto"/>
                <w:sz w:val="20"/>
                <w:szCs w:val="22"/>
                <w:lang w:eastAsia="en-US"/>
              </w:rPr>
            </w:pPr>
          </w:p>
        </w:tc>
        <w:tc>
          <w:tcPr>
            <w:tcW w:w="1216" w:type="dxa"/>
          </w:tcPr>
          <w:p w14:paraId="300CEDD4" w14:textId="77777777" w:rsidR="00E231C2" w:rsidRPr="004F0C14" w:rsidRDefault="00E231C2">
            <w:pPr>
              <w:ind w:left="0" w:right="0"/>
              <w:rPr>
                <w:color w:val="auto"/>
                <w:sz w:val="20"/>
                <w:szCs w:val="22"/>
                <w:lang w:eastAsia="en-US"/>
              </w:rPr>
            </w:pPr>
            <w:r w:rsidRPr="004F0C14">
              <w:rPr>
                <w:sz w:val="20"/>
              </w:rPr>
              <w:t>0.03</w:t>
            </w:r>
          </w:p>
        </w:tc>
      </w:tr>
      <w:tr w:rsidR="00887DAD" w:rsidRPr="004F0C14" w14:paraId="5A40DE59" w14:textId="77777777" w:rsidTr="004B1FE1">
        <w:trPr>
          <w:trHeight w:val="224"/>
        </w:trPr>
        <w:tc>
          <w:tcPr>
            <w:tcW w:w="1101" w:type="dxa"/>
            <w:vMerge/>
          </w:tcPr>
          <w:p w14:paraId="2D58B363" w14:textId="77777777" w:rsidR="00E231C2" w:rsidRPr="004F0C14" w:rsidRDefault="00E231C2">
            <w:pPr>
              <w:ind w:left="0" w:right="0"/>
              <w:rPr>
                <w:color w:val="auto"/>
                <w:sz w:val="20"/>
                <w:szCs w:val="22"/>
                <w:lang w:eastAsia="en-US"/>
              </w:rPr>
            </w:pPr>
          </w:p>
        </w:tc>
        <w:tc>
          <w:tcPr>
            <w:tcW w:w="1559" w:type="dxa"/>
            <w:vMerge/>
          </w:tcPr>
          <w:p w14:paraId="3EE695D6" w14:textId="77777777" w:rsidR="00E231C2" w:rsidRPr="004F0C14" w:rsidRDefault="00E231C2">
            <w:pPr>
              <w:ind w:left="0" w:right="0"/>
              <w:rPr>
                <w:color w:val="auto"/>
                <w:sz w:val="20"/>
                <w:szCs w:val="22"/>
                <w:lang w:eastAsia="en-US"/>
              </w:rPr>
            </w:pPr>
          </w:p>
        </w:tc>
        <w:tc>
          <w:tcPr>
            <w:tcW w:w="1626" w:type="dxa"/>
          </w:tcPr>
          <w:p w14:paraId="2F0F076A" w14:textId="77777777" w:rsidR="00E231C2" w:rsidRPr="004F0C14" w:rsidRDefault="00E231C2">
            <w:pPr>
              <w:ind w:left="0" w:right="0"/>
              <w:rPr>
                <w:color w:val="auto"/>
                <w:sz w:val="20"/>
                <w:szCs w:val="22"/>
                <w:lang w:eastAsia="en-US"/>
              </w:rPr>
            </w:pPr>
            <w:r w:rsidRPr="004F0C14">
              <w:rPr>
                <w:sz w:val="20"/>
              </w:rPr>
              <w:t>75</w:t>
            </w:r>
          </w:p>
        </w:tc>
        <w:tc>
          <w:tcPr>
            <w:tcW w:w="1037" w:type="dxa"/>
          </w:tcPr>
          <w:p w14:paraId="6E9C2AB9" w14:textId="77777777" w:rsidR="00E231C2" w:rsidRPr="004F0C14" w:rsidRDefault="00E231C2">
            <w:pPr>
              <w:ind w:left="0" w:right="0"/>
              <w:rPr>
                <w:color w:val="auto"/>
                <w:sz w:val="20"/>
                <w:szCs w:val="22"/>
                <w:lang w:eastAsia="en-US"/>
              </w:rPr>
            </w:pPr>
            <w:r w:rsidRPr="004F0C14">
              <w:rPr>
                <w:sz w:val="20"/>
              </w:rPr>
              <w:t>3360</w:t>
            </w:r>
          </w:p>
        </w:tc>
        <w:tc>
          <w:tcPr>
            <w:tcW w:w="1164" w:type="dxa"/>
          </w:tcPr>
          <w:p w14:paraId="781FE467" w14:textId="63432ECE" w:rsidR="00E231C2" w:rsidRPr="004F0C14" w:rsidRDefault="00E231C2">
            <w:pPr>
              <w:ind w:left="0" w:right="0"/>
              <w:rPr>
                <w:color w:val="auto"/>
                <w:sz w:val="20"/>
                <w:szCs w:val="22"/>
                <w:lang w:eastAsia="en-US"/>
              </w:rPr>
            </w:pPr>
          </w:p>
        </w:tc>
        <w:tc>
          <w:tcPr>
            <w:tcW w:w="910" w:type="dxa"/>
          </w:tcPr>
          <w:p w14:paraId="7A8A4484" w14:textId="77777777" w:rsidR="00E231C2" w:rsidRPr="004F0C14" w:rsidRDefault="00E231C2">
            <w:pPr>
              <w:ind w:left="0" w:right="0"/>
              <w:rPr>
                <w:color w:val="auto"/>
                <w:sz w:val="20"/>
                <w:szCs w:val="22"/>
                <w:lang w:eastAsia="en-US"/>
              </w:rPr>
            </w:pPr>
            <w:r w:rsidRPr="004F0C14">
              <w:rPr>
                <w:sz w:val="20"/>
              </w:rPr>
              <w:t>1.2</w:t>
            </w:r>
          </w:p>
        </w:tc>
        <w:tc>
          <w:tcPr>
            <w:tcW w:w="1216" w:type="dxa"/>
          </w:tcPr>
          <w:p w14:paraId="25737AF5" w14:textId="23677173" w:rsidR="00E231C2" w:rsidRPr="004F0C14" w:rsidRDefault="00E231C2">
            <w:pPr>
              <w:ind w:left="0" w:right="0"/>
              <w:rPr>
                <w:color w:val="auto"/>
                <w:sz w:val="20"/>
                <w:szCs w:val="22"/>
                <w:lang w:eastAsia="en-US"/>
              </w:rPr>
            </w:pPr>
          </w:p>
        </w:tc>
      </w:tr>
      <w:tr w:rsidR="00887DAD" w:rsidRPr="004F0C14" w14:paraId="3F91D266" w14:textId="77777777" w:rsidTr="004B1FE1">
        <w:trPr>
          <w:trHeight w:val="224"/>
        </w:trPr>
        <w:tc>
          <w:tcPr>
            <w:tcW w:w="1101" w:type="dxa"/>
            <w:vMerge/>
          </w:tcPr>
          <w:p w14:paraId="059ED1E7" w14:textId="77777777" w:rsidR="00E231C2" w:rsidRPr="004F0C14" w:rsidRDefault="00E231C2">
            <w:pPr>
              <w:ind w:left="0" w:right="0"/>
              <w:rPr>
                <w:color w:val="auto"/>
                <w:sz w:val="20"/>
                <w:szCs w:val="22"/>
                <w:lang w:eastAsia="en-US"/>
              </w:rPr>
            </w:pPr>
          </w:p>
        </w:tc>
        <w:tc>
          <w:tcPr>
            <w:tcW w:w="1559" w:type="dxa"/>
            <w:vMerge/>
          </w:tcPr>
          <w:p w14:paraId="38E74F07" w14:textId="77777777" w:rsidR="00E231C2" w:rsidRPr="004F0C14" w:rsidRDefault="00E231C2">
            <w:pPr>
              <w:ind w:left="0" w:right="0"/>
              <w:rPr>
                <w:color w:val="auto"/>
                <w:sz w:val="20"/>
                <w:szCs w:val="22"/>
                <w:lang w:eastAsia="en-US"/>
              </w:rPr>
            </w:pPr>
          </w:p>
        </w:tc>
        <w:tc>
          <w:tcPr>
            <w:tcW w:w="1626" w:type="dxa"/>
          </w:tcPr>
          <w:p w14:paraId="1CCF9DA8" w14:textId="77777777" w:rsidR="00E231C2" w:rsidRPr="004F0C14" w:rsidRDefault="00E231C2">
            <w:pPr>
              <w:ind w:left="0" w:right="0"/>
              <w:rPr>
                <w:color w:val="auto"/>
                <w:sz w:val="20"/>
                <w:szCs w:val="22"/>
                <w:lang w:eastAsia="en-US"/>
              </w:rPr>
            </w:pPr>
            <w:r w:rsidRPr="004F0C14">
              <w:rPr>
                <w:sz w:val="20"/>
              </w:rPr>
              <w:t>150</w:t>
            </w:r>
          </w:p>
        </w:tc>
        <w:tc>
          <w:tcPr>
            <w:tcW w:w="1037" w:type="dxa"/>
          </w:tcPr>
          <w:p w14:paraId="63DFEEE6" w14:textId="77777777" w:rsidR="00E231C2" w:rsidRPr="004F0C14" w:rsidRDefault="00E231C2">
            <w:pPr>
              <w:ind w:left="0" w:right="0"/>
              <w:rPr>
                <w:color w:val="auto"/>
                <w:sz w:val="20"/>
                <w:szCs w:val="22"/>
                <w:lang w:eastAsia="en-US"/>
              </w:rPr>
            </w:pPr>
            <w:r w:rsidRPr="004F0C14">
              <w:rPr>
                <w:sz w:val="20"/>
              </w:rPr>
              <w:t>5520</w:t>
            </w:r>
          </w:p>
        </w:tc>
        <w:tc>
          <w:tcPr>
            <w:tcW w:w="1164" w:type="dxa"/>
          </w:tcPr>
          <w:p w14:paraId="20DCE897" w14:textId="77777777" w:rsidR="00E231C2" w:rsidRPr="004F0C14" w:rsidRDefault="00E231C2">
            <w:pPr>
              <w:ind w:left="0" w:right="0"/>
              <w:rPr>
                <w:color w:val="auto"/>
                <w:sz w:val="20"/>
                <w:szCs w:val="22"/>
                <w:lang w:eastAsia="en-US"/>
              </w:rPr>
            </w:pPr>
            <w:r w:rsidRPr="004F0C14">
              <w:rPr>
                <w:sz w:val="20"/>
              </w:rPr>
              <w:t>250</w:t>
            </w:r>
          </w:p>
        </w:tc>
        <w:tc>
          <w:tcPr>
            <w:tcW w:w="910" w:type="dxa"/>
          </w:tcPr>
          <w:p w14:paraId="55D3A612" w14:textId="77777777" w:rsidR="00E231C2" w:rsidRPr="004F0C14" w:rsidRDefault="00E231C2">
            <w:pPr>
              <w:ind w:left="0" w:right="0"/>
              <w:rPr>
                <w:color w:val="auto"/>
                <w:sz w:val="20"/>
                <w:szCs w:val="22"/>
                <w:lang w:eastAsia="en-US"/>
              </w:rPr>
            </w:pPr>
            <w:r w:rsidRPr="004F0C14">
              <w:rPr>
                <w:sz w:val="20"/>
              </w:rPr>
              <w:t>2</w:t>
            </w:r>
          </w:p>
        </w:tc>
        <w:tc>
          <w:tcPr>
            <w:tcW w:w="1216" w:type="dxa"/>
          </w:tcPr>
          <w:p w14:paraId="3396E9BD" w14:textId="77777777" w:rsidR="00E231C2" w:rsidRPr="004F0C14" w:rsidRDefault="00E231C2">
            <w:pPr>
              <w:ind w:left="0" w:right="0"/>
              <w:rPr>
                <w:color w:val="auto"/>
                <w:sz w:val="20"/>
                <w:szCs w:val="22"/>
                <w:lang w:eastAsia="en-US"/>
              </w:rPr>
            </w:pPr>
            <w:r w:rsidRPr="004F0C14">
              <w:rPr>
                <w:sz w:val="20"/>
              </w:rPr>
              <w:t>0.09</w:t>
            </w:r>
          </w:p>
        </w:tc>
      </w:tr>
      <w:tr w:rsidR="00887DAD" w:rsidRPr="004F0C14" w14:paraId="47EB1F6E" w14:textId="77777777" w:rsidTr="004B1FE1">
        <w:trPr>
          <w:trHeight w:val="224"/>
        </w:trPr>
        <w:tc>
          <w:tcPr>
            <w:tcW w:w="1101" w:type="dxa"/>
            <w:vMerge/>
          </w:tcPr>
          <w:p w14:paraId="58416B9E" w14:textId="77777777" w:rsidR="00E231C2" w:rsidRPr="004F0C14" w:rsidRDefault="00E231C2">
            <w:pPr>
              <w:ind w:left="0" w:right="0"/>
              <w:rPr>
                <w:color w:val="auto"/>
                <w:sz w:val="20"/>
                <w:szCs w:val="22"/>
                <w:lang w:eastAsia="en-US"/>
              </w:rPr>
            </w:pPr>
          </w:p>
        </w:tc>
        <w:tc>
          <w:tcPr>
            <w:tcW w:w="1559" w:type="dxa"/>
            <w:vMerge/>
          </w:tcPr>
          <w:p w14:paraId="60CA810F" w14:textId="77777777" w:rsidR="00E231C2" w:rsidRPr="004F0C14" w:rsidRDefault="00E231C2">
            <w:pPr>
              <w:ind w:left="0" w:right="0"/>
              <w:rPr>
                <w:color w:val="auto"/>
                <w:sz w:val="20"/>
                <w:szCs w:val="22"/>
                <w:lang w:eastAsia="en-US"/>
              </w:rPr>
            </w:pPr>
          </w:p>
        </w:tc>
        <w:tc>
          <w:tcPr>
            <w:tcW w:w="1626" w:type="dxa"/>
          </w:tcPr>
          <w:p w14:paraId="53C61588" w14:textId="77777777" w:rsidR="00E231C2" w:rsidRPr="004F0C14" w:rsidRDefault="00E231C2">
            <w:pPr>
              <w:ind w:left="0" w:right="0"/>
              <w:rPr>
                <w:color w:val="auto"/>
                <w:sz w:val="20"/>
                <w:szCs w:val="22"/>
                <w:lang w:eastAsia="en-US"/>
              </w:rPr>
            </w:pPr>
            <w:r w:rsidRPr="004F0C14">
              <w:rPr>
                <w:sz w:val="20"/>
              </w:rPr>
              <w:t>300</w:t>
            </w:r>
          </w:p>
        </w:tc>
        <w:tc>
          <w:tcPr>
            <w:tcW w:w="1037" w:type="dxa"/>
          </w:tcPr>
          <w:p w14:paraId="7134F0A0" w14:textId="630079A9" w:rsidR="00E231C2" w:rsidRPr="004F0C14" w:rsidRDefault="00E231C2">
            <w:pPr>
              <w:ind w:left="0" w:right="0"/>
              <w:rPr>
                <w:color w:val="auto"/>
                <w:sz w:val="20"/>
                <w:szCs w:val="22"/>
                <w:lang w:eastAsia="en-US"/>
              </w:rPr>
            </w:pPr>
          </w:p>
        </w:tc>
        <w:tc>
          <w:tcPr>
            <w:tcW w:w="1164" w:type="dxa"/>
          </w:tcPr>
          <w:p w14:paraId="17000B62" w14:textId="77777777" w:rsidR="00E231C2" w:rsidRPr="004F0C14" w:rsidRDefault="00E231C2">
            <w:pPr>
              <w:ind w:left="0" w:right="0"/>
              <w:rPr>
                <w:color w:val="auto"/>
                <w:sz w:val="20"/>
                <w:szCs w:val="22"/>
                <w:lang w:eastAsia="en-US"/>
              </w:rPr>
            </w:pPr>
            <w:r w:rsidRPr="004F0C14">
              <w:rPr>
                <w:sz w:val="20"/>
              </w:rPr>
              <w:t>402</w:t>
            </w:r>
          </w:p>
        </w:tc>
        <w:tc>
          <w:tcPr>
            <w:tcW w:w="910" w:type="dxa"/>
          </w:tcPr>
          <w:p w14:paraId="77C17FBF" w14:textId="52780FBC" w:rsidR="00E231C2" w:rsidRPr="004F0C14" w:rsidRDefault="00E231C2">
            <w:pPr>
              <w:ind w:left="0" w:right="0"/>
              <w:rPr>
                <w:color w:val="auto"/>
                <w:sz w:val="20"/>
                <w:szCs w:val="22"/>
                <w:lang w:eastAsia="en-US"/>
              </w:rPr>
            </w:pPr>
          </w:p>
        </w:tc>
        <w:tc>
          <w:tcPr>
            <w:tcW w:w="1216" w:type="dxa"/>
          </w:tcPr>
          <w:p w14:paraId="554EB7B9" w14:textId="77777777" w:rsidR="00E231C2" w:rsidRPr="004F0C14" w:rsidRDefault="00E231C2">
            <w:pPr>
              <w:ind w:left="0" w:right="0"/>
              <w:rPr>
                <w:color w:val="auto"/>
                <w:sz w:val="20"/>
                <w:szCs w:val="22"/>
                <w:lang w:eastAsia="en-US"/>
              </w:rPr>
            </w:pPr>
            <w:r w:rsidRPr="004F0C14">
              <w:rPr>
                <w:sz w:val="20"/>
              </w:rPr>
              <w:t>0.2</w:t>
            </w:r>
          </w:p>
        </w:tc>
      </w:tr>
      <w:tr w:rsidR="00887DAD" w:rsidRPr="004F0C14" w14:paraId="1F74CD15" w14:textId="77777777" w:rsidTr="004B1FE1">
        <w:trPr>
          <w:trHeight w:val="224"/>
        </w:trPr>
        <w:tc>
          <w:tcPr>
            <w:tcW w:w="1101" w:type="dxa"/>
            <w:vMerge/>
          </w:tcPr>
          <w:p w14:paraId="22219608" w14:textId="77777777" w:rsidR="00E231C2" w:rsidRPr="004F0C14" w:rsidRDefault="00E231C2">
            <w:pPr>
              <w:ind w:left="0" w:right="0"/>
              <w:rPr>
                <w:color w:val="auto"/>
                <w:sz w:val="20"/>
                <w:szCs w:val="22"/>
                <w:lang w:eastAsia="en-US"/>
              </w:rPr>
            </w:pPr>
          </w:p>
        </w:tc>
        <w:tc>
          <w:tcPr>
            <w:tcW w:w="1559" w:type="dxa"/>
            <w:vMerge w:val="restart"/>
          </w:tcPr>
          <w:p w14:paraId="01CA90E1" w14:textId="5DD860D0" w:rsidR="00E231C2" w:rsidRPr="004F0C14" w:rsidRDefault="007C19A3">
            <w:pPr>
              <w:ind w:left="0" w:right="0"/>
              <w:rPr>
                <w:color w:val="auto"/>
                <w:sz w:val="20"/>
                <w:szCs w:val="22"/>
                <w:lang w:eastAsia="en-US"/>
              </w:rPr>
            </w:pPr>
            <w:r w:rsidRPr="004F0C14">
              <w:rPr>
                <w:sz w:val="20"/>
              </w:rPr>
              <w:t>27 weeks</w:t>
            </w:r>
            <w:r w:rsidRPr="004F0C14">
              <w:rPr>
                <w:sz w:val="20"/>
                <w:vertAlign w:val="superscript"/>
              </w:rPr>
              <w:t>2</w:t>
            </w:r>
            <w:r w:rsidRPr="004F0C14">
              <w:rPr>
                <w:sz w:val="20"/>
              </w:rPr>
              <w:t xml:space="preserve"> (1470078)</w:t>
            </w:r>
          </w:p>
        </w:tc>
        <w:tc>
          <w:tcPr>
            <w:tcW w:w="1626" w:type="dxa"/>
          </w:tcPr>
          <w:p w14:paraId="5324C81A" w14:textId="77777777" w:rsidR="00E231C2" w:rsidRPr="004F0C14" w:rsidRDefault="00E231C2">
            <w:pPr>
              <w:ind w:left="0" w:right="0"/>
              <w:rPr>
                <w:color w:val="auto"/>
                <w:sz w:val="20"/>
                <w:szCs w:val="22"/>
                <w:lang w:eastAsia="en-US"/>
              </w:rPr>
            </w:pPr>
            <w:r w:rsidRPr="004F0C14">
              <w:rPr>
                <w:sz w:val="20"/>
              </w:rPr>
              <w:t>25</w:t>
            </w:r>
          </w:p>
        </w:tc>
        <w:tc>
          <w:tcPr>
            <w:tcW w:w="1037" w:type="dxa"/>
          </w:tcPr>
          <w:p w14:paraId="451D6869" w14:textId="77777777" w:rsidR="00E231C2" w:rsidRPr="004F0C14" w:rsidRDefault="00E231C2">
            <w:pPr>
              <w:ind w:left="0" w:right="0"/>
              <w:rPr>
                <w:color w:val="auto"/>
                <w:sz w:val="20"/>
                <w:szCs w:val="22"/>
                <w:lang w:eastAsia="en-US"/>
              </w:rPr>
            </w:pPr>
            <w:r w:rsidRPr="004F0C14">
              <w:rPr>
                <w:sz w:val="20"/>
              </w:rPr>
              <w:t>2360</w:t>
            </w:r>
          </w:p>
        </w:tc>
        <w:tc>
          <w:tcPr>
            <w:tcW w:w="1164" w:type="dxa"/>
          </w:tcPr>
          <w:p w14:paraId="143B6242" w14:textId="516C648D" w:rsidR="00E231C2" w:rsidRPr="004F0C14" w:rsidRDefault="00E231C2">
            <w:pPr>
              <w:ind w:left="0" w:right="0"/>
              <w:rPr>
                <w:color w:val="auto"/>
                <w:sz w:val="20"/>
                <w:szCs w:val="22"/>
                <w:lang w:eastAsia="en-US"/>
              </w:rPr>
            </w:pPr>
          </w:p>
        </w:tc>
        <w:tc>
          <w:tcPr>
            <w:tcW w:w="910" w:type="dxa"/>
          </w:tcPr>
          <w:p w14:paraId="453536D9" w14:textId="77777777" w:rsidR="00E231C2" w:rsidRPr="004F0C14" w:rsidRDefault="00E231C2">
            <w:pPr>
              <w:ind w:left="0" w:right="0"/>
              <w:rPr>
                <w:color w:val="auto"/>
                <w:sz w:val="20"/>
                <w:szCs w:val="22"/>
                <w:lang w:eastAsia="en-US"/>
              </w:rPr>
            </w:pPr>
            <w:r w:rsidRPr="004F0C14">
              <w:rPr>
                <w:sz w:val="20"/>
              </w:rPr>
              <w:t>0.9</w:t>
            </w:r>
          </w:p>
        </w:tc>
        <w:tc>
          <w:tcPr>
            <w:tcW w:w="1216" w:type="dxa"/>
          </w:tcPr>
          <w:p w14:paraId="2585F781" w14:textId="6A701CFF" w:rsidR="00E231C2" w:rsidRPr="004F0C14" w:rsidRDefault="00E231C2">
            <w:pPr>
              <w:ind w:left="0" w:right="0"/>
              <w:rPr>
                <w:color w:val="auto"/>
                <w:sz w:val="20"/>
                <w:szCs w:val="22"/>
                <w:lang w:eastAsia="en-US"/>
              </w:rPr>
            </w:pPr>
          </w:p>
        </w:tc>
      </w:tr>
      <w:tr w:rsidR="00887DAD" w:rsidRPr="004F0C14" w14:paraId="10030823" w14:textId="77777777" w:rsidTr="004B1FE1">
        <w:trPr>
          <w:trHeight w:val="224"/>
        </w:trPr>
        <w:tc>
          <w:tcPr>
            <w:tcW w:w="1101" w:type="dxa"/>
            <w:vMerge/>
          </w:tcPr>
          <w:p w14:paraId="5EEC6177" w14:textId="77777777" w:rsidR="00E231C2" w:rsidRPr="004F0C14" w:rsidRDefault="00E231C2">
            <w:pPr>
              <w:ind w:left="0" w:right="0"/>
              <w:rPr>
                <w:color w:val="auto"/>
                <w:sz w:val="20"/>
                <w:szCs w:val="22"/>
                <w:lang w:eastAsia="en-US"/>
              </w:rPr>
            </w:pPr>
          </w:p>
        </w:tc>
        <w:tc>
          <w:tcPr>
            <w:tcW w:w="1559" w:type="dxa"/>
            <w:vMerge/>
          </w:tcPr>
          <w:p w14:paraId="2D63ECF8" w14:textId="77777777" w:rsidR="00E231C2" w:rsidRPr="004F0C14" w:rsidRDefault="00E231C2">
            <w:pPr>
              <w:ind w:left="0" w:right="0"/>
              <w:rPr>
                <w:color w:val="auto"/>
                <w:sz w:val="20"/>
                <w:szCs w:val="22"/>
                <w:lang w:eastAsia="en-US"/>
              </w:rPr>
            </w:pPr>
          </w:p>
        </w:tc>
        <w:tc>
          <w:tcPr>
            <w:tcW w:w="1626" w:type="dxa"/>
          </w:tcPr>
          <w:p w14:paraId="6D86BEA8" w14:textId="77777777" w:rsidR="00E231C2" w:rsidRPr="004F0C14" w:rsidRDefault="00E231C2">
            <w:pPr>
              <w:ind w:left="0" w:right="0"/>
              <w:rPr>
                <w:color w:val="auto"/>
                <w:sz w:val="20"/>
                <w:szCs w:val="22"/>
                <w:lang w:eastAsia="en-US"/>
              </w:rPr>
            </w:pPr>
            <w:r w:rsidRPr="004F0C14">
              <w:rPr>
                <w:sz w:val="20"/>
              </w:rPr>
              <w:t>50</w:t>
            </w:r>
          </w:p>
        </w:tc>
        <w:tc>
          <w:tcPr>
            <w:tcW w:w="1037" w:type="dxa"/>
          </w:tcPr>
          <w:p w14:paraId="654D27B1" w14:textId="2448247C" w:rsidR="00E231C2" w:rsidRPr="004F0C14" w:rsidRDefault="00E231C2">
            <w:pPr>
              <w:ind w:left="0" w:right="0"/>
              <w:rPr>
                <w:color w:val="auto"/>
                <w:sz w:val="20"/>
                <w:szCs w:val="22"/>
                <w:lang w:eastAsia="en-US"/>
              </w:rPr>
            </w:pPr>
          </w:p>
        </w:tc>
        <w:tc>
          <w:tcPr>
            <w:tcW w:w="1164" w:type="dxa"/>
          </w:tcPr>
          <w:p w14:paraId="5BF8AA75" w14:textId="77777777" w:rsidR="00E231C2" w:rsidRPr="004F0C14" w:rsidRDefault="00E231C2">
            <w:pPr>
              <w:ind w:left="0" w:right="0"/>
              <w:rPr>
                <w:color w:val="auto"/>
                <w:sz w:val="20"/>
                <w:szCs w:val="22"/>
                <w:lang w:eastAsia="en-US"/>
              </w:rPr>
            </w:pPr>
            <w:r w:rsidRPr="004F0C14">
              <w:rPr>
                <w:sz w:val="20"/>
              </w:rPr>
              <w:t>190</w:t>
            </w:r>
          </w:p>
        </w:tc>
        <w:tc>
          <w:tcPr>
            <w:tcW w:w="910" w:type="dxa"/>
          </w:tcPr>
          <w:p w14:paraId="6DB03FB0" w14:textId="22E29B64" w:rsidR="00E231C2" w:rsidRPr="004F0C14" w:rsidRDefault="00E231C2">
            <w:pPr>
              <w:ind w:left="0" w:right="0"/>
              <w:rPr>
                <w:color w:val="auto"/>
                <w:sz w:val="20"/>
                <w:szCs w:val="22"/>
                <w:lang w:eastAsia="en-US"/>
              </w:rPr>
            </w:pPr>
          </w:p>
        </w:tc>
        <w:tc>
          <w:tcPr>
            <w:tcW w:w="1216" w:type="dxa"/>
          </w:tcPr>
          <w:p w14:paraId="1D884670" w14:textId="77777777" w:rsidR="00E231C2" w:rsidRPr="004F0C14" w:rsidRDefault="00E231C2">
            <w:pPr>
              <w:ind w:left="0" w:right="0"/>
              <w:rPr>
                <w:color w:val="auto"/>
                <w:sz w:val="20"/>
                <w:szCs w:val="22"/>
                <w:lang w:eastAsia="en-US"/>
              </w:rPr>
            </w:pPr>
            <w:r w:rsidRPr="004F0C14">
              <w:rPr>
                <w:sz w:val="20"/>
              </w:rPr>
              <w:t>0.07</w:t>
            </w:r>
          </w:p>
        </w:tc>
      </w:tr>
      <w:tr w:rsidR="00887DAD" w:rsidRPr="004F0C14" w14:paraId="053487F9" w14:textId="77777777" w:rsidTr="004B1FE1">
        <w:trPr>
          <w:trHeight w:val="224"/>
        </w:trPr>
        <w:tc>
          <w:tcPr>
            <w:tcW w:w="1101" w:type="dxa"/>
            <w:vMerge/>
          </w:tcPr>
          <w:p w14:paraId="5F5BEB33" w14:textId="77777777" w:rsidR="00E231C2" w:rsidRPr="004F0C14" w:rsidRDefault="00E231C2">
            <w:pPr>
              <w:ind w:left="0" w:right="0"/>
              <w:rPr>
                <w:color w:val="auto"/>
                <w:sz w:val="20"/>
                <w:szCs w:val="22"/>
                <w:lang w:eastAsia="en-US"/>
              </w:rPr>
            </w:pPr>
          </w:p>
        </w:tc>
        <w:tc>
          <w:tcPr>
            <w:tcW w:w="1559" w:type="dxa"/>
            <w:vMerge/>
          </w:tcPr>
          <w:p w14:paraId="645ADE1D" w14:textId="77777777" w:rsidR="00E231C2" w:rsidRPr="004F0C14" w:rsidRDefault="00E231C2">
            <w:pPr>
              <w:ind w:left="0" w:right="0"/>
              <w:rPr>
                <w:color w:val="auto"/>
                <w:sz w:val="20"/>
                <w:szCs w:val="22"/>
                <w:lang w:eastAsia="en-US"/>
              </w:rPr>
            </w:pPr>
          </w:p>
        </w:tc>
        <w:tc>
          <w:tcPr>
            <w:tcW w:w="1626" w:type="dxa"/>
          </w:tcPr>
          <w:p w14:paraId="0D07EF88" w14:textId="77777777" w:rsidR="00E231C2" w:rsidRPr="004F0C14" w:rsidRDefault="00E231C2">
            <w:pPr>
              <w:ind w:left="0" w:right="0"/>
              <w:rPr>
                <w:color w:val="auto"/>
                <w:sz w:val="20"/>
                <w:szCs w:val="22"/>
                <w:lang w:eastAsia="en-US"/>
              </w:rPr>
            </w:pPr>
            <w:r w:rsidRPr="004F0C14">
              <w:rPr>
                <w:sz w:val="20"/>
              </w:rPr>
              <w:t>75</w:t>
            </w:r>
          </w:p>
        </w:tc>
        <w:tc>
          <w:tcPr>
            <w:tcW w:w="1037" w:type="dxa"/>
          </w:tcPr>
          <w:p w14:paraId="047CE497" w14:textId="77777777" w:rsidR="00E231C2" w:rsidRPr="004F0C14" w:rsidRDefault="00E231C2">
            <w:pPr>
              <w:ind w:left="0" w:right="0"/>
              <w:rPr>
                <w:color w:val="auto"/>
                <w:sz w:val="20"/>
                <w:szCs w:val="22"/>
                <w:lang w:eastAsia="en-US"/>
              </w:rPr>
            </w:pPr>
            <w:r w:rsidRPr="004F0C14">
              <w:rPr>
                <w:sz w:val="20"/>
              </w:rPr>
              <w:t>4480</w:t>
            </w:r>
          </w:p>
        </w:tc>
        <w:tc>
          <w:tcPr>
            <w:tcW w:w="1164" w:type="dxa"/>
          </w:tcPr>
          <w:p w14:paraId="465A2077" w14:textId="6A156263" w:rsidR="00E231C2" w:rsidRPr="004F0C14" w:rsidRDefault="00E231C2">
            <w:pPr>
              <w:ind w:left="0" w:right="0"/>
              <w:rPr>
                <w:color w:val="auto"/>
                <w:sz w:val="20"/>
                <w:szCs w:val="22"/>
                <w:lang w:eastAsia="en-US"/>
              </w:rPr>
            </w:pPr>
          </w:p>
        </w:tc>
        <w:tc>
          <w:tcPr>
            <w:tcW w:w="910" w:type="dxa"/>
          </w:tcPr>
          <w:p w14:paraId="0A9C4422" w14:textId="77777777" w:rsidR="00E231C2" w:rsidRPr="004F0C14" w:rsidRDefault="00E231C2">
            <w:pPr>
              <w:ind w:left="0" w:right="0"/>
              <w:rPr>
                <w:color w:val="auto"/>
                <w:sz w:val="20"/>
                <w:szCs w:val="22"/>
                <w:lang w:eastAsia="en-US"/>
              </w:rPr>
            </w:pPr>
            <w:r w:rsidRPr="004F0C14">
              <w:rPr>
                <w:sz w:val="20"/>
              </w:rPr>
              <w:t>1.7</w:t>
            </w:r>
          </w:p>
        </w:tc>
        <w:tc>
          <w:tcPr>
            <w:tcW w:w="1216" w:type="dxa"/>
          </w:tcPr>
          <w:p w14:paraId="27EE8A18" w14:textId="153B4096" w:rsidR="00E231C2" w:rsidRPr="004F0C14" w:rsidRDefault="00E231C2">
            <w:pPr>
              <w:ind w:left="0" w:right="0"/>
              <w:rPr>
                <w:color w:val="auto"/>
                <w:sz w:val="20"/>
                <w:szCs w:val="22"/>
                <w:lang w:eastAsia="en-US"/>
              </w:rPr>
            </w:pPr>
          </w:p>
        </w:tc>
      </w:tr>
      <w:tr w:rsidR="00887DAD" w:rsidRPr="004F0C14" w14:paraId="3C235ACA" w14:textId="77777777" w:rsidTr="004B1FE1">
        <w:trPr>
          <w:trHeight w:val="224"/>
        </w:trPr>
        <w:tc>
          <w:tcPr>
            <w:tcW w:w="1101" w:type="dxa"/>
            <w:vMerge/>
          </w:tcPr>
          <w:p w14:paraId="4B511959" w14:textId="77777777" w:rsidR="00E231C2" w:rsidRPr="004F0C14" w:rsidRDefault="00E231C2">
            <w:pPr>
              <w:ind w:left="0" w:right="0"/>
              <w:rPr>
                <w:color w:val="auto"/>
                <w:sz w:val="20"/>
                <w:szCs w:val="22"/>
                <w:lang w:eastAsia="en-US"/>
              </w:rPr>
            </w:pPr>
          </w:p>
        </w:tc>
        <w:tc>
          <w:tcPr>
            <w:tcW w:w="1559" w:type="dxa"/>
            <w:vMerge/>
          </w:tcPr>
          <w:p w14:paraId="01464686" w14:textId="77777777" w:rsidR="00E231C2" w:rsidRPr="004F0C14" w:rsidRDefault="00E231C2">
            <w:pPr>
              <w:ind w:left="0" w:right="0"/>
              <w:rPr>
                <w:color w:val="auto"/>
                <w:sz w:val="20"/>
                <w:szCs w:val="22"/>
                <w:lang w:eastAsia="en-US"/>
              </w:rPr>
            </w:pPr>
          </w:p>
        </w:tc>
        <w:tc>
          <w:tcPr>
            <w:tcW w:w="1626" w:type="dxa"/>
          </w:tcPr>
          <w:p w14:paraId="000C3855" w14:textId="77777777" w:rsidR="00E231C2" w:rsidRPr="004F0C14" w:rsidRDefault="00E231C2">
            <w:pPr>
              <w:ind w:left="0" w:right="0"/>
              <w:rPr>
                <w:color w:val="auto"/>
                <w:sz w:val="20"/>
                <w:szCs w:val="22"/>
                <w:lang w:eastAsia="en-US"/>
              </w:rPr>
            </w:pPr>
            <w:r w:rsidRPr="004F0C14">
              <w:rPr>
                <w:sz w:val="20"/>
              </w:rPr>
              <w:t>150</w:t>
            </w:r>
          </w:p>
        </w:tc>
        <w:tc>
          <w:tcPr>
            <w:tcW w:w="1037" w:type="dxa"/>
          </w:tcPr>
          <w:p w14:paraId="6FD9CA74" w14:textId="77777777" w:rsidR="00E231C2" w:rsidRPr="004F0C14" w:rsidRDefault="00E231C2">
            <w:pPr>
              <w:ind w:left="0" w:right="0"/>
              <w:rPr>
                <w:color w:val="auto"/>
                <w:sz w:val="20"/>
                <w:szCs w:val="22"/>
                <w:lang w:eastAsia="en-US"/>
              </w:rPr>
            </w:pPr>
            <w:r w:rsidRPr="004F0C14">
              <w:rPr>
                <w:sz w:val="20"/>
              </w:rPr>
              <w:t>4800</w:t>
            </w:r>
          </w:p>
        </w:tc>
        <w:tc>
          <w:tcPr>
            <w:tcW w:w="1164" w:type="dxa"/>
          </w:tcPr>
          <w:p w14:paraId="1138A49D" w14:textId="77777777" w:rsidR="00E231C2" w:rsidRPr="004F0C14" w:rsidRDefault="00E231C2">
            <w:pPr>
              <w:ind w:left="0" w:right="0"/>
              <w:rPr>
                <w:color w:val="auto"/>
                <w:sz w:val="20"/>
                <w:szCs w:val="22"/>
                <w:lang w:eastAsia="en-US"/>
              </w:rPr>
            </w:pPr>
            <w:r w:rsidRPr="004F0C14">
              <w:rPr>
                <w:sz w:val="20"/>
              </w:rPr>
              <w:t>256</w:t>
            </w:r>
          </w:p>
        </w:tc>
        <w:tc>
          <w:tcPr>
            <w:tcW w:w="910" w:type="dxa"/>
          </w:tcPr>
          <w:p w14:paraId="450FC79E" w14:textId="77777777" w:rsidR="00E231C2" w:rsidRPr="004F0C14" w:rsidRDefault="00E231C2">
            <w:pPr>
              <w:ind w:left="0" w:right="0"/>
              <w:rPr>
                <w:color w:val="auto"/>
                <w:sz w:val="20"/>
                <w:szCs w:val="22"/>
                <w:lang w:eastAsia="en-US"/>
              </w:rPr>
            </w:pPr>
            <w:r w:rsidRPr="004F0C14">
              <w:rPr>
                <w:sz w:val="20"/>
              </w:rPr>
              <w:t>1.8</w:t>
            </w:r>
          </w:p>
        </w:tc>
        <w:tc>
          <w:tcPr>
            <w:tcW w:w="1216" w:type="dxa"/>
          </w:tcPr>
          <w:p w14:paraId="0969D52A" w14:textId="77777777" w:rsidR="00E231C2" w:rsidRPr="004F0C14" w:rsidRDefault="00E231C2">
            <w:pPr>
              <w:ind w:left="0" w:right="0"/>
              <w:rPr>
                <w:color w:val="auto"/>
                <w:sz w:val="20"/>
                <w:szCs w:val="22"/>
                <w:lang w:eastAsia="en-US"/>
              </w:rPr>
            </w:pPr>
            <w:r w:rsidRPr="004F0C14">
              <w:rPr>
                <w:sz w:val="20"/>
              </w:rPr>
              <w:t>0.09</w:t>
            </w:r>
          </w:p>
        </w:tc>
      </w:tr>
      <w:tr w:rsidR="00887DAD" w:rsidRPr="004F0C14" w14:paraId="5D795B00" w14:textId="77777777" w:rsidTr="004B1FE1">
        <w:trPr>
          <w:trHeight w:val="224"/>
        </w:trPr>
        <w:tc>
          <w:tcPr>
            <w:tcW w:w="1101" w:type="dxa"/>
            <w:vMerge/>
          </w:tcPr>
          <w:p w14:paraId="335EC981" w14:textId="77777777" w:rsidR="00E231C2" w:rsidRPr="004F0C14" w:rsidRDefault="00E231C2">
            <w:pPr>
              <w:ind w:left="0" w:right="0"/>
              <w:rPr>
                <w:color w:val="auto"/>
                <w:sz w:val="20"/>
                <w:szCs w:val="22"/>
                <w:lang w:eastAsia="en-US"/>
              </w:rPr>
            </w:pPr>
          </w:p>
        </w:tc>
        <w:tc>
          <w:tcPr>
            <w:tcW w:w="1559" w:type="dxa"/>
            <w:vMerge/>
          </w:tcPr>
          <w:p w14:paraId="566536B3" w14:textId="77777777" w:rsidR="00E231C2" w:rsidRPr="004F0C14" w:rsidRDefault="00E231C2">
            <w:pPr>
              <w:ind w:left="0" w:right="0"/>
              <w:rPr>
                <w:color w:val="auto"/>
                <w:sz w:val="20"/>
                <w:szCs w:val="22"/>
                <w:lang w:eastAsia="en-US"/>
              </w:rPr>
            </w:pPr>
          </w:p>
        </w:tc>
        <w:tc>
          <w:tcPr>
            <w:tcW w:w="1626" w:type="dxa"/>
          </w:tcPr>
          <w:p w14:paraId="03F04CE5" w14:textId="77777777" w:rsidR="00E231C2" w:rsidRPr="004F0C14" w:rsidRDefault="00E231C2">
            <w:pPr>
              <w:ind w:left="0" w:right="0"/>
              <w:rPr>
                <w:color w:val="auto"/>
                <w:sz w:val="20"/>
                <w:szCs w:val="22"/>
                <w:lang w:eastAsia="en-US"/>
              </w:rPr>
            </w:pPr>
            <w:r w:rsidRPr="004F0C14">
              <w:rPr>
                <w:sz w:val="20"/>
              </w:rPr>
              <w:t>300</w:t>
            </w:r>
          </w:p>
        </w:tc>
        <w:tc>
          <w:tcPr>
            <w:tcW w:w="1037" w:type="dxa"/>
          </w:tcPr>
          <w:p w14:paraId="34C294D4" w14:textId="77777777" w:rsidR="00E231C2" w:rsidRPr="004F0C14" w:rsidRDefault="00E231C2">
            <w:pPr>
              <w:ind w:left="0" w:right="0"/>
              <w:rPr>
                <w:color w:val="auto"/>
                <w:sz w:val="20"/>
                <w:szCs w:val="22"/>
                <w:lang w:eastAsia="en-US"/>
              </w:rPr>
            </w:pPr>
          </w:p>
        </w:tc>
        <w:tc>
          <w:tcPr>
            <w:tcW w:w="1164" w:type="dxa"/>
          </w:tcPr>
          <w:p w14:paraId="27D4663A" w14:textId="77777777" w:rsidR="00E231C2" w:rsidRPr="004F0C14" w:rsidRDefault="00E231C2">
            <w:pPr>
              <w:ind w:left="0" w:right="0"/>
              <w:rPr>
                <w:color w:val="auto"/>
                <w:sz w:val="20"/>
                <w:szCs w:val="22"/>
                <w:lang w:eastAsia="en-US"/>
              </w:rPr>
            </w:pPr>
            <w:r w:rsidRPr="004F0C14">
              <w:rPr>
                <w:sz w:val="20"/>
              </w:rPr>
              <w:t>504</w:t>
            </w:r>
          </w:p>
        </w:tc>
        <w:tc>
          <w:tcPr>
            <w:tcW w:w="910" w:type="dxa"/>
          </w:tcPr>
          <w:p w14:paraId="1A62976A" w14:textId="465A6757" w:rsidR="00E231C2" w:rsidRPr="004F0C14" w:rsidRDefault="00E231C2">
            <w:pPr>
              <w:ind w:left="0" w:right="0"/>
              <w:rPr>
                <w:color w:val="auto"/>
                <w:sz w:val="20"/>
                <w:szCs w:val="22"/>
                <w:lang w:eastAsia="en-US"/>
              </w:rPr>
            </w:pPr>
          </w:p>
        </w:tc>
        <w:tc>
          <w:tcPr>
            <w:tcW w:w="1216" w:type="dxa"/>
          </w:tcPr>
          <w:p w14:paraId="535776E7" w14:textId="77777777" w:rsidR="00E231C2" w:rsidRPr="004F0C14" w:rsidRDefault="00E231C2">
            <w:pPr>
              <w:ind w:left="0" w:right="0"/>
              <w:rPr>
                <w:color w:val="auto"/>
                <w:sz w:val="20"/>
                <w:szCs w:val="22"/>
                <w:lang w:eastAsia="en-US"/>
              </w:rPr>
            </w:pPr>
            <w:r w:rsidRPr="004F0C14">
              <w:rPr>
                <w:sz w:val="20"/>
              </w:rPr>
              <w:t>0.2</w:t>
            </w:r>
          </w:p>
        </w:tc>
      </w:tr>
      <w:tr w:rsidR="00887DAD" w:rsidRPr="004F0C14" w14:paraId="5E384DC1" w14:textId="77777777" w:rsidTr="004B1FE1">
        <w:trPr>
          <w:trHeight w:val="224"/>
        </w:trPr>
        <w:tc>
          <w:tcPr>
            <w:tcW w:w="1101" w:type="dxa"/>
            <w:vMerge w:val="restart"/>
          </w:tcPr>
          <w:p w14:paraId="13A4FC19" w14:textId="39DA929F" w:rsidR="00E231C2" w:rsidRPr="004F0C14" w:rsidRDefault="00E231C2">
            <w:pPr>
              <w:ind w:left="0" w:right="0"/>
              <w:rPr>
                <w:color w:val="auto"/>
                <w:sz w:val="20"/>
                <w:szCs w:val="22"/>
                <w:lang w:eastAsia="en-US"/>
              </w:rPr>
            </w:pPr>
            <w:r w:rsidRPr="004F0C14">
              <w:rPr>
                <w:b/>
                <w:sz w:val="20"/>
              </w:rPr>
              <w:t>Dog</w:t>
            </w:r>
            <w:r w:rsidR="00887DAD" w:rsidRPr="004F0C14">
              <w:rPr>
                <w:sz w:val="20"/>
              </w:rPr>
              <w:t xml:space="preserve"> </w:t>
            </w:r>
            <w:r w:rsidRPr="004F0C14">
              <w:rPr>
                <w:sz w:val="20"/>
              </w:rPr>
              <w:t>(Beagle)</w:t>
            </w:r>
          </w:p>
        </w:tc>
        <w:tc>
          <w:tcPr>
            <w:tcW w:w="1559" w:type="dxa"/>
            <w:vMerge w:val="restart"/>
          </w:tcPr>
          <w:p w14:paraId="224F6696" w14:textId="6057C820" w:rsidR="00E231C2" w:rsidRPr="004F0C14" w:rsidRDefault="00E231C2">
            <w:pPr>
              <w:ind w:left="0" w:right="0"/>
              <w:rPr>
                <w:color w:val="auto"/>
                <w:sz w:val="20"/>
                <w:szCs w:val="22"/>
                <w:lang w:eastAsia="en-US"/>
              </w:rPr>
            </w:pPr>
            <w:r w:rsidRPr="004F0C14">
              <w:rPr>
                <w:sz w:val="20"/>
              </w:rPr>
              <w:t>4 weeks</w:t>
            </w:r>
            <w:r w:rsidR="00887DAD" w:rsidRPr="004F0C14">
              <w:rPr>
                <w:sz w:val="20"/>
              </w:rPr>
              <w:t xml:space="preserve"> (0870399)</w:t>
            </w:r>
          </w:p>
        </w:tc>
        <w:tc>
          <w:tcPr>
            <w:tcW w:w="1626" w:type="dxa"/>
          </w:tcPr>
          <w:p w14:paraId="5B1F43E9" w14:textId="77777777" w:rsidR="00E231C2" w:rsidRPr="004F0C14" w:rsidRDefault="00E231C2">
            <w:pPr>
              <w:ind w:left="0" w:right="0"/>
              <w:rPr>
                <w:color w:val="auto"/>
                <w:sz w:val="20"/>
                <w:szCs w:val="22"/>
                <w:lang w:eastAsia="en-US"/>
              </w:rPr>
            </w:pPr>
            <w:r w:rsidRPr="004F0C14">
              <w:rPr>
                <w:sz w:val="20"/>
              </w:rPr>
              <w:t>5</w:t>
            </w:r>
          </w:p>
        </w:tc>
        <w:tc>
          <w:tcPr>
            <w:tcW w:w="1037" w:type="dxa"/>
          </w:tcPr>
          <w:p w14:paraId="597D1D0E" w14:textId="77777777" w:rsidR="00E231C2" w:rsidRPr="004F0C14" w:rsidRDefault="00E231C2">
            <w:pPr>
              <w:ind w:left="0" w:right="0"/>
              <w:rPr>
                <w:color w:val="auto"/>
                <w:sz w:val="20"/>
                <w:szCs w:val="22"/>
                <w:lang w:eastAsia="en-US"/>
              </w:rPr>
            </w:pPr>
            <w:r w:rsidRPr="004F0C14">
              <w:rPr>
                <w:sz w:val="20"/>
              </w:rPr>
              <w:t>372</w:t>
            </w:r>
          </w:p>
        </w:tc>
        <w:tc>
          <w:tcPr>
            <w:tcW w:w="1164" w:type="dxa"/>
          </w:tcPr>
          <w:p w14:paraId="2FD09301" w14:textId="77777777" w:rsidR="00E231C2" w:rsidRPr="004F0C14" w:rsidRDefault="00E231C2">
            <w:pPr>
              <w:ind w:left="0" w:right="0"/>
              <w:rPr>
                <w:color w:val="auto"/>
                <w:sz w:val="20"/>
                <w:szCs w:val="22"/>
                <w:lang w:eastAsia="en-US"/>
              </w:rPr>
            </w:pPr>
            <w:r w:rsidRPr="004F0C14">
              <w:rPr>
                <w:sz w:val="20"/>
              </w:rPr>
              <w:t>333</w:t>
            </w:r>
          </w:p>
        </w:tc>
        <w:tc>
          <w:tcPr>
            <w:tcW w:w="910" w:type="dxa"/>
          </w:tcPr>
          <w:p w14:paraId="6FA45CEF" w14:textId="77777777" w:rsidR="00E231C2" w:rsidRPr="004F0C14" w:rsidRDefault="00E231C2">
            <w:pPr>
              <w:ind w:left="0" w:right="0"/>
              <w:rPr>
                <w:color w:val="auto"/>
                <w:sz w:val="20"/>
                <w:szCs w:val="22"/>
                <w:lang w:eastAsia="en-US"/>
              </w:rPr>
            </w:pPr>
            <w:r w:rsidRPr="004F0C14">
              <w:rPr>
                <w:sz w:val="20"/>
              </w:rPr>
              <w:t>0.1</w:t>
            </w:r>
          </w:p>
        </w:tc>
        <w:tc>
          <w:tcPr>
            <w:tcW w:w="1216" w:type="dxa"/>
          </w:tcPr>
          <w:p w14:paraId="0F8E3949" w14:textId="77777777" w:rsidR="00E231C2" w:rsidRPr="004F0C14" w:rsidRDefault="00E231C2">
            <w:pPr>
              <w:ind w:left="0" w:right="0"/>
              <w:rPr>
                <w:color w:val="auto"/>
                <w:sz w:val="20"/>
                <w:szCs w:val="22"/>
                <w:lang w:eastAsia="en-US"/>
              </w:rPr>
            </w:pPr>
            <w:r w:rsidRPr="004F0C14">
              <w:rPr>
                <w:sz w:val="20"/>
              </w:rPr>
              <w:t>0.1</w:t>
            </w:r>
          </w:p>
        </w:tc>
      </w:tr>
      <w:tr w:rsidR="00887DAD" w:rsidRPr="004F0C14" w14:paraId="45CA3F45" w14:textId="77777777" w:rsidTr="004B1FE1">
        <w:trPr>
          <w:trHeight w:val="224"/>
        </w:trPr>
        <w:tc>
          <w:tcPr>
            <w:tcW w:w="1101" w:type="dxa"/>
            <w:vMerge/>
          </w:tcPr>
          <w:p w14:paraId="310BD3B5" w14:textId="77777777" w:rsidR="00E231C2" w:rsidRPr="004F0C14" w:rsidRDefault="00E231C2">
            <w:pPr>
              <w:ind w:left="0" w:right="0"/>
              <w:rPr>
                <w:color w:val="auto"/>
                <w:sz w:val="20"/>
                <w:szCs w:val="22"/>
                <w:lang w:eastAsia="en-US"/>
              </w:rPr>
            </w:pPr>
          </w:p>
        </w:tc>
        <w:tc>
          <w:tcPr>
            <w:tcW w:w="1559" w:type="dxa"/>
            <w:vMerge/>
          </w:tcPr>
          <w:p w14:paraId="2DC5A47E" w14:textId="77777777" w:rsidR="00E231C2" w:rsidRPr="004F0C14" w:rsidRDefault="00E231C2">
            <w:pPr>
              <w:ind w:left="0" w:right="0"/>
              <w:rPr>
                <w:color w:val="auto"/>
                <w:sz w:val="20"/>
                <w:szCs w:val="22"/>
                <w:lang w:eastAsia="en-US"/>
              </w:rPr>
            </w:pPr>
          </w:p>
        </w:tc>
        <w:tc>
          <w:tcPr>
            <w:tcW w:w="1626" w:type="dxa"/>
          </w:tcPr>
          <w:p w14:paraId="1244322B" w14:textId="77777777" w:rsidR="00E231C2" w:rsidRPr="004F0C14" w:rsidRDefault="00E231C2">
            <w:pPr>
              <w:ind w:left="0" w:right="0"/>
              <w:rPr>
                <w:color w:val="auto"/>
                <w:sz w:val="20"/>
                <w:szCs w:val="22"/>
                <w:lang w:eastAsia="en-US"/>
              </w:rPr>
            </w:pPr>
            <w:r w:rsidRPr="004F0C14">
              <w:rPr>
                <w:sz w:val="20"/>
              </w:rPr>
              <w:t>10</w:t>
            </w:r>
          </w:p>
        </w:tc>
        <w:tc>
          <w:tcPr>
            <w:tcW w:w="1037" w:type="dxa"/>
          </w:tcPr>
          <w:p w14:paraId="5D455E88" w14:textId="77777777" w:rsidR="00E231C2" w:rsidRPr="004F0C14" w:rsidRDefault="00E231C2">
            <w:pPr>
              <w:ind w:left="0" w:right="0"/>
              <w:rPr>
                <w:color w:val="auto"/>
                <w:sz w:val="20"/>
                <w:szCs w:val="22"/>
                <w:lang w:eastAsia="en-US"/>
              </w:rPr>
            </w:pPr>
            <w:r w:rsidRPr="004F0C14">
              <w:rPr>
                <w:sz w:val="20"/>
              </w:rPr>
              <w:t>760</w:t>
            </w:r>
          </w:p>
        </w:tc>
        <w:tc>
          <w:tcPr>
            <w:tcW w:w="1164" w:type="dxa"/>
          </w:tcPr>
          <w:p w14:paraId="4948691D" w14:textId="77777777" w:rsidR="00E231C2" w:rsidRPr="004F0C14" w:rsidRDefault="00E231C2">
            <w:pPr>
              <w:ind w:left="0" w:right="0"/>
              <w:rPr>
                <w:color w:val="auto"/>
                <w:sz w:val="20"/>
                <w:szCs w:val="22"/>
                <w:lang w:eastAsia="en-US"/>
              </w:rPr>
            </w:pPr>
            <w:r w:rsidRPr="004F0C14">
              <w:rPr>
                <w:sz w:val="20"/>
              </w:rPr>
              <w:t>855</w:t>
            </w:r>
          </w:p>
        </w:tc>
        <w:tc>
          <w:tcPr>
            <w:tcW w:w="910" w:type="dxa"/>
          </w:tcPr>
          <w:p w14:paraId="79F551FA" w14:textId="77777777" w:rsidR="00E231C2" w:rsidRPr="004F0C14" w:rsidRDefault="00E231C2">
            <w:pPr>
              <w:ind w:left="0" w:right="0"/>
              <w:rPr>
                <w:color w:val="auto"/>
                <w:sz w:val="20"/>
                <w:szCs w:val="22"/>
                <w:lang w:eastAsia="en-US"/>
              </w:rPr>
            </w:pPr>
            <w:r w:rsidRPr="004F0C14">
              <w:rPr>
                <w:sz w:val="20"/>
              </w:rPr>
              <w:t>0.3</w:t>
            </w:r>
          </w:p>
        </w:tc>
        <w:tc>
          <w:tcPr>
            <w:tcW w:w="1216" w:type="dxa"/>
          </w:tcPr>
          <w:p w14:paraId="5356D8DC" w14:textId="77777777" w:rsidR="00E231C2" w:rsidRPr="004F0C14" w:rsidRDefault="00E231C2">
            <w:pPr>
              <w:ind w:left="0" w:right="0"/>
              <w:rPr>
                <w:color w:val="auto"/>
                <w:sz w:val="20"/>
                <w:szCs w:val="22"/>
                <w:lang w:eastAsia="en-US"/>
              </w:rPr>
            </w:pPr>
            <w:r w:rsidRPr="004F0C14">
              <w:rPr>
                <w:sz w:val="20"/>
              </w:rPr>
              <w:t>0.3</w:t>
            </w:r>
          </w:p>
        </w:tc>
      </w:tr>
      <w:tr w:rsidR="00887DAD" w:rsidRPr="004F0C14" w14:paraId="2C677586" w14:textId="77777777" w:rsidTr="004B1FE1">
        <w:trPr>
          <w:trHeight w:val="224"/>
        </w:trPr>
        <w:tc>
          <w:tcPr>
            <w:tcW w:w="1101" w:type="dxa"/>
            <w:vMerge/>
          </w:tcPr>
          <w:p w14:paraId="7AEA219D" w14:textId="77777777" w:rsidR="00E231C2" w:rsidRPr="004F0C14" w:rsidRDefault="00E231C2">
            <w:pPr>
              <w:ind w:left="0" w:right="0"/>
              <w:rPr>
                <w:color w:val="auto"/>
                <w:sz w:val="20"/>
                <w:szCs w:val="22"/>
                <w:lang w:eastAsia="en-US"/>
              </w:rPr>
            </w:pPr>
          </w:p>
        </w:tc>
        <w:tc>
          <w:tcPr>
            <w:tcW w:w="1559" w:type="dxa"/>
            <w:vMerge/>
          </w:tcPr>
          <w:p w14:paraId="0318854A" w14:textId="77777777" w:rsidR="00E231C2" w:rsidRPr="004F0C14" w:rsidRDefault="00E231C2">
            <w:pPr>
              <w:ind w:left="0" w:right="0"/>
              <w:rPr>
                <w:color w:val="auto"/>
                <w:sz w:val="20"/>
                <w:szCs w:val="22"/>
                <w:lang w:eastAsia="en-US"/>
              </w:rPr>
            </w:pPr>
          </w:p>
        </w:tc>
        <w:tc>
          <w:tcPr>
            <w:tcW w:w="1626" w:type="dxa"/>
          </w:tcPr>
          <w:p w14:paraId="5EBE2818" w14:textId="77777777" w:rsidR="00E231C2" w:rsidRPr="004F0C14" w:rsidRDefault="00E231C2">
            <w:pPr>
              <w:ind w:left="0" w:right="0"/>
              <w:rPr>
                <w:color w:val="auto"/>
                <w:sz w:val="20"/>
                <w:szCs w:val="22"/>
                <w:lang w:eastAsia="en-US"/>
              </w:rPr>
            </w:pPr>
            <w:r w:rsidRPr="004F0C14">
              <w:rPr>
                <w:sz w:val="20"/>
              </w:rPr>
              <w:t>20</w:t>
            </w:r>
          </w:p>
        </w:tc>
        <w:tc>
          <w:tcPr>
            <w:tcW w:w="1037" w:type="dxa"/>
          </w:tcPr>
          <w:p w14:paraId="4015141C" w14:textId="77777777" w:rsidR="00E231C2" w:rsidRPr="004F0C14" w:rsidRDefault="00E231C2">
            <w:pPr>
              <w:ind w:left="0" w:right="0"/>
              <w:rPr>
                <w:color w:val="auto"/>
                <w:sz w:val="20"/>
                <w:szCs w:val="22"/>
                <w:lang w:eastAsia="en-US"/>
              </w:rPr>
            </w:pPr>
            <w:r w:rsidRPr="004F0C14">
              <w:rPr>
                <w:sz w:val="20"/>
              </w:rPr>
              <w:t>1480</w:t>
            </w:r>
          </w:p>
        </w:tc>
        <w:tc>
          <w:tcPr>
            <w:tcW w:w="1164" w:type="dxa"/>
          </w:tcPr>
          <w:p w14:paraId="03B15C87" w14:textId="77777777" w:rsidR="00E231C2" w:rsidRPr="004F0C14" w:rsidRDefault="00E231C2">
            <w:pPr>
              <w:ind w:left="0" w:right="0"/>
              <w:rPr>
                <w:color w:val="auto"/>
                <w:sz w:val="20"/>
                <w:szCs w:val="22"/>
                <w:lang w:eastAsia="en-US"/>
              </w:rPr>
            </w:pPr>
            <w:r w:rsidRPr="004F0C14">
              <w:rPr>
                <w:sz w:val="20"/>
              </w:rPr>
              <w:t>2150</w:t>
            </w:r>
          </w:p>
        </w:tc>
        <w:tc>
          <w:tcPr>
            <w:tcW w:w="910" w:type="dxa"/>
          </w:tcPr>
          <w:p w14:paraId="46375F2A" w14:textId="77777777" w:rsidR="00E231C2" w:rsidRPr="004F0C14" w:rsidRDefault="00E231C2">
            <w:pPr>
              <w:ind w:left="0" w:right="0"/>
              <w:rPr>
                <w:color w:val="auto"/>
                <w:sz w:val="20"/>
                <w:szCs w:val="22"/>
                <w:lang w:eastAsia="en-US"/>
              </w:rPr>
            </w:pPr>
            <w:r w:rsidRPr="004F0C14">
              <w:rPr>
                <w:sz w:val="20"/>
              </w:rPr>
              <w:t>0.6</w:t>
            </w:r>
          </w:p>
        </w:tc>
        <w:tc>
          <w:tcPr>
            <w:tcW w:w="1216" w:type="dxa"/>
          </w:tcPr>
          <w:p w14:paraId="554AA9F8" w14:textId="77777777" w:rsidR="00E231C2" w:rsidRPr="004F0C14" w:rsidRDefault="00E231C2">
            <w:pPr>
              <w:ind w:left="0" w:right="0"/>
              <w:rPr>
                <w:color w:val="auto"/>
                <w:sz w:val="20"/>
                <w:szCs w:val="22"/>
                <w:lang w:eastAsia="en-US"/>
              </w:rPr>
            </w:pPr>
            <w:r w:rsidRPr="004F0C14">
              <w:rPr>
                <w:sz w:val="20"/>
              </w:rPr>
              <w:t>0.8</w:t>
            </w:r>
          </w:p>
        </w:tc>
      </w:tr>
      <w:tr w:rsidR="00887DAD" w:rsidRPr="004F0C14" w14:paraId="04AE18A5" w14:textId="77777777" w:rsidTr="004B1FE1">
        <w:trPr>
          <w:trHeight w:val="224"/>
        </w:trPr>
        <w:tc>
          <w:tcPr>
            <w:tcW w:w="1101" w:type="dxa"/>
            <w:vMerge/>
          </w:tcPr>
          <w:p w14:paraId="181454C6" w14:textId="77777777" w:rsidR="00E231C2" w:rsidRPr="004F0C14" w:rsidRDefault="00E231C2">
            <w:pPr>
              <w:ind w:left="0" w:right="0"/>
              <w:rPr>
                <w:color w:val="auto"/>
                <w:sz w:val="20"/>
                <w:szCs w:val="22"/>
                <w:lang w:eastAsia="en-US"/>
              </w:rPr>
            </w:pPr>
          </w:p>
        </w:tc>
        <w:tc>
          <w:tcPr>
            <w:tcW w:w="1559" w:type="dxa"/>
            <w:vMerge w:val="restart"/>
          </w:tcPr>
          <w:p w14:paraId="5F04E128" w14:textId="343AE68D" w:rsidR="00E231C2" w:rsidRPr="004F0C14" w:rsidRDefault="00887DAD">
            <w:pPr>
              <w:ind w:left="0" w:right="0"/>
              <w:rPr>
                <w:color w:val="auto"/>
                <w:sz w:val="20"/>
                <w:szCs w:val="22"/>
                <w:lang w:eastAsia="en-US"/>
              </w:rPr>
            </w:pPr>
            <w:r w:rsidRPr="004F0C14">
              <w:rPr>
                <w:sz w:val="20"/>
              </w:rPr>
              <w:t>15 week</w:t>
            </w:r>
            <w:r w:rsidR="007C19A3" w:rsidRPr="004F0C14">
              <w:rPr>
                <w:sz w:val="20"/>
                <w:vertAlign w:val="superscript"/>
              </w:rPr>
              <w:t>2</w:t>
            </w:r>
            <w:r w:rsidRPr="004F0C14">
              <w:rPr>
                <w:sz w:val="20"/>
              </w:rPr>
              <w:t xml:space="preserve"> (1370291)</w:t>
            </w:r>
          </w:p>
        </w:tc>
        <w:tc>
          <w:tcPr>
            <w:tcW w:w="1626" w:type="dxa"/>
          </w:tcPr>
          <w:p w14:paraId="593EA255" w14:textId="77777777" w:rsidR="00E231C2" w:rsidRPr="004F0C14" w:rsidRDefault="00E231C2">
            <w:pPr>
              <w:ind w:left="0" w:right="0"/>
              <w:rPr>
                <w:color w:val="auto"/>
                <w:sz w:val="20"/>
                <w:szCs w:val="22"/>
                <w:lang w:eastAsia="en-US"/>
              </w:rPr>
            </w:pPr>
            <w:r w:rsidRPr="004F0C14">
              <w:rPr>
                <w:sz w:val="20"/>
              </w:rPr>
              <w:t>1</w:t>
            </w:r>
          </w:p>
        </w:tc>
        <w:tc>
          <w:tcPr>
            <w:tcW w:w="1037" w:type="dxa"/>
          </w:tcPr>
          <w:p w14:paraId="52E678CF" w14:textId="77777777" w:rsidR="00E231C2" w:rsidRPr="004F0C14" w:rsidRDefault="00E231C2">
            <w:pPr>
              <w:ind w:left="0" w:right="0"/>
              <w:rPr>
                <w:color w:val="auto"/>
                <w:sz w:val="20"/>
                <w:szCs w:val="22"/>
                <w:lang w:eastAsia="en-US"/>
              </w:rPr>
            </w:pPr>
            <w:r w:rsidRPr="004F0C14">
              <w:rPr>
                <w:sz w:val="20"/>
              </w:rPr>
              <w:t>41.2</w:t>
            </w:r>
          </w:p>
        </w:tc>
        <w:tc>
          <w:tcPr>
            <w:tcW w:w="1164" w:type="dxa"/>
          </w:tcPr>
          <w:p w14:paraId="6EB5868C" w14:textId="77777777" w:rsidR="00E231C2" w:rsidRPr="004F0C14" w:rsidRDefault="00E231C2">
            <w:pPr>
              <w:ind w:left="0" w:right="0"/>
              <w:rPr>
                <w:color w:val="auto"/>
                <w:sz w:val="20"/>
                <w:szCs w:val="22"/>
                <w:lang w:eastAsia="en-US"/>
              </w:rPr>
            </w:pPr>
            <w:r w:rsidRPr="004F0C14">
              <w:rPr>
                <w:sz w:val="20"/>
              </w:rPr>
              <w:t>NC</w:t>
            </w:r>
          </w:p>
        </w:tc>
        <w:tc>
          <w:tcPr>
            <w:tcW w:w="910" w:type="dxa"/>
          </w:tcPr>
          <w:p w14:paraId="44F79189" w14:textId="77777777" w:rsidR="00E231C2" w:rsidRPr="004F0C14" w:rsidRDefault="00E231C2">
            <w:pPr>
              <w:ind w:left="0" w:right="0"/>
              <w:rPr>
                <w:color w:val="auto"/>
                <w:sz w:val="20"/>
                <w:szCs w:val="22"/>
                <w:lang w:eastAsia="en-US"/>
              </w:rPr>
            </w:pPr>
            <w:r w:rsidRPr="004F0C14">
              <w:rPr>
                <w:sz w:val="20"/>
              </w:rPr>
              <w:t>0.02</w:t>
            </w:r>
          </w:p>
        </w:tc>
        <w:tc>
          <w:tcPr>
            <w:tcW w:w="1216" w:type="dxa"/>
          </w:tcPr>
          <w:p w14:paraId="6897052A" w14:textId="77777777" w:rsidR="00E231C2" w:rsidRPr="004F0C14" w:rsidRDefault="00E231C2">
            <w:pPr>
              <w:ind w:left="0" w:right="0"/>
              <w:rPr>
                <w:color w:val="auto"/>
                <w:sz w:val="20"/>
                <w:szCs w:val="22"/>
                <w:lang w:eastAsia="en-US"/>
              </w:rPr>
            </w:pPr>
            <w:r w:rsidRPr="004F0C14">
              <w:rPr>
                <w:sz w:val="20"/>
              </w:rPr>
              <w:t>-</w:t>
            </w:r>
          </w:p>
        </w:tc>
      </w:tr>
      <w:tr w:rsidR="00887DAD" w:rsidRPr="004F0C14" w14:paraId="1C1832B1" w14:textId="77777777" w:rsidTr="004B1FE1">
        <w:trPr>
          <w:trHeight w:val="224"/>
        </w:trPr>
        <w:tc>
          <w:tcPr>
            <w:tcW w:w="1101" w:type="dxa"/>
            <w:vMerge/>
          </w:tcPr>
          <w:p w14:paraId="25F41323" w14:textId="77777777" w:rsidR="00E231C2" w:rsidRPr="004F0C14" w:rsidRDefault="00E231C2">
            <w:pPr>
              <w:ind w:left="0" w:right="0"/>
              <w:rPr>
                <w:color w:val="auto"/>
                <w:sz w:val="20"/>
                <w:szCs w:val="22"/>
                <w:lang w:eastAsia="en-US"/>
              </w:rPr>
            </w:pPr>
          </w:p>
        </w:tc>
        <w:tc>
          <w:tcPr>
            <w:tcW w:w="1559" w:type="dxa"/>
            <w:vMerge/>
          </w:tcPr>
          <w:p w14:paraId="1F8EEB1A" w14:textId="77777777" w:rsidR="00E231C2" w:rsidRPr="004F0C14" w:rsidRDefault="00E231C2">
            <w:pPr>
              <w:ind w:left="0" w:right="0"/>
              <w:rPr>
                <w:color w:val="auto"/>
                <w:sz w:val="20"/>
                <w:szCs w:val="22"/>
                <w:lang w:eastAsia="en-US"/>
              </w:rPr>
            </w:pPr>
          </w:p>
        </w:tc>
        <w:tc>
          <w:tcPr>
            <w:tcW w:w="1626" w:type="dxa"/>
          </w:tcPr>
          <w:p w14:paraId="48DDFF90" w14:textId="77777777" w:rsidR="00E231C2" w:rsidRPr="004F0C14" w:rsidRDefault="00E231C2">
            <w:pPr>
              <w:ind w:left="0" w:right="0"/>
              <w:rPr>
                <w:color w:val="auto"/>
                <w:sz w:val="20"/>
                <w:szCs w:val="22"/>
                <w:lang w:eastAsia="en-US"/>
              </w:rPr>
            </w:pPr>
            <w:r w:rsidRPr="004F0C14">
              <w:rPr>
                <w:sz w:val="20"/>
              </w:rPr>
              <w:t>3</w:t>
            </w:r>
          </w:p>
        </w:tc>
        <w:tc>
          <w:tcPr>
            <w:tcW w:w="1037" w:type="dxa"/>
          </w:tcPr>
          <w:p w14:paraId="07A21D38" w14:textId="77777777" w:rsidR="00E231C2" w:rsidRPr="004F0C14" w:rsidRDefault="00E231C2">
            <w:pPr>
              <w:ind w:left="0" w:right="0"/>
              <w:rPr>
                <w:color w:val="auto"/>
                <w:sz w:val="20"/>
                <w:szCs w:val="22"/>
                <w:lang w:eastAsia="en-US"/>
              </w:rPr>
            </w:pPr>
            <w:r w:rsidRPr="004F0C14">
              <w:rPr>
                <w:sz w:val="20"/>
              </w:rPr>
              <w:t>131</w:t>
            </w:r>
          </w:p>
        </w:tc>
        <w:tc>
          <w:tcPr>
            <w:tcW w:w="1164" w:type="dxa"/>
          </w:tcPr>
          <w:p w14:paraId="7147A204" w14:textId="77777777" w:rsidR="00E231C2" w:rsidRPr="004F0C14" w:rsidRDefault="00E231C2">
            <w:pPr>
              <w:ind w:left="0" w:right="0"/>
              <w:rPr>
                <w:color w:val="auto"/>
                <w:sz w:val="20"/>
                <w:szCs w:val="22"/>
                <w:lang w:eastAsia="en-US"/>
              </w:rPr>
            </w:pPr>
            <w:r w:rsidRPr="004F0C14">
              <w:rPr>
                <w:sz w:val="20"/>
              </w:rPr>
              <w:t>109</w:t>
            </w:r>
          </w:p>
        </w:tc>
        <w:tc>
          <w:tcPr>
            <w:tcW w:w="910" w:type="dxa"/>
          </w:tcPr>
          <w:p w14:paraId="641F67E4" w14:textId="77777777" w:rsidR="00E231C2" w:rsidRPr="004F0C14" w:rsidRDefault="00E231C2">
            <w:pPr>
              <w:ind w:left="0" w:right="0"/>
              <w:rPr>
                <w:color w:val="auto"/>
                <w:sz w:val="20"/>
                <w:szCs w:val="22"/>
                <w:lang w:eastAsia="en-US"/>
              </w:rPr>
            </w:pPr>
            <w:r w:rsidRPr="004F0C14">
              <w:rPr>
                <w:sz w:val="20"/>
              </w:rPr>
              <w:t>0.05</w:t>
            </w:r>
          </w:p>
        </w:tc>
        <w:tc>
          <w:tcPr>
            <w:tcW w:w="1216" w:type="dxa"/>
          </w:tcPr>
          <w:p w14:paraId="23E17A29" w14:textId="77777777" w:rsidR="00E231C2" w:rsidRPr="004F0C14" w:rsidRDefault="00E231C2">
            <w:pPr>
              <w:ind w:left="0" w:right="0"/>
              <w:rPr>
                <w:color w:val="auto"/>
                <w:sz w:val="20"/>
                <w:szCs w:val="22"/>
                <w:lang w:eastAsia="en-US"/>
              </w:rPr>
            </w:pPr>
            <w:r w:rsidRPr="004F0C14">
              <w:rPr>
                <w:sz w:val="20"/>
              </w:rPr>
              <w:t>0.04</w:t>
            </w:r>
          </w:p>
        </w:tc>
      </w:tr>
      <w:tr w:rsidR="00887DAD" w:rsidRPr="004F0C14" w14:paraId="494C35BB" w14:textId="77777777" w:rsidTr="004B1FE1">
        <w:trPr>
          <w:trHeight w:val="224"/>
        </w:trPr>
        <w:tc>
          <w:tcPr>
            <w:tcW w:w="1101" w:type="dxa"/>
            <w:vMerge/>
          </w:tcPr>
          <w:p w14:paraId="675D61D4" w14:textId="77777777" w:rsidR="00E231C2" w:rsidRPr="004F0C14" w:rsidRDefault="00E231C2">
            <w:pPr>
              <w:ind w:left="0" w:right="0"/>
              <w:rPr>
                <w:color w:val="auto"/>
                <w:sz w:val="20"/>
                <w:szCs w:val="22"/>
                <w:lang w:eastAsia="en-US"/>
              </w:rPr>
            </w:pPr>
          </w:p>
        </w:tc>
        <w:tc>
          <w:tcPr>
            <w:tcW w:w="1559" w:type="dxa"/>
            <w:vMerge/>
          </w:tcPr>
          <w:p w14:paraId="047EDE55" w14:textId="77777777" w:rsidR="00E231C2" w:rsidRPr="004F0C14" w:rsidRDefault="00E231C2">
            <w:pPr>
              <w:ind w:left="0" w:right="0"/>
              <w:rPr>
                <w:color w:val="auto"/>
                <w:sz w:val="20"/>
                <w:szCs w:val="22"/>
                <w:lang w:eastAsia="en-US"/>
              </w:rPr>
            </w:pPr>
          </w:p>
        </w:tc>
        <w:tc>
          <w:tcPr>
            <w:tcW w:w="1626" w:type="dxa"/>
          </w:tcPr>
          <w:p w14:paraId="12240DF7" w14:textId="77777777" w:rsidR="00E231C2" w:rsidRPr="004F0C14" w:rsidRDefault="00E231C2">
            <w:pPr>
              <w:ind w:left="0" w:right="0"/>
              <w:rPr>
                <w:color w:val="auto"/>
                <w:sz w:val="20"/>
                <w:szCs w:val="22"/>
                <w:lang w:eastAsia="en-US"/>
              </w:rPr>
            </w:pPr>
            <w:r w:rsidRPr="004F0C14">
              <w:rPr>
                <w:sz w:val="20"/>
              </w:rPr>
              <w:t>10</w:t>
            </w:r>
          </w:p>
        </w:tc>
        <w:tc>
          <w:tcPr>
            <w:tcW w:w="1037" w:type="dxa"/>
          </w:tcPr>
          <w:p w14:paraId="0C388138" w14:textId="77777777" w:rsidR="00E231C2" w:rsidRPr="004F0C14" w:rsidRDefault="00E231C2">
            <w:pPr>
              <w:ind w:left="0" w:right="0"/>
              <w:rPr>
                <w:color w:val="auto"/>
                <w:sz w:val="20"/>
                <w:szCs w:val="22"/>
                <w:lang w:eastAsia="en-US"/>
              </w:rPr>
            </w:pPr>
            <w:r w:rsidRPr="004F0C14">
              <w:rPr>
                <w:sz w:val="20"/>
              </w:rPr>
              <w:t>489</w:t>
            </w:r>
          </w:p>
        </w:tc>
        <w:tc>
          <w:tcPr>
            <w:tcW w:w="1164" w:type="dxa"/>
          </w:tcPr>
          <w:p w14:paraId="6EC1F591" w14:textId="77777777" w:rsidR="00E231C2" w:rsidRPr="004F0C14" w:rsidRDefault="00E231C2">
            <w:pPr>
              <w:ind w:left="0" w:right="0"/>
              <w:rPr>
                <w:color w:val="auto"/>
                <w:sz w:val="20"/>
                <w:szCs w:val="22"/>
                <w:lang w:eastAsia="en-US"/>
              </w:rPr>
            </w:pPr>
            <w:r w:rsidRPr="004F0C14">
              <w:rPr>
                <w:sz w:val="20"/>
              </w:rPr>
              <w:t>692</w:t>
            </w:r>
          </w:p>
        </w:tc>
        <w:tc>
          <w:tcPr>
            <w:tcW w:w="910" w:type="dxa"/>
          </w:tcPr>
          <w:p w14:paraId="21F6ACAB" w14:textId="77777777" w:rsidR="00E231C2" w:rsidRPr="004F0C14" w:rsidRDefault="00E231C2">
            <w:pPr>
              <w:ind w:left="0" w:right="0"/>
              <w:rPr>
                <w:color w:val="auto"/>
                <w:sz w:val="20"/>
                <w:szCs w:val="22"/>
                <w:lang w:eastAsia="en-US"/>
              </w:rPr>
            </w:pPr>
            <w:r w:rsidRPr="004F0C14">
              <w:rPr>
                <w:sz w:val="20"/>
              </w:rPr>
              <w:t>0.2</w:t>
            </w:r>
          </w:p>
        </w:tc>
        <w:tc>
          <w:tcPr>
            <w:tcW w:w="1216" w:type="dxa"/>
          </w:tcPr>
          <w:p w14:paraId="0F4AF2AB" w14:textId="77777777" w:rsidR="00E231C2" w:rsidRPr="004F0C14" w:rsidRDefault="00E231C2">
            <w:pPr>
              <w:ind w:left="0" w:right="0"/>
              <w:rPr>
                <w:color w:val="auto"/>
                <w:sz w:val="20"/>
                <w:szCs w:val="22"/>
                <w:lang w:eastAsia="en-US"/>
              </w:rPr>
            </w:pPr>
            <w:r w:rsidRPr="004F0C14">
              <w:rPr>
                <w:sz w:val="20"/>
              </w:rPr>
              <w:t>0.3</w:t>
            </w:r>
          </w:p>
        </w:tc>
      </w:tr>
      <w:tr w:rsidR="00887DAD" w:rsidRPr="004F0C14" w14:paraId="54A5F948" w14:textId="77777777" w:rsidTr="004B1FE1">
        <w:trPr>
          <w:trHeight w:val="224"/>
        </w:trPr>
        <w:tc>
          <w:tcPr>
            <w:tcW w:w="1101" w:type="dxa"/>
            <w:vMerge/>
          </w:tcPr>
          <w:p w14:paraId="0BB615D6" w14:textId="77777777" w:rsidR="00E231C2" w:rsidRPr="004F0C14" w:rsidRDefault="00E231C2">
            <w:pPr>
              <w:ind w:left="0" w:right="0"/>
              <w:rPr>
                <w:color w:val="auto"/>
                <w:sz w:val="20"/>
                <w:szCs w:val="22"/>
                <w:lang w:eastAsia="en-US"/>
              </w:rPr>
            </w:pPr>
          </w:p>
        </w:tc>
        <w:tc>
          <w:tcPr>
            <w:tcW w:w="1559" w:type="dxa"/>
            <w:vMerge w:val="restart"/>
          </w:tcPr>
          <w:p w14:paraId="6370707B" w14:textId="361D2600" w:rsidR="00E231C2" w:rsidRPr="004F0C14" w:rsidRDefault="007C19A3">
            <w:pPr>
              <w:ind w:left="0" w:right="0"/>
              <w:rPr>
                <w:color w:val="auto"/>
                <w:sz w:val="20"/>
                <w:szCs w:val="22"/>
                <w:lang w:eastAsia="en-US"/>
              </w:rPr>
            </w:pPr>
            <w:r w:rsidRPr="004F0C14">
              <w:rPr>
                <w:sz w:val="20"/>
              </w:rPr>
              <w:t>39 weeks</w:t>
            </w:r>
            <w:r w:rsidRPr="004F0C14">
              <w:rPr>
                <w:sz w:val="20"/>
                <w:vertAlign w:val="superscript"/>
              </w:rPr>
              <w:t>2</w:t>
            </w:r>
            <w:r w:rsidR="00887DAD" w:rsidRPr="004F0C14">
              <w:rPr>
                <w:sz w:val="20"/>
              </w:rPr>
              <w:t xml:space="preserve"> (</w:t>
            </w:r>
            <w:r w:rsidR="00E231C2" w:rsidRPr="004F0C14">
              <w:rPr>
                <w:sz w:val="20"/>
              </w:rPr>
              <w:t>1470079</w:t>
            </w:r>
            <w:r w:rsidR="00887DAD" w:rsidRPr="004F0C14">
              <w:rPr>
                <w:sz w:val="20"/>
              </w:rPr>
              <w:t>)</w:t>
            </w:r>
          </w:p>
        </w:tc>
        <w:tc>
          <w:tcPr>
            <w:tcW w:w="1626" w:type="dxa"/>
          </w:tcPr>
          <w:p w14:paraId="6B98124C" w14:textId="77777777" w:rsidR="00E231C2" w:rsidRPr="004F0C14" w:rsidRDefault="00E231C2">
            <w:pPr>
              <w:ind w:left="0" w:right="0"/>
              <w:rPr>
                <w:color w:val="auto"/>
                <w:sz w:val="20"/>
                <w:szCs w:val="22"/>
                <w:lang w:eastAsia="en-US"/>
              </w:rPr>
            </w:pPr>
            <w:r w:rsidRPr="004F0C14">
              <w:rPr>
                <w:sz w:val="20"/>
              </w:rPr>
              <w:t>1</w:t>
            </w:r>
          </w:p>
        </w:tc>
        <w:tc>
          <w:tcPr>
            <w:tcW w:w="1037" w:type="dxa"/>
          </w:tcPr>
          <w:p w14:paraId="4402D1DD" w14:textId="77777777" w:rsidR="00E231C2" w:rsidRPr="004F0C14" w:rsidRDefault="00E231C2">
            <w:pPr>
              <w:ind w:left="0" w:right="0"/>
              <w:rPr>
                <w:color w:val="auto"/>
                <w:sz w:val="20"/>
                <w:szCs w:val="22"/>
                <w:lang w:eastAsia="en-US"/>
              </w:rPr>
            </w:pPr>
            <w:r w:rsidRPr="004F0C14">
              <w:rPr>
                <w:sz w:val="20"/>
              </w:rPr>
              <w:t>NC</w:t>
            </w:r>
          </w:p>
        </w:tc>
        <w:tc>
          <w:tcPr>
            <w:tcW w:w="1164" w:type="dxa"/>
          </w:tcPr>
          <w:p w14:paraId="3B39E6A0" w14:textId="77777777" w:rsidR="00E231C2" w:rsidRPr="004F0C14" w:rsidRDefault="00E231C2">
            <w:pPr>
              <w:ind w:left="0" w:right="0"/>
              <w:rPr>
                <w:color w:val="auto"/>
                <w:sz w:val="20"/>
                <w:szCs w:val="22"/>
                <w:lang w:eastAsia="en-US"/>
              </w:rPr>
            </w:pPr>
            <w:r w:rsidRPr="004F0C14">
              <w:rPr>
                <w:sz w:val="20"/>
              </w:rPr>
              <w:t>NC</w:t>
            </w:r>
          </w:p>
        </w:tc>
        <w:tc>
          <w:tcPr>
            <w:tcW w:w="910" w:type="dxa"/>
          </w:tcPr>
          <w:p w14:paraId="37514BB6" w14:textId="5A7AC89C" w:rsidR="00E231C2" w:rsidRPr="004F0C14" w:rsidRDefault="00E231C2">
            <w:pPr>
              <w:ind w:left="0" w:right="0"/>
              <w:rPr>
                <w:color w:val="auto"/>
                <w:sz w:val="20"/>
                <w:szCs w:val="22"/>
                <w:lang w:eastAsia="en-US"/>
              </w:rPr>
            </w:pPr>
          </w:p>
        </w:tc>
        <w:tc>
          <w:tcPr>
            <w:tcW w:w="1216" w:type="dxa"/>
          </w:tcPr>
          <w:p w14:paraId="44D258D0" w14:textId="1D297503" w:rsidR="00E231C2" w:rsidRPr="004F0C14" w:rsidRDefault="00E231C2">
            <w:pPr>
              <w:ind w:left="0" w:right="0"/>
              <w:rPr>
                <w:color w:val="auto"/>
                <w:sz w:val="20"/>
                <w:szCs w:val="22"/>
                <w:lang w:eastAsia="en-US"/>
              </w:rPr>
            </w:pPr>
          </w:p>
        </w:tc>
      </w:tr>
      <w:tr w:rsidR="00887DAD" w:rsidRPr="004F0C14" w14:paraId="1EE43123" w14:textId="77777777" w:rsidTr="004B1FE1">
        <w:trPr>
          <w:trHeight w:val="224"/>
        </w:trPr>
        <w:tc>
          <w:tcPr>
            <w:tcW w:w="1101" w:type="dxa"/>
            <w:vMerge/>
          </w:tcPr>
          <w:p w14:paraId="7E591133" w14:textId="77777777" w:rsidR="00E231C2" w:rsidRPr="004F0C14" w:rsidRDefault="00E231C2">
            <w:pPr>
              <w:ind w:left="0" w:right="0"/>
              <w:rPr>
                <w:color w:val="auto"/>
                <w:sz w:val="20"/>
                <w:szCs w:val="22"/>
                <w:lang w:eastAsia="en-US"/>
              </w:rPr>
            </w:pPr>
          </w:p>
        </w:tc>
        <w:tc>
          <w:tcPr>
            <w:tcW w:w="1559" w:type="dxa"/>
            <w:vMerge/>
          </w:tcPr>
          <w:p w14:paraId="39F5CDC2" w14:textId="77777777" w:rsidR="00E231C2" w:rsidRPr="004F0C14" w:rsidRDefault="00E231C2">
            <w:pPr>
              <w:ind w:left="0" w:right="0"/>
              <w:rPr>
                <w:color w:val="auto"/>
                <w:sz w:val="20"/>
                <w:szCs w:val="22"/>
                <w:lang w:eastAsia="en-US"/>
              </w:rPr>
            </w:pPr>
          </w:p>
        </w:tc>
        <w:tc>
          <w:tcPr>
            <w:tcW w:w="1626" w:type="dxa"/>
          </w:tcPr>
          <w:p w14:paraId="25E36B9D" w14:textId="77777777" w:rsidR="00E231C2" w:rsidRPr="004F0C14" w:rsidRDefault="00E231C2">
            <w:pPr>
              <w:ind w:left="0" w:right="0"/>
              <w:rPr>
                <w:color w:val="auto"/>
                <w:sz w:val="20"/>
                <w:szCs w:val="22"/>
                <w:lang w:eastAsia="en-US"/>
              </w:rPr>
            </w:pPr>
            <w:r w:rsidRPr="004F0C14">
              <w:rPr>
                <w:sz w:val="20"/>
              </w:rPr>
              <w:t>3</w:t>
            </w:r>
          </w:p>
        </w:tc>
        <w:tc>
          <w:tcPr>
            <w:tcW w:w="1037" w:type="dxa"/>
          </w:tcPr>
          <w:p w14:paraId="20A41B3D" w14:textId="77777777" w:rsidR="00E231C2" w:rsidRPr="004F0C14" w:rsidRDefault="00E231C2">
            <w:pPr>
              <w:ind w:left="0" w:right="0"/>
              <w:rPr>
                <w:color w:val="auto"/>
                <w:sz w:val="20"/>
                <w:szCs w:val="22"/>
                <w:lang w:eastAsia="en-US"/>
              </w:rPr>
            </w:pPr>
            <w:r w:rsidRPr="004F0C14">
              <w:rPr>
                <w:sz w:val="20"/>
              </w:rPr>
              <w:t>67.7</w:t>
            </w:r>
          </w:p>
        </w:tc>
        <w:tc>
          <w:tcPr>
            <w:tcW w:w="1164" w:type="dxa"/>
          </w:tcPr>
          <w:p w14:paraId="52B5A549" w14:textId="77777777" w:rsidR="00E231C2" w:rsidRPr="004F0C14" w:rsidRDefault="00E231C2">
            <w:pPr>
              <w:ind w:left="0" w:right="0"/>
              <w:rPr>
                <w:color w:val="auto"/>
                <w:sz w:val="20"/>
                <w:szCs w:val="22"/>
                <w:lang w:eastAsia="en-US"/>
              </w:rPr>
            </w:pPr>
            <w:r w:rsidRPr="004F0C14">
              <w:rPr>
                <w:sz w:val="20"/>
              </w:rPr>
              <w:t>94.2</w:t>
            </w:r>
          </w:p>
        </w:tc>
        <w:tc>
          <w:tcPr>
            <w:tcW w:w="910" w:type="dxa"/>
          </w:tcPr>
          <w:p w14:paraId="1D92CF38" w14:textId="77777777" w:rsidR="00E231C2" w:rsidRPr="004F0C14" w:rsidRDefault="00E231C2">
            <w:pPr>
              <w:ind w:left="0" w:right="0"/>
              <w:rPr>
                <w:color w:val="auto"/>
                <w:sz w:val="20"/>
                <w:szCs w:val="22"/>
                <w:lang w:eastAsia="en-US"/>
              </w:rPr>
            </w:pPr>
            <w:r w:rsidRPr="004F0C14">
              <w:rPr>
                <w:sz w:val="20"/>
              </w:rPr>
              <w:t>0.03</w:t>
            </w:r>
          </w:p>
        </w:tc>
        <w:tc>
          <w:tcPr>
            <w:tcW w:w="1216" w:type="dxa"/>
          </w:tcPr>
          <w:p w14:paraId="242447D3" w14:textId="77777777" w:rsidR="00E231C2" w:rsidRPr="004F0C14" w:rsidRDefault="00E231C2">
            <w:pPr>
              <w:ind w:left="0" w:right="0"/>
              <w:rPr>
                <w:color w:val="auto"/>
                <w:sz w:val="20"/>
                <w:szCs w:val="22"/>
                <w:lang w:eastAsia="en-US"/>
              </w:rPr>
            </w:pPr>
            <w:r w:rsidRPr="004F0C14">
              <w:rPr>
                <w:sz w:val="20"/>
              </w:rPr>
              <w:t>0.04</w:t>
            </w:r>
          </w:p>
        </w:tc>
      </w:tr>
      <w:tr w:rsidR="00887DAD" w:rsidRPr="004F0C14" w14:paraId="5C719A32" w14:textId="77777777" w:rsidTr="004B1FE1">
        <w:trPr>
          <w:trHeight w:val="224"/>
        </w:trPr>
        <w:tc>
          <w:tcPr>
            <w:tcW w:w="1101" w:type="dxa"/>
            <w:vMerge/>
          </w:tcPr>
          <w:p w14:paraId="333DCA22" w14:textId="77777777" w:rsidR="00E231C2" w:rsidRPr="004F0C14" w:rsidRDefault="00E231C2">
            <w:pPr>
              <w:ind w:left="0" w:right="0"/>
              <w:rPr>
                <w:color w:val="auto"/>
                <w:sz w:val="20"/>
                <w:szCs w:val="22"/>
                <w:lang w:eastAsia="en-US"/>
              </w:rPr>
            </w:pPr>
          </w:p>
        </w:tc>
        <w:tc>
          <w:tcPr>
            <w:tcW w:w="1559" w:type="dxa"/>
            <w:vMerge/>
          </w:tcPr>
          <w:p w14:paraId="64803997" w14:textId="77777777" w:rsidR="00E231C2" w:rsidRPr="004F0C14" w:rsidRDefault="00E231C2">
            <w:pPr>
              <w:ind w:left="0" w:right="0"/>
              <w:rPr>
                <w:color w:val="auto"/>
                <w:sz w:val="20"/>
                <w:szCs w:val="22"/>
                <w:lang w:eastAsia="en-US"/>
              </w:rPr>
            </w:pPr>
          </w:p>
        </w:tc>
        <w:tc>
          <w:tcPr>
            <w:tcW w:w="1626" w:type="dxa"/>
          </w:tcPr>
          <w:p w14:paraId="262E3B63" w14:textId="77777777" w:rsidR="00E231C2" w:rsidRPr="004F0C14" w:rsidRDefault="00E231C2">
            <w:pPr>
              <w:ind w:left="0" w:right="0"/>
              <w:rPr>
                <w:color w:val="auto"/>
                <w:sz w:val="20"/>
                <w:szCs w:val="22"/>
                <w:lang w:eastAsia="en-US"/>
              </w:rPr>
            </w:pPr>
            <w:r w:rsidRPr="004F0C14">
              <w:rPr>
                <w:sz w:val="20"/>
              </w:rPr>
              <w:t>10</w:t>
            </w:r>
          </w:p>
        </w:tc>
        <w:tc>
          <w:tcPr>
            <w:tcW w:w="1037" w:type="dxa"/>
          </w:tcPr>
          <w:p w14:paraId="56A8FD29" w14:textId="77777777" w:rsidR="00E231C2" w:rsidRPr="004F0C14" w:rsidRDefault="00E231C2">
            <w:pPr>
              <w:ind w:left="0" w:right="0"/>
              <w:rPr>
                <w:color w:val="auto"/>
                <w:sz w:val="20"/>
                <w:szCs w:val="22"/>
                <w:lang w:eastAsia="en-US"/>
              </w:rPr>
            </w:pPr>
            <w:r w:rsidRPr="004F0C14">
              <w:rPr>
                <w:sz w:val="20"/>
              </w:rPr>
              <w:t>269</w:t>
            </w:r>
          </w:p>
        </w:tc>
        <w:tc>
          <w:tcPr>
            <w:tcW w:w="1164" w:type="dxa"/>
          </w:tcPr>
          <w:p w14:paraId="2C04F094" w14:textId="77777777" w:rsidR="00E231C2" w:rsidRPr="004F0C14" w:rsidRDefault="00E231C2">
            <w:pPr>
              <w:ind w:left="0" w:right="0"/>
              <w:rPr>
                <w:color w:val="auto"/>
                <w:sz w:val="20"/>
                <w:szCs w:val="22"/>
                <w:lang w:eastAsia="en-US"/>
              </w:rPr>
            </w:pPr>
            <w:r w:rsidRPr="004F0C14">
              <w:rPr>
                <w:sz w:val="20"/>
              </w:rPr>
              <w:t>324</w:t>
            </w:r>
          </w:p>
        </w:tc>
        <w:tc>
          <w:tcPr>
            <w:tcW w:w="910" w:type="dxa"/>
          </w:tcPr>
          <w:p w14:paraId="548E19B5" w14:textId="77777777" w:rsidR="00E231C2" w:rsidRPr="004F0C14" w:rsidRDefault="00E231C2">
            <w:pPr>
              <w:ind w:left="0" w:right="0"/>
              <w:rPr>
                <w:color w:val="auto"/>
                <w:sz w:val="20"/>
                <w:szCs w:val="22"/>
                <w:lang w:eastAsia="en-US"/>
              </w:rPr>
            </w:pPr>
            <w:r w:rsidRPr="004F0C14">
              <w:rPr>
                <w:sz w:val="20"/>
              </w:rPr>
              <w:t>0.1</w:t>
            </w:r>
          </w:p>
        </w:tc>
        <w:tc>
          <w:tcPr>
            <w:tcW w:w="1216" w:type="dxa"/>
          </w:tcPr>
          <w:p w14:paraId="6A7D1A94" w14:textId="77777777" w:rsidR="00E231C2" w:rsidRPr="004F0C14" w:rsidRDefault="00E231C2">
            <w:pPr>
              <w:ind w:left="0" w:right="0"/>
              <w:rPr>
                <w:color w:val="auto"/>
                <w:sz w:val="20"/>
                <w:szCs w:val="22"/>
                <w:lang w:eastAsia="en-US"/>
              </w:rPr>
            </w:pPr>
            <w:r w:rsidRPr="004F0C14">
              <w:rPr>
                <w:sz w:val="20"/>
              </w:rPr>
              <w:t>0.1</w:t>
            </w:r>
          </w:p>
        </w:tc>
      </w:tr>
      <w:tr w:rsidR="00887DAD" w:rsidRPr="00B01263" w14:paraId="3B7F5B92" w14:textId="77777777" w:rsidTr="004B1FE1">
        <w:trPr>
          <w:trHeight w:val="224"/>
        </w:trPr>
        <w:tc>
          <w:tcPr>
            <w:tcW w:w="1101" w:type="dxa"/>
          </w:tcPr>
          <w:p w14:paraId="0D3568BA" w14:textId="205AAE54" w:rsidR="00E231C2" w:rsidRPr="004F0C14" w:rsidRDefault="00E231C2">
            <w:pPr>
              <w:ind w:left="0" w:right="0"/>
              <w:rPr>
                <w:color w:val="auto"/>
                <w:sz w:val="20"/>
                <w:szCs w:val="22"/>
                <w:lang w:eastAsia="en-US"/>
              </w:rPr>
            </w:pPr>
            <w:r w:rsidRPr="004F0C14">
              <w:rPr>
                <w:b/>
                <w:sz w:val="20"/>
              </w:rPr>
              <w:t>Human</w:t>
            </w:r>
            <w:r w:rsidR="00887DAD" w:rsidRPr="004F0C14">
              <w:rPr>
                <w:sz w:val="20"/>
              </w:rPr>
              <w:t xml:space="preserve"> </w:t>
            </w:r>
            <w:r w:rsidRPr="004F0C14">
              <w:rPr>
                <w:sz w:val="20"/>
              </w:rPr>
              <w:t>(Cancer patients)</w:t>
            </w:r>
          </w:p>
        </w:tc>
        <w:tc>
          <w:tcPr>
            <w:tcW w:w="1559" w:type="dxa"/>
          </w:tcPr>
          <w:p w14:paraId="54FF6503" w14:textId="3AE51759" w:rsidR="00E231C2" w:rsidRPr="00142478" w:rsidRDefault="00E231C2" w:rsidP="00142478">
            <w:pPr>
              <w:ind w:left="0" w:right="0"/>
              <w:rPr>
                <w:color w:val="auto"/>
                <w:sz w:val="20"/>
                <w:szCs w:val="22"/>
                <w:lang w:eastAsia="en-US"/>
              </w:rPr>
            </w:pPr>
            <w:r w:rsidRPr="00142478">
              <w:rPr>
                <w:sz w:val="20"/>
              </w:rPr>
              <w:t>Study</w:t>
            </w:r>
            <w:r w:rsidR="00142478" w:rsidRPr="00142478">
              <w:t xml:space="preserve"> </w:t>
            </w:r>
            <w:r w:rsidR="00D34C07" w:rsidRPr="00142478">
              <w:rPr>
                <w:sz w:val="20"/>
              </w:rPr>
              <w:t>X2107</w:t>
            </w:r>
          </w:p>
        </w:tc>
        <w:tc>
          <w:tcPr>
            <w:tcW w:w="1626" w:type="dxa"/>
          </w:tcPr>
          <w:p w14:paraId="64D2FBD4" w14:textId="159574CF" w:rsidR="00E231C2" w:rsidRPr="004F0C14" w:rsidRDefault="007C19A3">
            <w:pPr>
              <w:ind w:left="0" w:right="0"/>
              <w:rPr>
                <w:color w:val="auto"/>
                <w:sz w:val="20"/>
                <w:szCs w:val="22"/>
                <w:lang w:eastAsia="en-US"/>
              </w:rPr>
            </w:pPr>
            <w:r w:rsidRPr="004F0C14">
              <w:rPr>
                <w:sz w:val="20"/>
              </w:rPr>
              <w:t>600 mg + letrozole 2.5 </w:t>
            </w:r>
            <w:r w:rsidR="00E231C2" w:rsidRPr="004F0C14">
              <w:rPr>
                <w:sz w:val="20"/>
              </w:rPr>
              <w:t>mg</w:t>
            </w:r>
          </w:p>
        </w:tc>
        <w:tc>
          <w:tcPr>
            <w:tcW w:w="2201" w:type="dxa"/>
            <w:gridSpan w:val="2"/>
          </w:tcPr>
          <w:p w14:paraId="0D13E8C2" w14:textId="6759BACB" w:rsidR="00E231C2" w:rsidRPr="004B1FE1" w:rsidRDefault="00D34C07" w:rsidP="0045403A">
            <w:pPr>
              <w:ind w:left="0" w:right="0"/>
              <w:rPr>
                <w:strike/>
                <w:sz w:val="20"/>
              </w:rPr>
            </w:pPr>
            <w:r w:rsidRPr="004B1FE1">
              <w:rPr>
                <w:sz w:val="20"/>
              </w:rPr>
              <w:t>2690</w:t>
            </w:r>
          </w:p>
        </w:tc>
        <w:tc>
          <w:tcPr>
            <w:tcW w:w="2126" w:type="dxa"/>
            <w:gridSpan w:val="2"/>
          </w:tcPr>
          <w:p w14:paraId="4FD50DCD" w14:textId="336EDE51" w:rsidR="00E231C2" w:rsidRPr="004F0C14" w:rsidRDefault="00E231C2">
            <w:pPr>
              <w:ind w:left="0" w:right="0"/>
              <w:rPr>
                <w:color w:val="auto"/>
                <w:sz w:val="20"/>
                <w:szCs w:val="22"/>
                <w:lang w:eastAsia="en-US"/>
              </w:rPr>
            </w:pPr>
          </w:p>
        </w:tc>
      </w:tr>
    </w:tbl>
    <w:p w14:paraId="1FE8D1AC" w14:textId="45AD1339" w:rsidR="00E231C2" w:rsidRPr="00B8122D" w:rsidRDefault="007C19A3" w:rsidP="00827687">
      <w:pPr>
        <w:pStyle w:val="TableDescription"/>
      </w:pPr>
      <w:r w:rsidRPr="00CE30E3">
        <w:t>1)</w:t>
      </w:r>
      <w:r w:rsidR="00E231C2" w:rsidRPr="00CE30E3">
        <w:t xml:space="preserve"> animal:</w:t>
      </w:r>
      <w:r w:rsidRPr="00CE30E3">
        <w:t xml:space="preserve"> </w:t>
      </w:r>
      <w:r w:rsidR="00E231C2" w:rsidRPr="00CE30E3">
        <w:t>human plasma AUC</w:t>
      </w:r>
      <w:r w:rsidR="00E231C2" w:rsidRPr="00CE30E3">
        <w:rPr>
          <w:vertAlign w:val="subscript"/>
        </w:rPr>
        <w:t>0–24 h</w:t>
      </w:r>
      <w:r w:rsidRPr="00CE30E3">
        <w:t xml:space="preserve">; 2) </w:t>
      </w:r>
      <w:r w:rsidR="00E231C2" w:rsidRPr="00CE30E3">
        <w:t>3 weeks dosing, 1 week off</w:t>
      </w:r>
    </w:p>
    <w:p w14:paraId="1E135592" w14:textId="1B004AB9" w:rsidR="007C19A3" w:rsidRPr="00B8122D" w:rsidRDefault="00E231C2" w:rsidP="00736D35">
      <w:pPr>
        <w:pStyle w:val="Heading5"/>
      </w:pPr>
      <w:r w:rsidRPr="00B8122D">
        <w:t>Justification for</w:t>
      </w:r>
      <w:r w:rsidR="00961497">
        <w:t xml:space="preserve"> </w:t>
      </w:r>
      <w:r w:rsidR="00174B00">
        <w:t>selection</w:t>
      </w:r>
      <w:r w:rsidR="00C75FEB">
        <w:t xml:space="preserve"> of </w:t>
      </w:r>
      <w:r w:rsidRPr="00B8122D">
        <w:t>human AUC value</w:t>
      </w:r>
      <w:r w:rsidR="004B1FE1">
        <w:t xml:space="preserve"> </w:t>
      </w:r>
      <w:r w:rsidR="00C75FEB">
        <w:t>for</w:t>
      </w:r>
      <w:r w:rsidR="0085588F">
        <w:t xml:space="preserve"> calculation of exposure ratios</w:t>
      </w:r>
    </w:p>
    <w:p w14:paraId="41C080F6" w14:textId="68D18829" w:rsidR="00E231C2" w:rsidRPr="00B8122D" w:rsidRDefault="00C75FEB" w:rsidP="00E231C2">
      <w:r>
        <w:t>Data</w:t>
      </w:r>
      <w:r w:rsidR="00E231C2" w:rsidRPr="00B8122D">
        <w:t xml:space="preserve"> for ribociclib was selected from the population pharmacokinetic analysis derived from the pooled results of studies in patients with cancer. T</w:t>
      </w:r>
      <w:r w:rsidR="007C19A3" w:rsidRPr="00B8122D">
        <w:t>he basis for this decision is</w:t>
      </w:r>
      <w:r w:rsidR="00E47BC8" w:rsidRPr="00B8122D">
        <w:t xml:space="preserve"> as follows</w:t>
      </w:r>
      <w:r w:rsidR="007C19A3" w:rsidRPr="00B8122D">
        <w:t xml:space="preserve">: </w:t>
      </w:r>
      <w:r w:rsidR="00E231C2" w:rsidRPr="00B8122D">
        <w:t xml:space="preserve">a) the study population selected </w:t>
      </w:r>
      <w:r>
        <w:t xml:space="preserve">most accurately </w:t>
      </w:r>
      <w:r w:rsidR="00E231C2" w:rsidRPr="00B8122D">
        <w:t>reflects the intended clinical population;</w:t>
      </w:r>
      <w:r w:rsidR="007C19A3" w:rsidRPr="00B8122D">
        <w:t xml:space="preserve"> </w:t>
      </w:r>
      <w:r w:rsidR="00E231C2" w:rsidRPr="00B8122D">
        <w:t>b) the pooled data population pharmacokinetic analysis provides the greatest statistical power availab</w:t>
      </w:r>
      <w:r w:rsidR="007C19A3" w:rsidRPr="00B8122D">
        <w:t xml:space="preserve">le across all the studies; and </w:t>
      </w:r>
      <w:r w:rsidR="00E231C2" w:rsidRPr="00B8122D">
        <w:t>c)</w:t>
      </w:r>
      <w:r w:rsidR="00961497">
        <w:t xml:space="preserve"> </w:t>
      </w:r>
      <w:r w:rsidR="00E231C2" w:rsidRPr="00B8122D">
        <w:t>the proposed cl</w:t>
      </w:r>
      <w:r w:rsidR="007C19A3" w:rsidRPr="00B8122D">
        <w:t>inical dose and dosing regimen.</w:t>
      </w:r>
    </w:p>
    <w:p w14:paraId="1120302B" w14:textId="0F048C19" w:rsidR="00E231C2" w:rsidRPr="00B8122D" w:rsidRDefault="00E231C2" w:rsidP="00E231C2">
      <w:r w:rsidRPr="00B8122D">
        <w:t xml:space="preserve">Notably, ribociclib was the major circulating component in human plasma and the focus of the population pharmacokinetic analysis in patients. Of the prominent circulating metabolites, LEQ803 and CCI284 had no significant contribution to total pharmacological activity in humans based on their </w:t>
      </w:r>
      <w:r w:rsidRPr="0085588F">
        <w:rPr>
          <w:i/>
        </w:rPr>
        <w:t>in vitro</w:t>
      </w:r>
      <w:r w:rsidRPr="00B8122D">
        <w:t xml:space="preserve"> pharmacological activities and </w:t>
      </w:r>
      <w:r w:rsidRPr="0085588F">
        <w:rPr>
          <w:i/>
        </w:rPr>
        <w:t>in vivo</w:t>
      </w:r>
      <w:r w:rsidRPr="00B8122D">
        <w:t xml:space="preserve"> exposures (</w:t>
      </w:r>
      <w:r w:rsidRPr="00A6172E">
        <w:t>each accounted for &lt;</w:t>
      </w:r>
      <w:r w:rsidR="007C19A3" w:rsidRPr="00A6172E">
        <w:t xml:space="preserve"> </w:t>
      </w:r>
      <w:r w:rsidRPr="00A6172E">
        <w:t xml:space="preserve">10% of total </w:t>
      </w:r>
      <w:r w:rsidRPr="00582E5F">
        <w:t xml:space="preserve">radioactivity). </w:t>
      </w:r>
      <w:r w:rsidR="00843499" w:rsidRPr="00582E5F">
        <w:t>Following</w:t>
      </w:r>
      <w:r w:rsidRPr="00582E5F">
        <w:t xml:space="preserve"> multiple dosing of cancer patients at 600 mg </w:t>
      </w:r>
      <w:r w:rsidR="00E47BC8" w:rsidRPr="00582E5F">
        <w:t>four times daily</w:t>
      </w:r>
      <w:r w:rsidRPr="00582E5F">
        <w:t xml:space="preserve"> plus 2.5 mg letrozole, the mean AUC</w:t>
      </w:r>
      <w:r w:rsidRPr="00582E5F">
        <w:rPr>
          <w:vertAlign w:val="subscript"/>
        </w:rPr>
        <w:t>0-24h</w:t>
      </w:r>
      <w:r w:rsidR="004B1FE1">
        <w:t xml:space="preserve"> for LEQ803 was</w:t>
      </w:r>
      <w:r w:rsidR="00A22653">
        <w:t xml:space="preserve"> and 2</w:t>
      </w:r>
      <w:r w:rsidR="00BA681F">
        <w:t>6</w:t>
      </w:r>
      <w:r w:rsidR="00A22653">
        <w:t>90</w:t>
      </w:r>
      <w:r w:rsidR="00C75FEB" w:rsidRPr="00582E5F">
        <w:t> </w:t>
      </w:r>
      <w:r w:rsidRPr="00582E5F">
        <w:t>ng.h/m</w:t>
      </w:r>
      <w:r w:rsidRPr="00CE30E3">
        <w:t>L (Study X2107).</w:t>
      </w:r>
    </w:p>
    <w:p w14:paraId="1AE48A16" w14:textId="6E3BE0A1" w:rsidR="00E231C2" w:rsidRPr="00B8122D" w:rsidRDefault="00E231C2" w:rsidP="00E231C2">
      <w:r w:rsidRPr="00B8122D">
        <w:t>Human pharmacokinetic data is based upon the use of capsule</w:t>
      </w:r>
      <w:r w:rsidR="00F22005">
        <w:t xml:space="preserve"> formulation</w:t>
      </w:r>
      <w:r w:rsidR="004B1FE1">
        <w:t xml:space="preserve"> </w:t>
      </w:r>
      <w:r w:rsidR="00B73AAC">
        <w:t>and oral solution formulation.</w:t>
      </w:r>
      <w:r w:rsidRPr="00B8122D">
        <w:t xml:space="preserve"> Data on the proposed film coated tablet formulation was not supplied. However, capsule </w:t>
      </w:r>
      <w:r w:rsidR="00F22005">
        <w:t xml:space="preserve">formulation </w:t>
      </w:r>
      <w:r w:rsidRPr="00B8122D">
        <w:t>and coated tablet formulation were demonstrated to be bioequivalent</w:t>
      </w:r>
      <w:r w:rsidR="003C1A8F">
        <w:t xml:space="preserve">. </w:t>
      </w:r>
      <w:r w:rsidRPr="00B8122D">
        <w:t>Thus</w:t>
      </w:r>
      <w:r w:rsidR="003A12F3" w:rsidRPr="00B8122D">
        <w:t>,</w:t>
      </w:r>
      <w:r w:rsidRPr="00B8122D">
        <w:t xml:space="preserve"> the values derived from the capsule </w:t>
      </w:r>
      <w:r w:rsidR="00F22005">
        <w:t xml:space="preserve">formulation </w:t>
      </w:r>
      <w:r w:rsidR="00B73AAC" w:rsidRPr="00B8122D">
        <w:t xml:space="preserve">and oral solution formulations </w:t>
      </w:r>
      <w:r w:rsidRPr="00B8122D">
        <w:t>reasonably reflect the actual proposed clinical situation.</w:t>
      </w:r>
    </w:p>
    <w:p w14:paraId="4C9224C4" w14:textId="3B889F7D" w:rsidR="00E231C2" w:rsidRPr="00B8122D" w:rsidRDefault="00E231C2" w:rsidP="00E47BC8">
      <w:pPr>
        <w:pStyle w:val="Heading4"/>
      </w:pPr>
      <w:bookmarkStart w:id="65" w:name="_Toc482796031"/>
      <w:r w:rsidRPr="00B8122D">
        <w:t>Major toxicities</w:t>
      </w:r>
      <w:bookmarkEnd w:id="65"/>
    </w:p>
    <w:p w14:paraId="1D994494" w14:textId="643DD420" w:rsidR="00E231C2" w:rsidRPr="00B8122D" w:rsidRDefault="00E231C2" w:rsidP="00E231C2">
      <w:r w:rsidRPr="00B8122D">
        <w:t xml:space="preserve">The major toxicological effects of ribociclib were primary pharmacologically mediated, </w:t>
      </w:r>
      <w:r w:rsidR="003D73CD" w:rsidRPr="00B8122D">
        <w:t>that is,</w:t>
      </w:r>
      <w:r w:rsidRPr="00B8122D">
        <w:t xml:space="preserve"> by inhibition of CDK4/6. Predictably, organs and tissues with high cellular mitotic rates are more susceptible to non-target effects of ribociclib </w:t>
      </w:r>
      <w:r w:rsidR="003D73CD" w:rsidRPr="00B8122D">
        <w:t>that is,</w:t>
      </w:r>
      <w:r w:rsidRPr="00B8122D">
        <w:t xml:space="preserve"> bone marrow (myeloid cells, the erythron, platelet production), the immune system, spermatogenesis, basal epidermis of the skin, cartilage/bone and gastrointestinal tract (GIT). Most effects were reversible or partially reversible.</w:t>
      </w:r>
    </w:p>
    <w:p w14:paraId="563C8088" w14:textId="07601A2C" w:rsidR="00CC75D6" w:rsidRPr="00B8122D" w:rsidRDefault="00E231C2" w:rsidP="00CC75D6">
      <w:pPr>
        <w:pStyle w:val="Heading5"/>
      </w:pPr>
      <w:r w:rsidRPr="00B8122D">
        <w:t>Neutrop</w:t>
      </w:r>
      <w:r w:rsidR="00CC75D6" w:rsidRPr="00B8122D">
        <w:t>a</w:t>
      </w:r>
      <w:r w:rsidRPr="00B8122D">
        <w:t>enia and effects on the bone marrow myeloid pool</w:t>
      </w:r>
    </w:p>
    <w:p w14:paraId="1BE89F49" w14:textId="7FAE0B49" w:rsidR="00E231C2" w:rsidRPr="00B8122D" w:rsidRDefault="00E231C2" w:rsidP="00E231C2">
      <w:r w:rsidRPr="00B8122D">
        <w:t xml:space="preserve">Decreased blood neutrophil counts were observed in rats and dogs. </w:t>
      </w:r>
      <w:r w:rsidRPr="00CE30E3">
        <w:t xml:space="preserve">In the 4 week </w:t>
      </w:r>
      <w:r w:rsidR="00CC75D6" w:rsidRPr="00CE30E3">
        <w:t>oral</w:t>
      </w:r>
      <w:r w:rsidRPr="00CE30E3">
        <w:t xml:space="preserve"> repeat dose studies the depressive effects of ribociclib on the circulating neutrophil pool were relatively small at ≥ 75 mg/kg/day in rats and at all doses in d</w:t>
      </w:r>
      <w:r w:rsidR="00CC75D6" w:rsidRPr="00CE30E3">
        <w:t>ogs (</w:t>
      </w:r>
      <w:r w:rsidR="002C7073">
        <w:t>exposure ratio</w:t>
      </w:r>
      <w:r w:rsidR="00A40B1D" w:rsidRPr="00CE30E3">
        <w:t xml:space="preserve"> in</w:t>
      </w:r>
      <w:r w:rsidR="00CC75D6" w:rsidRPr="00CE30E3">
        <w:t xml:space="preserve"> male rat</w:t>
      </w:r>
      <w:r w:rsidR="00A40B1D" w:rsidRPr="00CE30E3">
        <w:t>s</w:t>
      </w:r>
      <w:r w:rsidR="00CC75D6" w:rsidRPr="00CE30E3">
        <w:t xml:space="preserve"> 1, female rat</w:t>
      </w:r>
      <w:r w:rsidR="00A40B1D" w:rsidRPr="00CE30E3">
        <w:t>s</w:t>
      </w:r>
      <w:r w:rsidR="00CC75D6" w:rsidRPr="00CE30E3">
        <w:t xml:space="preserve"> 0.3, dogs 0.1 to </w:t>
      </w:r>
      <w:r w:rsidRPr="00CE30E3">
        <w:t>0.2) and reversible following dose cessation</w:t>
      </w:r>
      <w:r w:rsidRPr="00B8122D">
        <w:t>. In both species, this effect correlated with minimally to mildly decreased</w:t>
      </w:r>
      <w:r w:rsidR="003E710E">
        <w:t xml:space="preserve"> my</w:t>
      </w:r>
      <w:r w:rsidR="00142478">
        <w:t>e</w:t>
      </w:r>
      <w:r w:rsidR="003E710E">
        <w:t>loid to erythroid precursor</w:t>
      </w:r>
      <w:r w:rsidRPr="00B8122D">
        <w:t xml:space="preserve"> ratios and percent mature myeloid cells, and bone marrow hypocellularity.</w:t>
      </w:r>
    </w:p>
    <w:p w14:paraId="46336BDE" w14:textId="30902A72" w:rsidR="00E231C2" w:rsidRPr="00B8122D" w:rsidRDefault="00E231C2" w:rsidP="00E231C2">
      <w:r w:rsidRPr="00CE30E3">
        <w:lastRenderedPageBreak/>
        <w:t>Neutrophil counts were minimally altered in the 15 and 27 week studies in rats. In the 15</w:t>
      </w:r>
      <w:r w:rsidR="00CC75D6" w:rsidRPr="00CE30E3">
        <w:t> </w:t>
      </w:r>
      <w:r w:rsidRPr="00CE30E3">
        <w:t>and 39 week dog studies (3 weeks on, 1 week off dosing cycle), cyclical decreases in leukocyte counts (including neutrophil counts) correlated with dose cycles. In both sexes, neutrophil counts fell precipitously during the first dosing cycle but still remained within the normal biological range following dosing at ≥ 3 mg/kg/day (</w:t>
      </w:r>
      <w:r w:rsidR="002C7073">
        <w:t>exposure ratio</w:t>
      </w:r>
      <w:r w:rsidRPr="00CE30E3">
        <w:t xml:space="preserve"> </w:t>
      </w:r>
      <w:r w:rsidR="00D92203" w:rsidRPr="00CE30E3">
        <w:t>≥</w:t>
      </w:r>
      <w:r w:rsidRPr="00CE30E3">
        <w:t xml:space="preserve"> 0.06). However incomplete recovery was apparent at the end of each dose cycle resulting in an overall downward trend over the 15 or 39 week study period. Neutrop</w:t>
      </w:r>
      <w:r w:rsidR="00D92203" w:rsidRPr="00CE30E3">
        <w:t>a</w:t>
      </w:r>
      <w:r w:rsidRPr="00CE30E3">
        <w:t>enia just below the lower limit of the normal biological range was present towards the end of the dosing period at the hig</w:t>
      </w:r>
      <w:r w:rsidR="003E710E" w:rsidRPr="00CE30E3">
        <w:t xml:space="preserve">hest dose (10 mg/kg/day, </w:t>
      </w:r>
      <w:r w:rsidR="002C7073">
        <w:t>exposure ratio</w:t>
      </w:r>
      <w:r w:rsidR="00D92203" w:rsidRPr="00CE30E3">
        <w:t xml:space="preserve"> 0.3 to </w:t>
      </w:r>
      <w:r w:rsidRPr="00CE30E3">
        <w:t>0.4). Full recovery occur</w:t>
      </w:r>
      <w:r w:rsidR="00D92203" w:rsidRPr="00CE30E3">
        <w:t>red following dosing cessation.</w:t>
      </w:r>
    </w:p>
    <w:p w14:paraId="3DBDEDE7" w14:textId="4D09CF1B" w:rsidR="00E231C2" w:rsidRPr="00B8122D" w:rsidRDefault="00514906" w:rsidP="00E231C2">
      <w:r w:rsidRPr="00A1327B">
        <w:t>In the evaluator’s opinion</w:t>
      </w:r>
      <w:r w:rsidR="00174B00" w:rsidRPr="00A1327B">
        <w:t>, a</w:t>
      </w:r>
      <w:r w:rsidR="00582E5F">
        <w:t xml:space="preserve"> </w:t>
      </w:r>
      <w:r w:rsidR="00B73AAC">
        <w:t>severe</w:t>
      </w:r>
      <w:r w:rsidR="00E231C2" w:rsidRPr="00CE30E3">
        <w:t xml:space="preserve"> </w:t>
      </w:r>
      <w:r w:rsidR="003A1409" w:rsidRPr="00CE30E3">
        <w:t>d</w:t>
      </w:r>
      <w:r w:rsidR="00E231C2" w:rsidRPr="00CE30E3">
        <w:t>ecrease in blood neutrophil counts occurred in one of the primary pharmacology studies (</w:t>
      </w:r>
      <w:r w:rsidR="00D92203" w:rsidRPr="00CE30E3">
        <w:t>Study</w:t>
      </w:r>
      <w:r w:rsidR="00E231C2" w:rsidRPr="00CE30E3">
        <w:t xml:space="preserve"> RD-2008-50811: Jeko-1 subcutaneous xenograft model in SCID mice) following </w:t>
      </w:r>
      <w:r w:rsidR="00D92203" w:rsidRPr="00CE30E3">
        <w:t>oral</w:t>
      </w:r>
      <w:r w:rsidR="00E231C2" w:rsidRPr="00CE30E3">
        <w:t xml:space="preserve"> d</w:t>
      </w:r>
      <w:r w:rsidR="00D92203" w:rsidRPr="00CE30E3">
        <w:t>osing at ≥ 75 mg/kg/day (</w:t>
      </w:r>
      <w:r w:rsidR="002C7073">
        <w:t>exposure ratio</w:t>
      </w:r>
      <w:r w:rsidR="00D92203" w:rsidRPr="00CE30E3">
        <w:t xml:space="preserve"> 2).</w:t>
      </w:r>
    </w:p>
    <w:p w14:paraId="3A5C90FC" w14:textId="6884B3F0" w:rsidR="00E231C2" w:rsidRPr="00B8122D" w:rsidRDefault="00E231C2" w:rsidP="00E231C2">
      <w:r w:rsidRPr="00B8122D">
        <w:t xml:space="preserve">These findings are also consistent with the effects of the related CDK4/6 inhibitor palbociclib and adverse effects in human clinical trials with both drugs. </w:t>
      </w:r>
      <w:r w:rsidR="00D92203" w:rsidRPr="00B8122D">
        <w:t>Neutropaenia</w:t>
      </w:r>
      <w:r w:rsidRPr="00B8122D">
        <w:t xml:space="preserve"> may be associated with a higher risk of infection.</w:t>
      </w:r>
    </w:p>
    <w:p w14:paraId="010A8C11" w14:textId="77777777" w:rsidR="00D92203" w:rsidRPr="00CE30E3" w:rsidRDefault="00E231C2" w:rsidP="00D92203">
      <w:pPr>
        <w:pStyle w:val="Heading5"/>
      </w:pPr>
      <w:r w:rsidRPr="00CE30E3">
        <w:t>Effects on eosinophils</w:t>
      </w:r>
    </w:p>
    <w:p w14:paraId="0C32D3C4" w14:textId="63D01E34" w:rsidR="00E231C2" w:rsidRPr="00B8122D" w:rsidRDefault="00E231C2" w:rsidP="00E231C2">
      <w:r w:rsidRPr="00CE30E3">
        <w:t>Dose related, mild to moderate, and reversible reductions in eosinophil counts often tracked with changes in neutrophil counts. Absolute eosinopaenia was not observed. Effects on eosinophils were most prominent in male rats, most likely due to higher plasma drug concentrations than in female rats. This finding is also consistent with the effects of the relate</w:t>
      </w:r>
      <w:r w:rsidR="00D92203" w:rsidRPr="00CE30E3">
        <w:t>d CDK4/6 inhibitor palbociclib.</w:t>
      </w:r>
    </w:p>
    <w:p w14:paraId="36A06DD3" w14:textId="77777777" w:rsidR="00D92203" w:rsidRPr="00B8122D" w:rsidRDefault="00E231C2" w:rsidP="00D92203">
      <w:pPr>
        <w:pStyle w:val="Heading5"/>
      </w:pPr>
      <w:r w:rsidRPr="00B8122D">
        <w:t>Effect on lymphocytes and the lymphoid system</w:t>
      </w:r>
    </w:p>
    <w:p w14:paraId="14F2ACDE" w14:textId="5A79B7EF" w:rsidR="00E231C2" w:rsidRPr="00CE30E3" w:rsidRDefault="00E231C2" w:rsidP="00E231C2">
      <w:r w:rsidRPr="00CE30E3">
        <w:t>Key effects in rats were dose related thymic lymphoid depletion (with lymphocytolysis in some animals) and lymphoid germinal centre depletion in lymph node</w:t>
      </w:r>
      <w:r w:rsidR="003E710E" w:rsidRPr="00CE30E3">
        <w:t>s at ≥ 75 mg/kg/day in males (</w:t>
      </w:r>
      <w:r w:rsidR="002C7073">
        <w:t>exposure ratio</w:t>
      </w:r>
      <w:r w:rsidRPr="00CE30E3">
        <w:t xml:space="preserve"> 1)</w:t>
      </w:r>
      <w:r w:rsidR="002F4A2F" w:rsidRPr="00CE30E3">
        <w:t xml:space="preserve"> and 150 mg/kg/day in females (</w:t>
      </w:r>
      <w:r w:rsidR="002C7073">
        <w:t>exposure ratio</w:t>
      </w:r>
      <w:r w:rsidRPr="00CE30E3">
        <w:t xml:space="preserve"> 0.3). Mesenteric lymph node sinus histiocytosis occurred following treatment for ≥ 1</w:t>
      </w:r>
      <w:r w:rsidR="002F4A2F" w:rsidRPr="00CE30E3">
        <w:t>5 weeks in males at ≥ 75 </w:t>
      </w:r>
      <w:r w:rsidRPr="00CE30E3">
        <w:t>mg/kg/day and</w:t>
      </w:r>
      <w:r w:rsidR="002F4A2F" w:rsidRPr="00CE30E3">
        <w:t xml:space="preserve"> in females at 300 mg/kg/day (</w:t>
      </w:r>
      <w:r w:rsidR="002C7073">
        <w:t>exposure ratio</w:t>
      </w:r>
      <w:r w:rsidRPr="00CE30E3">
        <w:t xml:space="preserve"> 0.6). Lymph node sinus histiocytosis was possibly a reactive inflammatory process or a sign of phospholipidosis (as observed in bile duct and lung).</w:t>
      </w:r>
    </w:p>
    <w:p w14:paraId="3CDE8FFF" w14:textId="4D243F9B" w:rsidR="00E231C2" w:rsidRPr="00CE30E3" w:rsidRDefault="00D92203" w:rsidP="00E231C2">
      <w:r w:rsidRPr="00CE30E3">
        <w:t xml:space="preserve">Dose </w:t>
      </w:r>
      <w:r w:rsidR="00E231C2" w:rsidRPr="00CE30E3">
        <w:t>related cyclic (correlated with dose cycling) reductions in blood lymphocyte counts occurred in high dose male rat cohorts in the 15 and 27 week studies (</w:t>
      </w:r>
      <w:r w:rsidR="002C7073">
        <w:t>exposure ratio</w:t>
      </w:r>
      <w:r w:rsidRPr="00CE30E3">
        <w:t xml:space="preserve"> 1.4 to </w:t>
      </w:r>
      <w:r w:rsidR="00E231C2" w:rsidRPr="00CE30E3">
        <w:t>3). Cessation of dosing was associated with rapid reversal of the effect. Moderate, reversible reductions in blood lymphocyte counts were noted in the</w:t>
      </w:r>
      <w:r w:rsidR="0085588F">
        <w:t xml:space="preserve"> dog studies at 10 </w:t>
      </w:r>
      <w:r w:rsidR="002F4A2F" w:rsidRPr="00CE30E3">
        <w:t>mg/kg/day (</w:t>
      </w:r>
      <w:r w:rsidR="002C7073">
        <w:t>exposure ratio</w:t>
      </w:r>
      <w:r w:rsidR="00E231C2" w:rsidRPr="00CE30E3">
        <w:t xml:space="preserve"> 0.3). These findings are also consistent with the effects of the relate</w:t>
      </w:r>
      <w:r w:rsidRPr="00CE30E3">
        <w:t>d CDK4/6 inhibitor palbociclib.</w:t>
      </w:r>
    </w:p>
    <w:p w14:paraId="41471130" w14:textId="549B5F49" w:rsidR="00E231C2" w:rsidRPr="00B8122D" w:rsidRDefault="00E231C2" w:rsidP="00E231C2">
      <w:r w:rsidRPr="00CE30E3">
        <w:t>CDK6 is essent</w:t>
      </w:r>
      <w:r w:rsidR="00D92203" w:rsidRPr="00CE30E3">
        <w:t xml:space="preserve">ial for normal thymic Notch/AKT </w:t>
      </w:r>
      <w:r w:rsidRPr="00CE30E3">
        <w:t>dependent T cell development in mice.</w:t>
      </w:r>
      <w:r w:rsidRPr="00CE30E3">
        <w:rPr>
          <w:vertAlign w:val="superscript"/>
        </w:rPr>
        <w:footnoteReference w:id="26"/>
      </w:r>
      <w:r w:rsidRPr="00CE30E3">
        <w:rPr>
          <w:vertAlign w:val="superscript"/>
        </w:rPr>
        <w:t>,</w:t>
      </w:r>
      <w:r w:rsidRPr="00CE30E3">
        <w:rPr>
          <w:vertAlign w:val="superscript"/>
        </w:rPr>
        <w:footnoteReference w:id="27"/>
      </w:r>
      <w:r w:rsidR="002978C8" w:rsidRPr="00CE30E3">
        <w:t xml:space="preserve"> </w:t>
      </w:r>
      <w:r w:rsidRPr="00CE30E3">
        <w:t>While thymic development is not relevant to the proposed ribociclib patient population, the use of the drug may produce specific types of immunotoxicity associated with effects on T cell development.</w:t>
      </w:r>
    </w:p>
    <w:p w14:paraId="32396B31" w14:textId="77777777" w:rsidR="002978C8" w:rsidRPr="00CE30E3" w:rsidRDefault="00E231C2" w:rsidP="002978C8">
      <w:pPr>
        <w:pStyle w:val="Heading5"/>
      </w:pPr>
      <w:r w:rsidRPr="00CE30E3">
        <w:t>Effects on the erythron</w:t>
      </w:r>
    </w:p>
    <w:p w14:paraId="5E6B3953" w14:textId="44EB7A5E" w:rsidR="00E231C2" w:rsidRPr="00CE30E3" w:rsidRDefault="00E231C2" w:rsidP="00E231C2">
      <w:r w:rsidRPr="00CE30E3">
        <w:t xml:space="preserve">Dose related reductions in the mature circulating erythrocyte count (normochromic to hyperchromic with small increases in mean corpuscular volume (MCV) and distribution width) and decreased reticulocyte count occurred in rats and dogs. In rats, the effects were more prominent in males than in females due to the higher exposure in male rats. Notably, cyclic doses (3 weeks on and 1 </w:t>
      </w:r>
      <w:r w:rsidR="00140C83" w:rsidRPr="00CE30E3">
        <w:t>week off) at the highest dose (</w:t>
      </w:r>
      <w:r w:rsidR="002C7073">
        <w:t>exposure ratio</w:t>
      </w:r>
      <w:r w:rsidRPr="00CE30E3">
        <w:t xml:space="preserve"> </w:t>
      </w:r>
      <w:r w:rsidR="002978C8" w:rsidRPr="00CE30E3">
        <w:t xml:space="preserve">1.4) for up to </w:t>
      </w:r>
      <w:r w:rsidR="002978C8" w:rsidRPr="00CE30E3">
        <w:lastRenderedPageBreak/>
        <w:t>27 </w:t>
      </w:r>
      <w:r w:rsidRPr="00CE30E3">
        <w:t>weeks did not produce overt adverse anaemia. Splenic haematopoiesis (a normal compensatory response to anaemia) was n</w:t>
      </w:r>
      <w:r w:rsidR="00140C83" w:rsidRPr="00CE30E3">
        <w:t>oted in the high dose groups (</w:t>
      </w:r>
      <w:r w:rsidR="002C7073">
        <w:t>exposure ratio</w:t>
      </w:r>
      <w:r w:rsidRPr="00CE30E3">
        <w:t xml:space="preserve"> 3 for males, 0.7 for females) in the 15 week study, correlating with bone m</w:t>
      </w:r>
      <w:r w:rsidR="00140C83" w:rsidRPr="00CE30E3">
        <w:t>arrow hypocellularity in males.</w:t>
      </w:r>
    </w:p>
    <w:p w14:paraId="52830BA7" w14:textId="12BD00CF" w:rsidR="00E231C2" w:rsidRPr="00CE30E3" w:rsidRDefault="00E231C2" w:rsidP="00E231C2">
      <w:r w:rsidRPr="00CE30E3">
        <w:t>Mild dose-related reductions in circulating erythron in dogs correlated with bone marrow hypocellularity following dosing at ≥</w:t>
      </w:r>
      <w:r w:rsidR="002978C8" w:rsidRPr="00CE30E3">
        <w:t xml:space="preserve"> </w:t>
      </w:r>
      <w:r w:rsidR="00140C83" w:rsidRPr="00CE30E3">
        <w:t>10 mg/kg/day (</w:t>
      </w:r>
      <w:r w:rsidR="002C7073">
        <w:t>exposure ratio</w:t>
      </w:r>
      <w:r w:rsidRPr="00CE30E3">
        <w:t xml:space="preserve"> 0.3</w:t>
      </w:r>
      <w:r w:rsidR="002978C8" w:rsidRPr="00CE30E3">
        <w:t xml:space="preserve"> to </w:t>
      </w:r>
      <w:r w:rsidRPr="00CE30E3">
        <w:t>0.4).</w:t>
      </w:r>
      <w:r w:rsidR="002978C8" w:rsidRPr="00CE30E3">
        <w:t xml:space="preserve"> In the 15 and 39 week studies </w:t>
      </w:r>
      <w:r w:rsidRPr="00CE30E3">
        <w:t>with cyclic dosing (3 weeks</w:t>
      </w:r>
      <w:r w:rsidR="002978C8" w:rsidRPr="00CE30E3">
        <w:t>,</w:t>
      </w:r>
      <w:r w:rsidRPr="00CE30E3">
        <w:t xml:space="preserve"> 1 week off), dose-related cyclic reductions in circulating erythron mass (with mild macrocytosi</w:t>
      </w:r>
      <w:r w:rsidR="00140C83" w:rsidRPr="00CE30E3">
        <w:t>s) occurred at ≥ 3 mg/kg/day (</w:t>
      </w:r>
      <w:r w:rsidR="002C7073">
        <w:t>exposure ratio</w:t>
      </w:r>
      <w:r w:rsidR="00140C83" w:rsidRPr="00CE30E3">
        <w:t> </w:t>
      </w:r>
      <w:r w:rsidRPr="00CE30E3">
        <w:t xml:space="preserve">0.1). There was partial recovery by the end of each dose cycle, but an overall downward trend in circulating erythron mass was apparent in the long term studies. Notably, increased MCV above the normal biological range also occurred in the high dose group. Reticulocyte </w:t>
      </w:r>
      <w:r w:rsidR="002978C8" w:rsidRPr="00CE30E3">
        <w:t>counts also tended to be lower.</w:t>
      </w:r>
    </w:p>
    <w:p w14:paraId="0862F218" w14:textId="42242111" w:rsidR="00E231C2" w:rsidRPr="00B8122D" w:rsidRDefault="00E231C2" w:rsidP="00E231C2">
      <w:r w:rsidRPr="00CE30E3">
        <w:t>The effects on erythron were likely due to primary pharmacologically mediated suppression of cell division during haematopoiesis. These findings are also consistent with the effects of the related CDK4/6 inhibitor palbociclib and the known effects of CDK6 knockout in mice. The effects are likely due to a combination of suppression of replication</w:t>
      </w:r>
      <w:r w:rsidRPr="00B8122D">
        <w:t xml:space="preserve"> </w:t>
      </w:r>
      <w:r w:rsidRPr="00CE30E3">
        <w:t>of erythropoietic cells, shortened erythrocyte life-span and increased sensitivity of erythroctyes to mechanical stress. Erythrocytes in CDK6-/- mice also have a shortened lifespan and greater sensitivity to mechanical stress due to impaired F-actin formation.</w:t>
      </w:r>
      <w:r w:rsidRPr="00CE30E3">
        <w:rPr>
          <w:vertAlign w:val="superscript"/>
        </w:rPr>
        <w:footnoteReference w:id="28"/>
      </w:r>
    </w:p>
    <w:p w14:paraId="014D89AA" w14:textId="77777777" w:rsidR="002978C8" w:rsidRPr="00CE30E3" w:rsidRDefault="00E231C2" w:rsidP="002978C8">
      <w:pPr>
        <w:pStyle w:val="Heading5"/>
      </w:pPr>
      <w:r w:rsidRPr="00CE30E3">
        <w:t>Effects on platelets</w:t>
      </w:r>
    </w:p>
    <w:p w14:paraId="56EE2FD3" w14:textId="3222C247" w:rsidR="00E231C2" w:rsidRPr="00B8122D" w:rsidRDefault="00E231C2" w:rsidP="00E231C2">
      <w:r w:rsidRPr="00CE30E3">
        <w:t>Thrombocytop</w:t>
      </w:r>
      <w:r w:rsidR="002978C8" w:rsidRPr="00CE30E3">
        <w:t>a</w:t>
      </w:r>
      <w:r w:rsidRPr="00CE30E3">
        <w:t>enia (just below the lower limit of normal) was associated</w:t>
      </w:r>
      <w:r w:rsidR="00140C83" w:rsidRPr="00CE30E3">
        <w:t xml:space="preserve"> with dosing at 10 mg/kg/day (</w:t>
      </w:r>
      <w:r w:rsidR="002C7073">
        <w:t>exposure ratio</w:t>
      </w:r>
      <w:r w:rsidRPr="00CE30E3">
        <w:t xml:space="preserve"> 0.4) in the 15 week canine study. Dose related, cyclical (correlated with dose cycling) reductions in platelet count occurred in both sexes with partial recovery after cessation of dosing. The effect was more apparent in males than in females. Coagulopathies did not occur in the study. Surprisingly, fewer effects on platelet were observed in the 39 week study with the same dosing regimen, although reductions in platelet count occurred in males at 10 mg/kg/day. The effect is consistent with the mode of action of ribociclib. These findings are also consistent with the effects of the related CDK4/6 inhibitor palbociclib and decreased platelet count in clinical trials with ribociclib and palbociclib.</w:t>
      </w:r>
    </w:p>
    <w:p w14:paraId="17048B7B" w14:textId="77777777" w:rsidR="002978C8" w:rsidRPr="00B8122D" w:rsidRDefault="00E231C2" w:rsidP="002978C8">
      <w:pPr>
        <w:pStyle w:val="Heading5"/>
      </w:pPr>
      <w:r w:rsidRPr="00B8122D">
        <w:t>Hepatobiliary toxicity</w:t>
      </w:r>
    </w:p>
    <w:p w14:paraId="0AAD98D5" w14:textId="607CA9F5" w:rsidR="00E231C2" w:rsidRPr="00B8122D" w:rsidRDefault="00E231C2" w:rsidP="00E231C2">
      <w:r w:rsidRPr="00B8122D">
        <w:t xml:space="preserve">Hepatobiliary effects in animals were comparatively mild and generally only present in the high dose groups. In the rat studies, minimal bile duct epithelial vacuolation and/or hypertrophy were noted </w:t>
      </w:r>
      <w:r w:rsidRPr="00CE30E3">
        <w:t>in males dosed at ≥ 75 mg/kg/d</w:t>
      </w:r>
      <w:r w:rsidR="00140C83" w:rsidRPr="00CE30E3">
        <w:t>ay (</w:t>
      </w:r>
      <w:r w:rsidR="002C7073">
        <w:t>exposure ratio</w:t>
      </w:r>
      <w:r w:rsidR="002978C8" w:rsidRPr="00CE30E3">
        <w:t xml:space="preserve"> 1) and in females at 300 </w:t>
      </w:r>
      <w:r w:rsidRPr="00CE30E3">
        <w:t>mg/kg/day (</w:t>
      </w:r>
      <w:r w:rsidR="002C7073">
        <w:t>exposure ratio</w:t>
      </w:r>
      <w:r w:rsidRPr="00CE30E3">
        <w:t xml:space="preserve"> 0.6</w:t>
      </w:r>
      <w:r w:rsidRPr="00B8122D">
        <w:t xml:space="preserve">) with incidence generally increasing with dosing duration. </w:t>
      </w:r>
      <w:r w:rsidRPr="00AB2D98">
        <w:t xml:space="preserve">These findings imply mild biliary epithelial toxicity and are consistent with the demonstration of minimal to moderate intrahepatic bile duct hyperplasia, periductular fibrosis, mild cholecystitis, cholestasis and inspissated bile with calculi in gallbladder </w:t>
      </w:r>
      <w:r w:rsidRPr="00CE30E3">
        <w:t>detected dogs at 20 mg/kg/day for 4 weeks (</w:t>
      </w:r>
      <w:r w:rsidR="002C7073">
        <w:t>exposure ratio</w:t>
      </w:r>
      <w:r w:rsidRPr="00CE30E3">
        <w:t xml:space="preserve"> </w:t>
      </w:r>
      <w:r w:rsidR="002978C8" w:rsidRPr="00CE30E3">
        <w:t xml:space="preserve">around </w:t>
      </w:r>
      <w:r w:rsidRPr="00CE30E3">
        <w:t>0.7) and/or 25 mg/kg/day for 2 weeks (</w:t>
      </w:r>
      <w:r w:rsidR="002C7073">
        <w:t>exposure ratio</w:t>
      </w:r>
      <w:r w:rsidRPr="00CE30E3">
        <w:t xml:space="preserve"> 1.6).</w:t>
      </w:r>
      <w:r w:rsidRPr="00B8122D">
        <w:t xml:space="preserve"> In rats, the biliary effect correlated with increased ser</w:t>
      </w:r>
      <w:r w:rsidR="00633D54" w:rsidRPr="00B8122D">
        <w:t xml:space="preserve">um total bilirubin levels. </w:t>
      </w:r>
      <w:r w:rsidR="00140C83">
        <w:t>Liposome associated membrane protein 2 (</w:t>
      </w:r>
      <w:r w:rsidR="00633D54" w:rsidRPr="00B8122D">
        <w:t>LAMP</w:t>
      </w:r>
      <w:r w:rsidRPr="00B8122D">
        <w:t>2</w:t>
      </w:r>
      <w:r w:rsidR="00140C83">
        <w:t>)</w:t>
      </w:r>
      <w:r w:rsidRPr="00B8122D">
        <w:t xml:space="preserve"> immunohistochemistry in rats demonstrated increased lysosomes in the biliary epithelium, likely due to drug associated phospholipidosis (consistent with the presence of foamy macrophages in lymphoid tissues and lung of dogs), a common effect of cationic amphiphilic agents.</w:t>
      </w:r>
    </w:p>
    <w:p w14:paraId="40CCDB6D" w14:textId="5F088364" w:rsidR="00E231C2" w:rsidRPr="00B8122D" w:rsidRDefault="00E231C2" w:rsidP="00E231C2">
      <w:r w:rsidRPr="00B8122D">
        <w:t xml:space="preserve">The hepatobiliary effects correlated with increased serum </w:t>
      </w:r>
      <w:r w:rsidR="00633D54" w:rsidRPr="00B8122D">
        <w:t>alanine transaminase (</w:t>
      </w:r>
      <w:r w:rsidRPr="00B8122D">
        <w:t>ALT</w:t>
      </w:r>
      <w:r w:rsidR="00633D54" w:rsidRPr="00B8122D">
        <w:t>)</w:t>
      </w:r>
      <w:r w:rsidR="00140C83">
        <w:t xml:space="preserve"> and alkaline phosphatase (ALP)</w:t>
      </w:r>
      <w:r w:rsidR="00633D54" w:rsidRPr="00B8122D">
        <w:t xml:space="preserve"> </w:t>
      </w:r>
      <w:r w:rsidR="00633D54" w:rsidRPr="00CE30E3">
        <w:t>(≥ 27 x increase compared with</w:t>
      </w:r>
      <w:r w:rsidRPr="00CE30E3">
        <w:rPr>
          <w:i/>
        </w:rPr>
        <w:t xml:space="preserve"> </w:t>
      </w:r>
      <w:r w:rsidR="00633D54" w:rsidRPr="00CE30E3">
        <w:t>pre-exposure values in 2 </w:t>
      </w:r>
      <w:r w:rsidRPr="00CE30E3">
        <w:t>dogs)</w:t>
      </w:r>
      <w:r w:rsidRPr="00B8122D">
        <w:t xml:space="preserve"> in the 4 week dog study, although the magnitude of increase in serum ALT and </w:t>
      </w:r>
      <w:r w:rsidRPr="00B8122D">
        <w:lastRenderedPageBreak/>
        <w:t>ALP did not correlate with the severity of the histological biliary findings. Hepatocyte lesions (periportal hepatocyte necrosis) were obs</w:t>
      </w:r>
      <w:r w:rsidR="00633D54" w:rsidRPr="00B8122D">
        <w:t xml:space="preserve">erved </w:t>
      </w:r>
      <w:r w:rsidR="00633D54" w:rsidRPr="00CE30E3">
        <w:t>only in one high dose (20 </w:t>
      </w:r>
      <w:r w:rsidRPr="00CE30E3">
        <w:t>mg/kg/day) dog in the 4 week study and in dogs at 25 mg/kg/day in a 2 week preliminary study.</w:t>
      </w:r>
      <w:r w:rsidRPr="00B8122D">
        <w:t xml:space="preserve"> </w:t>
      </w:r>
      <w:r w:rsidRPr="00CE30E3">
        <w:t>The same dog in the 4 week study and</w:t>
      </w:r>
      <w:r w:rsidR="00633D54" w:rsidRPr="00CE30E3">
        <w:t xml:space="preserve"> dogs in the 2 week study at 25 </w:t>
      </w:r>
      <w:r w:rsidRPr="00CE30E3">
        <w:t>mg/kg/day also had fibrinoid necrosis of small to medium-sized portal arteries, arteriopathy (focal wall degeneration, medial disorganization, ha</w:t>
      </w:r>
      <w:r w:rsidR="00633D54" w:rsidRPr="00CE30E3">
        <w:t>emorrhage) in the hilar region.</w:t>
      </w:r>
    </w:p>
    <w:p w14:paraId="0E0AB958" w14:textId="2D72D88E" w:rsidR="00E231C2" w:rsidRPr="00B8122D" w:rsidRDefault="00E231C2" w:rsidP="00E231C2">
      <w:r w:rsidRPr="00B8122D">
        <w:t>Hepatobiliary adverse events</w:t>
      </w:r>
      <w:r w:rsidR="00633D54" w:rsidRPr="00B8122D">
        <w:t xml:space="preserve"> were common in human patients (</w:t>
      </w:r>
      <w:r w:rsidR="00B73AAC">
        <w:t>as reported in the draft PI</w:t>
      </w:r>
      <w:r w:rsidR="00582E5F">
        <w:t xml:space="preserve"> </w:t>
      </w:r>
      <w:r w:rsidR="00A67536">
        <w:t>Table 2</w:t>
      </w:r>
      <w:r w:rsidR="00633D54" w:rsidRPr="00B8122D">
        <w:t>).</w:t>
      </w:r>
    </w:p>
    <w:p w14:paraId="69E2115E" w14:textId="77777777" w:rsidR="00633D54" w:rsidRPr="00B8122D" w:rsidRDefault="00E231C2" w:rsidP="00633D54">
      <w:pPr>
        <w:pStyle w:val="Heading5"/>
      </w:pPr>
      <w:r w:rsidRPr="00B8122D">
        <w:t>Renal toxicity</w:t>
      </w:r>
    </w:p>
    <w:p w14:paraId="4C752927" w14:textId="773BBA91" w:rsidR="00E231C2" w:rsidRPr="00B8122D" w:rsidRDefault="00633D54" w:rsidP="00E231C2">
      <w:r w:rsidRPr="00B8122D">
        <w:t xml:space="preserve">In the 15 and 27 </w:t>
      </w:r>
      <w:r w:rsidR="00E231C2" w:rsidRPr="00B8122D">
        <w:t xml:space="preserve">week rat studies </w:t>
      </w:r>
      <w:r w:rsidR="00E231C2" w:rsidRPr="00CE30E3">
        <w:t>dosing at</w:t>
      </w:r>
      <w:r w:rsidR="00140C83" w:rsidRPr="00CE30E3">
        <w:t xml:space="preserve"> ≥ 75 mg/kg/day in male rats (</w:t>
      </w:r>
      <w:r w:rsidR="002C7073">
        <w:t>exposure ratio</w:t>
      </w:r>
      <w:r w:rsidR="00E231C2" w:rsidRPr="00CE30E3">
        <w:t xml:space="preserve"> ≥</w:t>
      </w:r>
      <w:r w:rsidR="002C7073">
        <w:t> </w:t>
      </w:r>
      <w:r w:rsidR="00142478">
        <w:t>1</w:t>
      </w:r>
      <w:r w:rsidR="00E231C2" w:rsidRPr="00CE30E3">
        <w:t>)</w:t>
      </w:r>
      <w:r w:rsidR="00E231C2" w:rsidRPr="00B8122D">
        <w:t xml:space="preserve"> was associated with minimal degeneration and regeneration of renal tubular epithelia. </w:t>
      </w:r>
      <w:r w:rsidR="00E231C2" w:rsidRPr="00CE30E3">
        <w:t>The effect included the development of basophilic foci due to piling up of epithelial cells and an increased nuclear to cytoplasmic volume ratio. These changes are probably attributable to primary pharmacologically mediated disruption of normal epithelia cell</w:t>
      </w:r>
      <w:r w:rsidR="00E231C2" w:rsidRPr="00B8122D">
        <w:t xml:space="preserve"> </w:t>
      </w:r>
      <w:r w:rsidR="00E231C2" w:rsidRPr="00CE30E3">
        <w:t>turnover. The histological lesions were not associated with increased plasma creatinine or urea nitrogen, suggesting decompensated renal failure did not occur.</w:t>
      </w:r>
      <w:r w:rsidR="00E231C2" w:rsidRPr="00B8122D">
        <w:t xml:space="preserve"> No renal effects w</w:t>
      </w:r>
      <w:r w:rsidR="00855BC3" w:rsidRPr="00B8122D">
        <w:t>ere observed in dogs.</w:t>
      </w:r>
    </w:p>
    <w:p w14:paraId="3B58319F" w14:textId="77777777" w:rsidR="00855BC3" w:rsidRPr="00B8122D" w:rsidRDefault="00E231C2" w:rsidP="00855BC3">
      <w:pPr>
        <w:pStyle w:val="Heading5"/>
      </w:pPr>
      <w:r w:rsidRPr="00B8122D">
        <w:t>Effects on the skin</w:t>
      </w:r>
    </w:p>
    <w:p w14:paraId="45B8A23F" w14:textId="6F400201" w:rsidR="00E231C2" w:rsidRPr="00B8122D" w:rsidRDefault="00E231C2" w:rsidP="00E231C2">
      <w:r w:rsidRPr="00B8122D">
        <w:t xml:space="preserve">In the 4 week dog study reversible, minimal multifocal thinning/atrophy of the epidermis (palmar and plantar pads) was observed </w:t>
      </w:r>
      <w:r w:rsidRPr="00CE30E3">
        <w:t>in 2/6 animal</w:t>
      </w:r>
      <w:r w:rsidR="00140C83" w:rsidRPr="00CE30E3">
        <w:t>s dosed at 10 mg/kg/day (</w:t>
      </w:r>
      <w:r w:rsidR="002C7073">
        <w:t xml:space="preserve">exposure ratio </w:t>
      </w:r>
      <w:r w:rsidR="00855BC3" w:rsidRPr="00CE30E3">
        <w:t xml:space="preserve">0.3 to </w:t>
      </w:r>
      <w:r w:rsidRPr="00CE30E3">
        <w:t>0.4) and in 6/6 a</w:t>
      </w:r>
      <w:r w:rsidR="00140C83" w:rsidRPr="00CE30E3">
        <w:t>nimals dosed at 20 mg/kg/day (</w:t>
      </w:r>
      <w:r w:rsidR="002C7073">
        <w:t>exposure ratio</w:t>
      </w:r>
      <w:r w:rsidRPr="00CE30E3">
        <w:t xml:space="preserve"> 0.7</w:t>
      </w:r>
      <w:r w:rsidR="00855BC3" w:rsidRPr="00CE30E3">
        <w:t xml:space="preserve"> to </w:t>
      </w:r>
      <w:r w:rsidRPr="00CE30E3">
        <w:t>0</w:t>
      </w:r>
      <w:r w:rsidR="00855BC3" w:rsidRPr="00CE30E3">
        <w:t>.8).</w:t>
      </w:r>
      <w:r w:rsidR="00855BC3" w:rsidRPr="00B8122D">
        <w:t xml:space="preserve"> </w:t>
      </w:r>
      <w:r w:rsidR="00855BC3" w:rsidRPr="00CE30E3">
        <w:t>Labelling indices using Ki</w:t>
      </w:r>
      <w:r w:rsidRPr="00CE30E3">
        <w:t>67 immunohistochemistry (marker of basal keratinocyte proliferation) detected significantly lower basal keratinocyte proliferation rates in footpad skin in dogs. These effects are likely primary pharmacologically mediated. Skin effects were not detected in longer term studies at 10</w:t>
      </w:r>
      <w:r w:rsidR="00855BC3" w:rsidRPr="00CE30E3">
        <w:t xml:space="preserve"> mg/kg/day or in any rat study.</w:t>
      </w:r>
    </w:p>
    <w:p w14:paraId="756E72A2" w14:textId="77777777" w:rsidR="00855BC3" w:rsidRPr="00CE30E3" w:rsidRDefault="00E231C2" w:rsidP="00855BC3">
      <w:pPr>
        <w:pStyle w:val="Heading5"/>
      </w:pPr>
      <w:r w:rsidRPr="00CE30E3">
        <w:t>Effects on bone and cartilage</w:t>
      </w:r>
    </w:p>
    <w:p w14:paraId="57352600" w14:textId="6256A3B9" w:rsidR="00E231C2" w:rsidRPr="00B8122D" w:rsidRDefault="00E231C2" w:rsidP="00E231C2">
      <w:r w:rsidRPr="00CE30E3">
        <w:t>Reversible, minimal decreases in proliferating and hypertrophic chondrocytes, and in the height and number of the columns of chondrocytes at the costochondral junction (zone of bone growth) of ribs was accompanied by minimal reduction of the primary bone spongiosa in dog</w:t>
      </w:r>
      <w:r w:rsidR="00140C83" w:rsidRPr="00CE30E3">
        <w:t>s dosed at 20 mg/kg/day (</w:t>
      </w:r>
      <w:r w:rsidR="002C7073">
        <w:t>exposure ratio</w:t>
      </w:r>
      <w:r w:rsidR="00855BC3" w:rsidRPr="00CE30E3">
        <w:t xml:space="preserve"> 0.7 to </w:t>
      </w:r>
      <w:r w:rsidRPr="00CE30E3">
        <w:t>0.8) in the 4</w:t>
      </w:r>
      <w:r w:rsidR="000A4D87">
        <w:t> </w:t>
      </w:r>
      <w:r w:rsidRPr="00CE30E3">
        <w:t>week dog study. This is again consistent with the non-tissue specific cytostatic actions of ribociclib. Effects on bone and cartilage were not detected in longer t</w:t>
      </w:r>
      <w:r w:rsidR="00140C83" w:rsidRPr="00CE30E3">
        <w:t>erm studies in dogs at up to 10 </w:t>
      </w:r>
      <w:r w:rsidRPr="00CE30E3">
        <w:t>mg/kg/day or in rats. Decreased trabeculae of the femur was reported in rats (but not in dogs) dosed with the related drug, palbociclib. The effects on bone and cartilage may be pharmacologically mediated. However, it is of low certain</w:t>
      </w:r>
      <w:r w:rsidR="00855BC3" w:rsidRPr="00CE30E3">
        <w:t>ty</w:t>
      </w:r>
      <w:r w:rsidRPr="00CE30E3">
        <w:t xml:space="preserve"> in adult patients except perhaps in t</w:t>
      </w:r>
      <w:r w:rsidR="00855BC3" w:rsidRPr="00CE30E3">
        <w:t>he context of fracture healing.</w:t>
      </w:r>
    </w:p>
    <w:p w14:paraId="175AB26B" w14:textId="77777777" w:rsidR="00855BC3" w:rsidRPr="00C74406" w:rsidRDefault="00E231C2" w:rsidP="00855BC3">
      <w:pPr>
        <w:pStyle w:val="Heading5"/>
      </w:pPr>
      <w:r w:rsidRPr="00C74406">
        <w:t>Effects on GIT</w:t>
      </w:r>
    </w:p>
    <w:p w14:paraId="2CFFA30C" w14:textId="477FB030" w:rsidR="00E231C2" w:rsidRPr="00B8122D" w:rsidRDefault="00E231C2" w:rsidP="00E231C2">
      <w:r w:rsidRPr="00C74406">
        <w:t xml:space="preserve">GIT was not a major target organ of ribociclib. The only intestinal findings were atrophy, villus thinning and glandular dilatation with hyaline plugs in </w:t>
      </w:r>
      <w:r w:rsidR="00140C83" w:rsidRPr="00C74406">
        <w:t>the intestines of dogs in the 2 </w:t>
      </w:r>
      <w:r w:rsidRPr="00C74406">
        <w:t xml:space="preserve">week dose range-finding study </w:t>
      </w:r>
      <w:r w:rsidRPr="00CE30E3">
        <w:t>at doses ≥ 1</w:t>
      </w:r>
      <w:r w:rsidR="00855BC3" w:rsidRPr="00CE30E3">
        <w:t>5 mg/kg/day for 2 weeks (</w:t>
      </w:r>
      <w:r w:rsidR="002C7073">
        <w:t>exposure ratio</w:t>
      </w:r>
      <w:r w:rsidR="00855BC3" w:rsidRPr="00CE30E3">
        <w:t xml:space="preserve"> 0.6 to </w:t>
      </w:r>
      <w:r w:rsidRPr="00CE30E3">
        <w:t>1.6) and raised foci of the non-glandular mucosa of the stomach and watery and mucoid content in the small intestine (histopathology not performed) in high dose pregnant rats at the lethal dose 1000 mg/kg/day. GI effects (erosions and ulcerations, enlarged nuclei and basophilic cytoplasm in intestinal glands/crypts) were prominent findings in rats and dogs treated with palbociclib.</w:t>
      </w:r>
    </w:p>
    <w:p w14:paraId="444796AE" w14:textId="2EFF6B78" w:rsidR="00E231C2" w:rsidRPr="00B70DB6" w:rsidRDefault="00855BC3" w:rsidP="00855BC3">
      <w:pPr>
        <w:pStyle w:val="Heading5"/>
      </w:pPr>
      <w:bookmarkStart w:id="66" w:name="_Toc482796032"/>
      <w:r w:rsidRPr="00B70DB6">
        <w:lastRenderedPageBreak/>
        <w:t>Suspected but undetected</w:t>
      </w:r>
      <w:r w:rsidR="00E231C2" w:rsidRPr="00B70DB6">
        <w:t xml:space="preserve"> risks associated with CDK 4/6 inhibition</w:t>
      </w:r>
      <w:bookmarkEnd w:id="66"/>
    </w:p>
    <w:p w14:paraId="26DE99A8" w14:textId="77777777" w:rsidR="00855BC3" w:rsidRPr="00B70DB6" w:rsidRDefault="00E231C2" w:rsidP="00855BC3">
      <w:pPr>
        <w:pStyle w:val="Heading6"/>
      </w:pPr>
      <w:r w:rsidRPr="00B70DB6">
        <w:t>Diabetes mellitus and effects on pancreatic beta cells</w:t>
      </w:r>
    </w:p>
    <w:p w14:paraId="096C6DD3" w14:textId="203BF246" w:rsidR="00E231C2" w:rsidRPr="00B8122D" w:rsidRDefault="00E231C2" w:rsidP="00E231C2">
      <w:r w:rsidRPr="00B70DB6">
        <w:t>CDK4</w:t>
      </w:r>
      <w:r w:rsidRPr="00B70DB6">
        <w:rPr>
          <w:vertAlign w:val="superscript"/>
        </w:rPr>
        <w:t>-/-</w:t>
      </w:r>
      <w:r w:rsidRPr="00B70DB6">
        <w:t xml:space="preserve"> mice develop insulin-deficient diabetes mellitus due to a reduced number of pancreatic beta cells.</w:t>
      </w:r>
      <w:r w:rsidRPr="00B70DB6">
        <w:rPr>
          <w:vertAlign w:val="superscript"/>
        </w:rPr>
        <w:footnoteReference w:id="29"/>
      </w:r>
      <w:r w:rsidRPr="00B70DB6">
        <w:rPr>
          <w:vertAlign w:val="superscript"/>
        </w:rPr>
        <w:t>,</w:t>
      </w:r>
      <w:bookmarkStart w:id="67" w:name="_Ref479163792"/>
      <w:r w:rsidRPr="00B70DB6">
        <w:rPr>
          <w:vertAlign w:val="superscript"/>
        </w:rPr>
        <w:footnoteReference w:id="30"/>
      </w:r>
      <w:bookmarkEnd w:id="67"/>
      <w:r w:rsidR="00855BC3" w:rsidRPr="00B70DB6">
        <w:t xml:space="preserve"> </w:t>
      </w:r>
      <w:r w:rsidRPr="00CA36A6">
        <w:t xml:space="preserve">Functional CDK4 is essential for postnatal pancreatic beta cell proliferation. Insulin deficiency was not demonstrated in any of the </w:t>
      </w:r>
      <w:r w:rsidRPr="007E7283">
        <w:rPr>
          <w:i/>
        </w:rPr>
        <w:t>in vivo</w:t>
      </w:r>
      <w:r w:rsidRPr="00CA36A6">
        <w:t xml:space="preserve"> studies with ribociclib, likely because of the low relative drug exposures employed. Insulin</w:t>
      </w:r>
      <w:r w:rsidRPr="00B70DB6">
        <w:t xml:space="preserve"> deficient diabetes mellitus was a noted finding with the relate</w:t>
      </w:r>
      <w:r w:rsidR="00855BC3" w:rsidRPr="00B70DB6">
        <w:t>d CDK4/6 inhibitor palbociclib.</w:t>
      </w:r>
    </w:p>
    <w:p w14:paraId="059EC39E" w14:textId="77777777" w:rsidR="00855BC3" w:rsidRPr="00B8122D" w:rsidRDefault="00E231C2" w:rsidP="00855BC3">
      <w:pPr>
        <w:pStyle w:val="Heading6"/>
      </w:pPr>
      <w:r w:rsidRPr="00B8122D">
        <w:t>Effects on the adenohypophysis</w:t>
      </w:r>
    </w:p>
    <w:p w14:paraId="1FBDFE9D" w14:textId="79E9FC44" w:rsidR="00E231C2" w:rsidRPr="00B8122D" w:rsidRDefault="00855BC3" w:rsidP="00E231C2">
      <w:r w:rsidRPr="00CE30E3">
        <w:t xml:space="preserve">Due to </w:t>
      </w:r>
      <w:r w:rsidR="00E231C2" w:rsidRPr="00CE30E3">
        <w:t>cell proliferative defects in the adenohypophysis CDK4-/- mice have infertile females and partially fertile males due to low levels of circulating progesterone and prolactin secondary to a reduced number of pituitary prolactin-producing lactotrophs, pituitary hypoplasia and</w:t>
      </w:r>
      <w:r w:rsidRPr="00CE30E3">
        <w:t xml:space="preserve"> disruption of the hypothalamic pituitary </w:t>
      </w:r>
      <w:r w:rsidR="00E231C2" w:rsidRPr="00CE30E3">
        <w:t>gonadal axis.</w:t>
      </w:r>
      <w:bookmarkStart w:id="68" w:name="_Ref479163773"/>
      <w:r w:rsidR="00E231C2" w:rsidRPr="00CE30E3">
        <w:rPr>
          <w:vertAlign w:val="superscript"/>
        </w:rPr>
        <w:fldChar w:fldCharType="begin"/>
      </w:r>
      <w:r w:rsidR="00E231C2" w:rsidRPr="00CE30E3">
        <w:rPr>
          <w:vertAlign w:val="superscript"/>
        </w:rPr>
        <w:instrText xml:space="preserve"> NOTEREF _Ref479163792 \h  \* MERGEFORMAT </w:instrText>
      </w:r>
      <w:r w:rsidR="00E231C2" w:rsidRPr="00CE30E3">
        <w:rPr>
          <w:vertAlign w:val="superscript"/>
        </w:rPr>
      </w:r>
      <w:r w:rsidR="00E231C2" w:rsidRPr="00CE30E3">
        <w:fldChar w:fldCharType="separate"/>
      </w:r>
      <w:r w:rsidR="0085588F">
        <w:rPr>
          <w:vertAlign w:val="superscript"/>
        </w:rPr>
        <w:t>30</w:t>
      </w:r>
      <w:r w:rsidR="00E231C2" w:rsidRPr="00CE30E3">
        <w:fldChar w:fldCharType="end"/>
      </w:r>
      <w:r w:rsidR="00E231C2" w:rsidRPr="00CE30E3">
        <w:rPr>
          <w:vertAlign w:val="superscript"/>
        </w:rPr>
        <w:t>,</w:t>
      </w:r>
      <w:r w:rsidR="00E231C2" w:rsidRPr="00CE30E3">
        <w:rPr>
          <w:vertAlign w:val="superscript"/>
        </w:rPr>
        <w:footnoteReference w:id="31"/>
      </w:r>
      <w:bookmarkEnd w:id="68"/>
      <w:r w:rsidR="00E231C2" w:rsidRPr="00CE30E3">
        <w:t xml:space="preserve"> This is consistent with reproductive toxicity o</w:t>
      </w:r>
      <w:r w:rsidRPr="00CE30E3">
        <w:t>f ribociclib (discussed below).</w:t>
      </w:r>
    </w:p>
    <w:p w14:paraId="56DD8109" w14:textId="1B84B825" w:rsidR="00E231C2" w:rsidRPr="00B8122D" w:rsidRDefault="00E231C2" w:rsidP="00E231C2">
      <w:r w:rsidRPr="00B8122D">
        <w:t>CDK4</w:t>
      </w:r>
      <w:r w:rsidRPr="007234E1">
        <w:t>-/-</w:t>
      </w:r>
      <w:r w:rsidRPr="00B8122D">
        <w:t xml:space="preserve"> mice also develop pituitary dwarfism/growth retardation due to inhibition of production of growth hormone associated with pituitary hypoplasia.</w:t>
      </w:r>
      <w:r w:rsidRPr="00B8122D">
        <w:rPr>
          <w:vertAlign w:val="superscript"/>
        </w:rPr>
        <w:footnoteReference w:id="32"/>
      </w:r>
    </w:p>
    <w:p w14:paraId="0AAC125C" w14:textId="2199B9E5" w:rsidR="00E231C2" w:rsidRPr="00B8122D" w:rsidRDefault="00E231C2" w:rsidP="00E231C2">
      <w:r w:rsidRPr="00CE30E3">
        <w:t xml:space="preserve">Ribociclib may result in endocrine disorders associated with hypoprolactinaemia, reduced progesterone production, </w:t>
      </w:r>
      <w:r w:rsidR="00855BC3" w:rsidRPr="00CE30E3">
        <w:t xml:space="preserve">and </w:t>
      </w:r>
      <w:r w:rsidRPr="00CE30E3">
        <w:t xml:space="preserve">reduced growth hormone production. </w:t>
      </w:r>
      <w:r w:rsidR="002C7073" w:rsidRPr="00CE30E3">
        <w:t>However,</w:t>
      </w:r>
      <w:r w:rsidRPr="00CE30E3">
        <w:t xml:space="preserve"> in the overall context of the use of ribociclib in patients </w:t>
      </w:r>
      <w:r w:rsidRPr="00CE30E3">
        <w:rPr>
          <w:iCs/>
        </w:rPr>
        <w:t>with advanced or metastatic breast cancer these risks are inconsequential in relation to t</w:t>
      </w:r>
      <w:r w:rsidR="00855BC3" w:rsidRPr="00CE30E3">
        <w:rPr>
          <w:iCs/>
        </w:rPr>
        <w:t>he objective of drug treatment.</w:t>
      </w:r>
    </w:p>
    <w:p w14:paraId="06490FF8" w14:textId="77777777" w:rsidR="00E231C2" w:rsidRPr="00B8122D" w:rsidRDefault="00E231C2" w:rsidP="00855BC3">
      <w:pPr>
        <w:pStyle w:val="Heading4"/>
      </w:pPr>
      <w:bookmarkStart w:id="69" w:name="_Toc294861729"/>
      <w:r w:rsidRPr="00B8122D">
        <w:t>Genotoxicity</w:t>
      </w:r>
      <w:bookmarkEnd w:id="69"/>
    </w:p>
    <w:p w14:paraId="3BF64794" w14:textId="4C7E8C57" w:rsidR="00E231C2" w:rsidRPr="00B8122D" w:rsidRDefault="00E231C2" w:rsidP="00E231C2">
      <w:r w:rsidRPr="00B8122D">
        <w:t xml:space="preserve">An </w:t>
      </w:r>
      <w:r w:rsidRPr="007234E1">
        <w:t>ICH S2(R1)</w:t>
      </w:r>
      <w:r w:rsidRPr="00B8122D">
        <w:t xml:space="preserve"> compliant screening package was supplied.</w:t>
      </w:r>
      <w:r w:rsidR="007234E1">
        <w:rPr>
          <w:rStyle w:val="FootnoteReference"/>
        </w:rPr>
        <w:footnoteReference w:id="33"/>
      </w:r>
      <w:r w:rsidRPr="00B8122D">
        <w:t xml:space="preserve"> Ribociclib had no mutagenic potential in </w:t>
      </w:r>
      <w:r w:rsidRPr="007E7283">
        <w:rPr>
          <w:i/>
        </w:rPr>
        <w:t>in silico</w:t>
      </w:r>
      <w:r w:rsidRPr="00B8122D">
        <w:t xml:space="preserve"> analyses, in </w:t>
      </w:r>
      <w:r w:rsidRPr="0085588F">
        <w:rPr>
          <w:i/>
        </w:rPr>
        <w:t>in vitro</w:t>
      </w:r>
      <w:r w:rsidRPr="00B8122D">
        <w:t xml:space="preserve"> bacterial reverse mutation assays, in an </w:t>
      </w:r>
      <w:r w:rsidRPr="0085588F">
        <w:rPr>
          <w:i/>
        </w:rPr>
        <w:t>in vitro</w:t>
      </w:r>
      <w:r w:rsidRPr="00B8122D">
        <w:t xml:space="preserve"> chromosome aberration assay in human lymphocytes, in an </w:t>
      </w:r>
      <w:r w:rsidRPr="0085588F">
        <w:rPr>
          <w:i/>
        </w:rPr>
        <w:t>in vitro</w:t>
      </w:r>
      <w:r w:rsidRPr="00B8122D">
        <w:t xml:space="preserve"> mammalian cell micronucleus test in mouse lymphoma cells and in an </w:t>
      </w:r>
      <w:r w:rsidRPr="0085588F">
        <w:rPr>
          <w:i/>
        </w:rPr>
        <w:t>in vivo</w:t>
      </w:r>
      <w:r w:rsidRPr="00B8122D">
        <w:t xml:space="preserve"> rat bone marrow micronucleus test. All tests were validated by the use of appropriate controls. Notably, the cytostatic mode of action of ribociclib is likely a confounding factor in the </w:t>
      </w:r>
      <w:r w:rsidRPr="0085588F">
        <w:rPr>
          <w:i/>
        </w:rPr>
        <w:t>in vivo</w:t>
      </w:r>
      <w:r w:rsidRPr="00B8122D">
        <w:t xml:space="preserve"> rat bone marrow micronucleus test because of its potential to disturb erythropoiesis. Palbociclib induced bone marrow micronuclei in rats probably </w:t>
      </w:r>
      <w:r w:rsidR="00855BC3" w:rsidRPr="00B8122D">
        <w:t>through an aneugenic mechanism.</w:t>
      </w:r>
    </w:p>
    <w:p w14:paraId="7224D23A" w14:textId="77777777" w:rsidR="00E231C2" w:rsidRPr="00B8122D" w:rsidRDefault="00E231C2" w:rsidP="00B96DBC">
      <w:pPr>
        <w:pStyle w:val="Heading4"/>
      </w:pPr>
      <w:bookmarkStart w:id="70" w:name="_Toc294861730"/>
      <w:r w:rsidRPr="00B8122D">
        <w:t>Carcinogenicity</w:t>
      </w:r>
      <w:bookmarkEnd w:id="70"/>
    </w:p>
    <w:p w14:paraId="09A1F6A1" w14:textId="285F84B4" w:rsidR="00E231C2" w:rsidRPr="00B8122D" w:rsidRDefault="00E231C2" w:rsidP="00E231C2">
      <w:r w:rsidRPr="0030489B">
        <w:t>As per ICH S9</w:t>
      </w:r>
      <w:r w:rsidRPr="00B8122D">
        <w:t>, carcinogenicity studies were</w:t>
      </w:r>
      <w:r w:rsidR="00B96DBC" w:rsidRPr="00B8122D">
        <w:t xml:space="preserve"> neither required nor supplied.</w:t>
      </w:r>
      <w:bookmarkStart w:id="71" w:name="_Ref505095154"/>
      <w:r w:rsidR="007234E1">
        <w:rPr>
          <w:rStyle w:val="FootnoteReference"/>
        </w:rPr>
        <w:footnoteReference w:id="34"/>
      </w:r>
      <w:bookmarkEnd w:id="71"/>
    </w:p>
    <w:p w14:paraId="257F4632" w14:textId="77777777" w:rsidR="00E231C2" w:rsidRPr="00B8122D" w:rsidRDefault="00E231C2" w:rsidP="00B96DBC">
      <w:pPr>
        <w:pStyle w:val="Heading4"/>
      </w:pPr>
      <w:r w:rsidRPr="00B8122D">
        <w:lastRenderedPageBreak/>
        <w:t>Reproductive toxicity</w:t>
      </w:r>
    </w:p>
    <w:p w14:paraId="1EB4BF7D" w14:textId="53E0DE57" w:rsidR="00E231C2" w:rsidRPr="00B8122D" w:rsidRDefault="00E231C2" w:rsidP="00E231C2">
      <w:r w:rsidRPr="00B8122D">
        <w:t>Consistent with ICH S9, only embryofetal development studies (in rats and rabbits) were supplied. Galactogenic and placental transfer was evaluated in rats.</w:t>
      </w:r>
      <w:r w:rsidR="00EA56E6" w:rsidRPr="00EA56E6">
        <w:rPr>
          <w:vertAlign w:val="superscript"/>
        </w:rPr>
        <w:fldChar w:fldCharType="begin"/>
      </w:r>
      <w:r w:rsidR="00EA56E6" w:rsidRPr="00EA56E6">
        <w:rPr>
          <w:vertAlign w:val="superscript"/>
        </w:rPr>
        <w:instrText xml:space="preserve"> NOTEREF _Ref505095154 \h </w:instrText>
      </w:r>
      <w:r w:rsidR="00EA56E6">
        <w:rPr>
          <w:vertAlign w:val="superscript"/>
        </w:rPr>
        <w:instrText xml:space="preserve"> \* MERGEFORMAT </w:instrText>
      </w:r>
      <w:r w:rsidR="00EA56E6" w:rsidRPr="00EA56E6">
        <w:rPr>
          <w:vertAlign w:val="superscript"/>
        </w:rPr>
      </w:r>
      <w:r w:rsidR="00EA56E6" w:rsidRPr="00EA56E6">
        <w:rPr>
          <w:vertAlign w:val="superscript"/>
        </w:rPr>
        <w:fldChar w:fldCharType="separate"/>
      </w:r>
      <w:r w:rsidR="003D79AF">
        <w:rPr>
          <w:vertAlign w:val="superscript"/>
        </w:rPr>
        <w:t>34</w:t>
      </w:r>
      <w:r w:rsidR="00EA56E6" w:rsidRPr="00EA56E6">
        <w:rPr>
          <w:vertAlign w:val="superscript"/>
        </w:rPr>
        <w:fldChar w:fldCharType="end"/>
      </w:r>
    </w:p>
    <w:p w14:paraId="1722D14A" w14:textId="77777777" w:rsidR="00E231C2" w:rsidRDefault="00E231C2" w:rsidP="00B96DBC">
      <w:pPr>
        <w:pStyle w:val="Heading5"/>
      </w:pPr>
      <w:r w:rsidRPr="00B8122D">
        <w:t>Relative exposure</w:t>
      </w:r>
    </w:p>
    <w:p w14:paraId="0422CBA4" w14:textId="0CA522A9" w:rsidR="00EA56E6" w:rsidRPr="00EA56E6" w:rsidRDefault="00EA56E6" w:rsidP="00EA56E6">
      <w:r w:rsidRPr="00CE30E3">
        <w:t>The relative exposure of ribociclib in reproductive toxicity studies is shown below in Table </w:t>
      </w:r>
      <w:r w:rsidR="00077B6B" w:rsidRPr="00CE30E3">
        <w:t>6</w:t>
      </w:r>
      <w:r w:rsidRPr="00CE30E3">
        <w:t>.</w:t>
      </w:r>
    </w:p>
    <w:p w14:paraId="2DC3C42C" w14:textId="7B9BBB36" w:rsidR="00E231C2" w:rsidRPr="00B8122D" w:rsidRDefault="0030489B" w:rsidP="003D79AF">
      <w:pPr>
        <w:pStyle w:val="TableTitle"/>
      </w:pPr>
      <w:r w:rsidRPr="003E7B8D">
        <w:t xml:space="preserve">Table </w:t>
      </w:r>
      <w:r w:rsidR="00077B6B" w:rsidRPr="003E7B8D">
        <w:t xml:space="preserve">6: </w:t>
      </w:r>
      <w:r w:rsidR="00E231C2" w:rsidRPr="003E7B8D">
        <w:t>Ribociclib relative exposure in reproductive toxicity studies</w:t>
      </w:r>
    </w:p>
    <w:tbl>
      <w:tblPr>
        <w:tblStyle w:val="TableTGAblue"/>
        <w:tblW w:w="8472" w:type="dxa"/>
        <w:tblLayout w:type="fixed"/>
        <w:tblLook w:val="01E0" w:firstRow="1" w:lastRow="1" w:firstColumn="1" w:lastColumn="1" w:noHBand="0" w:noVBand="0"/>
      </w:tblPr>
      <w:tblGrid>
        <w:gridCol w:w="1986"/>
        <w:gridCol w:w="1904"/>
        <w:gridCol w:w="1463"/>
        <w:gridCol w:w="1843"/>
        <w:gridCol w:w="1276"/>
      </w:tblGrid>
      <w:tr w:rsidR="00E231C2" w:rsidRPr="00582E5F" w14:paraId="72930AA4" w14:textId="77777777" w:rsidTr="00736D35">
        <w:trPr>
          <w:cnfStyle w:val="100000000000" w:firstRow="1" w:lastRow="0" w:firstColumn="0" w:lastColumn="0" w:oddVBand="0" w:evenVBand="0" w:oddHBand="0" w:evenHBand="0" w:firstRowFirstColumn="0" w:firstRowLastColumn="0" w:lastRowFirstColumn="0" w:lastRowLastColumn="0"/>
        </w:trPr>
        <w:tc>
          <w:tcPr>
            <w:tcW w:w="1986" w:type="dxa"/>
          </w:tcPr>
          <w:p w14:paraId="4A499FFB" w14:textId="77777777" w:rsidR="00E231C2" w:rsidRPr="00A1327B" w:rsidRDefault="00E231C2" w:rsidP="00A1327B">
            <w:pPr>
              <w:ind w:left="0" w:right="0"/>
              <w:rPr>
                <w:sz w:val="20"/>
                <w:szCs w:val="20"/>
              </w:rPr>
            </w:pPr>
            <w:r w:rsidRPr="00A1327B">
              <w:rPr>
                <w:sz w:val="20"/>
                <w:szCs w:val="20"/>
              </w:rPr>
              <w:t>Species</w:t>
            </w:r>
          </w:p>
        </w:tc>
        <w:tc>
          <w:tcPr>
            <w:tcW w:w="1904" w:type="dxa"/>
          </w:tcPr>
          <w:p w14:paraId="58012BD8" w14:textId="77777777" w:rsidR="00B96DBC" w:rsidRPr="00A1327B" w:rsidRDefault="00B96DBC" w:rsidP="00A1327B">
            <w:pPr>
              <w:ind w:left="0" w:right="0"/>
              <w:rPr>
                <w:sz w:val="20"/>
                <w:szCs w:val="20"/>
              </w:rPr>
            </w:pPr>
            <w:r w:rsidRPr="00A1327B">
              <w:rPr>
                <w:sz w:val="20"/>
                <w:szCs w:val="20"/>
              </w:rPr>
              <w:t>Study</w:t>
            </w:r>
          </w:p>
          <w:p w14:paraId="058B2B6A" w14:textId="429B39B2" w:rsidR="00E231C2" w:rsidRPr="00A1327B" w:rsidRDefault="00B96DBC" w:rsidP="00A1327B">
            <w:pPr>
              <w:ind w:left="0" w:right="0"/>
              <w:rPr>
                <w:sz w:val="20"/>
                <w:szCs w:val="20"/>
              </w:rPr>
            </w:pPr>
            <w:r w:rsidRPr="00A1327B">
              <w:rPr>
                <w:sz w:val="20"/>
                <w:szCs w:val="20"/>
              </w:rPr>
              <w:t>(</w:t>
            </w:r>
            <w:r w:rsidR="00E231C2" w:rsidRPr="00A1327B">
              <w:rPr>
                <w:sz w:val="20"/>
                <w:szCs w:val="20"/>
              </w:rPr>
              <w:t xml:space="preserve">Study </w:t>
            </w:r>
            <w:r w:rsidRPr="00A1327B">
              <w:rPr>
                <w:sz w:val="20"/>
                <w:szCs w:val="20"/>
              </w:rPr>
              <w:t>ID)</w:t>
            </w:r>
          </w:p>
        </w:tc>
        <w:tc>
          <w:tcPr>
            <w:tcW w:w="1463" w:type="dxa"/>
          </w:tcPr>
          <w:p w14:paraId="6AB5B2BD" w14:textId="77777777" w:rsidR="00B96DBC" w:rsidRPr="00A1327B" w:rsidRDefault="00B96DBC" w:rsidP="00A1327B">
            <w:pPr>
              <w:ind w:left="0" w:right="0"/>
              <w:rPr>
                <w:sz w:val="20"/>
                <w:szCs w:val="20"/>
              </w:rPr>
            </w:pPr>
            <w:r w:rsidRPr="00A1327B">
              <w:rPr>
                <w:sz w:val="20"/>
                <w:szCs w:val="20"/>
              </w:rPr>
              <w:t>Dose</w:t>
            </w:r>
          </w:p>
          <w:p w14:paraId="470D4312" w14:textId="3A7D0F03" w:rsidR="00E231C2" w:rsidRPr="00A1327B" w:rsidRDefault="00E231C2" w:rsidP="00A1327B">
            <w:pPr>
              <w:ind w:left="0" w:right="0"/>
              <w:rPr>
                <w:sz w:val="20"/>
                <w:szCs w:val="20"/>
              </w:rPr>
            </w:pPr>
            <w:r w:rsidRPr="00A1327B">
              <w:rPr>
                <w:sz w:val="20"/>
                <w:szCs w:val="20"/>
              </w:rPr>
              <w:t>(mg/kg/day)</w:t>
            </w:r>
          </w:p>
        </w:tc>
        <w:tc>
          <w:tcPr>
            <w:tcW w:w="1843" w:type="dxa"/>
          </w:tcPr>
          <w:p w14:paraId="7E5EC78F" w14:textId="77777777" w:rsidR="00B96DBC" w:rsidRPr="00A1327B" w:rsidRDefault="00E231C2" w:rsidP="00A1327B">
            <w:pPr>
              <w:ind w:left="0" w:right="0"/>
              <w:rPr>
                <w:sz w:val="20"/>
                <w:szCs w:val="20"/>
              </w:rPr>
            </w:pPr>
            <w:r w:rsidRPr="00A1327B">
              <w:rPr>
                <w:sz w:val="20"/>
                <w:szCs w:val="20"/>
              </w:rPr>
              <w:t>AUC</w:t>
            </w:r>
            <w:r w:rsidRPr="00A1327B">
              <w:rPr>
                <w:sz w:val="20"/>
                <w:szCs w:val="20"/>
                <w:vertAlign w:val="subscript"/>
              </w:rPr>
              <w:t>0–24 h</w:t>
            </w:r>
          </w:p>
          <w:p w14:paraId="62D2E0E7" w14:textId="151AB110" w:rsidR="00E231C2" w:rsidRPr="00A1327B" w:rsidRDefault="00E231C2" w:rsidP="00A1327B">
            <w:pPr>
              <w:ind w:left="0" w:right="0"/>
              <w:rPr>
                <w:sz w:val="20"/>
                <w:szCs w:val="20"/>
              </w:rPr>
            </w:pPr>
            <w:r w:rsidRPr="00A1327B">
              <w:rPr>
                <w:sz w:val="20"/>
                <w:szCs w:val="20"/>
              </w:rPr>
              <w:t>(ng∙h/mL)</w:t>
            </w:r>
          </w:p>
        </w:tc>
        <w:tc>
          <w:tcPr>
            <w:tcW w:w="1276" w:type="dxa"/>
          </w:tcPr>
          <w:p w14:paraId="4F0AF62D" w14:textId="168BDAD2" w:rsidR="00E231C2" w:rsidRPr="00A1327B" w:rsidRDefault="00E231C2" w:rsidP="00A1327B">
            <w:pPr>
              <w:ind w:left="0" w:right="0"/>
              <w:rPr>
                <w:sz w:val="20"/>
                <w:szCs w:val="20"/>
              </w:rPr>
            </w:pPr>
            <w:r w:rsidRPr="00A1327B">
              <w:rPr>
                <w:sz w:val="20"/>
                <w:szCs w:val="20"/>
              </w:rPr>
              <w:t>Exposure ratio</w:t>
            </w:r>
            <w:r w:rsidR="00B96DBC" w:rsidRPr="00A1327B">
              <w:rPr>
                <w:sz w:val="20"/>
                <w:szCs w:val="20"/>
                <w:vertAlign w:val="superscript"/>
              </w:rPr>
              <w:t>1</w:t>
            </w:r>
          </w:p>
        </w:tc>
      </w:tr>
      <w:tr w:rsidR="00E231C2" w:rsidRPr="00582E5F" w14:paraId="7485D6B0" w14:textId="77777777" w:rsidTr="00736D35">
        <w:trPr>
          <w:trHeight w:val="227"/>
        </w:trPr>
        <w:tc>
          <w:tcPr>
            <w:tcW w:w="1986" w:type="dxa"/>
            <w:vMerge w:val="restart"/>
          </w:tcPr>
          <w:p w14:paraId="4CB380A5" w14:textId="77777777" w:rsidR="00B96DBC" w:rsidRPr="00A1327B" w:rsidRDefault="00E231C2" w:rsidP="00D93809">
            <w:pPr>
              <w:keepNext/>
              <w:ind w:left="0" w:right="0"/>
              <w:rPr>
                <w:b/>
                <w:sz w:val="20"/>
                <w:szCs w:val="20"/>
              </w:rPr>
            </w:pPr>
            <w:r w:rsidRPr="00A1327B">
              <w:rPr>
                <w:b/>
                <w:sz w:val="20"/>
                <w:szCs w:val="20"/>
              </w:rPr>
              <w:t>Rat</w:t>
            </w:r>
          </w:p>
          <w:p w14:paraId="01E034CB" w14:textId="1D5B15BB" w:rsidR="00E231C2" w:rsidRPr="00A1327B" w:rsidRDefault="00B96DBC" w:rsidP="00D93809">
            <w:pPr>
              <w:keepNext/>
              <w:ind w:left="0" w:right="0"/>
              <w:rPr>
                <w:b/>
                <w:sz w:val="20"/>
                <w:szCs w:val="20"/>
              </w:rPr>
            </w:pPr>
            <w:r w:rsidRPr="00A1327B">
              <w:rPr>
                <w:sz w:val="20"/>
                <w:szCs w:val="20"/>
              </w:rPr>
              <w:t>(Crl:WI (Han)</w:t>
            </w:r>
            <w:r w:rsidR="00E231C2" w:rsidRPr="00A1327B">
              <w:rPr>
                <w:sz w:val="20"/>
                <w:szCs w:val="20"/>
              </w:rPr>
              <w:t>)</w:t>
            </w:r>
          </w:p>
        </w:tc>
        <w:tc>
          <w:tcPr>
            <w:tcW w:w="1904" w:type="dxa"/>
            <w:vMerge w:val="restart"/>
          </w:tcPr>
          <w:p w14:paraId="2222985D" w14:textId="77777777" w:rsidR="00B96DBC" w:rsidRPr="00A1327B" w:rsidRDefault="00B96DBC" w:rsidP="00D93809">
            <w:pPr>
              <w:keepNext/>
              <w:ind w:left="0" w:right="0"/>
              <w:rPr>
                <w:sz w:val="20"/>
                <w:szCs w:val="20"/>
              </w:rPr>
            </w:pPr>
            <w:r w:rsidRPr="00A1327B">
              <w:rPr>
                <w:sz w:val="20"/>
                <w:szCs w:val="20"/>
              </w:rPr>
              <w:t>Embryofetal development</w:t>
            </w:r>
          </w:p>
          <w:p w14:paraId="1155F1C4" w14:textId="2C8A6A53" w:rsidR="00E231C2" w:rsidRPr="00A1327B" w:rsidRDefault="00B96DBC" w:rsidP="00D93809">
            <w:pPr>
              <w:keepNext/>
              <w:ind w:left="0" w:right="0"/>
              <w:rPr>
                <w:sz w:val="20"/>
                <w:szCs w:val="20"/>
              </w:rPr>
            </w:pPr>
            <w:r w:rsidRPr="00A1327B">
              <w:rPr>
                <w:sz w:val="20"/>
                <w:szCs w:val="20"/>
              </w:rPr>
              <w:t>(1470245)</w:t>
            </w:r>
          </w:p>
        </w:tc>
        <w:tc>
          <w:tcPr>
            <w:tcW w:w="1463" w:type="dxa"/>
          </w:tcPr>
          <w:p w14:paraId="2928B184" w14:textId="77777777" w:rsidR="00E231C2" w:rsidRPr="00A1327B" w:rsidRDefault="00E231C2" w:rsidP="00D93809">
            <w:pPr>
              <w:keepNext/>
              <w:ind w:left="0" w:right="0"/>
              <w:rPr>
                <w:sz w:val="20"/>
                <w:szCs w:val="20"/>
              </w:rPr>
            </w:pPr>
            <w:r w:rsidRPr="00A1327B">
              <w:rPr>
                <w:sz w:val="20"/>
                <w:szCs w:val="20"/>
              </w:rPr>
              <w:t>50</w:t>
            </w:r>
          </w:p>
        </w:tc>
        <w:tc>
          <w:tcPr>
            <w:tcW w:w="1843" w:type="dxa"/>
          </w:tcPr>
          <w:p w14:paraId="192EE01C" w14:textId="77777777" w:rsidR="00E231C2" w:rsidRPr="00A1327B" w:rsidRDefault="00E231C2" w:rsidP="00D93809">
            <w:pPr>
              <w:keepNext/>
              <w:ind w:left="0" w:right="0"/>
              <w:rPr>
                <w:sz w:val="20"/>
                <w:szCs w:val="20"/>
              </w:rPr>
            </w:pPr>
            <w:r w:rsidRPr="00A1327B">
              <w:rPr>
                <w:sz w:val="20"/>
                <w:szCs w:val="20"/>
              </w:rPr>
              <w:t>2090</w:t>
            </w:r>
          </w:p>
        </w:tc>
        <w:tc>
          <w:tcPr>
            <w:tcW w:w="1276" w:type="dxa"/>
          </w:tcPr>
          <w:p w14:paraId="36584CC4" w14:textId="77777777" w:rsidR="00E231C2" w:rsidRPr="00A1327B" w:rsidRDefault="00E231C2" w:rsidP="00D93809">
            <w:pPr>
              <w:keepNext/>
              <w:ind w:left="0" w:right="0"/>
              <w:rPr>
                <w:sz w:val="20"/>
                <w:szCs w:val="20"/>
              </w:rPr>
            </w:pPr>
            <w:r w:rsidRPr="00A1327B">
              <w:rPr>
                <w:sz w:val="20"/>
                <w:szCs w:val="20"/>
              </w:rPr>
              <w:t>0.07</w:t>
            </w:r>
          </w:p>
        </w:tc>
      </w:tr>
      <w:tr w:rsidR="00E231C2" w:rsidRPr="00582E5F" w14:paraId="507D49B8" w14:textId="77777777" w:rsidTr="00736D35">
        <w:trPr>
          <w:trHeight w:val="227"/>
        </w:trPr>
        <w:tc>
          <w:tcPr>
            <w:tcW w:w="1986" w:type="dxa"/>
            <w:vMerge/>
          </w:tcPr>
          <w:p w14:paraId="4D8A15D2" w14:textId="243BD951" w:rsidR="00E231C2" w:rsidRPr="00A1327B" w:rsidRDefault="00E231C2" w:rsidP="00D93809">
            <w:pPr>
              <w:keepNext/>
              <w:ind w:left="0" w:right="0"/>
              <w:rPr>
                <w:sz w:val="20"/>
                <w:szCs w:val="20"/>
                <w:highlight w:val="yellow"/>
              </w:rPr>
            </w:pPr>
          </w:p>
        </w:tc>
        <w:tc>
          <w:tcPr>
            <w:tcW w:w="1904" w:type="dxa"/>
            <w:vMerge/>
          </w:tcPr>
          <w:p w14:paraId="45740B1B" w14:textId="77777777" w:rsidR="00E231C2" w:rsidRPr="00A1327B" w:rsidRDefault="00E231C2" w:rsidP="00D93809">
            <w:pPr>
              <w:keepNext/>
              <w:ind w:left="0" w:right="0"/>
              <w:rPr>
                <w:sz w:val="20"/>
                <w:szCs w:val="20"/>
                <w:highlight w:val="yellow"/>
              </w:rPr>
            </w:pPr>
          </w:p>
        </w:tc>
        <w:tc>
          <w:tcPr>
            <w:tcW w:w="1463" w:type="dxa"/>
          </w:tcPr>
          <w:p w14:paraId="0FDAE147" w14:textId="77777777" w:rsidR="00E231C2" w:rsidRPr="00A1327B" w:rsidRDefault="00E231C2" w:rsidP="00D93809">
            <w:pPr>
              <w:keepNext/>
              <w:ind w:left="0" w:right="0"/>
              <w:rPr>
                <w:sz w:val="20"/>
                <w:szCs w:val="20"/>
              </w:rPr>
            </w:pPr>
            <w:r w:rsidRPr="00A1327B">
              <w:rPr>
                <w:sz w:val="20"/>
                <w:szCs w:val="20"/>
              </w:rPr>
              <w:t>300</w:t>
            </w:r>
          </w:p>
        </w:tc>
        <w:tc>
          <w:tcPr>
            <w:tcW w:w="1843" w:type="dxa"/>
          </w:tcPr>
          <w:p w14:paraId="5B012BCB" w14:textId="77777777" w:rsidR="00E231C2" w:rsidRPr="00A1327B" w:rsidRDefault="00E231C2" w:rsidP="00D93809">
            <w:pPr>
              <w:keepNext/>
              <w:ind w:left="0" w:right="0"/>
              <w:rPr>
                <w:sz w:val="20"/>
                <w:szCs w:val="20"/>
              </w:rPr>
            </w:pPr>
            <w:r w:rsidRPr="00A1327B">
              <w:rPr>
                <w:sz w:val="20"/>
                <w:szCs w:val="20"/>
              </w:rPr>
              <w:t>13800</w:t>
            </w:r>
          </w:p>
        </w:tc>
        <w:tc>
          <w:tcPr>
            <w:tcW w:w="1276" w:type="dxa"/>
          </w:tcPr>
          <w:p w14:paraId="56FA0421" w14:textId="77777777" w:rsidR="00E231C2" w:rsidRPr="00A1327B" w:rsidRDefault="00E231C2" w:rsidP="00D93809">
            <w:pPr>
              <w:keepNext/>
              <w:ind w:left="0" w:right="0"/>
              <w:rPr>
                <w:sz w:val="20"/>
                <w:szCs w:val="20"/>
              </w:rPr>
            </w:pPr>
            <w:r w:rsidRPr="00A1327B">
              <w:rPr>
                <w:sz w:val="20"/>
                <w:szCs w:val="20"/>
              </w:rPr>
              <w:t>0.4</w:t>
            </w:r>
          </w:p>
        </w:tc>
      </w:tr>
      <w:tr w:rsidR="00E231C2" w:rsidRPr="00582E5F" w14:paraId="5F0DF401" w14:textId="77777777" w:rsidTr="00736D35">
        <w:trPr>
          <w:trHeight w:val="227"/>
        </w:trPr>
        <w:tc>
          <w:tcPr>
            <w:tcW w:w="1986" w:type="dxa"/>
            <w:vMerge/>
          </w:tcPr>
          <w:p w14:paraId="7181E89D" w14:textId="77777777" w:rsidR="00E231C2" w:rsidRPr="00A1327B" w:rsidRDefault="00E231C2" w:rsidP="00D93809">
            <w:pPr>
              <w:keepNext/>
              <w:ind w:left="0" w:right="0"/>
              <w:rPr>
                <w:sz w:val="20"/>
                <w:szCs w:val="20"/>
                <w:highlight w:val="yellow"/>
              </w:rPr>
            </w:pPr>
          </w:p>
        </w:tc>
        <w:tc>
          <w:tcPr>
            <w:tcW w:w="1904" w:type="dxa"/>
            <w:vMerge/>
          </w:tcPr>
          <w:p w14:paraId="1FC5C7E6" w14:textId="77777777" w:rsidR="00E231C2" w:rsidRPr="00A1327B" w:rsidRDefault="00E231C2" w:rsidP="00D93809">
            <w:pPr>
              <w:keepNext/>
              <w:ind w:left="0" w:right="0"/>
              <w:rPr>
                <w:sz w:val="20"/>
                <w:szCs w:val="20"/>
                <w:highlight w:val="yellow"/>
              </w:rPr>
            </w:pPr>
          </w:p>
        </w:tc>
        <w:tc>
          <w:tcPr>
            <w:tcW w:w="1463" w:type="dxa"/>
          </w:tcPr>
          <w:p w14:paraId="01927596" w14:textId="77777777" w:rsidR="00E231C2" w:rsidRPr="00A1327B" w:rsidRDefault="00E231C2" w:rsidP="00D93809">
            <w:pPr>
              <w:keepNext/>
              <w:ind w:left="0" w:right="0"/>
              <w:rPr>
                <w:sz w:val="20"/>
                <w:szCs w:val="20"/>
              </w:rPr>
            </w:pPr>
            <w:r w:rsidRPr="00A1327B">
              <w:rPr>
                <w:sz w:val="20"/>
                <w:szCs w:val="20"/>
              </w:rPr>
              <w:t>1000</w:t>
            </w:r>
          </w:p>
        </w:tc>
        <w:tc>
          <w:tcPr>
            <w:tcW w:w="1843" w:type="dxa"/>
          </w:tcPr>
          <w:p w14:paraId="6AB5A35A" w14:textId="77777777" w:rsidR="00E231C2" w:rsidRPr="00A1327B" w:rsidRDefault="00E231C2" w:rsidP="00D93809">
            <w:pPr>
              <w:keepNext/>
              <w:ind w:left="0" w:right="0"/>
              <w:rPr>
                <w:sz w:val="20"/>
                <w:szCs w:val="20"/>
              </w:rPr>
            </w:pPr>
            <w:r w:rsidRPr="00A1327B">
              <w:rPr>
                <w:sz w:val="20"/>
                <w:szCs w:val="20"/>
              </w:rPr>
              <w:t>92300</w:t>
            </w:r>
          </w:p>
        </w:tc>
        <w:tc>
          <w:tcPr>
            <w:tcW w:w="1276" w:type="dxa"/>
          </w:tcPr>
          <w:p w14:paraId="5548A5D0" w14:textId="77777777" w:rsidR="00E231C2" w:rsidRPr="00A1327B" w:rsidRDefault="00E231C2" w:rsidP="00D93809">
            <w:pPr>
              <w:keepNext/>
              <w:ind w:left="0" w:right="0"/>
              <w:rPr>
                <w:sz w:val="20"/>
                <w:szCs w:val="20"/>
              </w:rPr>
            </w:pPr>
            <w:r w:rsidRPr="00A1327B">
              <w:rPr>
                <w:sz w:val="20"/>
                <w:szCs w:val="20"/>
              </w:rPr>
              <w:t>3</w:t>
            </w:r>
          </w:p>
        </w:tc>
      </w:tr>
      <w:tr w:rsidR="00E231C2" w:rsidRPr="00582E5F" w14:paraId="45A98F51" w14:textId="77777777" w:rsidTr="00736D35">
        <w:trPr>
          <w:trHeight w:val="227"/>
        </w:trPr>
        <w:tc>
          <w:tcPr>
            <w:tcW w:w="1986" w:type="dxa"/>
            <w:vMerge w:val="restart"/>
          </w:tcPr>
          <w:p w14:paraId="7D507E0F" w14:textId="77777777" w:rsidR="00B96DBC" w:rsidRPr="00A1327B" w:rsidRDefault="00E231C2" w:rsidP="00D93809">
            <w:pPr>
              <w:keepNext/>
              <w:ind w:left="0" w:right="0"/>
              <w:rPr>
                <w:sz w:val="20"/>
                <w:szCs w:val="20"/>
              </w:rPr>
            </w:pPr>
            <w:r w:rsidRPr="00A1327B">
              <w:rPr>
                <w:b/>
                <w:sz w:val="20"/>
                <w:szCs w:val="20"/>
              </w:rPr>
              <w:t>Rabbit</w:t>
            </w:r>
          </w:p>
          <w:p w14:paraId="3556A33B" w14:textId="140103C8" w:rsidR="00E231C2" w:rsidRPr="00A1327B" w:rsidRDefault="00B96DBC" w:rsidP="00D93809">
            <w:pPr>
              <w:keepNext/>
              <w:ind w:left="0" w:right="0"/>
              <w:rPr>
                <w:sz w:val="20"/>
                <w:szCs w:val="20"/>
              </w:rPr>
            </w:pPr>
            <w:r w:rsidRPr="00A1327B">
              <w:rPr>
                <w:sz w:val="20"/>
                <w:szCs w:val="20"/>
              </w:rPr>
              <w:t>(Hra(NZW)</w:t>
            </w:r>
            <w:r w:rsidR="00E231C2" w:rsidRPr="00A1327B">
              <w:rPr>
                <w:sz w:val="20"/>
                <w:szCs w:val="20"/>
              </w:rPr>
              <w:t>SPF)</w:t>
            </w:r>
          </w:p>
        </w:tc>
        <w:tc>
          <w:tcPr>
            <w:tcW w:w="1904" w:type="dxa"/>
            <w:vMerge w:val="restart"/>
          </w:tcPr>
          <w:p w14:paraId="57C0D23E" w14:textId="77777777" w:rsidR="00E231C2" w:rsidRPr="00A1327B" w:rsidRDefault="00E231C2" w:rsidP="00D93809">
            <w:pPr>
              <w:keepNext/>
              <w:ind w:left="0" w:right="0"/>
              <w:rPr>
                <w:sz w:val="20"/>
                <w:szCs w:val="20"/>
              </w:rPr>
            </w:pPr>
            <w:r w:rsidRPr="00A1327B">
              <w:rPr>
                <w:sz w:val="20"/>
                <w:szCs w:val="20"/>
              </w:rPr>
              <w:t>Embryofetal development</w:t>
            </w:r>
          </w:p>
          <w:p w14:paraId="1B4E7D20" w14:textId="25855DC6" w:rsidR="00E231C2" w:rsidRPr="00A1327B" w:rsidRDefault="00B96DBC" w:rsidP="00D93809">
            <w:pPr>
              <w:keepNext/>
              <w:ind w:left="0" w:right="0"/>
              <w:rPr>
                <w:sz w:val="20"/>
                <w:szCs w:val="20"/>
              </w:rPr>
            </w:pPr>
            <w:r w:rsidRPr="00A1327B">
              <w:rPr>
                <w:sz w:val="20"/>
                <w:szCs w:val="20"/>
              </w:rPr>
              <w:t>(1470801)</w:t>
            </w:r>
          </w:p>
        </w:tc>
        <w:tc>
          <w:tcPr>
            <w:tcW w:w="1463" w:type="dxa"/>
          </w:tcPr>
          <w:p w14:paraId="2D22FDFB" w14:textId="77777777" w:rsidR="00E231C2" w:rsidRPr="00A1327B" w:rsidRDefault="00E231C2" w:rsidP="00D93809">
            <w:pPr>
              <w:keepNext/>
              <w:ind w:left="0" w:right="0"/>
              <w:rPr>
                <w:sz w:val="20"/>
                <w:szCs w:val="20"/>
              </w:rPr>
            </w:pPr>
            <w:r w:rsidRPr="00A1327B">
              <w:rPr>
                <w:sz w:val="20"/>
                <w:szCs w:val="20"/>
              </w:rPr>
              <w:t>10</w:t>
            </w:r>
          </w:p>
        </w:tc>
        <w:tc>
          <w:tcPr>
            <w:tcW w:w="1843" w:type="dxa"/>
          </w:tcPr>
          <w:p w14:paraId="3276595B" w14:textId="77777777" w:rsidR="00E231C2" w:rsidRPr="00A1327B" w:rsidRDefault="00E231C2" w:rsidP="00D93809">
            <w:pPr>
              <w:keepNext/>
              <w:ind w:left="0" w:right="0"/>
              <w:rPr>
                <w:sz w:val="20"/>
                <w:szCs w:val="20"/>
              </w:rPr>
            </w:pPr>
            <w:r w:rsidRPr="00A1327B">
              <w:rPr>
                <w:sz w:val="20"/>
                <w:szCs w:val="20"/>
              </w:rPr>
              <w:t>8510</w:t>
            </w:r>
          </w:p>
        </w:tc>
        <w:tc>
          <w:tcPr>
            <w:tcW w:w="1276" w:type="dxa"/>
          </w:tcPr>
          <w:p w14:paraId="014EC35E" w14:textId="77777777" w:rsidR="00E231C2" w:rsidRPr="00A1327B" w:rsidRDefault="00E231C2" w:rsidP="00D93809">
            <w:pPr>
              <w:keepNext/>
              <w:ind w:left="0" w:right="0"/>
              <w:rPr>
                <w:sz w:val="20"/>
                <w:szCs w:val="20"/>
              </w:rPr>
            </w:pPr>
            <w:r w:rsidRPr="00A1327B">
              <w:rPr>
                <w:sz w:val="20"/>
                <w:szCs w:val="20"/>
              </w:rPr>
              <w:t>0.3</w:t>
            </w:r>
          </w:p>
        </w:tc>
      </w:tr>
      <w:tr w:rsidR="00E231C2" w:rsidRPr="00582E5F" w14:paraId="256D0BA6" w14:textId="77777777" w:rsidTr="00736D35">
        <w:trPr>
          <w:trHeight w:val="227"/>
        </w:trPr>
        <w:tc>
          <w:tcPr>
            <w:tcW w:w="1986" w:type="dxa"/>
            <w:vMerge/>
          </w:tcPr>
          <w:p w14:paraId="14EBE9AD" w14:textId="77777777" w:rsidR="00E231C2" w:rsidRPr="00A1327B" w:rsidRDefault="00E231C2" w:rsidP="00D93809">
            <w:pPr>
              <w:keepNext/>
              <w:ind w:left="0" w:right="0"/>
              <w:rPr>
                <w:sz w:val="20"/>
                <w:szCs w:val="20"/>
                <w:highlight w:val="yellow"/>
              </w:rPr>
            </w:pPr>
          </w:p>
        </w:tc>
        <w:tc>
          <w:tcPr>
            <w:tcW w:w="1904" w:type="dxa"/>
            <w:vMerge/>
          </w:tcPr>
          <w:p w14:paraId="39704938" w14:textId="77777777" w:rsidR="00E231C2" w:rsidRPr="00A1327B" w:rsidRDefault="00E231C2" w:rsidP="00D93809">
            <w:pPr>
              <w:keepNext/>
              <w:ind w:left="0" w:right="0"/>
              <w:rPr>
                <w:sz w:val="20"/>
                <w:szCs w:val="20"/>
                <w:highlight w:val="yellow"/>
              </w:rPr>
            </w:pPr>
          </w:p>
        </w:tc>
        <w:tc>
          <w:tcPr>
            <w:tcW w:w="1463" w:type="dxa"/>
          </w:tcPr>
          <w:p w14:paraId="23B5CC1A" w14:textId="77777777" w:rsidR="00E231C2" w:rsidRPr="00A1327B" w:rsidRDefault="00E231C2" w:rsidP="00D93809">
            <w:pPr>
              <w:keepNext/>
              <w:ind w:left="0" w:right="0"/>
              <w:rPr>
                <w:sz w:val="20"/>
                <w:szCs w:val="20"/>
              </w:rPr>
            </w:pPr>
            <w:r w:rsidRPr="00A1327B">
              <w:rPr>
                <w:sz w:val="20"/>
                <w:szCs w:val="20"/>
              </w:rPr>
              <w:t>30</w:t>
            </w:r>
          </w:p>
        </w:tc>
        <w:tc>
          <w:tcPr>
            <w:tcW w:w="1843" w:type="dxa"/>
          </w:tcPr>
          <w:p w14:paraId="1063C45C" w14:textId="77777777" w:rsidR="00E231C2" w:rsidRPr="00A1327B" w:rsidRDefault="00E231C2" w:rsidP="00D93809">
            <w:pPr>
              <w:keepNext/>
              <w:ind w:left="0" w:right="0"/>
              <w:rPr>
                <w:sz w:val="20"/>
                <w:szCs w:val="20"/>
              </w:rPr>
            </w:pPr>
            <w:r w:rsidRPr="00A1327B">
              <w:rPr>
                <w:sz w:val="20"/>
                <w:szCs w:val="20"/>
              </w:rPr>
              <w:t>36700</w:t>
            </w:r>
          </w:p>
        </w:tc>
        <w:tc>
          <w:tcPr>
            <w:tcW w:w="1276" w:type="dxa"/>
          </w:tcPr>
          <w:p w14:paraId="5E70B8C3" w14:textId="77777777" w:rsidR="00E231C2" w:rsidRPr="00A1327B" w:rsidRDefault="00E231C2" w:rsidP="00D93809">
            <w:pPr>
              <w:keepNext/>
              <w:ind w:left="0" w:right="0"/>
              <w:rPr>
                <w:sz w:val="20"/>
                <w:szCs w:val="20"/>
              </w:rPr>
            </w:pPr>
            <w:r w:rsidRPr="00A1327B">
              <w:rPr>
                <w:sz w:val="20"/>
                <w:szCs w:val="20"/>
              </w:rPr>
              <w:t>1</w:t>
            </w:r>
          </w:p>
        </w:tc>
      </w:tr>
      <w:tr w:rsidR="00E231C2" w:rsidRPr="00582E5F" w14:paraId="72339732" w14:textId="77777777" w:rsidTr="00736D35">
        <w:trPr>
          <w:trHeight w:val="227"/>
        </w:trPr>
        <w:tc>
          <w:tcPr>
            <w:tcW w:w="1986" w:type="dxa"/>
            <w:vMerge/>
          </w:tcPr>
          <w:p w14:paraId="6364ADFA" w14:textId="77777777" w:rsidR="00E231C2" w:rsidRPr="00A1327B" w:rsidRDefault="00E231C2" w:rsidP="00D93809">
            <w:pPr>
              <w:keepNext/>
              <w:ind w:left="0" w:right="0"/>
              <w:rPr>
                <w:sz w:val="20"/>
                <w:szCs w:val="20"/>
                <w:highlight w:val="yellow"/>
              </w:rPr>
            </w:pPr>
          </w:p>
        </w:tc>
        <w:tc>
          <w:tcPr>
            <w:tcW w:w="1904" w:type="dxa"/>
            <w:vMerge/>
          </w:tcPr>
          <w:p w14:paraId="28734562" w14:textId="77777777" w:rsidR="00E231C2" w:rsidRPr="00A1327B" w:rsidRDefault="00E231C2" w:rsidP="00D93809">
            <w:pPr>
              <w:keepNext/>
              <w:ind w:left="0" w:right="0"/>
              <w:rPr>
                <w:sz w:val="20"/>
                <w:szCs w:val="20"/>
                <w:highlight w:val="yellow"/>
              </w:rPr>
            </w:pPr>
          </w:p>
        </w:tc>
        <w:tc>
          <w:tcPr>
            <w:tcW w:w="1463" w:type="dxa"/>
          </w:tcPr>
          <w:p w14:paraId="69399A37" w14:textId="77777777" w:rsidR="00E231C2" w:rsidRPr="00A1327B" w:rsidRDefault="00E231C2" w:rsidP="00D93809">
            <w:pPr>
              <w:keepNext/>
              <w:ind w:left="0" w:right="0"/>
              <w:rPr>
                <w:sz w:val="20"/>
                <w:szCs w:val="20"/>
              </w:rPr>
            </w:pPr>
            <w:r w:rsidRPr="00A1327B">
              <w:rPr>
                <w:sz w:val="20"/>
                <w:szCs w:val="20"/>
              </w:rPr>
              <w:t>60</w:t>
            </w:r>
          </w:p>
        </w:tc>
        <w:tc>
          <w:tcPr>
            <w:tcW w:w="1843" w:type="dxa"/>
          </w:tcPr>
          <w:p w14:paraId="61DE131C" w14:textId="77777777" w:rsidR="00E231C2" w:rsidRPr="00A1327B" w:rsidRDefault="00E231C2" w:rsidP="00D93809">
            <w:pPr>
              <w:keepNext/>
              <w:ind w:left="0" w:right="0"/>
              <w:rPr>
                <w:sz w:val="20"/>
                <w:szCs w:val="20"/>
              </w:rPr>
            </w:pPr>
            <w:r w:rsidRPr="00A1327B">
              <w:rPr>
                <w:sz w:val="20"/>
                <w:szCs w:val="20"/>
              </w:rPr>
              <w:t>93000</w:t>
            </w:r>
          </w:p>
        </w:tc>
        <w:tc>
          <w:tcPr>
            <w:tcW w:w="1276" w:type="dxa"/>
          </w:tcPr>
          <w:p w14:paraId="1F8FFEED" w14:textId="77777777" w:rsidR="00E231C2" w:rsidRPr="00A1327B" w:rsidRDefault="00E231C2" w:rsidP="00D93809">
            <w:pPr>
              <w:keepNext/>
              <w:ind w:left="0" w:right="0"/>
              <w:rPr>
                <w:sz w:val="20"/>
                <w:szCs w:val="20"/>
              </w:rPr>
            </w:pPr>
            <w:r w:rsidRPr="00A1327B">
              <w:rPr>
                <w:sz w:val="20"/>
                <w:szCs w:val="20"/>
              </w:rPr>
              <w:t>3</w:t>
            </w:r>
          </w:p>
        </w:tc>
      </w:tr>
      <w:tr w:rsidR="00E231C2" w:rsidRPr="00582E5F" w14:paraId="77F9706C" w14:textId="77777777" w:rsidTr="00736D35">
        <w:trPr>
          <w:trHeight w:val="227"/>
        </w:trPr>
        <w:tc>
          <w:tcPr>
            <w:tcW w:w="1986" w:type="dxa"/>
          </w:tcPr>
          <w:p w14:paraId="018CB079" w14:textId="77777777" w:rsidR="00B96DBC" w:rsidRPr="00A1327B" w:rsidRDefault="00E231C2" w:rsidP="00D93809">
            <w:pPr>
              <w:keepNext/>
              <w:ind w:left="0" w:right="0"/>
              <w:rPr>
                <w:sz w:val="20"/>
                <w:szCs w:val="20"/>
              </w:rPr>
            </w:pPr>
            <w:r w:rsidRPr="00A1327B">
              <w:rPr>
                <w:b/>
                <w:sz w:val="20"/>
                <w:szCs w:val="20"/>
              </w:rPr>
              <w:t>Human</w:t>
            </w:r>
          </w:p>
          <w:p w14:paraId="403C55D8" w14:textId="0D5ACE94" w:rsidR="00E231C2" w:rsidRPr="00A1327B" w:rsidRDefault="00E231C2" w:rsidP="00D93809">
            <w:pPr>
              <w:keepNext/>
              <w:ind w:left="0" w:right="0"/>
              <w:rPr>
                <w:sz w:val="20"/>
                <w:szCs w:val="20"/>
              </w:rPr>
            </w:pPr>
            <w:r w:rsidRPr="00A1327B">
              <w:rPr>
                <w:sz w:val="20"/>
                <w:szCs w:val="20"/>
              </w:rPr>
              <w:t>(Cancer patients)</w:t>
            </w:r>
          </w:p>
        </w:tc>
        <w:tc>
          <w:tcPr>
            <w:tcW w:w="1904" w:type="dxa"/>
          </w:tcPr>
          <w:p w14:paraId="65B622E6" w14:textId="77777777" w:rsidR="00E231C2" w:rsidRPr="00A1327B" w:rsidRDefault="00E231C2" w:rsidP="00D93809">
            <w:pPr>
              <w:keepNext/>
              <w:ind w:left="0" w:right="0"/>
              <w:rPr>
                <w:sz w:val="20"/>
                <w:szCs w:val="20"/>
              </w:rPr>
            </w:pPr>
            <w:r w:rsidRPr="00A1327B">
              <w:rPr>
                <w:sz w:val="20"/>
                <w:szCs w:val="20"/>
              </w:rPr>
              <w:t>PopPK modelling for 50 kg patients</w:t>
            </w:r>
          </w:p>
        </w:tc>
        <w:tc>
          <w:tcPr>
            <w:tcW w:w="1463" w:type="dxa"/>
          </w:tcPr>
          <w:p w14:paraId="1765ACD2" w14:textId="77777777" w:rsidR="00E231C2" w:rsidRPr="00A1327B" w:rsidRDefault="00E231C2" w:rsidP="00D93809">
            <w:pPr>
              <w:keepNext/>
              <w:ind w:left="0" w:right="0"/>
              <w:rPr>
                <w:sz w:val="20"/>
                <w:szCs w:val="20"/>
              </w:rPr>
            </w:pPr>
            <w:r w:rsidRPr="00A1327B">
              <w:rPr>
                <w:sz w:val="20"/>
                <w:szCs w:val="20"/>
              </w:rPr>
              <w:t>600 mg</w:t>
            </w:r>
          </w:p>
        </w:tc>
        <w:tc>
          <w:tcPr>
            <w:tcW w:w="1843" w:type="dxa"/>
          </w:tcPr>
          <w:p w14:paraId="32A3B0E8" w14:textId="77777777" w:rsidR="00E231C2" w:rsidRPr="00A1327B" w:rsidRDefault="00E231C2" w:rsidP="00D93809">
            <w:pPr>
              <w:keepNext/>
              <w:ind w:left="0" w:right="0"/>
              <w:rPr>
                <w:sz w:val="20"/>
                <w:szCs w:val="20"/>
              </w:rPr>
            </w:pPr>
            <w:r w:rsidRPr="00A1327B">
              <w:rPr>
                <w:sz w:val="20"/>
                <w:szCs w:val="20"/>
              </w:rPr>
              <w:t>31900</w:t>
            </w:r>
          </w:p>
        </w:tc>
        <w:tc>
          <w:tcPr>
            <w:tcW w:w="1276" w:type="dxa"/>
          </w:tcPr>
          <w:p w14:paraId="4CC68C19" w14:textId="77777777" w:rsidR="00E231C2" w:rsidRPr="00A1327B" w:rsidRDefault="00E231C2" w:rsidP="00D93809">
            <w:pPr>
              <w:keepNext/>
              <w:ind w:left="0" w:right="0"/>
              <w:rPr>
                <w:sz w:val="20"/>
                <w:szCs w:val="20"/>
              </w:rPr>
            </w:pPr>
            <w:r w:rsidRPr="00A1327B">
              <w:rPr>
                <w:sz w:val="20"/>
                <w:szCs w:val="20"/>
              </w:rPr>
              <w:t>–</w:t>
            </w:r>
          </w:p>
        </w:tc>
      </w:tr>
    </w:tbl>
    <w:p w14:paraId="375ADB2B" w14:textId="0221290E" w:rsidR="00E231C2" w:rsidRPr="00B8122D" w:rsidRDefault="00B96DBC" w:rsidP="00B96DBC">
      <w:pPr>
        <w:pStyle w:val="TableDescription"/>
      </w:pPr>
      <w:r w:rsidRPr="00B8122D">
        <w:t>1)</w:t>
      </w:r>
      <w:r w:rsidR="00E231C2" w:rsidRPr="00B8122D">
        <w:t xml:space="preserve"> animal:human plasma AUC</w:t>
      </w:r>
      <w:r w:rsidR="00E231C2" w:rsidRPr="00B8122D">
        <w:rPr>
          <w:vertAlign w:val="subscript"/>
        </w:rPr>
        <w:t>0–24 h</w:t>
      </w:r>
    </w:p>
    <w:p w14:paraId="4E1E81A4" w14:textId="77777777" w:rsidR="00B96DBC" w:rsidRPr="00B8122D" w:rsidRDefault="00E231C2" w:rsidP="00B96DBC">
      <w:pPr>
        <w:pStyle w:val="Heading5"/>
      </w:pPr>
      <w:r w:rsidRPr="00B8122D">
        <w:t>Effects on fertility</w:t>
      </w:r>
    </w:p>
    <w:p w14:paraId="3396C4E2" w14:textId="3BA97D9A" w:rsidR="00E231C2" w:rsidRPr="00B8122D" w:rsidRDefault="00E231C2" w:rsidP="00E231C2">
      <w:r w:rsidRPr="00B8122D">
        <w:t xml:space="preserve">No fertility studies were conducted for ribociclib. </w:t>
      </w:r>
      <w:r w:rsidRPr="00CE30E3">
        <w:t>As discussed above,</w:t>
      </w:r>
      <w:r w:rsidRPr="00CE30E3">
        <w:rPr>
          <w:i/>
        </w:rPr>
        <w:t xml:space="preserve"> </w:t>
      </w:r>
      <w:r w:rsidRPr="00CE30E3">
        <w:t>CDK4-/- mice have infertile females and partially fertile males due to low levels of circulating progesterone and prolactin secondary to a reduced numbers of pituitary prolactin-producing lactotrophs, pituitary hypoplasia and</w:t>
      </w:r>
      <w:r w:rsidR="00B96DBC" w:rsidRPr="00CE30E3">
        <w:t xml:space="preserve"> disruption of the hypothalamic pituitary </w:t>
      </w:r>
      <w:r w:rsidRPr="00CE30E3">
        <w:t>gondadal axis.</w:t>
      </w:r>
      <w:r w:rsidRPr="00B8122D">
        <w:t xml:space="preserve"> </w:t>
      </w:r>
      <w:r w:rsidRPr="00CE30E3">
        <w:t>Consistent with the findings in CDK4-/- mice,</w:t>
      </w:r>
      <w:r w:rsidRPr="00B8122D">
        <w:t xml:space="preserve"> ribociclib treatment of rats at </w:t>
      </w:r>
      <w:r w:rsidRPr="00CE30E3">
        <w:t>≥</w:t>
      </w:r>
      <w:r w:rsidR="00D93809" w:rsidRPr="00CE30E3">
        <w:t> </w:t>
      </w:r>
      <w:r w:rsidR="00B96DBC" w:rsidRPr="00CE30E3">
        <w:t>75 </w:t>
      </w:r>
      <w:r w:rsidRPr="00CE30E3">
        <w:t>mg/kg/day (</w:t>
      </w:r>
      <w:r w:rsidR="002C7073">
        <w:t>exposure ratio</w:t>
      </w:r>
      <w:r w:rsidRPr="00CE30E3">
        <w:t xml:space="preserve"> 1)</w:t>
      </w:r>
      <w:r w:rsidRPr="00B8122D">
        <w:t xml:space="preserve"> was associated with disruption of spermatogenesis, germ cell depletion, seminiferous tubule atrophy/disorgani</w:t>
      </w:r>
      <w:r w:rsidR="00B96DBC" w:rsidRPr="00B8122D">
        <w:t>s</w:t>
      </w:r>
      <w:r w:rsidRPr="00B8122D">
        <w:t>ation, and Sertoli cell vacuolation and epididymal oligospermia. In dogs, similar disruption of spermatog</w:t>
      </w:r>
      <w:r w:rsidR="00B96DBC" w:rsidRPr="00B8122D">
        <w:t xml:space="preserve">enesis was noted </w:t>
      </w:r>
      <w:r w:rsidR="00B96DBC" w:rsidRPr="00CE30E3">
        <w:t>at 1 </w:t>
      </w:r>
      <w:r w:rsidRPr="00CE30E3">
        <w:t>mg/kg/day (</w:t>
      </w:r>
      <w:r w:rsidR="002C7073">
        <w:t>exposure ratio</w:t>
      </w:r>
      <w:r w:rsidRPr="00CE30E3">
        <w:t xml:space="preserve"> 0.02).</w:t>
      </w:r>
      <w:r w:rsidRPr="00B8122D">
        <w:t xml:space="preserve"> Palbociclib induced similar effects.</w:t>
      </w:r>
    </w:p>
    <w:p w14:paraId="3A0BD7C9" w14:textId="7BEC6C6C" w:rsidR="00E231C2" w:rsidRPr="00B8122D" w:rsidRDefault="00E231C2" w:rsidP="00E231C2">
      <w:r w:rsidRPr="00B8122D">
        <w:t xml:space="preserve">Overall, while specific fertility studies were not performed, there is strong direct and mechanistic evidence to suspect adverse effects on male </w:t>
      </w:r>
      <w:r w:rsidRPr="00CE30E3">
        <w:t>(and likely female</w:t>
      </w:r>
      <w:r w:rsidRPr="00B8122D">
        <w:t xml:space="preserve">) fertility. Given the proposed patient population, such effects are likely </w:t>
      </w:r>
      <w:r w:rsidRPr="00B8122D">
        <w:rPr>
          <w:iCs/>
        </w:rPr>
        <w:t>inconsequential in relation to the objective of drug treatment</w:t>
      </w:r>
      <w:r w:rsidR="00B96DBC" w:rsidRPr="00B8122D">
        <w:t>.</w:t>
      </w:r>
    </w:p>
    <w:p w14:paraId="33159A97" w14:textId="63A7D92F" w:rsidR="00B96DBC" w:rsidRPr="00B8122D" w:rsidRDefault="00843499" w:rsidP="00B96DBC">
      <w:pPr>
        <w:pStyle w:val="Heading6"/>
      </w:pPr>
      <w:r w:rsidRPr="00B8122D">
        <w:t>Placental</w:t>
      </w:r>
      <w:r w:rsidR="00E231C2" w:rsidRPr="00B8122D">
        <w:t xml:space="preserve"> transfer</w:t>
      </w:r>
    </w:p>
    <w:p w14:paraId="73621102" w14:textId="3D34D61D" w:rsidR="00E231C2" w:rsidRPr="00B8122D" w:rsidRDefault="00E231C2" w:rsidP="00E231C2">
      <w:r w:rsidRPr="00B8122D">
        <w:t xml:space="preserve">In pregnant rats, </w:t>
      </w:r>
      <w:r w:rsidRPr="00CE30E3">
        <w:t>the percentage of ribociclib</w:t>
      </w:r>
      <w:r w:rsidR="00B40549">
        <w:t xml:space="preserve"> concentration</w:t>
      </w:r>
      <w:r w:rsidRPr="00CE30E3">
        <w:t xml:space="preserve"> </w:t>
      </w:r>
      <w:r w:rsidR="00B637D0" w:rsidRPr="00CE30E3">
        <w:t xml:space="preserve">in fetal plasma </w:t>
      </w:r>
      <w:r w:rsidR="00B40549">
        <w:t xml:space="preserve">relative to maternal plasma </w:t>
      </w:r>
      <w:r w:rsidR="00B637D0" w:rsidRPr="00CE30E3">
        <w:t xml:space="preserve">at 3 hours </w:t>
      </w:r>
      <w:r w:rsidR="00D93809" w:rsidRPr="00CE30E3">
        <w:t>on gestation D</w:t>
      </w:r>
      <w:r w:rsidRPr="00CE30E3">
        <w:t>ay 17 following maternal dosing increased with increasing maternal dose; however t</w:t>
      </w:r>
      <w:r w:rsidRPr="00B8122D">
        <w:t xml:space="preserve">he percentage </w:t>
      </w:r>
      <w:r w:rsidR="00B40549">
        <w:t xml:space="preserve">in </w:t>
      </w:r>
      <w:r w:rsidRPr="00B8122D">
        <w:t>fetal plasma remained relatively low (</w:t>
      </w:r>
      <w:r w:rsidR="00B96DBC" w:rsidRPr="00CE30E3">
        <w:t xml:space="preserve">approximately equal to </w:t>
      </w:r>
      <w:r w:rsidR="00B40549">
        <w:t>29</w:t>
      </w:r>
      <w:r w:rsidRPr="00CE30E3">
        <w:t>% following materna</w:t>
      </w:r>
      <w:r w:rsidR="00B96DBC" w:rsidRPr="00CE30E3">
        <w:t xml:space="preserve">l dosing at 1000 mg/kg/day and approximately </w:t>
      </w:r>
      <w:r w:rsidRPr="00CE30E3">
        <w:t>13% following mat</w:t>
      </w:r>
      <w:r w:rsidR="00D93809" w:rsidRPr="00CE30E3">
        <w:t>ernal dosing at 300 mg/kg/day).</w:t>
      </w:r>
    </w:p>
    <w:p w14:paraId="146C243C" w14:textId="64760EB7" w:rsidR="00502D6A" w:rsidRPr="00B8122D" w:rsidRDefault="00E231C2" w:rsidP="00502D6A">
      <w:pPr>
        <w:pStyle w:val="Heading6"/>
      </w:pPr>
      <w:r w:rsidRPr="00B8122D">
        <w:lastRenderedPageBreak/>
        <w:t>Galactogenic transfe</w:t>
      </w:r>
      <w:r w:rsidR="00502D6A" w:rsidRPr="00B8122D">
        <w:t>r</w:t>
      </w:r>
    </w:p>
    <w:p w14:paraId="14337583" w14:textId="05FD8098" w:rsidR="00E231C2" w:rsidRPr="00B8122D" w:rsidRDefault="00D93809" w:rsidP="00E231C2">
      <w:r>
        <w:t xml:space="preserve">In rats ribociclib </w:t>
      </w:r>
      <w:r w:rsidR="00E231C2" w:rsidRPr="00B8122D">
        <w:t>associated radioactivity concentrated in milk (milk:</w:t>
      </w:r>
      <w:r>
        <w:t xml:space="preserve"> </w:t>
      </w:r>
      <w:r w:rsidR="00E231C2" w:rsidRPr="00B8122D">
        <w:t xml:space="preserve">plasma ratio of total radioactivity 5 and of ribociclib 4) and a different metabolite profile </w:t>
      </w:r>
      <w:r w:rsidR="00B637D0" w:rsidRPr="00B8122D">
        <w:t>compared with</w:t>
      </w:r>
      <w:r w:rsidR="00E231C2" w:rsidRPr="00B8122D">
        <w:t xml:space="preserve"> plasma was present (domin</w:t>
      </w:r>
      <w:r>
        <w:t>ated by oxidation metabolites).</w:t>
      </w:r>
    </w:p>
    <w:p w14:paraId="4FDC5E73" w14:textId="77777777" w:rsidR="00502D6A" w:rsidRPr="00B8122D" w:rsidRDefault="00E231C2" w:rsidP="00502D6A">
      <w:pPr>
        <w:pStyle w:val="Heading6"/>
      </w:pPr>
      <w:r w:rsidRPr="00B8122D">
        <w:t>Maternal effects</w:t>
      </w:r>
    </w:p>
    <w:p w14:paraId="152FD8C4" w14:textId="463170F0" w:rsidR="00E231C2" w:rsidRPr="00B8122D" w:rsidRDefault="00E231C2" w:rsidP="00E231C2">
      <w:r w:rsidRPr="00B8122D">
        <w:t>Evidence of local gastrointestinal drug intolerance (damage to the gastrointestinal mucosa), which was associated with mortality, wa</w:t>
      </w:r>
      <w:r w:rsidR="00502D6A" w:rsidRPr="00B8122D">
        <w:t>s present in rats dosed at 1000 </w:t>
      </w:r>
      <w:r w:rsidR="00D93809">
        <w:t>mg/kg/day (</w:t>
      </w:r>
      <w:r w:rsidR="002C7073">
        <w:t>exposure ratio</w:t>
      </w:r>
      <w:r w:rsidRPr="00B8122D">
        <w:t xml:space="preserve"> 3). </w:t>
      </w:r>
      <w:r w:rsidRPr="00F22005">
        <w:t>Salivation and decreased body weight gain were observed in rats a</w:t>
      </w:r>
      <w:r w:rsidR="00502D6A" w:rsidRPr="00F22005">
        <w:t>t ≥ </w:t>
      </w:r>
      <w:r w:rsidR="00D93809" w:rsidRPr="00F22005">
        <w:t>300 mg/kg/day (</w:t>
      </w:r>
      <w:r w:rsidR="002C7073">
        <w:t>exposure ratio</w:t>
      </w:r>
      <w:r w:rsidRPr="00F22005">
        <w:t xml:space="preserve"> 0.4)</w:t>
      </w:r>
      <w:r w:rsidRPr="00B8122D">
        <w:t xml:space="preserve">. </w:t>
      </w:r>
      <w:r w:rsidRPr="00F22005">
        <w:t>Mortality (</w:t>
      </w:r>
      <w:r w:rsidR="00C75FEB">
        <w:t>2</w:t>
      </w:r>
      <w:r w:rsidR="00B73AAC">
        <w:t>/</w:t>
      </w:r>
      <w:r w:rsidRPr="00F22005">
        <w:t>20) was also noted in r</w:t>
      </w:r>
      <w:r w:rsidR="00D93809" w:rsidRPr="00F22005">
        <w:t xml:space="preserve">abbits </w:t>
      </w:r>
      <w:r w:rsidR="00D93809" w:rsidRPr="00CE30E3">
        <w:t>dosed at 60 mg/kg/day (</w:t>
      </w:r>
      <w:r w:rsidR="002C7073">
        <w:t>exposure ratio</w:t>
      </w:r>
      <w:r w:rsidRPr="00CE30E3">
        <w:t xml:space="preserve"> 3), </w:t>
      </w:r>
      <w:r w:rsidRPr="00F22005">
        <w:t xml:space="preserve">but </w:t>
      </w:r>
      <w:r w:rsidR="00C35D37">
        <w:t>for one animal, the death</w:t>
      </w:r>
      <w:r w:rsidR="00C35D37" w:rsidRPr="00C35D37">
        <w:t xml:space="preserve"> was considered likely unrelated to </w:t>
      </w:r>
      <w:r w:rsidR="00C35D37">
        <w:t xml:space="preserve">ribociclib and for the other one, </w:t>
      </w:r>
      <w:r w:rsidRPr="00F22005">
        <w:t>it was not certain w</w:t>
      </w:r>
      <w:r w:rsidR="00D93809" w:rsidRPr="00F22005">
        <w:t xml:space="preserve">hether the death was ribociclib </w:t>
      </w:r>
      <w:r w:rsidRPr="00F22005">
        <w:t>related.</w:t>
      </w:r>
      <w:r w:rsidRPr="00B8122D">
        <w:t xml:space="preserve"> There were no other signs</w:t>
      </w:r>
      <w:r w:rsidR="00502D6A" w:rsidRPr="00B8122D">
        <w:t xml:space="preserve"> of materno</w:t>
      </w:r>
      <w:r w:rsidR="002C7073">
        <w:t>-</w:t>
      </w:r>
      <w:r w:rsidR="00502D6A" w:rsidRPr="00B8122D">
        <w:t>toxicity in rabbits.</w:t>
      </w:r>
    </w:p>
    <w:p w14:paraId="30AB7627" w14:textId="77777777" w:rsidR="00502D6A" w:rsidRPr="00B8122D" w:rsidRDefault="00E231C2" w:rsidP="00502D6A">
      <w:pPr>
        <w:pStyle w:val="Heading6"/>
      </w:pPr>
      <w:r w:rsidRPr="00B8122D">
        <w:t>Effects on embryofetal development</w:t>
      </w:r>
    </w:p>
    <w:p w14:paraId="679B9731" w14:textId="6F9193F0" w:rsidR="00E231C2" w:rsidRPr="00B8122D" w:rsidRDefault="00E231C2" w:rsidP="00E231C2">
      <w:r w:rsidRPr="00F22005">
        <w:t>Maternotoxic dosing (1000 mg/kg/day) of rats was associated with total fetal resorptions in 7/24 dams.</w:t>
      </w:r>
      <w:r w:rsidRPr="00B8122D">
        <w:t xml:space="preserve"> This effect did not occur in rats or rabbits at non-lethal doses. Fetal weights were decreased at 300 mg/kg/day in rats. </w:t>
      </w:r>
      <w:r w:rsidR="00843499" w:rsidRPr="00DB4DB4">
        <w:t>The incidence of fetuses and litters with ossification centres on the seventh cervical vertebra and rib(s) on the seventh cervical vertebra was significantly increased at 300 mg/kg/day and incidences of the former were slightly increased at 50 mg/kg/day (</w:t>
      </w:r>
      <w:r w:rsidR="002C7073">
        <w:t>exposure ratio</w:t>
      </w:r>
      <w:r w:rsidR="00843499" w:rsidRPr="00DB4DB4">
        <w:t xml:space="preserve"> 0.07)</w:t>
      </w:r>
      <w:r w:rsidR="00DB4DB4">
        <w:t>.</w:t>
      </w:r>
      <w:r w:rsidRPr="00CE30E3">
        <w:t xml:space="preserve"> The incidences for both fin</w:t>
      </w:r>
      <w:r w:rsidR="00502D6A" w:rsidRPr="00CE30E3">
        <w:t>dings at 300 </w:t>
      </w:r>
      <w:r w:rsidRPr="00CE30E3">
        <w:t>mg/kg/day were above the historical cont</w:t>
      </w:r>
      <w:r w:rsidR="00502D6A" w:rsidRPr="00CE30E3">
        <w:t xml:space="preserve">rol range of the test facility. </w:t>
      </w:r>
      <w:r w:rsidRPr="00F22005">
        <w:t>The incidence of litters and fetu</w:t>
      </w:r>
      <w:r w:rsidR="00502D6A" w:rsidRPr="00F22005">
        <w:t>ses with unossified/incomplete/</w:t>
      </w:r>
      <w:r w:rsidR="007E7283">
        <w:t>irregular/semi</w:t>
      </w:r>
      <w:r w:rsidR="007E7283">
        <w:noBreakHyphen/>
      </w:r>
      <w:r w:rsidR="00502D6A" w:rsidRPr="00F22005">
        <w:t>bipartite/bipartite sternebrae</w:t>
      </w:r>
      <w:r w:rsidRPr="00F22005">
        <w:t xml:space="preserve"> and xiphistern</w:t>
      </w:r>
      <w:r w:rsidR="00502D6A" w:rsidRPr="00F22005">
        <w:t xml:space="preserve">um was significantly </w:t>
      </w:r>
      <w:r w:rsidR="00843499" w:rsidRPr="00F22005">
        <w:t>increased</w:t>
      </w:r>
      <w:r w:rsidR="00502D6A" w:rsidRPr="00F22005">
        <w:t>.</w:t>
      </w:r>
    </w:p>
    <w:p w14:paraId="57041149" w14:textId="111B549E" w:rsidR="00E231C2" w:rsidRPr="00B8122D" w:rsidRDefault="00E231C2" w:rsidP="00E231C2">
      <w:r w:rsidRPr="00B8122D">
        <w:t>In rabbits, sub-maternotoxic dosing at ≥</w:t>
      </w:r>
      <w:r w:rsidR="00502D6A" w:rsidRPr="00B8122D">
        <w:t xml:space="preserve"> </w:t>
      </w:r>
      <w:r w:rsidRPr="00B8122D">
        <w:t>30 mg/kg/day (</w:t>
      </w:r>
      <w:r w:rsidR="002C7073">
        <w:t>exposure ratio</w:t>
      </w:r>
      <w:r w:rsidRPr="00B8122D">
        <w:t xml:space="preserve"> 1) was associated with a significant (p &lt;</w:t>
      </w:r>
      <w:r w:rsidR="00502D6A" w:rsidRPr="00B8122D">
        <w:t xml:space="preserve"> </w:t>
      </w:r>
      <w:r w:rsidRPr="00B8122D">
        <w:t xml:space="preserve">0.05) increase in the incidence of fetal malformations. Key effects included reduced/small lung lobes, absent accessory lobe, fused lung lobes, an additional vessel on the aortic arch, diaphragmatic hernias, extra/rudimentary </w:t>
      </w:r>
      <w:r w:rsidR="00502D6A" w:rsidRPr="00B8122D">
        <w:t>thirteenth</w:t>
      </w:r>
      <w:r w:rsidRPr="00B8122D">
        <w:t xml:space="preserve"> ribs and misshapen hyoid bone and reduced number of phalanges in the poll</w:t>
      </w:r>
      <w:r w:rsidR="00502D6A" w:rsidRPr="00B8122D">
        <w:t>ex. Effects observed only at 60 </w:t>
      </w:r>
      <w:r w:rsidRPr="00B8122D">
        <w:t>mg/kg/day (</w:t>
      </w:r>
      <w:r w:rsidR="002C7073">
        <w:t>exposure ratio</w:t>
      </w:r>
      <w:r w:rsidRPr="00B8122D">
        <w:t xml:space="preserve"> 3) included micropthalmia, exencephaly, premature eyelid opening with cataract formation and malpositioning of digits. Fet</w:t>
      </w:r>
      <w:r w:rsidR="00502D6A" w:rsidRPr="00B8122D">
        <w:t>al weights were decreased at 60 </w:t>
      </w:r>
      <w:r w:rsidR="0075300D">
        <w:t>mg/kg/day.</w:t>
      </w:r>
    </w:p>
    <w:p w14:paraId="5217F93B" w14:textId="71A8F728" w:rsidR="00E231C2" w:rsidRPr="00B8122D" w:rsidRDefault="00E231C2" w:rsidP="00E231C2">
      <w:r w:rsidRPr="00B8122D">
        <w:t>There is strong mechanistic data (based on observations in CDK4 knockout mice) to suspect developmental effects including adenohypophyseal hypoplasia, maldevelopment of the immune system, pancreatic beta cells and pituit</w:t>
      </w:r>
      <w:r w:rsidR="00D93809">
        <w:t>ary dwarfism (discussed above).</w:t>
      </w:r>
    </w:p>
    <w:p w14:paraId="7CC132DB" w14:textId="77777777" w:rsidR="00E231C2" w:rsidRPr="00B8122D" w:rsidRDefault="00E231C2" w:rsidP="00502D6A">
      <w:pPr>
        <w:pStyle w:val="Heading5"/>
      </w:pPr>
      <w:r w:rsidRPr="00B8122D">
        <w:t>Pregnancy classification</w:t>
      </w:r>
    </w:p>
    <w:p w14:paraId="1AC90761" w14:textId="76A0803B" w:rsidR="00E231C2" w:rsidRPr="00B8122D" w:rsidRDefault="00E231C2" w:rsidP="00E231C2">
      <w:r w:rsidRPr="00B8122D">
        <w:t xml:space="preserve">Malformations observed in animal studies and observations in CDK4 knockout mice indicate </w:t>
      </w:r>
      <w:r w:rsidR="00D93809">
        <w:t>that P</w:t>
      </w:r>
      <w:r w:rsidRPr="00B8122D">
        <w:t xml:space="preserve">regnancy </w:t>
      </w:r>
      <w:r w:rsidR="00D93809">
        <w:t xml:space="preserve">Category </w:t>
      </w:r>
      <w:r w:rsidRPr="00B8122D">
        <w:t>D is appropriate for ribociclib.</w:t>
      </w:r>
      <w:bookmarkStart w:id="72" w:name="_Ref505008831"/>
      <w:r w:rsidR="00CF5AEF" w:rsidRPr="00B8122D">
        <w:rPr>
          <w:rStyle w:val="FootnoteReference"/>
        </w:rPr>
        <w:footnoteReference w:id="35"/>
      </w:r>
      <w:bookmarkEnd w:id="72"/>
      <w:r w:rsidRPr="00B8122D">
        <w:t xml:space="preserve"> Pregnancy </w:t>
      </w:r>
      <w:r w:rsidR="00D93809">
        <w:t xml:space="preserve">Category </w:t>
      </w:r>
      <w:r w:rsidRPr="00B8122D">
        <w:t>D is also</w:t>
      </w:r>
      <w:r w:rsidR="00D93809">
        <w:t xml:space="preserve"> recommended for palbociclib.</w:t>
      </w:r>
    </w:p>
    <w:p w14:paraId="2D2CC59E" w14:textId="23801031" w:rsidR="00E231C2" w:rsidRPr="00B8122D" w:rsidRDefault="00502D6A" w:rsidP="00502D6A">
      <w:pPr>
        <w:pStyle w:val="Heading4"/>
      </w:pPr>
      <w:r w:rsidRPr="00B8122D">
        <w:t>Local tolerance</w:t>
      </w:r>
    </w:p>
    <w:p w14:paraId="29A60CC6" w14:textId="77777777" w:rsidR="00E231C2" w:rsidRPr="00B8122D" w:rsidRDefault="00E231C2" w:rsidP="00E231C2">
      <w:r w:rsidRPr="00B8122D">
        <w:t>Based on the results of a rabbit semi-occlusive primary skin irritation/corrosion study and a mouse local lymph node assay study ribociclib is not a skin irritant or sensitiser.</w:t>
      </w:r>
    </w:p>
    <w:p w14:paraId="6244E19E" w14:textId="5E36F3A8" w:rsidR="00E231C2" w:rsidRPr="00B8122D" w:rsidRDefault="00E231C2" w:rsidP="00E231C2">
      <w:r w:rsidRPr="00B8122D">
        <w:t xml:space="preserve">Effects on the GIT are discussed above under </w:t>
      </w:r>
      <w:r w:rsidR="00D93809">
        <w:t>‘</w:t>
      </w:r>
      <w:r w:rsidRPr="00B8122D">
        <w:t>Repeat dose toxicity</w:t>
      </w:r>
      <w:r w:rsidR="00D93809">
        <w:t>’</w:t>
      </w:r>
      <w:r w:rsidRPr="00B8122D">
        <w:t>.</w:t>
      </w:r>
    </w:p>
    <w:p w14:paraId="07905480" w14:textId="4A2998C1" w:rsidR="00E231C2" w:rsidRPr="00B8122D" w:rsidRDefault="00502D6A" w:rsidP="00502D6A">
      <w:pPr>
        <w:pStyle w:val="Heading4"/>
      </w:pPr>
      <w:r w:rsidRPr="00B8122D">
        <w:lastRenderedPageBreak/>
        <w:t>Phototoxicity</w:t>
      </w:r>
    </w:p>
    <w:p w14:paraId="5CADEC0A" w14:textId="4A6DB17F" w:rsidR="00E231C2" w:rsidRPr="00B8122D" w:rsidRDefault="00E231C2" w:rsidP="00E231C2">
      <w:r w:rsidRPr="00B8122D">
        <w:t xml:space="preserve">While ribociclib absorbs </w:t>
      </w:r>
      <w:r w:rsidR="00502D6A" w:rsidRPr="00B8122D">
        <w:t xml:space="preserve">ultraviolet </w:t>
      </w:r>
      <w:r w:rsidR="00502D6A" w:rsidRPr="00D93809">
        <w:t>(</w:t>
      </w:r>
      <w:r w:rsidRPr="00D93809">
        <w:t>UV</w:t>
      </w:r>
      <w:r w:rsidR="00502D6A" w:rsidRPr="00D93809">
        <w:t>) B</w:t>
      </w:r>
      <w:r w:rsidR="00502D6A" w:rsidRPr="00B8122D">
        <w:t xml:space="preserve"> and UV</w:t>
      </w:r>
      <w:r w:rsidR="00D93809">
        <w:t xml:space="preserve"> </w:t>
      </w:r>
      <w:r w:rsidR="00502D6A" w:rsidRPr="00B8122D">
        <w:t>A light,</w:t>
      </w:r>
      <w:r w:rsidRPr="00B8122D">
        <w:t xml:space="preserve"> an in vitro phototoxicity assay indicated that ribociclib is not phototoxic.</w:t>
      </w:r>
    </w:p>
    <w:p w14:paraId="04A323B9" w14:textId="77777777" w:rsidR="00E231C2" w:rsidRPr="00B8122D" w:rsidRDefault="00E231C2" w:rsidP="00502D6A">
      <w:pPr>
        <w:pStyle w:val="Heading3"/>
      </w:pPr>
      <w:bookmarkStart w:id="73" w:name="_Toc44685901"/>
      <w:r w:rsidRPr="00B8122D">
        <w:t>Paediatric use</w:t>
      </w:r>
      <w:bookmarkEnd w:id="73"/>
    </w:p>
    <w:p w14:paraId="51F5B665" w14:textId="4BBC301E" w:rsidR="00C9747E" w:rsidRPr="00B8122D" w:rsidRDefault="00E231C2" w:rsidP="00E231C2">
      <w:r w:rsidRPr="00B8122D">
        <w:t>Ribociclib is not proposed for paediatric use and no specific studies in juvenile animals were submitted.</w:t>
      </w:r>
    </w:p>
    <w:p w14:paraId="5A631176" w14:textId="77777777" w:rsidR="008E7846" w:rsidRPr="00B8122D" w:rsidRDefault="008E7846" w:rsidP="008E7846">
      <w:pPr>
        <w:pStyle w:val="Heading3"/>
      </w:pPr>
      <w:bookmarkStart w:id="74" w:name="_Toc247691515"/>
      <w:bookmarkStart w:id="75" w:name="_Toc314842499"/>
      <w:bookmarkStart w:id="76" w:name="_Toc44685902"/>
      <w:r w:rsidRPr="00B8122D">
        <w:t>Nonclinical summary and conclusions</w:t>
      </w:r>
      <w:bookmarkEnd w:id="74"/>
      <w:bookmarkEnd w:id="75"/>
      <w:bookmarkEnd w:id="76"/>
    </w:p>
    <w:p w14:paraId="671B8CC2" w14:textId="48E2B0C7" w:rsidR="00E231C2" w:rsidRPr="00B8122D" w:rsidRDefault="00E231C2" w:rsidP="00502D6A">
      <w:pPr>
        <w:pStyle w:val="Heading4"/>
      </w:pPr>
      <w:bookmarkStart w:id="77" w:name="_Toc482796033"/>
      <w:r w:rsidRPr="00B8122D">
        <w:t>Comments on the</w:t>
      </w:r>
      <w:r w:rsidR="003E29A1" w:rsidRPr="00B8122D">
        <w:t xml:space="preserve"> nonclinical safety specification of the risk management plan</w:t>
      </w:r>
      <w:bookmarkEnd w:id="77"/>
    </w:p>
    <w:p w14:paraId="26F3E4CA" w14:textId="5782C038" w:rsidR="00E231C2" w:rsidRPr="00B8122D" w:rsidRDefault="00E231C2" w:rsidP="00E231C2">
      <w:bookmarkStart w:id="78" w:name="_Toc295290868"/>
      <w:r w:rsidRPr="00B8122D">
        <w:t xml:space="preserve">The information contained in the nonclinical sections of the </w:t>
      </w:r>
      <w:r w:rsidR="000A4D87">
        <w:t>risk m</w:t>
      </w:r>
      <w:r w:rsidR="000A4D87" w:rsidRPr="00B8122D">
        <w:t xml:space="preserve">anagement </w:t>
      </w:r>
      <w:r w:rsidR="003E29A1" w:rsidRPr="00EA56E6">
        <w:t>plan (</w:t>
      </w:r>
      <w:r w:rsidRPr="00EA56E6">
        <w:t>RMP</w:t>
      </w:r>
      <w:r w:rsidR="003E29A1" w:rsidRPr="00EA56E6">
        <w:t>)</w:t>
      </w:r>
      <w:r w:rsidRPr="00B8122D">
        <w:t xml:space="preserve"> and the conclusions of the RMP are in general agreement with the findings of the nonclinical evaluation except for the following:</w:t>
      </w:r>
    </w:p>
    <w:p w14:paraId="759CEBF3" w14:textId="77777777" w:rsidR="00E231C2" w:rsidRPr="00B8122D" w:rsidRDefault="00E231C2" w:rsidP="00502D6A">
      <w:pPr>
        <w:pStyle w:val="ListBullet"/>
      </w:pPr>
      <w:r w:rsidRPr="00B8122D">
        <w:rPr>
          <w:i/>
        </w:rPr>
        <w:t>Lung and mesenteric lymph node:</w:t>
      </w:r>
      <w:r w:rsidRPr="00804747">
        <w:t xml:space="preserve"> </w:t>
      </w:r>
      <w:r w:rsidRPr="00B8122D">
        <w:t>Accumulation of alveolar macrophages/foam cells was unlikely due to inhalation of small droplets of the formulation. The finding was most likely a sign of phospholipidosis, which is a systemic effect of ribociclib and common finding in toxicity studies with cationic amphiphilic agents.</w:t>
      </w:r>
    </w:p>
    <w:p w14:paraId="6BE263CC" w14:textId="6EEF89BE" w:rsidR="00E231C2" w:rsidRPr="00B8122D" w:rsidRDefault="00E231C2" w:rsidP="00502D6A">
      <w:pPr>
        <w:pStyle w:val="ListBullet"/>
      </w:pPr>
      <w:r w:rsidRPr="00B8122D">
        <w:rPr>
          <w:i/>
        </w:rPr>
        <w:t>Effect of ribociclib on transporters:</w:t>
      </w:r>
      <w:r w:rsidRPr="00B8122D">
        <w:t xml:space="preserve"> Ribociclib showed inhibitory activity against OCT1 with a </w:t>
      </w:r>
      <w:r w:rsidR="004E4287" w:rsidRPr="00B8122D">
        <w:t>K</w:t>
      </w:r>
      <w:r w:rsidR="004E4287" w:rsidRPr="004E4287">
        <w:rPr>
          <w:vertAlign w:val="subscript"/>
        </w:rPr>
        <w:t>i</w:t>
      </w:r>
      <w:r w:rsidR="00162887">
        <w:t xml:space="preserve"> </w:t>
      </w:r>
      <w:r w:rsidRPr="00B8122D">
        <w:t>value of 17.3 µM, which is only 11 fold higher than the clinical steady state unbound C</w:t>
      </w:r>
      <w:r w:rsidRPr="00B8122D">
        <w:rPr>
          <w:vertAlign w:val="subscript"/>
        </w:rPr>
        <w:t>max</w:t>
      </w:r>
      <w:r w:rsidRPr="00B8122D">
        <w:t>. Thus clinical interactions with OCT1 substrates may occur.</w:t>
      </w:r>
      <w:bookmarkEnd w:id="78"/>
    </w:p>
    <w:p w14:paraId="4578BAD8" w14:textId="423923DC" w:rsidR="003E29A1" w:rsidRPr="00B8122D" w:rsidRDefault="00A87639" w:rsidP="00A87639">
      <w:pPr>
        <w:pStyle w:val="Heading4"/>
      </w:pPr>
      <w:r w:rsidRPr="00B8122D">
        <w:t>Nonclinical summary</w:t>
      </w:r>
    </w:p>
    <w:p w14:paraId="6FE8242E" w14:textId="6A6BF00C" w:rsidR="003E29A1" w:rsidRPr="00B8122D" w:rsidRDefault="00E231C2" w:rsidP="00E231C2">
      <w:pPr>
        <w:pStyle w:val="ListBullet"/>
      </w:pPr>
      <w:r w:rsidRPr="00B8122D">
        <w:t xml:space="preserve">The submitted </w:t>
      </w:r>
      <w:r w:rsidR="003E29A1" w:rsidRPr="00B8122D">
        <w:t>nonclinical</w:t>
      </w:r>
      <w:r w:rsidRPr="00B8122D">
        <w:t xml:space="preserve"> dossier was </w:t>
      </w:r>
      <w:r w:rsidRPr="003E2AC3">
        <w:t>ICH S9</w:t>
      </w:r>
      <w:r w:rsidRPr="00B8122D">
        <w:t xml:space="preserve"> compliant and was of acceptable quality.</w:t>
      </w:r>
      <w:r w:rsidR="003E2AC3" w:rsidRPr="003E2AC3">
        <w:rPr>
          <w:vertAlign w:val="superscript"/>
        </w:rPr>
        <w:fldChar w:fldCharType="begin"/>
      </w:r>
      <w:r w:rsidR="003E2AC3" w:rsidRPr="003E2AC3">
        <w:rPr>
          <w:vertAlign w:val="superscript"/>
        </w:rPr>
        <w:instrText xml:space="preserve"> NOTEREF _Ref505095154 \h </w:instrText>
      </w:r>
      <w:r w:rsidR="003E2AC3">
        <w:rPr>
          <w:vertAlign w:val="superscript"/>
        </w:rPr>
        <w:instrText xml:space="preserve"> \* MERGEFORMAT </w:instrText>
      </w:r>
      <w:r w:rsidR="003E2AC3" w:rsidRPr="003E2AC3">
        <w:rPr>
          <w:vertAlign w:val="superscript"/>
        </w:rPr>
      </w:r>
      <w:r w:rsidR="003E2AC3" w:rsidRPr="003E2AC3">
        <w:rPr>
          <w:vertAlign w:val="superscript"/>
        </w:rPr>
        <w:fldChar w:fldCharType="separate"/>
      </w:r>
      <w:r w:rsidR="00142478">
        <w:rPr>
          <w:vertAlign w:val="superscript"/>
        </w:rPr>
        <w:t>34</w:t>
      </w:r>
      <w:r w:rsidR="003E2AC3" w:rsidRPr="003E2AC3">
        <w:rPr>
          <w:vertAlign w:val="superscript"/>
        </w:rPr>
        <w:fldChar w:fldCharType="end"/>
      </w:r>
    </w:p>
    <w:p w14:paraId="063F9E5E" w14:textId="37C0E8BB" w:rsidR="00E231C2" w:rsidRPr="00B8122D" w:rsidRDefault="00E231C2" w:rsidP="00E231C2">
      <w:pPr>
        <w:pStyle w:val="ListBullet"/>
      </w:pPr>
      <w:r w:rsidRPr="00B8122D">
        <w:t xml:space="preserve">Ribociclib selectively inhibited CDK 4/6 </w:t>
      </w:r>
      <w:r w:rsidRPr="00162887">
        <w:rPr>
          <w:i/>
        </w:rPr>
        <w:t>in vitro</w:t>
      </w:r>
      <w:r w:rsidR="003E29A1" w:rsidRPr="00B8122D">
        <w:t xml:space="preserve"> and indirectly inhibited Rb</w:t>
      </w:r>
      <w:r w:rsidRPr="00B8122D">
        <w:t xml:space="preserve"> phosphorylation in neoplastic cells producing G1 restriction point, cytostasis, cell cycle arrest. Amongst human breast cancer cell lines, ER</w:t>
      </w:r>
      <w:r w:rsidRPr="003E2AC3">
        <w:t>+</w:t>
      </w:r>
      <w:r w:rsidRPr="00B8122D">
        <w:t xml:space="preserve"> luminal breast cancer cells were the most sensitive </w:t>
      </w:r>
      <w:r w:rsidRPr="00162887">
        <w:rPr>
          <w:i/>
        </w:rPr>
        <w:t>in vitro</w:t>
      </w:r>
      <w:r w:rsidRPr="00B8122D">
        <w:t>. Ribociclib had no inhibitory activity against pRb negative breast cancer cell lines. In immune deficient mice xenograft models, ribociclib inhibited tumour growth in most cases and induced regressions in some tumour types. In ER</w:t>
      </w:r>
      <w:r w:rsidRPr="003E2AC3">
        <w:t>+</w:t>
      </w:r>
      <w:r w:rsidRPr="00B8122D">
        <w:rPr>
          <w:vertAlign w:val="superscript"/>
        </w:rPr>
        <w:t xml:space="preserve"> </w:t>
      </w:r>
      <w:r w:rsidRPr="00B8122D">
        <w:t xml:space="preserve">tumours efficacy was increased by concurrent anti-oestrogen treatment (letrozole or fulvestrant) or PI3K inhibition. Post drug holiday resumption of treatment was less efficacious (slowed growth, no regressions). The primary pharmacological actions of ribociclib are not target cell specific </w:t>
      </w:r>
      <w:r w:rsidR="003D73CD" w:rsidRPr="00B8122D">
        <w:t>that is,</w:t>
      </w:r>
      <w:r w:rsidRPr="00B8122D">
        <w:t xml:space="preserve"> cytostatic effects occur in many replicating cell populations. Rapidly dividing populations are more susceptible to its effects (nonclinical and human clinical correlates detected). Off t</w:t>
      </w:r>
      <w:r w:rsidR="003E29A1" w:rsidRPr="00B8122D">
        <w:t>arget inhibition of PDE4D</w:t>
      </w:r>
      <w:r w:rsidRPr="00B8122D">
        <w:t xml:space="preserve"> may occur (nausea and emesis are possible due to actions on PDE4). Two major human metabolites, LEQ803 and CCI284 have lower CDK4/6 inhibitory activity than ribociclib, and are unlikely to have a significant contribution to the primary pharmac</w:t>
      </w:r>
      <w:r w:rsidR="003E29A1" w:rsidRPr="00B8122D">
        <w:t>ological effects of ribociclib.</w:t>
      </w:r>
    </w:p>
    <w:p w14:paraId="51AB359E" w14:textId="77777777" w:rsidR="00E231C2" w:rsidRPr="00B8122D" w:rsidRDefault="00E231C2" w:rsidP="003E29A1">
      <w:pPr>
        <w:pStyle w:val="ListBullet"/>
      </w:pPr>
      <w:r w:rsidRPr="00B8122D">
        <w:t xml:space="preserve">Safety pharmacology studies assessed effects on the cardiovascular, respiratory (no adverse effects) and central nervous systems (no adverse effects). Ribociclib was channelopathic at hERG and </w:t>
      </w:r>
      <w:r w:rsidRPr="004F0C14">
        <w:t>Nav1.5</w:t>
      </w:r>
      <w:r w:rsidRPr="00B8122D">
        <w:t xml:space="preserve">, and induced QTc prolongation and, more rarely, PVCs </w:t>
      </w:r>
      <w:r w:rsidRPr="00162887">
        <w:rPr>
          <w:i/>
        </w:rPr>
        <w:t>in vivo</w:t>
      </w:r>
      <w:r w:rsidRPr="00B8122D">
        <w:rPr>
          <w:i/>
        </w:rPr>
        <w:t xml:space="preserve"> </w:t>
      </w:r>
      <w:r w:rsidRPr="00B8122D">
        <w:t>in dogs.</w:t>
      </w:r>
    </w:p>
    <w:p w14:paraId="2FAD197C" w14:textId="77777777" w:rsidR="003E29A1" w:rsidRPr="00B8122D" w:rsidRDefault="00E231C2" w:rsidP="00E231C2">
      <w:pPr>
        <w:pStyle w:val="ListBullet"/>
      </w:pPr>
      <w:r w:rsidRPr="00B8122D">
        <w:t xml:space="preserve">GI absorption was by rapid, moderate passive perfusion. </w:t>
      </w:r>
      <w:r w:rsidRPr="00162887">
        <w:rPr>
          <w:i/>
        </w:rPr>
        <w:t>In silico</w:t>
      </w:r>
      <w:r w:rsidRPr="00B8122D">
        <w:rPr>
          <w:i/>
        </w:rPr>
        <w:t xml:space="preserve"> </w:t>
      </w:r>
      <w:r w:rsidRPr="00B8122D">
        <w:t>modell</w:t>
      </w:r>
      <w:r w:rsidR="003E29A1" w:rsidRPr="00B8122D">
        <w:t xml:space="preserve">ing predicts gastric pH (pH 1.5 to </w:t>
      </w:r>
      <w:r w:rsidRPr="00B8122D">
        <w:t xml:space="preserve">8.0) will not affect </w:t>
      </w:r>
      <w:r w:rsidR="003E29A1" w:rsidRPr="00B8122D">
        <w:t xml:space="preserve">oral </w:t>
      </w:r>
      <w:r w:rsidRPr="00B8122D">
        <w:t xml:space="preserve">bioavailability. </w:t>
      </w:r>
      <w:r w:rsidR="003E29A1" w:rsidRPr="00B8122D">
        <w:t>Oral</w:t>
      </w:r>
      <w:r w:rsidRPr="00B8122D">
        <w:t xml:space="preserve"> bioavailability (lower </w:t>
      </w:r>
      <w:r w:rsidRPr="00B8122D">
        <w:lastRenderedPageBreak/>
        <w:t>in</w:t>
      </w:r>
      <w:r w:rsidR="003E29A1" w:rsidRPr="00B8122D">
        <w:t xml:space="preserve"> rats compared with</w:t>
      </w:r>
      <w:r w:rsidRPr="00B8122D">
        <w:rPr>
          <w:i/>
        </w:rPr>
        <w:t xml:space="preserve"> </w:t>
      </w:r>
      <w:r w:rsidRPr="00B8122D">
        <w:t>dogs and humans) was moderate (</w:t>
      </w:r>
      <w:r w:rsidR="003E29A1" w:rsidRPr="00B8122D">
        <w:t xml:space="preserve">first </w:t>
      </w:r>
      <w:r w:rsidRPr="00B8122D">
        <w:t>pass effect). Clearance was rapid (lowest in dogs, highest in rodents/monkeys) and greatly exc</w:t>
      </w:r>
      <w:r w:rsidR="003E29A1" w:rsidRPr="00B8122D">
        <w:t>eeded hepatic blood flow. High p</w:t>
      </w:r>
      <w:r w:rsidRPr="00B8122D">
        <w:t>hase II sulfation in female rats resulted in higher clearance and lower AUC (&gt;</w:t>
      </w:r>
      <w:r w:rsidR="003E29A1" w:rsidRPr="00B8122D">
        <w:t xml:space="preserve"> </w:t>
      </w:r>
      <w:r w:rsidRPr="00B8122D">
        <w:t>10</w:t>
      </w:r>
      <w:r w:rsidR="003E29A1" w:rsidRPr="00B8122D">
        <w:t xml:space="preserve"> x</w:t>
      </w:r>
      <w:r w:rsidRPr="00B8122D">
        <w:t xml:space="preserve"> in some cases) than in male rats. V</w:t>
      </w:r>
      <w:r w:rsidRPr="00B8122D">
        <w:rPr>
          <w:vertAlign w:val="subscript"/>
        </w:rPr>
        <w:t>d</w:t>
      </w:r>
      <w:r w:rsidRPr="00B8122D">
        <w:t xml:space="preserve"> was high (in part due to melanophilic sequestration). Plasma protein binding was moderate (f</w:t>
      </w:r>
      <w:r w:rsidRPr="00B8122D">
        <w:rPr>
          <w:vertAlign w:val="subscript"/>
        </w:rPr>
        <w:t>u</w:t>
      </w:r>
      <w:r w:rsidR="003E29A1" w:rsidRPr="00B8122D">
        <w:t xml:space="preserve"> 0.2 to </w:t>
      </w:r>
      <w:r w:rsidRPr="00B8122D">
        <w:t>0.34 in all species including human). Drug associated radioactivity was rapidly, widely and extra-vascularly distributed (except CNS).</w:t>
      </w:r>
      <w:r w:rsidRPr="00B8122D">
        <w:rPr>
          <w:vertAlign w:val="superscript"/>
        </w:rPr>
        <w:t xml:space="preserve"> </w:t>
      </w:r>
      <w:r w:rsidRPr="00B8122D">
        <w:t xml:space="preserve">Tissue elimination </w:t>
      </w:r>
      <w:r w:rsidR="003E29A1" w:rsidRPr="00B8122D">
        <w:t>t</w:t>
      </w:r>
      <w:r w:rsidRPr="00B8122D">
        <w:rPr>
          <w:vertAlign w:val="subscript"/>
        </w:rPr>
        <w:t>½</w:t>
      </w:r>
      <w:r w:rsidRPr="00B8122D">
        <w:t xml:space="preserve"> was short except in pigmented tissues, lymph nodes, preputial glands, lacrimal glands, Harderian glands, pituitary and testis. Hepatic uptake was mainly by passive permeation. In rats metabolism was by sulfation to metabolite M8 and N-dealkylation to LEQ803 with subsequent </w:t>
      </w:r>
      <w:r w:rsidR="003E29A1" w:rsidRPr="00B8122D">
        <w:t>p</w:t>
      </w:r>
      <w:r w:rsidRPr="00B8122D">
        <w:t>hase II reactions. In dogs and humans, metabolism was by oxidation. The major plasma form was ribociclib with two major metabolites (LEQ803 and CCI284), both of which were formed in animal species used in the toxicity studies. Ribociclib metabolism is mainly by CYP3A4 with minor contribution by FM03. CYP3A4 metabolism generated reactive intermediates and covalent drug-protein adducts (which might be responsible for hepatobiliary injury). The major route of excretion was faecal with some active P-gp mediated intestinal excretion.</w:t>
      </w:r>
    </w:p>
    <w:p w14:paraId="7C88C306" w14:textId="423BC43F" w:rsidR="003E29A1" w:rsidRPr="00B8122D" w:rsidRDefault="00E231C2" w:rsidP="00C75FEB">
      <w:pPr>
        <w:pStyle w:val="ListBullet"/>
      </w:pPr>
      <w:r w:rsidRPr="00B8122D">
        <w:t>Drug-drug interactions are likely at CYP3A4 (ribociclib is predominantly metabolised by CYP3A4 and is an inhibitor of this enzyme). Ribociclib is an inhibitor of several transporters. Clinically relevant inhibition of OCT2 (renal uptake), MATE1 (renal and biliary efflux), BSEP (biliary efflux), BCRP (biliary and intestinal efflux), MATE2K (renal efflux, low risk), and OCT1 (hepatic uptake) may occur. Ribociclib is a P-gp substrate. However, due to its moderate to high passive permeability, the rate and extent of ribociclib absorption in humans are unlikely to be significantly impacted by co-administered P-gp inhibitors or inducers.</w:t>
      </w:r>
      <w:r w:rsidR="001A17A7">
        <w:t xml:space="preserve"> </w:t>
      </w:r>
      <w:r w:rsidR="00C75FEB" w:rsidRPr="00B8122D">
        <w:t>Strong P-gp inhibitors might have some effects on active P-gp mediated intestinal secretion.</w:t>
      </w:r>
    </w:p>
    <w:p w14:paraId="1965E0D8" w14:textId="77777777" w:rsidR="003E29A1" w:rsidRPr="00B8122D" w:rsidRDefault="00E231C2" w:rsidP="00C75FEB">
      <w:pPr>
        <w:pStyle w:val="ListBullet"/>
      </w:pPr>
      <w:r w:rsidRPr="00B8122D">
        <w:t xml:space="preserve">Ribociclib had a low order of acute oral toxicity in dogs (key effect after an </w:t>
      </w:r>
      <w:r w:rsidR="003E29A1" w:rsidRPr="00B8122D">
        <w:t xml:space="preserve">oral </w:t>
      </w:r>
      <w:r w:rsidRPr="00B8122D">
        <w:t>dose: emesis; possibly PDE4 inhibition related).</w:t>
      </w:r>
    </w:p>
    <w:p w14:paraId="0E59EAC2" w14:textId="6013D4D8" w:rsidR="003E29A1" w:rsidRPr="00B8122D" w:rsidRDefault="003E29A1" w:rsidP="00E231C2">
      <w:pPr>
        <w:pStyle w:val="ListBullet"/>
      </w:pPr>
      <w:r w:rsidRPr="00B8122D">
        <w:t xml:space="preserve">Oral repeat </w:t>
      </w:r>
      <w:r w:rsidR="00E231C2" w:rsidRPr="00B8122D">
        <w:t>dose toxicity studies were conducted i</w:t>
      </w:r>
      <w:r w:rsidRPr="00B8122D">
        <w:t>n rats (≤ 27 weeks) and dogs (≤ </w:t>
      </w:r>
      <w:r w:rsidR="00E231C2" w:rsidRPr="00B8122D">
        <w:t>39</w:t>
      </w:r>
      <w:r w:rsidRPr="00B8122D">
        <w:t> </w:t>
      </w:r>
      <w:r w:rsidR="00E231C2" w:rsidRPr="00B8122D">
        <w:t xml:space="preserve">weeks) at relatively low exposure levels. Major targets were bone marrow and haematolymphopoietic system (bone marrow hypocellularity, anaemia, </w:t>
      </w:r>
      <w:r w:rsidR="00D92203" w:rsidRPr="00B8122D">
        <w:t>neutropaenia</w:t>
      </w:r>
      <w:r w:rsidR="00E231C2" w:rsidRPr="00B8122D">
        <w:t>, thrombocytopenia, lymphoid germinal centre depletion), hepatobiliary system (mild), renal tubular epithelia (mild, no decompensated renal failure), skin (epidermal atrophy), bone and cartilage (decreased chondrogenesis and</w:t>
      </w:r>
      <w:r w:rsidR="00DB0E0D">
        <w:t xml:space="preserve"> </w:t>
      </w:r>
      <w:r w:rsidR="00E231C2" w:rsidRPr="00B8122D">
        <w:t xml:space="preserve">osteogenesis), and spermatogenesis. The effects (except hepatobiliary) were likely primary pharmacologically mediated. The skeletal effects may result in poor fracture healing/malunions. Findings in CKD4 knockout mice suggest that the following effects not observed in the toxicology </w:t>
      </w:r>
      <w:r w:rsidRPr="00B8122D">
        <w:t xml:space="preserve">studies may occur in patients: </w:t>
      </w:r>
      <w:r w:rsidR="00E231C2" w:rsidRPr="00B8122D">
        <w:t>a) insulin deficient diabetes mellitus and decreased pancreatic beta ce</w:t>
      </w:r>
      <w:r w:rsidRPr="00B8122D">
        <w:t xml:space="preserve">lls; </w:t>
      </w:r>
      <w:r w:rsidR="00E231C2" w:rsidRPr="00B8122D">
        <w:t xml:space="preserve">b) </w:t>
      </w:r>
      <w:r w:rsidR="00DB0E0D" w:rsidRPr="00B8122D">
        <w:t>ade</w:t>
      </w:r>
      <w:r w:rsidR="00DB0E0D">
        <w:t>n</w:t>
      </w:r>
      <w:r w:rsidR="00DB0E0D" w:rsidRPr="00B8122D">
        <w:t xml:space="preserve">ohypophyseal </w:t>
      </w:r>
      <w:r w:rsidR="00E231C2" w:rsidRPr="00B8122D">
        <w:t>hypoplasia</w:t>
      </w:r>
      <w:r w:rsidRPr="00B8122D">
        <w:t xml:space="preserve"> due to decreased lactotrophs; </w:t>
      </w:r>
      <w:r w:rsidR="00E231C2" w:rsidRPr="00B8122D">
        <w:t>c) defects</w:t>
      </w:r>
      <w:r w:rsidRPr="00B8122D">
        <w:t xml:space="preserve"> in thymic T cell development; d) GI </w:t>
      </w:r>
      <w:r w:rsidR="00E231C2" w:rsidRPr="00B8122D">
        <w:t>trac</w:t>
      </w:r>
      <w:r w:rsidRPr="00B8122D">
        <w:t xml:space="preserve">t erosions and ulceration; and </w:t>
      </w:r>
      <w:r w:rsidR="00E231C2" w:rsidRPr="00B8122D">
        <w:t>e) decreased erythrocyte li</w:t>
      </w:r>
      <w:r w:rsidRPr="00B8122D">
        <w:t>fespan and increased fragility.</w:t>
      </w:r>
    </w:p>
    <w:p w14:paraId="5952EB8B" w14:textId="77777777" w:rsidR="003E29A1" w:rsidRPr="00B8122D" w:rsidRDefault="00E231C2" w:rsidP="00E231C2">
      <w:pPr>
        <w:pStyle w:val="ListBullet"/>
      </w:pPr>
      <w:r w:rsidRPr="00B8122D">
        <w:t xml:space="preserve">Ribociclib was not mutagenic in bacterial mutation assays or clastogenic </w:t>
      </w:r>
      <w:r w:rsidRPr="00162887">
        <w:rPr>
          <w:i/>
        </w:rPr>
        <w:t>in vitro</w:t>
      </w:r>
      <w:r w:rsidRPr="00B8122D">
        <w:t xml:space="preserve"> (in human lymphocytes and mouse lymphoma cells) or </w:t>
      </w:r>
      <w:r w:rsidRPr="00162887">
        <w:rPr>
          <w:i/>
        </w:rPr>
        <w:t>in vivo</w:t>
      </w:r>
      <w:r w:rsidRPr="00B8122D">
        <w:t xml:space="preserve"> (rat bone marrow micronucleus test)</w:t>
      </w:r>
      <w:r w:rsidRPr="00B8122D">
        <w:rPr>
          <w:i/>
        </w:rPr>
        <w:t>.</w:t>
      </w:r>
    </w:p>
    <w:p w14:paraId="1749F76E" w14:textId="19B1B1EC" w:rsidR="003E29A1" w:rsidRPr="00B8122D" w:rsidRDefault="00E231C2" w:rsidP="00E231C2">
      <w:pPr>
        <w:pStyle w:val="ListBullet"/>
      </w:pPr>
      <w:r w:rsidRPr="00B8122D">
        <w:t>Subclinical doses of ribociclib disrupted spermatogenesis. Ribociclib or its meta</w:t>
      </w:r>
      <w:r w:rsidR="003E29A1" w:rsidRPr="00B8122D">
        <w:t xml:space="preserve">bolites cross the placenta and </w:t>
      </w:r>
      <w:r w:rsidRPr="00B8122D">
        <w:t>galactogenic transfer is high in rats. Sub</w:t>
      </w:r>
      <w:r w:rsidR="003E29A1" w:rsidRPr="00B8122D">
        <w:t>-</w:t>
      </w:r>
      <w:r w:rsidRPr="00B8122D">
        <w:t xml:space="preserve">maternotoxic dosing of rabbits was associated with adverse effects on the development of the lungs, aortic arch, diaphragm, ribs, hyoid bones, manus and pes, skull and eyes in the fetus. CDK4 knockout mouse data suggest that </w:t>
      </w:r>
      <w:r w:rsidR="0075300D" w:rsidRPr="00B8122D">
        <w:t>ribociclib</w:t>
      </w:r>
      <w:r w:rsidRPr="00B8122D">
        <w:t xml:space="preserve"> may inhibit pancreatic beta cell, adenohyp</w:t>
      </w:r>
      <w:r w:rsidR="003E29A1" w:rsidRPr="00B8122D">
        <w:t>ophysis and T cell development.</w:t>
      </w:r>
    </w:p>
    <w:p w14:paraId="33D9E945" w14:textId="78A68AC5" w:rsidR="00E231C2" w:rsidRPr="00B8122D" w:rsidRDefault="00E231C2" w:rsidP="00E231C2">
      <w:pPr>
        <w:pStyle w:val="ListBullet"/>
      </w:pPr>
      <w:r w:rsidRPr="00B8122D">
        <w:lastRenderedPageBreak/>
        <w:t>Ribociclib has low phototoxic risk. Ribociclib is not irritating or corrosive to the skin; however</w:t>
      </w:r>
      <w:r w:rsidR="003E29A1" w:rsidRPr="00B8122D">
        <w:t>,</w:t>
      </w:r>
      <w:r w:rsidRPr="00B8122D">
        <w:t xml:space="preserve"> there are strong mechanistic reasons (based on CDK4/6 knockout mouse data) to suspect that ribociclib will cause GI erosion and ulceration.</w:t>
      </w:r>
    </w:p>
    <w:p w14:paraId="1BFD11B4" w14:textId="77777777" w:rsidR="00A87639" w:rsidRPr="00B8122D" w:rsidRDefault="00502D6A" w:rsidP="00A87639">
      <w:pPr>
        <w:pStyle w:val="Heading4"/>
      </w:pPr>
      <w:bookmarkStart w:id="79" w:name="_Toc294861479"/>
      <w:bookmarkStart w:id="80" w:name="_Toc295290862"/>
      <w:bookmarkStart w:id="81" w:name="_Toc465087719"/>
      <w:bookmarkStart w:id="82" w:name="_Toc479756643"/>
      <w:bookmarkStart w:id="83" w:name="_Toc482796024"/>
      <w:r w:rsidRPr="00B8122D">
        <w:t>Conclusions</w:t>
      </w:r>
      <w:bookmarkEnd w:id="79"/>
      <w:bookmarkEnd w:id="80"/>
      <w:bookmarkEnd w:id="81"/>
      <w:bookmarkEnd w:id="82"/>
      <w:bookmarkEnd w:id="83"/>
    </w:p>
    <w:p w14:paraId="522F3313" w14:textId="569CD5E5" w:rsidR="00E231C2" w:rsidRPr="00B8122D" w:rsidRDefault="00E231C2" w:rsidP="00A87639">
      <w:pPr>
        <w:pStyle w:val="ListBullet"/>
      </w:pPr>
      <w:r w:rsidRPr="00B8122D">
        <w:t xml:space="preserve">The nonclinical primary pharmacology studies support the proposed indication of ribociclib, although ribociclib had no inhibitory activity against pRb negative breast cancer cell lines </w:t>
      </w:r>
      <w:r w:rsidRPr="00162887">
        <w:rPr>
          <w:i/>
        </w:rPr>
        <w:t>in vitro</w:t>
      </w:r>
      <w:r w:rsidRPr="00B8122D">
        <w:t>.</w:t>
      </w:r>
    </w:p>
    <w:p w14:paraId="77C730BF" w14:textId="77777777" w:rsidR="00E231C2" w:rsidRPr="00B8122D" w:rsidRDefault="00E231C2" w:rsidP="00A87639">
      <w:pPr>
        <w:pStyle w:val="ListBullet"/>
      </w:pPr>
      <w:r w:rsidRPr="00B8122D">
        <w:t>Ribociclib will likely induce selection pressure associated drug escape and resumption of ribociclib treatment after a drug holiday will likely be associated with reduced efficacy. The mechanisms of ribociclib resistance have not been studied.</w:t>
      </w:r>
    </w:p>
    <w:p w14:paraId="2FA60F37" w14:textId="480F54F9" w:rsidR="00E231C2" w:rsidRPr="00B8122D" w:rsidRDefault="00E231C2" w:rsidP="00A87639">
      <w:pPr>
        <w:pStyle w:val="ListBullet"/>
      </w:pPr>
      <w:r w:rsidRPr="00B8122D">
        <w:t>The animal toxicity studies revealed the following</w:t>
      </w:r>
      <w:r w:rsidR="00A87639" w:rsidRPr="00B8122D">
        <w:t xml:space="preserve"> clinically relevant findings: a) </w:t>
      </w:r>
      <w:r w:rsidRPr="00B8122D">
        <w:t>cardiac channe</w:t>
      </w:r>
      <w:r w:rsidR="00A87639" w:rsidRPr="00B8122D">
        <w:t xml:space="preserve">lopathies and QT prolongation; </w:t>
      </w:r>
      <w:r w:rsidRPr="00B8122D">
        <w:t xml:space="preserve">b) adverse effects on bone marrow and lymphoid systems resulting in anaemia, </w:t>
      </w:r>
      <w:r w:rsidR="00D92203" w:rsidRPr="00B8122D">
        <w:t>neutropaenia</w:t>
      </w:r>
      <w:r w:rsidRPr="00B8122D">
        <w:t>, thrombocytopenia and lymphoid depletion (potentially</w:t>
      </w:r>
      <w:r w:rsidR="00A87639" w:rsidRPr="00B8122D">
        <w:t xml:space="preserve"> increased risk of infection); c) skin atrophy; </w:t>
      </w:r>
      <w:r w:rsidRPr="00B8122D">
        <w:t>d) defective ch</w:t>
      </w:r>
      <w:r w:rsidR="00A87639" w:rsidRPr="00B8122D">
        <w:t xml:space="preserve">ondrogenesis/osteogenesis; and </w:t>
      </w:r>
      <w:r w:rsidRPr="00B8122D">
        <w:t>e) disruption of spermatogenesis (risk of male infertility).</w:t>
      </w:r>
    </w:p>
    <w:p w14:paraId="10A28654" w14:textId="4AD71215" w:rsidR="00E231C2" w:rsidRPr="00B8122D" w:rsidRDefault="00E231C2" w:rsidP="00A87639">
      <w:pPr>
        <w:pStyle w:val="ListBullet"/>
      </w:pPr>
      <w:r w:rsidRPr="00B8122D">
        <w:t>Based on CDK4/6 knockout mouse data,</w:t>
      </w:r>
      <w:r w:rsidR="00A87639" w:rsidRPr="00B8122D">
        <w:t xml:space="preserve"> </w:t>
      </w:r>
      <w:r w:rsidRPr="00B8122D">
        <w:t>there are strong mechanistic reasons to suspect that ribociclib tre</w:t>
      </w:r>
      <w:r w:rsidR="00A87639" w:rsidRPr="00B8122D">
        <w:t xml:space="preserve">atment may be associated with: </w:t>
      </w:r>
      <w:r w:rsidRPr="00B8122D">
        <w:t>a) increased risk of diabetes mellitus (including a</w:t>
      </w:r>
      <w:r w:rsidR="00A87639" w:rsidRPr="00B8122D">
        <w:t xml:space="preserve">dverse developmental effects); </w:t>
      </w:r>
      <w:r w:rsidRPr="00B8122D">
        <w:t>b) increased risk of adverse effects on the adenohypop</w:t>
      </w:r>
      <w:r w:rsidR="00DB0E0D">
        <w:t>h</w:t>
      </w:r>
      <w:r w:rsidRPr="00B8122D">
        <w:t>ysis (including adverse developmental effects), hypoprola</w:t>
      </w:r>
      <w:r w:rsidR="003E2AC3">
        <w:t>c</w:t>
      </w:r>
      <w:r w:rsidRPr="00B8122D">
        <w:t>tinaemia and other disruptions of the hypothalam</w:t>
      </w:r>
      <w:r w:rsidR="00A87639" w:rsidRPr="00B8122D">
        <w:t>ic pituitary gonadal axis; and c) </w:t>
      </w:r>
      <w:r w:rsidRPr="00B8122D">
        <w:t>gastrointestinal disturbances.</w:t>
      </w:r>
    </w:p>
    <w:p w14:paraId="4607F3B8" w14:textId="64110D76" w:rsidR="00E231C2" w:rsidRPr="00B8122D" w:rsidRDefault="00E231C2" w:rsidP="00A87639">
      <w:pPr>
        <w:pStyle w:val="ListBullet"/>
      </w:pPr>
      <w:r w:rsidRPr="00B8122D">
        <w:t xml:space="preserve">Clinically relevant drug interactions may occur at CYP3A4, OCT2 (renal uptake), MATE1 (renal and biliary efflux), BSEP (biliary efflux), BCRP (biliary and intestinal efflux), MATE2K (renal efflux, low risk), and OCT1 (hepatic uptake). Strong </w:t>
      </w:r>
      <w:r w:rsidR="007C0A85" w:rsidRPr="00B8122D">
        <w:t>P-gp</w:t>
      </w:r>
      <w:r w:rsidRPr="00B8122D">
        <w:t xml:space="preserve"> inhibitors might increase plasma ribociclib concentration.</w:t>
      </w:r>
    </w:p>
    <w:p w14:paraId="4845ED69" w14:textId="0D7DE863" w:rsidR="00A87639" w:rsidRPr="00B8122D" w:rsidRDefault="00A87639" w:rsidP="00A87639">
      <w:pPr>
        <w:pStyle w:val="Heading4"/>
      </w:pPr>
      <w:r w:rsidRPr="00B8122D">
        <w:t>Nonclinical evaluator’s recommendation</w:t>
      </w:r>
    </w:p>
    <w:p w14:paraId="3A1DC451" w14:textId="4C432DEE" w:rsidR="00E231C2" w:rsidRPr="00B8122D" w:rsidRDefault="00E231C2" w:rsidP="003E2AC3">
      <w:r w:rsidRPr="00B8122D">
        <w:t>There are no nonclinical objections to the approval of ribociclib. The toxicity of combination treatment with letrozole has not been evaluated in nonclinical studies. The absence of toxicity studies for new combination therapy is not</w:t>
      </w:r>
      <w:r w:rsidR="00A87639" w:rsidRPr="00B8122D">
        <w:t xml:space="preserve"> uncommon for anticancer drugs.</w:t>
      </w:r>
    </w:p>
    <w:p w14:paraId="4C6ABCE2" w14:textId="29DF263E" w:rsidR="008E7846" w:rsidRPr="00B8122D" w:rsidRDefault="008E7846" w:rsidP="008E7846">
      <w:pPr>
        <w:pStyle w:val="Heading2"/>
      </w:pPr>
      <w:bookmarkStart w:id="84" w:name="_Toc196046462"/>
      <w:bookmarkStart w:id="85" w:name="_Toc247691516"/>
      <w:bookmarkStart w:id="86" w:name="_Toc314842500"/>
      <w:bookmarkStart w:id="87" w:name="_Toc44685903"/>
      <w:bookmarkStart w:id="88" w:name="_Toc163441353"/>
      <w:bookmarkStart w:id="89" w:name="_Toc163441348"/>
      <w:r w:rsidRPr="00B8122D">
        <w:t>V. Clinical</w:t>
      </w:r>
      <w:bookmarkEnd w:id="84"/>
      <w:r w:rsidRPr="00B8122D">
        <w:t xml:space="preserve"> </w:t>
      </w:r>
      <w:r w:rsidR="003A7F6C" w:rsidRPr="00B8122D">
        <w:t>f</w:t>
      </w:r>
      <w:r w:rsidRPr="00B8122D">
        <w:t>indings</w:t>
      </w:r>
      <w:bookmarkEnd w:id="85"/>
      <w:bookmarkEnd w:id="86"/>
      <w:bookmarkEnd w:id="87"/>
    </w:p>
    <w:p w14:paraId="35DD17B9" w14:textId="461F86D9" w:rsidR="00C80137" w:rsidRPr="00B8122D" w:rsidRDefault="00C80137" w:rsidP="00D425BB">
      <w:bookmarkStart w:id="90" w:name="_Toc196046463"/>
      <w:r w:rsidRPr="00B8122D">
        <w:t>A summary of the clinical findings is presented in this section.</w:t>
      </w:r>
    </w:p>
    <w:p w14:paraId="2AB1C53C" w14:textId="77777777" w:rsidR="008E7846" w:rsidRPr="00B8122D" w:rsidRDefault="008E7846" w:rsidP="008E7846">
      <w:pPr>
        <w:pStyle w:val="Heading3"/>
      </w:pPr>
      <w:bookmarkStart w:id="91" w:name="_Toc247691517"/>
      <w:bookmarkStart w:id="92" w:name="_Toc314842501"/>
      <w:bookmarkStart w:id="93" w:name="_Toc44685904"/>
      <w:r w:rsidRPr="00B8122D">
        <w:t>Introduction</w:t>
      </w:r>
      <w:bookmarkEnd w:id="90"/>
      <w:bookmarkEnd w:id="91"/>
      <w:bookmarkEnd w:id="92"/>
      <w:bookmarkEnd w:id="93"/>
    </w:p>
    <w:p w14:paraId="00E84CEB" w14:textId="77777777" w:rsidR="00605AD4" w:rsidRPr="00B8122D" w:rsidRDefault="00605AD4" w:rsidP="00605AD4">
      <w:pPr>
        <w:pStyle w:val="Heading4"/>
      </w:pPr>
      <w:bookmarkStart w:id="94" w:name="_Toc196046464"/>
      <w:bookmarkStart w:id="95" w:name="_Toc247691518"/>
      <w:bookmarkStart w:id="96" w:name="_Toc314842502"/>
      <w:r w:rsidRPr="00B8122D">
        <w:t xml:space="preserve">Clinical </w:t>
      </w:r>
      <w:r w:rsidR="00EF59DC" w:rsidRPr="00B8122D">
        <w:t>r</w:t>
      </w:r>
      <w:r w:rsidRPr="00B8122D">
        <w:t>ationale</w:t>
      </w:r>
    </w:p>
    <w:p w14:paraId="5ADEDFCA" w14:textId="441C4E71" w:rsidR="00B2407F" w:rsidRPr="00B8122D" w:rsidRDefault="00B2407F" w:rsidP="00B2407F">
      <w:r w:rsidRPr="00B8122D">
        <w:t xml:space="preserve">The sponsor’s Clinical Overview provided a </w:t>
      </w:r>
      <w:r w:rsidR="000A4D87" w:rsidRPr="00B8122D">
        <w:t>product development rationale</w:t>
      </w:r>
      <w:r w:rsidRPr="00B8122D">
        <w:t xml:space="preserve">. This included a brief description of the epidemiology of breast cancer worldwide and current treatment options for the target indication. The treatment options described include agents that are available outside of Australia, such as palbociclib in combination with </w:t>
      </w:r>
      <w:r w:rsidR="003E2AC3">
        <w:t>letrozole.</w:t>
      </w:r>
    </w:p>
    <w:p w14:paraId="333C304F" w14:textId="77777777" w:rsidR="00B2407F" w:rsidRPr="00B8122D" w:rsidRDefault="00B2407F" w:rsidP="00726CA1">
      <w:pPr>
        <w:keepNext/>
      </w:pPr>
      <w:r w:rsidRPr="00B8122D">
        <w:lastRenderedPageBreak/>
        <w:t>As summarised below, the Clinical Overview also described:</w:t>
      </w:r>
    </w:p>
    <w:p w14:paraId="27161E11" w14:textId="524B2B99" w:rsidR="00B2407F" w:rsidRPr="00B8122D" w:rsidRDefault="00EA56E6" w:rsidP="00B2407F">
      <w:pPr>
        <w:numPr>
          <w:ilvl w:val="0"/>
          <w:numId w:val="1"/>
        </w:numPr>
      </w:pPr>
      <w:r>
        <w:t xml:space="preserve">The unmet need in the first </w:t>
      </w:r>
      <w:r w:rsidR="00B2407F" w:rsidRPr="00B8122D">
        <w:t>line setting for postmenopausal women with HR positive, HER2 negative advanced breast cancer due to endocrine resistance</w:t>
      </w:r>
      <w:r>
        <w:t xml:space="preserve">, as described in the </w:t>
      </w:r>
      <w:r w:rsidR="00882955" w:rsidRPr="00A1327B">
        <w:rPr>
          <w:i/>
        </w:rPr>
        <w:t>I</w:t>
      </w:r>
      <w:r w:rsidRPr="00A1327B">
        <w:rPr>
          <w:i/>
        </w:rPr>
        <w:t>ntroduction</w:t>
      </w:r>
      <w:r w:rsidR="00882955" w:rsidRPr="00A1327B">
        <w:rPr>
          <w:i/>
        </w:rPr>
        <w:t xml:space="preserve"> to product submission</w:t>
      </w:r>
      <w:r w:rsidR="00882955">
        <w:t xml:space="preserve"> and the </w:t>
      </w:r>
      <w:r w:rsidR="00882955" w:rsidRPr="00A1327B">
        <w:rPr>
          <w:i/>
        </w:rPr>
        <w:t>Product background</w:t>
      </w:r>
      <w:r>
        <w:t>,</w:t>
      </w:r>
      <w:r w:rsidR="00882955">
        <w:t xml:space="preserve"> (see</w:t>
      </w:r>
      <w:r>
        <w:t xml:space="preserve"> above</w:t>
      </w:r>
      <w:r w:rsidR="00882955">
        <w:t>)</w:t>
      </w:r>
      <w:r w:rsidR="00B2407F" w:rsidRPr="00B8122D">
        <w:t>.</w:t>
      </w:r>
    </w:p>
    <w:p w14:paraId="168C4413" w14:textId="77777777" w:rsidR="00B2407F" w:rsidRPr="00B8122D" w:rsidRDefault="00B2407F" w:rsidP="00B2407F">
      <w:pPr>
        <w:numPr>
          <w:ilvl w:val="0"/>
          <w:numId w:val="1"/>
        </w:numPr>
      </w:pPr>
      <w:r w:rsidRPr="00B8122D">
        <w:t>The purported mechanism of action and development of CDKi.</w:t>
      </w:r>
    </w:p>
    <w:p w14:paraId="00670050" w14:textId="77777777" w:rsidR="00605AD4" w:rsidRPr="00B8122D" w:rsidRDefault="00605AD4" w:rsidP="00605AD4">
      <w:pPr>
        <w:pStyle w:val="Heading4"/>
      </w:pPr>
      <w:r w:rsidRPr="00B8122D">
        <w:t>Contents of the clinical dossier</w:t>
      </w:r>
    </w:p>
    <w:p w14:paraId="19F7E906" w14:textId="525E8A3F" w:rsidR="00173C50" w:rsidRPr="00B8122D" w:rsidRDefault="00173C50" w:rsidP="00B83C8F">
      <w:pPr>
        <w:pStyle w:val="ListBullet"/>
        <w:rPr>
          <w:lang w:eastAsia="ja-JP"/>
        </w:rPr>
      </w:pPr>
      <w:r w:rsidRPr="00B8122D">
        <w:rPr>
          <w:lang w:eastAsia="ja-JP"/>
        </w:rPr>
        <w:t>Biopharmaceutic/pharmacokinetic studies:</w:t>
      </w:r>
    </w:p>
    <w:p w14:paraId="56B35402" w14:textId="0B74075E" w:rsidR="00173C50" w:rsidRPr="00B8122D" w:rsidRDefault="00173C50" w:rsidP="00B83C8F">
      <w:pPr>
        <w:pStyle w:val="ListBullet2"/>
        <w:rPr>
          <w:lang w:eastAsia="ja-JP"/>
        </w:rPr>
      </w:pPr>
      <w:r w:rsidRPr="00B8122D">
        <w:rPr>
          <w:lang w:eastAsia="ja-JP"/>
        </w:rPr>
        <w:t>Study A2103</w:t>
      </w:r>
      <w:r w:rsidR="00867B88" w:rsidRPr="00B8122D">
        <w:rPr>
          <w:lang w:eastAsia="ja-JP"/>
        </w:rPr>
        <w:t xml:space="preserve">, </w:t>
      </w:r>
      <w:r w:rsidR="003E2AC3">
        <w:rPr>
          <w:lang w:eastAsia="ja-JP"/>
        </w:rPr>
        <w:t xml:space="preserve">bioequivalence of the capsule </w:t>
      </w:r>
      <w:r w:rsidR="00587709">
        <w:rPr>
          <w:lang w:eastAsia="ja-JP"/>
        </w:rPr>
        <w:t xml:space="preserve">formulation </w:t>
      </w:r>
      <w:r w:rsidR="003E2AC3">
        <w:rPr>
          <w:lang w:eastAsia="ja-JP"/>
        </w:rPr>
        <w:t>film coated table</w:t>
      </w:r>
      <w:r w:rsidR="00E7450B">
        <w:rPr>
          <w:lang w:eastAsia="ja-JP"/>
        </w:rPr>
        <w:t>t</w:t>
      </w:r>
      <w:r w:rsidR="003E2AC3">
        <w:rPr>
          <w:lang w:eastAsia="ja-JP"/>
        </w:rPr>
        <w:t>;</w:t>
      </w:r>
      <w:r w:rsidRPr="00B8122D">
        <w:rPr>
          <w:lang w:eastAsia="ja-JP"/>
        </w:rPr>
        <w:t xml:space="preserve"> food effect on the pharmacokinetics of </w:t>
      </w:r>
      <w:r w:rsidR="00867B88" w:rsidRPr="00B8122D">
        <w:rPr>
          <w:lang w:eastAsia="ja-JP"/>
        </w:rPr>
        <w:t xml:space="preserve">the </w:t>
      </w:r>
      <w:r w:rsidRPr="00B8122D">
        <w:rPr>
          <w:lang w:eastAsia="ja-JP"/>
        </w:rPr>
        <w:t xml:space="preserve">600 mg </w:t>
      </w:r>
      <w:r w:rsidR="003E2AC3">
        <w:rPr>
          <w:lang w:eastAsia="ja-JP"/>
        </w:rPr>
        <w:t xml:space="preserve">film coated tablet </w:t>
      </w:r>
      <w:r w:rsidRPr="00B8122D">
        <w:rPr>
          <w:lang w:eastAsia="ja-JP"/>
        </w:rPr>
        <w:t>formulation</w:t>
      </w:r>
      <w:r w:rsidR="00867B88" w:rsidRPr="00B8122D">
        <w:rPr>
          <w:lang w:eastAsia="ja-JP"/>
        </w:rPr>
        <w:t xml:space="preserve"> (single dose)</w:t>
      </w:r>
      <w:r w:rsidRPr="00B8122D">
        <w:rPr>
          <w:lang w:eastAsia="ja-JP"/>
        </w:rPr>
        <w:t>.</w:t>
      </w:r>
    </w:p>
    <w:p w14:paraId="0FEA8707" w14:textId="7A495122" w:rsidR="00173C50" w:rsidRPr="00B8122D" w:rsidRDefault="00867B88" w:rsidP="00B83C8F">
      <w:pPr>
        <w:pStyle w:val="ListBullet2"/>
        <w:rPr>
          <w:lang w:eastAsia="ja-JP"/>
        </w:rPr>
      </w:pPr>
      <w:r w:rsidRPr="00B8122D">
        <w:rPr>
          <w:lang w:eastAsia="ja-JP"/>
        </w:rPr>
        <w:t xml:space="preserve">Study A2111, </w:t>
      </w:r>
      <w:r w:rsidR="00173C50" w:rsidRPr="00B8122D">
        <w:rPr>
          <w:lang w:eastAsia="ja-JP"/>
        </w:rPr>
        <w:t xml:space="preserve">food effect on the </w:t>
      </w:r>
      <w:r w:rsidRPr="00B8122D">
        <w:rPr>
          <w:lang w:eastAsia="ja-JP"/>
        </w:rPr>
        <w:t xml:space="preserve">pharmacokinetics of the 600 mg </w:t>
      </w:r>
      <w:r w:rsidR="003E2AC3">
        <w:rPr>
          <w:lang w:eastAsia="ja-JP"/>
        </w:rPr>
        <w:t xml:space="preserve">drug in capsule </w:t>
      </w:r>
      <w:r w:rsidRPr="00B8122D">
        <w:rPr>
          <w:lang w:eastAsia="ja-JP"/>
        </w:rPr>
        <w:t>formulation (single dose).</w:t>
      </w:r>
    </w:p>
    <w:p w14:paraId="591623E8" w14:textId="39CB49FD" w:rsidR="00B83C8F" w:rsidRPr="00B8122D" w:rsidRDefault="00867B88" w:rsidP="00867B88">
      <w:pPr>
        <w:pStyle w:val="ListBullet2"/>
        <w:rPr>
          <w:lang w:eastAsia="ja-JP"/>
        </w:rPr>
      </w:pPr>
      <w:r w:rsidRPr="00B8122D">
        <w:rPr>
          <w:lang w:eastAsia="ja-JP"/>
        </w:rPr>
        <w:t xml:space="preserve">Study X2101, </w:t>
      </w:r>
      <w:r w:rsidR="00173C50" w:rsidRPr="00B8122D">
        <w:rPr>
          <w:lang w:eastAsia="ja-JP"/>
        </w:rPr>
        <w:t xml:space="preserve">relative bioavailability </w:t>
      </w:r>
      <w:r w:rsidRPr="00B8122D">
        <w:rPr>
          <w:lang w:eastAsia="ja-JP"/>
        </w:rPr>
        <w:t xml:space="preserve">of the </w:t>
      </w:r>
      <w:r w:rsidR="003E2AC3">
        <w:rPr>
          <w:lang w:eastAsia="ja-JP"/>
        </w:rPr>
        <w:t>capsule</w:t>
      </w:r>
      <w:r w:rsidR="00587709">
        <w:rPr>
          <w:lang w:eastAsia="ja-JP"/>
        </w:rPr>
        <w:t xml:space="preserve"> formulation</w:t>
      </w:r>
      <w:r w:rsidRPr="00B8122D">
        <w:rPr>
          <w:lang w:eastAsia="ja-JP"/>
        </w:rPr>
        <w:t xml:space="preserve"> to an oral solution.</w:t>
      </w:r>
    </w:p>
    <w:p w14:paraId="50A0956C" w14:textId="6CC9A23C" w:rsidR="00867B88" w:rsidRPr="00B8122D" w:rsidRDefault="00867B88" w:rsidP="00B83C8F">
      <w:pPr>
        <w:pStyle w:val="ListBullet"/>
        <w:rPr>
          <w:lang w:eastAsia="ja-JP"/>
        </w:rPr>
      </w:pPr>
      <w:r w:rsidRPr="00B8122D">
        <w:t>P</w:t>
      </w:r>
      <w:r w:rsidR="003E2AC3">
        <w:t>harmacokinetic</w:t>
      </w:r>
      <w:r w:rsidRPr="00B8122D">
        <w:t xml:space="preserve"> studies in healthy subjects:</w:t>
      </w:r>
    </w:p>
    <w:p w14:paraId="3B91322B" w14:textId="6A44D0E4" w:rsidR="00867B88" w:rsidRPr="00B8122D" w:rsidRDefault="00867B88" w:rsidP="00B83C8F">
      <w:pPr>
        <w:pStyle w:val="ListBullet2"/>
      </w:pPr>
      <w:r w:rsidRPr="00B8122D">
        <w:t>Studies A2102, A2102b, A2102c and A2102d; initial tolerability studies.</w:t>
      </w:r>
    </w:p>
    <w:p w14:paraId="4C3E5E9B" w14:textId="43335C23" w:rsidR="00867B88" w:rsidRPr="00B8122D" w:rsidRDefault="00867B88" w:rsidP="00B83C8F">
      <w:pPr>
        <w:pStyle w:val="ListBullet2"/>
      </w:pPr>
      <w:r w:rsidRPr="00B8122D">
        <w:t>Study A2109 in patients with impaired hepatic function.</w:t>
      </w:r>
    </w:p>
    <w:p w14:paraId="0FC048FD" w14:textId="79A182FB" w:rsidR="00867B88" w:rsidRPr="00B8122D" w:rsidRDefault="00867B88" w:rsidP="00B83C8F">
      <w:pPr>
        <w:pStyle w:val="ListBullet2"/>
      </w:pPr>
      <w:r w:rsidRPr="00B8122D">
        <w:t>Studies A2101 and A2106; drug interaction studies</w:t>
      </w:r>
      <w:r w:rsidR="00C227FD" w:rsidRPr="00B8122D">
        <w:t>.</w:t>
      </w:r>
    </w:p>
    <w:p w14:paraId="40A7D5A9" w14:textId="10F29F7D" w:rsidR="00B83C8F" w:rsidRPr="00B8122D" w:rsidRDefault="00867B88" w:rsidP="00734AD2">
      <w:pPr>
        <w:pStyle w:val="ListBullet2"/>
      </w:pPr>
      <w:r w:rsidRPr="00B8122D">
        <w:t>A population pha</w:t>
      </w:r>
      <w:r w:rsidR="00C227FD" w:rsidRPr="00B8122D">
        <w:t>r</w:t>
      </w:r>
      <w:r w:rsidRPr="00B8122D">
        <w:t>macokinetics</w:t>
      </w:r>
      <w:r w:rsidR="00673419">
        <w:t xml:space="preserve"> (Pop</w:t>
      </w:r>
      <w:r w:rsidR="003E2AC3">
        <w:t>PK)</w:t>
      </w:r>
      <w:r w:rsidRPr="00B8122D">
        <w:t xml:space="preserve"> study and exposure response study (absolute neutrophil count).</w:t>
      </w:r>
    </w:p>
    <w:p w14:paraId="7746F1E6" w14:textId="01BC7AC2" w:rsidR="000A2182" w:rsidRPr="00B8122D" w:rsidRDefault="000A2182" w:rsidP="00B83C8F">
      <w:pPr>
        <w:pStyle w:val="ListBullet"/>
      </w:pPr>
      <w:r w:rsidRPr="00B8122D">
        <w:t>Key</w:t>
      </w:r>
      <w:r w:rsidR="00C227FD" w:rsidRPr="00B8122D">
        <w:t xml:space="preserve"> clinical</w:t>
      </w:r>
      <w:r w:rsidRPr="00B8122D">
        <w:t xml:space="preserve"> studies included </w:t>
      </w:r>
      <w:r w:rsidR="00734AD2" w:rsidRPr="00B8122D">
        <w:t>with</w:t>
      </w:r>
      <w:r w:rsidRPr="00B8122D">
        <w:t xml:space="preserve"> the initial submitted data were:</w:t>
      </w:r>
    </w:p>
    <w:p w14:paraId="77BAEBF4" w14:textId="184670C2" w:rsidR="000A2182" w:rsidRPr="00B8122D" w:rsidRDefault="000A2182" w:rsidP="00B83C8F">
      <w:pPr>
        <w:pStyle w:val="ListBullet2"/>
      </w:pPr>
      <w:r w:rsidRPr="00B8122D">
        <w:t>Study A2301,</w:t>
      </w:r>
      <w:r w:rsidR="00734AD2" w:rsidRPr="00B8122D">
        <w:t xml:space="preserve"> the pivotal Phase III study</w:t>
      </w:r>
      <w:r w:rsidRPr="00B8122D">
        <w:t xml:space="preserve"> </w:t>
      </w:r>
      <w:r w:rsidR="00734AD2" w:rsidRPr="00B8122D">
        <w:t xml:space="preserve">(also known as the </w:t>
      </w:r>
      <w:r w:rsidRPr="00B8122D">
        <w:t>MONALEESA-2</w:t>
      </w:r>
      <w:r w:rsidR="00734AD2" w:rsidRPr="00B8122D">
        <w:t xml:space="preserve"> trial)</w:t>
      </w:r>
      <w:r w:rsidR="00C227FD" w:rsidRPr="00B8122D">
        <w:t>.</w:t>
      </w:r>
    </w:p>
    <w:p w14:paraId="1DBAFB90" w14:textId="6B66CB6E" w:rsidR="00734AD2" w:rsidRPr="00B8122D" w:rsidRDefault="000A2182" w:rsidP="00B83C8F">
      <w:pPr>
        <w:pStyle w:val="ListBullet2"/>
      </w:pPr>
      <w:r w:rsidRPr="00B8122D">
        <w:t>Study X2107</w:t>
      </w:r>
      <w:r w:rsidR="00867B88" w:rsidRPr="00B8122D">
        <w:t xml:space="preserve">, </w:t>
      </w:r>
      <w:r w:rsidRPr="00B8122D">
        <w:t xml:space="preserve">a </w:t>
      </w:r>
      <w:r w:rsidR="00734AD2" w:rsidRPr="00B8122D">
        <w:t xml:space="preserve">supportive </w:t>
      </w:r>
      <w:r w:rsidRPr="00B8122D">
        <w:t>Phase I/II</w:t>
      </w:r>
      <w:r w:rsidR="00C227FD" w:rsidRPr="00B8122D">
        <w:t xml:space="preserve"> supportive study</w:t>
      </w:r>
      <w:r w:rsidR="00734AD2" w:rsidRPr="00B8122D">
        <w:t>.</w:t>
      </w:r>
    </w:p>
    <w:p w14:paraId="2B52B40A" w14:textId="6C1F14BA" w:rsidR="00B83C8F" w:rsidRPr="00B8122D" w:rsidRDefault="00C227FD" w:rsidP="00B83C8F">
      <w:pPr>
        <w:pStyle w:val="ListBullet2"/>
      </w:pPr>
      <w:r w:rsidRPr="00B8122D">
        <w:t xml:space="preserve">Studies </w:t>
      </w:r>
      <w:r w:rsidR="00DB0E0D" w:rsidRPr="00B8122D">
        <w:t>X2101</w:t>
      </w:r>
      <w:r w:rsidRPr="00B8122D">
        <w:t>, X1101 and XUS03; additional early phase, open label, single arm studies.</w:t>
      </w:r>
    </w:p>
    <w:p w14:paraId="3398FD86" w14:textId="1ED1B4DC" w:rsidR="00B83C8F" w:rsidRPr="00B8122D" w:rsidRDefault="00B83C8F" w:rsidP="00B83C8F">
      <w:pPr>
        <w:pStyle w:val="ListBullet"/>
      </w:pPr>
      <w:r w:rsidRPr="00B8122D">
        <w:t>Analyses across more than one study:</w:t>
      </w:r>
    </w:p>
    <w:p w14:paraId="76C96589" w14:textId="41CBAF93" w:rsidR="00B83C8F" w:rsidRPr="00B8122D" w:rsidRDefault="00B83C8F" w:rsidP="00B83C8F">
      <w:pPr>
        <w:pStyle w:val="ListBullet2"/>
        <w:rPr>
          <w:lang w:eastAsia="ja-JP"/>
        </w:rPr>
      </w:pPr>
      <w:r w:rsidRPr="00B8122D">
        <w:rPr>
          <w:lang w:eastAsia="ja-JP"/>
        </w:rPr>
        <w:t>LEE011 QT/QTc safety analysis report.</w:t>
      </w:r>
    </w:p>
    <w:p w14:paraId="40621486" w14:textId="77777777" w:rsidR="00B83C8F" w:rsidRPr="00B8122D" w:rsidRDefault="00B83C8F" w:rsidP="00B83C8F">
      <w:pPr>
        <w:pStyle w:val="ListBullet2"/>
        <w:rPr>
          <w:lang w:eastAsia="ja-JP"/>
        </w:rPr>
      </w:pPr>
      <w:r w:rsidRPr="00B8122D">
        <w:rPr>
          <w:lang w:eastAsia="ja-JP"/>
        </w:rPr>
        <w:t>LEE011 hepatic safety report.</w:t>
      </w:r>
    </w:p>
    <w:p w14:paraId="3E1B7597" w14:textId="0DBA1DEB" w:rsidR="00B83C8F" w:rsidRPr="00B8122D" w:rsidRDefault="00B83C8F" w:rsidP="00B83C8F">
      <w:pPr>
        <w:pStyle w:val="ListBullet"/>
        <w:rPr>
          <w:lang w:eastAsia="ja-JP"/>
        </w:rPr>
      </w:pPr>
      <w:r w:rsidRPr="00B8122D">
        <w:t>Other documents of clinical relevance included:</w:t>
      </w:r>
    </w:p>
    <w:p w14:paraId="4B4BC949" w14:textId="3BF36E12" w:rsidR="00B83C8F" w:rsidRPr="00B8122D" w:rsidRDefault="00B83C8F" w:rsidP="00B83C8F">
      <w:pPr>
        <w:pStyle w:val="ListBullet2"/>
      </w:pPr>
      <w:r w:rsidRPr="00B8122D">
        <w:t>A Nonclinical Overview and Nonclinical summaries; Quality Overall Summary and Drug Product Summary; a Clinical Overview Clinical Summaries for Biopharmaceutic Studies and Associated Analytical Methods; Summaries of Clinical Pharmacology, Clinical Efficacy, and Clinical Safety.</w:t>
      </w:r>
    </w:p>
    <w:p w14:paraId="52317FD1" w14:textId="77777777" w:rsidR="008B09B1" w:rsidRPr="00B8122D" w:rsidRDefault="00B83C8F" w:rsidP="000A2182">
      <w:pPr>
        <w:pStyle w:val="ListBullet2"/>
      </w:pPr>
      <w:r w:rsidRPr="00B8122D">
        <w:t>Synopses or summaries of individual studies; study reports for in vitro and animal studies.</w:t>
      </w:r>
    </w:p>
    <w:p w14:paraId="2BE19976" w14:textId="35D01120" w:rsidR="000A2182" w:rsidRPr="00B8122D" w:rsidRDefault="00B83C8F" w:rsidP="008B09B1">
      <w:pPr>
        <w:pStyle w:val="ListBullet"/>
      </w:pPr>
      <w:r w:rsidRPr="00B8122D">
        <w:t>F</w:t>
      </w:r>
      <w:r w:rsidR="000A2182" w:rsidRPr="00B8122D">
        <w:t>ollowing the first round evaluation</w:t>
      </w:r>
      <w:r w:rsidRPr="00B8122D">
        <w:t>, the sponsor provi</w:t>
      </w:r>
      <w:r w:rsidR="008B09B1" w:rsidRPr="00B8122D">
        <w:t>ded data the following ongoing studies:</w:t>
      </w:r>
    </w:p>
    <w:p w14:paraId="10E11CC2" w14:textId="7992AE15" w:rsidR="000A2182" w:rsidRPr="00B8122D" w:rsidRDefault="00F42714" w:rsidP="00F42714">
      <w:pPr>
        <w:pStyle w:val="ListBullet2"/>
      </w:pPr>
      <w:r w:rsidRPr="00B8122D">
        <w:t>Study F2301 (also known as the MONALEESA-3 trial).</w:t>
      </w:r>
    </w:p>
    <w:p w14:paraId="2718F361" w14:textId="25D15A43" w:rsidR="000A2182" w:rsidRPr="00B8122D" w:rsidRDefault="000A2182" w:rsidP="00F42714">
      <w:pPr>
        <w:pStyle w:val="ListBullet2"/>
      </w:pPr>
      <w:r w:rsidRPr="00B8122D">
        <w:t>Study E</w:t>
      </w:r>
      <w:r w:rsidR="00F42714" w:rsidRPr="00B8122D">
        <w:t>2301 (also known as the MONALEESA-7 trial).</w:t>
      </w:r>
    </w:p>
    <w:p w14:paraId="033D8CDC" w14:textId="58076059" w:rsidR="000A2182" w:rsidRPr="00B8122D" w:rsidRDefault="00F42714" w:rsidP="00F42714">
      <w:pPr>
        <w:pStyle w:val="ListBullet2"/>
      </w:pPr>
      <w:r w:rsidRPr="00B8122D">
        <w:t>Study XDE01 (also known as the RIBECCA trial).</w:t>
      </w:r>
    </w:p>
    <w:p w14:paraId="420FE813" w14:textId="09581785" w:rsidR="000A2182" w:rsidRPr="00B8122D" w:rsidRDefault="00F42714" w:rsidP="00F42714">
      <w:pPr>
        <w:pStyle w:val="ListBullet2"/>
      </w:pPr>
      <w:r w:rsidRPr="00B8122D">
        <w:t>Study A2404 (also known as t</w:t>
      </w:r>
      <w:r w:rsidR="000A2182" w:rsidRPr="00B8122D">
        <w:t>he CompLEEment-1 trial</w:t>
      </w:r>
      <w:r w:rsidRPr="00B8122D">
        <w:t>).</w:t>
      </w:r>
    </w:p>
    <w:p w14:paraId="0A83BF61" w14:textId="77777777" w:rsidR="00605AD4" w:rsidRPr="00B8122D" w:rsidRDefault="00605AD4" w:rsidP="00605AD4">
      <w:pPr>
        <w:pStyle w:val="Heading4"/>
      </w:pPr>
      <w:r w:rsidRPr="00B8122D">
        <w:lastRenderedPageBreak/>
        <w:t>Paediatric data</w:t>
      </w:r>
    </w:p>
    <w:p w14:paraId="04C9500A" w14:textId="3B8FAB9A" w:rsidR="00F42714" w:rsidRPr="00B8122D" w:rsidRDefault="00F42714" w:rsidP="00F42714">
      <w:r w:rsidRPr="00B8122D">
        <w:t xml:space="preserve">No paediatric data is provided. The sponsor’s EU Safety </w:t>
      </w:r>
      <w:r w:rsidR="00673419">
        <w:t>RMP</w:t>
      </w:r>
      <w:r w:rsidRPr="00B8122D">
        <w:t xml:space="preserve"> version 1.0 provides the following rationale: ‘</w:t>
      </w:r>
      <w:r w:rsidRPr="00B8122D">
        <w:rPr>
          <w:i/>
        </w:rPr>
        <w:t>Breast cancer occurs almost entirely in adults (extremely rare in children), and is covered by EMA’s class waiver (CW/1/2011) and the applicability of this class waiver for the proposed ribociclib indication was confirmed by EMA on 12 September 2014 (EMEA-521229-2014). In the US</w:t>
      </w:r>
      <w:r w:rsidR="00673419">
        <w:rPr>
          <w:i/>
        </w:rPr>
        <w:t xml:space="preserve"> [the sponsor] </w:t>
      </w:r>
      <w:r w:rsidRPr="00B8122D">
        <w:rPr>
          <w:i/>
        </w:rPr>
        <w:t xml:space="preserve">has received a full waiver of the requirement to conduct paediatric studies with ribociclib at the time of the initial NDA submission for the HR+ positive metastatic breast cancer patient population’. </w:t>
      </w:r>
      <w:r w:rsidRPr="00B8122D">
        <w:t>A copy of the EMA’s class waiver and the EMA’s confirmation of applicability of this to ribociclib for the proposed indication is provided in the dossier.</w:t>
      </w:r>
    </w:p>
    <w:p w14:paraId="7B519632" w14:textId="77777777" w:rsidR="00605AD4" w:rsidRPr="00B8122D" w:rsidRDefault="00605AD4" w:rsidP="00605AD4">
      <w:pPr>
        <w:pStyle w:val="Heading4"/>
      </w:pPr>
      <w:r w:rsidRPr="00B8122D">
        <w:t>Good clinical practice</w:t>
      </w:r>
    </w:p>
    <w:p w14:paraId="478E1BFC" w14:textId="3B7778D9" w:rsidR="004D479F" w:rsidRPr="00B8122D" w:rsidRDefault="004D479F" w:rsidP="004D479F">
      <w:pPr>
        <w:rPr>
          <w:lang w:eastAsia="ja-JP"/>
        </w:rPr>
      </w:pPr>
      <w:r w:rsidRPr="00B8122D">
        <w:rPr>
          <w:lang w:eastAsia="ja-JP"/>
        </w:rPr>
        <w:t>The sponsor’s cover letter states that ‘</w:t>
      </w:r>
      <w:r w:rsidRPr="00B8122D">
        <w:rPr>
          <w:i/>
          <w:lang w:eastAsia="ja-JP"/>
        </w:rPr>
        <w:t>The nonclinical and clinical program for ribociclib was conducted in accordance with the available guidelines, and was discussed with health authorities in the USA and Europe over the course of the development program’</w:t>
      </w:r>
      <w:r w:rsidRPr="00B8122D">
        <w:rPr>
          <w:lang w:eastAsia="ja-JP"/>
        </w:rPr>
        <w:t>.</w:t>
      </w:r>
    </w:p>
    <w:p w14:paraId="03FBFFF5" w14:textId="77777777" w:rsidR="008E7846" w:rsidRPr="00B8122D" w:rsidRDefault="008E7846" w:rsidP="00605AD4">
      <w:pPr>
        <w:pStyle w:val="Heading3"/>
      </w:pPr>
      <w:bookmarkStart w:id="97" w:name="_Toc44685905"/>
      <w:r w:rsidRPr="00B8122D">
        <w:t>Pharmacokinetics</w:t>
      </w:r>
      <w:bookmarkEnd w:id="88"/>
      <w:bookmarkEnd w:id="94"/>
      <w:bookmarkEnd w:id="95"/>
      <w:bookmarkEnd w:id="96"/>
      <w:bookmarkEnd w:id="97"/>
    </w:p>
    <w:p w14:paraId="3F8DF21D" w14:textId="7444D736" w:rsidR="00605AD4" w:rsidRPr="00B8122D" w:rsidRDefault="00605AD4" w:rsidP="00605AD4">
      <w:pPr>
        <w:pStyle w:val="Heading4"/>
      </w:pPr>
      <w:r w:rsidRPr="00B8122D">
        <w:t>Studies</w:t>
      </w:r>
      <w:r w:rsidR="004D479F" w:rsidRPr="00B8122D">
        <w:t xml:space="preserve"> providing pharmacokinetic data</w:t>
      </w:r>
    </w:p>
    <w:p w14:paraId="7BC5F494" w14:textId="124F193A" w:rsidR="004D479F" w:rsidRPr="00B8122D" w:rsidRDefault="004D479F" w:rsidP="004D479F">
      <w:r w:rsidRPr="00B8122D">
        <w:t xml:space="preserve">Studies A2101, A2102, A2103, A2106, A2109, A2111, X1101, X1201, X2107 and </w:t>
      </w:r>
      <w:r w:rsidR="00EB4D31">
        <w:t>A</w:t>
      </w:r>
      <w:r w:rsidR="00961497" w:rsidRPr="00B8122D">
        <w:t xml:space="preserve">2301 </w:t>
      </w:r>
      <w:r w:rsidR="00510714" w:rsidRPr="00B8122D">
        <w:t>provided pharmacokinetic and biopharmaceutic data.</w:t>
      </w:r>
    </w:p>
    <w:p w14:paraId="438E1B7A" w14:textId="77777777" w:rsidR="00605AD4" w:rsidRPr="00B8122D" w:rsidRDefault="00605AD4" w:rsidP="00605AD4">
      <w:pPr>
        <w:pStyle w:val="Heading4"/>
      </w:pPr>
      <w:r w:rsidRPr="00B8122D">
        <w:t>Evaluator’s conclusions on pharmacokinetics</w:t>
      </w:r>
    </w:p>
    <w:p w14:paraId="4F877B20" w14:textId="36EB90F1" w:rsidR="00510714" w:rsidRPr="00B8122D" w:rsidRDefault="00510714" w:rsidP="00510714">
      <w:r w:rsidRPr="00B8122D">
        <w:t xml:space="preserve">The sponsor has provided a number of studies that investigate the </w:t>
      </w:r>
      <w:r w:rsidR="00673419">
        <w:t>pharmacokinetics</w:t>
      </w:r>
      <w:r w:rsidRPr="00B8122D">
        <w:t xml:space="preserve"> of ribociclib in healthy subjects and in patients with advanced cancer, including postmenopausal women with advanced ER+/HER- breast cancer. The </w:t>
      </w:r>
      <w:r w:rsidR="00673419">
        <w:t>pharmacokinetics</w:t>
      </w:r>
      <w:r w:rsidRPr="00B8122D">
        <w:t xml:space="preserve"> of ribociclib in humans were not fully described by these studies. Animal and </w:t>
      </w:r>
      <w:r w:rsidRPr="00804747">
        <w:rPr>
          <w:i/>
        </w:rPr>
        <w:t>in vitro</w:t>
      </w:r>
      <w:r w:rsidRPr="00B8122D">
        <w:t xml:space="preserve"> studies provided some additional information.</w:t>
      </w:r>
    </w:p>
    <w:p w14:paraId="616F8E5B" w14:textId="2B36796D" w:rsidR="00E7450B" w:rsidRPr="00B8122D" w:rsidRDefault="007B20D7" w:rsidP="00E7450B">
      <w:r w:rsidRPr="00764184">
        <w:t xml:space="preserve">In </w:t>
      </w:r>
      <w:r w:rsidR="00804747">
        <w:t xml:space="preserve">the </w:t>
      </w:r>
      <w:r w:rsidRPr="00764184">
        <w:t>evaluator’s opinion, h</w:t>
      </w:r>
      <w:r w:rsidR="00E7450B" w:rsidRPr="00764184">
        <w:t>igh</w:t>
      </w:r>
      <w:r w:rsidR="00E7450B" w:rsidRPr="00B8122D">
        <w:t xml:space="preserve"> inter</w:t>
      </w:r>
      <w:r w:rsidR="00E7450B">
        <w:t>-</w:t>
      </w:r>
      <w:r w:rsidR="00E7450B" w:rsidRPr="00B8122D">
        <w:t xml:space="preserve">individual variability appears to be inherent with ribociclib. This variability limited the capacity to compare ribociclib </w:t>
      </w:r>
      <w:r w:rsidR="00E7450B">
        <w:t>pharmacokinetics</w:t>
      </w:r>
      <w:r w:rsidR="00E7450B" w:rsidRPr="00B8122D">
        <w:t xml:space="preserve"> in different populations and in different circumstances; the ranges reported across individuals and variables were so wide that considerable overlap was inevitable. This effect was more marked with smaller groups.</w:t>
      </w:r>
    </w:p>
    <w:p w14:paraId="4C733C8C" w14:textId="00C3A839" w:rsidR="00510714" w:rsidRPr="00B8122D" w:rsidRDefault="00E7450B" w:rsidP="00A8563F">
      <w:r w:rsidRPr="00B8122D">
        <w:t>Within this limitation,</w:t>
      </w:r>
      <w:r w:rsidDel="00E7450B">
        <w:rPr>
          <w:lang w:eastAsia="ja-JP"/>
        </w:rPr>
        <w:t xml:space="preserve"> </w:t>
      </w:r>
      <w:r w:rsidRPr="00B8122D">
        <w:t xml:space="preserve">the </w:t>
      </w:r>
      <w:r>
        <w:t>pharmacokinetics</w:t>
      </w:r>
      <w:r w:rsidRPr="00B8122D">
        <w:t xml:space="preserve"> of ribociclib appeared similar in healthy subjects and in patients with advanced cancer. </w:t>
      </w:r>
      <w:r w:rsidR="00510714" w:rsidRPr="00B8122D">
        <w:t xml:space="preserve">The ribociclib </w:t>
      </w:r>
      <w:r w:rsidR="00673419">
        <w:t>pharmacokinetics</w:t>
      </w:r>
      <w:r w:rsidR="00595FF6">
        <w:t xml:space="preserve"> </w:t>
      </w:r>
      <w:r w:rsidR="00764184">
        <w:t>also</w:t>
      </w:r>
      <w:r w:rsidR="00510714" w:rsidRPr="00B8122D">
        <w:t xml:space="preserve"> appeared similar between patients with advanced cancer and postmenopausal women with advanced ER+/HER- breast cancer.</w:t>
      </w:r>
    </w:p>
    <w:p w14:paraId="7BE6A32B" w14:textId="77777777" w:rsidR="00510714" w:rsidRPr="00B8122D" w:rsidRDefault="00510714" w:rsidP="00510714">
      <w:r w:rsidRPr="00B8122D">
        <w:t>Ribociclib appears to be rapidly absorbed and widely distributed. The extent of absorption and degree of first-pass effect in humans is not known. An estimate of absorption of 58.8% of an orally administered dose has been made. In animal studies, ribociclib does not appear to cross the blood brain barrier but does cross the placental barrier and does appear in breast milk. In rats, ribociclib was highly concentrated in melanin containing structures in the eye and meninges.</w:t>
      </w:r>
    </w:p>
    <w:p w14:paraId="5A0EA06E" w14:textId="172C56C6" w:rsidR="00510714" w:rsidRPr="00B8122D" w:rsidRDefault="00510714" w:rsidP="00510714">
      <w:r w:rsidRPr="00B8122D">
        <w:t xml:space="preserve">Clearance appears to be largely by hepatic metabolism (predominately by CYP3A4), with excretion of the metabolites in the bile. The extent of clearance of unchanged ribociclib by biliary or GIT secretion is not known but would represent less than 17% of an administered dose on the basis of the </w:t>
      </w:r>
      <w:r w:rsidR="00673419">
        <w:t xml:space="preserve">absorption, distribution, metabolism and excretion </w:t>
      </w:r>
      <w:r w:rsidRPr="00B8122D">
        <w:lastRenderedPageBreak/>
        <w:t xml:space="preserve">study. Renal clearance </w:t>
      </w:r>
      <w:r w:rsidR="00A8563F" w:rsidRPr="00B8122D">
        <w:t xml:space="preserve">(of unchanged ribociclib and metabolites) </w:t>
      </w:r>
      <w:r w:rsidRPr="00B8122D">
        <w:t xml:space="preserve">accounts for 22% of the administered dose but may account for approximately 40% of the absorbed </w:t>
      </w:r>
      <w:r w:rsidR="00A8563F">
        <w:t>dose.</w:t>
      </w:r>
    </w:p>
    <w:p w14:paraId="7E2D86E1" w14:textId="51351398" w:rsidR="00510714" w:rsidRPr="00B8122D" w:rsidRDefault="00510714" w:rsidP="00510714">
      <w:r w:rsidRPr="00B8122D">
        <w:t>Accumulation occurs with multiple daily dosing, with steady state reached within 8 days.</w:t>
      </w:r>
      <w:r w:rsidR="006A6F28">
        <w:rPr>
          <w:rStyle w:val="FootnoteReference"/>
        </w:rPr>
        <w:footnoteReference w:id="36"/>
      </w:r>
      <w:r w:rsidRPr="00B8122D">
        <w:t xml:space="preserve"> </w:t>
      </w:r>
      <w:r w:rsidRPr="004F0C14">
        <w:t>Trough levels at Day 15 of the first 6 cycles do not show any accumulation across cycles</w:t>
      </w:r>
      <w:r w:rsidRPr="00B8122D">
        <w:t>.</w:t>
      </w:r>
      <w:r w:rsidR="00EA3B82">
        <w:t xml:space="preserve"> </w:t>
      </w:r>
      <w:r w:rsidR="00EA3B82" w:rsidRPr="00B8122D">
        <w:t>Dose dependency was not demonstrated, with single or multiple doses.</w:t>
      </w:r>
    </w:p>
    <w:p w14:paraId="339C6DA9" w14:textId="34B1FADE" w:rsidR="00510714" w:rsidRPr="00B8122D" w:rsidRDefault="00510714" w:rsidP="00510714">
      <w:r w:rsidRPr="00B8122D">
        <w:t xml:space="preserve">Body weight was found to have a significant impact on ribociclib </w:t>
      </w:r>
      <w:r w:rsidR="00673419">
        <w:t>pharmacokinetics</w:t>
      </w:r>
      <w:r w:rsidRPr="00B8122D">
        <w:t xml:space="preserve"> in a </w:t>
      </w:r>
      <w:r w:rsidR="00673419">
        <w:t>Pop</w:t>
      </w:r>
      <w:r w:rsidRPr="00B8122D">
        <w:t xml:space="preserve">PK analysis. This was assessed as </w:t>
      </w:r>
      <w:r w:rsidR="00961497">
        <w:t xml:space="preserve">not </w:t>
      </w:r>
      <w:r w:rsidRPr="00B8122D">
        <w:t>clinically important due to the estimated effect with body weight being much less than the inh</w:t>
      </w:r>
      <w:r w:rsidR="00673419">
        <w:t>erent inter</w:t>
      </w:r>
      <w:r w:rsidR="00DB0E0D">
        <w:t>-</w:t>
      </w:r>
      <w:r w:rsidRPr="00B8122D">
        <w:t>individual variability.</w:t>
      </w:r>
    </w:p>
    <w:p w14:paraId="1327B30E" w14:textId="1E3503A3" w:rsidR="00510714" w:rsidRPr="00B8122D" w:rsidRDefault="00510714" w:rsidP="00510714">
      <w:r w:rsidRPr="00B8122D">
        <w:t>The effect of renal impairment on ribociclib has not been adequately demonstrated</w:t>
      </w:r>
      <w:r w:rsidR="00634072">
        <w:t>.</w:t>
      </w:r>
    </w:p>
    <w:p w14:paraId="750CDE93" w14:textId="671D270C" w:rsidR="00510714" w:rsidRPr="00B8122D" w:rsidRDefault="00510714" w:rsidP="00510714">
      <w:r w:rsidRPr="00B8122D">
        <w:t>Moderate and severe hepatic impairment appears to increase ribociclib exposure.</w:t>
      </w:r>
    </w:p>
    <w:p w14:paraId="09C399FA" w14:textId="2BD7E89C" w:rsidR="00510714" w:rsidRPr="00B8122D" w:rsidRDefault="00510714" w:rsidP="00510714">
      <w:r w:rsidRPr="00B8122D">
        <w:t xml:space="preserve">The effect of Asian race, or other races, on ribociclib </w:t>
      </w:r>
      <w:r w:rsidR="00673419">
        <w:t>pharmacokinetics</w:t>
      </w:r>
      <w:r w:rsidRPr="00B8122D">
        <w:t xml:space="preserve"> has not been adequately demonstrated.</w:t>
      </w:r>
    </w:p>
    <w:p w14:paraId="2FF6C6F1" w14:textId="77777777" w:rsidR="00510714" w:rsidRPr="00B8122D" w:rsidRDefault="00510714" w:rsidP="00510714">
      <w:r w:rsidRPr="00B8122D">
        <w:t>Drug-drug interaction studies found that:</w:t>
      </w:r>
    </w:p>
    <w:p w14:paraId="293ACB17" w14:textId="6F7D60C5" w:rsidR="00510714" w:rsidRPr="00B8122D" w:rsidRDefault="00673419" w:rsidP="00510714">
      <w:pPr>
        <w:pStyle w:val="ListBullet"/>
      </w:pPr>
      <w:r>
        <w:t>Ribociclib pharmacokinetic</w:t>
      </w:r>
      <w:r w:rsidR="00510714" w:rsidRPr="00B8122D">
        <w:t xml:space="preserve"> clearance was reduced and exposure increased by a strong CYP3A4 inhibitor.</w:t>
      </w:r>
    </w:p>
    <w:p w14:paraId="4F8E0C65" w14:textId="0269430C" w:rsidR="00510714" w:rsidRPr="00B8122D" w:rsidRDefault="00510714" w:rsidP="00510714">
      <w:pPr>
        <w:pStyle w:val="ListBullet"/>
      </w:pPr>
      <w:r w:rsidRPr="00B8122D">
        <w:t xml:space="preserve">Ribociclib </w:t>
      </w:r>
      <w:r w:rsidR="00673419">
        <w:t>pharmacokinetic</w:t>
      </w:r>
      <w:r w:rsidRPr="00B8122D">
        <w:t xml:space="preserve"> clearance was increased and exposure decreased by a strong CYP3A4 inducer.</w:t>
      </w:r>
    </w:p>
    <w:p w14:paraId="177E4CC5" w14:textId="77777777" w:rsidR="00510714" w:rsidRPr="00B8122D" w:rsidRDefault="00510714" w:rsidP="00510714">
      <w:pPr>
        <w:pStyle w:val="ListBullet"/>
      </w:pPr>
      <w:r w:rsidRPr="00B8122D">
        <w:t>Ribociclib reduces the clearance and increases exposure to a sensitive CYP3A4 substrate.</w:t>
      </w:r>
    </w:p>
    <w:p w14:paraId="6353DF61" w14:textId="2BCCBF6C" w:rsidR="00510714" w:rsidRPr="00B8122D" w:rsidRDefault="00510714" w:rsidP="00510714">
      <w:pPr>
        <w:pStyle w:val="ListBullet"/>
      </w:pPr>
      <w:r w:rsidRPr="00B8122D">
        <w:t xml:space="preserve">Ribociclib has a clinically unimportant effect on the </w:t>
      </w:r>
      <w:r w:rsidR="00673419">
        <w:t>pharmacokinetics</w:t>
      </w:r>
      <w:r w:rsidRPr="00B8122D">
        <w:t xml:space="preserve"> of a sensitive CYP1A2 substrate.</w:t>
      </w:r>
    </w:p>
    <w:p w14:paraId="2AE8E1FA" w14:textId="34502739" w:rsidR="00BB5525" w:rsidRDefault="00764184" w:rsidP="004D479F">
      <w:r>
        <w:t>In the evaluator’s opinion</w:t>
      </w:r>
      <w:r w:rsidR="00804747">
        <w:t>,</w:t>
      </w:r>
      <w:r w:rsidR="00BB5525">
        <w:t xml:space="preserve"> p</w:t>
      </w:r>
      <w:r w:rsidR="00D2261A" w:rsidRPr="00B8122D">
        <w:t>otential drug-drug interactions with agents that raise gastric pH, with letrozole, and with moderate or weak CYP3A4 inhibitors have not been adequately described</w:t>
      </w:r>
      <w:r w:rsidR="00882955">
        <w:t>.</w:t>
      </w:r>
      <w:r w:rsidR="007048A4">
        <w:rPr>
          <w:rStyle w:val="FootnoteReference"/>
        </w:rPr>
        <w:footnoteReference w:id="37"/>
      </w:r>
    </w:p>
    <w:p w14:paraId="19AD6793" w14:textId="22B37656" w:rsidR="004D479F" w:rsidRPr="00B8122D" w:rsidRDefault="00510714" w:rsidP="004D479F">
      <w:r w:rsidRPr="00B8122D">
        <w:t xml:space="preserve">A </w:t>
      </w:r>
      <w:r w:rsidR="00673419">
        <w:t>Pop</w:t>
      </w:r>
      <w:r w:rsidRPr="00B8122D">
        <w:t xml:space="preserve">PK analysis was provided. </w:t>
      </w:r>
      <w:r w:rsidR="007048A4">
        <w:t>T</w:t>
      </w:r>
      <w:r w:rsidR="00961497" w:rsidRPr="00B8122D">
        <w:t xml:space="preserve">his analysis was limited </w:t>
      </w:r>
      <w:r w:rsidRPr="00B8122D">
        <w:t xml:space="preserve">due to the small numbers of patients included in many of the covariates that were investigated and the high inter-individual variability that was found. Conclusions should, therefore, be drawn with care with respect to the covariate factors of CYP3A4 inhibitors, </w:t>
      </w:r>
      <w:r w:rsidR="00673419">
        <w:t>proton pump inhibitors (PPI)</w:t>
      </w:r>
      <w:r w:rsidRPr="00B8122D">
        <w:t>, age, renal impairment, hepatic impairment and ECOG PS.</w:t>
      </w:r>
      <w:r w:rsidR="00902E8C">
        <w:rPr>
          <w:rStyle w:val="FootnoteReference"/>
        </w:rPr>
        <w:footnoteReference w:id="38"/>
      </w:r>
      <w:r w:rsidRPr="00B8122D">
        <w:t xml:space="preserve"> However, the findings that the effect of body weight on ribociclib is unlikely to have clinical significance as the effect is less than that of the remaining inter</w:t>
      </w:r>
      <w:r w:rsidR="00DB0E0D">
        <w:t>-</w:t>
      </w:r>
      <w:r w:rsidRPr="00B8122D">
        <w:t>individual variability and that the effect of gender is negligible</w:t>
      </w:r>
      <w:r w:rsidR="00DB0E0D">
        <w:t>,</w:t>
      </w:r>
      <w:r w:rsidRPr="00B8122D">
        <w:t xml:space="preserve"> are reasonable.</w:t>
      </w:r>
    </w:p>
    <w:p w14:paraId="3DC0E219" w14:textId="77777777" w:rsidR="008E7846" w:rsidRPr="00B8122D" w:rsidRDefault="008E7846" w:rsidP="008E7846">
      <w:pPr>
        <w:pStyle w:val="Heading3"/>
      </w:pPr>
      <w:bookmarkStart w:id="98" w:name="_Toc196046481"/>
      <w:bookmarkStart w:id="99" w:name="_Toc247691520"/>
      <w:bookmarkStart w:id="100" w:name="_Toc314842503"/>
      <w:bookmarkStart w:id="101" w:name="_Toc44685906"/>
      <w:r w:rsidRPr="00B8122D">
        <w:lastRenderedPageBreak/>
        <w:t>Pharmacodynamics</w:t>
      </w:r>
      <w:bookmarkEnd w:id="89"/>
      <w:bookmarkEnd w:id="98"/>
      <w:bookmarkEnd w:id="99"/>
      <w:bookmarkEnd w:id="100"/>
      <w:bookmarkEnd w:id="101"/>
    </w:p>
    <w:p w14:paraId="2BAEBD90" w14:textId="77777777" w:rsidR="00605AD4" w:rsidRPr="00B8122D" w:rsidRDefault="00605AD4" w:rsidP="00605AD4">
      <w:pPr>
        <w:pStyle w:val="Heading4"/>
      </w:pPr>
      <w:r w:rsidRPr="00B8122D">
        <w:t>Studies providing pharmacodynamic data</w:t>
      </w:r>
    </w:p>
    <w:p w14:paraId="083825AD" w14:textId="059621CB" w:rsidR="00510714" w:rsidRPr="00B8122D" w:rsidRDefault="00510714" w:rsidP="00510714">
      <w:r w:rsidRPr="00B8122D">
        <w:t>Studies A2301, X2101, X2107,</w:t>
      </w:r>
      <w:r w:rsidR="00AA7B30" w:rsidRPr="00B8122D">
        <w:t xml:space="preserve"> X1101,</w:t>
      </w:r>
      <w:r w:rsidRPr="00B8122D">
        <w:t xml:space="preserve"> a QT/QTc safety analysis report and </w:t>
      </w:r>
      <w:r w:rsidR="00AA7B30" w:rsidRPr="00B8122D">
        <w:t>an exposure-response analysis provided pharmacodynamic data.</w:t>
      </w:r>
    </w:p>
    <w:p w14:paraId="69AB070A" w14:textId="77777777" w:rsidR="00605AD4" w:rsidRPr="00B8122D" w:rsidRDefault="00605AD4" w:rsidP="00605AD4">
      <w:pPr>
        <w:pStyle w:val="Heading4"/>
      </w:pPr>
      <w:r w:rsidRPr="00B8122D">
        <w:t>Evaluator’s conclusions on pharmacodynamics</w:t>
      </w:r>
    </w:p>
    <w:p w14:paraId="66D1F545" w14:textId="77777777" w:rsidR="00FB2826" w:rsidRPr="00B8122D" w:rsidRDefault="00FB2826" w:rsidP="00FB2826">
      <w:pPr>
        <w:rPr>
          <w:lang w:eastAsia="ja-JP"/>
        </w:rPr>
      </w:pPr>
      <w:r w:rsidRPr="00B8122D">
        <w:rPr>
          <w:lang w:eastAsia="ja-JP"/>
        </w:rPr>
        <w:t>The nonclinical and clinical studies have demonstrated that ribociclib may have an inhibitory effect on tumour growth. However, the limited results from the clinical studies do not confirm the proposed mechanism of action.</w:t>
      </w:r>
    </w:p>
    <w:p w14:paraId="1FBB5905" w14:textId="77777777" w:rsidR="00FB2826" w:rsidRPr="00B8122D" w:rsidRDefault="00FB2826" w:rsidP="00FB2826">
      <w:pPr>
        <w:rPr>
          <w:lang w:eastAsia="ja-JP"/>
        </w:rPr>
      </w:pPr>
      <w:r w:rsidRPr="00B8122D">
        <w:rPr>
          <w:lang w:eastAsia="ja-JP"/>
        </w:rPr>
        <w:t>According to the proposed mechanism of action, and as shown in the in vitro and in vivo studies, phosphorylated Rb is expected to increase with ribociclib treatment and the percentage of tumour cells expressing Ki67 is expected to decrease. According to the preclinical studies, inhibition of tumour growth would be limited to those patients whose tumours were pRB positive.</w:t>
      </w:r>
    </w:p>
    <w:p w14:paraId="7152DF71" w14:textId="77777777" w:rsidR="00FB2826" w:rsidRPr="00B8122D" w:rsidRDefault="00FB2826" w:rsidP="00FB2826">
      <w:pPr>
        <w:rPr>
          <w:lang w:eastAsia="ja-JP"/>
        </w:rPr>
      </w:pPr>
      <w:r w:rsidRPr="00B8122D">
        <w:rPr>
          <w:lang w:eastAsia="ja-JP"/>
        </w:rPr>
        <w:t>Interpretation of the results with regard to effects of ribociclib on phosphorylated pRB and Ki67 in patients is limited due to a number of factors:</w:t>
      </w:r>
    </w:p>
    <w:p w14:paraId="1352EEF6" w14:textId="52FB019F" w:rsidR="00FB2826" w:rsidRPr="0006732E" w:rsidRDefault="00FB2826" w:rsidP="00FB2826">
      <w:pPr>
        <w:pStyle w:val="ListBullet"/>
        <w:numPr>
          <w:ilvl w:val="0"/>
          <w:numId w:val="1"/>
        </w:numPr>
        <w:rPr>
          <w:lang w:eastAsia="ja-JP"/>
        </w:rPr>
      </w:pPr>
      <w:r w:rsidRPr="0006732E">
        <w:rPr>
          <w:lang w:eastAsia="ja-JP"/>
        </w:rPr>
        <w:t>the large number of missing results (paired tumour specimens for only 10 to 15</w:t>
      </w:r>
      <w:r w:rsidR="00882955">
        <w:rPr>
          <w:lang w:eastAsia="ja-JP"/>
        </w:rPr>
        <w:t xml:space="preserve"> of </w:t>
      </w:r>
      <w:r w:rsidRPr="0006732E">
        <w:rPr>
          <w:lang w:eastAsia="ja-JP"/>
        </w:rPr>
        <w:t>134 patients and paired skin specimens for 48/134 patients in Study 2101; paired tumour specimens for only 4 to 6/47 patients in Study X2107 and no paired specimens for Studies X1101 or A2301).</w:t>
      </w:r>
    </w:p>
    <w:p w14:paraId="6FA5FF0C" w14:textId="77777777" w:rsidR="00FB2826" w:rsidRPr="0006732E" w:rsidRDefault="00FB2826" w:rsidP="00FB2826">
      <w:pPr>
        <w:pStyle w:val="ListBullet"/>
        <w:numPr>
          <w:ilvl w:val="0"/>
          <w:numId w:val="1"/>
        </w:numPr>
        <w:rPr>
          <w:lang w:eastAsia="ja-JP"/>
        </w:rPr>
      </w:pPr>
      <w:r w:rsidRPr="0006732E">
        <w:rPr>
          <w:lang w:eastAsia="ja-JP"/>
        </w:rPr>
        <w:t>the small number of samples overall.</w:t>
      </w:r>
    </w:p>
    <w:p w14:paraId="4E366B97" w14:textId="77777777" w:rsidR="00FB2826" w:rsidRPr="0006732E" w:rsidRDefault="00FB2826" w:rsidP="00FB2826">
      <w:pPr>
        <w:pStyle w:val="ListBullet"/>
        <w:numPr>
          <w:ilvl w:val="0"/>
          <w:numId w:val="1"/>
        </w:numPr>
        <w:rPr>
          <w:lang w:eastAsia="ja-JP"/>
        </w:rPr>
      </w:pPr>
      <w:r w:rsidRPr="0006732E">
        <w:rPr>
          <w:lang w:eastAsia="ja-JP"/>
        </w:rPr>
        <w:t>the limited time frame with the on-treatment specimens collected after the first 15 to 21 days of treatment</w:t>
      </w:r>
    </w:p>
    <w:p w14:paraId="18CA5FFE" w14:textId="77777777" w:rsidR="00FB2826" w:rsidRPr="00B8122D" w:rsidRDefault="00FB2826" w:rsidP="00FB2826">
      <w:pPr>
        <w:pStyle w:val="ListBullet"/>
        <w:numPr>
          <w:ilvl w:val="0"/>
          <w:numId w:val="1"/>
        </w:numPr>
        <w:rPr>
          <w:lang w:eastAsia="ja-JP"/>
        </w:rPr>
      </w:pPr>
      <w:r w:rsidRPr="0006732E">
        <w:rPr>
          <w:lang w:eastAsia="ja-JP"/>
        </w:rPr>
        <w:t>the wide range of results with overlapping of the ranges for baseline and steady state for those studies in which baseline and on-treatment specimens were available</w:t>
      </w:r>
      <w:r w:rsidRPr="00B8122D">
        <w:rPr>
          <w:lang w:eastAsia="ja-JP"/>
        </w:rPr>
        <w:t>.</w:t>
      </w:r>
    </w:p>
    <w:p w14:paraId="26D14879" w14:textId="77777777" w:rsidR="00FB2826" w:rsidRPr="00B8122D" w:rsidRDefault="00FB2826" w:rsidP="00FB2826">
      <w:pPr>
        <w:rPr>
          <w:lang w:eastAsia="ja-JP"/>
        </w:rPr>
      </w:pPr>
      <w:r w:rsidRPr="00B8122D">
        <w:rPr>
          <w:lang w:eastAsia="ja-JP"/>
        </w:rPr>
        <w:t xml:space="preserve">It is notable that, </w:t>
      </w:r>
      <w:r w:rsidRPr="0006732E">
        <w:rPr>
          <w:lang w:eastAsia="ja-JP"/>
        </w:rPr>
        <w:t>for the small number of individual patients for whom there are paired specimens available</w:t>
      </w:r>
      <w:r w:rsidRPr="00B8122D">
        <w:rPr>
          <w:lang w:eastAsia="ja-JP"/>
        </w:rPr>
        <w:t>, the results show no consistent pattern of change in either phosphorylated pRb or Ki67. An effect of ribociclib on the downstream effects of inhibition of CDK4/6 has not been satisfactorily demonstrated in any of the clinical studies presented by the sponsor. This may be due to the limitations of the investigations listed above.</w:t>
      </w:r>
    </w:p>
    <w:p w14:paraId="45D62273" w14:textId="203B5C14" w:rsidR="00FB2826" w:rsidRPr="00B8122D" w:rsidRDefault="00FB2826" w:rsidP="00FB2826">
      <w:pPr>
        <w:rPr>
          <w:lang w:eastAsia="ja-JP"/>
        </w:rPr>
      </w:pPr>
      <w:r w:rsidRPr="00B8122D">
        <w:rPr>
          <w:lang w:eastAsia="ja-JP"/>
        </w:rPr>
        <w:t xml:space="preserve">The effect of the intact expression of the biomarker pRB on the efficacy of ribociclib in patients has not been adequately explored. The limited information that is available does not appear to support the mechanism of action. According to the proposed mechanism of action of ribociclib, patients with no or low pRB would be expected to obtain no benefit from ribociclib treatment and the outcome in the 2 treatment arms of Study A2301 for these patients should reflect the effect of letrozole alone. However, a similar benefit per investigator was reported with ribociclib for patients with low or high total pRB. </w:t>
      </w:r>
      <w:r w:rsidR="007109D1" w:rsidRPr="00B8122D">
        <w:rPr>
          <w:lang w:eastAsia="ja-JP"/>
        </w:rPr>
        <w:t xml:space="preserve">The efficacy analysis according to biomarker status did not include an analysis of efficacy performed within the ribociclib + letrozole arm. The sponsor </w:t>
      </w:r>
      <w:r w:rsidR="00426727">
        <w:rPr>
          <w:lang w:eastAsia="ja-JP"/>
        </w:rPr>
        <w:t>wa</w:t>
      </w:r>
      <w:r w:rsidR="007109D1" w:rsidRPr="00B8122D">
        <w:rPr>
          <w:lang w:eastAsia="ja-JP"/>
        </w:rPr>
        <w:t xml:space="preserve">s asked </w:t>
      </w:r>
      <w:r w:rsidR="00426727">
        <w:rPr>
          <w:lang w:eastAsia="ja-JP"/>
        </w:rPr>
        <w:t>and</w:t>
      </w:r>
      <w:r w:rsidR="00426727" w:rsidRPr="00B8122D">
        <w:rPr>
          <w:lang w:eastAsia="ja-JP"/>
        </w:rPr>
        <w:t xml:space="preserve"> </w:t>
      </w:r>
      <w:r w:rsidR="007109D1" w:rsidRPr="00B8122D">
        <w:rPr>
          <w:lang w:eastAsia="ja-JP"/>
        </w:rPr>
        <w:t>provide</w:t>
      </w:r>
      <w:r w:rsidR="00426727">
        <w:rPr>
          <w:lang w:eastAsia="ja-JP"/>
        </w:rPr>
        <w:t>d</w:t>
      </w:r>
      <w:r w:rsidR="007109D1" w:rsidRPr="00B8122D">
        <w:rPr>
          <w:lang w:eastAsia="ja-JP"/>
        </w:rPr>
        <w:t xml:space="preserve"> this for patients with</w:t>
      </w:r>
      <w:r w:rsidR="007109D1">
        <w:rPr>
          <w:lang w:eastAsia="ja-JP"/>
        </w:rPr>
        <w:t xml:space="preserve"> high versus low </w:t>
      </w:r>
      <w:r w:rsidR="00882955">
        <w:rPr>
          <w:lang w:eastAsia="ja-JP"/>
        </w:rPr>
        <w:t>t</w:t>
      </w:r>
      <w:r w:rsidR="007109D1">
        <w:rPr>
          <w:lang w:eastAsia="ja-JP"/>
        </w:rPr>
        <w:t>otal pRB by H-score.</w:t>
      </w:r>
      <w:r w:rsidR="007109D1">
        <w:rPr>
          <w:rStyle w:val="FootnoteReference"/>
          <w:lang w:eastAsia="ja-JP"/>
        </w:rPr>
        <w:footnoteReference w:id="39"/>
      </w:r>
    </w:p>
    <w:p w14:paraId="42F45D1C" w14:textId="77777777" w:rsidR="00FB2826" w:rsidRPr="00B8122D" w:rsidRDefault="00FB2826" w:rsidP="00FB2826">
      <w:pPr>
        <w:rPr>
          <w:lang w:eastAsia="ja-JP"/>
        </w:rPr>
      </w:pPr>
      <w:r w:rsidRPr="00B8122D">
        <w:rPr>
          <w:lang w:eastAsia="ja-JP"/>
        </w:rPr>
        <w:lastRenderedPageBreak/>
        <w:t xml:space="preserve">The secondary pharmacodynamics effects of ribociclib seen in the clinical studies are consistent with the target organs of toxicity identified in the nonclinical studies. The effects on bone marrow, lymphoid system, testes, intestinal mucosa and skin are considered to be due to the pharmacological effect of ribociclib on rapidly dividing cells. The mechanism of injury to the liver is unknown. The effect on QT prolongation was predicted from the effect of ribociclib (and LEQ803) on the hERG channel in </w:t>
      </w:r>
      <w:r w:rsidRPr="00804747">
        <w:rPr>
          <w:i/>
        </w:rPr>
        <w:t>in vitro</w:t>
      </w:r>
      <w:r w:rsidRPr="00B8122D">
        <w:rPr>
          <w:lang w:eastAsia="ja-JP"/>
        </w:rPr>
        <w:t xml:space="preserve"> and nonclinical studies. Exposure-response analyses have been performed for hepatotoxicity, neutropaenia and QT prolongation. Neutropaenia and QT prolongation were found to be dose dependent and to show some recovery to baseline during the week off in the dosing regimen. Hepatotoxicity was not found to be dose dependent, but data was limited.</w:t>
      </w:r>
    </w:p>
    <w:p w14:paraId="7B362262" w14:textId="645EE0C6" w:rsidR="00FB2826" w:rsidRPr="00B8122D" w:rsidRDefault="00FB2826" w:rsidP="00FB2826">
      <w:pPr>
        <w:rPr>
          <w:lang w:eastAsia="ja-JP"/>
        </w:rPr>
      </w:pPr>
      <w:r w:rsidRPr="00B8122D">
        <w:rPr>
          <w:lang w:eastAsia="ja-JP"/>
        </w:rPr>
        <w:t>An investigation of the pharmacodynamic effect of letrozole during co-administration with ribociclib found that reduction in plasma oestradiol levels from baseline were unaffected by ribociclib. Other drug-drug interactions may be predicted from the pharmacokinetic interactions described above, in particular, the increased risk of concentration-dependent secondary pharmacokinetic effects of ribociclib with co-administration of a CYP3A4 inhibitor. An additive effect, and therefore increased risk, is expected if ribociclib is co</w:t>
      </w:r>
      <w:r w:rsidR="00882955">
        <w:rPr>
          <w:lang w:eastAsia="ja-JP"/>
        </w:rPr>
        <w:noBreakHyphen/>
      </w:r>
      <w:r w:rsidRPr="00B8122D">
        <w:rPr>
          <w:lang w:eastAsia="ja-JP"/>
        </w:rPr>
        <w:t>administered with other agents that also increase the QT interval.</w:t>
      </w:r>
    </w:p>
    <w:p w14:paraId="613A00A5" w14:textId="77777777" w:rsidR="008E7846" w:rsidRPr="00B8122D" w:rsidRDefault="00605AD4" w:rsidP="00605AD4">
      <w:pPr>
        <w:pStyle w:val="Heading3"/>
      </w:pPr>
      <w:bookmarkStart w:id="102" w:name="_Toc44685907"/>
      <w:r w:rsidRPr="00B8122D">
        <w:t>Dosage selection for the pivotal studies</w:t>
      </w:r>
      <w:bookmarkEnd w:id="102"/>
    </w:p>
    <w:p w14:paraId="36444E8C" w14:textId="75860F1F" w:rsidR="00FB2826" w:rsidRPr="00B8122D" w:rsidRDefault="00FB2826" w:rsidP="00FB2826">
      <w:pPr>
        <w:pStyle w:val="Heading4"/>
      </w:pPr>
      <w:r w:rsidRPr="00B8122D">
        <w:t>Studies providing dose selection data</w:t>
      </w:r>
    </w:p>
    <w:p w14:paraId="1E35234C" w14:textId="0E8E8073" w:rsidR="00FB2826" w:rsidRPr="00B8122D" w:rsidRDefault="00FB2826" w:rsidP="00FB2826">
      <w:r w:rsidRPr="00B8122D">
        <w:t>Studies X1101, X2101 and X2107 provided dose selection data.</w:t>
      </w:r>
    </w:p>
    <w:p w14:paraId="1A7B7D9C" w14:textId="51BE079F" w:rsidR="00FB2826" w:rsidRPr="00B8122D" w:rsidRDefault="00FB2826" w:rsidP="00FB2826">
      <w:pPr>
        <w:pStyle w:val="Heading4"/>
      </w:pPr>
      <w:r w:rsidRPr="00B8122D">
        <w:t>Evaluator’s conclusions on dose selection for the pivotal studies</w:t>
      </w:r>
    </w:p>
    <w:p w14:paraId="22953925" w14:textId="4789FC85" w:rsidR="00FB2826" w:rsidRPr="00B8122D" w:rsidRDefault="00FB2826" w:rsidP="00FB2826">
      <w:pPr>
        <w:rPr>
          <w:lang w:eastAsia="ja-JP"/>
        </w:rPr>
      </w:pPr>
      <w:r w:rsidRPr="00B8122D">
        <w:rPr>
          <w:lang w:eastAsia="ja-JP"/>
        </w:rPr>
        <w:t>On the basis of the studies provided, and in the absence of any investigations of alternative dosing schedules, the dose of 600 mg using a 3 weeks on/1 week off dosing regimen is appropriate for the pivotal study. The choice of control arm is consistent with current recommendations.</w:t>
      </w:r>
    </w:p>
    <w:p w14:paraId="09379702" w14:textId="77777777" w:rsidR="008E7846" w:rsidRPr="00B8122D" w:rsidRDefault="008E7846" w:rsidP="008E7846">
      <w:pPr>
        <w:pStyle w:val="Heading3"/>
      </w:pPr>
      <w:bookmarkStart w:id="103" w:name="_Toc163441372"/>
      <w:bookmarkStart w:id="104" w:name="_Toc196046485"/>
      <w:bookmarkStart w:id="105" w:name="_Toc247691521"/>
      <w:bookmarkStart w:id="106" w:name="_Toc314842504"/>
      <w:bookmarkStart w:id="107" w:name="_Toc44685908"/>
      <w:r w:rsidRPr="00B8122D">
        <w:t>Efficacy</w:t>
      </w:r>
      <w:bookmarkEnd w:id="103"/>
      <w:bookmarkEnd w:id="104"/>
      <w:bookmarkEnd w:id="105"/>
      <w:bookmarkEnd w:id="106"/>
      <w:bookmarkEnd w:id="107"/>
    </w:p>
    <w:p w14:paraId="34A8CBC5" w14:textId="77777777" w:rsidR="00605AD4" w:rsidRPr="00B8122D" w:rsidRDefault="00605AD4" w:rsidP="00605AD4">
      <w:pPr>
        <w:pStyle w:val="Heading4"/>
      </w:pPr>
      <w:bookmarkStart w:id="108" w:name="_Toc184439992"/>
      <w:bookmarkStart w:id="109" w:name="_Toc184440279"/>
      <w:bookmarkStart w:id="110" w:name="_Toc184444657"/>
      <w:bookmarkStart w:id="111" w:name="_Toc196046487"/>
      <w:r w:rsidRPr="00B8122D">
        <w:t>Studies providing efficacy data</w:t>
      </w:r>
    </w:p>
    <w:p w14:paraId="13A9579B" w14:textId="13303557" w:rsidR="00FB2826" w:rsidRPr="00B8122D" w:rsidRDefault="00FB2826" w:rsidP="00FB2826">
      <w:r w:rsidRPr="00B8122D">
        <w:t>Study A2301 w</w:t>
      </w:r>
      <w:r w:rsidR="00F74660" w:rsidRPr="00B8122D">
        <w:t xml:space="preserve">as provided as the pivotal Phase III study for the proposed indication, with Study X2107 considered as supportive. In addition, a number of early phase studies were provided in the dossier; these included </w:t>
      </w:r>
      <w:r w:rsidR="00F74660" w:rsidRPr="00B8122D">
        <w:rPr>
          <w:lang w:eastAsia="ja-JP"/>
        </w:rPr>
        <w:t>Studies X2101, X1101 and XUS203.</w:t>
      </w:r>
    </w:p>
    <w:p w14:paraId="4A9E0634" w14:textId="77777777" w:rsidR="008E7846" w:rsidRPr="00B8122D" w:rsidRDefault="00605AD4" w:rsidP="00605AD4">
      <w:pPr>
        <w:pStyle w:val="Heading4"/>
      </w:pPr>
      <w:r w:rsidRPr="00B8122D">
        <w:t>Evaluator’s conclusions on efficacy</w:t>
      </w:r>
    </w:p>
    <w:p w14:paraId="6C2C8131" w14:textId="46EF62A6" w:rsidR="00F74660" w:rsidRPr="00B8122D" w:rsidRDefault="00F74660" w:rsidP="00F74660">
      <w:r w:rsidRPr="00B8122D">
        <w:t xml:space="preserve">The sponsor has provided a pivotal Phase III double blind, randomised, multicentre study of ribociclib + letrozole versus placebo + letrozole in </w:t>
      </w:r>
      <w:r w:rsidR="004F0C14" w:rsidRPr="003A74C9">
        <w:t>66</w:t>
      </w:r>
      <w:r w:rsidR="004F0C14">
        <w:t>8</w:t>
      </w:r>
      <w:r w:rsidR="004F0C14" w:rsidRPr="003A74C9">
        <w:t xml:space="preserve"> </w:t>
      </w:r>
      <w:r w:rsidRPr="00B8122D">
        <w:t xml:space="preserve">postmenopausal women with ER+/HER2- advanced breast cancer who had previously received no prior therapy for their advanced breast cancer. Randomisation was 1:1 and stratified according to the presence of visceral disease (lung and/or liver metastases). The primary endpoint was progression free survival </w:t>
      </w:r>
      <w:r w:rsidR="00251225">
        <w:t xml:space="preserve">(PFS) </w:t>
      </w:r>
      <w:r w:rsidRPr="00B8122D">
        <w:t>according to investigator assessments of tumour response; an analysis according to the assessments of tumour response by an independent radiology group (</w:t>
      </w:r>
      <w:r w:rsidR="00882955">
        <w:t xml:space="preserve">blinded independent central review; </w:t>
      </w:r>
      <w:r w:rsidR="00021E4C">
        <w:t>BICR</w:t>
      </w:r>
      <w:r w:rsidRPr="00B8122D">
        <w:t xml:space="preserve">) was provided as supportive evidence. </w:t>
      </w:r>
      <w:r w:rsidRPr="00B8122D">
        <w:lastRenderedPageBreak/>
        <w:t>Secondary endpoints included overall survival, overall response rate,</w:t>
      </w:r>
      <w:r w:rsidR="005E48AB">
        <w:t xml:space="preserve"> </w:t>
      </w:r>
      <w:r w:rsidR="005E48AB" w:rsidRPr="004F0C14">
        <w:t>duration of response</w:t>
      </w:r>
      <w:r w:rsidR="007E7283">
        <w:t>;</w:t>
      </w:r>
      <w:r w:rsidR="005E48AB">
        <w:rPr>
          <w:rStyle w:val="FootnoteReference"/>
        </w:rPr>
        <w:footnoteReference w:id="40"/>
      </w:r>
      <w:r w:rsidRPr="00B8122D">
        <w:t xml:space="preserve"> and clinical benefit rate.</w:t>
      </w:r>
    </w:p>
    <w:p w14:paraId="02651B88" w14:textId="42D71BB2" w:rsidR="00F74660" w:rsidRPr="00B8122D" w:rsidRDefault="00F74660" w:rsidP="00F74660">
      <w:r w:rsidRPr="00B8122D">
        <w:t xml:space="preserve">An interim analysis of efficacy was performed </w:t>
      </w:r>
      <w:r w:rsidRPr="004F0C14">
        <w:t xml:space="preserve">after </w:t>
      </w:r>
      <w:r w:rsidR="004F0C14" w:rsidRPr="004F0C14">
        <w:t>80</w:t>
      </w:r>
      <w:r w:rsidRPr="004F0C14">
        <w:t>%</w:t>
      </w:r>
      <w:r w:rsidRPr="00B8122D">
        <w:t xml:space="preserve"> of expected PFS events had occurred. The median duration of follow-up for PFS at this time was 11.1 months and there had been 243 progression events, 93 in the ribociclib/letrozole arm and 150 in the placebo/letrozole arm. There were 425 patients censored from the analysis: 241 (72.2%) in the ribociclib + letrozole arm and 184 (55.1%) in the placebo + letrozole arm. The </w:t>
      </w:r>
      <w:r w:rsidR="00251225">
        <w:t>Kaplan-Meier (</w:t>
      </w:r>
      <w:r w:rsidRPr="00B8122D">
        <w:t>K-M</w:t>
      </w:r>
      <w:r w:rsidR="00251225">
        <w:t>)</w:t>
      </w:r>
      <w:r w:rsidRPr="00B8122D">
        <w:t xml:space="preserve"> estimate of median PFS was not reached in the ribociclib +</w:t>
      </w:r>
      <w:r w:rsidR="00251225">
        <w:t xml:space="preserve"> letrozole ar</w:t>
      </w:r>
      <w:r w:rsidR="009A1632">
        <w:t>m (95% CI: 19.3, upper bound not</w:t>
      </w:r>
      <w:r w:rsidR="00251225">
        <w:t xml:space="preserve"> estimable (</w:t>
      </w:r>
      <w:r w:rsidRPr="00B8122D">
        <w:t>NE</w:t>
      </w:r>
      <w:r w:rsidR="00251225">
        <w:t>)</w:t>
      </w:r>
      <w:r w:rsidRPr="00B8122D">
        <w:t>) and was 14.7 months in the placebo + letrozole arm (95% CI: 13.0 to 16.5) with hazard ratio 0.556 (95% CI: 0.429 to 0.720; stratified log rank p = 3.29 x 10</w:t>
      </w:r>
      <w:r w:rsidRPr="00B8122D">
        <w:rPr>
          <w:vertAlign w:val="superscript"/>
        </w:rPr>
        <w:t>-6</w:t>
      </w:r>
      <w:r w:rsidRPr="00B8122D">
        <w:t xml:space="preserve">). This met the pre-specified criteria for interim analysis of PFS to conclude superior efficacy of ribociclib plus letrozole over placebo plus letrozole. Results were similar for the stratification groups of visceral disease and no visceral disease. The K-M analysis of PFS per </w:t>
      </w:r>
      <w:r w:rsidR="00021E4C">
        <w:t>BICR</w:t>
      </w:r>
      <w:r w:rsidRPr="00B8122D">
        <w:t xml:space="preserve"> assessments also favoured the ribociclib + letrozole arm with HR = 0.592 (95% CI: 0.412, 0.852; p = 0.002). The analysis was based on 122 progression events (compared to 243</w:t>
      </w:r>
      <w:r w:rsidR="00882955">
        <w:t> </w:t>
      </w:r>
      <w:r w:rsidRPr="00B8122D">
        <w:t>events per local investigator) with 50 in the ribociclib/letrozole arm and 72 in the placebo/letrozole arm. There were 546 (82%) patients censored from the analysis: 284 (85.0%) in the ribociclib + letrozole arm and 262 (78.4%) in the placebo + letrozole arm. In contrast to the primary analysis per investigator, the K-M estimate of median PFS was 22.9 months in the ribociclib + letrozole arm and was not reached in the placebo + letrozole arm.</w:t>
      </w:r>
      <w:r w:rsidR="00764184">
        <w:t xml:space="preserve"> </w:t>
      </w:r>
      <w:r w:rsidR="0006080C" w:rsidRPr="00764184">
        <w:t xml:space="preserve">In </w:t>
      </w:r>
      <w:r w:rsidR="00764184" w:rsidRPr="00764184">
        <w:t xml:space="preserve">the </w:t>
      </w:r>
      <w:r w:rsidR="0006080C" w:rsidRPr="00764184">
        <w:t>evaluators’ opinion, t</w:t>
      </w:r>
      <w:r w:rsidR="00F029EC" w:rsidRPr="00764184">
        <w:t>his</w:t>
      </w:r>
      <w:r w:rsidR="00F029EC" w:rsidRPr="004F0C14">
        <w:t xml:space="preserve"> supportive analysis did not meet the prespecified criteria for interim analysis of PFS to conclude superior efficacy of ribociclib plus letrozole over placebo plus letrozole</w:t>
      </w:r>
      <w:r w:rsidR="00764184">
        <w:t>.</w:t>
      </w:r>
      <w:r w:rsidR="007E560E">
        <w:rPr>
          <w:rStyle w:val="FootnoteReference"/>
        </w:rPr>
        <w:footnoteReference w:id="41"/>
      </w:r>
    </w:p>
    <w:p w14:paraId="7BDDE514" w14:textId="77777777" w:rsidR="00F74660" w:rsidRPr="00B8122D" w:rsidRDefault="00F74660" w:rsidP="00F74660">
      <w:r w:rsidRPr="00B8122D">
        <w:t>The results for overall survival, time to response and duration of response were immature, with no conclusions able to be drawn.</w:t>
      </w:r>
    </w:p>
    <w:p w14:paraId="0AAA24B6" w14:textId="62FEA50E" w:rsidR="00F74660" w:rsidRPr="00B8122D" w:rsidRDefault="00F74660" w:rsidP="00F74660">
      <w:r w:rsidRPr="00B8122D">
        <w:t xml:space="preserve">The overall response rate according to investigator assessments of tumour response was 40.7% (with 9 patients achieving </w:t>
      </w:r>
      <w:r w:rsidR="00EA7EA5">
        <w:t>complete response (</w:t>
      </w:r>
      <w:r w:rsidRPr="00B8122D">
        <w:t>CR</w:t>
      </w:r>
      <w:r w:rsidR="00EA7EA5">
        <w:t>)</w:t>
      </w:r>
      <w:r w:rsidRPr="00B8122D">
        <w:t xml:space="preserve"> and 127 achieving PR) for the ribociclib + letrozole arm and </w:t>
      </w:r>
      <w:r w:rsidRPr="004F0C14">
        <w:t>27.</w:t>
      </w:r>
      <w:r w:rsidR="00C27813" w:rsidRPr="004F0C14">
        <w:t xml:space="preserve"> </w:t>
      </w:r>
      <w:r w:rsidR="004F0C14" w:rsidRPr="004F0C14">
        <w:t>5</w:t>
      </w:r>
      <w:r w:rsidRPr="00B8122D">
        <w:t>% (with 7 patients achieving CR and 85 achieving PR) for the placebo + letrozole arm (p = 1.55</w:t>
      </w:r>
      <w:r w:rsidR="00EA7EA5">
        <w:t xml:space="preserve"> </w:t>
      </w:r>
      <w:r w:rsidRPr="00B8122D">
        <w:t>x</w:t>
      </w:r>
      <w:r w:rsidR="00EA7EA5">
        <w:t xml:space="preserve"> </w:t>
      </w:r>
      <w:r w:rsidRPr="00B8122D">
        <w:t>10</w:t>
      </w:r>
      <w:r w:rsidRPr="00B8122D">
        <w:rPr>
          <w:vertAlign w:val="superscript"/>
        </w:rPr>
        <w:t>-4</w:t>
      </w:r>
      <w:r w:rsidRPr="00B8122D">
        <w:t>). The clinical benefit rate (defined as CR + PR + SD or non-CR/non-</w:t>
      </w:r>
      <w:r w:rsidR="00EA7EA5">
        <w:t>progressive disease (</w:t>
      </w:r>
      <w:r w:rsidRPr="00B8122D">
        <w:t>PD</w:t>
      </w:r>
      <w:r w:rsidR="00EA7EA5">
        <w:t>)</w:t>
      </w:r>
      <w:r w:rsidRPr="00B8122D">
        <w:t xml:space="preserve"> for 24 weeks or more) was similar in each arm with 79.6% in the ribociclib + letrozole arm versus 72.8% in the placebo + letrozole arm (p = 0.018).</w:t>
      </w:r>
    </w:p>
    <w:p w14:paraId="3C4F08A6" w14:textId="09C845C5" w:rsidR="00F74660" w:rsidRPr="00B8122D" w:rsidRDefault="00F74660" w:rsidP="00F74660">
      <w:r w:rsidRPr="00B8122D">
        <w:t>The result of the primary analysis in the pivotal study shows a potentially clinically meaningful improvement in PFS in patients treated with ribociclib in combination with letrozole. An estimate of the potential increase in PFS cannot be made as the median duration of PFS has not been reached in the ribociclib + placebo arm.</w:t>
      </w:r>
      <w:r w:rsidR="00EE6572">
        <w:t xml:space="preserve"> </w:t>
      </w:r>
      <w:r w:rsidR="00EE6572" w:rsidRPr="00764184">
        <w:t>[</w:t>
      </w:r>
      <w:r w:rsidR="0077299F" w:rsidRPr="00764184">
        <w:t xml:space="preserve">In </w:t>
      </w:r>
      <w:r w:rsidR="00764184" w:rsidRPr="00764184">
        <w:t xml:space="preserve">the </w:t>
      </w:r>
      <w:r w:rsidR="0077299F" w:rsidRPr="00764184">
        <w:t>evaluator’s opinion</w:t>
      </w:r>
      <w:r w:rsidR="00EE6572" w:rsidRPr="00764184">
        <w:t>]</w:t>
      </w:r>
      <w:r w:rsidR="0077299F" w:rsidRPr="00764184">
        <w:t>,</w:t>
      </w:r>
      <w:r w:rsidR="0077299F">
        <w:t xml:space="preserve"> t</w:t>
      </w:r>
      <w:r w:rsidR="0042087E" w:rsidRPr="004F0C14">
        <w:t xml:space="preserve">he supportive analysis of the PFS endpoint according to </w:t>
      </w:r>
      <w:r w:rsidR="00021E4C">
        <w:t>BICR</w:t>
      </w:r>
      <w:r w:rsidR="0042087E" w:rsidRPr="004F0C14">
        <w:t xml:space="preserve"> assessments did not meet the pre-specified criteria for interim analysis of PFS to conclude superior efficacy of ribociclib + letrozole</w:t>
      </w:r>
      <w:r w:rsidRPr="004F0C14">
        <w:t>.</w:t>
      </w:r>
      <w:r w:rsidRPr="00B8122D">
        <w:t xml:space="preserve"> There were considerable discrepancies between the investigator and </w:t>
      </w:r>
      <w:r w:rsidR="00021E4C">
        <w:t>BICR</w:t>
      </w:r>
      <w:r w:rsidRPr="00B8122D">
        <w:t xml:space="preserve"> assessments of tumour response, with 243 progression events per investigator compared to 122 progression events per </w:t>
      </w:r>
      <w:r w:rsidR="00021E4C">
        <w:t>BICR</w:t>
      </w:r>
      <w:r w:rsidRPr="00B8122D">
        <w:t xml:space="preserve">. The reliability and reproducibility of the method used to determine progression in this analysis is questionable, given this lack of agreement between the investigators and the </w:t>
      </w:r>
      <w:r w:rsidR="00021E4C">
        <w:t>BICR</w:t>
      </w:r>
      <w:r w:rsidRPr="00B8122D">
        <w:t xml:space="preserve"> despite using the same tool (the sponsor’s </w:t>
      </w:r>
      <w:r w:rsidR="00057D6F">
        <w:t xml:space="preserve">version </w:t>
      </w:r>
      <w:r w:rsidRPr="00B8122D">
        <w:t>3.1 Guideline to the RECIST 1.1 Criteria) and the same radiological images for their assessments.</w:t>
      </w:r>
    </w:p>
    <w:p w14:paraId="3F0B9A6D" w14:textId="4F73565C" w:rsidR="00F74660" w:rsidRPr="00B8122D" w:rsidRDefault="00F74660" w:rsidP="00F74660">
      <w:r w:rsidRPr="004F0C14">
        <w:lastRenderedPageBreak/>
        <w:t xml:space="preserve">The interim analysis was </w:t>
      </w:r>
      <w:r w:rsidRPr="00764184">
        <w:t xml:space="preserve">performed </w:t>
      </w:r>
      <w:r w:rsidR="0077299F" w:rsidRPr="00764184">
        <w:t xml:space="preserve">later </w:t>
      </w:r>
      <w:r w:rsidRPr="00764184">
        <w:t xml:space="preserve">than originally planned (after </w:t>
      </w:r>
      <w:r w:rsidR="0077299F" w:rsidRPr="00764184">
        <w:t>80</w:t>
      </w:r>
      <w:r w:rsidRPr="00764184">
        <w:t xml:space="preserve"> of expected PFS events instead of the </w:t>
      </w:r>
      <w:r w:rsidR="0077299F" w:rsidRPr="00764184">
        <w:t>70</w:t>
      </w:r>
      <w:r w:rsidRPr="00764184">
        <w:t xml:space="preserve">% specified in the original </w:t>
      </w:r>
      <w:r w:rsidR="00C27813" w:rsidRPr="00764184">
        <w:t>protocol</w:t>
      </w:r>
      <w:r w:rsidRPr="00764184">
        <w:t>)</w:t>
      </w:r>
      <w:r w:rsidR="00882955" w:rsidRPr="00764184">
        <w:t>.</w:t>
      </w:r>
      <w:r w:rsidR="006E7328" w:rsidRPr="00764184">
        <w:rPr>
          <w:rStyle w:val="FootnoteReference"/>
        </w:rPr>
        <w:footnoteReference w:id="42"/>
      </w:r>
      <w:r w:rsidRPr="00764184">
        <w:t xml:space="preserve"> </w:t>
      </w:r>
      <w:r w:rsidR="0077299F" w:rsidRPr="00764184">
        <w:t>T</w:t>
      </w:r>
      <w:r w:rsidRPr="00764184">
        <w:t xml:space="preserve">his analysis has resulted in a number of important results being immature, with these including the median PFS, overall survival </w:t>
      </w:r>
      <w:r w:rsidR="00057D6F" w:rsidRPr="00764184">
        <w:t xml:space="preserve">(OS) </w:t>
      </w:r>
      <w:r w:rsidRPr="00764184">
        <w:t>and duration of response. At the September</w:t>
      </w:r>
      <w:r w:rsidR="00021E4C">
        <w:t xml:space="preserve"> Pre</w:t>
      </w:r>
      <w:r w:rsidR="00021E4C">
        <w:noBreakHyphen/>
      </w:r>
      <w:r w:rsidRPr="00B8122D">
        <w:t xml:space="preserve">submission meeting, the sponsor was requested by the TGA to provide a justification for the timing of this analysis and the application, given that another analysis is planned by the sponsor in early 2017 and that more meaningful results for OS may be available at that time. This justification was provided in the </w:t>
      </w:r>
      <w:r w:rsidR="00057D6F">
        <w:t xml:space="preserve">sponsor’s response to action </w:t>
      </w:r>
      <w:r w:rsidR="00DB0E0D">
        <w:t>i</w:t>
      </w:r>
      <w:r w:rsidRPr="00B8122D">
        <w:t>tems from the Pre-s</w:t>
      </w:r>
      <w:r w:rsidR="00057D6F">
        <w:t>ubmission meeting</w:t>
      </w:r>
      <w:r w:rsidRPr="00B8122D">
        <w:t>.</w:t>
      </w:r>
      <w:r w:rsidR="00057D6F">
        <w:t xml:space="preserve"> </w:t>
      </w:r>
      <w:r w:rsidRPr="00B8122D">
        <w:t>According to this response, the sponsor considered the results for PFS to be mature and robust at the time of the interim analysis and that this analysis was actually performed with 243 PFS events (per investigator) instead of the planned 211. The sponsor confirmed that the scheduled analysis for OS is to take place after 120 OS events and this is expected in the first half of 2017.</w:t>
      </w:r>
    </w:p>
    <w:p w14:paraId="3B30246F" w14:textId="0387CE8A" w:rsidR="00F74660" w:rsidRPr="00B8122D" w:rsidRDefault="00F74660" w:rsidP="00F74660">
      <w:r w:rsidRPr="004F0C14">
        <w:t xml:space="preserve">The evaluator does not agree that the results for the PFS are mature or robust. There were 425/664 (64%) patients censored from the analysis per investigator and 546 (82%) patients censored from the analysis per </w:t>
      </w:r>
      <w:r w:rsidR="00021E4C">
        <w:t>BICR</w:t>
      </w:r>
      <w:r w:rsidRPr="004F0C14">
        <w:t xml:space="preserve">. This resulted in the median PFS in the analysis per investigator being not evaluable for the ribociclib arm while the median PFS in the analysis per </w:t>
      </w:r>
      <w:r w:rsidR="00021E4C">
        <w:t>BICR</w:t>
      </w:r>
      <w:r w:rsidRPr="004F0C14">
        <w:t xml:space="preserve"> was not evaluable for the placebo arm. The sponsor’s argument that the median PFS per </w:t>
      </w:r>
      <w:r w:rsidR="00021E4C">
        <w:t>BICR</w:t>
      </w:r>
      <w:r w:rsidRPr="004F0C14">
        <w:t xml:space="preserve"> of 22.9 months for the ribociclib arm was driven by one PFS event goes against these being ‘robust’ results. The results for PFS may be statistically significant but such a high proportion of censored patients</w:t>
      </w:r>
      <w:r w:rsidR="001A17A7">
        <w:t xml:space="preserve"> </w:t>
      </w:r>
      <w:r w:rsidR="006E7328" w:rsidRPr="004F0C14">
        <w:t xml:space="preserve">and the differing results between the analyses per investigator and per </w:t>
      </w:r>
      <w:r w:rsidR="00021E4C">
        <w:t>BICR</w:t>
      </w:r>
      <w:r w:rsidR="006E7328" w:rsidRPr="004F0C14">
        <w:t>,</w:t>
      </w:r>
      <w:r w:rsidRPr="004F0C14">
        <w:t xml:space="preserve"> creates uncertainty around the result. The results for the other important endpoints of </w:t>
      </w:r>
      <w:r w:rsidR="00057D6F" w:rsidRPr="004F0C14">
        <w:t xml:space="preserve">OS </w:t>
      </w:r>
      <w:r w:rsidRPr="004F0C14">
        <w:t>and duration of response are too immature to be meaningful.</w:t>
      </w:r>
    </w:p>
    <w:p w14:paraId="40F29230" w14:textId="6054095D" w:rsidR="00F74660" w:rsidRPr="00B8122D" w:rsidRDefault="00F74660" w:rsidP="00F74660">
      <w:r w:rsidRPr="00B8122D">
        <w:t>The interim results for Arm 1 of the open label, single arm, Phase Ib/II study, Study X2107, provides additional information regarding the use of ribociclib + letrozole in postmenopausal women with ER+/HER2- advanced breast cancer in the first-line and subsequent setting. In the 28 women who had not received prior treatment for advanced breast cancer, and after a median duration of treatment of 8.3 months of ribociclib + letrozole, the overall response rate (ORR)</w:t>
      </w:r>
      <w:r w:rsidR="00057D6F">
        <w:t xml:space="preserve"> </w:t>
      </w:r>
      <w:r w:rsidRPr="00B8122D">
        <w:t>was 39.3% (one patient achieved CR, 10 patients achieved PR) and the K-M estimate of median</w:t>
      </w:r>
      <w:r w:rsidR="00057D6F">
        <w:t xml:space="preserve"> PFS was not reached. In the 19 </w:t>
      </w:r>
      <w:r w:rsidRPr="00B8122D">
        <w:t xml:space="preserve">women who had received prior treatments for advanced breast cancer and after a median of 3.6 months of treatment, the ORR was 5.3% (one patient achieved PR) and the K-M estimate of median PFS was 5.2 months (95% CI: 2.3, 8.0). </w:t>
      </w:r>
      <w:r w:rsidRPr="00892E0F">
        <w:t xml:space="preserve">This study shows </w:t>
      </w:r>
      <w:r w:rsidR="00E156C6" w:rsidRPr="00892E0F">
        <w:t xml:space="preserve">dramatically </w:t>
      </w:r>
      <w:r w:rsidRPr="00892E0F">
        <w:t>different results in the 2 small groups analysed. This may be due to poor efficacy of ribociclib + letrozole in pre</w:t>
      </w:r>
      <w:r w:rsidR="00DB0E0D">
        <w:t>-</w:t>
      </w:r>
      <w:r w:rsidRPr="00892E0F">
        <w:t xml:space="preserve">treated or it may be due to the effect of small numbers or </w:t>
      </w:r>
      <w:r w:rsidR="00E156C6" w:rsidRPr="00892E0F">
        <w:t>there may be other factors affecting the results</w:t>
      </w:r>
      <w:r w:rsidR="00E156C6" w:rsidRPr="00892E0F" w:rsidDel="0059326B">
        <w:t xml:space="preserve"> </w:t>
      </w:r>
      <w:r w:rsidRPr="00892E0F">
        <w:t>.</w:t>
      </w:r>
      <w:r w:rsidR="00E156C6" w:rsidRPr="00892E0F">
        <w:t>Whatever the reason, these results raise further uncertainties regarding the efficacy of ribociclib.</w:t>
      </w:r>
    </w:p>
    <w:p w14:paraId="34DF0970" w14:textId="0FD42DC1" w:rsidR="00F74660" w:rsidRPr="00B8122D" w:rsidRDefault="00E156C6" w:rsidP="00F74660">
      <w:r w:rsidRPr="00892E0F">
        <w:t>The limited efficacy information available from the early phase studies suggest that ribociclib has little biological activity as a single agent, even in malignancies that are pRb positive. This is counter to the proposed mechanism of action which suggests that biological activity should be observed in these tumours and is not consistent with the results of the nonclinical studies as described by the sponsor.</w:t>
      </w:r>
    </w:p>
    <w:p w14:paraId="6BC8D86E" w14:textId="25C5C8D2" w:rsidR="00F74660" w:rsidRPr="00B8122D" w:rsidRDefault="00F74660" w:rsidP="00F74660">
      <w:r w:rsidRPr="00B8122D">
        <w:t xml:space="preserve">The evaluator is of the opinion that the efficacy of ribociclib + letrozole for the proposed indication has not been adequately established. The immaturity of the interim analysis performed in the pivotal study, together with the discordance between the investigator’s and the </w:t>
      </w:r>
      <w:r w:rsidR="00021E4C">
        <w:t>BICR</w:t>
      </w:r>
      <w:r w:rsidRPr="00B8122D">
        <w:t xml:space="preserve"> assessments for tumour response, raise too much uncertainty. The difference in results between the 2 groups in the supportive study raises further uncertainty.</w:t>
      </w:r>
    </w:p>
    <w:p w14:paraId="2B60D73A" w14:textId="77777777" w:rsidR="008E7846" w:rsidRPr="00B8122D" w:rsidRDefault="008E7846" w:rsidP="008E7846">
      <w:pPr>
        <w:pStyle w:val="Heading3"/>
      </w:pPr>
      <w:bookmarkStart w:id="112" w:name="_Toc163441378"/>
      <w:bookmarkStart w:id="113" w:name="_Toc196046495"/>
      <w:bookmarkStart w:id="114" w:name="_Toc247691522"/>
      <w:bookmarkStart w:id="115" w:name="_Toc314842505"/>
      <w:bookmarkStart w:id="116" w:name="_Toc44685909"/>
      <w:bookmarkEnd w:id="108"/>
      <w:bookmarkEnd w:id="109"/>
      <w:bookmarkEnd w:id="110"/>
      <w:bookmarkEnd w:id="111"/>
      <w:r w:rsidRPr="00B8122D">
        <w:lastRenderedPageBreak/>
        <w:t>Safety</w:t>
      </w:r>
      <w:bookmarkEnd w:id="112"/>
      <w:bookmarkEnd w:id="113"/>
      <w:bookmarkEnd w:id="114"/>
      <w:bookmarkEnd w:id="115"/>
      <w:bookmarkEnd w:id="116"/>
    </w:p>
    <w:p w14:paraId="3D2D99D9" w14:textId="77777777" w:rsidR="00605AD4" w:rsidRPr="00B8122D" w:rsidRDefault="00605AD4" w:rsidP="00605AD4">
      <w:pPr>
        <w:pStyle w:val="Heading4"/>
      </w:pPr>
      <w:bookmarkStart w:id="117" w:name="_Toc247691524"/>
      <w:bookmarkStart w:id="118" w:name="_Toc314842508"/>
      <w:bookmarkStart w:id="119" w:name="_Toc196046504"/>
      <w:bookmarkStart w:id="120" w:name="_Toc163441390"/>
      <w:r w:rsidRPr="00B8122D">
        <w:t>Studies providing safety data</w:t>
      </w:r>
    </w:p>
    <w:p w14:paraId="31681DEE" w14:textId="4471F4AD" w:rsidR="00F74660" w:rsidRPr="00B8122D" w:rsidRDefault="00905BF5" w:rsidP="00F74660">
      <w:r w:rsidRPr="00B8122D">
        <w:t>The pivotal Study</w:t>
      </w:r>
      <w:r w:rsidR="00F74660" w:rsidRPr="00B8122D">
        <w:t xml:space="preserve"> A2301 and </w:t>
      </w:r>
      <w:r w:rsidRPr="00B8122D">
        <w:t xml:space="preserve">supportive Study </w:t>
      </w:r>
      <w:r w:rsidR="00F74660" w:rsidRPr="00B8122D">
        <w:t xml:space="preserve">X2107, </w:t>
      </w:r>
      <w:r w:rsidR="006823ED" w:rsidRPr="00B8122D">
        <w:t xml:space="preserve">along with monotherapy based </w:t>
      </w:r>
      <w:r w:rsidR="00F74660" w:rsidRPr="00B8122D">
        <w:t>Studies X2101, XUS03</w:t>
      </w:r>
      <w:r w:rsidR="006823ED" w:rsidRPr="00B8122D">
        <w:t xml:space="preserve"> and X1101 provided safety data.</w:t>
      </w:r>
    </w:p>
    <w:p w14:paraId="76BC5079" w14:textId="1BCFB117" w:rsidR="00F74660" w:rsidRPr="00B8122D" w:rsidRDefault="006807C8" w:rsidP="00F74660">
      <w:r w:rsidRPr="00B8122D">
        <w:t>In addition,</w:t>
      </w:r>
      <w:r w:rsidR="00F74660" w:rsidRPr="00B8122D">
        <w:t xml:space="preserve"> 2 documents that address specific safety concerns</w:t>
      </w:r>
      <w:r w:rsidRPr="00B8122D">
        <w:t xml:space="preserve"> were provided</w:t>
      </w:r>
      <w:r w:rsidR="00F74660" w:rsidRPr="00B8122D">
        <w:t xml:space="preserve">: a </w:t>
      </w:r>
      <w:r w:rsidRPr="00B8122D">
        <w:t>h</w:t>
      </w:r>
      <w:r w:rsidR="00F74660" w:rsidRPr="00B8122D">
        <w:t xml:space="preserve">epatic </w:t>
      </w:r>
      <w:r w:rsidRPr="00B8122D">
        <w:t>s</w:t>
      </w:r>
      <w:r w:rsidR="00F74660" w:rsidRPr="00B8122D">
        <w:t xml:space="preserve">afety </w:t>
      </w:r>
      <w:r w:rsidRPr="00B8122D">
        <w:t>r</w:t>
      </w:r>
      <w:r w:rsidR="00F74660" w:rsidRPr="00B8122D">
        <w:t xml:space="preserve">eport and a QT/QTc </w:t>
      </w:r>
      <w:r w:rsidRPr="00B8122D">
        <w:t>s</w:t>
      </w:r>
      <w:r w:rsidR="00F74660" w:rsidRPr="00B8122D">
        <w:t xml:space="preserve">afety </w:t>
      </w:r>
      <w:r w:rsidRPr="00B8122D">
        <w:t>a</w:t>
      </w:r>
      <w:r w:rsidR="00F74660" w:rsidRPr="00B8122D">
        <w:t xml:space="preserve">ssessment </w:t>
      </w:r>
      <w:r w:rsidRPr="00B8122D">
        <w:t>r</w:t>
      </w:r>
      <w:r w:rsidR="00F74660" w:rsidRPr="00B8122D">
        <w:t xml:space="preserve">eport. An </w:t>
      </w:r>
      <w:r w:rsidRPr="00B8122D">
        <w:t>e</w:t>
      </w:r>
      <w:r w:rsidR="00F74660" w:rsidRPr="00B8122D">
        <w:t xml:space="preserve">xposure-response </w:t>
      </w:r>
      <w:r w:rsidRPr="00B8122D">
        <w:t>a</w:t>
      </w:r>
      <w:r w:rsidR="00F74660" w:rsidRPr="00B8122D">
        <w:t xml:space="preserve">nalysis of </w:t>
      </w:r>
      <w:r w:rsidRPr="00B8122D">
        <w:t>n</w:t>
      </w:r>
      <w:r w:rsidR="00F74660" w:rsidRPr="00B8122D">
        <w:t>eutropaenia</w:t>
      </w:r>
      <w:r w:rsidR="00F74660" w:rsidRPr="00B8122D">
        <w:rPr>
          <w:b/>
        </w:rPr>
        <w:t xml:space="preserve"> </w:t>
      </w:r>
      <w:r w:rsidR="00F74660" w:rsidRPr="00B8122D">
        <w:t xml:space="preserve">in </w:t>
      </w:r>
      <w:r w:rsidRPr="00B8122D">
        <w:t>c</w:t>
      </w:r>
      <w:r w:rsidR="00F74660" w:rsidRPr="00B8122D">
        <w:t xml:space="preserve">ancer </w:t>
      </w:r>
      <w:r w:rsidRPr="00B8122D">
        <w:t>p</w:t>
      </w:r>
      <w:r w:rsidR="00F74660" w:rsidRPr="00B8122D">
        <w:t>atients was also provided.</w:t>
      </w:r>
    </w:p>
    <w:p w14:paraId="1973E224" w14:textId="77777777" w:rsidR="00605AD4" w:rsidRPr="00B8122D" w:rsidRDefault="00605AD4" w:rsidP="00605AD4">
      <w:pPr>
        <w:pStyle w:val="Heading4"/>
      </w:pPr>
      <w:r w:rsidRPr="00B8122D">
        <w:t>Patient exposure</w:t>
      </w:r>
    </w:p>
    <w:p w14:paraId="10050A07" w14:textId="4FAB681B" w:rsidR="006807C8" w:rsidRPr="00B8122D" w:rsidRDefault="006807C8" w:rsidP="006807C8">
      <w:pPr>
        <w:rPr>
          <w:lang w:eastAsia="ja-JP"/>
        </w:rPr>
      </w:pPr>
      <w:r w:rsidRPr="00B8122D">
        <w:rPr>
          <w:lang w:eastAsia="ja-JP"/>
        </w:rPr>
        <w:t>The sponsor’s overall safety evaluation is based on data from 568 patients: 381 patients from ribociclib 600 mg/letrozole 2.5 mg combination therapy Studies A2301 and X2107, and 187 patients on ribociclib 600 mg monotherapy from Studies X2101, XUS03 and X1101.</w:t>
      </w:r>
    </w:p>
    <w:p w14:paraId="0DB73D6C" w14:textId="77777777" w:rsidR="00605AD4" w:rsidRPr="00B8122D" w:rsidRDefault="00605AD4" w:rsidP="00605AD4">
      <w:pPr>
        <w:pStyle w:val="Heading4"/>
      </w:pPr>
      <w:r w:rsidRPr="00B8122D">
        <w:t>Safety issues with the potential for major regulatory impact</w:t>
      </w:r>
    </w:p>
    <w:p w14:paraId="23980B7F" w14:textId="03521334" w:rsidR="006807C8" w:rsidRPr="00B8122D" w:rsidRDefault="006807C8" w:rsidP="006807C8">
      <w:pPr>
        <w:rPr>
          <w:lang w:eastAsia="ja-JP"/>
        </w:rPr>
      </w:pPr>
      <w:r w:rsidRPr="00B8122D">
        <w:rPr>
          <w:lang w:eastAsia="ja-JP"/>
        </w:rPr>
        <w:t>There are 3 toxicities reported that have possible major regulatory impact: neutropaenia, hepatotoxicity and QT prolongation. The latter 2 of these were each examined in a specific safety report provided by the sponsor. Neutropaenia was investigated i</w:t>
      </w:r>
      <w:r w:rsidR="006B7990">
        <w:rPr>
          <w:lang w:eastAsia="ja-JP"/>
        </w:rPr>
        <w:t>n an exposure response analysis</w:t>
      </w:r>
      <w:r w:rsidRPr="00B8122D">
        <w:rPr>
          <w:lang w:eastAsia="ja-JP"/>
        </w:rPr>
        <w:t>.</w:t>
      </w:r>
    </w:p>
    <w:p w14:paraId="49BC1081" w14:textId="77777777" w:rsidR="00605AD4" w:rsidRPr="00B8122D" w:rsidRDefault="00605AD4" w:rsidP="00605AD4">
      <w:pPr>
        <w:pStyle w:val="Heading4"/>
      </w:pPr>
      <w:r w:rsidRPr="00B8122D">
        <w:t>Postmarketing data</w:t>
      </w:r>
    </w:p>
    <w:p w14:paraId="65AF45D5" w14:textId="3DEA2DEE" w:rsidR="006807C8" w:rsidRPr="00B8122D" w:rsidRDefault="006807C8" w:rsidP="006807C8">
      <w:r w:rsidRPr="00B8122D">
        <w:t>Not applicable. At the time of submission</w:t>
      </w:r>
      <w:r w:rsidR="000D3F6B" w:rsidRPr="00B8122D">
        <w:t>,</w:t>
      </w:r>
      <w:r w:rsidRPr="00B8122D">
        <w:t xml:space="preserve"> ribociclib w</w:t>
      </w:r>
      <w:r w:rsidR="000D3F6B" w:rsidRPr="00B8122D">
        <w:t>as under evaluation and not approved in any country or region.</w:t>
      </w:r>
    </w:p>
    <w:p w14:paraId="4ED20E83" w14:textId="77777777" w:rsidR="00605AD4" w:rsidRPr="00B8122D" w:rsidRDefault="00605AD4" w:rsidP="00605AD4">
      <w:pPr>
        <w:pStyle w:val="Heading4"/>
      </w:pPr>
      <w:r w:rsidRPr="00B8122D">
        <w:t>Evaluator’s conclusions on safety</w:t>
      </w:r>
    </w:p>
    <w:p w14:paraId="46EA5D14" w14:textId="6850F407" w:rsidR="000D3F6B" w:rsidRPr="00B8122D" w:rsidRDefault="000D3F6B" w:rsidP="000D3F6B">
      <w:pPr>
        <w:rPr>
          <w:lang w:eastAsia="ja-JP"/>
        </w:rPr>
      </w:pPr>
      <w:r w:rsidRPr="00B8122D">
        <w:rPr>
          <w:lang w:eastAsia="ja-JP"/>
        </w:rPr>
        <w:t>There is limited experience with ribociclib to date with t</w:t>
      </w:r>
      <w:r w:rsidR="00057D6F">
        <w:rPr>
          <w:lang w:eastAsia="ja-JP"/>
        </w:rPr>
        <w:t>he safety analysis based on 568 </w:t>
      </w:r>
      <w:r w:rsidRPr="00B8122D">
        <w:rPr>
          <w:lang w:eastAsia="ja-JP"/>
        </w:rPr>
        <w:t>patients overall and 381 patients for the combination of ribociclib + letrozole. There is virtually no experience with long-term use, with only 201 patients treated with ribociclib 12 months or longer and 44 for 18 months or longer. These numbers will not allow identification of rare adverse events, full characterisation of identified serious adverse effects, adverse effects associated with long-term use, and characterisation of safety in subgroups.</w:t>
      </w:r>
    </w:p>
    <w:p w14:paraId="28019764" w14:textId="021C45B1" w:rsidR="000D3F6B" w:rsidRPr="00B8122D" w:rsidRDefault="000D3F6B" w:rsidP="000D3F6B">
      <w:pPr>
        <w:rPr>
          <w:lang w:eastAsia="ja-JP"/>
        </w:rPr>
      </w:pPr>
      <w:r w:rsidRPr="00B8122D">
        <w:rPr>
          <w:lang w:eastAsia="ja-JP"/>
        </w:rPr>
        <w:t xml:space="preserve">Study A2301 has shown that the addition of ribociclib to letrozole is associated with an overall substantial increase in toxicity. AEs from Study A2301 are </w:t>
      </w:r>
      <w:r w:rsidRPr="00077B6B">
        <w:rPr>
          <w:lang w:eastAsia="ja-JP"/>
        </w:rPr>
        <w:t xml:space="preserve">summarised in </w:t>
      </w:r>
      <w:r w:rsidR="00EA56E6" w:rsidRPr="00077B6B">
        <w:rPr>
          <w:lang w:eastAsia="ja-JP"/>
        </w:rPr>
        <w:t xml:space="preserve">Table </w:t>
      </w:r>
      <w:r w:rsidR="00077B6B" w:rsidRPr="00077B6B">
        <w:rPr>
          <w:lang w:eastAsia="ja-JP"/>
        </w:rPr>
        <w:t>7</w:t>
      </w:r>
      <w:r w:rsidR="009F554D">
        <w:rPr>
          <w:lang w:eastAsia="ja-JP"/>
        </w:rPr>
        <w:t>.</w:t>
      </w:r>
    </w:p>
    <w:p w14:paraId="6019A9F9" w14:textId="048E97DF" w:rsidR="000D3F6B" w:rsidRPr="00B8122D" w:rsidRDefault="00077B6B" w:rsidP="003D79AF">
      <w:pPr>
        <w:pStyle w:val="TableTitle"/>
        <w:rPr>
          <w:lang w:eastAsia="ja-JP"/>
        </w:rPr>
      </w:pPr>
      <w:bookmarkStart w:id="121" w:name="_Toc483924320"/>
      <w:r>
        <w:rPr>
          <w:lang w:eastAsia="ja-JP"/>
        </w:rPr>
        <w:t>Table 7:</w:t>
      </w:r>
      <w:r w:rsidR="000D3F6B" w:rsidRPr="00B8122D">
        <w:rPr>
          <w:lang w:eastAsia="ja-JP"/>
        </w:rPr>
        <w:t xml:space="preserve"> Summary of AEs, Study A2301</w:t>
      </w:r>
      <w:bookmarkEnd w:id="121"/>
    </w:p>
    <w:tbl>
      <w:tblPr>
        <w:tblStyle w:val="TableTGAblue"/>
        <w:tblW w:w="8330" w:type="dxa"/>
        <w:tblLayout w:type="fixed"/>
        <w:tblLook w:val="04A0" w:firstRow="1" w:lastRow="0" w:firstColumn="1" w:lastColumn="0" w:noHBand="0" w:noVBand="1"/>
      </w:tblPr>
      <w:tblGrid>
        <w:gridCol w:w="2518"/>
        <w:gridCol w:w="3119"/>
        <w:gridCol w:w="2693"/>
      </w:tblGrid>
      <w:tr w:rsidR="000D3F6B" w:rsidRPr="00B8122D" w14:paraId="16EA35FA" w14:textId="77777777" w:rsidTr="00A96F4B">
        <w:trPr>
          <w:cnfStyle w:val="100000000000" w:firstRow="1" w:lastRow="0" w:firstColumn="0" w:lastColumn="0" w:oddVBand="0" w:evenVBand="0" w:oddHBand="0" w:evenHBand="0" w:firstRowFirstColumn="0" w:firstRowLastColumn="0" w:lastRowFirstColumn="0" w:lastRowLastColumn="0"/>
          <w:trHeight w:val="793"/>
        </w:trPr>
        <w:tc>
          <w:tcPr>
            <w:tcW w:w="2518" w:type="dxa"/>
          </w:tcPr>
          <w:p w14:paraId="539A9CB5" w14:textId="77777777" w:rsidR="000D3F6B" w:rsidRPr="00A96F4B" w:rsidRDefault="000D3F6B" w:rsidP="0010489F">
            <w:pPr>
              <w:rPr>
                <w:sz w:val="20"/>
                <w:szCs w:val="20"/>
                <w:lang w:eastAsia="ja-JP"/>
              </w:rPr>
            </w:pPr>
          </w:p>
        </w:tc>
        <w:tc>
          <w:tcPr>
            <w:tcW w:w="5812" w:type="dxa"/>
            <w:gridSpan w:val="2"/>
          </w:tcPr>
          <w:p w14:paraId="6D7AB121" w14:textId="77777777" w:rsidR="000D3F6B" w:rsidRPr="00A96F4B" w:rsidRDefault="000D3F6B" w:rsidP="0010489F">
            <w:pPr>
              <w:rPr>
                <w:sz w:val="20"/>
                <w:szCs w:val="20"/>
                <w:lang w:eastAsia="ja-JP"/>
              </w:rPr>
            </w:pPr>
            <w:r w:rsidRPr="00A96F4B">
              <w:rPr>
                <w:sz w:val="20"/>
                <w:szCs w:val="20"/>
                <w:lang w:eastAsia="ja-JP"/>
              </w:rPr>
              <w:t>Study A2301;</w:t>
            </w:r>
            <w:r w:rsidRPr="00A96F4B">
              <w:rPr>
                <w:sz w:val="20"/>
                <w:szCs w:val="20"/>
              </w:rPr>
              <w:t xml:space="preserve"> Median duration of follow-up 15.3 months</w:t>
            </w:r>
          </w:p>
        </w:tc>
      </w:tr>
      <w:tr w:rsidR="000D3F6B" w:rsidRPr="00B8122D" w14:paraId="7C572250" w14:textId="77777777" w:rsidTr="00A96F4B">
        <w:trPr>
          <w:cnfStyle w:val="100000000000" w:firstRow="1" w:lastRow="0" w:firstColumn="0" w:lastColumn="0" w:oddVBand="0" w:evenVBand="0" w:oddHBand="0" w:evenHBand="0" w:firstRowFirstColumn="0" w:firstRowLastColumn="0" w:lastRowFirstColumn="0" w:lastRowLastColumn="0"/>
        </w:trPr>
        <w:tc>
          <w:tcPr>
            <w:tcW w:w="2518" w:type="dxa"/>
          </w:tcPr>
          <w:p w14:paraId="32257C62" w14:textId="77777777" w:rsidR="000D3F6B" w:rsidRPr="00A96F4B" w:rsidRDefault="000D3F6B" w:rsidP="0010489F">
            <w:pPr>
              <w:rPr>
                <w:b w:val="0"/>
                <w:sz w:val="20"/>
                <w:szCs w:val="20"/>
                <w:lang w:eastAsia="ja-JP"/>
              </w:rPr>
            </w:pPr>
          </w:p>
        </w:tc>
        <w:tc>
          <w:tcPr>
            <w:tcW w:w="3119" w:type="dxa"/>
          </w:tcPr>
          <w:p w14:paraId="34BC65AB" w14:textId="77777777" w:rsidR="000D3F6B" w:rsidRPr="00A96F4B" w:rsidRDefault="000D3F6B" w:rsidP="0010489F">
            <w:pPr>
              <w:rPr>
                <w:b w:val="0"/>
                <w:sz w:val="20"/>
                <w:szCs w:val="20"/>
                <w:lang w:eastAsia="ja-JP"/>
              </w:rPr>
            </w:pPr>
            <w:r w:rsidRPr="00A96F4B">
              <w:rPr>
                <w:b w:val="0"/>
                <w:sz w:val="20"/>
                <w:szCs w:val="20"/>
                <w:lang w:eastAsia="ja-JP"/>
              </w:rPr>
              <w:t>ribociclib + letrozole</w:t>
            </w:r>
          </w:p>
          <w:p w14:paraId="632176CB" w14:textId="23BB1FBD" w:rsidR="00CF14FE" w:rsidRPr="00A96F4B" w:rsidRDefault="00632E55" w:rsidP="00E156C6">
            <w:pPr>
              <w:rPr>
                <w:b w:val="0"/>
                <w:sz w:val="20"/>
                <w:szCs w:val="20"/>
                <w:lang w:eastAsia="ja-JP"/>
              </w:rPr>
            </w:pPr>
            <w:r w:rsidRPr="00A96F4B">
              <w:rPr>
                <w:b w:val="0"/>
                <w:sz w:val="20"/>
                <w:szCs w:val="20"/>
                <w:lang w:eastAsia="ja-JP"/>
              </w:rPr>
              <w:t>N = 33</w:t>
            </w:r>
            <w:r w:rsidR="00E156C6" w:rsidRPr="00A96F4B">
              <w:rPr>
                <w:b w:val="0"/>
                <w:sz w:val="20"/>
                <w:szCs w:val="20"/>
                <w:lang w:eastAsia="ja-JP"/>
              </w:rPr>
              <w:t>4</w:t>
            </w:r>
            <w:r w:rsidR="002C2949" w:rsidRPr="00A96F4B">
              <w:rPr>
                <w:b w:val="0"/>
                <w:sz w:val="20"/>
                <w:szCs w:val="20"/>
                <w:lang w:eastAsia="ja-JP"/>
              </w:rPr>
              <w:t xml:space="preserve"> </w:t>
            </w:r>
            <w:r w:rsidR="00CF14FE" w:rsidRPr="00A96F4B">
              <w:rPr>
                <w:b w:val="0"/>
                <w:sz w:val="20"/>
                <w:szCs w:val="20"/>
                <w:lang w:eastAsia="ja-JP"/>
              </w:rPr>
              <w:t>n(%)</w:t>
            </w:r>
          </w:p>
        </w:tc>
        <w:tc>
          <w:tcPr>
            <w:tcW w:w="2693" w:type="dxa"/>
          </w:tcPr>
          <w:p w14:paraId="068CDD54" w14:textId="77777777" w:rsidR="000D3F6B" w:rsidRPr="00A96F4B" w:rsidRDefault="000D3F6B" w:rsidP="0010489F">
            <w:pPr>
              <w:rPr>
                <w:b w:val="0"/>
                <w:sz w:val="20"/>
                <w:szCs w:val="20"/>
                <w:lang w:eastAsia="ja-JP"/>
              </w:rPr>
            </w:pPr>
            <w:r w:rsidRPr="00A96F4B">
              <w:rPr>
                <w:b w:val="0"/>
                <w:sz w:val="20"/>
                <w:szCs w:val="20"/>
                <w:lang w:eastAsia="ja-JP"/>
              </w:rPr>
              <w:t>placebo + letrozole</w:t>
            </w:r>
          </w:p>
          <w:p w14:paraId="15D7369F" w14:textId="37DD0688" w:rsidR="00CF14FE" w:rsidRPr="00A96F4B" w:rsidRDefault="00632E55" w:rsidP="00E156C6">
            <w:pPr>
              <w:rPr>
                <w:b w:val="0"/>
                <w:sz w:val="20"/>
                <w:szCs w:val="20"/>
                <w:lang w:eastAsia="ja-JP"/>
              </w:rPr>
            </w:pPr>
            <w:r w:rsidRPr="00A96F4B">
              <w:rPr>
                <w:b w:val="0"/>
                <w:sz w:val="20"/>
                <w:szCs w:val="20"/>
                <w:lang w:eastAsia="ja-JP"/>
              </w:rPr>
              <w:t>N = 330</w:t>
            </w:r>
            <w:r w:rsidR="00E156C6" w:rsidRPr="00A96F4B">
              <w:rPr>
                <w:b w:val="0"/>
                <w:sz w:val="20"/>
                <w:szCs w:val="20"/>
                <w:lang w:eastAsia="ja-JP"/>
              </w:rPr>
              <w:t xml:space="preserve"> </w:t>
            </w:r>
            <w:r w:rsidR="00CF14FE" w:rsidRPr="00A96F4B">
              <w:rPr>
                <w:b w:val="0"/>
                <w:sz w:val="20"/>
                <w:szCs w:val="20"/>
                <w:lang w:eastAsia="ja-JP"/>
              </w:rPr>
              <w:t>n(%)</w:t>
            </w:r>
          </w:p>
        </w:tc>
      </w:tr>
      <w:tr w:rsidR="000D3F6B" w:rsidRPr="00B8122D" w14:paraId="1D5ADB27" w14:textId="77777777" w:rsidTr="00D7276C">
        <w:tc>
          <w:tcPr>
            <w:tcW w:w="2518" w:type="dxa"/>
          </w:tcPr>
          <w:p w14:paraId="35CC4BE0" w14:textId="77777777" w:rsidR="000D3F6B" w:rsidRPr="00D7276C" w:rsidRDefault="000D3F6B" w:rsidP="0010489F">
            <w:pPr>
              <w:rPr>
                <w:sz w:val="20"/>
                <w:szCs w:val="20"/>
                <w:lang w:eastAsia="ja-JP"/>
              </w:rPr>
            </w:pPr>
            <w:r w:rsidRPr="00D7276C">
              <w:rPr>
                <w:sz w:val="20"/>
                <w:szCs w:val="20"/>
                <w:lang w:eastAsia="ja-JP"/>
              </w:rPr>
              <w:t>Relative dose intensity</w:t>
            </w:r>
          </w:p>
        </w:tc>
        <w:tc>
          <w:tcPr>
            <w:tcW w:w="3119" w:type="dxa"/>
          </w:tcPr>
          <w:p w14:paraId="7987B11B" w14:textId="77777777" w:rsidR="000D3F6B" w:rsidRPr="00D7276C" w:rsidRDefault="000D3F6B" w:rsidP="0010489F">
            <w:pPr>
              <w:rPr>
                <w:sz w:val="20"/>
                <w:szCs w:val="20"/>
                <w:lang w:eastAsia="ja-JP"/>
              </w:rPr>
            </w:pPr>
            <w:r w:rsidRPr="00D7276C">
              <w:rPr>
                <w:sz w:val="20"/>
                <w:szCs w:val="20"/>
                <w:lang w:eastAsia="ja-JP"/>
              </w:rPr>
              <w:t>87.5%</w:t>
            </w:r>
          </w:p>
        </w:tc>
        <w:tc>
          <w:tcPr>
            <w:tcW w:w="2693" w:type="dxa"/>
          </w:tcPr>
          <w:p w14:paraId="65A245C1" w14:textId="77777777" w:rsidR="000D3F6B" w:rsidRPr="00D7276C" w:rsidRDefault="000D3F6B" w:rsidP="0010489F">
            <w:pPr>
              <w:rPr>
                <w:sz w:val="20"/>
                <w:szCs w:val="20"/>
                <w:lang w:eastAsia="ja-JP"/>
              </w:rPr>
            </w:pPr>
            <w:r w:rsidRPr="00D7276C">
              <w:rPr>
                <w:sz w:val="20"/>
                <w:szCs w:val="20"/>
                <w:lang w:eastAsia="ja-JP"/>
              </w:rPr>
              <w:t>100%</w:t>
            </w:r>
          </w:p>
        </w:tc>
      </w:tr>
      <w:tr w:rsidR="000D3F6B" w:rsidRPr="00B8122D" w14:paraId="4FA91490" w14:textId="77777777" w:rsidTr="00D7276C">
        <w:tc>
          <w:tcPr>
            <w:tcW w:w="2518" w:type="dxa"/>
          </w:tcPr>
          <w:p w14:paraId="41961912" w14:textId="77777777" w:rsidR="000D3F6B" w:rsidRPr="00D7276C" w:rsidRDefault="000D3F6B" w:rsidP="0010489F">
            <w:pPr>
              <w:rPr>
                <w:sz w:val="20"/>
                <w:szCs w:val="20"/>
                <w:lang w:eastAsia="ja-JP"/>
              </w:rPr>
            </w:pPr>
            <w:r w:rsidRPr="00D7276C">
              <w:rPr>
                <w:sz w:val="20"/>
                <w:szCs w:val="20"/>
                <w:lang w:eastAsia="ja-JP"/>
              </w:rPr>
              <w:t>On-treatment deaths</w:t>
            </w:r>
          </w:p>
        </w:tc>
        <w:tc>
          <w:tcPr>
            <w:tcW w:w="3119" w:type="dxa"/>
          </w:tcPr>
          <w:p w14:paraId="364CA054" w14:textId="41C5793D" w:rsidR="000D3F6B" w:rsidRPr="00D7276C" w:rsidRDefault="000D3F6B" w:rsidP="00632E55">
            <w:pPr>
              <w:rPr>
                <w:sz w:val="20"/>
                <w:szCs w:val="20"/>
                <w:lang w:eastAsia="ja-JP"/>
              </w:rPr>
            </w:pPr>
            <w:r w:rsidRPr="00D7276C">
              <w:rPr>
                <w:sz w:val="20"/>
                <w:szCs w:val="20"/>
                <w:lang w:eastAsia="ja-JP"/>
              </w:rPr>
              <w:t>3 (0.</w:t>
            </w:r>
            <w:r w:rsidR="00632E55" w:rsidRPr="00D7276C">
              <w:rPr>
                <w:sz w:val="20"/>
                <w:szCs w:val="20"/>
                <w:lang w:eastAsia="ja-JP"/>
              </w:rPr>
              <w:t>9</w:t>
            </w:r>
            <w:r w:rsidRPr="00D7276C">
              <w:rPr>
                <w:sz w:val="20"/>
                <w:szCs w:val="20"/>
                <w:lang w:eastAsia="ja-JP"/>
              </w:rPr>
              <w:t>)</w:t>
            </w:r>
          </w:p>
        </w:tc>
        <w:tc>
          <w:tcPr>
            <w:tcW w:w="2693" w:type="dxa"/>
          </w:tcPr>
          <w:p w14:paraId="34AF99B9" w14:textId="77777777" w:rsidR="000D3F6B" w:rsidRPr="00D7276C" w:rsidRDefault="000D3F6B" w:rsidP="0010489F">
            <w:pPr>
              <w:rPr>
                <w:sz w:val="20"/>
                <w:szCs w:val="20"/>
                <w:lang w:eastAsia="ja-JP"/>
              </w:rPr>
            </w:pPr>
            <w:r w:rsidRPr="00D7276C">
              <w:rPr>
                <w:sz w:val="20"/>
                <w:szCs w:val="20"/>
                <w:lang w:eastAsia="ja-JP"/>
              </w:rPr>
              <w:t>1 (0.3)</w:t>
            </w:r>
          </w:p>
        </w:tc>
      </w:tr>
      <w:tr w:rsidR="000D3F6B" w:rsidRPr="00B8122D" w14:paraId="24B0188F" w14:textId="77777777" w:rsidTr="00D7276C">
        <w:tc>
          <w:tcPr>
            <w:tcW w:w="2518" w:type="dxa"/>
          </w:tcPr>
          <w:p w14:paraId="2486C7A8" w14:textId="77777777" w:rsidR="000D3F6B" w:rsidRPr="00D7276C" w:rsidRDefault="000D3F6B" w:rsidP="0010489F">
            <w:pPr>
              <w:rPr>
                <w:sz w:val="20"/>
                <w:szCs w:val="20"/>
                <w:lang w:eastAsia="ja-JP"/>
              </w:rPr>
            </w:pPr>
            <w:r w:rsidRPr="00D7276C">
              <w:rPr>
                <w:sz w:val="20"/>
                <w:szCs w:val="20"/>
                <w:lang w:eastAsia="ja-JP"/>
              </w:rPr>
              <w:t>Grade 3 or 4 AEs</w:t>
            </w:r>
          </w:p>
        </w:tc>
        <w:tc>
          <w:tcPr>
            <w:tcW w:w="3119" w:type="dxa"/>
          </w:tcPr>
          <w:p w14:paraId="61A64EB9" w14:textId="09732DC4" w:rsidR="000D3F6B" w:rsidRPr="00D7276C" w:rsidRDefault="000D3F6B" w:rsidP="0010489F">
            <w:pPr>
              <w:rPr>
                <w:sz w:val="20"/>
                <w:szCs w:val="20"/>
                <w:lang w:eastAsia="ja-JP"/>
              </w:rPr>
            </w:pPr>
            <w:r w:rsidRPr="00D7276C">
              <w:rPr>
                <w:sz w:val="20"/>
                <w:szCs w:val="20"/>
                <w:lang w:eastAsia="ja-JP"/>
              </w:rPr>
              <w:t>271 (81.</w:t>
            </w:r>
            <w:r w:rsidR="002C2949" w:rsidRPr="00D7276C">
              <w:rPr>
                <w:sz w:val="20"/>
                <w:szCs w:val="20"/>
                <w:lang w:eastAsia="ja-JP"/>
              </w:rPr>
              <w:t>1</w:t>
            </w:r>
            <w:r w:rsidRPr="00D7276C">
              <w:rPr>
                <w:sz w:val="20"/>
                <w:szCs w:val="20"/>
                <w:lang w:eastAsia="ja-JP"/>
              </w:rPr>
              <w:t>)</w:t>
            </w:r>
          </w:p>
        </w:tc>
        <w:tc>
          <w:tcPr>
            <w:tcW w:w="2693" w:type="dxa"/>
          </w:tcPr>
          <w:p w14:paraId="4426EF1E" w14:textId="30EEF235" w:rsidR="000D3F6B" w:rsidRPr="00D7276C" w:rsidRDefault="000D3F6B" w:rsidP="00632E55">
            <w:pPr>
              <w:rPr>
                <w:sz w:val="20"/>
                <w:szCs w:val="20"/>
                <w:lang w:eastAsia="ja-JP"/>
              </w:rPr>
            </w:pPr>
            <w:r w:rsidRPr="00D7276C">
              <w:rPr>
                <w:sz w:val="20"/>
                <w:szCs w:val="20"/>
                <w:lang w:eastAsia="ja-JP"/>
              </w:rPr>
              <w:t>108 (</w:t>
            </w:r>
            <w:r w:rsidR="00632E55" w:rsidRPr="00D7276C">
              <w:rPr>
                <w:sz w:val="20"/>
                <w:szCs w:val="20"/>
                <w:lang w:eastAsia="ja-JP"/>
              </w:rPr>
              <w:t>32.7</w:t>
            </w:r>
            <w:r w:rsidRPr="00D7276C">
              <w:rPr>
                <w:sz w:val="20"/>
                <w:szCs w:val="20"/>
                <w:lang w:eastAsia="ja-JP"/>
              </w:rPr>
              <w:t>)</w:t>
            </w:r>
          </w:p>
        </w:tc>
      </w:tr>
      <w:tr w:rsidR="000D3F6B" w:rsidRPr="00B8122D" w14:paraId="6309B089" w14:textId="77777777" w:rsidTr="00D7276C">
        <w:tc>
          <w:tcPr>
            <w:tcW w:w="2518" w:type="dxa"/>
          </w:tcPr>
          <w:p w14:paraId="12AAE471" w14:textId="77777777" w:rsidR="000D3F6B" w:rsidRPr="00D7276C" w:rsidRDefault="000D3F6B" w:rsidP="0010489F">
            <w:pPr>
              <w:rPr>
                <w:sz w:val="20"/>
                <w:szCs w:val="20"/>
                <w:lang w:eastAsia="ja-JP"/>
              </w:rPr>
            </w:pPr>
            <w:r w:rsidRPr="00D7276C">
              <w:rPr>
                <w:sz w:val="20"/>
                <w:szCs w:val="20"/>
                <w:lang w:eastAsia="ja-JP"/>
              </w:rPr>
              <w:lastRenderedPageBreak/>
              <w:t>AEs leading to discontinuation</w:t>
            </w:r>
          </w:p>
        </w:tc>
        <w:tc>
          <w:tcPr>
            <w:tcW w:w="3119" w:type="dxa"/>
          </w:tcPr>
          <w:p w14:paraId="410A8942" w14:textId="77777777" w:rsidR="000D3F6B" w:rsidRPr="00D7276C" w:rsidRDefault="000D3F6B" w:rsidP="0010489F">
            <w:pPr>
              <w:rPr>
                <w:sz w:val="20"/>
                <w:szCs w:val="20"/>
                <w:lang w:eastAsia="ja-JP"/>
              </w:rPr>
            </w:pPr>
            <w:r w:rsidRPr="00D7276C">
              <w:rPr>
                <w:sz w:val="20"/>
                <w:szCs w:val="20"/>
                <w:lang w:eastAsia="ja-JP"/>
              </w:rPr>
              <w:t>50 (15.0)</w:t>
            </w:r>
          </w:p>
        </w:tc>
        <w:tc>
          <w:tcPr>
            <w:tcW w:w="2693" w:type="dxa"/>
          </w:tcPr>
          <w:p w14:paraId="4C408A62" w14:textId="77777777" w:rsidR="000D3F6B" w:rsidRPr="00D7276C" w:rsidRDefault="000D3F6B" w:rsidP="0010489F">
            <w:pPr>
              <w:rPr>
                <w:sz w:val="20"/>
                <w:szCs w:val="20"/>
                <w:lang w:eastAsia="ja-JP"/>
              </w:rPr>
            </w:pPr>
            <w:r w:rsidRPr="00D7276C">
              <w:rPr>
                <w:sz w:val="20"/>
                <w:szCs w:val="20"/>
                <w:lang w:eastAsia="ja-JP"/>
              </w:rPr>
              <w:t>10 (3.0)</w:t>
            </w:r>
          </w:p>
        </w:tc>
      </w:tr>
      <w:tr w:rsidR="000D3F6B" w:rsidRPr="00B8122D" w14:paraId="608CF20B" w14:textId="77777777" w:rsidTr="00D7276C">
        <w:tc>
          <w:tcPr>
            <w:tcW w:w="2518" w:type="dxa"/>
          </w:tcPr>
          <w:p w14:paraId="05C656EF" w14:textId="77777777" w:rsidR="000D3F6B" w:rsidRPr="00D7276C" w:rsidRDefault="000D3F6B" w:rsidP="0010489F">
            <w:pPr>
              <w:rPr>
                <w:sz w:val="20"/>
                <w:szCs w:val="20"/>
                <w:lang w:eastAsia="ja-JP"/>
              </w:rPr>
            </w:pPr>
            <w:r w:rsidRPr="00D7276C">
              <w:rPr>
                <w:sz w:val="20"/>
                <w:szCs w:val="20"/>
                <w:lang w:eastAsia="ja-JP"/>
              </w:rPr>
              <w:t>Dose reduction and/or interruption due to AE</w:t>
            </w:r>
          </w:p>
        </w:tc>
        <w:tc>
          <w:tcPr>
            <w:tcW w:w="3119" w:type="dxa"/>
          </w:tcPr>
          <w:p w14:paraId="2501B62A" w14:textId="77777777" w:rsidR="000D3F6B" w:rsidRPr="00D7276C" w:rsidRDefault="000D3F6B" w:rsidP="0010489F">
            <w:pPr>
              <w:rPr>
                <w:sz w:val="20"/>
                <w:szCs w:val="20"/>
                <w:lang w:eastAsia="ja-JP"/>
              </w:rPr>
            </w:pPr>
            <w:r w:rsidRPr="00D7276C">
              <w:rPr>
                <w:sz w:val="20"/>
                <w:szCs w:val="20"/>
                <w:lang w:eastAsia="ja-JP"/>
              </w:rPr>
              <w:t>244 (73.1)</w:t>
            </w:r>
          </w:p>
        </w:tc>
        <w:tc>
          <w:tcPr>
            <w:tcW w:w="2693" w:type="dxa"/>
          </w:tcPr>
          <w:p w14:paraId="4DB62A98" w14:textId="77777777" w:rsidR="000D3F6B" w:rsidRPr="00D7276C" w:rsidRDefault="000D3F6B" w:rsidP="0010489F">
            <w:pPr>
              <w:rPr>
                <w:sz w:val="20"/>
                <w:szCs w:val="20"/>
                <w:lang w:eastAsia="ja-JP"/>
              </w:rPr>
            </w:pPr>
            <w:r w:rsidRPr="00D7276C">
              <w:rPr>
                <w:sz w:val="20"/>
                <w:szCs w:val="20"/>
                <w:lang w:eastAsia="ja-JP"/>
              </w:rPr>
              <w:t>52 (15.8)</w:t>
            </w:r>
          </w:p>
        </w:tc>
      </w:tr>
      <w:tr w:rsidR="000D3F6B" w:rsidRPr="00B8122D" w14:paraId="21BCF8BF" w14:textId="77777777" w:rsidTr="00D7276C">
        <w:tc>
          <w:tcPr>
            <w:tcW w:w="2518" w:type="dxa"/>
          </w:tcPr>
          <w:p w14:paraId="1A2E6E42" w14:textId="77777777" w:rsidR="000D3F6B" w:rsidRPr="00D7276C" w:rsidRDefault="000D3F6B" w:rsidP="0010489F">
            <w:pPr>
              <w:rPr>
                <w:sz w:val="20"/>
                <w:szCs w:val="20"/>
                <w:lang w:eastAsia="ja-JP"/>
              </w:rPr>
            </w:pPr>
            <w:r w:rsidRPr="00D7276C">
              <w:rPr>
                <w:sz w:val="20"/>
                <w:szCs w:val="20"/>
                <w:lang w:eastAsia="ja-JP"/>
              </w:rPr>
              <w:t>AE Neutropaenia, Grade 3/4</w:t>
            </w:r>
          </w:p>
        </w:tc>
        <w:tc>
          <w:tcPr>
            <w:tcW w:w="3119" w:type="dxa"/>
          </w:tcPr>
          <w:p w14:paraId="0248A0CA" w14:textId="0AAF9B09" w:rsidR="000D3F6B" w:rsidRPr="00D7276C" w:rsidRDefault="000D3F6B" w:rsidP="00632E55">
            <w:pPr>
              <w:rPr>
                <w:sz w:val="20"/>
                <w:szCs w:val="20"/>
                <w:lang w:eastAsia="ja-JP"/>
              </w:rPr>
            </w:pPr>
            <w:r w:rsidRPr="00D7276C">
              <w:rPr>
                <w:sz w:val="20"/>
                <w:szCs w:val="20"/>
                <w:lang w:eastAsia="ja-JP"/>
              </w:rPr>
              <w:t>161 (</w:t>
            </w:r>
            <w:r w:rsidR="00632E55" w:rsidRPr="00D7276C">
              <w:rPr>
                <w:sz w:val="20"/>
                <w:szCs w:val="20"/>
                <w:lang w:eastAsia="ja-JP"/>
              </w:rPr>
              <w:t>48</w:t>
            </w:r>
            <w:r w:rsidRPr="00D7276C">
              <w:rPr>
                <w:sz w:val="20"/>
                <w:szCs w:val="20"/>
                <w:lang w:eastAsia="ja-JP"/>
              </w:rPr>
              <w:t>.2)</w:t>
            </w:r>
          </w:p>
        </w:tc>
        <w:tc>
          <w:tcPr>
            <w:tcW w:w="2693" w:type="dxa"/>
          </w:tcPr>
          <w:p w14:paraId="374D0B72" w14:textId="77777777" w:rsidR="000D3F6B" w:rsidRPr="00D7276C" w:rsidRDefault="000D3F6B" w:rsidP="0010489F">
            <w:pPr>
              <w:rPr>
                <w:sz w:val="20"/>
                <w:szCs w:val="20"/>
                <w:lang w:eastAsia="ja-JP"/>
              </w:rPr>
            </w:pPr>
            <w:r w:rsidRPr="00D7276C">
              <w:rPr>
                <w:sz w:val="20"/>
                <w:szCs w:val="20"/>
                <w:lang w:eastAsia="ja-JP"/>
              </w:rPr>
              <w:t>2 (0.6)</w:t>
            </w:r>
          </w:p>
        </w:tc>
      </w:tr>
      <w:tr w:rsidR="000D3F6B" w:rsidRPr="00B8122D" w14:paraId="4488EEAC" w14:textId="77777777" w:rsidTr="00D7276C">
        <w:tc>
          <w:tcPr>
            <w:tcW w:w="2518" w:type="dxa"/>
          </w:tcPr>
          <w:p w14:paraId="699F8A2E" w14:textId="42E7114D" w:rsidR="000D3F6B" w:rsidRPr="00D7276C" w:rsidRDefault="000D3F6B" w:rsidP="0010489F">
            <w:pPr>
              <w:rPr>
                <w:sz w:val="20"/>
                <w:szCs w:val="20"/>
                <w:lang w:eastAsia="ja-JP"/>
              </w:rPr>
            </w:pPr>
            <w:r w:rsidRPr="00D7276C">
              <w:rPr>
                <w:sz w:val="20"/>
                <w:szCs w:val="20"/>
                <w:lang w:eastAsia="ja-JP"/>
              </w:rPr>
              <w:t>QTcF increase &gt; 60 ms</w:t>
            </w:r>
          </w:p>
        </w:tc>
        <w:tc>
          <w:tcPr>
            <w:tcW w:w="3119" w:type="dxa"/>
          </w:tcPr>
          <w:p w14:paraId="2884FBE7" w14:textId="7A08E22D" w:rsidR="000D3F6B" w:rsidRPr="00D7276C" w:rsidRDefault="000D3F6B" w:rsidP="0010489F">
            <w:pPr>
              <w:rPr>
                <w:sz w:val="20"/>
                <w:szCs w:val="20"/>
                <w:lang w:eastAsia="ja-JP"/>
              </w:rPr>
            </w:pPr>
            <w:r w:rsidRPr="00D7276C">
              <w:rPr>
                <w:sz w:val="20"/>
                <w:szCs w:val="20"/>
                <w:lang w:eastAsia="ja-JP"/>
              </w:rPr>
              <w:t>9</w:t>
            </w:r>
            <w:r w:rsidR="00632E55" w:rsidRPr="00D7276C">
              <w:rPr>
                <w:sz w:val="20"/>
                <w:szCs w:val="20"/>
                <w:lang w:eastAsia="ja-JP"/>
              </w:rPr>
              <w:t>/329</w:t>
            </w:r>
            <w:r w:rsidRPr="00D7276C">
              <w:rPr>
                <w:sz w:val="20"/>
                <w:szCs w:val="20"/>
                <w:lang w:eastAsia="ja-JP"/>
              </w:rPr>
              <w:t xml:space="preserve"> (2.7)</w:t>
            </w:r>
          </w:p>
        </w:tc>
        <w:tc>
          <w:tcPr>
            <w:tcW w:w="2693" w:type="dxa"/>
          </w:tcPr>
          <w:p w14:paraId="10C083B2" w14:textId="77777777" w:rsidR="000D3F6B" w:rsidRPr="00D7276C" w:rsidRDefault="000D3F6B" w:rsidP="0010489F">
            <w:pPr>
              <w:rPr>
                <w:sz w:val="20"/>
                <w:szCs w:val="20"/>
                <w:lang w:eastAsia="ja-JP"/>
              </w:rPr>
            </w:pPr>
            <w:r w:rsidRPr="00D7276C">
              <w:rPr>
                <w:sz w:val="20"/>
                <w:szCs w:val="20"/>
                <w:lang w:eastAsia="ja-JP"/>
              </w:rPr>
              <w:t>0</w:t>
            </w:r>
          </w:p>
        </w:tc>
      </w:tr>
      <w:tr w:rsidR="000D3F6B" w:rsidRPr="00B8122D" w14:paraId="19167E65" w14:textId="77777777" w:rsidTr="00D7276C">
        <w:tc>
          <w:tcPr>
            <w:tcW w:w="2518" w:type="dxa"/>
          </w:tcPr>
          <w:p w14:paraId="5439205D" w14:textId="0D864271" w:rsidR="000D3F6B" w:rsidRPr="00D7276C" w:rsidRDefault="000D3F6B" w:rsidP="0010489F">
            <w:pPr>
              <w:rPr>
                <w:sz w:val="20"/>
                <w:szCs w:val="20"/>
                <w:lang w:eastAsia="ja-JP"/>
              </w:rPr>
            </w:pPr>
            <w:r w:rsidRPr="00D7276C">
              <w:rPr>
                <w:sz w:val="20"/>
                <w:szCs w:val="20"/>
                <w:lang w:eastAsia="ja-JP"/>
              </w:rPr>
              <w:t xml:space="preserve">Hy’s </w:t>
            </w:r>
            <w:r w:rsidR="00BD719E" w:rsidRPr="00D7276C">
              <w:rPr>
                <w:sz w:val="20"/>
                <w:szCs w:val="20"/>
                <w:lang w:eastAsia="ja-JP"/>
              </w:rPr>
              <w:t>l</w:t>
            </w:r>
            <w:r w:rsidRPr="00D7276C">
              <w:rPr>
                <w:sz w:val="20"/>
                <w:szCs w:val="20"/>
                <w:lang w:eastAsia="ja-JP"/>
              </w:rPr>
              <w:t>aw cases</w:t>
            </w:r>
          </w:p>
        </w:tc>
        <w:tc>
          <w:tcPr>
            <w:tcW w:w="3119" w:type="dxa"/>
          </w:tcPr>
          <w:p w14:paraId="2E9B6E7F" w14:textId="40DAA15D" w:rsidR="000D3F6B" w:rsidRPr="00D7276C" w:rsidRDefault="000D3F6B" w:rsidP="0010489F">
            <w:pPr>
              <w:rPr>
                <w:sz w:val="20"/>
                <w:szCs w:val="20"/>
                <w:lang w:eastAsia="ja-JP"/>
              </w:rPr>
            </w:pPr>
            <w:r w:rsidRPr="00D7276C">
              <w:rPr>
                <w:sz w:val="20"/>
                <w:szCs w:val="20"/>
                <w:lang w:eastAsia="ja-JP"/>
              </w:rPr>
              <w:t>4</w:t>
            </w:r>
            <w:r w:rsidR="00632E55" w:rsidRPr="00D7276C">
              <w:rPr>
                <w:sz w:val="20"/>
                <w:szCs w:val="20"/>
                <w:lang w:eastAsia="ja-JP"/>
              </w:rPr>
              <w:t>/327</w:t>
            </w:r>
            <w:r w:rsidRPr="00D7276C">
              <w:rPr>
                <w:sz w:val="20"/>
                <w:szCs w:val="20"/>
                <w:lang w:eastAsia="ja-JP"/>
              </w:rPr>
              <w:t xml:space="preserve"> (1.2)</w:t>
            </w:r>
          </w:p>
        </w:tc>
        <w:tc>
          <w:tcPr>
            <w:tcW w:w="2693" w:type="dxa"/>
          </w:tcPr>
          <w:p w14:paraId="1BEAC865" w14:textId="77777777" w:rsidR="000D3F6B" w:rsidRPr="00D7276C" w:rsidRDefault="000D3F6B" w:rsidP="0010489F">
            <w:pPr>
              <w:rPr>
                <w:sz w:val="20"/>
                <w:szCs w:val="20"/>
                <w:lang w:eastAsia="ja-JP"/>
              </w:rPr>
            </w:pPr>
            <w:r w:rsidRPr="00D7276C">
              <w:rPr>
                <w:sz w:val="20"/>
                <w:szCs w:val="20"/>
                <w:lang w:eastAsia="ja-JP"/>
              </w:rPr>
              <w:t>0</w:t>
            </w:r>
          </w:p>
        </w:tc>
      </w:tr>
    </w:tbl>
    <w:p w14:paraId="0EFBA8E9" w14:textId="79C2C1C6" w:rsidR="000D3F6B" w:rsidRPr="00B8122D" w:rsidRDefault="000D3F6B" w:rsidP="000D3F6B">
      <w:pPr>
        <w:rPr>
          <w:lang w:eastAsia="ja-JP"/>
        </w:rPr>
      </w:pPr>
      <w:r w:rsidRPr="00B8122D">
        <w:rPr>
          <w:lang w:eastAsia="ja-JP"/>
        </w:rPr>
        <w:t xml:space="preserve">This resulted in a relatively high proportion of patients who discontinued ribociclib treatment due to </w:t>
      </w:r>
      <w:r w:rsidR="00057D6F">
        <w:rPr>
          <w:lang w:eastAsia="ja-JP"/>
        </w:rPr>
        <w:t>adverse events (AE)</w:t>
      </w:r>
      <w:r w:rsidRPr="00B8122D">
        <w:rPr>
          <w:lang w:eastAsia="ja-JP"/>
        </w:rPr>
        <w:t xml:space="preserve"> and a very high proportion </w:t>
      </w:r>
      <w:r w:rsidR="009F554D" w:rsidRPr="00B8122D">
        <w:rPr>
          <w:lang w:eastAsia="ja-JP"/>
        </w:rPr>
        <w:t>that</w:t>
      </w:r>
      <w:r w:rsidRPr="00B8122D">
        <w:rPr>
          <w:lang w:eastAsia="ja-JP"/>
        </w:rPr>
        <w:t xml:space="preserve"> needed dose modification due to AEs. Despite this, acceptable levels of exposure of ribociclib were achieved. There w</w:t>
      </w:r>
      <w:r w:rsidR="009F554D">
        <w:rPr>
          <w:lang w:eastAsia="ja-JP"/>
        </w:rPr>
        <w:t>ere</w:t>
      </w:r>
      <w:r w:rsidRPr="00B8122D">
        <w:rPr>
          <w:lang w:eastAsia="ja-JP"/>
        </w:rPr>
        <w:t xml:space="preserve"> a low number of non-disease related deaths.</w:t>
      </w:r>
    </w:p>
    <w:p w14:paraId="678B994E" w14:textId="77777777" w:rsidR="000D3F6B" w:rsidRPr="00B8122D" w:rsidRDefault="000D3F6B" w:rsidP="000D3F6B">
      <w:pPr>
        <w:rPr>
          <w:lang w:eastAsia="ja-JP"/>
        </w:rPr>
      </w:pPr>
      <w:r w:rsidRPr="00B8122D">
        <w:rPr>
          <w:lang w:eastAsia="ja-JP"/>
        </w:rPr>
        <w:t>Common AEs that were reported in a greater proportion of patients receiving ribociclib were in keeping with the pharmacological effects of ribociclib: neutropaenia (+56%), nausea (+23%), alopecia (+18%) vomiting (+14%), anaemia (+14%), and AST/ALT increase (+12%).</w:t>
      </w:r>
    </w:p>
    <w:p w14:paraId="71853B0C" w14:textId="77777777" w:rsidR="000D3F6B" w:rsidRPr="00B8122D" w:rsidRDefault="000D3F6B" w:rsidP="000D3F6B">
      <w:pPr>
        <w:rPr>
          <w:lang w:eastAsia="ja-JP"/>
        </w:rPr>
      </w:pPr>
      <w:r w:rsidRPr="00B8122D">
        <w:rPr>
          <w:lang w:eastAsia="ja-JP"/>
        </w:rPr>
        <w:t>There are 3 identified toxicities that have been identified and that have possible regulatory impact: neutropaenia, hepatotoxicity and QT prolongation. Of these, neutropaenia appeared to be adequately managed by monitoring and dose modification in accordance with the guidelines provided. There was a low rate of febrile neutropaenia reported.</w:t>
      </w:r>
    </w:p>
    <w:p w14:paraId="1F3722EA" w14:textId="333A7FE4" w:rsidR="000D3F6B" w:rsidRPr="00B8122D" w:rsidRDefault="000D3F6B" w:rsidP="000D3F6B">
      <w:pPr>
        <w:rPr>
          <w:lang w:eastAsia="ja-JP"/>
        </w:rPr>
      </w:pPr>
      <w:r w:rsidRPr="00B8122D">
        <w:rPr>
          <w:lang w:eastAsia="ja-JP"/>
        </w:rPr>
        <w:t>Hepatotoxicity was common in patients receiving ribociclib although the mechanism of injury is not understood. In Study A2301, hepatotoxicity events of any grade were reported in 24% of the patients receiving ribociclib compared to 14% of patients receiving placebo. In the patients receiving ribociclib, 11% of patients had Grade 3/4 hepatotoxicity events and 7.6% of patients required dose modification. Of greatest concern is that there were 4 confirmed Hy’s law cases identified in patients receiving ribociclib in the pivotal study and a further 3 cases identified in non-dossier studies.</w:t>
      </w:r>
      <w:r w:rsidR="00BD719E">
        <w:rPr>
          <w:rStyle w:val="FootnoteReference"/>
          <w:lang w:eastAsia="ja-JP"/>
        </w:rPr>
        <w:footnoteReference w:id="43"/>
      </w:r>
      <w:r w:rsidRPr="00B8122D">
        <w:rPr>
          <w:lang w:eastAsia="ja-JP"/>
        </w:rPr>
        <w:t xml:space="preserve"> None of these cases had fatal outcome. Early detection of ribociclib and cessation of treatment resulted in return to baseline in most patients, although this could be prolonged.</w:t>
      </w:r>
    </w:p>
    <w:p w14:paraId="21431FAF" w14:textId="31CB710E" w:rsidR="000D3F6B" w:rsidRPr="00B8122D" w:rsidRDefault="000D3F6B" w:rsidP="000D3F6B">
      <w:pPr>
        <w:rPr>
          <w:lang w:eastAsia="ja-JP"/>
        </w:rPr>
      </w:pPr>
      <w:r w:rsidRPr="00B8122D">
        <w:rPr>
          <w:lang w:eastAsia="ja-JP"/>
        </w:rPr>
        <w:t>QT prolongati</w:t>
      </w:r>
      <w:r w:rsidR="0062469E">
        <w:rPr>
          <w:lang w:eastAsia="ja-JP"/>
        </w:rPr>
        <w:t>on appears to be due to a dose</w:t>
      </w:r>
      <w:r w:rsidR="00BB522F">
        <w:rPr>
          <w:lang w:eastAsia="ja-JP"/>
        </w:rPr>
        <w:t xml:space="preserve"> </w:t>
      </w:r>
      <w:r w:rsidR="0062469E">
        <w:rPr>
          <w:lang w:eastAsia="ja-JP"/>
        </w:rPr>
        <w:t>r</w:t>
      </w:r>
      <w:r w:rsidRPr="00B8122D">
        <w:rPr>
          <w:lang w:eastAsia="ja-JP"/>
        </w:rPr>
        <w:t>elated effect of ribociclib on the hERG channel.</w:t>
      </w:r>
      <w:r w:rsidR="005326FB">
        <w:rPr>
          <w:lang w:eastAsia="ja-JP"/>
        </w:rPr>
        <w:t xml:space="preserve"> This adverse effect and its manageme</w:t>
      </w:r>
      <w:r w:rsidR="006B7990">
        <w:rPr>
          <w:lang w:eastAsia="ja-JP"/>
        </w:rPr>
        <w:t>nt is still being characterised</w:t>
      </w:r>
      <w:r w:rsidRPr="00B8122D">
        <w:rPr>
          <w:lang w:eastAsia="ja-JP"/>
        </w:rPr>
        <w:t>.</w:t>
      </w:r>
      <w:r w:rsidR="005326FB">
        <w:rPr>
          <w:rStyle w:val="FootnoteReference"/>
          <w:lang w:eastAsia="ja-JP"/>
        </w:rPr>
        <w:footnoteReference w:id="44"/>
      </w:r>
      <w:r w:rsidR="00912435" w:rsidRPr="00912435">
        <w:t xml:space="preserve"> </w:t>
      </w:r>
      <w:r w:rsidRPr="00B8122D">
        <w:rPr>
          <w:lang w:eastAsia="ja-JP"/>
        </w:rPr>
        <w:t xml:space="preserve">Although </w:t>
      </w:r>
      <w:r w:rsidR="0062469E">
        <w:rPr>
          <w:lang w:eastAsia="ja-JP"/>
        </w:rPr>
        <w:t>electrocardiogram (</w:t>
      </w:r>
      <w:r w:rsidRPr="00B8122D">
        <w:rPr>
          <w:lang w:eastAsia="ja-JP"/>
        </w:rPr>
        <w:t>ECG</w:t>
      </w:r>
      <w:r w:rsidR="0062469E">
        <w:rPr>
          <w:lang w:eastAsia="ja-JP"/>
        </w:rPr>
        <w:t>)</w:t>
      </w:r>
      <w:r w:rsidRPr="00B8122D">
        <w:rPr>
          <w:lang w:eastAsia="ja-JP"/>
        </w:rPr>
        <w:t xml:space="preserve"> monitoring has been included in all</w:t>
      </w:r>
      <w:r w:rsidR="0062469E">
        <w:rPr>
          <w:lang w:eastAsia="ja-JP"/>
        </w:rPr>
        <w:t xml:space="preserve"> clinical studies, there were 2 </w:t>
      </w:r>
      <w:r w:rsidRPr="00B8122D">
        <w:rPr>
          <w:lang w:eastAsia="ja-JP"/>
        </w:rPr>
        <w:t xml:space="preserve">safety related protocol amendments in Study A2301 that enhanced the recommendations regarding the management and monitoring for QT prolongation. These </w:t>
      </w:r>
      <w:r w:rsidRPr="00B8122D">
        <w:rPr>
          <w:lang w:eastAsia="ja-JP"/>
        </w:rPr>
        <w:lastRenderedPageBreak/>
        <w:t>included the recommendation that ECGs be performed on Day 1 of every cycle to Cycle 9 and that if a patient had any QTcF values ≥ 481 ms at any time, then continued ECG monitoring was indicated for all subsequent cycles.</w:t>
      </w:r>
      <w:r w:rsidR="00C9746A">
        <w:rPr>
          <w:rStyle w:val="FootnoteReference"/>
          <w:lang w:eastAsia="ja-JP"/>
        </w:rPr>
        <w:footnoteReference w:id="45"/>
      </w:r>
      <w:r w:rsidRPr="00B8122D">
        <w:rPr>
          <w:lang w:eastAsia="ja-JP"/>
        </w:rPr>
        <w:t xml:space="preserve"> Potential complications related to QT prolongation include ventricular arrhythmias, unexplained sudden death or cardiac arrest and syncope. Each of these, except for ventricular arrhythmias, has been reported with</w:t>
      </w:r>
      <w:r w:rsidR="001A17A7">
        <w:rPr>
          <w:lang w:eastAsia="ja-JP"/>
        </w:rPr>
        <w:t xml:space="preserve"> </w:t>
      </w:r>
      <w:r w:rsidRPr="00B8122D">
        <w:rPr>
          <w:lang w:eastAsia="ja-JP"/>
        </w:rPr>
        <w:t>ribociclib. The lack of ECGs that were performed prior to or at the reported syncopal events precludes the exclusion of QT prolongation by ribociclib as a contributor. The event of sudden death occurred during ribociclib treatment in a patient with hypokalaemia and who had</w:t>
      </w:r>
      <w:r w:rsidR="00D3697D">
        <w:rPr>
          <w:lang w:eastAsia="ja-JP"/>
        </w:rPr>
        <w:t xml:space="preserve"> previously had QTcF of 481 ms</w:t>
      </w:r>
      <w:r w:rsidRPr="00B8122D">
        <w:rPr>
          <w:lang w:eastAsia="ja-JP"/>
        </w:rPr>
        <w:t>.</w:t>
      </w:r>
    </w:p>
    <w:p w14:paraId="27234AA7" w14:textId="77777777" w:rsidR="000D3F6B" w:rsidRPr="00B8122D" w:rsidRDefault="000D3F6B" w:rsidP="000D3F6B">
      <w:pPr>
        <w:rPr>
          <w:lang w:eastAsia="ja-JP"/>
        </w:rPr>
      </w:pPr>
      <w:r w:rsidRPr="00B8122D">
        <w:rPr>
          <w:lang w:eastAsia="ja-JP"/>
        </w:rPr>
        <w:t>Additional serious toxicities may be identified with greater ribociclib experience. These may include pulmonary toxicity.</w:t>
      </w:r>
    </w:p>
    <w:p w14:paraId="0FF3A67D" w14:textId="77777777" w:rsidR="000D3F6B" w:rsidRPr="00B8122D" w:rsidRDefault="000D3F6B" w:rsidP="000D3F6B">
      <w:pPr>
        <w:rPr>
          <w:lang w:eastAsia="ja-JP"/>
        </w:rPr>
      </w:pPr>
      <w:r w:rsidRPr="00B8122D">
        <w:rPr>
          <w:lang w:eastAsia="ja-JP"/>
        </w:rPr>
        <w:t>Close monitoring and proactive dose modifications were used in the clinical studies to manage these adverse events. The use of ribociclib will add unfamiliar monitoring and complexity in the choice of co-administered treatments for oncologists managing these patients. It is important that clear and rigorous monitoring recommendations, together with appropriate management advice, is provided in the post-approval setting if the safety reported in the clinical trials is to be replicated in the wider setting.</w:t>
      </w:r>
    </w:p>
    <w:p w14:paraId="6B8395C6" w14:textId="2D8E6C4E" w:rsidR="00605AD4" w:rsidRPr="00B8122D" w:rsidRDefault="000D3F6B" w:rsidP="00605AD4">
      <w:pPr>
        <w:rPr>
          <w:lang w:eastAsia="ja-JP"/>
        </w:rPr>
      </w:pPr>
      <w:r w:rsidRPr="00B8122D">
        <w:rPr>
          <w:lang w:eastAsia="ja-JP"/>
        </w:rPr>
        <w:t>The TGA adopted EMA ‘Guideline on the evaluation of anticancer medicinal products in man’ (EMA/CHMP/205/95/Rev.4) recommends that, treatments that are administered with the intent to achieve long-term disease control, if there is a major increase in toxicity, then the principal object should be to demonstrate improved survival. In the evaluator’s opinion, the addition of ribociclib to letrozole treatment has resulted in a major increase in toxicity.</w:t>
      </w:r>
    </w:p>
    <w:p w14:paraId="2AB204D2" w14:textId="05678343" w:rsidR="00605AD4" w:rsidRPr="00B8122D" w:rsidRDefault="00605AD4" w:rsidP="00605AD4">
      <w:pPr>
        <w:pStyle w:val="Heading3"/>
        <w:rPr>
          <w:rFonts w:eastAsia="Cambria"/>
        </w:rPr>
      </w:pPr>
      <w:bookmarkStart w:id="122" w:name="_Toc44685910"/>
      <w:r w:rsidRPr="00B8122D">
        <w:rPr>
          <w:rFonts w:eastAsia="Cambria"/>
        </w:rPr>
        <w:t xml:space="preserve">First </w:t>
      </w:r>
      <w:r w:rsidR="006B7990" w:rsidRPr="00B8122D">
        <w:rPr>
          <w:rFonts w:eastAsia="Cambria"/>
        </w:rPr>
        <w:t>round recommendation regarding authorisation</w:t>
      </w:r>
      <w:bookmarkEnd w:id="122"/>
    </w:p>
    <w:p w14:paraId="0A6FA4DD" w14:textId="67F00FCB" w:rsidR="00605AD4" w:rsidRPr="00B8122D" w:rsidRDefault="000D3F6B" w:rsidP="00605AD4">
      <w:pPr>
        <w:rPr>
          <w:lang w:eastAsia="ja-JP"/>
        </w:rPr>
      </w:pPr>
      <w:r w:rsidRPr="00B8122D">
        <w:rPr>
          <w:lang w:eastAsia="ja-JP"/>
        </w:rPr>
        <w:t>Authorisation of ribociclib for the proposed indication is not recommended. This recommendation may be changed if a subsequent application provides evidence of a favourable effect on overall survival and a better characterisation of serious toxicities.</w:t>
      </w:r>
    </w:p>
    <w:p w14:paraId="78146B14" w14:textId="37A66D80" w:rsidR="00605AD4" w:rsidRPr="00B8122D" w:rsidRDefault="006B7990" w:rsidP="00605AD4">
      <w:pPr>
        <w:pStyle w:val="Heading3"/>
        <w:rPr>
          <w:rFonts w:eastAsia="Cambria"/>
        </w:rPr>
      </w:pPr>
      <w:bookmarkStart w:id="123" w:name="_Toc44685911"/>
      <w:r>
        <w:rPr>
          <w:rFonts w:eastAsia="Cambria"/>
        </w:rPr>
        <w:t>Clinical q</w:t>
      </w:r>
      <w:r w:rsidR="00605AD4" w:rsidRPr="00B8122D">
        <w:rPr>
          <w:rFonts w:eastAsia="Cambria"/>
        </w:rPr>
        <w:t>uestions</w:t>
      </w:r>
      <w:bookmarkEnd w:id="123"/>
    </w:p>
    <w:p w14:paraId="425CD254" w14:textId="6B99CA52" w:rsidR="00605AD4" w:rsidRPr="00B8122D" w:rsidRDefault="00BD719E" w:rsidP="00605AD4">
      <w:r>
        <w:t>Discussion of the clinical questions posed to the sponsor and requests for further clinical data are beyond the scope of this AusPAR.</w:t>
      </w:r>
    </w:p>
    <w:p w14:paraId="7DFDC84A" w14:textId="218CB69F" w:rsidR="00605AD4" w:rsidRPr="00B8122D" w:rsidRDefault="00605AD4" w:rsidP="00605AD4">
      <w:pPr>
        <w:pStyle w:val="Heading3"/>
        <w:rPr>
          <w:rFonts w:eastAsia="Cambria"/>
        </w:rPr>
      </w:pPr>
      <w:bookmarkStart w:id="124" w:name="_Toc44685912"/>
      <w:r w:rsidRPr="00B8122D">
        <w:rPr>
          <w:rFonts w:eastAsia="Cambria"/>
        </w:rPr>
        <w:t xml:space="preserve">Second </w:t>
      </w:r>
      <w:r w:rsidR="006B7990" w:rsidRPr="00B8122D">
        <w:rPr>
          <w:rFonts w:eastAsia="Cambria"/>
        </w:rPr>
        <w:t>round evaluation of clinical data submitted in response to questions</w:t>
      </w:r>
      <w:bookmarkEnd w:id="124"/>
    </w:p>
    <w:p w14:paraId="05BF6370" w14:textId="78CDF495" w:rsidR="00BD719E" w:rsidRPr="00B8122D" w:rsidRDefault="00BB6514" w:rsidP="00BD719E">
      <w:r>
        <w:t xml:space="preserve">Discussion of the sponsor’s </w:t>
      </w:r>
      <w:r w:rsidR="00BD719E">
        <w:t>responses to clinical questions and requests for further clinical data are beyond the scope of this AusPAR.</w:t>
      </w:r>
    </w:p>
    <w:p w14:paraId="04AEFCFE" w14:textId="0CBF6EE7" w:rsidR="00605AD4" w:rsidRPr="00B8122D" w:rsidRDefault="00605AD4" w:rsidP="00546154">
      <w:pPr>
        <w:pStyle w:val="Heading3"/>
        <w:rPr>
          <w:rFonts w:eastAsia="Cambria"/>
        </w:rPr>
      </w:pPr>
      <w:bookmarkStart w:id="125" w:name="_Toc44685913"/>
      <w:r w:rsidRPr="00B8122D">
        <w:rPr>
          <w:rFonts w:eastAsia="Cambria"/>
        </w:rPr>
        <w:t xml:space="preserve">Second </w:t>
      </w:r>
      <w:r w:rsidR="006B7990" w:rsidRPr="00B8122D">
        <w:rPr>
          <w:rFonts w:eastAsia="Cambria"/>
        </w:rPr>
        <w:t>round benefit-risk assessment</w:t>
      </w:r>
      <w:bookmarkEnd w:id="125"/>
    </w:p>
    <w:p w14:paraId="0ACF684D" w14:textId="09435191" w:rsidR="00307686" w:rsidRPr="00B8122D" w:rsidRDefault="00307686" w:rsidP="00307686">
      <w:r w:rsidRPr="00B8122D">
        <w:t xml:space="preserve">The sponsor has provided more mature efficacy results that confirm a clinically meaningful improvement in median PFS of 9 months over treatment with letrozole alone. This improved PFS may result in a beneficial delay in disease progression and the use of chemotherapy (in patients where this may be considered appropriate). Results for </w:t>
      </w:r>
      <w:r w:rsidR="00D3697D">
        <w:t>OS</w:t>
      </w:r>
      <w:r w:rsidRPr="00B8122D">
        <w:t xml:space="preserve"> remain immature but are encouraging.</w:t>
      </w:r>
    </w:p>
    <w:p w14:paraId="51E0FAE2" w14:textId="1E7BD31D" w:rsidR="00307686" w:rsidRPr="00B8122D" w:rsidRDefault="00307686" w:rsidP="00307686">
      <w:r w:rsidRPr="00B8122D">
        <w:lastRenderedPageBreak/>
        <w:t>As noted above, the PFS benefit comes at the cost of a substantial increase in toxicity over letrozole alone. In the pivotal study, these toxicities appear to be manageable, within the confines of a monitoring structure that continued throughout treatment combined with detailed dose modification recommendations for toxicities detected through this monitoring. However, it is important to note that there was one event of sudden death in a patient with QT prolongation</w:t>
      </w:r>
      <w:r w:rsidR="00401D01">
        <w:t xml:space="preserve"> and </w:t>
      </w:r>
      <w:r w:rsidR="00401D01">
        <w:rPr>
          <w:rFonts w:cs="OESYRT+TimesNewRoman"/>
          <w:color w:val="000000"/>
        </w:rPr>
        <w:t>hypokal</w:t>
      </w:r>
      <w:r w:rsidR="00BD719E">
        <w:rPr>
          <w:rFonts w:cs="OESYRT+TimesNewRoman"/>
          <w:color w:val="000000"/>
        </w:rPr>
        <w:t>a</w:t>
      </w:r>
      <w:r w:rsidR="00401D01">
        <w:rPr>
          <w:rFonts w:cs="OESYRT+TimesNewRoman"/>
          <w:color w:val="000000"/>
        </w:rPr>
        <w:t>emia</w:t>
      </w:r>
      <w:r w:rsidRPr="00B8122D">
        <w:t>.</w:t>
      </w:r>
    </w:p>
    <w:p w14:paraId="3F0590AF" w14:textId="77777777" w:rsidR="00307686" w:rsidRPr="00B8122D" w:rsidRDefault="00307686" w:rsidP="00307686">
      <w:r w:rsidRPr="00B8122D">
        <w:t>On the basis of the updated efficacy results and according to the safety reported in the pivotal study, the evaluator considers the benefit-risk assessment to be in favour of ribociclib for the proposed patient population.</w:t>
      </w:r>
    </w:p>
    <w:p w14:paraId="538C6895" w14:textId="5BD4E6BE" w:rsidR="00307686" w:rsidRPr="00B8122D" w:rsidRDefault="00307686" w:rsidP="00307686">
      <w:r w:rsidRPr="00B8122D">
        <w:t>The evaluator does not consider the safety of ribociclib to have been fully characterised, given the relatively small number of patients exposed and the even smaller number of patients treated long term. It is possible that the use of ribociclib in the wider population will result in a better understanding of the critical toxicities of hepatotoxicity, QT prolongation and myelosuppression and future information (from routine pharmacovigilance or from ongoing or future clinical studies) may alter the benefit-risk assessment.</w:t>
      </w:r>
    </w:p>
    <w:p w14:paraId="4C950241" w14:textId="77777777" w:rsidR="00307686" w:rsidRPr="00B8122D" w:rsidRDefault="00307686" w:rsidP="00307686">
      <w:r w:rsidRPr="00B8122D">
        <w:t>The benefit-risk assessment may also be altered if, for other reasons, the safety as reported in the pivotal study is not reflected in the wider population. The evaluator is concerned that the draft PI recommends a considerable reduction in the duration of monitoring for toxicities, compared to that used in the pivotal study (first 6 months of treatment compared to throughout treatment), and that this may limit the ability for early detection of toxicities and result in worsened outcomes. The evaluator is particularly concerned that the toxicity of QT prolongation is infrequently managed by oncologists and its importance may be under-appreciated. These concerns should be addressed by ensuring that monitoring and dose modification advice provided in the PI is the same as that used in the pivotal study and by increasing the prominence of the warnings and advice provided in the PI regarding QT prolongation.</w:t>
      </w:r>
    </w:p>
    <w:p w14:paraId="482C3D18" w14:textId="7D41E0CA" w:rsidR="00605AD4" w:rsidRPr="00B8122D" w:rsidRDefault="00307686" w:rsidP="00307686">
      <w:pPr>
        <w:pStyle w:val="Heading4"/>
      </w:pPr>
      <w:r w:rsidRPr="00B8122D">
        <w:t>Second round recommendation regarding authorisation</w:t>
      </w:r>
    </w:p>
    <w:p w14:paraId="002EC12E" w14:textId="77777777" w:rsidR="00307686" w:rsidRPr="00B8122D" w:rsidRDefault="00307686" w:rsidP="00307686">
      <w:r w:rsidRPr="00B8122D">
        <w:t>The evaluator recommends that ribociclib be approved for the indication of:</w:t>
      </w:r>
    </w:p>
    <w:p w14:paraId="1CB5A800" w14:textId="65BF90A3" w:rsidR="00307686" w:rsidRPr="00B8122D" w:rsidRDefault="00307686" w:rsidP="00307686">
      <w:pPr>
        <w:ind w:left="720"/>
        <w:rPr>
          <w:i/>
        </w:rPr>
      </w:pPr>
      <w:r w:rsidRPr="00B8122D">
        <w:rPr>
          <w:i/>
        </w:rPr>
        <w:t>Kisqali in combination with a non-steroidal aromatase inhibitor is indicated for the treatment of postmenopausal women with hormone receptor positive (HR+), human epidermal growth factor receptor 2 negative (HER2-) advanced or metastatic breast cancer, as an initial endocrine-based therapy.</w:t>
      </w:r>
    </w:p>
    <w:p w14:paraId="7FFADADE" w14:textId="188B91CD" w:rsidR="00307686" w:rsidRPr="00B8122D" w:rsidRDefault="00307686" w:rsidP="00307686">
      <w:pPr>
        <w:ind w:left="720"/>
        <w:rPr>
          <w:i/>
        </w:rPr>
      </w:pPr>
      <w:r w:rsidRPr="00B8122D">
        <w:rPr>
          <w:i/>
        </w:rPr>
        <w:t>Note to indication: this approval is based on an improvement in PFS. An improvement in overall sur</w:t>
      </w:r>
      <w:r w:rsidR="003D79AF">
        <w:rPr>
          <w:i/>
        </w:rPr>
        <w:t>vival has not been demonstrated.</w:t>
      </w:r>
    </w:p>
    <w:p w14:paraId="6B99A3D3" w14:textId="484DFD48" w:rsidR="00307686" w:rsidRPr="00B8122D" w:rsidRDefault="00307686" w:rsidP="00307686">
      <w:r w:rsidRPr="00B8122D">
        <w:t>This is provided there are adequate safeguards in the product documentation and the target population is appropriately informed of the risks of treatment.</w:t>
      </w:r>
    </w:p>
    <w:p w14:paraId="64308A9F" w14:textId="2B4973F1" w:rsidR="008E7846" w:rsidRPr="00B8122D" w:rsidRDefault="008E7846" w:rsidP="00546154">
      <w:pPr>
        <w:pStyle w:val="Heading2"/>
      </w:pPr>
      <w:bookmarkStart w:id="126" w:name="_Toc44685914"/>
      <w:r w:rsidRPr="00B8122D">
        <w:t>V</w:t>
      </w:r>
      <w:r w:rsidR="000119E5">
        <w:t>I</w:t>
      </w:r>
      <w:r w:rsidRPr="00B8122D">
        <w:t>. Pharmacovigilance findings</w:t>
      </w:r>
      <w:bookmarkEnd w:id="117"/>
      <w:bookmarkEnd w:id="118"/>
      <w:bookmarkEnd w:id="126"/>
    </w:p>
    <w:p w14:paraId="145583F3" w14:textId="711D14AC" w:rsidR="00856ED2" w:rsidRPr="005E6948" w:rsidRDefault="005B489C" w:rsidP="00BB6514">
      <w:pPr>
        <w:pStyle w:val="ListBullet"/>
      </w:pPr>
      <w:bookmarkStart w:id="127" w:name="_Toc247691526"/>
      <w:bookmarkStart w:id="128" w:name="_Toc314842509"/>
      <w:r>
        <w:t>The sponsor</w:t>
      </w:r>
      <w:r w:rsidR="00856ED2" w:rsidRPr="00F469D2">
        <w:t xml:space="preserve"> has applied to register a new chemical entity, ribociclib </w:t>
      </w:r>
      <w:r w:rsidR="00856ED2" w:rsidRPr="00804747">
        <w:t>(</w:t>
      </w:r>
      <w:r w:rsidR="00856ED2" w:rsidRPr="00BB6514">
        <w:t>Kisqali</w:t>
      </w:r>
      <w:r w:rsidR="00856ED2" w:rsidRPr="00F469D2">
        <w:t xml:space="preserve">). </w:t>
      </w:r>
      <w:r w:rsidR="00856ED2" w:rsidRPr="00BB6514">
        <w:t>Kisqali,</w:t>
      </w:r>
      <w:r w:rsidR="00856ED2" w:rsidRPr="00F469D2">
        <w:t xml:space="preserve"> in combination with letrozole, is proposed to be used for the treatment of postmenopausal women with hormone receptor positive (HR+), human epid</w:t>
      </w:r>
      <w:r w:rsidR="00856ED2" w:rsidRPr="008738FE">
        <w:t xml:space="preserve">ermal growth factor receptor 2 </w:t>
      </w:r>
      <w:r w:rsidR="00856ED2" w:rsidRPr="005E6948">
        <w:t>negative (HER2-) advanced or metastatic breast cancer, as an initial endocrine-based therapy. Ribociclib is a reversible inhibitor of cyclin-dependent kinase 4 and 6.</w:t>
      </w:r>
    </w:p>
    <w:p w14:paraId="2FB3C191" w14:textId="6AFDE4FF" w:rsidR="00856ED2" w:rsidRPr="00BB6514" w:rsidRDefault="00856ED2" w:rsidP="00BB6514">
      <w:pPr>
        <w:pStyle w:val="ListBullet"/>
      </w:pPr>
      <w:r w:rsidRPr="005E6948">
        <w:lastRenderedPageBreak/>
        <w:t xml:space="preserve">At </w:t>
      </w:r>
      <w:r w:rsidR="00BD719E">
        <w:t>the second round of evaluation</w:t>
      </w:r>
      <w:r w:rsidRPr="005E6948">
        <w:t xml:space="preserve">, the </w:t>
      </w:r>
      <w:r>
        <w:t>s</w:t>
      </w:r>
      <w:r w:rsidRPr="00BB6514">
        <w:t xml:space="preserve">ponsor revised the proposed indication to state </w:t>
      </w:r>
      <w:r w:rsidRPr="00BB6514">
        <w:rPr>
          <w:i/>
        </w:rPr>
        <w:t>‘in combination use with an aromatase inhibitor</w:t>
      </w:r>
      <w:r w:rsidRPr="00BB6514">
        <w:t xml:space="preserve">’ instead of </w:t>
      </w:r>
      <w:r w:rsidRPr="00BB6514">
        <w:rPr>
          <w:i/>
        </w:rPr>
        <w:t>‘in combination with letrozole’</w:t>
      </w:r>
      <w:r w:rsidRPr="00BB6514">
        <w:t>.</w:t>
      </w:r>
    </w:p>
    <w:p w14:paraId="1E15ABAC" w14:textId="2F9F9D3E" w:rsidR="00856ED2" w:rsidRPr="00F469D2" w:rsidRDefault="00856ED2" w:rsidP="00BB6514">
      <w:pPr>
        <w:pStyle w:val="ListBullet"/>
      </w:pPr>
      <w:r w:rsidRPr="00F469D2">
        <w:t>The proposed dosing regimen involves oral administration of three 200 mg tablets (600 mg) once daily for 21 consecu</w:t>
      </w:r>
      <w:r w:rsidRPr="008738FE">
        <w:t>tive days, followed by 7 days off treatment, resulting in a complete cyc</w:t>
      </w:r>
      <w:r w:rsidRPr="005E6948">
        <w:t>le of 28 days. Kisqali is co-administered with one letrozole 2.5 mg tablet taken once daily throughout the 28</w:t>
      </w:r>
      <w:r>
        <w:t xml:space="preserve"> </w:t>
      </w:r>
      <w:r w:rsidRPr="00F469D2">
        <w:t>day cycle.</w:t>
      </w:r>
    </w:p>
    <w:p w14:paraId="4067B0B6" w14:textId="3EC5FE8E" w:rsidR="00856ED2" w:rsidRPr="008738FE" w:rsidRDefault="005B489C" w:rsidP="00BB6514">
      <w:pPr>
        <w:pStyle w:val="ListBullet"/>
      </w:pPr>
      <w:r>
        <w:t>The sponsor</w:t>
      </w:r>
      <w:r w:rsidR="00856ED2" w:rsidRPr="008738FE">
        <w:t xml:space="preserve"> has submitted</w:t>
      </w:r>
      <w:r>
        <w:t xml:space="preserve"> EU-risk management plan</w:t>
      </w:r>
      <w:r w:rsidR="00856ED2" w:rsidRPr="008738FE">
        <w:t xml:space="preserve"> </w:t>
      </w:r>
      <w:r>
        <w:t>(</w:t>
      </w:r>
      <w:r w:rsidR="00856ED2" w:rsidRPr="008738FE">
        <w:t>EU-RMP</w:t>
      </w:r>
      <w:r>
        <w:t>)</w:t>
      </w:r>
      <w:r w:rsidR="00856ED2" w:rsidRPr="008738FE">
        <w:t xml:space="preserve"> version 1.0 (dated 24 August 2016; </w:t>
      </w:r>
      <w:r>
        <w:t>data lock point (</w:t>
      </w:r>
      <w:r w:rsidR="00856ED2" w:rsidRPr="008738FE">
        <w:t>DLP</w:t>
      </w:r>
      <w:r>
        <w:t>)</w:t>
      </w:r>
      <w:r w:rsidR="00856ED2" w:rsidRPr="008738FE">
        <w:t xml:space="preserve"> 29 January 2016) and </w:t>
      </w:r>
      <w:r>
        <w:t>Australian specific Annex (</w:t>
      </w:r>
      <w:r w:rsidR="00856ED2" w:rsidRPr="008738FE">
        <w:t>ASA</w:t>
      </w:r>
      <w:r>
        <w:t>)</w:t>
      </w:r>
      <w:r w:rsidR="00856ED2" w:rsidRPr="008738FE">
        <w:t xml:space="preserve"> ver</w:t>
      </w:r>
      <w:r w:rsidR="00856ED2" w:rsidRPr="005E6948">
        <w:t>sion 1.0 (dated 19</w:t>
      </w:r>
      <w:r>
        <w:t> </w:t>
      </w:r>
      <w:r w:rsidR="00856ED2" w:rsidRPr="005E6948">
        <w:t xml:space="preserve">September 2016) in support of this application. In its response </w:t>
      </w:r>
      <w:r w:rsidR="00856ED2">
        <w:t xml:space="preserve">to issues in the first round evaluation </w:t>
      </w:r>
      <w:r w:rsidR="00856ED2" w:rsidRPr="00F469D2">
        <w:t xml:space="preserve">the </w:t>
      </w:r>
      <w:r w:rsidR="00856ED2">
        <w:t>s</w:t>
      </w:r>
      <w:r w:rsidR="00856ED2" w:rsidRPr="00F469D2">
        <w:t>ponsor has submitted EU-RMP version 1.1 (</w:t>
      </w:r>
      <w:r>
        <w:t>d</w:t>
      </w:r>
      <w:r w:rsidR="00856ED2" w:rsidRPr="00F469D2">
        <w:t>ated 13 February 2017, DLP 29 January 2016) and ASA version 2.0 (</w:t>
      </w:r>
      <w:r>
        <w:t>d</w:t>
      </w:r>
      <w:r w:rsidR="00856ED2" w:rsidRPr="00F469D2">
        <w:t>ated 28 April 2017) in support of this application.</w:t>
      </w:r>
    </w:p>
    <w:p w14:paraId="64F31E0A" w14:textId="533D33D1" w:rsidR="00856ED2" w:rsidRDefault="00856ED2" w:rsidP="00BB6514">
      <w:pPr>
        <w:pStyle w:val="ListBullet"/>
      </w:pPr>
      <w:r w:rsidRPr="00BA1A3B">
        <w:t>The proposed Summary of Safety Concerns and their associated risk monitoring and mitigation</w:t>
      </w:r>
      <w:r w:rsidRPr="00A16313">
        <w:t xml:space="preserve"> strategies are summarised below</w:t>
      </w:r>
      <w:r>
        <w:t xml:space="preserve"> </w:t>
      </w:r>
      <w:r w:rsidR="00611979">
        <w:t>including</w:t>
      </w:r>
      <w:r>
        <w:t xml:space="preserve"> changes agreed to by the sponsor</w:t>
      </w:r>
      <w:r w:rsidR="00611979">
        <w:t xml:space="preserve"> in the response to issues raised in the first round evaluation</w:t>
      </w:r>
      <w:r w:rsidR="001A79AE">
        <w:t xml:space="preserve"> (Table 8).</w:t>
      </w:r>
      <w:r w:rsidR="00BB6514">
        <w:rPr>
          <w:rStyle w:val="FootnoteReference"/>
        </w:rPr>
        <w:footnoteReference w:id="46"/>
      </w:r>
    </w:p>
    <w:p w14:paraId="0B2DB160" w14:textId="320F5242" w:rsidR="001A79AE" w:rsidRDefault="001A79AE" w:rsidP="00021E4C">
      <w:pPr>
        <w:pStyle w:val="TableTitle"/>
      </w:pPr>
      <w:r>
        <w:t>Table 8. Summary of safety concerns with risk monitoring and mitigation strategies</w:t>
      </w:r>
    </w:p>
    <w:tbl>
      <w:tblPr>
        <w:tblStyle w:val="TableTGAblue"/>
        <w:tblW w:w="8755" w:type="dxa"/>
        <w:tblLayout w:type="fixed"/>
        <w:tblLook w:val="04A0" w:firstRow="1" w:lastRow="0" w:firstColumn="1" w:lastColumn="0" w:noHBand="0" w:noVBand="1"/>
      </w:tblPr>
      <w:tblGrid>
        <w:gridCol w:w="1526"/>
        <w:gridCol w:w="2693"/>
        <w:gridCol w:w="992"/>
        <w:gridCol w:w="1276"/>
        <w:gridCol w:w="992"/>
        <w:gridCol w:w="1276"/>
      </w:tblGrid>
      <w:tr w:rsidR="00611979" w:rsidRPr="00BB6514" w14:paraId="2433EC28" w14:textId="77777777" w:rsidTr="00221F95">
        <w:trPr>
          <w:cnfStyle w:val="100000000000" w:firstRow="1" w:lastRow="0" w:firstColumn="0" w:lastColumn="0" w:oddVBand="0" w:evenVBand="0" w:oddHBand="0" w:evenHBand="0" w:firstRowFirstColumn="0" w:firstRowLastColumn="0" w:lastRowFirstColumn="0" w:lastRowLastColumn="0"/>
          <w:trHeight w:val="129"/>
        </w:trPr>
        <w:tc>
          <w:tcPr>
            <w:tcW w:w="4219" w:type="dxa"/>
            <w:gridSpan w:val="2"/>
            <w:vMerge w:val="restart"/>
          </w:tcPr>
          <w:p w14:paraId="170BF93A" w14:textId="77777777" w:rsidR="00611979" w:rsidRPr="001060B4" w:rsidRDefault="00611979" w:rsidP="00BB6514">
            <w:pPr>
              <w:pStyle w:val="Tabletext"/>
              <w:ind w:left="0" w:right="0"/>
              <w:rPr>
                <w:sz w:val="20"/>
                <w:szCs w:val="20"/>
              </w:rPr>
            </w:pPr>
            <w:r w:rsidRPr="001060B4">
              <w:rPr>
                <w:sz w:val="20"/>
                <w:szCs w:val="20"/>
              </w:rPr>
              <w:t>Summary of safety concerns</w:t>
            </w:r>
          </w:p>
        </w:tc>
        <w:tc>
          <w:tcPr>
            <w:tcW w:w="2268" w:type="dxa"/>
            <w:gridSpan w:val="2"/>
          </w:tcPr>
          <w:p w14:paraId="4164DAAC" w14:textId="2CC0BF1C" w:rsidR="00611979" w:rsidRPr="001060B4" w:rsidRDefault="00611979" w:rsidP="00BB6514">
            <w:pPr>
              <w:pStyle w:val="Tabletext"/>
              <w:ind w:left="0" w:right="0"/>
              <w:rPr>
                <w:sz w:val="20"/>
                <w:szCs w:val="20"/>
              </w:rPr>
            </w:pPr>
            <w:r w:rsidRPr="001060B4">
              <w:rPr>
                <w:sz w:val="20"/>
                <w:szCs w:val="20"/>
              </w:rPr>
              <w:t>Pharmacovigilance</w:t>
            </w:r>
          </w:p>
        </w:tc>
        <w:tc>
          <w:tcPr>
            <w:tcW w:w="2268" w:type="dxa"/>
            <w:gridSpan w:val="2"/>
          </w:tcPr>
          <w:p w14:paraId="5525BF97" w14:textId="77777777" w:rsidR="00611979" w:rsidRPr="001060B4" w:rsidRDefault="00611979" w:rsidP="00BB6514">
            <w:pPr>
              <w:pStyle w:val="Tabletext"/>
              <w:ind w:left="0" w:right="0"/>
              <w:rPr>
                <w:sz w:val="20"/>
                <w:szCs w:val="20"/>
              </w:rPr>
            </w:pPr>
            <w:r w:rsidRPr="001060B4">
              <w:rPr>
                <w:sz w:val="20"/>
                <w:szCs w:val="20"/>
              </w:rPr>
              <w:t>Risk Minimisation</w:t>
            </w:r>
          </w:p>
        </w:tc>
      </w:tr>
      <w:tr w:rsidR="00611979" w:rsidRPr="00BB6514" w14:paraId="29232C71" w14:textId="77777777" w:rsidTr="00221F95">
        <w:trPr>
          <w:cnfStyle w:val="100000000000" w:firstRow="1" w:lastRow="0" w:firstColumn="0" w:lastColumn="0" w:oddVBand="0" w:evenVBand="0" w:oddHBand="0" w:evenHBand="0" w:firstRowFirstColumn="0" w:firstRowLastColumn="0" w:lastRowFirstColumn="0" w:lastRowLastColumn="0"/>
          <w:trHeight w:val="147"/>
        </w:trPr>
        <w:tc>
          <w:tcPr>
            <w:tcW w:w="4219" w:type="dxa"/>
            <w:gridSpan w:val="2"/>
            <w:vMerge/>
          </w:tcPr>
          <w:p w14:paraId="76F78E5F" w14:textId="77777777" w:rsidR="00611979" w:rsidRPr="001060B4" w:rsidRDefault="00611979" w:rsidP="00BB6514">
            <w:pPr>
              <w:pStyle w:val="Tabletext"/>
              <w:ind w:left="0" w:right="0"/>
              <w:rPr>
                <w:b w:val="0"/>
                <w:sz w:val="20"/>
                <w:szCs w:val="20"/>
              </w:rPr>
            </w:pPr>
          </w:p>
        </w:tc>
        <w:tc>
          <w:tcPr>
            <w:tcW w:w="992" w:type="dxa"/>
          </w:tcPr>
          <w:p w14:paraId="121DDC88" w14:textId="77777777" w:rsidR="00611979" w:rsidRPr="001060B4" w:rsidRDefault="00611979" w:rsidP="00BB6514">
            <w:pPr>
              <w:pStyle w:val="Tabletext"/>
              <w:ind w:left="0" w:right="0"/>
              <w:rPr>
                <w:b w:val="0"/>
                <w:sz w:val="20"/>
                <w:szCs w:val="20"/>
              </w:rPr>
            </w:pPr>
            <w:r w:rsidRPr="001060B4">
              <w:rPr>
                <w:b w:val="0"/>
                <w:sz w:val="20"/>
                <w:szCs w:val="20"/>
              </w:rPr>
              <w:t>Routine</w:t>
            </w:r>
          </w:p>
        </w:tc>
        <w:tc>
          <w:tcPr>
            <w:tcW w:w="1276" w:type="dxa"/>
          </w:tcPr>
          <w:p w14:paraId="1EA21737" w14:textId="77777777" w:rsidR="00611979" w:rsidRPr="001060B4" w:rsidRDefault="00611979" w:rsidP="00BB6514">
            <w:pPr>
              <w:pStyle w:val="Tabletext"/>
              <w:ind w:left="0" w:right="0"/>
              <w:rPr>
                <w:b w:val="0"/>
                <w:sz w:val="20"/>
                <w:szCs w:val="20"/>
              </w:rPr>
            </w:pPr>
            <w:r w:rsidRPr="001060B4">
              <w:rPr>
                <w:b w:val="0"/>
                <w:sz w:val="20"/>
                <w:szCs w:val="20"/>
              </w:rPr>
              <w:t>Additional</w:t>
            </w:r>
          </w:p>
        </w:tc>
        <w:tc>
          <w:tcPr>
            <w:tcW w:w="992" w:type="dxa"/>
          </w:tcPr>
          <w:p w14:paraId="4B61493C" w14:textId="77777777" w:rsidR="00611979" w:rsidRPr="001060B4" w:rsidRDefault="00611979" w:rsidP="00BB6514">
            <w:pPr>
              <w:pStyle w:val="Tabletext"/>
              <w:ind w:left="0" w:right="0"/>
              <w:rPr>
                <w:b w:val="0"/>
                <w:sz w:val="20"/>
                <w:szCs w:val="20"/>
              </w:rPr>
            </w:pPr>
            <w:r w:rsidRPr="001060B4">
              <w:rPr>
                <w:b w:val="0"/>
                <w:sz w:val="20"/>
                <w:szCs w:val="20"/>
              </w:rPr>
              <w:t>Routine</w:t>
            </w:r>
          </w:p>
        </w:tc>
        <w:tc>
          <w:tcPr>
            <w:tcW w:w="1276" w:type="dxa"/>
          </w:tcPr>
          <w:p w14:paraId="6E435BBC" w14:textId="77777777" w:rsidR="00611979" w:rsidRPr="001060B4" w:rsidRDefault="00611979" w:rsidP="00BB6514">
            <w:pPr>
              <w:pStyle w:val="Tabletext"/>
              <w:ind w:left="0" w:right="0"/>
              <w:rPr>
                <w:b w:val="0"/>
                <w:sz w:val="20"/>
                <w:szCs w:val="20"/>
              </w:rPr>
            </w:pPr>
            <w:r w:rsidRPr="001060B4">
              <w:rPr>
                <w:b w:val="0"/>
                <w:sz w:val="20"/>
                <w:szCs w:val="20"/>
              </w:rPr>
              <w:t>Additional</w:t>
            </w:r>
          </w:p>
        </w:tc>
      </w:tr>
      <w:tr w:rsidR="00611979" w:rsidRPr="00BB6514" w14:paraId="6D2E19A3" w14:textId="77777777" w:rsidTr="00BB6514">
        <w:trPr>
          <w:trHeight w:val="134"/>
        </w:trPr>
        <w:tc>
          <w:tcPr>
            <w:tcW w:w="1526" w:type="dxa"/>
            <w:vMerge w:val="restart"/>
          </w:tcPr>
          <w:p w14:paraId="456CA92B" w14:textId="77777777" w:rsidR="00611979" w:rsidRPr="00BB6514" w:rsidRDefault="00611979" w:rsidP="00BB6514">
            <w:pPr>
              <w:pStyle w:val="Tabletext"/>
              <w:ind w:left="0" w:right="0"/>
              <w:rPr>
                <w:b/>
                <w:sz w:val="20"/>
                <w:szCs w:val="20"/>
              </w:rPr>
            </w:pPr>
            <w:r w:rsidRPr="00BB6514">
              <w:rPr>
                <w:b/>
                <w:sz w:val="20"/>
                <w:szCs w:val="20"/>
              </w:rPr>
              <w:t>Important identified risks</w:t>
            </w:r>
          </w:p>
        </w:tc>
        <w:tc>
          <w:tcPr>
            <w:tcW w:w="2693" w:type="dxa"/>
          </w:tcPr>
          <w:p w14:paraId="74A2A059" w14:textId="4545F161" w:rsidR="00611979" w:rsidRPr="00BB6514" w:rsidRDefault="00611979" w:rsidP="00BB6514">
            <w:pPr>
              <w:pStyle w:val="Summaryofsafetyconcerns"/>
              <w:ind w:left="0" w:right="0"/>
              <w:rPr>
                <w:b w:val="0"/>
                <w:szCs w:val="20"/>
              </w:rPr>
            </w:pPr>
            <w:r w:rsidRPr="00BB6514">
              <w:rPr>
                <w:b w:val="0"/>
                <w:szCs w:val="20"/>
              </w:rPr>
              <w:t>Myelosupression*</w:t>
            </w:r>
          </w:p>
        </w:tc>
        <w:tc>
          <w:tcPr>
            <w:tcW w:w="992" w:type="dxa"/>
          </w:tcPr>
          <w:p w14:paraId="1DEE6C59"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5EBF491A" w14:textId="77777777" w:rsidR="00611979" w:rsidRPr="00BB6514" w:rsidRDefault="00611979" w:rsidP="00BB6514">
            <w:pPr>
              <w:pStyle w:val="Tabletext"/>
              <w:ind w:left="0" w:right="0"/>
              <w:jc w:val="center"/>
              <w:rPr>
                <w:sz w:val="20"/>
                <w:szCs w:val="20"/>
              </w:rPr>
            </w:pPr>
            <w:r w:rsidRPr="00BB6514">
              <w:rPr>
                <w:sz w:val="20"/>
                <w:szCs w:val="20"/>
              </w:rPr>
              <w:t>–</w:t>
            </w:r>
          </w:p>
        </w:tc>
        <w:tc>
          <w:tcPr>
            <w:tcW w:w="992" w:type="dxa"/>
          </w:tcPr>
          <w:p w14:paraId="6B64622E"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05176298" w14:textId="77777777" w:rsidR="00611979" w:rsidRPr="00BB6514" w:rsidRDefault="00611979" w:rsidP="00BB6514">
            <w:pPr>
              <w:pStyle w:val="Tabletext"/>
              <w:ind w:left="0" w:right="0"/>
              <w:jc w:val="center"/>
              <w:rPr>
                <w:sz w:val="20"/>
                <w:szCs w:val="20"/>
              </w:rPr>
            </w:pPr>
            <w:r w:rsidRPr="00BB6514">
              <w:rPr>
                <w:sz w:val="20"/>
                <w:szCs w:val="20"/>
              </w:rPr>
              <w:t>–</w:t>
            </w:r>
          </w:p>
        </w:tc>
      </w:tr>
      <w:tr w:rsidR="00611979" w:rsidRPr="00BB6514" w14:paraId="3C2562EF" w14:textId="77777777" w:rsidTr="00BB6514">
        <w:trPr>
          <w:trHeight w:val="118"/>
        </w:trPr>
        <w:tc>
          <w:tcPr>
            <w:tcW w:w="1526" w:type="dxa"/>
            <w:vMerge/>
          </w:tcPr>
          <w:p w14:paraId="1C9A79CE" w14:textId="77777777" w:rsidR="00611979" w:rsidRPr="00BB6514" w:rsidRDefault="00611979" w:rsidP="00BB6514">
            <w:pPr>
              <w:pStyle w:val="Tabletext"/>
              <w:ind w:left="0" w:right="0"/>
              <w:rPr>
                <w:b/>
                <w:sz w:val="20"/>
                <w:szCs w:val="20"/>
              </w:rPr>
            </w:pPr>
          </w:p>
        </w:tc>
        <w:tc>
          <w:tcPr>
            <w:tcW w:w="2693" w:type="dxa"/>
          </w:tcPr>
          <w:p w14:paraId="6D3F836A" w14:textId="77777777" w:rsidR="00611979" w:rsidRPr="00BB6514" w:rsidRDefault="00611979" w:rsidP="00BB6514">
            <w:pPr>
              <w:pStyle w:val="Summaryofsafetyconcerns"/>
              <w:ind w:left="0" w:right="0"/>
              <w:rPr>
                <w:b w:val="0"/>
                <w:szCs w:val="20"/>
              </w:rPr>
            </w:pPr>
            <w:r w:rsidRPr="00BB6514">
              <w:rPr>
                <w:b w:val="0"/>
                <w:szCs w:val="20"/>
              </w:rPr>
              <w:t>Hepatobiliary toxicity</w:t>
            </w:r>
          </w:p>
        </w:tc>
        <w:tc>
          <w:tcPr>
            <w:tcW w:w="992" w:type="dxa"/>
          </w:tcPr>
          <w:p w14:paraId="38A16076"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21FE5860" w14:textId="77777777" w:rsidR="00611979" w:rsidRPr="00BB6514" w:rsidRDefault="00611979" w:rsidP="00BB6514">
            <w:pPr>
              <w:pStyle w:val="Tabletext"/>
              <w:ind w:left="0" w:right="0"/>
              <w:jc w:val="center"/>
              <w:rPr>
                <w:sz w:val="20"/>
                <w:szCs w:val="20"/>
              </w:rPr>
            </w:pPr>
            <w:r w:rsidRPr="00BB6514">
              <w:rPr>
                <w:sz w:val="20"/>
                <w:szCs w:val="20"/>
              </w:rPr>
              <w:t>–</w:t>
            </w:r>
          </w:p>
        </w:tc>
        <w:tc>
          <w:tcPr>
            <w:tcW w:w="992" w:type="dxa"/>
          </w:tcPr>
          <w:p w14:paraId="3591159F"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19F737D3" w14:textId="77777777" w:rsidR="00611979" w:rsidRPr="00BB6514" w:rsidRDefault="00611979" w:rsidP="00BB6514">
            <w:pPr>
              <w:pStyle w:val="Tabletext"/>
              <w:ind w:left="0" w:right="0"/>
              <w:jc w:val="center"/>
              <w:rPr>
                <w:sz w:val="20"/>
                <w:szCs w:val="20"/>
              </w:rPr>
            </w:pPr>
            <w:r w:rsidRPr="00BB6514">
              <w:rPr>
                <w:sz w:val="20"/>
                <w:szCs w:val="20"/>
              </w:rPr>
              <w:t>–</w:t>
            </w:r>
          </w:p>
        </w:tc>
      </w:tr>
      <w:tr w:rsidR="00611979" w:rsidRPr="00BB6514" w14:paraId="326057DD" w14:textId="77777777" w:rsidTr="00BB6514">
        <w:trPr>
          <w:trHeight w:val="157"/>
        </w:trPr>
        <w:tc>
          <w:tcPr>
            <w:tcW w:w="1526" w:type="dxa"/>
            <w:vMerge/>
          </w:tcPr>
          <w:p w14:paraId="01513708" w14:textId="77777777" w:rsidR="00611979" w:rsidRPr="00BB6514" w:rsidRDefault="00611979" w:rsidP="00BB6514">
            <w:pPr>
              <w:pStyle w:val="Tabletext"/>
              <w:ind w:left="0" w:right="0"/>
              <w:rPr>
                <w:b/>
                <w:sz w:val="20"/>
                <w:szCs w:val="20"/>
              </w:rPr>
            </w:pPr>
          </w:p>
        </w:tc>
        <w:tc>
          <w:tcPr>
            <w:tcW w:w="2693" w:type="dxa"/>
          </w:tcPr>
          <w:p w14:paraId="23B8D6F8" w14:textId="77777777" w:rsidR="00611979" w:rsidRPr="00BB6514" w:rsidRDefault="00611979" w:rsidP="00BB6514">
            <w:pPr>
              <w:pStyle w:val="Summaryofsafetyconcerns"/>
              <w:ind w:left="0" w:right="0"/>
              <w:rPr>
                <w:b w:val="0"/>
                <w:szCs w:val="20"/>
              </w:rPr>
            </w:pPr>
            <w:r w:rsidRPr="00BB6514">
              <w:rPr>
                <w:b w:val="0"/>
                <w:szCs w:val="20"/>
              </w:rPr>
              <w:t>QT interval prolongation</w:t>
            </w:r>
          </w:p>
        </w:tc>
        <w:tc>
          <w:tcPr>
            <w:tcW w:w="992" w:type="dxa"/>
          </w:tcPr>
          <w:p w14:paraId="051BB041"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12456986" w14:textId="77777777" w:rsidR="00611979" w:rsidRPr="00BB6514" w:rsidRDefault="00611979" w:rsidP="00BB6514">
            <w:pPr>
              <w:pStyle w:val="Tabletext"/>
              <w:ind w:left="0" w:right="0"/>
              <w:jc w:val="center"/>
              <w:rPr>
                <w:sz w:val="20"/>
                <w:szCs w:val="20"/>
              </w:rPr>
            </w:pPr>
            <w:r w:rsidRPr="00BB6514">
              <w:rPr>
                <w:sz w:val="20"/>
                <w:szCs w:val="20"/>
              </w:rPr>
              <w:t>–</w:t>
            </w:r>
          </w:p>
        </w:tc>
        <w:tc>
          <w:tcPr>
            <w:tcW w:w="992" w:type="dxa"/>
          </w:tcPr>
          <w:p w14:paraId="0BEDE27B"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40164BA2" w14:textId="77777777" w:rsidR="00611979" w:rsidRPr="00BB6514" w:rsidRDefault="00611979" w:rsidP="00BB6514">
            <w:pPr>
              <w:pStyle w:val="Tabletext"/>
              <w:ind w:left="0" w:right="0"/>
              <w:jc w:val="center"/>
              <w:rPr>
                <w:sz w:val="20"/>
                <w:szCs w:val="20"/>
              </w:rPr>
            </w:pPr>
            <w:r w:rsidRPr="00BB6514">
              <w:rPr>
                <w:sz w:val="20"/>
                <w:szCs w:val="20"/>
              </w:rPr>
              <w:t>–</w:t>
            </w:r>
          </w:p>
        </w:tc>
      </w:tr>
      <w:tr w:rsidR="00611979" w:rsidRPr="00BB6514" w14:paraId="4483EF8A" w14:textId="77777777" w:rsidTr="00BB6514">
        <w:trPr>
          <w:trHeight w:val="184"/>
        </w:trPr>
        <w:tc>
          <w:tcPr>
            <w:tcW w:w="1526" w:type="dxa"/>
            <w:vMerge/>
          </w:tcPr>
          <w:p w14:paraId="35177887" w14:textId="77777777" w:rsidR="00611979" w:rsidRPr="00BB6514" w:rsidRDefault="00611979" w:rsidP="00BB6514">
            <w:pPr>
              <w:pStyle w:val="Tabletext"/>
              <w:ind w:left="0" w:right="0"/>
              <w:rPr>
                <w:b/>
                <w:sz w:val="20"/>
                <w:szCs w:val="20"/>
              </w:rPr>
            </w:pPr>
          </w:p>
        </w:tc>
        <w:tc>
          <w:tcPr>
            <w:tcW w:w="2693" w:type="dxa"/>
          </w:tcPr>
          <w:p w14:paraId="60779235" w14:textId="77777777" w:rsidR="00611979" w:rsidRPr="00BB6514" w:rsidRDefault="00611979" w:rsidP="00BB6514">
            <w:pPr>
              <w:ind w:left="0" w:right="0"/>
              <w:rPr>
                <w:color w:val="auto"/>
                <w:sz w:val="20"/>
                <w:szCs w:val="20"/>
                <w:lang w:eastAsia="en-US"/>
              </w:rPr>
            </w:pPr>
            <w:r w:rsidRPr="00BB6514">
              <w:rPr>
                <w:sz w:val="20"/>
                <w:szCs w:val="20"/>
              </w:rPr>
              <w:t>Reproductive toxicity</w:t>
            </w:r>
          </w:p>
        </w:tc>
        <w:tc>
          <w:tcPr>
            <w:tcW w:w="992" w:type="dxa"/>
          </w:tcPr>
          <w:p w14:paraId="6630D9D0" w14:textId="77777777" w:rsidR="00611979" w:rsidRPr="00BB6514" w:rsidRDefault="00611979" w:rsidP="00BB6514">
            <w:pPr>
              <w:ind w:left="0" w:right="0"/>
              <w:jc w:val="center"/>
              <w:rPr>
                <w:sz w:val="20"/>
                <w:szCs w:val="20"/>
              </w:rPr>
            </w:pPr>
            <w:r w:rsidRPr="00BB6514">
              <w:rPr>
                <w:sz w:val="20"/>
                <w:szCs w:val="20"/>
              </w:rPr>
              <w:sym w:font="Wingdings" w:char="F0FC"/>
            </w:r>
          </w:p>
        </w:tc>
        <w:tc>
          <w:tcPr>
            <w:tcW w:w="1276" w:type="dxa"/>
          </w:tcPr>
          <w:p w14:paraId="7B20E33D" w14:textId="77777777" w:rsidR="00611979" w:rsidRPr="00BB6514" w:rsidRDefault="00611979" w:rsidP="00BB6514">
            <w:pPr>
              <w:ind w:left="0" w:right="0"/>
              <w:jc w:val="center"/>
              <w:rPr>
                <w:sz w:val="20"/>
                <w:szCs w:val="20"/>
              </w:rPr>
            </w:pPr>
            <w:r w:rsidRPr="00BB6514">
              <w:rPr>
                <w:sz w:val="20"/>
                <w:szCs w:val="20"/>
              </w:rPr>
              <w:t>–</w:t>
            </w:r>
          </w:p>
        </w:tc>
        <w:tc>
          <w:tcPr>
            <w:tcW w:w="992" w:type="dxa"/>
          </w:tcPr>
          <w:p w14:paraId="37BAA3D5" w14:textId="77777777" w:rsidR="00611979" w:rsidRPr="00BB6514" w:rsidRDefault="00611979" w:rsidP="00BB6514">
            <w:pPr>
              <w:ind w:left="0" w:right="0"/>
              <w:jc w:val="center"/>
              <w:rPr>
                <w:sz w:val="20"/>
                <w:szCs w:val="20"/>
              </w:rPr>
            </w:pPr>
            <w:r w:rsidRPr="00BB6514">
              <w:rPr>
                <w:sz w:val="20"/>
                <w:szCs w:val="20"/>
              </w:rPr>
              <w:sym w:font="Wingdings" w:char="F0FC"/>
            </w:r>
          </w:p>
        </w:tc>
        <w:tc>
          <w:tcPr>
            <w:tcW w:w="1276" w:type="dxa"/>
          </w:tcPr>
          <w:p w14:paraId="0E2BE1D9" w14:textId="77777777" w:rsidR="00611979" w:rsidRPr="00BB6514" w:rsidRDefault="00611979" w:rsidP="00BB6514">
            <w:pPr>
              <w:ind w:left="0" w:right="0"/>
              <w:jc w:val="center"/>
              <w:rPr>
                <w:sz w:val="20"/>
                <w:szCs w:val="20"/>
              </w:rPr>
            </w:pPr>
            <w:r w:rsidRPr="00BB6514">
              <w:rPr>
                <w:sz w:val="20"/>
                <w:szCs w:val="20"/>
              </w:rPr>
              <w:t>–</w:t>
            </w:r>
          </w:p>
        </w:tc>
      </w:tr>
      <w:tr w:rsidR="00611979" w:rsidRPr="00BB6514" w14:paraId="6F8BFB02" w14:textId="77777777" w:rsidTr="00BB6514">
        <w:trPr>
          <w:trHeight w:val="156"/>
        </w:trPr>
        <w:tc>
          <w:tcPr>
            <w:tcW w:w="1526" w:type="dxa"/>
          </w:tcPr>
          <w:p w14:paraId="14895355" w14:textId="77777777" w:rsidR="00611979" w:rsidRPr="00BB6514" w:rsidRDefault="00611979" w:rsidP="00BB6514">
            <w:pPr>
              <w:pStyle w:val="Tabletext"/>
              <w:ind w:left="0" w:right="0"/>
              <w:rPr>
                <w:b/>
                <w:sz w:val="20"/>
                <w:szCs w:val="20"/>
              </w:rPr>
            </w:pPr>
            <w:r w:rsidRPr="00BB6514">
              <w:rPr>
                <w:b/>
                <w:sz w:val="20"/>
                <w:szCs w:val="20"/>
              </w:rPr>
              <w:t>Important potential risks</w:t>
            </w:r>
          </w:p>
        </w:tc>
        <w:tc>
          <w:tcPr>
            <w:tcW w:w="2693" w:type="dxa"/>
          </w:tcPr>
          <w:p w14:paraId="734EA151" w14:textId="77777777" w:rsidR="00611979" w:rsidRPr="00BB6514" w:rsidRDefault="00611979" w:rsidP="00BB6514">
            <w:pPr>
              <w:pStyle w:val="Summaryofsafetyconcerns"/>
              <w:ind w:left="0" w:right="0"/>
              <w:rPr>
                <w:b w:val="0"/>
                <w:szCs w:val="20"/>
              </w:rPr>
            </w:pPr>
            <w:r w:rsidRPr="00BB6514">
              <w:rPr>
                <w:b w:val="0"/>
                <w:szCs w:val="20"/>
              </w:rPr>
              <w:t>Renal impairment [To be changed to renal toxicity in the next RMP update]</w:t>
            </w:r>
          </w:p>
        </w:tc>
        <w:tc>
          <w:tcPr>
            <w:tcW w:w="992" w:type="dxa"/>
          </w:tcPr>
          <w:p w14:paraId="2A8F9E88"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62C195DB" w14:textId="77777777" w:rsidR="00611979" w:rsidRPr="00BB6514" w:rsidRDefault="00611979" w:rsidP="00BB6514">
            <w:pPr>
              <w:pStyle w:val="Tabletext"/>
              <w:ind w:left="0" w:right="0"/>
              <w:jc w:val="center"/>
              <w:rPr>
                <w:sz w:val="20"/>
                <w:szCs w:val="20"/>
              </w:rPr>
            </w:pPr>
            <w:r w:rsidRPr="00BB6514">
              <w:rPr>
                <w:sz w:val="20"/>
                <w:szCs w:val="20"/>
              </w:rPr>
              <w:t>–</w:t>
            </w:r>
          </w:p>
        </w:tc>
        <w:tc>
          <w:tcPr>
            <w:tcW w:w="992" w:type="dxa"/>
          </w:tcPr>
          <w:p w14:paraId="379ED338"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6319CAF5" w14:textId="77777777" w:rsidR="00611979" w:rsidRPr="00BB6514" w:rsidRDefault="00611979" w:rsidP="00BB6514">
            <w:pPr>
              <w:pStyle w:val="Tabletext"/>
              <w:ind w:left="0" w:right="0"/>
              <w:jc w:val="center"/>
              <w:rPr>
                <w:sz w:val="20"/>
                <w:szCs w:val="20"/>
              </w:rPr>
            </w:pPr>
            <w:r w:rsidRPr="00BB6514">
              <w:rPr>
                <w:sz w:val="20"/>
                <w:szCs w:val="20"/>
              </w:rPr>
              <w:t>–</w:t>
            </w:r>
          </w:p>
        </w:tc>
      </w:tr>
      <w:tr w:rsidR="00611979" w:rsidRPr="00BB6514" w14:paraId="726EA4A6" w14:textId="77777777" w:rsidTr="00BB6514">
        <w:trPr>
          <w:trHeight w:val="175"/>
        </w:trPr>
        <w:tc>
          <w:tcPr>
            <w:tcW w:w="1526" w:type="dxa"/>
            <w:vMerge w:val="restart"/>
          </w:tcPr>
          <w:p w14:paraId="68296C0B" w14:textId="77777777" w:rsidR="00611979" w:rsidRPr="00BB6514" w:rsidRDefault="00611979" w:rsidP="00BB6514">
            <w:pPr>
              <w:pStyle w:val="Tabletext"/>
              <w:ind w:left="0" w:right="0"/>
              <w:rPr>
                <w:b/>
                <w:sz w:val="20"/>
                <w:szCs w:val="20"/>
              </w:rPr>
            </w:pPr>
            <w:r w:rsidRPr="00BB6514">
              <w:rPr>
                <w:b/>
                <w:sz w:val="20"/>
                <w:szCs w:val="20"/>
              </w:rPr>
              <w:t>Missing information</w:t>
            </w:r>
          </w:p>
        </w:tc>
        <w:tc>
          <w:tcPr>
            <w:tcW w:w="2693" w:type="dxa"/>
          </w:tcPr>
          <w:p w14:paraId="1822C6A1" w14:textId="0F6053EC" w:rsidR="00611979" w:rsidRPr="00BB6514" w:rsidRDefault="00611979" w:rsidP="00BB6514">
            <w:pPr>
              <w:pStyle w:val="Summaryofsafetyconcerns"/>
              <w:ind w:left="0" w:right="0"/>
              <w:rPr>
                <w:b w:val="0"/>
                <w:szCs w:val="20"/>
              </w:rPr>
            </w:pPr>
            <w:r w:rsidRPr="00BB6514">
              <w:rPr>
                <w:b w:val="0"/>
                <w:szCs w:val="20"/>
              </w:rPr>
              <w:t>Safety in Japanese patients</w:t>
            </w:r>
          </w:p>
        </w:tc>
        <w:tc>
          <w:tcPr>
            <w:tcW w:w="992" w:type="dxa"/>
          </w:tcPr>
          <w:p w14:paraId="092ABFCB"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480C9627" w14:textId="77777777" w:rsidR="00611979" w:rsidRPr="00BB6514" w:rsidRDefault="00611979" w:rsidP="00BB6514">
            <w:pPr>
              <w:pStyle w:val="Tabletext"/>
              <w:ind w:left="0" w:right="0"/>
              <w:jc w:val="center"/>
              <w:rPr>
                <w:sz w:val="20"/>
                <w:szCs w:val="20"/>
              </w:rPr>
            </w:pPr>
            <w:r w:rsidRPr="00BB6514">
              <w:rPr>
                <w:sz w:val="20"/>
                <w:szCs w:val="20"/>
              </w:rPr>
              <w:t>–</w:t>
            </w:r>
          </w:p>
        </w:tc>
        <w:tc>
          <w:tcPr>
            <w:tcW w:w="992" w:type="dxa"/>
          </w:tcPr>
          <w:p w14:paraId="25E933FB" w14:textId="77777777" w:rsidR="00611979" w:rsidRPr="00BB6514" w:rsidRDefault="00611979" w:rsidP="00BB6514">
            <w:pPr>
              <w:pStyle w:val="Tabletext"/>
              <w:ind w:left="0" w:right="0"/>
              <w:jc w:val="center"/>
              <w:rPr>
                <w:sz w:val="20"/>
                <w:szCs w:val="20"/>
              </w:rPr>
            </w:pPr>
            <w:r w:rsidRPr="00BB6514">
              <w:rPr>
                <w:sz w:val="20"/>
                <w:szCs w:val="20"/>
              </w:rPr>
              <w:t>–</w:t>
            </w:r>
          </w:p>
        </w:tc>
        <w:tc>
          <w:tcPr>
            <w:tcW w:w="1276" w:type="dxa"/>
          </w:tcPr>
          <w:p w14:paraId="7E7BE78A" w14:textId="77777777" w:rsidR="00611979" w:rsidRPr="00BB6514" w:rsidRDefault="00611979" w:rsidP="00BB6514">
            <w:pPr>
              <w:pStyle w:val="Tabletext"/>
              <w:ind w:left="0" w:right="0"/>
              <w:jc w:val="center"/>
              <w:rPr>
                <w:sz w:val="20"/>
                <w:szCs w:val="20"/>
              </w:rPr>
            </w:pPr>
            <w:r w:rsidRPr="00BB6514">
              <w:rPr>
                <w:sz w:val="20"/>
                <w:szCs w:val="20"/>
              </w:rPr>
              <w:t>–</w:t>
            </w:r>
          </w:p>
        </w:tc>
      </w:tr>
      <w:tr w:rsidR="00611979" w:rsidRPr="00BB6514" w14:paraId="5DF98DC1" w14:textId="77777777" w:rsidTr="00BB6514">
        <w:trPr>
          <w:trHeight w:val="101"/>
        </w:trPr>
        <w:tc>
          <w:tcPr>
            <w:tcW w:w="1526" w:type="dxa"/>
            <w:vMerge/>
          </w:tcPr>
          <w:p w14:paraId="19AF5663" w14:textId="77777777" w:rsidR="00611979" w:rsidRPr="00BB6514" w:rsidRDefault="00611979" w:rsidP="00BB6514">
            <w:pPr>
              <w:pStyle w:val="Tabletext"/>
              <w:ind w:left="0" w:right="0"/>
              <w:rPr>
                <w:sz w:val="20"/>
                <w:szCs w:val="20"/>
              </w:rPr>
            </w:pPr>
          </w:p>
        </w:tc>
        <w:tc>
          <w:tcPr>
            <w:tcW w:w="2693" w:type="dxa"/>
          </w:tcPr>
          <w:p w14:paraId="7691E4F6" w14:textId="7BF0FE56" w:rsidR="00611979" w:rsidRPr="00BB6514" w:rsidRDefault="00611979" w:rsidP="00BB6514">
            <w:pPr>
              <w:pStyle w:val="Summaryofsafetyconcerns"/>
              <w:ind w:left="0" w:right="0"/>
              <w:rPr>
                <w:b w:val="0"/>
                <w:szCs w:val="20"/>
              </w:rPr>
            </w:pPr>
            <w:r w:rsidRPr="00BB6514">
              <w:rPr>
                <w:b w:val="0"/>
                <w:szCs w:val="20"/>
              </w:rPr>
              <w:t>Safety in patients with moderate or severe hepatic impairment*^</w:t>
            </w:r>
          </w:p>
        </w:tc>
        <w:tc>
          <w:tcPr>
            <w:tcW w:w="992" w:type="dxa"/>
          </w:tcPr>
          <w:p w14:paraId="560998C4"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49368A84" w14:textId="77777777" w:rsidR="00611979" w:rsidRPr="00BB6514" w:rsidRDefault="00611979" w:rsidP="00BB6514">
            <w:pPr>
              <w:pStyle w:val="Tabletext"/>
              <w:ind w:left="0" w:right="0"/>
              <w:jc w:val="center"/>
              <w:rPr>
                <w:sz w:val="20"/>
                <w:szCs w:val="20"/>
              </w:rPr>
            </w:pPr>
            <w:r w:rsidRPr="00BB6514">
              <w:rPr>
                <w:sz w:val="20"/>
                <w:szCs w:val="20"/>
              </w:rPr>
              <w:t>–</w:t>
            </w:r>
          </w:p>
        </w:tc>
        <w:tc>
          <w:tcPr>
            <w:tcW w:w="992" w:type="dxa"/>
          </w:tcPr>
          <w:p w14:paraId="4C6CD8B2"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06C21057" w14:textId="77777777" w:rsidR="00611979" w:rsidRPr="00BB6514" w:rsidRDefault="00611979" w:rsidP="00BB6514">
            <w:pPr>
              <w:pStyle w:val="Tabletext"/>
              <w:ind w:left="0" w:right="0"/>
              <w:jc w:val="center"/>
              <w:rPr>
                <w:sz w:val="20"/>
                <w:szCs w:val="20"/>
              </w:rPr>
            </w:pPr>
            <w:r w:rsidRPr="00BB6514">
              <w:rPr>
                <w:sz w:val="20"/>
                <w:szCs w:val="20"/>
              </w:rPr>
              <w:t>–</w:t>
            </w:r>
          </w:p>
        </w:tc>
      </w:tr>
      <w:tr w:rsidR="00611979" w:rsidRPr="00BB6514" w14:paraId="1CFF4F70" w14:textId="77777777" w:rsidTr="00BB6514">
        <w:trPr>
          <w:trHeight w:val="88"/>
        </w:trPr>
        <w:tc>
          <w:tcPr>
            <w:tcW w:w="1526" w:type="dxa"/>
            <w:vMerge/>
          </w:tcPr>
          <w:p w14:paraId="49C00F23" w14:textId="77777777" w:rsidR="00611979" w:rsidRPr="00BB6514" w:rsidRDefault="00611979" w:rsidP="00BB6514">
            <w:pPr>
              <w:pStyle w:val="Tabletext"/>
              <w:ind w:left="0" w:right="0"/>
              <w:rPr>
                <w:sz w:val="20"/>
                <w:szCs w:val="20"/>
              </w:rPr>
            </w:pPr>
          </w:p>
        </w:tc>
        <w:tc>
          <w:tcPr>
            <w:tcW w:w="2693" w:type="dxa"/>
          </w:tcPr>
          <w:p w14:paraId="68118C60" w14:textId="632046D5" w:rsidR="00611979" w:rsidRPr="00BB6514" w:rsidRDefault="00611979" w:rsidP="00BB6514">
            <w:pPr>
              <w:pStyle w:val="Summaryofsafetyconcerns"/>
              <w:ind w:left="0" w:right="0"/>
              <w:rPr>
                <w:b w:val="0"/>
                <w:szCs w:val="20"/>
              </w:rPr>
            </w:pPr>
            <w:r w:rsidRPr="00BB6514">
              <w:rPr>
                <w:b w:val="0"/>
                <w:szCs w:val="20"/>
              </w:rPr>
              <w:t>Safety in patients with severe renal impairment*^</w:t>
            </w:r>
          </w:p>
        </w:tc>
        <w:tc>
          <w:tcPr>
            <w:tcW w:w="992" w:type="dxa"/>
          </w:tcPr>
          <w:p w14:paraId="044336D7"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219B822A"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992" w:type="dxa"/>
          </w:tcPr>
          <w:p w14:paraId="65DD579A"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7776A0AF" w14:textId="77777777" w:rsidR="00611979" w:rsidRPr="00BB6514" w:rsidRDefault="00611979" w:rsidP="00BB6514">
            <w:pPr>
              <w:pStyle w:val="Tabletext"/>
              <w:ind w:left="0" w:right="0"/>
              <w:jc w:val="center"/>
              <w:rPr>
                <w:sz w:val="20"/>
                <w:szCs w:val="20"/>
              </w:rPr>
            </w:pPr>
            <w:r w:rsidRPr="00BB6514">
              <w:rPr>
                <w:sz w:val="20"/>
                <w:szCs w:val="20"/>
              </w:rPr>
              <w:t>–</w:t>
            </w:r>
          </w:p>
        </w:tc>
      </w:tr>
      <w:tr w:rsidR="00611979" w:rsidRPr="00BB6514" w14:paraId="4EB87C7F" w14:textId="77777777" w:rsidTr="00BB6514">
        <w:trPr>
          <w:trHeight w:val="88"/>
        </w:trPr>
        <w:tc>
          <w:tcPr>
            <w:tcW w:w="1526" w:type="dxa"/>
            <w:vMerge/>
          </w:tcPr>
          <w:p w14:paraId="09974AE4" w14:textId="77777777" w:rsidR="00611979" w:rsidRPr="00BB6514" w:rsidRDefault="00611979" w:rsidP="00BB6514">
            <w:pPr>
              <w:pStyle w:val="Tabletext"/>
              <w:ind w:left="0" w:right="0"/>
              <w:rPr>
                <w:sz w:val="20"/>
                <w:szCs w:val="20"/>
              </w:rPr>
            </w:pPr>
          </w:p>
        </w:tc>
        <w:tc>
          <w:tcPr>
            <w:tcW w:w="2693" w:type="dxa"/>
          </w:tcPr>
          <w:p w14:paraId="0C20C015" w14:textId="1E824C5F" w:rsidR="00611979" w:rsidRPr="00BB6514" w:rsidRDefault="00611979" w:rsidP="00BB6514">
            <w:pPr>
              <w:pStyle w:val="Summaryofsafetyconcerns"/>
              <w:ind w:left="0" w:right="0"/>
              <w:rPr>
                <w:b w:val="0"/>
                <w:szCs w:val="20"/>
              </w:rPr>
            </w:pPr>
            <w:r w:rsidRPr="00BB6514">
              <w:rPr>
                <w:b w:val="0"/>
                <w:szCs w:val="20"/>
              </w:rPr>
              <w:t>Safety in male patients with breast cancer*</w:t>
            </w:r>
          </w:p>
        </w:tc>
        <w:tc>
          <w:tcPr>
            <w:tcW w:w="992" w:type="dxa"/>
          </w:tcPr>
          <w:p w14:paraId="5F75A265"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3EE3E272" w14:textId="77777777" w:rsidR="00611979" w:rsidRPr="00BB6514" w:rsidRDefault="00611979" w:rsidP="00BB6514">
            <w:pPr>
              <w:pStyle w:val="Tabletext"/>
              <w:ind w:left="0" w:right="0"/>
              <w:jc w:val="center"/>
              <w:rPr>
                <w:sz w:val="20"/>
                <w:szCs w:val="20"/>
              </w:rPr>
            </w:pPr>
            <w:r w:rsidRPr="00BB6514">
              <w:rPr>
                <w:sz w:val="20"/>
                <w:szCs w:val="20"/>
              </w:rPr>
              <w:t>–</w:t>
            </w:r>
          </w:p>
        </w:tc>
        <w:tc>
          <w:tcPr>
            <w:tcW w:w="992" w:type="dxa"/>
          </w:tcPr>
          <w:p w14:paraId="4772FC84" w14:textId="77777777" w:rsidR="00611979" w:rsidRPr="00BB6514" w:rsidRDefault="00611979" w:rsidP="00BB6514">
            <w:pPr>
              <w:pStyle w:val="Tabletext"/>
              <w:ind w:left="0" w:right="0"/>
              <w:jc w:val="center"/>
              <w:rPr>
                <w:sz w:val="20"/>
                <w:szCs w:val="20"/>
              </w:rPr>
            </w:pPr>
            <w:r w:rsidRPr="00BB6514">
              <w:rPr>
                <w:sz w:val="20"/>
                <w:szCs w:val="20"/>
              </w:rPr>
              <w:t>–</w:t>
            </w:r>
          </w:p>
        </w:tc>
        <w:tc>
          <w:tcPr>
            <w:tcW w:w="1276" w:type="dxa"/>
          </w:tcPr>
          <w:p w14:paraId="214E2A46" w14:textId="77777777" w:rsidR="00611979" w:rsidRPr="00BB6514" w:rsidRDefault="00611979" w:rsidP="00BB6514">
            <w:pPr>
              <w:pStyle w:val="Tabletext"/>
              <w:ind w:left="0" w:right="0"/>
              <w:jc w:val="center"/>
              <w:rPr>
                <w:sz w:val="20"/>
                <w:szCs w:val="20"/>
              </w:rPr>
            </w:pPr>
            <w:r w:rsidRPr="00BB6514">
              <w:rPr>
                <w:sz w:val="20"/>
                <w:szCs w:val="20"/>
              </w:rPr>
              <w:t>–</w:t>
            </w:r>
          </w:p>
        </w:tc>
      </w:tr>
      <w:tr w:rsidR="00611979" w:rsidRPr="00BB6514" w14:paraId="5E5DA898" w14:textId="77777777" w:rsidTr="00BB6514">
        <w:trPr>
          <w:trHeight w:val="186"/>
        </w:trPr>
        <w:tc>
          <w:tcPr>
            <w:tcW w:w="1526" w:type="dxa"/>
            <w:vMerge/>
          </w:tcPr>
          <w:p w14:paraId="168CEF67" w14:textId="77777777" w:rsidR="00611979" w:rsidRPr="00BB6514" w:rsidRDefault="00611979" w:rsidP="00BB6514">
            <w:pPr>
              <w:pStyle w:val="Tabletext"/>
              <w:ind w:left="0" w:right="0"/>
              <w:rPr>
                <w:sz w:val="20"/>
                <w:szCs w:val="20"/>
              </w:rPr>
            </w:pPr>
          </w:p>
        </w:tc>
        <w:tc>
          <w:tcPr>
            <w:tcW w:w="2693" w:type="dxa"/>
          </w:tcPr>
          <w:p w14:paraId="37C8FF09" w14:textId="07459F90" w:rsidR="00611979" w:rsidRPr="00BB6514" w:rsidRDefault="00611979" w:rsidP="00BB6514">
            <w:pPr>
              <w:pStyle w:val="Summaryofsafetyconcerns"/>
              <w:ind w:left="0" w:right="0"/>
              <w:rPr>
                <w:b w:val="0"/>
                <w:szCs w:val="20"/>
              </w:rPr>
            </w:pPr>
            <w:r w:rsidRPr="00BB6514">
              <w:rPr>
                <w:b w:val="0"/>
                <w:szCs w:val="20"/>
              </w:rPr>
              <w:t>Long term use*^</w:t>
            </w:r>
          </w:p>
        </w:tc>
        <w:tc>
          <w:tcPr>
            <w:tcW w:w="992" w:type="dxa"/>
          </w:tcPr>
          <w:p w14:paraId="34ECD416" w14:textId="77777777" w:rsidR="00611979" w:rsidRPr="00BB6514" w:rsidRDefault="00611979" w:rsidP="00BB6514">
            <w:pPr>
              <w:pStyle w:val="Tabletext"/>
              <w:ind w:left="0" w:right="0"/>
              <w:jc w:val="center"/>
              <w:rPr>
                <w:sz w:val="20"/>
                <w:szCs w:val="20"/>
              </w:rPr>
            </w:pPr>
            <w:r w:rsidRPr="00BB6514">
              <w:rPr>
                <w:sz w:val="20"/>
                <w:szCs w:val="20"/>
              </w:rPr>
              <w:sym w:font="Wingdings" w:char="F0FC"/>
            </w:r>
          </w:p>
        </w:tc>
        <w:tc>
          <w:tcPr>
            <w:tcW w:w="1276" w:type="dxa"/>
          </w:tcPr>
          <w:p w14:paraId="7C912555" w14:textId="77777777" w:rsidR="00611979" w:rsidRPr="00BB6514" w:rsidRDefault="00611979" w:rsidP="00BB6514">
            <w:pPr>
              <w:pStyle w:val="Tabletext"/>
              <w:ind w:left="0" w:right="0"/>
              <w:jc w:val="center"/>
              <w:rPr>
                <w:sz w:val="20"/>
                <w:szCs w:val="20"/>
              </w:rPr>
            </w:pPr>
            <w:r w:rsidRPr="00BB6514">
              <w:rPr>
                <w:sz w:val="20"/>
                <w:szCs w:val="20"/>
              </w:rPr>
              <w:t>–</w:t>
            </w:r>
          </w:p>
        </w:tc>
        <w:tc>
          <w:tcPr>
            <w:tcW w:w="992" w:type="dxa"/>
          </w:tcPr>
          <w:p w14:paraId="675229CF" w14:textId="77777777" w:rsidR="00611979" w:rsidRPr="00BB6514" w:rsidRDefault="00611979" w:rsidP="00BB6514">
            <w:pPr>
              <w:pStyle w:val="Tabletext"/>
              <w:ind w:left="0" w:right="0"/>
              <w:jc w:val="center"/>
              <w:rPr>
                <w:sz w:val="20"/>
                <w:szCs w:val="20"/>
              </w:rPr>
            </w:pPr>
            <w:r w:rsidRPr="00BB6514">
              <w:rPr>
                <w:sz w:val="20"/>
                <w:szCs w:val="20"/>
              </w:rPr>
              <w:t>–</w:t>
            </w:r>
          </w:p>
        </w:tc>
        <w:tc>
          <w:tcPr>
            <w:tcW w:w="1276" w:type="dxa"/>
          </w:tcPr>
          <w:p w14:paraId="561AD4AC" w14:textId="77777777" w:rsidR="00611979" w:rsidRPr="00BB6514" w:rsidRDefault="00611979" w:rsidP="00BB6514">
            <w:pPr>
              <w:pStyle w:val="Tabletext"/>
              <w:ind w:left="0" w:right="0"/>
              <w:jc w:val="center"/>
              <w:rPr>
                <w:sz w:val="20"/>
                <w:szCs w:val="20"/>
              </w:rPr>
            </w:pPr>
            <w:r w:rsidRPr="00BB6514">
              <w:rPr>
                <w:sz w:val="20"/>
                <w:szCs w:val="20"/>
              </w:rPr>
              <w:t>–</w:t>
            </w:r>
          </w:p>
        </w:tc>
      </w:tr>
      <w:tr w:rsidR="00611979" w:rsidRPr="00BB6514" w14:paraId="2851C5D5" w14:textId="77777777" w:rsidTr="00BB6514">
        <w:trPr>
          <w:trHeight w:val="186"/>
        </w:trPr>
        <w:tc>
          <w:tcPr>
            <w:tcW w:w="1526" w:type="dxa"/>
            <w:vMerge/>
          </w:tcPr>
          <w:p w14:paraId="4A19AE74" w14:textId="77777777" w:rsidR="00611979" w:rsidRPr="00BB6514" w:rsidRDefault="00611979" w:rsidP="00BB6514">
            <w:pPr>
              <w:pStyle w:val="Tabletext"/>
              <w:ind w:left="0" w:right="0"/>
              <w:rPr>
                <w:sz w:val="20"/>
                <w:szCs w:val="20"/>
              </w:rPr>
            </w:pPr>
          </w:p>
        </w:tc>
        <w:tc>
          <w:tcPr>
            <w:tcW w:w="2693" w:type="dxa"/>
          </w:tcPr>
          <w:p w14:paraId="56466CCF" w14:textId="1A7DAA07" w:rsidR="00611979" w:rsidRPr="00BB6514" w:rsidRDefault="00611979" w:rsidP="00BB6514">
            <w:pPr>
              <w:pStyle w:val="Summaryofsafetyconcerns"/>
              <w:ind w:left="0" w:right="0"/>
              <w:rPr>
                <w:b w:val="0"/>
                <w:szCs w:val="20"/>
              </w:rPr>
            </w:pPr>
            <w:r w:rsidRPr="00BB6514">
              <w:rPr>
                <w:b w:val="0"/>
                <w:szCs w:val="20"/>
              </w:rPr>
              <w:t>Pulmonary toxicity**</w:t>
            </w:r>
          </w:p>
        </w:tc>
        <w:tc>
          <w:tcPr>
            <w:tcW w:w="992" w:type="dxa"/>
          </w:tcPr>
          <w:p w14:paraId="66C924C7" w14:textId="77777777" w:rsidR="00611979" w:rsidRPr="00BB6514" w:rsidRDefault="00611979" w:rsidP="00BB6514">
            <w:pPr>
              <w:pStyle w:val="Tabletext"/>
              <w:ind w:left="0" w:right="0"/>
              <w:jc w:val="center"/>
              <w:rPr>
                <w:sz w:val="20"/>
                <w:szCs w:val="20"/>
              </w:rPr>
            </w:pPr>
          </w:p>
        </w:tc>
        <w:tc>
          <w:tcPr>
            <w:tcW w:w="1276" w:type="dxa"/>
          </w:tcPr>
          <w:p w14:paraId="4D94CF7E" w14:textId="77777777" w:rsidR="00611979" w:rsidRPr="00BB6514" w:rsidRDefault="00611979" w:rsidP="00BB6514">
            <w:pPr>
              <w:pStyle w:val="Tabletext"/>
              <w:ind w:left="0" w:right="0"/>
              <w:jc w:val="center"/>
              <w:rPr>
                <w:sz w:val="20"/>
                <w:szCs w:val="20"/>
              </w:rPr>
            </w:pPr>
          </w:p>
        </w:tc>
        <w:tc>
          <w:tcPr>
            <w:tcW w:w="992" w:type="dxa"/>
          </w:tcPr>
          <w:p w14:paraId="60E8EF83" w14:textId="77777777" w:rsidR="00611979" w:rsidRPr="00BB6514" w:rsidRDefault="00611979" w:rsidP="00BB6514">
            <w:pPr>
              <w:pStyle w:val="Tabletext"/>
              <w:ind w:left="0" w:right="0"/>
              <w:jc w:val="center"/>
              <w:rPr>
                <w:sz w:val="20"/>
                <w:szCs w:val="20"/>
              </w:rPr>
            </w:pPr>
          </w:p>
        </w:tc>
        <w:tc>
          <w:tcPr>
            <w:tcW w:w="1276" w:type="dxa"/>
          </w:tcPr>
          <w:p w14:paraId="63394D27" w14:textId="77777777" w:rsidR="00611979" w:rsidRPr="00BB6514" w:rsidRDefault="00611979" w:rsidP="00BB6514">
            <w:pPr>
              <w:pStyle w:val="Tabletext"/>
              <w:ind w:left="0" w:right="0"/>
              <w:jc w:val="center"/>
              <w:rPr>
                <w:sz w:val="20"/>
                <w:szCs w:val="20"/>
              </w:rPr>
            </w:pPr>
          </w:p>
        </w:tc>
      </w:tr>
    </w:tbl>
    <w:p w14:paraId="26F042D3" w14:textId="7AB77CA0" w:rsidR="00611979" w:rsidRDefault="00611979" w:rsidP="00BB6514">
      <w:pPr>
        <w:pStyle w:val="TableDescription"/>
      </w:pPr>
      <w:r>
        <w:t>*Recommended by the RMP – The following recommendation was not agreed to by the sponsor: Hyperglycaemia (Important Potential Risk) and has been removed from the table.</w:t>
      </w:r>
    </w:p>
    <w:p w14:paraId="6A406407" w14:textId="6A871670" w:rsidR="00611979" w:rsidRDefault="00611979" w:rsidP="00BB6514">
      <w:pPr>
        <w:pStyle w:val="TableDescription"/>
      </w:pPr>
      <w:r>
        <w:t xml:space="preserve">** Recommended addition to Missing Information by the </w:t>
      </w:r>
      <w:r w:rsidR="005B489C">
        <w:t>c</w:t>
      </w:r>
      <w:r>
        <w:t xml:space="preserve">linical </w:t>
      </w:r>
      <w:r w:rsidR="005B489C">
        <w:t>e</w:t>
      </w:r>
      <w:r>
        <w:t xml:space="preserve">valuator at </w:t>
      </w:r>
      <w:r w:rsidR="005B489C">
        <w:t>the second round of evaluation</w:t>
      </w:r>
      <w:r>
        <w:t>.</w:t>
      </w:r>
      <w:r w:rsidR="009C3F32">
        <w:t xml:space="preserve"> </w:t>
      </w:r>
      <w:r w:rsidR="009C3F32" w:rsidRPr="00BB6514">
        <w:t>Following Post-</w:t>
      </w:r>
      <w:r w:rsidR="005B489C" w:rsidRPr="00BB6514">
        <w:t>second round</w:t>
      </w:r>
      <w:r w:rsidR="009C3F32" w:rsidRPr="00BB6514">
        <w:t xml:space="preserve">/Reconciliation: the </w:t>
      </w:r>
      <w:r w:rsidR="005B489C" w:rsidRPr="00BB6514">
        <w:t>c</w:t>
      </w:r>
      <w:r w:rsidR="009C3F32" w:rsidRPr="00BB6514">
        <w:t xml:space="preserve">linical evaluator agreed to not include </w:t>
      </w:r>
      <w:r w:rsidR="00BB6514" w:rsidRPr="00BB6514">
        <w:t>‘pulmonary toxicity’</w:t>
      </w:r>
      <w:r w:rsidR="006B7990">
        <w:t xml:space="preserve"> in the RMP.</w:t>
      </w:r>
    </w:p>
    <w:p w14:paraId="434A5668" w14:textId="0D15C5C9" w:rsidR="00611979" w:rsidRPr="00BA1A3B" w:rsidRDefault="00611979" w:rsidP="00BB6514">
      <w:pPr>
        <w:pStyle w:val="TableDescription"/>
      </w:pPr>
      <w:r>
        <w:t>^</w:t>
      </w:r>
      <w:r w:rsidRPr="00BA1A3B">
        <w:t xml:space="preserve">Recommended by </w:t>
      </w:r>
      <w:r w:rsidR="005A40DE" w:rsidRPr="00BA1A3B">
        <w:t xml:space="preserve">the clinical evaluator </w:t>
      </w:r>
      <w:r w:rsidRPr="00BA1A3B">
        <w:t>– The following recommendat</w:t>
      </w:r>
      <w:r w:rsidR="00586E1D">
        <w:t>ions were not agreed to by the s</w:t>
      </w:r>
      <w:r w:rsidRPr="00BA1A3B">
        <w:t>ponsor: Pulmonary toxicity/pneumonitis (Important Potential Risk) and Drug-drug interactions with moderate CYP3A4/5 inhibitors; agents that alter gastric pH; letrozole (Missing Information) and have been removed from table.</w:t>
      </w:r>
    </w:p>
    <w:p w14:paraId="351ED600" w14:textId="06857A2B" w:rsidR="00611979" w:rsidRPr="008738FE" w:rsidRDefault="00611979" w:rsidP="00BB6514">
      <w:pPr>
        <w:pStyle w:val="ListBullet"/>
      </w:pPr>
      <w:r w:rsidRPr="00F469D2">
        <w:t xml:space="preserve">No additional pharmacovigilance or risk minimisation activities were proposed in </w:t>
      </w:r>
      <w:r w:rsidR="00BB6514">
        <w:t xml:space="preserve">the </w:t>
      </w:r>
      <w:r w:rsidR="005B489C">
        <w:t>first round</w:t>
      </w:r>
      <w:r w:rsidRPr="00F469D2">
        <w:t xml:space="preserve">. In its </w:t>
      </w:r>
      <w:r w:rsidR="001A79AE" w:rsidRPr="008738FE">
        <w:t xml:space="preserve">response, the </w:t>
      </w:r>
      <w:r w:rsidR="001A79AE">
        <w:t>s</w:t>
      </w:r>
      <w:r w:rsidRPr="00F469D2">
        <w:t xml:space="preserve">ponsor agreed to add </w:t>
      </w:r>
      <w:r w:rsidR="005B489C">
        <w:t>‘</w:t>
      </w:r>
      <w:r w:rsidRPr="00F469D2">
        <w:t>Safety in patients with severe renal impairment</w:t>
      </w:r>
      <w:r w:rsidR="005B489C">
        <w:t>’</w:t>
      </w:r>
      <w:r w:rsidRPr="00F469D2">
        <w:t xml:space="preserve"> as Missing Information, which has additional pharmacovigilance (Study CLEE011A2116). Also added under Missing Information are: Long term use and Safety in</w:t>
      </w:r>
      <w:r w:rsidRPr="008738FE">
        <w:t xml:space="preserve"> male patients with breast cancer.</w:t>
      </w:r>
    </w:p>
    <w:p w14:paraId="7B0485EE" w14:textId="77777777" w:rsidR="00611979" w:rsidRPr="005E6948" w:rsidRDefault="00611979" w:rsidP="00BB6514">
      <w:pPr>
        <w:pStyle w:val="ListBullet"/>
      </w:pPr>
      <w:r w:rsidRPr="005E6948">
        <w:t>Routine risk minimisation is proposed for all important identified and potential risk, as well as for missing information in patients with hepatic and/or renal impairment.</w:t>
      </w:r>
    </w:p>
    <w:p w14:paraId="7206E794" w14:textId="17B89344" w:rsidR="001A79AE" w:rsidRPr="005E6948" w:rsidRDefault="001A79AE" w:rsidP="00586E1D">
      <w:pPr>
        <w:pStyle w:val="Heading3"/>
      </w:pPr>
      <w:bookmarkStart w:id="129" w:name="_Toc484156563"/>
      <w:bookmarkStart w:id="130" w:name="_Toc44685915"/>
      <w:r w:rsidRPr="005E6948">
        <w:t xml:space="preserve">New and outstanding recommendations </w:t>
      </w:r>
      <w:r w:rsidR="001A17A7">
        <w:t>–</w:t>
      </w:r>
      <w:r w:rsidRPr="005E6948">
        <w:t xml:space="preserve"> </w:t>
      </w:r>
      <w:bookmarkEnd w:id="129"/>
      <w:r w:rsidR="001A17A7">
        <w:t>second round</w:t>
      </w:r>
      <w:bookmarkEnd w:id="130"/>
    </w:p>
    <w:p w14:paraId="0DEEFCA6" w14:textId="660363CD" w:rsidR="001A79AE" w:rsidRPr="008738FE" w:rsidRDefault="001A79AE" w:rsidP="00BB6514">
      <w:r w:rsidRPr="001B0F4F">
        <w:t>The sponsor has adequately addressed the</w:t>
      </w:r>
      <w:r>
        <w:t xml:space="preserve"> recommendations made in the </w:t>
      </w:r>
      <w:r w:rsidR="005B489C">
        <w:t>first round</w:t>
      </w:r>
      <w:r>
        <w:t xml:space="preserve"> report.</w:t>
      </w:r>
      <w:r w:rsidRPr="00F469D2">
        <w:t xml:space="preserve"> There are two new recommendations following the second round evaluation:</w:t>
      </w:r>
    </w:p>
    <w:p w14:paraId="1EDA80CE" w14:textId="5550354B" w:rsidR="00D55009" w:rsidRPr="00BB6514" w:rsidRDefault="001A79AE" w:rsidP="006B7990">
      <w:pPr>
        <w:pStyle w:val="ListBullet"/>
      </w:pPr>
      <w:r w:rsidRPr="009C3F32">
        <w:t xml:space="preserve">Recommendation 7: Pulmonary toxicity should be included as </w:t>
      </w:r>
      <w:r w:rsidR="005B489C">
        <w:t>‘</w:t>
      </w:r>
      <w:r w:rsidRPr="009C3F32">
        <w:t>Missing Information</w:t>
      </w:r>
      <w:r w:rsidR="005B489C">
        <w:t>’</w:t>
      </w:r>
      <w:r w:rsidRPr="009C3F32">
        <w:t xml:space="preserve"> in the ASA as per the Clinical Evaluator’s recommendation. Pharmacovigilance and risk minimisation activities should be assigned</w:t>
      </w:r>
      <w:r w:rsidR="00BB6514">
        <w:t>.</w:t>
      </w:r>
      <w:r w:rsidR="001A677C">
        <w:rPr>
          <w:rStyle w:val="FootnoteReference"/>
        </w:rPr>
        <w:footnoteReference w:id="47"/>
      </w:r>
      <w:r w:rsidR="009C3F32">
        <w:t>*</w:t>
      </w:r>
    </w:p>
    <w:p w14:paraId="7110C4CA" w14:textId="532C682D" w:rsidR="001A79AE" w:rsidRPr="005E6948" w:rsidRDefault="001A79AE" w:rsidP="006B7990">
      <w:pPr>
        <w:pStyle w:val="ListBullet"/>
      </w:pPr>
      <w:r w:rsidRPr="005E6948">
        <w:t xml:space="preserve">Recommendation 8: The sponsor should provide an update to the TGA if an additional pharmacovigilance activity for the </w:t>
      </w:r>
      <w:r w:rsidR="005B489C">
        <w:t>M</w:t>
      </w:r>
      <w:r w:rsidRPr="005E6948">
        <w:t xml:space="preserve">issing </w:t>
      </w:r>
      <w:r w:rsidR="005B489C">
        <w:t>I</w:t>
      </w:r>
      <w:r w:rsidRPr="005E6948">
        <w:t>nformation ‘long-term use’ is implemented.</w:t>
      </w:r>
    </w:p>
    <w:p w14:paraId="2B5A75B1" w14:textId="77777777" w:rsidR="001A79AE" w:rsidRPr="005E6948" w:rsidRDefault="001A79AE" w:rsidP="00586E1D">
      <w:pPr>
        <w:pStyle w:val="Heading3"/>
      </w:pPr>
      <w:bookmarkStart w:id="131" w:name="_Toc44685916"/>
      <w:r w:rsidRPr="005E6948">
        <w:t>Wording for conditions of registration</w:t>
      </w:r>
      <w:bookmarkEnd w:id="131"/>
    </w:p>
    <w:p w14:paraId="4861C7F7" w14:textId="69AC1583" w:rsidR="001A79AE" w:rsidRPr="001B0F4F" w:rsidRDefault="001A79AE" w:rsidP="00BB6514">
      <w:r w:rsidRPr="001B0F4F">
        <w:t>Any changes to which the sponsor has agreed should be included in a revised RMP and ASA. However, irrespective of whether or not they are included in the currently available version of the RMP document, the agreed changes become part</w:t>
      </w:r>
      <w:r w:rsidR="001A17A7">
        <w:t xml:space="preserve"> of the risk management system.</w:t>
      </w:r>
    </w:p>
    <w:p w14:paraId="6A411F34" w14:textId="77777777" w:rsidR="001A79AE" w:rsidRPr="001B0F4F" w:rsidRDefault="001A79AE" w:rsidP="00BB6514">
      <w:r w:rsidRPr="001B0F4F">
        <w:t>The suggested wording is: Implement EU-RMP version 1.1 (Dated 13 February 2017, DLP 29 January 2016) with ASA version 2.0 (Dated 28 April 2017) to be revised to the satisfaction of the TGA, must be implemented (see outstanding issues above).</w:t>
      </w:r>
    </w:p>
    <w:p w14:paraId="2EE299A9" w14:textId="334AFC45" w:rsidR="008E7846" w:rsidRPr="00B8122D" w:rsidRDefault="008E7846" w:rsidP="008E7846">
      <w:pPr>
        <w:pStyle w:val="Heading2"/>
      </w:pPr>
      <w:bookmarkStart w:id="132" w:name="_Toc247691527"/>
      <w:bookmarkStart w:id="133" w:name="_Toc314842510"/>
      <w:bookmarkStart w:id="134" w:name="_Toc44685917"/>
      <w:bookmarkEnd w:id="127"/>
      <w:bookmarkEnd w:id="128"/>
      <w:r w:rsidRPr="00B8122D">
        <w:lastRenderedPageBreak/>
        <w:t>VI</w:t>
      </w:r>
      <w:r w:rsidR="000119E5">
        <w:t>I</w:t>
      </w:r>
      <w:r w:rsidRPr="00B8122D">
        <w:t>. Overall conclusion and risk/benefit assessment</w:t>
      </w:r>
      <w:bookmarkEnd w:id="119"/>
      <w:bookmarkEnd w:id="132"/>
      <w:bookmarkEnd w:id="133"/>
      <w:bookmarkEnd w:id="134"/>
    </w:p>
    <w:p w14:paraId="462DBEA3" w14:textId="71D72E94" w:rsidR="008E7846" w:rsidRPr="00B8122D" w:rsidRDefault="008E7846" w:rsidP="008E7846">
      <w:bookmarkStart w:id="135" w:name="_Toc247691528"/>
      <w:r w:rsidRPr="00B8122D">
        <w:t>The submission was summarised in the following Delegate</w:t>
      </w:r>
      <w:r w:rsidR="0010489F" w:rsidRPr="00B8122D">
        <w:t>’s overview and recommendations.</w:t>
      </w:r>
    </w:p>
    <w:p w14:paraId="6722C698" w14:textId="3C29A589" w:rsidR="0010489F" w:rsidRPr="00B8122D" w:rsidRDefault="0010489F" w:rsidP="000119E5">
      <w:pPr>
        <w:pStyle w:val="Heading3"/>
      </w:pPr>
      <w:bookmarkStart w:id="136" w:name="_Toc44685918"/>
      <w:r w:rsidRPr="00B8122D">
        <w:t>Overview</w:t>
      </w:r>
      <w:bookmarkEnd w:id="136"/>
    </w:p>
    <w:p w14:paraId="2C8D2CC0" w14:textId="67378A18" w:rsidR="007E7504" w:rsidRPr="00B8122D" w:rsidRDefault="007267CA" w:rsidP="00C6190C">
      <w:pPr>
        <w:pStyle w:val="Heading4"/>
      </w:pPr>
      <w:r>
        <w:t>HR+/</w:t>
      </w:r>
      <w:r w:rsidR="0010489F" w:rsidRPr="00B8122D">
        <w:t>HER2-</w:t>
      </w:r>
      <w:r w:rsidR="007E7504" w:rsidRPr="00B8122D">
        <w:t xml:space="preserve"> advanced breast cancer</w:t>
      </w:r>
    </w:p>
    <w:p w14:paraId="3EFA99DE" w14:textId="659488FF" w:rsidR="007E7504" w:rsidRPr="00B8122D" w:rsidRDefault="0010489F" w:rsidP="007E7504">
      <w:r w:rsidRPr="00B8122D">
        <w:t>The evaluator writes</w:t>
      </w:r>
      <w:r w:rsidRPr="00B8122D">
        <w:rPr>
          <w:i/>
        </w:rPr>
        <w:t xml:space="preserve">: </w:t>
      </w:r>
      <w:r w:rsidR="00097540" w:rsidRPr="00B8122D">
        <w:rPr>
          <w:i/>
          <w:iCs/>
        </w:rPr>
        <w:t>‘</w:t>
      </w:r>
      <w:r w:rsidR="007E7504" w:rsidRPr="00B8122D">
        <w:rPr>
          <w:i/>
          <w:iCs/>
        </w:rPr>
        <w:t>T</w:t>
      </w:r>
      <w:r w:rsidR="007E7504" w:rsidRPr="00B8122D">
        <w:rPr>
          <w:i/>
        </w:rPr>
        <w:t>here are no curative options currently available for advanced breast cancer and the aim of current therapy(ies) is to achieve long-term disease control.</w:t>
      </w:r>
      <w:r w:rsidR="00097540" w:rsidRPr="00B8122D">
        <w:rPr>
          <w:i/>
        </w:rPr>
        <w:t>’</w:t>
      </w:r>
    </w:p>
    <w:p w14:paraId="616EBB4C" w14:textId="77777777" w:rsidR="007267CA" w:rsidRDefault="007E7504" w:rsidP="007E7504">
      <w:r w:rsidRPr="00B8122D">
        <w:t>In the Delegate’s view, treatment of advanced breast cancer is to improve progression</w:t>
      </w:r>
      <w:r w:rsidR="0010489F" w:rsidRPr="00B8122D">
        <w:t xml:space="preserve"> </w:t>
      </w:r>
      <w:r w:rsidRPr="00B8122D">
        <w:t xml:space="preserve">free </w:t>
      </w:r>
      <w:r w:rsidRPr="007267CA">
        <w:t xml:space="preserve">and </w:t>
      </w:r>
      <w:r w:rsidRPr="00B8122D">
        <w:t>overall survival, to improve or maintain quality of life and to defer the need for subsequent treatments which include chemotherapy with its associated toxicities</w:t>
      </w:r>
      <w:r w:rsidR="0010489F" w:rsidRPr="00B8122D">
        <w:t xml:space="preserve"> and limited clinical benefit. </w:t>
      </w:r>
      <w:r w:rsidRPr="00B8122D">
        <w:t xml:space="preserve">This list aligns with the goals </w:t>
      </w:r>
      <w:r w:rsidR="007267CA">
        <w:t>outlined by Hayes et al. in UpToDate:</w:t>
      </w:r>
    </w:p>
    <w:p w14:paraId="6DCCADF2" w14:textId="7014406A" w:rsidR="007E7504" w:rsidRPr="006B7990" w:rsidRDefault="0010489F" w:rsidP="007267CA">
      <w:pPr>
        <w:ind w:left="720"/>
      </w:pPr>
      <w:r w:rsidRPr="006B7990">
        <w:t>‘</w:t>
      </w:r>
      <w:r w:rsidR="007E7504" w:rsidRPr="006B7990">
        <w:t>The primary goals of systemic treatment for metastatic breast cancer are prolongation of survival, alleviation of symptoms, and maintenance or improvement in quality of life, despite toxicity associated with treatment</w:t>
      </w:r>
      <w:r w:rsidRPr="006B7990">
        <w:t>’</w:t>
      </w:r>
      <w:r w:rsidR="007E7504" w:rsidRPr="006B7990">
        <w:t>.</w:t>
      </w:r>
      <w:bookmarkStart w:id="137" w:name="_Ref505106312"/>
      <w:r w:rsidRPr="006B7990">
        <w:rPr>
          <w:rStyle w:val="FootnoteReference"/>
        </w:rPr>
        <w:footnoteReference w:id="48"/>
      </w:r>
      <w:bookmarkEnd w:id="137"/>
    </w:p>
    <w:p w14:paraId="6F95263E" w14:textId="77777777" w:rsidR="007267CA" w:rsidRDefault="007E7504" w:rsidP="007E7504">
      <w:r w:rsidRPr="00B8122D">
        <w:t>Hayes also notes that:</w:t>
      </w:r>
    </w:p>
    <w:p w14:paraId="2D73BC91" w14:textId="4559734C" w:rsidR="007E7504" w:rsidRPr="006B7990" w:rsidRDefault="005A4332" w:rsidP="007267CA">
      <w:pPr>
        <w:ind w:left="720"/>
      </w:pPr>
      <w:r w:rsidRPr="006B7990">
        <w:t>‘</w:t>
      </w:r>
      <w:r w:rsidR="007E7504" w:rsidRPr="006B7990">
        <w:t>The optimal measure of therapeutic efficacy is debated.</w:t>
      </w:r>
      <w:r w:rsidR="0010489F" w:rsidRPr="006B7990">
        <w:t xml:space="preserve"> </w:t>
      </w:r>
      <w:r w:rsidR="007E7504" w:rsidRPr="006B7990">
        <w:t>OS is the gold standard for comparing therapies, but it requires prolonged follow</w:t>
      </w:r>
      <w:r w:rsidRPr="006B7990">
        <w:t xml:space="preserve"> </w:t>
      </w:r>
      <w:r w:rsidR="007E7504" w:rsidRPr="006B7990">
        <w:t>up and may be diluted by the effects of subsequent treatment.</w:t>
      </w:r>
      <w:r w:rsidR="0010489F" w:rsidRPr="006B7990">
        <w:t xml:space="preserve"> </w:t>
      </w:r>
      <w:r w:rsidR="007E7504" w:rsidRPr="006B7990">
        <w:t>However, no other endpoint, including progression-free survival, time to tumour progression, or objective response rate, has been shown to be a good surrogate for OS.</w:t>
      </w:r>
      <w:r w:rsidR="0010489F" w:rsidRPr="006B7990">
        <w:t xml:space="preserve"> </w:t>
      </w:r>
      <w:r w:rsidR="007E7504" w:rsidRPr="006B7990">
        <w:t>Comparisons of objective response rates are often used to determine relative treatment efficacy, but high response rates do not necessarily translate into clinically meaningful increases in survival.</w:t>
      </w:r>
      <w:r w:rsidR="0010489F" w:rsidRPr="006B7990">
        <w:t xml:space="preserve"> </w:t>
      </w:r>
      <w:r w:rsidR="007E7504" w:rsidRPr="006B7990">
        <w:t>In addition, symptom relief without measurable disease response and achievement of stable disease as compared with disease progression may be clinically important</w:t>
      </w:r>
      <w:r w:rsidRPr="006B7990">
        <w:t>’</w:t>
      </w:r>
      <w:r w:rsidR="007E7504" w:rsidRPr="006B7990">
        <w:t>.</w:t>
      </w:r>
      <w:r w:rsidR="007267CA" w:rsidRPr="006B7990">
        <w:rPr>
          <w:vertAlign w:val="superscript"/>
        </w:rPr>
        <w:fldChar w:fldCharType="begin"/>
      </w:r>
      <w:r w:rsidR="007267CA" w:rsidRPr="006B7990">
        <w:rPr>
          <w:vertAlign w:val="superscript"/>
        </w:rPr>
        <w:instrText xml:space="preserve"> NOTEREF _Ref505106312 \h  \* MERGEFORMAT </w:instrText>
      </w:r>
      <w:r w:rsidR="007267CA" w:rsidRPr="006B7990">
        <w:rPr>
          <w:vertAlign w:val="superscript"/>
        </w:rPr>
      </w:r>
      <w:r w:rsidR="007267CA" w:rsidRPr="006B7990">
        <w:rPr>
          <w:vertAlign w:val="superscript"/>
        </w:rPr>
        <w:fldChar w:fldCharType="separate"/>
      </w:r>
      <w:r w:rsidR="006B7990">
        <w:rPr>
          <w:vertAlign w:val="superscript"/>
        </w:rPr>
        <w:t>48</w:t>
      </w:r>
      <w:r w:rsidR="007267CA" w:rsidRPr="006B7990">
        <w:rPr>
          <w:vertAlign w:val="superscript"/>
        </w:rPr>
        <w:fldChar w:fldCharType="end"/>
      </w:r>
    </w:p>
    <w:p w14:paraId="4C15C0D2" w14:textId="0AFFE772" w:rsidR="007E7504" w:rsidRPr="00B8122D" w:rsidRDefault="007E7504" w:rsidP="007E7504">
      <w:r w:rsidRPr="00B8122D">
        <w:t>Within the framework of the TGA</w:t>
      </w:r>
      <w:r w:rsidR="005A4332" w:rsidRPr="00B8122D">
        <w:t xml:space="preserve"> </w:t>
      </w:r>
      <w:r w:rsidRPr="00B8122D">
        <w:t>adopted EU guidance on anticancer medicines, the intent of the proposed treatment is to achieve lon</w:t>
      </w:r>
      <w:r w:rsidR="005A4332" w:rsidRPr="00B8122D">
        <w:t xml:space="preserve">g </w:t>
      </w:r>
      <w:r w:rsidRPr="00B8122D">
        <w:t>term disease control (</w:t>
      </w:r>
      <w:r w:rsidR="005A4332" w:rsidRPr="00B8122D">
        <w:t>that is,</w:t>
      </w:r>
      <w:r w:rsidRPr="00B8122D">
        <w:t xml:space="preserve"> it is neither curative nor purely palliative).</w:t>
      </w:r>
    </w:p>
    <w:p w14:paraId="79931054" w14:textId="352D0C76" w:rsidR="007E7504" w:rsidRPr="00B8122D" w:rsidRDefault="005A4332" w:rsidP="007E7504">
      <w:r w:rsidRPr="00B8122D">
        <w:t xml:space="preserve">Naughton and Ma </w:t>
      </w:r>
      <w:r w:rsidR="007E7504" w:rsidRPr="00B8122D">
        <w:t xml:space="preserve">state objectives of endocrine treatment are </w:t>
      </w:r>
      <w:r w:rsidR="008B6E22" w:rsidRPr="00B8122D">
        <w:t>‘</w:t>
      </w:r>
      <w:r w:rsidR="007E7504" w:rsidRPr="00B8122D">
        <w:t>to maximise quality of life and to reduce the relatively worse side effect profiles associated with the use of chemotherapy</w:t>
      </w:r>
      <w:r w:rsidR="008B6E22" w:rsidRPr="00B8122D">
        <w:t>’</w:t>
      </w:r>
      <w:r w:rsidR="007E7504" w:rsidRPr="00B8122D">
        <w:t>.</w:t>
      </w:r>
      <w:r w:rsidRPr="00B8122D">
        <w:rPr>
          <w:rStyle w:val="FootnoteReference"/>
        </w:rPr>
        <w:footnoteReference w:id="49"/>
      </w:r>
    </w:p>
    <w:p w14:paraId="33B5388F" w14:textId="669B875C" w:rsidR="007E7504" w:rsidRPr="00B8122D" w:rsidRDefault="007E7504" w:rsidP="007E7504">
      <w:r w:rsidRPr="00B8122D">
        <w:t>Given that a recurring aim of treatment is to avoid chemotherapy</w:t>
      </w:r>
      <w:r w:rsidR="008B6E22" w:rsidRPr="00B8122D">
        <w:t xml:space="preserve"> </w:t>
      </w:r>
      <w:r w:rsidRPr="00B8122D">
        <w:t>related toxicity, it is worth noting the role of chemotherapy.</w:t>
      </w:r>
      <w:r w:rsidR="0010489F" w:rsidRPr="00B8122D">
        <w:t xml:space="preserve"> </w:t>
      </w:r>
      <w:r w:rsidRPr="00B8122D">
        <w:t xml:space="preserve">Chemotherapy may be used where endocrine therapy is unlikely to result in a prompt clinical response, </w:t>
      </w:r>
      <w:r w:rsidR="008B6E22" w:rsidRPr="00B8122D">
        <w:t>for example,</w:t>
      </w:r>
      <w:r w:rsidRPr="00B8122D">
        <w:t xml:space="preserve"> patients with rapid progression following &gt;</w:t>
      </w:r>
      <w:r w:rsidR="008B6E22" w:rsidRPr="00B8122D">
        <w:t xml:space="preserve"> </w:t>
      </w:r>
      <w:r w:rsidRPr="00B8122D">
        <w:t>1 endocrine therapy, or who present with large tumour bu</w:t>
      </w:r>
      <w:r w:rsidR="008B6E22" w:rsidRPr="00B8122D">
        <w:t>rden involving visceral organs</w:t>
      </w:r>
      <w:r w:rsidR="00C6190C" w:rsidRPr="00B8122D">
        <w:t>.</w:t>
      </w:r>
      <w:r w:rsidR="008B6E22" w:rsidRPr="00B8122D">
        <w:rPr>
          <w:rStyle w:val="FootnoteReference"/>
        </w:rPr>
        <w:footnoteReference w:id="50"/>
      </w:r>
      <w:r w:rsidR="0010489F" w:rsidRPr="00B8122D">
        <w:t xml:space="preserve"> </w:t>
      </w:r>
      <w:r w:rsidRPr="00B8122D">
        <w:t>Chemotherapy can be single agent or various combinations; choice is tailored but includes taxanes (</w:t>
      </w:r>
      <w:r w:rsidR="00C6190C" w:rsidRPr="00B8122D">
        <w:t>for example,</w:t>
      </w:r>
      <w:r w:rsidRPr="00B8122D">
        <w:t xml:space="preserve"> paclitaxel) and anthracyclines (</w:t>
      </w:r>
      <w:r w:rsidR="00C6190C" w:rsidRPr="00B8122D">
        <w:t>such as</w:t>
      </w:r>
      <w:r w:rsidRPr="00B8122D">
        <w:t xml:space="preserve"> doxorubicin).</w:t>
      </w:r>
    </w:p>
    <w:p w14:paraId="4A47991F" w14:textId="77777777" w:rsidR="007E7504" w:rsidRPr="00B8122D" w:rsidRDefault="007E7504" w:rsidP="00C6190C">
      <w:pPr>
        <w:pStyle w:val="Heading4"/>
      </w:pPr>
      <w:r w:rsidRPr="00B8122D">
        <w:lastRenderedPageBreak/>
        <w:t>Therapeutic landscape</w:t>
      </w:r>
    </w:p>
    <w:p w14:paraId="37CA0591" w14:textId="77777777" w:rsidR="007E7504" w:rsidRPr="00B8122D" w:rsidRDefault="007E7504" w:rsidP="007E7504">
      <w:r w:rsidRPr="00B8122D">
        <w:t>CDK4/6 inhibitors are new within the breast cancer therapeutic landscape.</w:t>
      </w:r>
    </w:p>
    <w:p w14:paraId="5C445434" w14:textId="77777777" w:rsidR="007E7504" w:rsidRPr="00B8122D" w:rsidRDefault="007E7504" w:rsidP="007E7504">
      <w:r w:rsidRPr="00B8122D">
        <w:t>Palbociclib was registered on the ARTG on 3 May 2017 with the following indication:</w:t>
      </w:r>
    </w:p>
    <w:p w14:paraId="445F4880" w14:textId="4D0B89CC" w:rsidR="007E7504" w:rsidRPr="006B7990" w:rsidRDefault="007E7504" w:rsidP="006B7990">
      <w:pPr>
        <w:ind w:left="360"/>
        <w:rPr>
          <w:i/>
        </w:rPr>
      </w:pPr>
      <w:r w:rsidRPr="006B7990">
        <w:rPr>
          <w:i/>
        </w:rPr>
        <w:t>I</w:t>
      </w:r>
      <w:r w:rsidR="00C6190C" w:rsidRPr="006B7990">
        <w:rPr>
          <w:i/>
        </w:rPr>
        <w:t>brance</w:t>
      </w:r>
      <w:r w:rsidRPr="006B7990">
        <w:rPr>
          <w:i/>
        </w:rPr>
        <w:t xml:space="preserve"> is indicated for the treatment of hormone receptor (HR)-positive, human epidermal growth factor receptor 2 (HER2)-negative advanced or metastatic bre</w:t>
      </w:r>
      <w:r w:rsidR="00C6190C" w:rsidRPr="006B7990">
        <w:rPr>
          <w:i/>
        </w:rPr>
        <w:t>ast cancer in combination with:</w:t>
      </w:r>
    </w:p>
    <w:p w14:paraId="166D28C6" w14:textId="77777777" w:rsidR="007E7504" w:rsidRPr="006B7990" w:rsidRDefault="007E7504" w:rsidP="006B7990">
      <w:pPr>
        <w:pStyle w:val="ListBullet"/>
        <w:ind w:left="720"/>
        <w:rPr>
          <w:i/>
        </w:rPr>
      </w:pPr>
      <w:r w:rsidRPr="006B7990">
        <w:rPr>
          <w:i/>
        </w:rPr>
        <w:t xml:space="preserve">an aromatase inhibitor as initial endocrine-based therapy </w:t>
      </w:r>
    </w:p>
    <w:p w14:paraId="74C1F856" w14:textId="0145FEF5" w:rsidR="007E7504" w:rsidRPr="006B7990" w:rsidRDefault="007E7504" w:rsidP="006B7990">
      <w:pPr>
        <w:pStyle w:val="ListBullet"/>
        <w:ind w:left="720"/>
        <w:rPr>
          <w:i/>
        </w:rPr>
      </w:pPr>
      <w:r w:rsidRPr="006B7990">
        <w:rPr>
          <w:i/>
        </w:rPr>
        <w:t>fulvestrant in patients w</w:t>
      </w:r>
      <w:r w:rsidR="00C6190C" w:rsidRPr="006B7990">
        <w:rPr>
          <w:i/>
        </w:rPr>
        <w:t>ho have received prior therapy.</w:t>
      </w:r>
    </w:p>
    <w:p w14:paraId="32AC80D2" w14:textId="5EA0A8FF" w:rsidR="007E7504" w:rsidRPr="00B8122D" w:rsidRDefault="00426727" w:rsidP="007E7504">
      <w:r>
        <w:t xml:space="preserve">At the time of ribociclib submission to </w:t>
      </w:r>
      <w:r w:rsidR="005B489C">
        <w:t xml:space="preserve">the </w:t>
      </w:r>
      <w:r>
        <w:t>TGA</w:t>
      </w:r>
      <w:r w:rsidR="00401D01">
        <w:t xml:space="preserve"> (Oct</w:t>
      </w:r>
      <w:r w:rsidR="005B489C">
        <w:t>ober</w:t>
      </w:r>
      <w:r w:rsidR="00401D01">
        <w:t xml:space="preserve"> 2016)</w:t>
      </w:r>
      <w:r>
        <w:t xml:space="preserve">, palbociclib was not </w:t>
      </w:r>
      <w:r w:rsidR="005107AB">
        <w:t xml:space="preserve">yet </w:t>
      </w:r>
      <w:r>
        <w:t xml:space="preserve">approved. </w:t>
      </w:r>
      <w:r w:rsidR="007E7504" w:rsidRPr="00B8122D">
        <w:t>Abemaciclib is not registered on the ARTG.</w:t>
      </w:r>
    </w:p>
    <w:p w14:paraId="1ED6CE75" w14:textId="77777777" w:rsidR="007E7504" w:rsidRPr="00B8122D" w:rsidRDefault="007E7504" w:rsidP="00C6190C">
      <w:pPr>
        <w:pStyle w:val="Heading4"/>
      </w:pPr>
      <w:r w:rsidRPr="00B8122D">
        <w:t>Mechanism of action</w:t>
      </w:r>
    </w:p>
    <w:p w14:paraId="75C6A123" w14:textId="7FA186C3" w:rsidR="007E7504" w:rsidRPr="00B8122D" w:rsidRDefault="007E7504" w:rsidP="007E7504">
      <w:r w:rsidRPr="00B8122D">
        <w:t>Ribociclib is a se</w:t>
      </w:r>
      <w:r w:rsidR="0076266C">
        <w:t>lective inhibitor of CDK4 and 6</w:t>
      </w:r>
      <w:r w:rsidR="00C6190C" w:rsidRPr="00B8122D">
        <w:t>.</w:t>
      </w:r>
      <w:r w:rsidR="0010489F" w:rsidRPr="00B8122D">
        <w:t xml:space="preserve"> </w:t>
      </w:r>
      <w:r w:rsidRPr="00B8122D">
        <w:t xml:space="preserve">More information about </w:t>
      </w:r>
      <w:r w:rsidR="00C6190C" w:rsidRPr="00B8122D">
        <w:t xml:space="preserve">the </w:t>
      </w:r>
      <w:r w:rsidRPr="00B8122D">
        <w:t>mechanism</w:t>
      </w:r>
      <w:r w:rsidR="00C6190C" w:rsidRPr="00B8122D">
        <w:t>s of CDK inhibitors</w:t>
      </w:r>
      <w:r w:rsidRPr="00B8122D">
        <w:t xml:space="preserve"> </w:t>
      </w:r>
      <w:r w:rsidR="00C6190C" w:rsidRPr="00B8122D">
        <w:t xml:space="preserve">can be found under the nonclinical findings section of this document. </w:t>
      </w:r>
      <w:r w:rsidRPr="00B8122D">
        <w:t>It is considered cytostatic rather than cytotoxic or pro-apoptotic.</w:t>
      </w:r>
    </w:p>
    <w:p w14:paraId="6020C44F" w14:textId="7BF2C8DF" w:rsidR="007E7504" w:rsidRPr="00B8122D" w:rsidRDefault="007E7504" w:rsidP="00C6190C">
      <w:pPr>
        <w:pStyle w:val="Heading4"/>
      </w:pPr>
      <w:r w:rsidRPr="00B8122D">
        <w:t>Regulation</w:t>
      </w:r>
      <w:r w:rsidR="00E05260" w:rsidRPr="00B8122D">
        <w:t xml:space="preserve"> (Australia)</w:t>
      </w:r>
    </w:p>
    <w:p w14:paraId="6417E9A2" w14:textId="77777777" w:rsidR="007E7504" w:rsidRPr="00B8122D" w:rsidRDefault="007E7504" w:rsidP="00E05260">
      <w:pPr>
        <w:pStyle w:val="Heading5"/>
      </w:pPr>
      <w:r w:rsidRPr="00B8122D">
        <w:t>Regulatory guidelines</w:t>
      </w:r>
    </w:p>
    <w:p w14:paraId="0FFAFFCB" w14:textId="4562D205" w:rsidR="007E7504" w:rsidRPr="00B8122D" w:rsidRDefault="007E7504" w:rsidP="007E7504">
      <w:r w:rsidRPr="00B8122D">
        <w:t>The TGA has adopted the EU Guideline on the evaluation of anticancer medicines, EMA/CHMP/205/95/Rev.4 (and relevant appendices).</w:t>
      </w:r>
      <w:r w:rsidR="0010489F" w:rsidRPr="00B8122D">
        <w:t xml:space="preserve"> </w:t>
      </w:r>
      <w:r w:rsidRPr="00B8122D">
        <w:t xml:space="preserve">Some other EU guidelines are relevant, </w:t>
      </w:r>
      <w:r w:rsidR="00E05260" w:rsidRPr="00B8122D">
        <w:t>for example</w:t>
      </w:r>
      <w:r w:rsidRPr="00B8122D">
        <w:t xml:space="preserve"> ‘Points to consider on application with 1) meta-analysis; 2) single pivotal study’ (CPMP/EWP/2330/99).</w:t>
      </w:r>
      <w:r w:rsidR="0010489F" w:rsidRPr="00B8122D">
        <w:t xml:space="preserve"> </w:t>
      </w:r>
      <w:r w:rsidRPr="00B8122D">
        <w:t>Variation from recommendations in such guidelines may suggest a need for examination of p</w:t>
      </w:r>
      <w:r w:rsidR="00AD0977">
        <w:t>articular quality, efficacy and/</w:t>
      </w:r>
      <w:r w:rsidRPr="00B8122D">
        <w:t>or safety issues.</w:t>
      </w:r>
    </w:p>
    <w:p w14:paraId="2B33D016" w14:textId="770391B3" w:rsidR="007E7504" w:rsidRPr="00B8122D" w:rsidRDefault="00E05260" w:rsidP="00E05260">
      <w:pPr>
        <w:pStyle w:val="Heading4"/>
      </w:pPr>
      <w:r w:rsidRPr="00B8122D">
        <w:t>Regulation (O</w:t>
      </w:r>
      <w:r w:rsidR="007E7504" w:rsidRPr="00B8122D">
        <w:t>verseas status</w:t>
      </w:r>
      <w:r w:rsidRPr="00B8122D">
        <w:t>)</w:t>
      </w:r>
    </w:p>
    <w:p w14:paraId="7DC29E73" w14:textId="11B96F96" w:rsidR="007E7504" w:rsidRPr="00B8122D" w:rsidRDefault="00175C8F" w:rsidP="00E05260">
      <w:pPr>
        <w:pStyle w:val="Heading5"/>
      </w:pPr>
      <w:r>
        <w:t>United States Food and Drug Administration</w:t>
      </w:r>
    </w:p>
    <w:p w14:paraId="2E45A667" w14:textId="28C6021D" w:rsidR="007E7504" w:rsidRPr="00B8122D" w:rsidRDefault="00E05260" w:rsidP="007E7504">
      <w:r w:rsidRPr="00B8122D">
        <w:t xml:space="preserve">For the purposes of the Delegate’s Overview, the status was last checked on </w:t>
      </w:r>
      <w:r w:rsidR="007E7504" w:rsidRPr="00B8122D">
        <w:rPr>
          <w:bCs/>
        </w:rPr>
        <w:t>13</w:t>
      </w:r>
      <w:r w:rsidRPr="00B8122D">
        <w:rPr>
          <w:bCs/>
        </w:rPr>
        <w:t xml:space="preserve"> June 2017. </w:t>
      </w:r>
      <w:r w:rsidRPr="00B8122D">
        <w:t>R</w:t>
      </w:r>
      <w:r w:rsidR="007E7504" w:rsidRPr="00B8122D">
        <w:t xml:space="preserve">ibociclib was approved </w:t>
      </w:r>
      <w:r w:rsidRPr="00B8122D">
        <w:t xml:space="preserve">by the US FDA on 13 March </w:t>
      </w:r>
      <w:r w:rsidR="007E7504" w:rsidRPr="00B8122D">
        <w:t>2017 with the following indication:</w:t>
      </w:r>
    </w:p>
    <w:p w14:paraId="410D8460" w14:textId="3604A84B" w:rsidR="007E7504" w:rsidRPr="00B8122D" w:rsidRDefault="003133F2" w:rsidP="003133F2">
      <w:pPr>
        <w:ind w:left="720"/>
        <w:rPr>
          <w:i/>
        </w:rPr>
      </w:pPr>
      <w:r w:rsidRPr="00B8122D">
        <w:rPr>
          <w:i/>
        </w:rPr>
        <w:t>Kisqali</w:t>
      </w:r>
      <w:r w:rsidR="007E7504" w:rsidRPr="00B8122D">
        <w:rPr>
          <w:i/>
        </w:rPr>
        <w:t xml:space="preserve"> is a kinase inhibitor indicated in combination with an aromatase inhibitor as initial endocrine-based therapy for the treatment of postmenopausal women with hormone receptor (HR)-positive, human epidermal growth factor receptor 2 (HER2)-negative advanced or metastatic breast cancer.</w:t>
      </w:r>
    </w:p>
    <w:p w14:paraId="3E203C7A" w14:textId="5E6178A8" w:rsidR="003133F2" w:rsidRPr="00B8122D" w:rsidRDefault="00AD0977" w:rsidP="003133F2">
      <w:pPr>
        <w:pStyle w:val="Heading6"/>
      </w:pPr>
      <w:r>
        <w:t>Post</w:t>
      </w:r>
      <w:r w:rsidR="009F554D">
        <w:t>-</w:t>
      </w:r>
      <w:r>
        <w:t xml:space="preserve">marketing </w:t>
      </w:r>
      <w:r w:rsidR="003133F2" w:rsidRPr="00B8122D">
        <w:t>requirements</w:t>
      </w:r>
    </w:p>
    <w:p w14:paraId="3E9C313D" w14:textId="0DAFD12F" w:rsidR="007E7504" w:rsidRPr="00B8122D" w:rsidRDefault="00077B6B" w:rsidP="007E7504">
      <w:r>
        <w:t>Post</w:t>
      </w:r>
      <w:r w:rsidR="009F554D">
        <w:t>-</w:t>
      </w:r>
      <w:r w:rsidRPr="00B8122D">
        <w:t>marketing</w:t>
      </w:r>
      <w:r w:rsidR="007E7504" w:rsidRPr="00B8122D">
        <w:t xml:space="preserve"> requirements </w:t>
      </w:r>
      <w:r w:rsidR="003133F2" w:rsidRPr="00B8122D">
        <w:t>were as fol</w:t>
      </w:r>
      <w:r w:rsidR="00A45732">
        <w:t xml:space="preserve">lows in Table </w:t>
      </w:r>
      <w:r w:rsidR="001A79AE">
        <w:t>9</w:t>
      </w:r>
      <w:r w:rsidR="00AD0977">
        <w:t xml:space="preserve">, with </w:t>
      </w:r>
      <w:r>
        <w:t>post</w:t>
      </w:r>
      <w:r w:rsidRPr="00B8122D">
        <w:t xml:space="preserve"> market</w:t>
      </w:r>
      <w:r>
        <w:t>ing</w:t>
      </w:r>
      <w:r w:rsidR="00A45732">
        <w:t xml:space="preserve"> commitments listed in Table 1</w:t>
      </w:r>
      <w:r w:rsidR="00F469D2">
        <w:t>0</w:t>
      </w:r>
      <w:r w:rsidR="003133F2" w:rsidRPr="00B8122D">
        <w:t>.</w:t>
      </w:r>
    </w:p>
    <w:p w14:paraId="58F0801D" w14:textId="1DEC7B78" w:rsidR="003133F2" w:rsidRPr="00B8122D" w:rsidRDefault="00077B6B" w:rsidP="00D7276C">
      <w:pPr>
        <w:pStyle w:val="TableTitle"/>
        <w:keepLines/>
      </w:pPr>
      <w:r>
        <w:lastRenderedPageBreak/>
        <w:t xml:space="preserve">Table </w:t>
      </w:r>
      <w:r w:rsidR="001A79AE">
        <w:t>9</w:t>
      </w:r>
      <w:r>
        <w:t>:</w:t>
      </w:r>
      <w:r w:rsidR="00A45732">
        <w:t xml:space="preserve"> </w:t>
      </w:r>
      <w:r>
        <w:t>Post</w:t>
      </w:r>
      <w:r w:rsidR="009F554D">
        <w:t>-</w:t>
      </w:r>
      <w:r w:rsidRPr="00B8122D">
        <w:t>marketing</w:t>
      </w:r>
      <w:r w:rsidR="003133F2" w:rsidRPr="00B8122D">
        <w:t xml:space="preserve"> requirements following Kisqali ribociclib approval (US</w:t>
      </w:r>
      <w:r w:rsidR="00175C8F">
        <w:t> </w:t>
      </w:r>
      <w:r w:rsidR="003133F2" w:rsidRPr="00B8122D">
        <w:t>FDA)</w:t>
      </w:r>
    </w:p>
    <w:tbl>
      <w:tblPr>
        <w:tblStyle w:val="TableTGAblue"/>
        <w:tblW w:w="8334" w:type="dxa"/>
        <w:tblLook w:val="04A0" w:firstRow="1" w:lastRow="0" w:firstColumn="1" w:lastColumn="0" w:noHBand="0" w:noVBand="1"/>
      </w:tblPr>
      <w:tblGrid>
        <w:gridCol w:w="1381"/>
        <w:gridCol w:w="4615"/>
        <w:gridCol w:w="2338"/>
      </w:tblGrid>
      <w:tr w:rsidR="003133F2" w:rsidRPr="00B8122D" w14:paraId="5E3798AE" w14:textId="77777777" w:rsidTr="009F554D">
        <w:trPr>
          <w:cnfStyle w:val="100000000000" w:firstRow="1" w:lastRow="0" w:firstColumn="0" w:lastColumn="0" w:oddVBand="0" w:evenVBand="0" w:oddHBand="0" w:evenHBand="0" w:firstRowFirstColumn="0" w:firstRowLastColumn="0" w:lastRowFirstColumn="0" w:lastRowLastColumn="0"/>
          <w:trHeight w:val="488"/>
        </w:trPr>
        <w:tc>
          <w:tcPr>
            <w:tcW w:w="1251" w:type="dxa"/>
          </w:tcPr>
          <w:p w14:paraId="0919CD40" w14:textId="77777777" w:rsidR="007E7504" w:rsidRPr="00B8122D" w:rsidRDefault="007E7504" w:rsidP="00D7276C">
            <w:pPr>
              <w:keepLines/>
            </w:pPr>
            <w:r w:rsidRPr="00B8122D">
              <w:t>Number</w:t>
            </w:r>
          </w:p>
        </w:tc>
        <w:tc>
          <w:tcPr>
            <w:tcW w:w="4718" w:type="dxa"/>
          </w:tcPr>
          <w:p w14:paraId="3DE3CCCB" w14:textId="77777777" w:rsidR="007E7504" w:rsidRPr="00B8122D" w:rsidRDefault="007E7504" w:rsidP="00D7276C">
            <w:pPr>
              <w:keepLines/>
            </w:pPr>
            <w:r w:rsidRPr="00B8122D">
              <w:t>Detail</w:t>
            </w:r>
          </w:p>
        </w:tc>
        <w:tc>
          <w:tcPr>
            <w:tcW w:w="2365" w:type="dxa"/>
          </w:tcPr>
          <w:p w14:paraId="67345897" w14:textId="77777777" w:rsidR="007E7504" w:rsidRPr="00B8122D" w:rsidRDefault="007E7504" w:rsidP="00D7276C">
            <w:pPr>
              <w:keepLines/>
            </w:pPr>
            <w:r w:rsidRPr="00B8122D">
              <w:t>Timeline</w:t>
            </w:r>
          </w:p>
        </w:tc>
      </w:tr>
      <w:tr w:rsidR="003133F2" w:rsidRPr="00B8122D" w14:paraId="33ECFC06" w14:textId="77777777" w:rsidTr="009F554D">
        <w:trPr>
          <w:trHeight w:val="1397"/>
        </w:trPr>
        <w:tc>
          <w:tcPr>
            <w:tcW w:w="1251" w:type="dxa"/>
          </w:tcPr>
          <w:p w14:paraId="15E946C5" w14:textId="77777777" w:rsidR="007E7504" w:rsidRPr="00B8122D" w:rsidRDefault="007E7504" w:rsidP="00D7276C">
            <w:pPr>
              <w:keepNext/>
              <w:keepLines/>
            </w:pPr>
            <w:r w:rsidRPr="00B8122D">
              <w:t>3168-1</w:t>
            </w:r>
          </w:p>
        </w:tc>
        <w:tc>
          <w:tcPr>
            <w:tcW w:w="4718" w:type="dxa"/>
          </w:tcPr>
          <w:p w14:paraId="314CBB33" w14:textId="43ABAC97" w:rsidR="007E7504" w:rsidRPr="00B8122D" w:rsidRDefault="007E7504" w:rsidP="00D7276C">
            <w:pPr>
              <w:keepNext/>
              <w:keepLines/>
            </w:pPr>
            <w:r w:rsidRPr="00B8122D">
              <w:t>Conduct a clinical trial to assess the efficacy and safety of an alternative dosing regimen for riboci</w:t>
            </w:r>
            <w:r w:rsidR="00AD0977">
              <w:t>clib after evaluation of ECG, pharmacokinetics</w:t>
            </w:r>
            <w:r w:rsidRPr="00B8122D">
              <w:t xml:space="preserve"> and efficacy data from</w:t>
            </w:r>
            <w:r w:rsidR="00AD0977">
              <w:t xml:space="preserve"> the</w:t>
            </w:r>
            <w:r w:rsidRPr="00B8122D">
              <w:t xml:space="preserve"> ongoing MONALEESA-3 </w:t>
            </w:r>
            <w:r w:rsidR="00175C8F">
              <w:t xml:space="preserve">trial </w:t>
            </w:r>
            <w:r w:rsidRPr="00B8122D">
              <w:t>(</w:t>
            </w:r>
            <w:r w:rsidR="00175C8F">
              <w:t>Study</w:t>
            </w:r>
            <w:r w:rsidR="00AD0977">
              <w:t xml:space="preserve"> </w:t>
            </w:r>
            <w:r w:rsidRPr="00B8122D">
              <w:t>CLEE011F2301) and MONALEESA-7</w:t>
            </w:r>
            <w:r w:rsidR="00175C8F">
              <w:t xml:space="preserve"> trial</w:t>
            </w:r>
            <w:r w:rsidRPr="00B8122D">
              <w:t xml:space="preserve"> (</w:t>
            </w:r>
            <w:r w:rsidR="00175C8F">
              <w:t xml:space="preserve">Study </w:t>
            </w:r>
            <w:r w:rsidRPr="00B8122D">
              <w:t xml:space="preserve">CLEE011E2301) studies. The objective of studying an alternative dosing regimen is to mitigate the risks for QT prolongation without compromising efficacy. The primary safety assessments should include QT prolongation, hepatobiliary toxicities, and </w:t>
            </w:r>
            <w:r w:rsidR="00D92203" w:rsidRPr="00B8122D">
              <w:t>neutropaenia</w:t>
            </w:r>
            <w:r w:rsidRPr="00B8122D">
              <w:t>. The primary efficacy endpoint should be objective response rate (ORR).</w:t>
            </w:r>
          </w:p>
        </w:tc>
        <w:tc>
          <w:tcPr>
            <w:tcW w:w="2365" w:type="dxa"/>
          </w:tcPr>
          <w:p w14:paraId="67B65FE1" w14:textId="77777777" w:rsidR="007E7504" w:rsidRPr="00F27ADD" w:rsidRDefault="007E7504" w:rsidP="00D7276C">
            <w:pPr>
              <w:keepNext/>
              <w:keepLines/>
              <w:rPr>
                <w:lang w:val="it-IT"/>
              </w:rPr>
            </w:pPr>
            <w:r w:rsidRPr="00F27ADD">
              <w:rPr>
                <w:lang w:val="it-IT"/>
              </w:rPr>
              <w:t>Draft Protocol Submission: 06/2018</w:t>
            </w:r>
          </w:p>
          <w:p w14:paraId="5A891819" w14:textId="77777777" w:rsidR="007E7504" w:rsidRPr="00F27ADD" w:rsidRDefault="007E7504" w:rsidP="00D7276C">
            <w:pPr>
              <w:keepNext/>
              <w:keepLines/>
              <w:rPr>
                <w:lang w:val="it-IT"/>
              </w:rPr>
            </w:pPr>
            <w:r w:rsidRPr="00F27ADD">
              <w:rPr>
                <w:lang w:val="it-IT"/>
              </w:rPr>
              <w:t>Final Protocol Submission: 12/2018</w:t>
            </w:r>
          </w:p>
          <w:p w14:paraId="586E5D5C" w14:textId="77777777" w:rsidR="007E7504" w:rsidRPr="00B8122D" w:rsidRDefault="007E7504" w:rsidP="00D7276C">
            <w:pPr>
              <w:keepNext/>
              <w:keepLines/>
            </w:pPr>
            <w:r w:rsidRPr="00B8122D">
              <w:t>Trial Completion: 04/2022</w:t>
            </w:r>
          </w:p>
          <w:p w14:paraId="1D0069F1" w14:textId="77777777" w:rsidR="007E7504" w:rsidRPr="00B8122D" w:rsidRDefault="007E7504" w:rsidP="00D7276C">
            <w:pPr>
              <w:keepNext/>
              <w:keepLines/>
            </w:pPr>
            <w:r w:rsidRPr="00B8122D">
              <w:t>Final Report Submission: 10/2022</w:t>
            </w:r>
          </w:p>
        </w:tc>
      </w:tr>
      <w:tr w:rsidR="003133F2" w:rsidRPr="00B8122D" w14:paraId="141FC601" w14:textId="77777777" w:rsidTr="009F554D">
        <w:trPr>
          <w:trHeight w:val="142"/>
        </w:trPr>
        <w:tc>
          <w:tcPr>
            <w:tcW w:w="1251" w:type="dxa"/>
          </w:tcPr>
          <w:p w14:paraId="258D31DF" w14:textId="77777777" w:rsidR="007E7504" w:rsidRPr="00B8122D" w:rsidRDefault="007E7504" w:rsidP="007E7504">
            <w:r w:rsidRPr="00B8122D">
              <w:t>3168-2</w:t>
            </w:r>
          </w:p>
        </w:tc>
        <w:tc>
          <w:tcPr>
            <w:tcW w:w="4718" w:type="dxa"/>
          </w:tcPr>
          <w:p w14:paraId="34BEFAA0" w14:textId="52EA3410" w:rsidR="007E7504" w:rsidRPr="00B8122D" w:rsidRDefault="007E7504" w:rsidP="00175C8F">
            <w:r w:rsidRPr="00B8122D">
              <w:t>Complete on</w:t>
            </w:r>
            <w:r w:rsidR="00AD0977">
              <w:t xml:space="preserve">going clinical pharmacokinetic </w:t>
            </w:r>
            <w:r w:rsidR="00175C8F">
              <w:t>Study</w:t>
            </w:r>
            <w:r w:rsidR="00175C8F" w:rsidRPr="00B8122D">
              <w:t xml:space="preserve"> </w:t>
            </w:r>
            <w:r w:rsidRPr="00B8122D">
              <w:t>CLEE011A2116 (part 1) to determine an appropriate dose of ribociclib in patients with severe renal impairment.</w:t>
            </w:r>
          </w:p>
        </w:tc>
        <w:tc>
          <w:tcPr>
            <w:tcW w:w="2365" w:type="dxa"/>
          </w:tcPr>
          <w:p w14:paraId="1DA191F6" w14:textId="77777777" w:rsidR="007E7504" w:rsidRPr="00B8122D" w:rsidRDefault="007E7504" w:rsidP="00AD0977">
            <w:r w:rsidRPr="00B8122D">
              <w:t>Trial Completion: 10/2017</w:t>
            </w:r>
          </w:p>
          <w:p w14:paraId="5A6948EE" w14:textId="77777777" w:rsidR="007E7504" w:rsidRPr="00B8122D" w:rsidRDefault="007E7504" w:rsidP="00AD0977">
            <w:r w:rsidRPr="00B8122D">
              <w:t>Final Report Submission: 04/2018</w:t>
            </w:r>
          </w:p>
        </w:tc>
      </w:tr>
    </w:tbl>
    <w:p w14:paraId="53B28ED4" w14:textId="09C7334E" w:rsidR="007E7504" w:rsidRPr="00B8122D" w:rsidRDefault="00077B6B" w:rsidP="0076266C">
      <w:pPr>
        <w:pStyle w:val="TableTitle"/>
      </w:pPr>
      <w:r>
        <w:t xml:space="preserve">Table </w:t>
      </w:r>
      <w:r w:rsidR="001A79AE">
        <w:t>10</w:t>
      </w:r>
      <w:r>
        <w:t>:</w:t>
      </w:r>
      <w:r w:rsidR="006B7990">
        <w:t xml:space="preserve"> Post-marketing </w:t>
      </w:r>
      <w:r w:rsidR="0076266C">
        <w:t>commitments</w:t>
      </w:r>
      <w:r w:rsidR="003133F2" w:rsidRPr="00B8122D">
        <w:t xml:space="preserve"> (US FDA)</w:t>
      </w:r>
    </w:p>
    <w:tbl>
      <w:tblPr>
        <w:tblStyle w:val="TableTGAblue"/>
        <w:tblW w:w="8332" w:type="dxa"/>
        <w:tblLook w:val="04A0" w:firstRow="1" w:lastRow="0" w:firstColumn="1" w:lastColumn="0" w:noHBand="0" w:noVBand="1"/>
      </w:tblPr>
      <w:tblGrid>
        <w:gridCol w:w="1381"/>
        <w:gridCol w:w="4614"/>
        <w:gridCol w:w="2337"/>
      </w:tblGrid>
      <w:tr w:rsidR="003133F2" w:rsidRPr="00B8122D" w14:paraId="27B7E0BF" w14:textId="77777777" w:rsidTr="009F554D">
        <w:trPr>
          <w:cnfStyle w:val="100000000000" w:firstRow="1" w:lastRow="0" w:firstColumn="0" w:lastColumn="0" w:oddVBand="0" w:evenVBand="0" w:oddHBand="0" w:evenHBand="0" w:firstRowFirstColumn="0" w:firstRowLastColumn="0" w:lastRowFirstColumn="0" w:lastRowLastColumn="0"/>
          <w:trHeight w:val="494"/>
        </w:trPr>
        <w:tc>
          <w:tcPr>
            <w:tcW w:w="1251" w:type="dxa"/>
          </w:tcPr>
          <w:p w14:paraId="041E36A8" w14:textId="77777777" w:rsidR="007E7504" w:rsidRPr="00B8122D" w:rsidRDefault="007E7504" w:rsidP="007E7504">
            <w:r w:rsidRPr="00B8122D">
              <w:t>Number</w:t>
            </w:r>
          </w:p>
        </w:tc>
        <w:tc>
          <w:tcPr>
            <w:tcW w:w="4717" w:type="dxa"/>
          </w:tcPr>
          <w:p w14:paraId="16238421" w14:textId="77777777" w:rsidR="007E7504" w:rsidRPr="00B8122D" w:rsidRDefault="007E7504" w:rsidP="007E7504">
            <w:r w:rsidRPr="00B8122D">
              <w:t>Detail</w:t>
            </w:r>
          </w:p>
        </w:tc>
        <w:tc>
          <w:tcPr>
            <w:tcW w:w="2364" w:type="dxa"/>
          </w:tcPr>
          <w:p w14:paraId="6B90A932" w14:textId="77777777" w:rsidR="007E7504" w:rsidRPr="00B8122D" w:rsidRDefault="007E7504" w:rsidP="007E7504">
            <w:r w:rsidRPr="00B8122D">
              <w:t>Timeline</w:t>
            </w:r>
          </w:p>
        </w:tc>
      </w:tr>
      <w:tr w:rsidR="003133F2" w:rsidRPr="00B8122D" w14:paraId="2F7B554E" w14:textId="77777777" w:rsidTr="009F554D">
        <w:trPr>
          <w:trHeight w:val="2161"/>
        </w:trPr>
        <w:tc>
          <w:tcPr>
            <w:tcW w:w="1251" w:type="dxa"/>
          </w:tcPr>
          <w:p w14:paraId="5435C359" w14:textId="77777777" w:rsidR="007E7504" w:rsidRPr="00B8122D" w:rsidRDefault="007E7504" w:rsidP="007E7504">
            <w:r w:rsidRPr="00B8122D">
              <w:t>3168-3</w:t>
            </w:r>
          </w:p>
        </w:tc>
        <w:tc>
          <w:tcPr>
            <w:tcW w:w="4717" w:type="dxa"/>
          </w:tcPr>
          <w:p w14:paraId="2D93FD82" w14:textId="39C45868" w:rsidR="007E7504" w:rsidRPr="00B8122D" w:rsidRDefault="007E7504" w:rsidP="00AD0977">
            <w:r w:rsidRPr="00B8122D">
              <w:t xml:space="preserve">Submit the third overall survival (OS) interim data and analysis, and the final overall survival (OS) data and analysis from </w:t>
            </w:r>
            <w:r w:rsidR="00AD0977">
              <w:t xml:space="preserve">a </w:t>
            </w:r>
            <w:r w:rsidRPr="00B8122D">
              <w:t xml:space="preserve">clinical trial entitled </w:t>
            </w:r>
            <w:r w:rsidR="00097540" w:rsidRPr="00B8122D">
              <w:t>‘</w:t>
            </w:r>
            <w:r w:rsidRPr="00B8122D">
              <w:t>MONALEESA-2</w:t>
            </w:r>
            <w:r w:rsidR="00097540" w:rsidRPr="00B8122D">
              <w:t>’</w:t>
            </w:r>
            <w:r w:rsidRPr="00B8122D">
              <w:t xml:space="preserve"> CLEE011A2301.</w:t>
            </w:r>
          </w:p>
        </w:tc>
        <w:tc>
          <w:tcPr>
            <w:tcW w:w="2364" w:type="dxa"/>
          </w:tcPr>
          <w:p w14:paraId="21712557" w14:textId="77777777" w:rsidR="007E7504" w:rsidRPr="00B8122D" w:rsidRDefault="007E7504" w:rsidP="00AD0977">
            <w:r w:rsidRPr="00B8122D">
              <w:t>Interim Report Submission (Third OS Interim Data and Analysis): 12/2019</w:t>
            </w:r>
          </w:p>
          <w:p w14:paraId="0CB24E87" w14:textId="77777777" w:rsidR="007E7504" w:rsidRPr="00B8122D" w:rsidRDefault="007E7504" w:rsidP="00AD0977">
            <w:r w:rsidRPr="00B8122D">
              <w:t>Final Report Submission (OS Data and Analysis): 06/2022</w:t>
            </w:r>
          </w:p>
        </w:tc>
      </w:tr>
      <w:tr w:rsidR="003133F2" w:rsidRPr="00B8122D" w14:paraId="146534F0" w14:textId="77777777" w:rsidTr="009F554D">
        <w:trPr>
          <w:trHeight w:val="2046"/>
        </w:trPr>
        <w:tc>
          <w:tcPr>
            <w:tcW w:w="1251" w:type="dxa"/>
          </w:tcPr>
          <w:p w14:paraId="29845705" w14:textId="77777777" w:rsidR="007E7504" w:rsidRPr="00B8122D" w:rsidRDefault="007E7504" w:rsidP="007E7504">
            <w:r w:rsidRPr="00B8122D">
              <w:t>3168-4</w:t>
            </w:r>
          </w:p>
        </w:tc>
        <w:tc>
          <w:tcPr>
            <w:tcW w:w="4717" w:type="dxa"/>
          </w:tcPr>
          <w:p w14:paraId="550B31CF" w14:textId="609C8E99" w:rsidR="007E7504" w:rsidRPr="00B8122D" w:rsidRDefault="007E7504" w:rsidP="001B0F4F">
            <w:r w:rsidRPr="00B8122D">
              <w:t xml:space="preserve">Conduct additional in vitro studies to evaluate </w:t>
            </w:r>
            <w:r w:rsidR="001B0F4F" w:rsidRPr="00B8122D">
              <w:t>discriminating ability of dissolution acceptance criterion</w:t>
            </w:r>
            <w:r w:rsidR="001B0F4F" w:rsidRPr="00B8122D" w:rsidDel="00F469D2">
              <w:t xml:space="preserve"> </w:t>
            </w:r>
            <w:r w:rsidR="00F469D2">
              <w:t>-</w:t>
            </w:r>
            <w:r w:rsidR="001B0F4F" w:rsidRPr="00B8122D">
              <w:t xml:space="preserve"> using approved dissolution method with a validated HPLC analytical method for</w:t>
            </w:r>
            <w:r w:rsidRPr="00B8122D">
              <w:t xml:space="preserve"> drug quantification in combination with collecting </w:t>
            </w:r>
            <w:r w:rsidRPr="00AD0977">
              <w:t xml:space="preserve">in vivo </w:t>
            </w:r>
            <w:r w:rsidR="00AD0977">
              <w:t>pharmacokinetic data using</w:t>
            </w:r>
            <w:r w:rsidR="001B0F4F">
              <w:t xml:space="preserve"> film </w:t>
            </w:r>
            <w:r w:rsidR="001B0F4F" w:rsidRPr="00B8122D">
              <w:t>coated tablet batches</w:t>
            </w:r>
            <w:r w:rsidR="00AD0977">
              <w:t xml:space="preserve"> </w:t>
            </w:r>
            <w:r w:rsidRPr="00B8122D">
              <w:t>.</w:t>
            </w:r>
          </w:p>
        </w:tc>
        <w:tc>
          <w:tcPr>
            <w:tcW w:w="2364" w:type="dxa"/>
          </w:tcPr>
          <w:p w14:paraId="2982A79F" w14:textId="77777777" w:rsidR="007E7504" w:rsidRPr="00B8122D" w:rsidRDefault="007E7504" w:rsidP="00AD0977">
            <w:r w:rsidRPr="00B8122D">
              <w:t>Final Report Submission: 09/2018</w:t>
            </w:r>
          </w:p>
        </w:tc>
      </w:tr>
    </w:tbl>
    <w:p w14:paraId="3DC9EBD5" w14:textId="3EF1F75F" w:rsidR="007E7504" w:rsidRPr="00B8122D" w:rsidRDefault="007E7504" w:rsidP="007E7504">
      <w:r w:rsidRPr="00B8122D">
        <w:t>A co-pack (Kisqali and Femara) is also available in the US.</w:t>
      </w:r>
    </w:p>
    <w:p w14:paraId="60C7AC1C" w14:textId="6EFA7C00" w:rsidR="007E7504" w:rsidRPr="00B8122D" w:rsidRDefault="007E7504" w:rsidP="007E7504">
      <w:r w:rsidRPr="00B8122D">
        <w:lastRenderedPageBreak/>
        <w:t>Review documents for the FDA evaluation are</w:t>
      </w:r>
      <w:r w:rsidR="00714BC0" w:rsidRPr="00B8122D">
        <w:t xml:space="preserve"> publically available online.</w:t>
      </w:r>
      <w:r w:rsidR="00714BC0" w:rsidRPr="00B8122D">
        <w:rPr>
          <w:rStyle w:val="FootnoteReference"/>
        </w:rPr>
        <w:footnoteReference w:id="51"/>
      </w:r>
    </w:p>
    <w:p w14:paraId="744ADBA1" w14:textId="47AB8EA2" w:rsidR="00714BC0" w:rsidRPr="00B8122D" w:rsidRDefault="00175C8F" w:rsidP="00B637D0">
      <w:pPr>
        <w:pStyle w:val="Heading5"/>
      </w:pPr>
      <w:r>
        <w:t>European Medicines Agency (European Union)</w:t>
      </w:r>
    </w:p>
    <w:p w14:paraId="672285C3" w14:textId="403520CD" w:rsidR="007E7504" w:rsidRPr="00B8122D" w:rsidRDefault="00B637D0" w:rsidP="007E7504">
      <w:pPr>
        <w:rPr>
          <w:b/>
          <w:bCs/>
        </w:rPr>
      </w:pPr>
      <w:r w:rsidRPr="00B8122D">
        <w:t xml:space="preserve">For the purposes of the Delegate’s Overview, the status was last checked on </w:t>
      </w:r>
      <w:r w:rsidRPr="00B8122D">
        <w:rPr>
          <w:bCs/>
        </w:rPr>
        <w:t>27 June 2017.</w:t>
      </w:r>
    </w:p>
    <w:p w14:paraId="327270A5" w14:textId="30979A0A" w:rsidR="007E7504" w:rsidRPr="00B8122D" w:rsidRDefault="007E7504" w:rsidP="007E7504">
      <w:r w:rsidRPr="00B8122D">
        <w:t>The CHMP adopted a positive opinion on 22</w:t>
      </w:r>
      <w:r w:rsidR="00B637D0" w:rsidRPr="00B8122D">
        <w:rPr>
          <w:vertAlign w:val="superscript"/>
        </w:rPr>
        <w:t xml:space="preserve"> </w:t>
      </w:r>
      <w:r w:rsidRPr="00B8122D">
        <w:t>June 2017.</w:t>
      </w:r>
      <w:r w:rsidR="0010489F" w:rsidRPr="00B8122D">
        <w:t xml:space="preserve"> </w:t>
      </w:r>
      <w:r w:rsidRPr="00B8122D">
        <w:t>The full indication is:</w:t>
      </w:r>
    </w:p>
    <w:p w14:paraId="6B582582" w14:textId="59AB98CE" w:rsidR="007E7504" w:rsidRPr="00B8122D" w:rsidRDefault="007E7504" w:rsidP="00B637D0">
      <w:pPr>
        <w:ind w:left="720"/>
        <w:rPr>
          <w:i/>
        </w:rPr>
      </w:pPr>
      <w:r w:rsidRPr="00B8122D">
        <w:rPr>
          <w:i/>
        </w:rPr>
        <w:t>Kisqali in combination with an aromatase inhibitor is indicated for the treatment of postmenopausal women with hormone receptor (HR) positive, human epidermal growth factor receptor 2 (HER2) negative locally advanced or metastatic breast cancer as initial endocrine based therapy</w:t>
      </w:r>
      <w:r w:rsidR="00B637D0" w:rsidRPr="00B8122D">
        <w:rPr>
          <w:i/>
        </w:rPr>
        <w:t>.</w:t>
      </w:r>
    </w:p>
    <w:p w14:paraId="2FA3D594" w14:textId="77777777" w:rsidR="007E7504" w:rsidRPr="00B8122D" w:rsidRDefault="007E7504" w:rsidP="007E7504">
      <w:r w:rsidRPr="00B8122D">
        <w:t>Formal EMA approval normally follows without change to the indication.</w:t>
      </w:r>
    </w:p>
    <w:p w14:paraId="3B45513A" w14:textId="4FE26D74" w:rsidR="007E7504" w:rsidRPr="00B8122D" w:rsidRDefault="007E7504" w:rsidP="007E7504">
      <w:r w:rsidRPr="00B8122D">
        <w:t>The sponsor has shared with the TGA various EMA evaluation documents for ribociclib.</w:t>
      </w:r>
    </w:p>
    <w:p w14:paraId="6D49FC54" w14:textId="2152D578" w:rsidR="007E7504" w:rsidRPr="00B8122D" w:rsidRDefault="00A75F66" w:rsidP="00A75F66">
      <w:pPr>
        <w:pStyle w:val="Heading3"/>
      </w:pPr>
      <w:bookmarkStart w:id="138" w:name="_Toc44685919"/>
      <w:r w:rsidRPr="00B8122D">
        <w:t>Quality</w:t>
      </w:r>
      <w:bookmarkEnd w:id="138"/>
    </w:p>
    <w:p w14:paraId="5B6E7F95" w14:textId="3B1D1E9C" w:rsidR="007E7504" w:rsidRPr="00B8122D" w:rsidRDefault="00A75F66" w:rsidP="00B637D0">
      <w:r w:rsidRPr="00B8122D">
        <w:t>A summary of quality</w:t>
      </w:r>
      <w:r w:rsidR="007E7504" w:rsidRPr="00B8122D">
        <w:t xml:space="preserve"> issues </w:t>
      </w:r>
      <w:r w:rsidR="006B7990">
        <w:t>noted t</w:t>
      </w:r>
      <w:r w:rsidR="007E7504" w:rsidRPr="00B8122D">
        <w:t xml:space="preserve">here are some outstanding minor matters regarding the </w:t>
      </w:r>
      <w:r w:rsidRPr="00B8122D">
        <w:t>PI</w:t>
      </w:r>
      <w:r w:rsidR="007E7504" w:rsidRPr="00B8122D">
        <w:t xml:space="preserve"> and labels but these are e</w:t>
      </w:r>
      <w:r w:rsidRPr="00B8122D">
        <w:t xml:space="preserve">xpected to be easily resolved. </w:t>
      </w:r>
      <w:r w:rsidR="007E7504" w:rsidRPr="00B8122D">
        <w:t>Registration is recommended with respect to chemistry, quality control and biopharmaceutic aspects.</w:t>
      </w:r>
    </w:p>
    <w:p w14:paraId="39214F65" w14:textId="14249EFB" w:rsidR="007E7504" w:rsidRPr="00B8122D" w:rsidRDefault="007E7504" w:rsidP="00A75F66">
      <w:pPr>
        <w:pStyle w:val="Heading3"/>
      </w:pPr>
      <w:bookmarkStart w:id="139" w:name="_Toc44685920"/>
      <w:r w:rsidRPr="00B8122D">
        <w:t>N</w:t>
      </w:r>
      <w:r w:rsidR="00A75F66" w:rsidRPr="00B8122D">
        <w:t>onclinical</w:t>
      </w:r>
      <w:bookmarkEnd w:id="139"/>
    </w:p>
    <w:p w14:paraId="4DEFAE7B" w14:textId="265CC6FF" w:rsidR="007E7504" w:rsidRPr="00B8122D" w:rsidRDefault="007E7504" w:rsidP="00B637D0">
      <w:r w:rsidRPr="00B8122D">
        <w:t>The nonclinical evaluator ha</w:t>
      </w:r>
      <w:r w:rsidR="00A75F66" w:rsidRPr="00B8122D">
        <w:t>d no objection to registration.</w:t>
      </w:r>
    </w:p>
    <w:p w14:paraId="7F0587E3" w14:textId="176B2293" w:rsidR="007E7504" w:rsidRPr="00B8122D" w:rsidRDefault="007E7504" w:rsidP="00B637D0">
      <w:r w:rsidRPr="00B8122D">
        <w:t>P</w:t>
      </w:r>
      <w:r w:rsidR="00B637D0" w:rsidRPr="00B8122D">
        <w:t>DE</w:t>
      </w:r>
      <w:r w:rsidRPr="00B8122D">
        <w:t>4D inhibition was identified as a potential off-target effect that might contribute to nausea and vomiting (presumably a targeted effect on CDK4/6 would also contribute to GI effects via local mechanisms, but PDE4 in</w:t>
      </w:r>
      <w:r w:rsidR="00AD0977">
        <w:t xml:space="preserve">hibitors have dose </w:t>
      </w:r>
      <w:r w:rsidR="00A75F66" w:rsidRPr="00B8122D">
        <w:t xml:space="preserve">limiting CNS </w:t>
      </w:r>
      <w:r w:rsidRPr="00B8122D">
        <w:t xml:space="preserve">mediated nausea and vomiting </w:t>
      </w:r>
      <w:r w:rsidR="00097540" w:rsidRPr="00B8122D">
        <w:t>‘</w:t>
      </w:r>
      <w:r w:rsidRPr="00B8122D">
        <w:t>due to PDE4 inhibition within the chemoreceptor trigger zone of the area postrema</w:t>
      </w:r>
      <w:r w:rsidR="00097540" w:rsidRPr="00B8122D">
        <w:t>’</w:t>
      </w:r>
      <w:r w:rsidRPr="00B8122D">
        <w:t xml:space="preserve">; this part of the brain lacks a </w:t>
      </w:r>
      <w:r w:rsidR="00AD0977">
        <w:t>BBB</w:t>
      </w:r>
      <w:r w:rsidRPr="00B8122D">
        <w:t>)</w:t>
      </w:r>
      <w:r w:rsidR="00A75F66" w:rsidRPr="00B8122D">
        <w:t>.</w:t>
      </w:r>
    </w:p>
    <w:p w14:paraId="7BE9867D" w14:textId="3000542C" w:rsidR="007E7504" w:rsidRPr="00B8122D" w:rsidRDefault="007E7504" w:rsidP="00B637D0">
      <w:r w:rsidRPr="00B8122D">
        <w:t>Pregnancy Category D wa</w:t>
      </w:r>
      <w:r w:rsidR="00A75F66" w:rsidRPr="00B8122D">
        <w:t xml:space="preserve">s recommended by the evaluator </w:t>
      </w:r>
      <w:r w:rsidRPr="00B8122D">
        <w:t>and this was accepted by the sponsor.</w:t>
      </w:r>
      <w:r w:rsidR="00CF5AEF" w:rsidRPr="00B8122D">
        <w:rPr>
          <w:vertAlign w:val="superscript"/>
        </w:rPr>
        <w:fldChar w:fldCharType="begin"/>
      </w:r>
      <w:r w:rsidR="00CF5AEF" w:rsidRPr="00B8122D">
        <w:rPr>
          <w:vertAlign w:val="superscript"/>
        </w:rPr>
        <w:instrText xml:space="preserve"> NOTEREF _Ref505008831 \h  \* MERGEFORMAT </w:instrText>
      </w:r>
      <w:r w:rsidR="00CF5AEF" w:rsidRPr="00B8122D">
        <w:rPr>
          <w:vertAlign w:val="superscript"/>
        </w:rPr>
      </w:r>
      <w:r w:rsidR="00CF5AEF" w:rsidRPr="00B8122D">
        <w:rPr>
          <w:vertAlign w:val="superscript"/>
        </w:rPr>
        <w:fldChar w:fldCharType="separate"/>
      </w:r>
      <w:r w:rsidR="006B7990">
        <w:rPr>
          <w:vertAlign w:val="superscript"/>
        </w:rPr>
        <w:t>35</w:t>
      </w:r>
      <w:r w:rsidR="00CF5AEF" w:rsidRPr="00B8122D">
        <w:rPr>
          <w:vertAlign w:val="superscript"/>
        </w:rPr>
        <w:fldChar w:fldCharType="end"/>
      </w:r>
    </w:p>
    <w:p w14:paraId="48D96D6F" w14:textId="79586E47" w:rsidR="007E7504" w:rsidRPr="00B8122D" w:rsidRDefault="00A75F66" w:rsidP="00E740B0">
      <w:pPr>
        <w:pStyle w:val="Heading3"/>
      </w:pPr>
      <w:bookmarkStart w:id="140" w:name="_Toc44685921"/>
      <w:r w:rsidRPr="00B8122D">
        <w:t>Clinical</w:t>
      </w:r>
      <w:bookmarkEnd w:id="140"/>
    </w:p>
    <w:p w14:paraId="58481743" w14:textId="1851A9EF" w:rsidR="007E7504" w:rsidRPr="00B8122D" w:rsidRDefault="00E740B0" w:rsidP="00E740B0">
      <w:pPr>
        <w:pStyle w:val="Heading4"/>
      </w:pPr>
      <w:r w:rsidRPr="00B8122D">
        <w:t>Clinical e</w:t>
      </w:r>
      <w:r w:rsidR="007E7504" w:rsidRPr="00B8122D">
        <w:t>valuator’s view</w:t>
      </w:r>
    </w:p>
    <w:p w14:paraId="0A16C1CB" w14:textId="582A2812" w:rsidR="007E7504" w:rsidRPr="00B8122D" w:rsidRDefault="007E7504" w:rsidP="00CF5AEF">
      <w:r w:rsidRPr="00B8122D">
        <w:t xml:space="preserve">In </w:t>
      </w:r>
      <w:r w:rsidR="00E740B0" w:rsidRPr="00B8122D">
        <w:t>the clinical evaluation report,</w:t>
      </w:r>
      <w:r w:rsidRPr="00B8122D">
        <w:t xml:space="preserve"> the </w:t>
      </w:r>
      <w:r w:rsidR="00E740B0" w:rsidRPr="00B8122D">
        <w:t>clinical evaluator outlines benefit/</w:t>
      </w:r>
      <w:r w:rsidRPr="00B8122D">
        <w:t>risk balance for ribociclib in the proposed indication, concluding:</w:t>
      </w:r>
      <w:r w:rsidR="00CF5AEF" w:rsidRPr="00B8122D">
        <w:t xml:space="preserve"> </w:t>
      </w:r>
      <w:r w:rsidR="00CF5AEF" w:rsidRPr="00B8122D">
        <w:rPr>
          <w:i/>
        </w:rPr>
        <w:t>‘</w:t>
      </w:r>
      <w:r w:rsidRPr="00B8122D">
        <w:rPr>
          <w:i/>
        </w:rPr>
        <w:t xml:space="preserve">On the basis of the updated efficacy results and according to the safety reported in the pivotal study, the </w:t>
      </w:r>
      <w:r w:rsidR="00E740B0" w:rsidRPr="00B8122D">
        <w:rPr>
          <w:i/>
        </w:rPr>
        <w:t>evaluator considers the benefit/</w:t>
      </w:r>
      <w:r w:rsidRPr="00B8122D">
        <w:rPr>
          <w:i/>
        </w:rPr>
        <w:t>risk assessment to be in favour of ribociclib for the proposed patient population</w:t>
      </w:r>
      <w:r w:rsidR="00CF5AEF" w:rsidRPr="00B8122D">
        <w:rPr>
          <w:i/>
        </w:rPr>
        <w:t>’</w:t>
      </w:r>
      <w:r w:rsidRPr="00B8122D">
        <w:rPr>
          <w:i/>
        </w:rPr>
        <w:t>.</w:t>
      </w:r>
    </w:p>
    <w:p w14:paraId="26153B1A" w14:textId="79EC269C" w:rsidR="007E7504" w:rsidRPr="00B8122D" w:rsidRDefault="007E7504" w:rsidP="00CF5AEF">
      <w:r w:rsidRPr="00B8122D">
        <w:t>The evaluator emphasises that monitoring and dose modification advice in the PI should be strengthene</w:t>
      </w:r>
      <w:r w:rsidR="00E740B0" w:rsidRPr="00B8122D">
        <w:t>d to help maintain this benefit/</w:t>
      </w:r>
      <w:r w:rsidR="00CF5AEF" w:rsidRPr="00B8122D">
        <w:t xml:space="preserve">risk balance with real </w:t>
      </w:r>
      <w:r w:rsidRPr="00B8122D">
        <w:t>world use.</w:t>
      </w:r>
      <w:r w:rsidR="0010489F" w:rsidRPr="00B8122D">
        <w:t xml:space="preserve"> </w:t>
      </w:r>
      <w:r w:rsidRPr="00B8122D">
        <w:t>The evaluator also recommends the following indication:</w:t>
      </w:r>
    </w:p>
    <w:p w14:paraId="17890A52" w14:textId="57564303" w:rsidR="007E7504" w:rsidRPr="00B8122D" w:rsidRDefault="00DB0E0D" w:rsidP="00E740B0">
      <w:pPr>
        <w:ind w:left="360"/>
        <w:rPr>
          <w:i/>
        </w:rPr>
      </w:pPr>
      <w:r w:rsidRPr="00B8122D">
        <w:rPr>
          <w:i/>
        </w:rPr>
        <w:t>Kis</w:t>
      </w:r>
      <w:r>
        <w:rPr>
          <w:i/>
        </w:rPr>
        <w:t>q</w:t>
      </w:r>
      <w:r w:rsidRPr="00B8122D">
        <w:rPr>
          <w:i/>
        </w:rPr>
        <w:t xml:space="preserve">ali </w:t>
      </w:r>
      <w:r w:rsidR="007E7504" w:rsidRPr="00B8122D">
        <w:rPr>
          <w:i/>
        </w:rPr>
        <w:t>in combination with a non-steroidal aromatase inhibitor is indicated for the treatment of postmenopausal women with hormone receptor positive (HR+), human epidermal growth factor receptor 2 negative (HER2-) advanced or metastatic breast cancer, as an initial endocrine-based therapy</w:t>
      </w:r>
      <w:r w:rsidR="00E740B0" w:rsidRPr="00B8122D">
        <w:rPr>
          <w:i/>
        </w:rPr>
        <w:t>.</w:t>
      </w:r>
    </w:p>
    <w:p w14:paraId="49263DAC" w14:textId="6E767571" w:rsidR="007E7504" w:rsidRPr="00B8122D" w:rsidRDefault="007E7504" w:rsidP="00E740B0">
      <w:pPr>
        <w:ind w:left="360"/>
        <w:rPr>
          <w:i/>
        </w:rPr>
      </w:pPr>
      <w:r w:rsidRPr="00B8122D">
        <w:rPr>
          <w:i/>
        </w:rPr>
        <w:lastRenderedPageBreak/>
        <w:t>Note to indication: this approval is based on an improvement in PFS. An improvement in overall survival has not been demonstrated.</w:t>
      </w:r>
    </w:p>
    <w:p w14:paraId="5B18C9C6" w14:textId="3ADFBCE6" w:rsidR="007E7504" w:rsidRPr="00B8122D" w:rsidRDefault="00E740B0" w:rsidP="00E740B0">
      <w:pPr>
        <w:pStyle w:val="Heading4"/>
      </w:pPr>
      <w:r w:rsidRPr="00B8122D">
        <w:t xml:space="preserve">Overview of </w:t>
      </w:r>
      <w:r w:rsidR="00726D8A" w:rsidRPr="00B8122D">
        <w:t xml:space="preserve">submitted </w:t>
      </w:r>
      <w:r w:rsidRPr="00B8122D">
        <w:t>data</w:t>
      </w:r>
    </w:p>
    <w:p w14:paraId="6101860C" w14:textId="78E1373A" w:rsidR="007E7504" w:rsidRPr="00B8122D" w:rsidRDefault="00E740B0" w:rsidP="007E7504">
      <w:r w:rsidRPr="00B8122D">
        <w:t>T</w:t>
      </w:r>
      <w:r w:rsidR="007E7504" w:rsidRPr="00B8122D">
        <w:t>he</w:t>
      </w:r>
      <w:r w:rsidRPr="00B8122D">
        <w:t xml:space="preserve"> clinical</w:t>
      </w:r>
      <w:r w:rsidR="007E7504" w:rsidRPr="00B8122D">
        <w:t xml:space="preserve"> evaluator describes the scope of clinical data in the </w:t>
      </w:r>
      <w:r w:rsidRPr="00B8122D">
        <w:t xml:space="preserve">submission. </w:t>
      </w:r>
      <w:r w:rsidR="007E7504" w:rsidRPr="00B8122D">
        <w:t xml:space="preserve">Key studies included in the initial </w:t>
      </w:r>
      <w:r w:rsidRPr="00B8122D">
        <w:t>submitted data were:</w:t>
      </w:r>
    </w:p>
    <w:p w14:paraId="12806164" w14:textId="6E6F56E9" w:rsidR="007E7504" w:rsidRPr="00B8122D" w:rsidRDefault="007E7504" w:rsidP="00E740B0">
      <w:pPr>
        <w:pStyle w:val="ListBullet"/>
      </w:pPr>
      <w:r w:rsidRPr="00B8122D">
        <w:t>Study A2301</w:t>
      </w:r>
      <w:r w:rsidR="00175C8F">
        <w:t xml:space="preserve"> (also known as the</w:t>
      </w:r>
      <w:r w:rsidRPr="00B8122D">
        <w:t>MONALEESA-2</w:t>
      </w:r>
      <w:r w:rsidR="00175C8F">
        <w:t xml:space="preserve"> trial,</w:t>
      </w:r>
      <w:r w:rsidRPr="00B8122D">
        <w:t xml:space="preserve"> the pivotal study)</w:t>
      </w:r>
    </w:p>
    <w:p w14:paraId="6224E370" w14:textId="2C66EDB0" w:rsidR="007E7504" w:rsidRPr="00B8122D" w:rsidRDefault="007E7504" w:rsidP="00E740B0">
      <w:pPr>
        <w:pStyle w:val="ListBullet"/>
      </w:pPr>
      <w:r w:rsidRPr="00B8122D">
        <w:t>Study X2107</w:t>
      </w:r>
      <w:r w:rsidR="00E740B0" w:rsidRPr="00B8122D">
        <w:t xml:space="preserve"> (a Phase I/II</w:t>
      </w:r>
      <w:r w:rsidRPr="00B8122D">
        <w:t xml:space="preserve"> supportive study)</w:t>
      </w:r>
    </w:p>
    <w:p w14:paraId="3C361CAD" w14:textId="01CB38BA" w:rsidR="007E7504" w:rsidRPr="00B8122D" w:rsidRDefault="007E7504" w:rsidP="00E740B0">
      <w:r w:rsidRPr="00B8122D">
        <w:t xml:space="preserve">Important studies introduced </w:t>
      </w:r>
      <w:r w:rsidR="00E740B0" w:rsidRPr="00B8122D">
        <w:t>following the first round evaluation</w:t>
      </w:r>
      <w:r w:rsidRPr="00B8122D">
        <w:t xml:space="preserve"> </w:t>
      </w:r>
      <w:r w:rsidR="00E740B0" w:rsidRPr="00B8122D">
        <w:t xml:space="preserve">and </w:t>
      </w:r>
      <w:r w:rsidRPr="00B8122D">
        <w:t xml:space="preserve">evaluated in </w:t>
      </w:r>
      <w:r w:rsidR="00E740B0" w:rsidRPr="00B8122D">
        <w:t>the second round evaluation</w:t>
      </w:r>
      <w:r w:rsidRPr="00B8122D">
        <w:t xml:space="preserve"> included:</w:t>
      </w:r>
    </w:p>
    <w:p w14:paraId="02F6DC4A" w14:textId="02B2A2A5" w:rsidR="007E7504" w:rsidRPr="00B8122D" w:rsidRDefault="007E7504" w:rsidP="00E740B0">
      <w:pPr>
        <w:pStyle w:val="ListBullet"/>
      </w:pPr>
      <w:r w:rsidRPr="00B8122D">
        <w:t>Study E23</w:t>
      </w:r>
      <w:r w:rsidR="00CB50C9">
        <w:t xml:space="preserve">01 (ribociclib + anastrozole pharmacokinetics </w:t>
      </w:r>
      <w:r w:rsidRPr="00B8122D">
        <w:t xml:space="preserve">from </w:t>
      </w:r>
      <w:r w:rsidR="00175C8F">
        <w:t xml:space="preserve">the </w:t>
      </w:r>
      <w:r w:rsidRPr="00B8122D">
        <w:t>MONALEESA-7</w:t>
      </w:r>
      <w:r w:rsidR="00175C8F">
        <w:t xml:space="preserve"> trial</w:t>
      </w:r>
      <w:r w:rsidRPr="00B8122D">
        <w:t>; see below)</w:t>
      </w:r>
    </w:p>
    <w:p w14:paraId="2FF75BC2" w14:textId="7C86D04C" w:rsidR="007E7504" w:rsidRPr="00B8122D" w:rsidRDefault="007E7504" w:rsidP="007E7504">
      <w:pPr>
        <w:pStyle w:val="ListBullet"/>
      </w:pPr>
      <w:r w:rsidRPr="00B8122D">
        <w:t>Study X2106</w:t>
      </w:r>
      <w:r w:rsidR="00E740B0" w:rsidRPr="00B8122D">
        <w:t xml:space="preserve"> (ribociclib + exemestane</w:t>
      </w:r>
      <w:r w:rsidRPr="00B8122D">
        <w:t>)</w:t>
      </w:r>
      <w:r w:rsidR="00E740B0" w:rsidRPr="00B8122D">
        <w:t>.</w:t>
      </w:r>
    </w:p>
    <w:p w14:paraId="3F87E36A" w14:textId="77777777" w:rsidR="007E7504" w:rsidRPr="00B8122D" w:rsidRDefault="007E7504" w:rsidP="00E740B0">
      <w:pPr>
        <w:pStyle w:val="Heading5"/>
      </w:pPr>
      <w:r w:rsidRPr="00B8122D">
        <w:t>Other important studies</w:t>
      </w:r>
    </w:p>
    <w:p w14:paraId="5B2C2D5A" w14:textId="20E65762" w:rsidR="007E7504" w:rsidRPr="00B8122D" w:rsidRDefault="007E7504" w:rsidP="007E7504">
      <w:r w:rsidRPr="00B8122D">
        <w:t xml:space="preserve">The </w:t>
      </w:r>
      <w:r w:rsidR="00E740B0" w:rsidRPr="00B8122D">
        <w:t xml:space="preserve">clinical </w:t>
      </w:r>
      <w:r w:rsidR="00027554">
        <w:t>evaluator</w:t>
      </w:r>
      <w:r w:rsidRPr="00B8122D">
        <w:t xml:space="preserve"> </w:t>
      </w:r>
      <w:r w:rsidR="00027554">
        <w:t>reports on</w:t>
      </w:r>
      <w:r w:rsidRPr="00B8122D">
        <w:t xml:space="preserve"> some ongoing studies:</w:t>
      </w:r>
    </w:p>
    <w:p w14:paraId="48D4B95A" w14:textId="4CD756E7" w:rsidR="007E7504" w:rsidRPr="00B8122D" w:rsidRDefault="007E7504" w:rsidP="00E740B0">
      <w:pPr>
        <w:pStyle w:val="ListBullet"/>
      </w:pPr>
      <w:r w:rsidRPr="00B8122D">
        <w:t>The MONALEESA-3 trial (</w:t>
      </w:r>
      <w:r w:rsidR="00E740B0" w:rsidRPr="00B8122D">
        <w:t xml:space="preserve">Study </w:t>
      </w:r>
      <w:r w:rsidRPr="00B8122D">
        <w:t>F2301) is evaluating ribociclib in combination with fulvestrant compared to fulvestrant alone in men and post-menopausal women with HR+/HER2- advanced breast cancer who have received no or a maximum of one prior endocrine therapy.</w:t>
      </w:r>
    </w:p>
    <w:p w14:paraId="23D77B80" w14:textId="7603D3D0" w:rsidR="007E7504" w:rsidRPr="00635BF6" w:rsidRDefault="007E7504" w:rsidP="00726D8A">
      <w:pPr>
        <w:pStyle w:val="ListBullet"/>
      </w:pPr>
      <w:r w:rsidRPr="00B8122D">
        <w:t>The MONALEESA-7 trial (</w:t>
      </w:r>
      <w:r w:rsidR="00E740B0" w:rsidRPr="00B8122D">
        <w:t>Study E</w:t>
      </w:r>
      <w:r w:rsidRPr="00B8122D">
        <w:t xml:space="preserve">2301) is investigating ribociclib in combination with endocrine therapy (tamoxifen or letrozole or anastrozole) and goserelin compared to endocrine therapy and goserelin alone in </w:t>
      </w:r>
      <w:r w:rsidR="00726D8A" w:rsidRPr="00B8122D">
        <w:t>pre</w:t>
      </w:r>
      <w:r w:rsidRPr="00B8122D">
        <w:t>menopausal women with HR+/HER2- advanced breast cancer who have not previously received endocrine therapy</w:t>
      </w:r>
      <w:r w:rsidRPr="00635BF6">
        <w:t>.</w:t>
      </w:r>
      <w:r w:rsidR="00726D8A" w:rsidRPr="00635BF6">
        <w:t xml:space="preserve"> </w:t>
      </w:r>
      <w:r w:rsidRPr="00635BF6">
        <w:t>Primary ana</w:t>
      </w:r>
      <w:r w:rsidR="00726D8A" w:rsidRPr="00635BF6">
        <w:t xml:space="preserve">lysis of PFS is expected in December </w:t>
      </w:r>
      <w:r w:rsidRPr="00635BF6">
        <w:t xml:space="preserve">2017, with a TGA submission possible by </w:t>
      </w:r>
      <w:r w:rsidR="00175C8F">
        <w:t>the third quarter of</w:t>
      </w:r>
      <w:r w:rsidR="00175C8F" w:rsidRPr="00635BF6">
        <w:t xml:space="preserve"> </w:t>
      </w:r>
      <w:r w:rsidRPr="00635BF6">
        <w:t>2018.</w:t>
      </w:r>
    </w:p>
    <w:p w14:paraId="1CA9B41F" w14:textId="41D16558" w:rsidR="007E7504" w:rsidRPr="00B8122D" w:rsidRDefault="007E7504" w:rsidP="00726D8A">
      <w:pPr>
        <w:pStyle w:val="ListBullet"/>
      </w:pPr>
      <w:r w:rsidRPr="00B8122D">
        <w:t>The RIBECCA trial (</w:t>
      </w:r>
      <w:r w:rsidR="00CF5AEF" w:rsidRPr="00B8122D">
        <w:t xml:space="preserve">Study </w:t>
      </w:r>
      <w:r w:rsidRPr="00B8122D">
        <w:t>XDE01) is investigating ribociclib + letr</w:t>
      </w:r>
      <w:r w:rsidR="00CF5AEF" w:rsidRPr="00B8122D">
        <w:t>ozole in women and men with HR+/</w:t>
      </w:r>
      <w:r w:rsidRPr="00B8122D">
        <w:t>HER2- advanced breast cancer.</w:t>
      </w:r>
    </w:p>
    <w:p w14:paraId="14135793" w14:textId="7C55BFAF" w:rsidR="007E7504" w:rsidRPr="00B8122D" w:rsidRDefault="007E7504" w:rsidP="007E7504">
      <w:pPr>
        <w:pStyle w:val="ListBullet"/>
      </w:pPr>
      <w:r w:rsidRPr="00B8122D">
        <w:t>The CompLEEment-1 trial (</w:t>
      </w:r>
      <w:r w:rsidR="00726D8A" w:rsidRPr="00B8122D">
        <w:t xml:space="preserve">Study A2404) is a single </w:t>
      </w:r>
      <w:r w:rsidRPr="00B8122D">
        <w:t>arm study of ribociclib + letrozole in men and postmenopausal women with HR+ / HER2- advanced breast cancer who have not received prior hormonal treatment.</w:t>
      </w:r>
    </w:p>
    <w:p w14:paraId="4513592D" w14:textId="77777777" w:rsidR="007E7504" w:rsidRPr="00B8122D" w:rsidRDefault="007E7504" w:rsidP="00726D8A">
      <w:pPr>
        <w:pStyle w:val="Heading5"/>
      </w:pPr>
      <w:r w:rsidRPr="00B8122D">
        <w:t>Formulation</w:t>
      </w:r>
    </w:p>
    <w:p w14:paraId="44634AB9" w14:textId="0FE0F905" w:rsidR="007E7504" w:rsidRPr="00B8122D" w:rsidRDefault="00CF5AEF" w:rsidP="007E7504">
      <w:r w:rsidRPr="00B8122D">
        <w:t xml:space="preserve">A film </w:t>
      </w:r>
      <w:r w:rsidR="007E7504" w:rsidRPr="00B8122D">
        <w:t>coated tablet is proposed for commercialisation; a capsule was used in clinical studies.</w:t>
      </w:r>
      <w:r w:rsidR="0010489F" w:rsidRPr="00B8122D">
        <w:t xml:space="preserve"> </w:t>
      </w:r>
      <w:r w:rsidR="007E7504" w:rsidRPr="00B8122D">
        <w:t>The capsule v</w:t>
      </w:r>
      <w:r w:rsidRPr="00B8122D">
        <w:t>ersu</w:t>
      </w:r>
      <w:r w:rsidR="007E7504" w:rsidRPr="00B8122D">
        <w:t xml:space="preserve">s tablet bioequivalence </w:t>
      </w:r>
      <w:r w:rsidRPr="00B8122D">
        <w:t>S</w:t>
      </w:r>
      <w:r w:rsidR="007E7504" w:rsidRPr="00B8122D">
        <w:t xml:space="preserve">tudy A2103 did not use the tablet </w:t>
      </w:r>
      <w:r w:rsidRPr="00B8122D">
        <w:t>proposed for commercialisation</w:t>
      </w:r>
      <w:r w:rsidR="007E7504" w:rsidRPr="00B8122D">
        <w:t>, but differenc</w:t>
      </w:r>
      <w:r w:rsidRPr="00B8122D">
        <w:t xml:space="preserve">es appear to relate to the film </w:t>
      </w:r>
      <w:r w:rsidR="007E7504" w:rsidRPr="00B8122D">
        <w:t>coating</w:t>
      </w:r>
      <w:r w:rsidRPr="00B8122D">
        <w:t>.</w:t>
      </w:r>
    </w:p>
    <w:p w14:paraId="74D53230" w14:textId="345EA7D0" w:rsidR="007E7504" w:rsidRPr="00B8122D" w:rsidRDefault="007E7504" w:rsidP="00726D8A">
      <w:pPr>
        <w:pStyle w:val="Heading4"/>
      </w:pPr>
      <w:r w:rsidRPr="00B8122D">
        <w:t>Pharmacology</w:t>
      </w:r>
    </w:p>
    <w:p w14:paraId="5C38608E" w14:textId="74C8C834" w:rsidR="007E7504" w:rsidRPr="00B8122D" w:rsidRDefault="007E7504" w:rsidP="007E7504">
      <w:r w:rsidRPr="00B8122D">
        <w:t xml:space="preserve">The scope of </w:t>
      </w:r>
      <w:r w:rsidR="00027554">
        <w:t>the pharmacokinetic</w:t>
      </w:r>
      <w:r w:rsidRPr="00B8122D">
        <w:t xml:space="preserve"> studies is indicated in </w:t>
      </w:r>
      <w:r w:rsidR="00726D8A" w:rsidRPr="00B8122D">
        <w:t xml:space="preserve">the </w:t>
      </w:r>
      <w:r w:rsidR="00CF5AEF" w:rsidRPr="00B8122D">
        <w:t>clinical evaluation report</w:t>
      </w:r>
      <w:r w:rsidR="00726D8A" w:rsidRPr="00B8122D">
        <w:t xml:space="preserve"> [</w:t>
      </w:r>
      <w:r w:rsidR="00175C8F">
        <w:t>inclusion is beyond the scope of this AusPAR</w:t>
      </w:r>
      <w:r w:rsidR="00726D8A" w:rsidRPr="00B8122D">
        <w:t xml:space="preserve">], </w:t>
      </w:r>
      <w:r w:rsidRPr="00B8122D">
        <w:t xml:space="preserve">although it is noted on </w:t>
      </w:r>
      <w:r w:rsidR="00726D8A" w:rsidRPr="00B8122D">
        <w:t>that:</w:t>
      </w:r>
      <w:r w:rsidR="00CF5AEF" w:rsidRPr="00B8122D">
        <w:t xml:space="preserve"> </w:t>
      </w:r>
      <w:r w:rsidR="00726D8A" w:rsidRPr="00B8122D">
        <w:rPr>
          <w:i/>
        </w:rPr>
        <w:t>‘</w:t>
      </w:r>
      <w:r w:rsidRPr="00B8122D">
        <w:rPr>
          <w:i/>
        </w:rPr>
        <w:t xml:space="preserve">The pharmacokinetics of ribociclib are not completely described by the clinical studies presented. Additional information from in vitro studies, animal studies and from the sponsor’s Simcyp prediction module is used to supplement the information </w:t>
      </w:r>
      <w:r w:rsidR="00726D8A" w:rsidRPr="00B8122D">
        <w:rPr>
          <w:i/>
        </w:rPr>
        <w:t>available from clinical studies’.</w:t>
      </w:r>
    </w:p>
    <w:p w14:paraId="79DCFDE6" w14:textId="0D299BEF" w:rsidR="007E7504" w:rsidRPr="00B8122D" w:rsidRDefault="007E7504" w:rsidP="007E7504">
      <w:r w:rsidRPr="00B8122D">
        <w:t xml:space="preserve">Ribociclib accumulation was attributed to a </w:t>
      </w:r>
      <w:r w:rsidR="00097540" w:rsidRPr="00B8122D">
        <w:rPr>
          <w:i/>
        </w:rPr>
        <w:t>‘</w:t>
      </w:r>
      <w:r w:rsidRPr="00B8122D">
        <w:rPr>
          <w:i/>
        </w:rPr>
        <w:t>combined effect of drug accumulation and auto</w:t>
      </w:r>
      <w:r w:rsidR="00726D8A" w:rsidRPr="00B8122D">
        <w:rPr>
          <w:i/>
        </w:rPr>
        <w:t>-</w:t>
      </w:r>
      <w:r w:rsidRPr="00B8122D">
        <w:rPr>
          <w:i/>
        </w:rPr>
        <w:t>inhibition of CYP3A4</w:t>
      </w:r>
      <w:r w:rsidR="00097540" w:rsidRPr="00B8122D">
        <w:rPr>
          <w:i/>
        </w:rPr>
        <w:t>’</w:t>
      </w:r>
      <w:r w:rsidR="00726D8A" w:rsidRPr="00B8122D">
        <w:rPr>
          <w:i/>
        </w:rPr>
        <w:t xml:space="preserve">. </w:t>
      </w:r>
      <w:r w:rsidR="00726D8A" w:rsidRPr="00B8122D">
        <w:t>Steady state was reached by D</w:t>
      </w:r>
      <w:r w:rsidRPr="00B8122D">
        <w:t>ay 8.</w:t>
      </w:r>
      <w:r w:rsidR="0010489F" w:rsidRPr="00B8122D">
        <w:t xml:space="preserve"> </w:t>
      </w:r>
      <w:r w:rsidRPr="00B8122D">
        <w:t xml:space="preserve">Accumulation does not occur across cycles (21 </w:t>
      </w:r>
      <w:r w:rsidR="00726D8A" w:rsidRPr="00B8122D">
        <w:t xml:space="preserve">dosing days then a 7 day break). </w:t>
      </w:r>
      <w:r w:rsidRPr="00B8122D">
        <w:t>The attribution to auto</w:t>
      </w:r>
      <w:r w:rsidR="00726D8A" w:rsidRPr="00B8122D">
        <w:t>-</w:t>
      </w:r>
      <w:r w:rsidRPr="00B8122D">
        <w:t>inhibition was considered speculative by a TGA PopPK Working Group.</w:t>
      </w:r>
    </w:p>
    <w:p w14:paraId="20CDB3AC" w14:textId="323EAE96" w:rsidR="007E7504" w:rsidRPr="00B8122D" w:rsidRDefault="007E7504" w:rsidP="007E7504">
      <w:r w:rsidRPr="00B8122D">
        <w:lastRenderedPageBreak/>
        <w:t xml:space="preserve">In a human </w:t>
      </w:r>
      <w:r w:rsidR="00027554">
        <w:t xml:space="preserve">absorption, distribution, metabolism and excretion </w:t>
      </w:r>
      <w:r w:rsidRPr="00B8122D">
        <w:t>study, 23% of the administered dose was excreted in urine, and 69% in faeces; of t</w:t>
      </w:r>
      <w:r w:rsidR="00726D8A" w:rsidRPr="00B8122D">
        <w:t xml:space="preserve">he latter, most was ‘changed’. From the </w:t>
      </w:r>
      <w:r w:rsidR="00CF5AEF" w:rsidRPr="00B8122D">
        <w:t>evaluation report</w:t>
      </w:r>
      <w:r w:rsidR="00726D8A" w:rsidRPr="00B8122D">
        <w:t xml:space="preserve">: </w:t>
      </w:r>
      <w:r w:rsidR="00726D8A" w:rsidRPr="00B8122D">
        <w:rPr>
          <w:i/>
        </w:rPr>
        <w:t>‘</w:t>
      </w:r>
      <w:r w:rsidRPr="00B8122D">
        <w:rPr>
          <w:i/>
        </w:rPr>
        <w:t>…oral absorption was estimated to be 58.8%, with this calculated from the sum of radioactivity recovered in urine and radiolabelled metabolites in faeces. This calculation assumes that all unchanged ribociclib in the faeces represents ribociclib that was not absorbed and that none of the metabolites resulted from gut metabolism</w:t>
      </w:r>
      <w:r w:rsidR="00726D8A" w:rsidRPr="00B8122D">
        <w:rPr>
          <w:i/>
        </w:rPr>
        <w:t>’</w:t>
      </w:r>
      <w:r w:rsidRPr="00B8122D">
        <w:rPr>
          <w:i/>
        </w:rPr>
        <w:t>.</w:t>
      </w:r>
    </w:p>
    <w:p w14:paraId="388771DE" w14:textId="6FB77453" w:rsidR="007E7504" w:rsidRPr="00B8122D" w:rsidRDefault="007E7504" w:rsidP="007E7504">
      <w:r w:rsidRPr="00B8122D">
        <w:t>No absolute bioava</w:t>
      </w:r>
      <w:r w:rsidR="00726D8A" w:rsidRPr="00B8122D">
        <w:t>ilability study was performed.</w:t>
      </w:r>
    </w:p>
    <w:p w14:paraId="3F2831A2" w14:textId="2DDF82E9" w:rsidR="007E7504" w:rsidRPr="00B8122D" w:rsidRDefault="007E7504" w:rsidP="007E7504">
      <w:r w:rsidRPr="00B8122D">
        <w:t>Administering ribociclib with high</w:t>
      </w:r>
      <w:r w:rsidR="00726D8A" w:rsidRPr="00B8122D">
        <w:t xml:space="preserve"> </w:t>
      </w:r>
      <w:r w:rsidRPr="00B8122D">
        <w:t>fat, high</w:t>
      </w:r>
      <w:r w:rsidR="00726D8A" w:rsidRPr="00B8122D">
        <w:t xml:space="preserve"> </w:t>
      </w:r>
      <w:r w:rsidRPr="00B8122D">
        <w:t xml:space="preserve">calorie food delayed </w:t>
      </w:r>
      <w:r w:rsidR="00726D8A" w:rsidRPr="00B8122D">
        <w:t>t</w:t>
      </w:r>
      <w:r w:rsidRPr="00B8122D">
        <w:rPr>
          <w:vertAlign w:val="subscript"/>
        </w:rPr>
        <w:t>max</w:t>
      </w:r>
      <w:r w:rsidRPr="00B8122D">
        <w:t xml:space="preserve"> and modestly lowered C</w:t>
      </w:r>
      <w:r w:rsidRPr="00B8122D">
        <w:rPr>
          <w:vertAlign w:val="subscript"/>
        </w:rPr>
        <w:t>max</w:t>
      </w:r>
      <w:r w:rsidR="00726D8A" w:rsidRPr="00B8122D">
        <w:t xml:space="preserve"> but did not affect AUC.</w:t>
      </w:r>
    </w:p>
    <w:p w14:paraId="0404E17B" w14:textId="24312B39" w:rsidR="007E7504" w:rsidRPr="00B8122D" w:rsidRDefault="007E7504" w:rsidP="007E7504">
      <w:r w:rsidRPr="00B8122D">
        <w:t xml:space="preserve">Volume of distribution is estimated to be high, </w:t>
      </w:r>
      <w:r w:rsidR="00726D8A" w:rsidRPr="00B8122D">
        <w:t>that is, distribution is wide. Non</w:t>
      </w:r>
      <w:r w:rsidRPr="00B8122D">
        <w:t>clinical studies suggest absence of brain penetration (but high exposure in certain tissues such as th</w:t>
      </w:r>
      <w:r w:rsidR="00726D8A" w:rsidRPr="00B8122D">
        <w:t>e eye ciliary body and choroid</w:t>
      </w:r>
      <w:r w:rsidRPr="00B8122D">
        <w:t>); furthermore, ribociclib was found to be concentrated in milk of lactating rats.</w:t>
      </w:r>
    </w:p>
    <w:p w14:paraId="4A4AE60D" w14:textId="6F72F552" w:rsidR="007E7504" w:rsidRPr="00B8122D" w:rsidRDefault="007E7504" w:rsidP="007E7504">
      <w:r w:rsidRPr="00B8122D">
        <w:t>Clearance is mainly via CYP3A4</w:t>
      </w:r>
      <w:r w:rsidR="00726D8A" w:rsidRPr="00B8122D">
        <w:t xml:space="preserve"> </w:t>
      </w:r>
      <w:r w:rsidRPr="00B8122D">
        <w:t>mediated metabolism, with</w:t>
      </w:r>
      <w:r w:rsidR="00726D8A" w:rsidRPr="00B8122D">
        <w:t xml:space="preserve"> a minor contribution by </w:t>
      </w:r>
      <w:r w:rsidR="00175C8F">
        <w:t>flavin containing monooxygenase 3 (</w:t>
      </w:r>
      <w:r w:rsidR="00726D8A" w:rsidRPr="00B8122D">
        <w:t>FMO3</w:t>
      </w:r>
      <w:r w:rsidR="00175C8F">
        <w:t>)</w:t>
      </w:r>
      <w:r w:rsidR="00726D8A" w:rsidRPr="00B8122D">
        <w:t xml:space="preserve">. </w:t>
      </w:r>
      <w:r w:rsidRPr="00B8122D">
        <w:t xml:space="preserve">A </w:t>
      </w:r>
      <w:r w:rsidR="00726D8A" w:rsidRPr="00B8122D">
        <w:t xml:space="preserve">prominent metabolite is LEQ803; </w:t>
      </w:r>
      <w:r w:rsidRPr="00B8122D">
        <w:t xml:space="preserve">based on </w:t>
      </w:r>
      <w:r w:rsidR="00A45732">
        <w:t>pharmacodynamic</w:t>
      </w:r>
      <w:r w:rsidRPr="00B8122D">
        <w:t xml:space="preserve"> tests this was thought to contribute lit</w:t>
      </w:r>
      <w:r w:rsidR="00726D8A" w:rsidRPr="00B8122D">
        <w:t xml:space="preserve">tle to activity. </w:t>
      </w:r>
      <w:r w:rsidRPr="00B8122D">
        <w:t>Dispo</w:t>
      </w:r>
      <w:r w:rsidR="00647047" w:rsidRPr="00B8122D">
        <w:t>sition wa</w:t>
      </w:r>
      <w:r w:rsidR="00A45732">
        <w:t>s described as shown in Figure 5</w:t>
      </w:r>
      <w:r w:rsidR="00647047" w:rsidRPr="00B8122D">
        <w:t>, below.</w:t>
      </w:r>
    </w:p>
    <w:p w14:paraId="337575D3" w14:textId="1FE1A364" w:rsidR="00647047" w:rsidRPr="00B8122D" w:rsidRDefault="0075448C" w:rsidP="00647047">
      <w:pPr>
        <w:pStyle w:val="FigureTitle"/>
      </w:pPr>
      <w:r>
        <w:t xml:space="preserve">Figure 5: </w:t>
      </w:r>
      <w:r w:rsidR="00647047" w:rsidRPr="00A45732">
        <w:t>Schematic description of ribociclib disposition pathways</w:t>
      </w:r>
    </w:p>
    <w:p w14:paraId="36686DAB" w14:textId="77777777" w:rsidR="007E7504" w:rsidRPr="00B8122D" w:rsidRDefault="007E7504" w:rsidP="007E7504">
      <w:r w:rsidRPr="00B8122D">
        <w:rPr>
          <w:noProof/>
          <w:lang w:eastAsia="en-AU"/>
        </w:rPr>
        <w:drawing>
          <wp:inline distT="0" distB="0" distL="0" distR="0" wp14:anchorId="5D6B3352" wp14:editId="1DE91B2D">
            <wp:extent cx="4600990" cy="2030437"/>
            <wp:effectExtent l="0" t="0" r="0" b="8255"/>
            <wp:docPr id="323" name="Picture 323" descr="Figure 5: Schematic description of ribociclib disposition pathways. Around 85% of clearance is hepatic, of which around 84% undergoes hepatic metabolism (65% CYP3A, 16% FMO3 and 3% direct Phase II), and 1% is excreted via bile/faeces). Of the extra hepatic clearance, 7% is renal (via urine) and around 8% via intestinal secretion. An unknown amount undergoes extrahepatic metabolism (FM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Lst>
                    </a:blip>
                    <a:srcRect t="9058"/>
                    <a:stretch/>
                  </pic:blipFill>
                  <pic:spPr bwMode="auto">
                    <a:xfrm>
                      <a:off x="0" y="0"/>
                      <a:ext cx="4608858" cy="2033909"/>
                    </a:xfrm>
                    <a:prstGeom prst="rect">
                      <a:avLst/>
                    </a:prstGeom>
                    <a:ln>
                      <a:noFill/>
                    </a:ln>
                    <a:extLst>
                      <a:ext uri="{53640926-AAD7-44D8-BBD7-CCE9431645EC}">
                        <a14:shadowObscured xmlns:a14="http://schemas.microsoft.com/office/drawing/2010/main"/>
                      </a:ext>
                    </a:extLst>
                  </pic:spPr>
                </pic:pic>
              </a:graphicData>
            </a:graphic>
          </wp:inline>
        </w:drawing>
      </w:r>
    </w:p>
    <w:p w14:paraId="5233720E" w14:textId="084FA260" w:rsidR="007E7504" w:rsidRPr="00B8122D" w:rsidRDefault="007E7504" w:rsidP="007E7504">
      <w:r w:rsidRPr="00B8122D">
        <w:t>Consistent with this, co-administration with ritonavir increased AUC by &gt;</w:t>
      </w:r>
      <w:r w:rsidR="00647047" w:rsidRPr="00B8122D">
        <w:t xml:space="preserve"> 3 </w:t>
      </w:r>
      <w:r w:rsidR="00555B56">
        <w:t>fold, and co</w:t>
      </w:r>
      <w:r w:rsidR="00555B56">
        <w:noBreakHyphen/>
      </w:r>
      <w:r w:rsidRPr="00B8122D">
        <w:t>administration with rifam</w:t>
      </w:r>
      <w:r w:rsidR="00CF5AEF" w:rsidRPr="00B8122D">
        <w:t>picin decreased exposure by 90%.</w:t>
      </w:r>
      <w:r w:rsidR="00ED574B" w:rsidRPr="00B8122D">
        <w:t xml:space="preserve"> </w:t>
      </w:r>
      <w:r w:rsidRPr="00B8122D">
        <w:t>The sponsor:</w:t>
      </w:r>
      <w:r w:rsidR="00ED574B" w:rsidRPr="00B8122D">
        <w:t xml:space="preserve"> </w:t>
      </w:r>
      <w:r w:rsidR="00ED574B" w:rsidRPr="00B8122D">
        <w:rPr>
          <w:i/>
        </w:rPr>
        <w:t>‘</w:t>
      </w:r>
      <w:r w:rsidRPr="00B8122D">
        <w:rPr>
          <w:i/>
        </w:rPr>
        <w:t>…had recommended a dose reduction to 200</w:t>
      </w:r>
      <w:r w:rsidR="00ED574B" w:rsidRPr="00B8122D">
        <w:rPr>
          <w:i/>
        </w:rPr>
        <w:t xml:space="preserve"> </w:t>
      </w:r>
      <w:r w:rsidRPr="00B8122D">
        <w:rPr>
          <w:i/>
        </w:rPr>
        <w:t>mg daily if co-administration with a strong CYP3A4 inhibitor could not be avoided but that no dose reduction was required for moderate or weak CYP3A4 inhibitors…</w:t>
      </w:r>
      <w:r w:rsidR="00ED574B" w:rsidRPr="00B8122D">
        <w:rPr>
          <w:i/>
        </w:rPr>
        <w:t>’.</w:t>
      </w:r>
    </w:p>
    <w:p w14:paraId="1AAB641F" w14:textId="283A4347" w:rsidR="007E7504" w:rsidRPr="00B8122D" w:rsidRDefault="007E7504" w:rsidP="007E7504">
      <w:r w:rsidRPr="00B8122D">
        <w:t>The conservative choice of 200</w:t>
      </w:r>
      <w:r w:rsidR="00175C8F">
        <w:t xml:space="preserve"> </w:t>
      </w:r>
      <w:r w:rsidRPr="00B8122D">
        <w:t>mg was recommended the sponsor due to concerns regarding exposure related QT prolongation.</w:t>
      </w:r>
    </w:p>
    <w:p w14:paraId="210F4A9D" w14:textId="5777FFAE" w:rsidR="007E7504" w:rsidRPr="00B8122D" w:rsidRDefault="007E7504" w:rsidP="007E7504">
      <w:r w:rsidRPr="00B8122D">
        <w:t>The FDA label endorses a reduction to 400 mg only.</w:t>
      </w:r>
      <w:r w:rsidR="0010489F" w:rsidRPr="00B8122D">
        <w:t xml:space="preserve"> </w:t>
      </w:r>
      <w:r w:rsidR="001A17A7">
        <w:t>[I</w:t>
      </w:r>
      <w:r w:rsidR="008738FE">
        <w:t>nformation redacted]</w:t>
      </w:r>
    </w:p>
    <w:p w14:paraId="62AE1F6E" w14:textId="2B794039" w:rsidR="007E7504" w:rsidRPr="00B8122D" w:rsidRDefault="007E7504" w:rsidP="007E7504">
      <w:r w:rsidRPr="00B8122D">
        <w:t>No particularly conservative approach is adopted by the sponsor regarding concomitant use of moderate CYP3A4 inhibitors, although close monitoring for AEs is suggested.</w:t>
      </w:r>
      <w:r w:rsidR="00555B56">
        <w:t xml:space="preserve"> [I</w:t>
      </w:r>
      <w:r w:rsidR="008738FE">
        <w:t>nformation redacted]</w:t>
      </w:r>
      <w:r w:rsidR="0010489F" w:rsidRPr="00B8122D">
        <w:t xml:space="preserve"> </w:t>
      </w:r>
    </w:p>
    <w:p w14:paraId="4CF8BA38" w14:textId="53E73A23" w:rsidR="007E7504" w:rsidRPr="00B8122D" w:rsidRDefault="007E7504" w:rsidP="007E7504">
      <w:r w:rsidRPr="00B8122D">
        <w:t xml:space="preserve">The </w:t>
      </w:r>
      <w:r w:rsidR="00A71839">
        <w:t xml:space="preserve">clinical </w:t>
      </w:r>
      <w:r w:rsidRPr="00B8122D">
        <w:t>evaluator notes that with 23% of the administered dose excreted in</w:t>
      </w:r>
      <w:r w:rsidR="005E48D5" w:rsidRPr="00B8122D">
        <w:t xml:space="preserve"> urine, but oral absorption of around </w:t>
      </w:r>
      <w:r w:rsidRPr="00B8122D">
        <w:t>59%, influence of renal clearanc</w:t>
      </w:r>
      <w:r w:rsidR="005E48D5" w:rsidRPr="00B8122D">
        <w:t xml:space="preserve">e should not be downplayed. </w:t>
      </w:r>
      <w:r w:rsidRPr="00B8122D">
        <w:t>Half of radioactivity in urine was from unchanged ribociclib.</w:t>
      </w:r>
    </w:p>
    <w:p w14:paraId="7D0CC876" w14:textId="6B596603" w:rsidR="007E7504" w:rsidRPr="00B8122D" w:rsidRDefault="007E7504" w:rsidP="007E7504">
      <w:r w:rsidRPr="00B8122D">
        <w:t>Ribociclib is a P-gp substrate.</w:t>
      </w:r>
      <w:r w:rsidR="0010489F" w:rsidRPr="00B8122D">
        <w:t xml:space="preserve"> </w:t>
      </w:r>
      <w:r w:rsidRPr="00B8122D">
        <w:t>Ribociclib may also inhi</w:t>
      </w:r>
      <w:r w:rsidR="005E48D5" w:rsidRPr="00B8122D">
        <w:t>bit BSEP, BCRP, MATE1 and OCT2</w:t>
      </w:r>
      <w:r w:rsidRPr="00B8122D">
        <w:t>.</w:t>
      </w:r>
      <w:r w:rsidR="0010489F" w:rsidRPr="00B8122D">
        <w:t xml:space="preserve"> </w:t>
      </w:r>
      <w:r w:rsidRPr="00B8122D">
        <w:t>Ribociclib inhibits CYP3A4 (</w:t>
      </w:r>
      <w:r w:rsidR="005E48D5" w:rsidRPr="00B8122D">
        <w:t>for example,</w:t>
      </w:r>
      <w:r w:rsidRPr="00B8122D">
        <w:t xml:space="preserve"> increases exposure t</w:t>
      </w:r>
      <w:r w:rsidR="005E48D5" w:rsidRPr="00B8122D">
        <w:t>o concomitant midazolam about 4 fold</w:t>
      </w:r>
      <w:r w:rsidRPr="00B8122D">
        <w:t>).</w:t>
      </w:r>
      <w:r w:rsidR="0010489F" w:rsidRPr="00B8122D">
        <w:t xml:space="preserve"> </w:t>
      </w:r>
      <w:r w:rsidRPr="00B8122D">
        <w:t xml:space="preserve">Letrozole is cleared via CYP3A4 (and CYP2A6, which may have a greater </w:t>
      </w:r>
      <w:r w:rsidRPr="00B8122D">
        <w:lastRenderedPageBreak/>
        <w:t>role).</w:t>
      </w:r>
      <w:r w:rsidR="0010489F" w:rsidRPr="00B8122D">
        <w:t xml:space="preserve"> </w:t>
      </w:r>
      <w:r w:rsidRPr="00B8122D">
        <w:t>There was only indirect evidence that ribociclib does not significantly</w:t>
      </w:r>
      <w:r w:rsidR="005E48D5" w:rsidRPr="00B8122D">
        <w:t xml:space="preserve"> influence the PK of letrozole</w:t>
      </w:r>
      <w:r w:rsidRPr="00B8122D">
        <w:t>, and the evaluator was</w:t>
      </w:r>
      <w:r w:rsidR="005E48D5" w:rsidRPr="00B8122D">
        <w:t xml:space="preserve"> concerned that in the pivotal S</w:t>
      </w:r>
      <w:r w:rsidRPr="00B8122D">
        <w:t>tudy A2301, in the combination arm, more patients had letrozole interruptions due to AEs.</w:t>
      </w:r>
    </w:p>
    <w:p w14:paraId="6E735A10" w14:textId="7FDC5623" w:rsidR="007E7504" w:rsidRPr="00B8122D" w:rsidRDefault="007E7504" w:rsidP="007E7504">
      <w:r w:rsidRPr="00B8122D">
        <w:t xml:space="preserve">Body weight was found to influence PK; the effect was considered small relative to the </w:t>
      </w:r>
      <w:r w:rsidR="00A71839">
        <w:t>quite substantial overall inter</w:t>
      </w:r>
      <w:r w:rsidRPr="00B8122D">
        <w:t>patient variability that was seen.</w:t>
      </w:r>
    </w:p>
    <w:p w14:paraId="5A531A1D" w14:textId="50532C3D" w:rsidR="007E7504" w:rsidRPr="00B8122D" w:rsidRDefault="007E7504" w:rsidP="007E7504">
      <w:r w:rsidRPr="00B8122D">
        <w:t>The evaluator notes that few data about ribociclib PK were gathered in patients &lt;</w:t>
      </w:r>
      <w:r w:rsidR="005E48D5" w:rsidRPr="00B8122D">
        <w:t xml:space="preserve"> </w:t>
      </w:r>
      <w:r w:rsidRPr="00B8122D">
        <w:t>40 y</w:t>
      </w:r>
      <w:r w:rsidR="005E48D5" w:rsidRPr="00B8122D">
        <w:t>ea</w:t>
      </w:r>
      <w:r w:rsidRPr="00B8122D">
        <w:t>rs of age (n</w:t>
      </w:r>
      <w:r w:rsidR="005E48D5" w:rsidRPr="00B8122D">
        <w:t xml:space="preserve"> </w:t>
      </w:r>
      <w:r w:rsidRPr="00B8122D">
        <w:t>=</w:t>
      </w:r>
      <w:r w:rsidR="005E48D5" w:rsidRPr="00B8122D">
        <w:t xml:space="preserve"> 10</w:t>
      </w:r>
      <w:r w:rsidRPr="00B8122D">
        <w:t>).</w:t>
      </w:r>
    </w:p>
    <w:p w14:paraId="6C38647F" w14:textId="5AEE6573" w:rsidR="007E7504" w:rsidRPr="00B8122D" w:rsidRDefault="007E7504" w:rsidP="007E7504">
      <w:r w:rsidRPr="00B8122D">
        <w:t>The evaluator was not convinced that th</w:t>
      </w:r>
      <w:r w:rsidR="00A71839">
        <w:t>e sponsor’s Pop</w:t>
      </w:r>
      <w:r w:rsidRPr="00B8122D">
        <w:t>PK approach adequately characterised the infl</w:t>
      </w:r>
      <w:r w:rsidR="00A71839">
        <w:t>uence of race on ribociclib pharmacokinetics</w:t>
      </w:r>
      <w:r w:rsidRPr="00B8122D">
        <w:t xml:space="preserve">; and the sponsor described as </w:t>
      </w:r>
      <w:r w:rsidR="00097540" w:rsidRPr="00B8122D">
        <w:t>‘</w:t>
      </w:r>
      <w:r w:rsidRPr="00B8122D">
        <w:t>inconclusive</w:t>
      </w:r>
      <w:r w:rsidR="00097540" w:rsidRPr="00B8122D">
        <w:t>’</w:t>
      </w:r>
      <w:r w:rsidRPr="00B8122D">
        <w:t xml:space="preserve"> the data relating to influence of race.</w:t>
      </w:r>
      <w:r w:rsidR="0010489F" w:rsidRPr="00B8122D">
        <w:t xml:space="preserve"> </w:t>
      </w:r>
      <w:r w:rsidRPr="00B8122D">
        <w:t xml:space="preserve">Given that some AEs </w:t>
      </w:r>
      <w:r w:rsidR="005E48D5" w:rsidRPr="00B8122D">
        <w:t>(for example,</w:t>
      </w:r>
      <w:r w:rsidRPr="00B8122D">
        <w:t xml:space="preserve"> </w:t>
      </w:r>
      <w:r w:rsidR="00D92203" w:rsidRPr="00B8122D">
        <w:t>neutropaenia</w:t>
      </w:r>
      <w:r w:rsidRPr="00B8122D">
        <w:t>) might well be more pronounced with increasing exposure, this is a deficiency of the submission.</w:t>
      </w:r>
    </w:p>
    <w:p w14:paraId="4A744975" w14:textId="60DCAEA3" w:rsidR="007E7504" w:rsidRPr="00B8122D" w:rsidRDefault="007E7504" w:rsidP="007E7504">
      <w:r w:rsidRPr="00B8122D">
        <w:t>In a hepatic impairment study, moderate or severe im</w:t>
      </w:r>
      <w:r w:rsidR="005E48D5" w:rsidRPr="00B8122D">
        <w:t xml:space="preserve">pairment increased exposure by approximately 30%. </w:t>
      </w:r>
      <w:r w:rsidRPr="00B8122D">
        <w:t>The evaluator had concerns about</w:t>
      </w:r>
      <w:r w:rsidR="00F13D89">
        <w:t xml:space="preserve"> safe use in hepatic impairment</w:t>
      </w:r>
      <w:r w:rsidR="005E48D5" w:rsidRPr="00B8122D">
        <w:t>.</w:t>
      </w:r>
      <w:r w:rsidR="00F13D89">
        <w:t xml:space="preserve"> </w:t>
      </w:r>
      <w:r w:rsidRPr="00B8122D">
        <w:t>The sponsor has suggested a dose reduction to 400</w:t>
      </w:r>
      <w:r w:rsidR="005E48D5" w:rsidRPr="00B8122D">
        <w:t xml:space="preserve"> </w:t>
      </w:r>
      <w:r w:rsidRPr="00B8122D">
        <w:t xml:space="preserve">mg for patients with moderate or severe hepatic impairment, explaining </w:t>
      </w:r>
      <w:r w:rsidR="00097540" w:rsidRPr="00B8122D">
        <w:t>‘</w:t>
      </w:r>
      <w:r w:rsidRPr="00B8122D">
        <w:t>exposure at the 400 mg dose in patients with moderate and severe hepatic impairment is expected to provide similar exposure from 600 mg in patients with normal hepatic function</w:t>
      </w:r>
      <w:r w:rsidR="00097540" w:rsidRPr="00B8122D">
        <w:t>’</w:t>
      </w:r>
      <w:r w:rsidR="005E48D5" w:rsidRPr="00B8122D">
        <w:t>.</w:t>
      </w:r>
    </w:p>
    <w:p w14:paraId="6A32E7F1" w14:textId="657313AF" w:rsidR="007E7504" w:rsidRPr="00B8122D" w:rsidRDefault="007E7504" w:rsidP="007E7504">
      <w:r w:rsidRPr="00B8122D">
        <w:t>There has been no dedicated study of patients with renal impairment.</w:t>
      </w:r>
      <w:r w:rsidR="0010489F" w:rsidRPr="00B8122D">
        <w:t xml:space="preserve"> </w:t>
      </w:r>
      <w:r w:rsidR="00A71839">
        <w:t xml:space="preserve">The </w:t>
      </w:r>
      <w:r w:rsidR="005E48D5" w:rsidRPr="00B8122D">
        <w:t xml:space="preserve">PopPK </w:t>
      </w:r>
      <w:r w:rsidRPr="00B8122D">
        <w:t xml:space="preserve">based analysis (without data from patients with severe impairment) found no effect of mild or moderate renal dysfunction on </w:t>
      </w:r>
      <w:r w:rsidR="00A71839">
        <w:t>pharmacokinetics</w:t>
      </w:r>
      <w:r w:rsidRPr="00B8122D">
        <w:t>.</w:t>
      </w:r>
      <w:r w:rsidR="0010489F" w:rsidRPr="00B8122D">
        <w:t xml:space="preserve"> </w:t>
      </w:r>
      <w:r w:rsidRPr="00B8122D">
        <w:t>The evaluator raised some concerns about use in patients with moder</w:t>
      </w:r>
      <w:r w:rsidR="005E48D5" w:rsidRPr="00B8122D">
        <w:t>ate or severe renal impairment</w:t>
      </w:r>
      <w:r w:rsidRPr="00B8122D">
        <w:t>.</w:t>
      </w:r>
      <w:r w:rsidR="0010489F" w:rsidRPr="00B8122D">
        <w:t xml:space="preserve"> </w:t>
      </w:r>
      <w:r w:rsidRPr="00B8122D">
        <w:t>A protocol fo</w:t>
      </w:r>
      <w:r w:rsidR="005E48D5" w:rsidRPr="00B8122D">
        <w:t>r a dedicated renal impairment S</w:t>
      </w:r>
      <w:r w:rsidRPr="00B8122D">
        <w:t>tudy A2116 in otherwise healthy volunt</w:t>
      </w:r>
      <w:r w:rsidR="005E48D5" w:rsidRPr="00B8122D">
        <w:t>eers was supplied</w:t>
      </w:r>
      <w:r w:rsidRPr="00B8122D">
        <w:t>; an FDA post</w:t>
      </w:r>
      <w:r w:rsidR="001A17A7">
        <w:t>-</w:t>
      </w:r>
      <w:r w:rsidRPr="00B8122D">
        <w:t>marketing obligation has been noted earlier.</w:t>
      </w:r>
    </w:p>
    <w:p w14:paraId="11737819" w14:textId="04AF2208" w:rsidR="007E7504" w:rsidRPr="00B8122D" w:rsidRDefault="007E7504" w:rsidP="007E7504">
      <w:r w:rsidRPr="00B8122D">
        <w:t xml:space="preserve">The evaluator was not convinced that interactions with PPIs, CYP3A4/5 inhibitors and letrozole were </w:t>
      </w:r>
      <w:r w:rsidR="00A71839">
        <w:t>sufficiently excluded via a Pop</w:t>
      </w:r>
      <w:r w:rsidRPr="00B8122D">
        <w:t>PK approach.</w:t>
      </w:r>
      <w:r w:rsidR="0010489F" w:rsidRPr="00B8122D">
        <w:t xml:space="preserve"> </w:t>
      </w:r>
      <w:r w:rsidRPr="00B8122D">
        <w:t xml:space="preserve">There was also little evidence about </w:t>
      </w:r>
      <w:r w:rsidR="00A71839">
        <w:t>pharmacokinetic</w:t>
      </w:r>
      <w:r w:rsidRPr="00B8122D">
        <w:t xml:space="preserve"> interactions with other agents that raise gastric pH.</w:t>
      </w:r>
      <w:r w:rsidR="0010489F" w:rsidRPr="00B8122D">
        <w:t xml:space="preserve"> </w:t>
      </w:r>
      <w:r w:rsidRPr="00B8122D">
        <w:t>On this point, furt</w:t>
      </w:r>
      <w:r w:rsidR="005E48D5" w:rsidRPr="00B8122D">
        <w:t xml:space="preserve">her discussion is presented in the second round evaluation </w:t>
      </w:r>
      <w:r w:rsidR="00F74C1A">
        <w:t>(</w:t>
      </w:r>
      <w:r w:rsidR="00175C8F">
        <w:t xml:space="preserve">inclusion is </w:t>
      </w:r>
      <w:r w:rsidR="00F74C1A">
        <w:t>beyond the scope of this AusPAR</w:t>
      </w:r>
      <w:r w:rsidR="005E48D5" w:rsidRPr="00B8122D">
        <w:t>)</w:t>
      </w:r>
      <w:r w:rsidRPr="00B8122D">
        <w:t>.</w:t>
      </w:r>
      <w:r w:rsidR="0010489F" w:rsidRPr="00B8122D">
        <w:t xml:space="preserve"> </w:t>
      </w:r>
      <w:r w:rsidRPr="00B8122D">
        <w:t>The evaluator noted that a clinically relevant interaction between ribociclib and PPIs was unlikely.</w:t>
      </w:r>
    </w:p>
    <w:p w14:paraId="15D301F2" w14:textId="6FFCD700" w:rsidR="007E7504" w:rsidRPr="00B8122D" w:rsidRDefault="007E7504" w:rsidP="007E7504">
      <w:r w:rsidRPr="00B8122D">
        <w:t xml:space="preserve">Scope of PD studies is shown in </w:t>
      </w:r>
      <w:r w:rsidR="005E48D5" w:rsidRPr="00B8122D">
        <w:t xml:space="preserve">an introductory table of the </w:t>
      </w:r>
      <w:r w:rsidR="00175C8F" w:rsidRPr="00F74C1A">
        <w:rPr>
          <w:i/>
        </w:rPr>
        <w:t>Pharmacodynamics</w:t>
      </w:r>
      <w:r w:rsidR="005E48D5" w:rsidRPr="00B8122D">
        <w:t xml:space="preserve"> section</w:t>
      </w:r>
      <w:r w:rsidRPr="00B8122D">
        <w:t>.</w:t>
      </w:r>
      <w:r w:rsidR="0010489F" w:rsidRPr="00B8122D">
        <w:t xml:space="preserve"> </w:t>
      </w:r>
      <w:r w:rsidRPr="00B8122D">
        <w:t>Biomarker analy</w:t>
      </w:r>
      <w:r w:rsidR="005E48D5" w:rsidRPr="00B8122D">
        <w:t>sis in Study A2301 is discussed. While non</w:t>
      </w:r>
      <w:r w:rsidRPr="00B8122D">
        <w:t xml:space="preserve">clinical studies suggested ribociclib sensitivity </w:t>
      </w:r>
      <w:r w:rsidR="00097540" w:rsidRPr="00B8122D">
        <w:rPr>
          <w:i/>
        </w:rPr>
        <w:t>‘</w:t>
      </w:r>
      <w:r w:rsidRPr="00B8122D">
        <w:rPr>
          <w:i/>
        </w:rPr>
        <w:t>is absolutely dependent on intact pRb expression by the tumour cells</w:t>
      </w:r>
      <w:r w:rsidR="00097540" w:rsidRPr="00B8122D">
        <w:rPr>
          <w:i/>
        </w:rPr>
        <w:t>’</w:t>
      </w:r>
      <w:r w:rsidR="005E48D5" w:rsidRPr="00B8122D">
        <w:t xml:space="preserve"> </w:t>
      </w:r>
      <w:r w:rsidRPr="00B8122D">
        <w:t xml:space="preserve">in </w:t>
      </w:r>
      <w:r w:rsidR="00A5524C" w:rsidRPr="00B8122D">
        <w:t xml:space="preserve">Study </w:t>
      </w:r>
      <w:r w:rsidRPr="00B8122D">
        <w:t>A2301, efficacy was not related to pRb status (</w:t>
      </w:r>
      <w:r w:rsidR="00A5524C" w:rsidRPr="00B8122D">
        <w:t>for example,</w:t>
      </w:r>
      <w:r w:rsidRPr="00B8122D">
        <w:t xml:space="preserve"> patients deemed to have low total pRb by H score still appeared to benefi</w:t>
      </w:r>
      <w:r w:rsidR="00A5524C" w:rsidRPr="00B8122D">
        <w:t xml:space="preserve">t from addition of ribociclib, </w:t>
      </w:r>
      <w:r w:rsidRPr="00B8122D">
        <w:t>consistent with what was seen with palbociclib).</w:t>
      </w:r>
      <w:r w:rsidR="0010489F" w:rsidRPr="00B8122D">
        <w:t xml:space="preserve"> </w:t>
      </w:r>
      <w:r w:rsidRPr="00B8122D">
        <w:t xml:space="preserve">Further discussion is presented </w:t>
      </w:r>
      <w:r w:rsidR="00F74C1A">
        <w:t>following the first</w:t>
      </w:r>
      <w:r w:rsidR="00A5524C" w:rsidRPr="00B8122D">
        <w:t xml:space="preserve"> round evaluation </w:t>
      </w:r>
      <w:r w:rsidR="00F74C1A">
        <w:t>(</w:t>
      </w:r>
      <w:r w:rsidR="00175C8F">
        <w:t xml:space="preserve">inclusion is </w:t>
      </w:r>
      <w:r w:rsidR="00F74C1A">
        <w:t>beyond the scope of this AusPAR)</w:t>
      </w:r>
      <w:r w:rsidR="00175C8F">
        <w:t xml:space="preserve">. </w:t>
      </w:r>
      <w:r w:rsidRPr="00B8122D">
        <w:t xml:space="preserve">The sponsor’s conclusion </w:t>
      </w:r>
      <w:r w:rsidRPr="00B8122D">
        <w:rPr>
          <w:i/>
        </w:rPr>
        <w:t xml:space="preserve">that </w:t>
      </w:r>
      <w:r w:rsidR="00097540" w:rsidRPr="00B8122D">
        <w:rPr>
          <w:i/>
        </w:rPr>
        <w:t>‘</w:t>
      </w:r>
      <w:r w:rsidRPr="00B8122D">
        <w:rPr>
          <w:i/>
        </w:rPr>
        <w:t>pRb as a singular molecular event is insufficient to be the sole negative predictive biomarker for CDK4/6 inhibitors</w:t>
      </w:r>
      <w:r w:rsidR="00097540" w:rsidRPr="00B8122D">
        <w:rPr>
          <w:i/>
        </w:rPr>
        <w:t>’</w:t>
      </w:r>
      <w:r w:rsidRPr="00B8122D">
        <w:t xml:space="preserve"> seems reasonable.</w:t>
      </w:r>
      <w:r w:rsidR="0010489F" w:rsidRPr="00B8122D">
        <w:t xml:space="preserve"> </w:t>
      </w:r>
      <w:r w:rsidRPr="00B8122D">
        <w:t>The sponsor is following up on some other biomarkers</w:t>
      </w:r>
      <w:r w:rsidR="00F74C1A">
        <w:t xml:space="preserve"> </w:t>
      </w:r>
      <w:r w:rsidR="00555B56">
        <w:t>[I</w:t>
      </w:r>
      <w:r w:rsidR="008738FE">
        <w:t>nformation redacted]</w:t>
      </w:r>
      <w:r w:rsidR="00A5524C" w:rsidRPr="00B8122D">
        <w:t>.</w:t>
      </w:r>
    </w:p>
    <w:p w14:paraId="156ABDEF" w14:textId="37170362" w:rsidR="00095C07" w:rsidRPr="00B8122D" w:rsidRDefault="00F74C1A" w:rsidP="00095C07">
      <w:r>
        <w:t xml:space="preserve">In a sample of n = </w:t>
      </w:r>
      <w:r w:rsidR="00D37469" w:rsidRPr="00496E47">
        <w:t>1</w:t>
      </w:r>
      <w:r w:rsidR="00D37469">
        <w:t>58</w:t>
      </w:r>
      <w:r w:rsidR="00D37469" w:rsidRPr="00496E47">
        <w:t xml:space="preserve"> </w:t>
      </w:r>
      <w:r w:rsidR="00095C07" w:rsidRPr="00496E47">
        <w:t xml:space="preserve">patients from Study A2301, oestradiol levels were monitored. </w:t>
      </w:r>
      <w:r w:rsidR="003A1409" w:rsidRPr="00496E47">
        <w:t>A decrease</w:t>
      </w:r>
      <w:r w:rsidR="00095C07" w:rsidRPr="00496E47">
        <w:t xml:space="preserve"> from Baseline was </w:t>
      </w:r>
      <w:r w:rsidR="003A1409" w:rsidRPr="00496E47">
        <w:t xml:space="preserve">observed median </w:t>
      </w:r>
      <w:r w:rsidR="007A1D1F">
        <w:t>94.9</w:t>
      </w:r>
      <w:r w:rsidR="00B73AAC">
        <w:t>%</w:t>
      </w:r>
      <w:r w:rsidR="00095C07" w:rsidRPr="00496E47">
        <w:t xml:space="preserve"> in the combination arm, </w:t>
      </w:r>
      <w:r w:rsidR="003A1409" w:rsidRPr="00496E47">
        <w:t xml:space="preserve">median </w:t>
      </w:r>
      <w:r w:rsidR="007A1D1F">
        <w:t>92.9</w:t>
      </w:r>
      <w:r w:rsidR="003A1409" w:rsidRPr="00496E47">
        <w:t xml:space="preserve">% </w:t>
      </w:r>
      <w:r w:rsidR="00095C07" w:rsidRPr="00496E47">
        <w:t>in the letrozole arm.</w:t>
      </w:r>
    </w:p>
    <w:p w14:paraId="10212114" w14:textId="77777777" w:rsidR="007E7504" w:rsidRPr="00B8122D" w:rsidRDefault="007E7504" w:rsidP="00A5524C">
      <w:pPr>
        <w:pStyle w:val="Heading4"/>
      </w:pPr>
      <w:r w:rsidRPr="00B8122D">
        <w:t>Efficacy</w:t>
      </w:r>
    </w:p>
    <w:p w14:paraId="03BFB128" w14:textId="5A430F6D" w:rsidR="007E7504" w:rsidRPr="00B8122D" w:rsidRDefault="007E7504" w:rsidP="007E7504">
      <w:r w:rsidRPr="00B8122D">
        <w:t xml:space="preserve">Dosage selection for the pivotal study is discussed </w:t>
      </w:r>
      <w:r w:rsidR="00175C8F">
        <w:t>under</w:t>
      </w:r>
      <w:r w:rsidR="00175C8F" w:rsidRPr="00B8122D">
        <w:t xml:space="preserve"> </w:t>
      </w:r>
      <w:r w:rsidR="00A5524C" w:rsidRPr="00B8122D">
        <w:t xml:space="preserve">the relevant </w:t>
      </w:r>
      <w:r w:rsidR="00175C8F">
        <w:t>sub</w:t>
      </w:r>
      <w:r w:rsidR="00A5524C" w:rsidRPr="00B8122D">
        <w:t xml:space="preserve">section </w:t>
      </w:r>
      <w:r w:rsidR="00175C8F">
        <w:t xml:space="preserve">of section: </w:t>
      </w:r>
      <w:r w:rsidR="00175C8F" w:rsidRPr="00F74C1A">
        <w:rPr>
          <w:i/>
        </w:rPr>
        <w:t>Clinical findings</w:t>
      </w:r>
      <w:r w:rsidR="00175C8F">
        <w:t>, above.</w:t>
      </w:r>
    </w:p>
    <w:p w14:paraId="6BFBEE72" w14:textId="4926A45B" w:rsidR="007E7504" w:rsidRPr="00B8122D" w:rsidRDefault="00A5524C" w:rsidP="00A5524C">
      <w:pPr>
        <w:pStyle w:val="Heading5"/>
      </w:pPr>
      <w:r w:rsidRPr="00B8122D">
        <w:lastRenderedPageBreak/>
        <w:t xml:space="preserve">Study </w:t>
      </w:r>
      <w:r w:rsidR="007E7504" w:rsidRPr="00B8122D">
        <w:t>A2301</w:t>
      </w:r>
    </w:p>
    <w:p w14:paraId="3AF77DFB" w14:textId="12C4440C" w:rsidR="007E7504" w:rsidRPr="00B8122D" w:rsidRDefault="007E7504" w:rsidP="007E7504">
      <w:r w:rsidRPr="00B8122D">
        <w:t>This was the pivotal study</w:t>
      </w:r>
      <w:r w:rsidR="00A5524C" w:rsidRPr="00B8122D">
        <w:t>, and it</w:t>
      </w:r>
      <w:r w:rsidRPr="00B8122D">
        <w:t xml:space="preserve"> has been published</w:t>
      </w:r>
      <w:r w:rsidR="00A5524C" w:rsidRPr="00B8122D">
        <w:t>.</w:t>
      </w:r>
      <w:r w:rsidR="00A5524C" w:rsidRPr="00B8122D">
        <w:rPr>
          <w:rStyle w:val="FootnoteReference"/>
        </w:rPr>
        <w:footnoteReference w:id="52"/>
      </w:r>
      <w:r w:rsidRPr="00B8122D">
        <w:t xml:space="preserve"> </w:t>
      </w:r>
      <w:r w:rsidR="00BB19FF" w:rsidRPr="00B8122D">
        <w:t xml:space="preserve">Design is summarised below in Figure </w:t>
      </w:r>
      <w:r w:rsidR="00A45732">
        <w:t>6</w:t>
      </w:r>
      <w:r w:rsidR="00BB19FF" w:rsidRPr="00B8122D">
        <w:t>.</w:t>
      </w:r>
    </w:p>
    <w:p w14:paraId="465B8643" w14:textId="6661D070" w:rsidR="00BB19FF" w:rsidRPr="00B8122D" w:rsidRDefault="00A45732" w:rsidP="00BB19FF">
      <w:pPr>
        <w:pStyle w:val="FigureTitle"/>
      </w:pPr>
      <w:r w:rsidRPr="00A45732">
        <w:t xml:space="preserve">Figure </w:t>
      </w:r>
      <w:r w:rsidR="0075448C">
        <w:t>6:</w:t>
      </w:r>
      <w:r w:rsidR="00BB19FF" w:rsidRPr="00A45732">
        <w:t xml:space="preserve"> Study A2301 design</w:t>
      </w:r>
    </w:p>
    <w:p w14:paraId="43A8D5AF" w14:textId="77777777" w:rsidR="007E7504" w:rsidRPr="00B8122D" w:rsidRDefault="007E7504" w:rsidP="007E7504">
      <w:r w:rsidRPr="00B8122D">
        <w:rPr>
          <w:noProof/>
          <w:lang w:eastAsia="en-AU"/>
        </w:rPr>
        <w:drawing>
          <wp:inline distT="0" distB="0" distL="0" distR="0" wp14:anchorId="392835B6" wp14:editId="0CD13B7E">
            <wp:extent cx="5240309" cy="1528877"/>
            <wp:effectExtent l="0" t="0" r="0" b="0"/>
            <wp:docPr id="316" name="Picture 316" descr="Figure 6: Study A2301 design Schematic of Study A2301 design. Patients (subjects) enrolled were postmenopausal with HR positive, HER2 negative metastatic breast cancer status. Subjects were treatment naive,  with de novo metasstatic breast cancer or with a  more than 12 month period post adjuvanant therapy with leterozole or anastrozole. Subjects passing screening were then to be randomised in a 1:1 ratio (n = 235 per group, planned) to recieve either study drug (600 mg ribociclib (LEE011) + letrozole daily from Day 1 to Day 21 in 28 day cycles; or subjects were randomised to recieve placebo (plus letrozole) from Day 1 to Day 21 in 28 day cycles. Discontinuations were recorded as being due to toxicity, or due to progression. All patients were recorded for survival status, regardless of reason for discontinuation; however, patients discontinuing due to toxicity continued to have efficacy assessments as pl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6586"/>
                    <a:stretch/>
                  </pic:blipFill>
                  <pic:spPr bwMode="auto">
                    <a:xfrm>
                      <a:off x="0" y="0"/>
                      <a:ext cx="5260378" cy="1534732"/>
                    </a:xfrm>
                    <a:prstGeom prst="rect">
                      <a:avLst/>
                    </a:prstGeom>
                    <a:ln>
                      <a:noFill/>
                    </a:ln>
                    <a:extLst>
                      <a:ext uri="{53640926-AAD7-44D8-BBD7-CCE9431645EC}">
                        <a14:shadowObscured xmlns:a14="http://schemas.microsoft.com/office/drawing/2010/main"/>
                      </a:ext>
                    </a:extLst>
                  </pic:spPr>
                </pic:pic>
              </a:graphicData>
            </a:graphic>
          </wp:inline>
        </w:drawing>
      </w:r>
    </w:p>
    <w:p w14:paraId="3F1A69B3" w14:textId="77777777" w:rsidR="007E7504" w:rsidRPr="00B8122D" w:rsidRDefault="007E7504" w:rsidP="007E7504">
      <w:r w:rsidRPr="00B8122D">
        <w:t>Crossover from the placebo arm to ribociclib was not permitted at progression.</w:t>
      </w:r>
    </w:p>
    <w:p w14:paraId="7355CAAC" w14:textId="07C6ABF6" w:rsidR="007E7504" w:rsidRPr="00B8122D" w:rsidRDefault="00BB19FF" w:rsidP="007E7504">
      <w:r w:rsidRPr="00B8122D">
        <w:t>Key inclusions/exclusions are noted</w:t>
      </w:r>
      <w:r w:rsidR="00175C8F">
        <w:t xml:space="preserve">. </w:t>
      </w:r>
      <w:r w:rsidR="007E7504" w:rsidRPr="00B8122D">
        <w:t>The population consisted of postmenopausal women with HR+, HER2-, advanced breast cancer, who had previously received no prior therapy for their advanced breast cancer.</w:t>
      </w:r>
      <w:r w:rsidR="0010489F" w:rsidRPr="00B8122D">
        <w:t xml:space="preserve"> </w:t>
      </w:r>
      <w:r w:rsidRPr="00B8122D">
        <w:t xml:space="preserve">Exclusions included </w:t>
      </w:r>
      <w:r w:rsidR="007E7504" w:rsidRPr="00B8122D">
        <w:t>inflammatory breast cancer; CNS metastases; and active cardiac disease or a history of cardiac dysfunction that would increase risk of QT prolongation.</w:t>
      </w:r>
      <w:r w:rsidR="0010489F" w:rsidRPr="00B8122D">
        <w:t xml:space="preserve"> </w:t>
      </w:r>
      <w:r w:rsidR="007E7504" w:rsidRPr="00B8122D">
        <w:t xml:space="preserve">Reasons for screening failure are outlined on </w:t>
      </w:r>
      <w:r w:rsidR="00F024A4" w:rsidRPr="00B8122D">
        <w:t xml:space="preserve">in the clinical questions </w:t>
      </w:r>
      <w:r w:rsidR="00F74C1A">
        <w:t>(</w:t>
      </w:r>
      <w:r w:rsidR="00005C78">
        <w:t xml:space="preserve">inclusion of these questions and responses are </w:t>
      </w:r>
      <w:r w:rsidR="00F74C1A">
        <w:t>beyond the scope of this AusPAR)</w:t>
      </w:r>
      <w:r w:rsidR="007E7504" w:rsidRPr="00B8122D">
        <w:t>; cardiac history was a prominent reason for exclusion.</w:t>
      </w:r>
    </w:p>
    <w:p w14:paraId="3D4D0FBC" w14:textId="77777777" w:rsidR="007E7504" w:rsidRPr="00B8122D" w:rsidRDefault="007E7504" w:rsidP="007E7504">
      <w:r w:rsidRPr="00B8122D">
        <w:t>Patients were randomly assigned to one of the below treatment arms:</w:t>
      </w:r>
    </w:p>
    <w:p w14:paraId="506184D3" w14:textId="7637E115" w:rsidR="007E7504" w:rsidRPr="00B8122D" w:rsidRDefault="007E7504" w:rsidP="00F024A4">
      <w:pPr>
        <w:pStyle w:val="ListBullet"/>
      </w:pPr>
      <w:r w:rsidRPr="00B8122D">
        <w:t>Letrozole (2.5 mg once daily) + ribociclib</w:t>
      </w:r>
      <w:r w:rsidR="00F024A4" w:rsidRPr="00B8122D">
        <w:t xml:space="preserve"> 600 mg (D</w:t>
      </w:r>
      <w:r w:rsidRPr="00B8122D">
        <w:t>ay</w:t>
      </w:r>
      <w:r w:rsidR="003A1767">
        <w:t>s</w:t>
      </w:r>
      <w:r w:rsidRPr="00B8122D">
        <w:t xml:space="preserve"> 1 to 21 in a 28 day cycle); </w:t>
      </w:r>
      <w:r w:rsidR="00F024A4" w:rsidRPr="00B8122D">
        <w:t>or</w:t>
      </w:r>
    </w:p>
    <w:p w14:paraId="48317136" w14:textId="6570B5B5" w:rsidR="007E7504" w:rsidRPr="00B8122D" w:rsidRDefault="007E7504" w:rsidP="00F024A4">
      <w:pPr>
        <w:pStyle w:val="ListBullet"/>
      </w:pPr>
      <w:r w:rsidRPr="00B8122D">
        <w:t>Letrozole (2.5 mg once daily) + placebo</w:t>
      </w:r>
      <w:r w:rsidR="00F024A4" w:rsidRPr="00B8122D">
        <w:t xml:space="preserve"> (D</w:t>
      </w:r>
      <w:r w:rsidRPr="00B8122D">
        <w:t>ay</w:t>
      </w:r>
      <w:r w:rsidR="00F024A4" w:rsidRPr="00B8122D">
        <w:t>s</w:t>
      </w:r>
      <w:r w:rsidRPr="00B8122D">
        <w:t xml:space="preserve"> 1 to 21 in a 28 day cycle).</w:t>
      </w:r>
    </w:p>
    <w:p w14:paraId="2BD1074D" w14:textId="104073A4" w:rsidR="007E7504" w:rsidRPr="00B8122D" w:rsidRDefault="007E7504" w:rsidP="007E7504">
      <w:r w:rsidRPr="00B8122D">
        <w:t xml:space="preserve">Ribociclib could be taken </w:t>
      </w:r>
      <w:r w:rsidR="00097540" w:rsidRPr="00B8122D">
        <w:t>‘</w:t>
      </w:r>
      <w:r w:rsidRPr="00B8122D">
        <w:t>without regard to meals</w:t>
      </w:r>
      <w:r w:rsidR="00097540" w:rsidRPr="00B8122D">
        <w:t>’</w:t>
      </w:r>
      <w:r w:rsidRPr="00B8122D">
        <w:t>, with evening doses strongly not recommended.</w:t>
      </w:r>
    </w:p>
    <w:p w14:paraId="0D11D0EB" w14:textId="2E71B373" w:rsidR="007E7504" w:rsidRPr="00B8122D" w:rsidRDefault="007E7504" w:rsidP="007E7504">
      <w:r w:rsidRPr="00B8122D">
        <w:t>668 patients were randomised (334 per arm).</w:t>
      </w:r>
      <w:r w:rsidR="0010489F" w:rsidRPr="00B8122D">
        <w:t xml:space="preserve"> </w:t>
      </w:r>
      <w:r w:rsidRPr="00B8122D">
        <w:t>Baseline data: median age was 62 y</w:t>
      </w:r>
      <w:r w:rsidR="00F024A4" w:rsidRPr="00B8122D">
        <w:t xml:space="preserve">ears (range 23 to </w:t>
      </w:r>
      <w:r w:rsidRPr="00B8122D">
        <w:t>91); 82% were Caucasian; 61% had ECOG PS = 0, others had PS = 1.</w:t>
      </w:r>
      <w:r w:rsidR="0010489F" w:rsidRPr="00B8122D">
        <w:t xml:space="preserve"> </w:t>
      </w:r>
      <w:r w:rsidRPr="00B8122D">
        <w:t>De novo metastatic disease was seen in a third of patients.</w:t>
      </w:r>
      <w:r w:rsidR="0010489F" w:rsidRPr="00B8122D">
        <w:t xml:space="preserve"> </w:t>
      </w:r>
      <w:r w:rsidR="00F024A4" w:rsidRPr="00B8122D">
        <w:t xml:space="preserve">Of others, approximately </w:t>
      </w:r>
      <w:r w:rsidRPr="00B8122D">
        <w:t>10% had a disease</w:t>
      </w:r>
      <w:r w:rsidR="00F024A4" w:rsidRPr="00B8122D">
        <w:t xml:space="preserve"> </w:t>
      </w:r>
      <w:r w:rsidRPr="00B8122D">
        <w:t>free interval of &lt;</w:t>
      </w:r>
      <w:r w:rsidR="00F024A4" w:rsidRPr="00B8122D">
        <w:t xml:space="preserve"> </w:t>
      </w:r>
      <w:r w:rsidRPr="00B8122D">
        <w:t>24 months (a shor</w:t>
      </w:r>
      <w:r w:rsidR="00F024A4" w:rsidRPr="00B8122D">
        <w:t xml:space="preserve">ter disease </w:t>
      </w:r>
      <w:r w:rsidRPr="00B8122D">
        <w:t>free interval suggests greater resistance to endocrine therapy in patients who received it as adjuvant treatment).</w:t>
      </w:r>
      <w:r w:rsidR="0010489F" w:rsidRPr="00B8122D">
        <w:t xml:space="preserve"> </w:t>
      </w:r>
      <w:r w:rsidRPr="00B8122D">
        <w:t xml:space="preserve">Almost all patients were ER+ and </w:t>
      </w:r>
      <w:r w:rsidR="00F024A4" w:rsidRPr="00B8122D">
        <w:t xml:space="preserve">approximately </w:t>
      </w:r>
      <w:r w:rsidRPr="00B8122D">
        <w:t>82% were PR+.</w:t>
      </w:r>
      <w:r w:rsidR="0010489F" w:rsidRPr="00B8122D">
        <w:t xml:space="preserve"> </w:t>
      </w:r>
      <w:r w:rsidR="00F024A4" w:rsidRPr="00B8122D">
        <w:t xml:space="preserve">About 22% had bone </w:t>
      </w:r>
      <w:r w:rsidRPr="00B8122D">
        <w:t>only disease.</w:t>
      </w:r>
      <w:r w:rsidR="0010489F" w:rsidRPr="00B8122D">
        <w:t xml:space="preserve"> </w:t>
      </w:r>
      <w:r w:rsidRPr="00B8122D">
        <w:t>About 34% had 3+ metastatic sites.</w:t>
      </w:r>
      <w:r w:rsidR="0010489F" w:rsidRPr="00B8122D">
        <w:t xml:space="preserve"> </w:t>
      </w:r>
      <w:r w:rsidRPr="00B8122D">
        <w:t xml:space="preserve">Prior therapy is tabulated </w:t>
      </w:r>
      <w:r w:rsidR="00F024A4" w:rsidRPr="00B8122D">
        <w:t>in the clinical evaluation report</w:t>
      </w:r>
      <w:r w:rsidR="00F74C1A">
        <w:t xml:space="preserve"> </w:t>
      </w:r>
      <w:r w:rsidR="00F024A4" w:rsidRPr="00B8122D">
        <w:t>(</w:t>
      </w:r>
      <w:r w:rsidR="00005C78">
        <w:t>inclusion of this is beyond the scope of this AusPAR</w:t>
      </w:r>
      <w:r w:rsidR="00F74C1A">
        <w:t>)</w:t>
      </w:r>
      <w:r w:rsidR="00F024A4" w:rsidRPr="00B8122D">
        <w:t>.</w:t>
      </w:r>
    </w:p>
    <w:p w14:paraId="7F8886D5" w14:textId="7D5574B3" w:rsidR="007E7504" w:rsidRPr="00B8122D" w:rsidRDefault="007E7504" w:rsidP="007E7504">
      <w:r w:rsidRPr="00B8122D">
        <w:t>The study is ongoing pending final analysis of OS.</w:t>
      </w:r>
      <w:r w:rsidR="0010489F" w:rsidRPr="00B8122D">
        <w:t xml:space="preserve"> </w:t>
      </w:r>
      <w:r w:rsidR="00F024A4" w:rsidRPr="00B8122D">
        <w:t xml:space="preserve">Analyses are summarised in Table </w:t>
      </w:r>
      <w:r w:rsidR="00077B6B">
        <w:t>1</w:t>
      </w:r>
      <w:r w:rsidR="001A79AE">
        <w:t>1</w:t>
      </w:r>
      <w:r w:rsidR="00077B6B">
        <w:t>.</w:t>
      </w:r>
    </w:p>
    <w:p w14:paraId="5C01B928" w14:textId="4311129D" w:rsidR="00F024A4" w:rsidRPr="00B8122D" w:rsidRDefault="00077B6B" w:rsidP="00D7276C">
      <w:pPr>
        <w:pStyle w:val="TableTitle"/>
      </w:pPr>
      <w:r>
        <w:lastRenderedPageBreak/>
        <w:t>Table 1</w:t>
      </w:r>
      <w:r w:rsidR="001A79AE">
        <w:t>1</w:t>
      </w:r>
      <w:r>
        <w:t>:</w:t>
      </w:r>
      <w:r w:rsidR="00F024A4" w:rsidRPr="00B8122D">
        <w:t xml:space="preserve"> Summary of analyses</w:t>
      </w:r>
    </w:p>
    <w:tbl>
      <w:tblPr>
        <w:tblStyle w:val="TableTGAblue"/>
        <w:tblW w:w="8444" w:type="dxa"/>
        <w:tblLook w:val="04A0" w:firstRow="1" w:lastRow="0" w:firstColumn="1" w:lastColumn="0" w:noHBand="0" w:noVBand="1"/>
      </w:tblPr>
      <w:tblGrid>
        <w:gridCol w:w="2235"/>
        <w:gridCol w:w="2551"/>
        <w:gridCol w:w="3658"/>
      </w:tblGrid>
      <w:tr w:rsidR="003A1767" w:rsidRPr="00B8122D" w14:paraId="48E157AE" w14:textId="77777777" w:rsidTr="0053037A">
        <w:trPr>
          <w:cnfStyle w:val="100000000000" w:firstRow="1" w:lastRow="0" w:firstColumn="0" w:lastColumn="0" w:oddVBand="0" w:evenVBand="0" w:oddHBand="0" w:evenHBand="0" w:firstRowFirstColumn="0" w:firstRowLastColumn="0" w:lastRowFirstColumn="0" w:lastRowLastColumn="0"/>
          <w:trHeight w:val="234"/>
        </w:trPr>
        <w:tc>
          <w:tcPr>
            <w:tcW w:w="2235" w:type="dxa"/>
          </w:tcPr>
          <w:p w14:paraId="33A993D0" w14:textId="61444519" w:rsidR="007E7504" w:rsidRPr="00B8122D" w:rsidRDefault="003A1767" w:rsidP="00D7276C">
            <w:r>
              <w:t>C</w:t>
            </w:r>
            <w:r w:rsidR="0030355D" w:rsidRPr="00B8122D">
              <w:t>ut</w:t>
            </w:r>
            <w:r w:rsidR="008738FE">
              <w:t>-</w:t>
            </w:r>
            <w:r w:rsidR="007E7504" w:rsidRPr="00B8122D">
              <w:t>off date</w:t>
            </w:r>
          </w:p>
        </w:tc>
        <w:tc>
          <w:tcPr>
            <w:tcW w:w="2551" w:type="dxa"/>
          </w:tcPr>
          <w:p w14:paraId="0B9864EA" w14:textId="77777777" w:rsidR="007E7504" w:rsidRPr="00B8122D" w:rsidRDefault="007E7504" w:rsidP="00D7276C">
            <w:r w:rsidRPr="00B8122D">
              <w:t>Description</w:t>
            </w:r>
          </w:p>
        </w:tc>
        <w:tc>
          <w:tcPr>
            <w:tcW w:w="3658" w:type="dxa"/>
          </w:tcPr>
          <w:p w14:paraId="70640A05" w14:textId="77777777" w:rsidR="007E7504" w:rsidRPr="00B8122D" w:rsidRDefault="007E7504" w:rsidP="00D7276C">
            <w:r w:rsidRPr="00B8122D">
              <w:t>Comment</w:t>
            </w:r>
          </w:p>
        </w:tc>
      </w:tr>
      <w:tr w:rsidR="003A1767" w:rsidRPr="001067B5" w14:paraId="347CD849" w14:textId="77777777" w:rsidTr="0053037A">
        <w:trPr>
          <w:trHeight w:val="852"/>
        </w:trPr>
        <w:tc>
          <w:tcPr>
            <w:tcW w:w="2235" w:type="dxa"/>
          </w:tcPr>
          <w:p w14:paraId="07ED7D6A" w14:textId="1073A20A" w:rsidR="007E7504" w:rsidRPr="00B8122D" w:rsidRDefault="0030355D" w:rsidP="00D7276C">
            <w:pPr>
              <w:keepNext/>
            </w:pPr>
            <w:r w:rsidRPr="00B8122D">
              <w:t xml:space="preserve">29 January </w:t>
            </w:r>
            <w:r w:rsidR="007E7504" w:rsidRPr="00B8122D">
              <w:t>2016</w:t>
            </w:r>
          </w:p>
        </w:tc>
        <w:tc>
          <w:tcPr>
            <w:tcW w:w="2551" w:type="dxa"/>
          </w:tcPr>
          <w:p w14:paraId="3CF0FEC2" w14:textId="16606C00" w:rsidR="007E7504" w:rsidRPr="00B8122D" w:rsidRDefault="003A1767" w:rsidP="00D7276C">
            <w:pPr>
              <w:keepNext/>
            </w:pPr>
            <w:r>
              <w:t>Pre</w:t>
            </w:r>
            <w:r w:rsidR="007E7504" w:rsidRPr="00B8122D">
              <w:t>planned interim PFS analysis</w:t>
            </w:r>
            <w:r w:rsidR="0030355D" w:rsidRPr="00B8122D">
              <w:t>.</w:t>
            </w:r>
          </w:p>
          <w:p w14:paraId="046A3B9C" w14:textId="5C07ECFB" w:rsidR="007E7504" w:rsidRPr="00B8122D" w:rsidRDefault="007E7504" w:rsidP="00D7276C">
            <w:pPr>
              <w:keepNext/>
            </w:pPr>
            <w:r w:rsidRPr="00B8122D">
              <w:t>Timed for 70% of expected 302 PFS events</w:t>
            </w:r>
            <w:r w:rsidR="0030355D" w:rsidRPr="00B8122D">
              <w:t>.</w:t>
            </w:r>
          </w:p>
          <w:p w14:paraId="7A7D8F0F" w14:textId="371B3C77" w:rsidR="007E7504" w:rsidRPr="00B8122D" w:rsidRDefault="007E7504" w:rsidP="00D7276C">
            <w:pPr>
              <w:keepNext/>
            </w:pPr>
            <w:r w:rsidRPr="00B8122D">
              <w:t>Accomp</w:t>
            </w:r>
            <w:bookmarkStart w:id="141" w:name="_GoBack"/>
            <w:bookmarkEnd w:id="141"/>
            <w:r w:rsidRPr="00B8122D">
              <w:t>anied by first planned OS interim analysis</w:t>
            </w:r>
            <w:r w:rsidR="0030355D" w:rsidRPr="00B8122D">
              <w:t>.</w:t>
            </w:r>
          </w:p>
        </w:tc>
        <w:tc>
          <w:tcPr>
            <w:tcW w:w="3658" w:type="dxa"/>
          </w:tcPr>
          <w:p w14:paraId="3DE625EA" w14:textId="4FE5978B" w:rsidR="007E7504" w:rsidRPr="00B8122D" w:rsidRDefault="007E7504" w:rsidP="0053037A">
            <w:r w:rsidRPr="00B8122D">
              <w:t>This analysi</w:t>
            </w:r>
            <w:r w:rsidR="0030355D" w:rsidRPr="00B8122D">
              <w:t>s was presented in the initial d</w:t>
            </w:r>
            <w:r w:rsidRPr="00B8122D">
              <w:t xml:space="preserve">ossier and was evaluated in </w:t>
            </w:r>
            <w:r w:rsidR="0030355D" w:rsidRPr="00B8122D">
              <w:t>the first round clinical evaluation report.</w:t>
            </w:r>
          </w:p>
          <w:p w14:paraId="41495866" w14:textId="5BFF4584" w:rsidR="007E7504" w:rsidRPr="00F74C1A" w:rsidRDefault="007E7504" w:rsidP="0053037A">
            <w:pPr>
              <w:rPr>
                <w:lang w:val="fr-CH"/>
              </w:rPr>
            </w:pPr>
            <w:r w:rsidRPr="00F74C1A">
              <w:rPr>
                <w:lang w:val="fr-CH"/>
              </w:rPr>
              <w:t>mPFS: NE v</w:t>
            </w:r>
            <w:r w:rsidR="0030355D" w:rsidRPr="00F74C1A">
              <w:rPr>
                <w:lang w:val="fr-CH"/>
              </w:rPr>
              <w:t>ersu</w:t>
            </w:r>
            <w:r w:rsidRPr="00F74C1A">
              <w:rPr>
                <w:lang w:val="fr-CH"/>
              </w:rPr>
              <w:t>s 14.7 months</w:t>
            </w:r>
            <w:r w:rsidR="003A1767" w:rsidRPr="00F74C1A">
              <w:rPr>
                <w:lang w:val="fr-CH"/>
              </w:rPr>
              <w:t>.</w:t>
            </w:r>
          </w:p>
          <w:p w14:paraId="35D12B74" w14:textId="6B1AB1E4" w:rsidR="007E7504" w:rsidRPr="00F74C1A" w:rsidRDefault="003A1767" w:rsidP="0053037A">
            <w:pPr>
              <w:rPr>
                <w:lang w:val="fr-CH"/>
              </w:rPr>
            </w:pPr>
            <w:r w:rsidRPr="00F74C1A">
              <w:rPr>
                <w:lang w:val="fr-CH"/>
              </w:rPr>
              <w:t>OS hazard ratio</w:t>
            </w:r>
            <w:r w:rsidR="007E7504" w:rsidRPr="00F74C1A">
              <w:rPr>
                <w:lang w:val="fr-CH"/>
              </w:rPr>
              <w:t>: 1.128</w:t>
            </w:r>
            <w:r w:rsidRPr="00F74C1A">
              <w:rPr>
                <w:lang w:val="fr-CH"/>
              </w:rPr>
              <w:t>.</w:t>
            </w:r>
          </w:p>
        </w:tc>
      </w:tr>
      <w:tr w:rsidR="003A1767" w:rsidRPr="00B8122D" w14:paraId="2C9FC955" w14:textId="77777777" w:rsidTr="0053037A">
        <w:trPr>
          <w:trHeight w:val="487"/>
        </w:trPr>
        <w:tc>
          <w:tcPr>
            <w:tcW w:w="2235" w:type="dxa"/>
          </w:tcPr>
          <w:p w14:paraId="34822583" w14:textId="0544774C" w:rsidR="007E7504" w:rsidRPr="00B8122D" w:rsidRDefault="0030355D" w:rsidP="003A1767">
            <w:r w:rsidRPr="00B8122D">
              <w:t>22 June</w:t>
            </w:r>
            <w:r w:rsidR="007E7504" w:rsidRPr="00B8122D">
              <w:t xml:space="preserve"> 2016</w:t>
            </w:r>
          </w:p>
        </w:tc>
        <w:tc>
          <w:tcPr>
            <w:tcW w:w="2551" w:type="dxa"/>
          </w:tcPr>
          <w:p w14:paraId="7FE5E6E1" w14:textId="24FD28CF" w:rsidR="007E7504" w:rsidRPr="00B8122D" w:rsidRDefault="007E7504" w:rsidP="003A1767">
            <w:pPr>
              <w:rPr>
                <w:b/>
              </w:rPr>
            </w:pPr>
            <w:r w:rsidRPr="00B8122D">
              <w:t>PFS analysis</w:t>
            </w:r>
            <w:r w:rsidRPr="00B8122D">
              <w:rPr>
                <w:b/>
              </w:rPr>
              <w:t xml:space="preserve"> </w:t>
            </w:r>
            <w:r w:rsidRPr="00B8122D">
              <w:t>(planned with FDA)</w:t>
            </w:r>
            <w:r w:rsidR="0030355D" w:rsidRPr="00B8122D">
              <w:t>.</w:t>
            </w:r>
          </w:p>
        </w:tc>
        <w:tc>
          <w:tcPr>
            <w:tcW w:w="3658" w:type="dxa"/>
          </w:tcPr>
          <w:p w14:paraId="31D75334" w14:textId="6C6BD50E" w:rsidR="007E7504" w:rsidRPr="00B8122D" w:rsidRDefault="0030355D" w:rsidP="003A1767">
            <w:r w:rsidRPr="00B8122D">
              <w:t xml:space="preserve">Presented in the sponsor’s post-first round report </w:t>
            </w:r>
            <w:r w:rsidR="007E7504" w:rsidRPr="00B8122D">
              <w:t xml:space="preserve">response stage, evaluated in </w:t>
            </w:r>
            <w:r w:rsidRPr="00B8122D">
              <w:t>the second round clinical evaluation report.</w:t>
            </w:r>
          </w:p>
        </w:tc>
      </w:tr>
      <w:tr w:rsidR="003A1767" w:rsidRPr="00B8122D" w14:paraId="4174FB48" w14:textId="77777777" w:rsidTr="0053037A">
        <w:trPr>
          <w:trHeight w:val="305"/>
        </w:trPr>
        <w:tc>
          <w:tcPr>
            <w:tcW w:w="2235" w:type="dxa"/>
          </w:tcPr>
          <w:p w14:paraId="08FB9ABF" w14:textId="459929F1" w:rsidR="007E7504" w:rsidRPr="00B8122D" w:rsidRDefault="0030355D" w:rsidP="003A1767">
            <w:r w:rsidRPr="00B8122D">
              <w:t xml:space="preserve">2 January </w:t>
            </w:r>
            <w:r w:rsidR="007E7504" w:rsidRPr="00B8122D">
              <w:t>2017</w:t>
            </w:r>
          </w:p>
        </w:tc>
        <w:tc>
          <w:tcPr>
            <w:tcW w:w="2551" w:type="dxa"/>
          </w:tcPr>
          <w:p w14:paraId="376C5533" w14:textId="3FC3289D" w:rsidR="007E7504" w:rsidRPr="00B8122D" w:rsidRDefault="007E7504" w:rsidP="003A1767">
            <w:r w:rsidRPr="00B8122D">
              <w:t>Second planned OS interim analysis</w:t>
            </w:r>
            <w:r w:rsidR="0030355D" w:rsidRPr="00B8122D">
              <w:t xml:space="preserve"> as per protocol version</w:t>
            </w:r>
            <w:r w:rsidRPr="00B8122D">
              <w:t xml:space="preserve"> 05</w:t>
            </w:r>
            <w:r w:rsidR="0030355D" w:rsidRPr="00B8122D">
              <w:t>.</w:t>
            </w:r>
          </w:p>
          <w:p w14:paraId="520D47C3" w14:textId="757D6D02" w:rsidR="007E7504" w:rsidRPr="00B8122D" w:rsidRDefault="007E7504" w:rsidP="003A1767">
            <w:r w:rsidRPr="00B8122D">
              <w:t xml:space="preserve">Accompanied by unplanned PFS analysis (investigator, not </w:t>
            </w:r>
            <w:r w:rsidR="00021E4C">
              <w:t>BICR</w:t>
            </w:r>
            <w:r w:rsidRPr="00B8122D">
              <w:t>)</w:t>
            </w:r>
            <w:r w:rsidR="0030355D" w:rsidRPr="00B8122D">
              <w:t>.</w:t>
            </w:r>
          </w:p>
        </w:tc>
        <w:tc>
          <w:tcPr>
            <w:tcW w:w="3658" w:type="dxa"/>
          </w:tcPr>
          <w:p w14:paraId="02CEE7C6" w14:textId="77777777" w:rsidR="0030355D" w:rsidRPr="00B8122D" w:rsidRDefault="0030355D" w:rsidP="003A1767">
            <w:r w:rsidRPr="00B8122D">
              <w:t>Presented in the sponsor’s post-first round report response stage, evaluated in the second round clinical evaluation report.</w:t>
            </w:r>
          </w:p>
          <w:p w14:paraId="6E3A881E" w14:textId="1D9DC572" w:rsidR="007E7504" w:rsidRPr="00B8122D" w:rsidRDefault="003A1767" w:rsidP="003A1767">
            <w:r w:rsidRPr="00B8122D">
              <w:t>M</w:t>
            </w:r>
            <w:r>
              <w:t xml:space="preserve">edian </w:t>
            </w:r>
            <w:r w:rsidR="007E7504" w:rsidRPr="00B8122D">
              <w:t>PFS: 25.3 v</w:t>
            </w:r>
            <w:r w:rsidR="0030355D" w:rsidRPr="00B8122D">
              <w:t>ersu</w:t>
            </w:r>
            <w:r w:rsidR="007E7504" w:rsidRPr="00B8122D">
              <w:t>s 16.0 months</w:t>
            </w:r>
            <w:r w:rsidR="008A4E70" w:rsidRPr="00B8122D">
              <w:t>.</w:t>
            </w:r>
          </w:p>
          <w:p w14:paraId="5684D890" w14:textId="02FD2EB9" w:rsidR="007E7504" w:rsidRPr="00B8122D" w:rsidRDefault="003A1767" w:rsidP="003A1767">
            <w:r>
              <w:t>OS hazard ratio</w:t>
            </w:r>
            <w:r w:rsidR="007E7504" w:rsidRPr="00B8122D">
              <w:t>: 0.746</w:t>
            </w:r>
            <w:r w:rsidR="0030355D" w:rsidRPr="00B8122D">
              <w:t>.</w:t>
            </w:r>
          </w:p>
        </w:tc>
      </w:tr>
      <w:tr w:rsidR="003A1767" w:rsidRPr="00B8122D" w14:paraId="58EE41DF" w14:textId="77777777" w:rsidTr="0053037A">
        <w:trPr>
          <w:trHeight w:val="69"/>
        </w:trPr>
        <w:tc>
          <w:tcPr>
            <w:tcW w:w="2235" w:type="dxa"/>
          </w:tcPr>
          <w:p w14:paraId="22E8B165" w14:textId="671B2DB8" w:rsidR="007E7504" w:rsidRPr="00B8122D" w:rsidRDefault="005E6948" w:rsidP="003A1767">
            <w:r w:rsidRPr="00B8122D">
              <w:t>Future</w:t>
            </w:r>
          </w:p>
        </w:tc>
        <w:tc>
          <w:tcPr>
            <w:tcW w:w="2551" w:type="dxa"/>
          </w:tcPr>
          <w:p w14:paraId="725360E5" w14:textId="6A6AD15D" w:rsidR="005E6948" w:rsidRPr="00B8122D" w:rsidRDefault="005E6948" w:rsidP="005E6948">
            <w:r w:rsidRPr="00B8122D">
              <w:t>Third planned OS analysis.</w:t>
            </w:r>
          </w:p>
          <w:p w14:paraId="5AE63CAD" w14:textId="03B92988" w:rsidR="007E7504" w:rsidRPr="00B8122D" w:rsidRDefault="005E6948" w:rsidP="005E6948">
            <w:pPr>
              <w:rPr>
                <w:i/>
              </w:rPr>
            </w:pPr>
            <w:r w:rsidRPr="00B8122D">
              <w:t>After 300 OS events</w:t>
            </w:r>
          </w:p>
        </w:tc>
        <w:tc>
          <w:tcPr>
            <w:tcW w:w="3658" w:type="dxa"/>
          </w:tcPr>
          <w:p w14:paraId="4DB2A199" w14:textId="72F65AA6" w:rsidR="007E7504" w:rsidRPr="00B8122D" w:rsidRDefault="007E7504" w:rsidP="003A1767"/>
        </w:tc>
      </w:tr>
      <w:tr w:rsidR="003A1767" w:rsidRPr="00B8122D" w14:paraId="3609F18B" w14:textId="77777777" w:rsidTr="0053037A">
        <w:trPr>
          <w:trHeight w:val="868"/>
        </w:trPr>
        <w:tc>
          <w:tcPr>
            <w:tcW w:w="2235" w:type="dxa"/>
          </w:tcPr>
          <w:p w14:paraId="4761F94E" w14:textId="520F9915" w:rsidR="007E7504" w:rsidRPr="00B8122D" w:rsidRDefault="005E6948" w:rsidP="003A1767">
            <w:r w:rsidRPr="00B8122D">
              <w:t>Future</w:t>
            </w:r>
          </w:p>
        </w:tc>
        <w:tc>
          <w:tcPr>
            <w:tcW w:w="2551" w:type="dxa"/>
          </w:tcPr>
          <w:p w14:paraId="702CB84A" w14:textId="4846DA5F" w:rsidR="005E6948" w:rsidRPr="00B8122D" w:rsidRDefault="005E6948" w:rsidP="005E6948">
            <w:r w:rsidRPr="00B8122D">
              <w:t>Fourth planned OS analysis.</w:t>
            </w:r>
          </w:p>
          <w:p w14:paraId="3D2A4AD1" w14:textId="7EA6D3CF" w:rsidR="007E7504" w:rsidRPr="00B8122D" w:rsidRDefault="005E6948" w:rsidP="005E6948">
            <w:pPr>
              <w:rPr>
                <w:i/>
              </w:rPr>
            </w:pPr>
            <w:r w:rsidRPr="00B8122D">
              <w:t>After 400 OS events.</w:t>
            </w:r>
          </w:p>
        </w:tc>
        <w:tc>
          <w:tcPr>
            <w:tcW w:w="3658" w:type="dxa"/>
          </w:tcPr>
          <w:p w14:paraId="7C03BA2B" w14:textId="63E90483" w:rsidR="007E7504" w:rsidRPr="00B8122D" w:rsidRDefault="007E7504" w:rsidP="003A1767"/>
        </w:tc>
      </w:tr>
    </w:tbl>
    <w:p w14:paraId="06D74718" w14:textId="6589F919" w:rsidR="007E7504" w:rsidRPr="00B8122D" w:rsidRDefault="007E7504" w:rsidP="007E7504">
      <w:r w:rsidRPr="00B8122D">
        <w:t>The primary efficacy variable was PFS derived from the investigator’s assessment of radiology data using RECIST 1.1.</w:t>
      </w:r>
      <w:r w:rsidR="0010489F" w:rsidRPr="00B8122D">
        <w:t xml:space="preserve"> </w:t>
      </w:r>
      <w:r w:rsidRPr="00B8122D">
        <w:t xml:space="preserve">PFS by </w:t>
      </w:r>
      <w:r w:rsidR="00021E4C">
        <w:t>BICR</w:t>
      </w:r>
      <w:r w:rsidRPr="00B8122D">
        <w:t xml:space="preserve"> was supportive.</w:t>
      </w:r>
      <w:r w:rsidR="0010489F" w:rsidRPr="00B8122D">
        <w:t xml:space="preserve"> </w:t>
      </w:r>
      <w:r w:rsidRPr="00B8122D">
        <w:t xml:space="preserve">Discrepancies between local and </w:t>
      </w:r>
      <w:r w:rsidR="00021E4C">
        <w:t>BICR</w:t>
      </w:r>
      <w:r w:rsidRPr="00B8122D">
        <w:t xml:space="preserve"> assessment were noted so a </w:t>
      </w:r>
      <w:r w:rsidR="008A4E70" w:rsidRPr="00B8122D">
        <w:t>quality control</w:t>
      </w:r>
      <w:r w:rsidRPr="00B8122D">
        <w:t xml:space="preserve"> audit was made by a third</w:t>
      </w:r>
      <w:r w:rsidR="008A4E70" w:rsidRPr="00B8122D">
        <w:t xml:space="preserve"> party independent radiologist </w:t>
      </w:r>
      <w:r w:rsidRPr="00B8122D">
        <w:t xml:space="preserve">leading to process changes for the </w:t>
      </w:r>
      <w:r w:rsidR="00021E4C">
        <w:t>BICR</w:t>
      </w:r>
      <w:r w:rsidRPr="00B8122D">
        <w:t>.</w:t>
      </w:r>
      <w:r w:rsidR="0010489F" w:rsidRPr="00B8122D">
        <w:t xml:space="preserve"> </w:t>
      </w:r>
      <w:r w:rsidRPr="00B8122D">
        <w:t xml:space="preserve">There is little agreement between local, </w:t>
      </w:r>
      <w:r w:rsidR="00021E4C">
        <w:t>BICR</w:t>
      </w:r>
      <w:r w:rsidRPr="00B8122D">
        <w:t xml:space="preserve"> and auditor conclusions, but all approaches show similar differences across arms.</w:t>
      </w:r>
    </w:p>
    <w:p w14:paraId="0BCF1F24" w14:textId="15802BA5" w:rsidR="007E7504" w:rsidRPr="00B8122D" w:rsidRDefault="007E7504" w:rsidP="007E7504">
      <w:r w:rsidRPr="00B8122D">
        <w:t>PFS analyses</w:t>
      </w:r>
      <w:r w:rsidR="008A4E70" w:rsidRPr="00B8122D">
        <w:t xml:space="preserve"> using three different data cut </w:t>
      </w:r>
      <w:r w:rsidRPr="00B8122D">
        <w:t>offs were presented.</w:t>
      </w:r>
    </w:p>
    <w:p w14:paraId="23EA5D21" w14:textId="24A42E7A" w:rsidR="007E7504" w:rsidRPr="00B8122D" w:rsidRDefault="003A1767" w:rsidP="008A4E70">
      <w:pPr>
        <w:pStyle w:val="Heading6"/>
      </w:pPr>
      <w:r>
        <w:t>Pre</w:t>
      </w:r>
      <w:r w:rsidR="00DC4FF9">
        <w:t>-</w:t>
      </w:r>
      <w:r w:rsidR="007E7504" w:rsidRPr="00B8122D">
        <w:t>planned interim PFS</w:t>
      </w:r>
    </w:p>
    <w:p w14:paraId="7103858A" w14:textId="06A07986" w:rsidR="007E7504" w:rsidRPr="00B8122D" w:rsidRDefault="007E7504" w:rsidP="007E7504">
      <w:r w:rsidRPr="00B8122D">
        <w:t xml:space="preserve">Based on </w:t>
      </w:r>
      <w:r w:rsidR="004B28CC">
        <w:t xml:space="preserve">the </w:t>
      </w:r>
      <w:r w:rsidRPr="00B8122D">
        <w:t xml:space="preserve">interim PFS </w:t>
      </w:r>
      <w:r w:rsidR="008A4E70" w:rsidRPr="00B8122D">
        <w:t>analysis (data cut off 29 January 2016</w:t>
      </w:r>
      <w:r w:rsidRPr="00B8122D">
        <w:t>), median PFS was not reached in the ribociclib + letrozole arm v</w:t>
      </w:r>
      <w:r w:rsidR="003A1767">
        <w:t>ersu</w:t>
      </w:r>
      <w:r w:rsidRPr="00B8122D">
        <w:t>s 14.7 months in the placebo + letrozole arm, with a ha</w:t>
      </w:r>
      <w:r w:rsidR="008A4E70" w:rsidRPr="00B8122D">
        <w:t xml:space="preserve">zard ratio of 0.56 (95% CI 0.43 to </w:t>
      </w:r>
      <w:r w:rsidRPr="00B8122D">
        <w:t>0.72) (per investigator).</w:t>
      </w:r>
    </w:p>
    <w:p w14:paraId="2F26F512" w14:textId="45C57353" w:rsidR="007E7504" w:rsidRPr="00B8122D" w:rsidRDefault="007E7504" w:rsidP="007E7504">
      <w:r w:rsidRPr="00B8122D">
        <w:t xml:space="preserve">Based on </w:t>
      </w:r>
      <w:r w:rsidR="00021E4C">
        <w:t>BICR</w:t>
      </w:r>
      <w:r w:rsidRPr="00B8122D">
        <w:t xml:space="preserve"> data, median PFS was 22.9 months (ribociclib + letrozole) v</w:t>
      </w:r>
      <w:r w:rsidR="003A1767">
        <w:t>ersus not reported</w:t>
      </w:r>
      <w:r w:rsidRPr="00B8122D">
        <w:t xml:space="preserve"> (placebo + letrozole),</w:t>
      </w:r>
      <w:r w:rsidR="008A4E70" w:rsidRPr="00B8122D">
        <w:t xml:space="preserve"> with a HR of 0.59 (95% CI 0.41 to </w:t>
      </w:r>
      <w:r w:rsidRPr="00B8122D">
        <w:t>0.85) favouring ribociclib.</w:t>
      </w:r>
    </w:p>
    <w:p w14:paraId="049489C9" w14:textId="734E0067" w:rsidR="007E7504" w:rsidRPr="00B8122D" w:rsidRDefault="007E7504" w:rsidP="007E7504">
      <w:r w:rsidRPr="00B8122D">
        <w:lastRenderedPageBreak/>
        <w:t xml:space="preserve">Poor concordance between the </w:t>
      </w:r>
      <w:r w:rsidR="008A4E70" w:rsidRPr="00B8122D">
        <w:t>2</w:t>
      </w:r>
      <w:r w:rsidRPr="00B8122D">
        <w:t xml:space="preserve"> approaches is discussed </w:t>
      </w:r>
      <w:r w:rsidR="008A4E70" w:rsidRPr="00B8122D">
        <w:t xml:space="preserve">in the clinical evaluation report </w:t>
      </w:r>
      <w:r w:rsidR="00F74C1A">
        <w:t>(not included in this AusPAR)</w:t>
      </w:r>
      <w:r w:rsidR="008A4E70" w:rsidRPr="00B8122D">
        <w:t>.</w:t>
      </w:r>
    </w:p>
    <w:p w14:paraId="4E035048" w14:textId="7E40DE42" w:rsidR="007E7504" w:rsidRPr="00B8122D" w:rsidRDefault="007E7504" w:rsidP="007E7504">
      <w:r w:rsidRPr="00B8122D">
        <w:t>PFS subgroup analyses did not reveal anomalous outcomes.</w:t>
      </w:r>
    </w:p>
    <w:p w14:paraId="702BBCC2" w14:textId="77777777" w:rsidR="007E7504" w:rsidRPr="00B8122D" w:rsidRDefault="007E7504" w:rsidP="008A4E70">
      <w:pPr>
        <w:pStyle w:val="Heading6"/>
      </w:pPr>
      <w:r w:rsidRPr="00B8122D">
        <w:t>Unplanned (June 2016) PFS analysis</w:t>
      </w:r>
    </w:p>
    <w:p w14:paraId="5877885F" w14:textId="11E9D222" w:rsidR="007E7504" w:rsidRPr="00B8122D" w:rsidRDefault="007E7504" w:rsidP="007E7504">
      <w:r w:rsidRPr="00B8122D">
        <w:t xml:space="preserve">This is summarised </w:t>
      </w:r>
      <w:r w:rsidR="001773C9" w:rsidRPr="00B8122D">
        <w:t>in the clinical evaluation report</w:t>
      </w:r>
      <w:r w:rsidR="00005C78">
        <w:t xml:space="preserve">. </w:t>
      </w:r>
      <w:r w:rsidR="004B28CC">
        <w:t>The m</w:t>
      </w:r>
      <w:r w:rsidR="001773C9" w:rsidRPr="00B8122D">
        <w:t>edian PFS was 22.4 versus</w:t>
      </w:r>
      <w:r w:rsidRPr="00B8122D">
        <w:t xml:space="preserve"> 15.3 months;</w:t>
      </w:r>
      <w:r w:rsidR="00E64791" w:rsidRPr="00B8122D">
        <w:t xml:space="preserve"> PFS </w:t>
      </w:r>
      <w:r w:rsidR="00E8527B">
        <w:t>hazard ratio</w:t>
      </w:r>
      <w:r w:rsidR="00E64791" w:rsidRPr="00B8122D">
        <w:t xml:space="preserve"> was 0.559 (95% CI 0.443 to </w:t>
      </w:r>
      <w:r w:rsidR="004B28CC">
        <w:t xml:space="preserve">0.706) (investigator </w:t>
      </w:r>
      <w:r w:rsidRPr="00B8122D">
        <w:t>assessed).</w:t>
      </w:r>
      <w:r w:rsidR="0010489F" w:rsidRPr="00B8122D">
        <w:t xml:space="preserve"> </w:t>
      </w:r>
      <w:r w:rsidRPr="00B8122D">
        <w:t xml:space="preserve">By </w:t>
      </w:r>
      <w:r w:rsidR="00021E4C">
        <w:t>BICR</w:t>
      </w:r>
      <w:r w:rsidRPr="00B8122D">
        <w:t>, m</w:t>
      </w:r>
      <w:r w:rsidR="004B28CC">
        <w:t>edian P</w:t>
      </w:r>
      <w:r w:rsidRPr="00B8122D">
        <w:t xml:space="preserve">FS was </w:t>
      </w:r>
      <w:r w:rsidR="00E8527B">
        <w:t xml:space="preserve">not reported </w:t>
      </w:r>
      <w:r w:rsidRPr="00B8122D">
        <w:t>v</w:t>
      </w:r>
      <w:r w:rsidR="00E64791" w:rsidRPr="00B8122D">
        <w:t xml:space="preserve">ersus </w:t>
      </w:r>
      <w:r w:rsidR="00E8527B">
        <w:t>not reported (hazard ratio</w:t>
      </w:r>
      <w:r w:rsidR="00E64791" w:rsidRPr="00B8122D">
        <w:t xml:space="preserve"> 0.597, 95% CI 0.430 to </w:t>
      </w:r>
      <w:r w:rsidRPr="00B8122D">
        <w:t>0.830).</w:t>
      </w:r>
      <w:r w:rsidR="0010489F" w:rsidRPr="00B8122D">
        <w:t xml:space="preserve"> </w:t>
      </w:r>
      <w:r w:rsidRPr="00B8122D">
        <w:t>Poor concordance persisted.</w:t>
      </w:r>
    </w:p>
    <w:p w14:paraId="7CB77F2C" w14:textId="77777777" w:rsidR="007E7504" w:rsidRPr="00B8122D" w:rsidRDefault="007E7504" w:rsidP="008A4E70">
      <w:pPr>
        <w:pStyle w:val="Heading6"/>
      </w:pPr>
      <w:r w:rsidRPr="00B8122D">
        <w:t>Unplanned (January 2017) PFS analysis</w:t>
      </w:r>
    </w:p>
    <w:p w14:paraId="7E5BC068" w14:textId="550AD5A3" w:rsidR="007E7504" w:rsidRPr="00B8122D" w:rsidRDefault="007E7504" w:rsidP="007E7504">
      <w:r w:rsidRPr="00B8122D">
        <w:t>Median PFS was 25.3 v</w:t>
      </w:r>
      <w:r w:rsidR="00E64791" w:rsidRPr="00B8122D">
        <w:t>ersu</w:t>
      </w:r>
      <w:r w:rsidRPr="00B8122D">
        <w:t>s 16.0 months;</w:t>
      </w:r>
      <w:r w:rsidR="00E64791" w:rsidRPr="00B8122D">
        <w:t xml:space="preserve"> PFS </w:t>
      </w:r>
      <w:r w:rsidR="00E8527B">
        <w:t>hazard ratio</w:t>
      </w:r>
      <w:r w:rsidR="00E64791" w:rsidRPr="00B8122D">
        <w:t xml:space="preserve"> was 0.568 (95% CI 0.457 to 0.704) (investigator </w:t>
      </w:r>
      <w:r w:rsidRPr="00B8122D">
        <w:t>assessed).</w:t>
      </w:r>
      <w:r w:rsidR="0010489F" w:rsidRPr="00B8122D">
        <w:t xml:space="preserve"> </w:t>
      </w:r>
      <w:r w:rsidR="00021E4C">
        <w:t>BICR</w:t>
      </w:r>
      <w:r w:rsidRPr="00B8122D">
        <w:t xml:space="preserve"> outcomes were not reported.</w:t>
      </w:r>
    </w:p>
    <w:p w14:paraId="20F15576" w14:textId="231796E6" w:rsidR="007E7504" w:rsidRPr="00B8122D" w:rsidRDefault="00E8527B" w:rsidP="007E7504">
      <w:r>
        <w:t>OS</w:t>
      </w:r>
      <w:r w:rsidR="007E7504" w:rsidRPr="00B8122D">
        <w:t xml:space="preserve"> outcomes are described as immature but encouraging</w:t>
      </w:r>
      <w:r w:rsidR="00E64791" w:rsidRPr="00B8122D">
        <w:t xml:space="preserve">. </w:t>
      </w:r>
      <w:r w:rsidR="007E7504" w:rsidRPr="00B8122D">
        <w:t>OS analyses were provided for two time</w:t>
      </w:r>
      <w:r w:rsidR="00DB0E0D">
        <w:t xml:space="preserve"> </w:t>
      </w:r>
      <w:r w:rsidR="007E7504" w:rsidRPr="00B8122D">
        <w:t xml:space="preserve">points, </w:t>
      </w:r>
      <w:r w:rsidR="00E64791" w:rsidRPr="00B8122D">
        <w:t xml:space="preserve">shown below in Table </w:t>
      </w:r>
      <w:r w:rsidR="00A45732">
        <w:t>1</w:t>
      </w:r>
      <w:r w:rsidR="001A79AE">
        <w:t>2</w:t>
      </w:r>
      <w:r w:rsidR="00E64791" w:rsidRPr="00B8122D">
        <w:t>, taken from the clinical evaluation report.</w:t>
      </w:r>
    </w:p>
    <w:p w14:paraId="5B212597" w14:textId="7C485624" w:rsidR="00E64791" w:rsidRPr="00B8122D" w:rsidRDefault="00A45732" w:rsidP="00E64791">
      <w:pPr>
        <w:pStyle w:val="TableTitle"/>
      </w:pPr>
      <w:r>
        <w:t>Table 1</w:t>
      </w:r>
      <w:r w:rsidR="001A79AE">
        <w:t>2</w:t>
      </w:r>
      <w:r w:rsidR="00077B6B">
        <w:t>:</w:t>
      </w:r>
      <w:r w:rsidR="00E64791" w:rsidRPr="00B8122D">
        <w:t xml:space="preserve"> Overall survival outcome results</w:t>
      </w:r>
    </w:p>
    <w:tbl>
      <w:tblPr>
        <w:tblStyle w:val="TableTGAblue"/>
        <w:tblW w:w="0" w:type="auto"/>
        <w:tblLook w:val="04A0" w:firstRow="1" w:lastRow="0" w:firstColumn="1" w:lastColumn="0" w:noHBand="0" w:noVBand="1"/>
      </w:tblPr>
      <w:tblGrid>
        <w:gridCol w:w="2252"/>
        <w:gridCol w:w="1542"/>
        <w:gridCol w:w="1515"/>
        <w:gridCol w:w="1789"/>
        <w:gridCol w:w="1623"/>
      </w:tblGrid>
      <w:tr w:rsidR="007E7504" w:rsidRPr="00F74C1A" w14:paraId="4E0E01EC" w14:textId="77777777" w:rsidTr="00D7276C">
        <w:trPr>
          <w:cnfStyle w:val="100000000000" w:firstRow="1" w:lastRow="0" w:firstColumn="0" w:lastColumn="0" w:oddVBand="0" w:evenVBand="0" w:oddHBand="0" w:evenHBand="0" w:firstRowFirstColumn="0" w:firstRowLastColumn="0" w:lastRowFirstColumn="0" w:lastRowLastColumn="0"/>
          <w:trHeight w:val="741"/>
        </w:trPr>
        <w:tc>
          <w:tcPr>
            <w:tcW w:w="2252" w:type="dxa"/>
          </w:tcPr>
          <w:p w14:paraId="6568571F" w14:textId="77777777" w:rsidR="007E7504" w:rsidRPr="00377476" w:rsidRDefault="007E7504" w:rsidP="007E7504">
            <w:pPr>
              <w:rPr>
                <w:sz w:val="20"/>
                <w:szCs w:val="20"/>
              </w:rPr>
            </w:pPr>
          </w:p>
        </w:tc>
        <w:tc>
          <w:tcPr>
            <w:tcW w:w="3057" w:type="dxa"/>
            <w:gridSpan w:val="2"/>
          </w:tcPr>
          <w:p w14:paraId="6EE3367F" w14:textId="37A7983D" w:rsidR="007E7504" w:rsidRPr="00377476" w:rsidRDefault="007E7504" w:rsidP="00E64791">
            <w:pPr>
              <w:rPr>
                <w:sz w:val="20"/>
                <w:szCs w:val="20"/>
              </w:rPr>
            </w:pPr>
            <w:r w:rsidRPr="00377476">
              <w:rPr>
                <w:sz w:val="20"/>
                <w:szCs w:val="20"/>
              </w:rPr>
              <w:t>Interim OS Results (29</w:t>
            </w:r>
            <w:r w:rsidR="00E64791" w:rsidRPr="00377476">
              <w:rPr>
                <w:sz w:val="20"/>
                <w:szCs w:val="20"/>
              </w:rPr>
              <w:t xml:space="preserve"> January </w:t>
            </w:r>
            <w:r w:rsidRPr="00377476">
              <w:rPr>
                <w:sz w:val="20"/>
                <w:szCs w:val="20"/>
              </w:rPr>
              <w:t>2016 cut</w:t>
            </w:r>
            <w:r w:rsidR="00E64791" w:rsidRPr="00377476">
              <w:rPr>
                <w:sz w:val="20"/>
                <w:szCs w:val="20"/>
              </w:rPr>
              <w:t xml:space="preserve"> </w:t>
            </w:r>
            <w:r w:rsidRPr="00377476">
              <w:rPr>
                <w:sz w:val="20"/>
                <w:szCs w:val="20"/>
              </w:rPr>
              <w:t>off)</w:t>
            </w:r>
          </w:p>
        </w:tc>
        <w:tc>
          <w:tcPr>
            <w:tcW w:w="3412" w:type="dxa"/>
            <w:gridSpan w:val="2"/>
          </w:tcPr>
          <w:p w14:paraId="1DAE981B" w14:textId="61FB70DA" w:rsidR="007E7504" w:rsidRPr="00377476" w:rsidRDefault="007E7504" w:rsidP="00E64791">
            <w:pPr>
              <w:rPr>
                <w:sz w:val="20"/>
                <w:szCs w:val="20"/>
              </w:rPr>
            </w:pPr>
            <w:r w:rsidRPr="00377476">
              <w:rPr>
                <w:sz w:val="20"/>
                <w:szCs w:val="20"/>
              </w:rPr>
              <w:t>Second Interim OS Results (</w:t>
            </w:r>
            <w:r w:rsidR="00377476">
              <w:rPr>
                <w:sz w:val="20"/>
                <w:szCs w:val="20"/>
              </w:rPr>
              <w:t>2 </w:t>
            </w:r>
            <w:r w:rsidR="00E64791" w:rsidRPr="00377476">
              <w:rPr>
                <w:sz w:val="20"/>
                <w:szCs w:val="20"/>
              </w:rPr>
              <w:t xml:space="preserve">January </w:t>
            </w:r>
            <w:r w:rsidRPr="00377476">
              <w:rPr>
                <w:sz w:val="20"/>
                <w:szCs w:val="20"/>
              </w:rPr>
              <w:t>2017 cut</w:t>
            </w:r>
            <w:r w:rsidR="00E64791" w:rsidRPr="00377476">
              <w:rPr>
                <w:sz w:val="20"/>
                <w:szCs w:val="20"/>
              </w:rPr>
              <w:t xml:space="preserve"> </w:t>
            </w:r>
            <w:r w:rsidRPr="00377476">
              <w:rPr>
                <w:sz w:val="20"/>
                <w:szCs w:val="20"/>
              </w:rPr>
              <w:t>off)</w:t>
            </w:r>
          </w:p>
        </w:tc>
      </w:tr>
      <w:tr w:rsidR="007E7504" w:rsidRPr="00F74C1A" w14:paraId="4DEFF1FA" w14:textId="77777777" w:rsidTr="00377476">
        <w:trPr>
          <w:trHeight w:val="1379"/>
        </w:trPr>
        <w:tc>
          <w:tcPr>
            <w:tcW w:w="2252" w:type="dxa"/>
            <w:shd w:val="clear" w:color="auto" w:fill="006DA7"/>
          </w:tcPr>
          <w:p w14:paraId="0A6CAAD5" w14:textId="77777777" w:rsidR="007E7504" w:rsidRPr="00377476" w:rsidRDefault="007E7504" w:rsidP="007E7504">
            <w:pPr>
              <w:rPr>
                <w:b/>
                <w:color w:val="FFFFFF" w:themeColor="background1"/>
                <w:sz w:val="20"/>
                <w:szCs w:val="20"/>
              </w:rPr>
            </w:pPr>
          </w:p>
        </w:tc>
        <w:tc>
          <w:tcPr>
            <w:tcW w:w="1542" w:type="dxa"/>
            <w:shd w:val="clear" w:color="auto" w:fill="006DA7"/>
          </w:tcPr>
          <w:p w14:paraId="572394D1" w14:textId="441885F7" w:rsidR="007E7504" w:rsidRPr="00377476" w:rsidRDefault="007E7504" w:rsidP="00E64791">
            <w:pPr>
              <w:rPr>
                <w:b/>
                <w:bCs/>
                <w:color w:val="FFFFFF" w:themeColor="background1"/>
                <w:sz w:val="20"/>
                <w:szCs w:val="20"/>
              </w:rPr>
            </w:pPr>
            <w:r w:rsidRPr="00377476">
              <w:rPr>
                <w:b/>
                <w:bCs/>
                <w:color w:val="FFFFFF" w:themeColor="background1"/>
                <w:sz w:val="20"/>
                <w:szCs w:val="20"/>
              </w:rPr>
              <w:t>Ribociclib plus</w:t>
            </w:r>
            <w:r w:rsidR="00E64791" w:rsidRPr="00377476">
              <w:rPr>
                <w:b/>
                <w:bCs/>
                <w:color w:val="FFFFFF" w:themeColor="background1"/>
                <w:sz w:val="20"/>
                <w:szCs w:val="20"/>
              </w:rPr>
              <w:t xml:space="preserve"> l</w:t>
            </w:r>
            <w:r w:rsidRPr="00377476">
              <w:rPr>
                <w:b/>
                <w:bCs/>
                <w:color w:val="FFFFFF" w:themeColor="background1"/>
                <w:sz w:val="20"/>
                <w:szCs w:val="20"/>
              </w:rPr>
              <w:t>etrozole</w:t>
            </w:r>
          </w:p>
          <w:p w14:paraId="0B1106B2" w14:textId="68B95939" w:rsidR="007E7504" w:rsidRPr="00377476" w:rsidRDefault="007E7504" w:rsidP="00E64791">
            <w:pPr>
              <w:rPr>
                <w:b/>
                <w:color w:val="FFFFFF" w:themeColor="background1"/>
                <w:sz w:val="20"/>
                <w:szCs w:val="20"/>
              </w:rPr>
            </w:pPr>
            <w:r w:rsidRPr="00377476">
              <w:rPr>
                <w:b/>
                <w:bCs/>
                <w:color w:val="FFFFFF" w:themeColor="background1"/>
                <w:sz w:val="20"/>
                <w:szCs w:val="20"/>
              </w:rPr>
              <w:t>N</w:t>
            </w:r>
            <w:r w:rsidR="00E64791" w:rsidRPr="00377476">
              <w:rPr>
                <w:b/>
                <w:bCs/>
                <w:color w:val="FFFFFF" w:themeColor="background1"/>
                <w:sz w:val="20"/>
                <w:szCs w:val="20"/>
              </w:rPr>
              <w:t xml:space="preserve"> </w:t>
            </w:r>
            <w:r w:rsidRPr="00377476">
              <w:rPr>
                <w:b/>
                <w:bCs/>
                <w:color w:val="FFFFFF" w:themeColor="background1"/>
                <w:sz w:val="20"/>
                <w:szCs w:val="20"/>
              </w:rPr>
              <w:t>=</w:t>
            </w:r>
            <w:r w:rsidR="00E64791" w:rsidRPr="00377476">
              <w:rPr>
                <w:b/>
                <w:bCs/>
                <w:color w:val="FFFFFF" w:themeColor="background1"/>
                <w:sz w:val="20"/>
                <w:szCs w:val="20"/>
              </w:rPr>
              <w:t xml:space="preserve"> </w:t>
            </w:r>
            <w:r w:rsidRPr="00377476">
              <w:rPr>
                <w:b/>
                <w:bCs/>
                <w:color w:val="FFFFFF" w:themeColor="background1"/>
                <w:sz w:val="20"/>
                <w:szCs w:val="20"/>
              </w:rPr>
              <w:t>334</w:t>
            </w:r>
          </w:p>
        </w:tc>
        <w:tc>
          <w:tcPr>
            <w:tcW w:w="1515" w:type="dxa"/>
            <w:shd w:val="clear" w:color="auto" w:fill="006DA7"/>
          </w:tcPr>
          <w:p w14:paraId="0E8B1450" w14:textId="7539E089" w:rsidR="007E7504" w:rsidRPr="00377476" w:rsidRDefault="007E7504" w:rsidP="00E64791">
            <w:pPr>
              <w:rPr>
                <w:b/>
                <w:bCs/>
                <w:color w:val="FFFFFF" w:themeColor="background1"/>
                <w:sz w:val="20"/>
                <w:szCs w:val="20"/>
              </w:rPr>
            </w:pPr>
            <w:r w:rsidRPr="00377476">
              <w:rPr>
                <w:b/>
                <w:bCs/>
                <w:color w:val="FFFFFF" w:themeColor="background1"/>
                <w:sz w:val="20"/>
                <w:szCs w:val="20"/>
              </w:rPr>
              <w:t>Placebo plus</w:t>
            </w:r>
            <w:r w:rsidR="00E64791" w:rsidRPr="00377476">
              <w:rPr>
                <w:b/>
                <w:bCs/>
                <w:color w:val="FFFFFF" w:themeColor="background1"/>
                <w:sz w:val="20"/>
                <w:szCs w:val="20"/>
              </w:rPr>
              <w:t xml:space="preserve"> l</w:t>
            </w:r>
            <w:r w:rsidRPr="00377476">
              <w:rPr>
                <w:b/>
                <w:bCs/>
                <w:color w:val="FFFFFF" w:themeColor="background1"/>
                <w:sz w:val="20"/>
                <w:szCs w:val="20"/>
              </w:rPr>
              <w:t>etrozole</w:t>
            </w:r>
          </w:p>
          <w:p w14:paraId="0896E87A" w14:textId="166B1C7E" w:rsidR="007E7504" w:rsidRPr="00377476" w:rsidRDefault="007E7504" w:rsidP="00E64791">
            <w:pPr>
              <w:rPr>
                <w:b/>
                <w:color w:val="FFFFFF" w:themeColor="background1"/>
                <w:sz w:val="20"/>
                <w:szCs w:val="20"/>
              </w:rPr>
            </w:pPr>
            <w:r w:rsidRPr="00377476">
              <w:rPr>
                <w:b/>
                <w:bCs/>
                <w:color w:val="FFFFFF" w:themeColor="background1"/>
                <w:sz w:val="20"/>
                <w:szCs w:val="20"/>
              </w:rPr>
              <w:t>N</w:t>
            </w:r>
            <w:r w:rsidR="00E64791" w:rsidRPr="00377476">
              <w:rPr>
                <w:b/>
                <w:bCs/>
                <w:color w:val="FFFFFF" w:themeColor="background1"/>
                <w:sz w:val="20"/>
                <w:szCs w:val="20"/>
              </w:rPr>
              <w:t xml:space="preserve"> </w:t>
            </w:r>
            <w:r w:rsidRPr="00377476">
              <w:rPr>
                <w:b/>
                <w:bCs/>
                <w:color w:val="FFFFFF" w:themeColor="background1"/>
                <w:sz w:val="20"/>
                <w:szCs w:val="20"/>
              </w:rPr>
              <w:t>=</w:t>
            </w:r>
            <w:r w:rsidR="00E64791" w:rsidRPr="00377476">
              <w:rPr>
                <w:b/>
                <w:bCs/>
                <w:color w:val="FFFFFF" w:themeColor="background1"/>
                <w:sz w:val="20"/>
                <w:szCs w:val="20"/>
              </w:rPr>
              <w:t xml:space="preserve"> </w:t>
            </w:r>
            <w:r w:rsidRPr="00377476">
              <w:rPr>
                <w:b/>
                <w:bCs/>
                <w:color w:val="FFFFFF" w:themeColor="background1"/>
                <w:sz w:val="20"/>
                <w:szCs w:val="20"/>
              </w:rPr>
              <w:t>334</w:t>
            </w:r>
          </w:p>
        </w:tc>
        <w:tc>
          <w:tcPr>
            <w:tcW w:w="1789" w:type="dxa"/>
            <w:shd w:val="clear" w:color="auto" w:fill="006DA7"/>
          </w:tcPr>
          <w:p w14:paraId="5191D6D4" w14:textId="7D940436" w:rsidR="007E7504" w:rsidRPr="00377476" w:rsidRDefault="007E7504" w:rsidP="00E64791">
            <w:pPr>
              <w:rPr>
                <w:b/>
                <w:bCs/>
                <w:color w:val="FFFFFF" w:themeColor="background1"/>
                <w:sz w:val="20"/>
                <w:szCs w:val="20"/>
              </w:rPr>
            </w:pPr>
            <w:r w:rsidRPr="00377476">
              <w:rPr>
                <w:b/>
                <w:bCs/>
                <w:color w:val="FFFFFF" w:themeColor="background1"/>
                <w:sz w:val="20"/>
                <w:szCs w:val="20"/>
              </w:rPr>
              <w:t>Ribociclib plus</w:t>
            </w:r>
            <w:r w:rsidR="00E64791" w:rsidRPr="00377476">
              <w:rPr>
                <w:b/>
                <w:bCs/>
                <w:color w:val="FFFFFF" w:themeColor="background1"/>
                <w:sz w:val="20"/>
                <w:szCs w:val="20"/>
              </w:rPr>
              <w:t xml:space="preserve"> l</w:t>
            </w:r>
            <w:r w:rsidRPr="00377476">
              <w:rPr>
                <w:b/>
                <w:bCs/>
                <w:color w:val="FFFFFF" w:themeColor="background1"/>
                <w:sz w:val="20"/>
                <w:szCs w:val="20"/>
              </w:rPr>
              <w:t>etrozole</w:t>
            </w:r>
          </w:p>
          <w:p w14:paraId="62EB61A6" w14:textId="364A733E" w:rsidR="007E7504" w:rsidRPr="00377476" w:rsidRDefault="007E7504" w:rsidP="00E64791">
            <w:pPr>
              <w:rPr>
                <w:b/>
                <w:color w:val="FFFFFF" w:themeColor="background1"/>
                <w:sz w:val="20"/>
                <w:szCs w:val="20"/>
              </w:rPr>
            </w:pPr>
            <w:r w:rsidRPr="00377476">
              <w:rPr>
                <w:b/>
                <w:bCs/>
                <w:color w:val="FFFFFF" w:themeColor="background1"/>
                <w:sz w:val="20"/>
                <w:szCs w:val="20"/>
              </w:rPr>
              <w:t>N</w:t>
            </w:r>
            <w:r w:rsidR="00E64791" w:rsidRPr="00377476">
              <w:rPr>
                <w:b/>
                <w:bCs/>
                <w:color w:val="FFFFFF" w:themeColor="background1"/>
                <w:sz w:val="20"/>
                <w:szCs w:val="20"/>
              </w:rPr>
              <w:t xml:space="preserve"> </w:t>
            </w:r>
            <w:r w:rsidRPr="00377476">
              <w:rPr>
                <w:b/>
                <w:bCs/>
                <w:color w:val="FFFFFF" w:themeColor="background1"/>
                <w:sz w:val="20"/>
                <w:szCs w:val="20"/>
              </w:rPr>
              <w:t>=</w:t>
            </w:r>
            <w:r w:rsidR="00E64791" w:rsidRPr="00377476">
              <w:rPr>
                <w:b/>
                <w:bCs/>
                <w:color w:val="FFFFFF" w:themeColor="background1"/>
                <w:sz w:val="20"/>
                <w:szCs w:val="20"/>
              </w:rPr>
              <w:t xml:space="preserve"> </w:t>
            </w:r>
            <w:r w:rsidRPr="00377476">
              <w:rPr>
                <w:b/>
                <w:bCs/>
                <w:color w:val="FFFFFF" w:themeColor="background1"/>
                <w:sz w:val="20"/>
                <w:szCs w:val="20"/>
              </w:rPr>
              <w:t>334</w:t>
            </w:r>
          </w:p>
        </w:tc>
        <w:tc>
          <w:tcPr>
            <w:tcW w:w="1623" w:type="dxa"/>
            <w:shd w:val="clear" w:color="auto" w:fill="006DA7"/>
          </w:tcPr>
          <w:p w14:paraId="642D9CD3" w14:textId="7FADF3CC" w:rsidR="007E7504" w:rsidRPr="00377476" w:rsidRDefault="007E7504" w:rsidP="00E64791">
            <w:pPr>
              <w:rPr>
                <w:b/>
                <w:bCs/>
                <w:color w:val="FFFFFF" w:themeColor="background1"/>
                <w:sz w:val="20"/>
                <w:szCs w:val="20"/>
              </w:rPr>
            </w:pPr>
            <w:r w:rsidRPr="00377476">
              <w:rPr>
                <w:b/>
                <w:bCs/>
                <w:color w:val="FFFFFF" w:themeColor="background1"/>
                <w:sz w:val="20"/>
                <w:szCs w:val="20"/>
              </w:rPr>
              <w:t>Placebo plus</w:t>
            </w:r>
            <w:r w:rsidR="00E64791" w:rsidRPr="00377476">
              <w:rPr>
                <w:b/>
                <w:bCs/>
                <w:color w:val="FFFFFF" w:themeColor="background1"/>
                <w:sz w:val="20"/>
                <w:szCs w:val="20"/>
              </w:rPr>
              <w:t xml:space="preserve"> l</w:t>
            </w:r>
            <w:r w:rsidRPr="00377476">
              <w:rPr>
                <w:b/>
                <w:bCs/>
                <w:color w:val="FFFFFF" w:themeColor="background1"/>
                <w:sz w:val="20"/>
                <w:szCs w:val="20"/>
              </w:rPr>
              <w:t>etrozole</w:t>
            </w:r>
          </w:p>
          <w:p w14:paraId="44E630EE" w14:textId="2026BCF8" w:rsidR="007E7504" w:rsidRPr="00377476" w:rsidRDefault="007E7504" w:rsidP="00E64791">
            <w:pPr>
              <w:rPr>
                <w:b/>
                <w:color w:val="FFFFFF" w:themeColor="background1"/>
                <w:sz w:val="20"/>
                <w:szCs w:val="20"/>
              </w:rPr>
            </w:pPr>
            <w:r w:rsidRPr="00377476">
              <w:rPr>
                <w:b/>
                <w:bCs/>
                <w:color w:val="FFFFFF" w:themeColor="background1"/>
                <w:sz w:val="20"/>
                <w:szCs w:val="20"/>
              </w:rPr>
              <w:t>N</w:t>
            </w:r>
            <w:r w:rsidR="00E64791" w:rsidRPr="00377476">
              <w:rPr>
                <w:b/>
                <w:bCs/>
                <w:color w:val="FFFFFF" w:themeColor="background1"/>
                <w:sz w:val="20"/>
                <w:szCs w:val="20"/>
              </w:rPr>
              <w:t xml:space="preserve"> </w:t>
            </w:r>
            <w:r w:rsidRPr="00377476">
              <w:rPr>
                <w:b/>
                <w:bCs/>
                <w:color w:val="FFFFFF" w:themeColor="background1"/>
                <w:sz w:val="20"/>
                <w:szCs w:val="20"/>
              </w:rPr>
              <w:t>=</w:t>
            </w:r>
            <w:r w:rsidR="00E64791" w:rsidRPr="00377476">
              <w:rPr>
                <w:b/>
                <w:bCs/>
                <w:color w:val="FFFFFF" w:themeColor="background1"/>
                <w:sz w:val="20"/>
                <w:szCs w:val="20"/>
              </w:rPr>
              <w:t xml:space="preserve"> </w:t>
            </w:r>
            <w:r w:rsidRPr="00377476">
              <w:rPr>
                <w:b/>
                <w:bCs/>
                <w:color w:val="FFFFFF" w:themeColor="background1"/>
                <w:sz w:val="20"/>
                <w:szCs w:val="20"/>
              </w:rPr>
              <w:t>334</w:t>
            </w:r>
          </w:p>
        </w:tc>
      </w:tr>
      <w:tr w:rsidR="007E7504" w:rsidRPr="00F74C1A" w14:paraId="1F3E2EFB" w14:textId="77777777" w:rsidTr="00D7276C">
        <w:trPr>
          <w:trHeight w:val="490"/>
        </w:trPr>
        <w:tc>
          <w:tcPr>
            <w:tcW w:w="2252" w:type="dxa"/>
          </w:tcPr>
          <w:p w14:paraId="0922E3A8" w14:textId="2902D54D" w:rsidR="007E7504" w:rsidRPr="00F74C1A" w:rsidRDefault="00E64791" w:rsidP="007E7504">
            <w:pPr>
              <w:rPr>
                <w:sz w:val="20"/>
                <w:szCs w:val="20"/>
              </w:rPr>
            </w:pPr>
            <w:r w:rsidRPr="00F74C1A">
              <w:rPr>
                <w:sz w:val="20"/>
                <w:szCs w:val="20"/>
              </w:rPr>
              <w:t>Death e</w:t>
            </w:r>
            <w:r w:rsidR="007E7504" w:rsidRPr="00F74C1A">
              <w:rPr>
                <w:sz w:val="20"/>
                <w:szCs w:val="20"/>
              </w:rPr>
              <w:t>vents, n (%)</w:t>
            </w:r>
          </w:p>
        </w:tc>
        <w:tc>
          <w:tcPr>
            <w:tcW w:w="1542" w:type="dxa"/>
          </w:tcPr>
          <w:p w14:paraId="1A8463B9" w14:textId="77777777" w:rsidR="007E7504" w:rsidRPr="00F74C1A" w:rsidRDefault="007E7504" w:rsidP="007E7504">
            <w:pPr>
              <w:rPr>
                <w:sz w:val="20"/>
                <w:szCs w:val="20"/>
              </w:rPr>
            </w:pPr>
            <w:r w:rsidRPr="00F74C1A">
              <w:rPr>
                <w:sz w:val="20"/>
                <w:szCs w:val="20"/>
              </w:rPr>
              <w:t>23 (6.9)</w:t>
            </w:r>
          </w:p>
        </w:tc>
        <w:tc>
          <w:tcPr>
            <w:tcW w:w="1515" w:type="dxa"/>
          </w:tcPr>
          <w:p w14:paraId="63F272D1" w14:textId="77777777" w:rsidR="007E7504" w:rsidRPr="00F74C1A" w:rsidRDefault="007E7504" w:rsidP="007E7504">
            <w:pPr>
              <w:rPr>
                <w:sz w:val="20"/>
                <w:szCs w:val="20"/>
              </w:rPr>
            </w:pPr>
            <w:r w:rsidRPr="00F74C1A">
              <w:rPr>
                <w:sz w:val="20"/>
                <w:szCs w:val="20"/>
              </w:rPr>
              <w:t>20 (6.0)</w:t>
            </w:r>
          </w:p>
        </w:tc>
        <w:tc>
          <w:tcPr>
            <w:tcW w:w="1789" w:type="dxa"/>
          </w:tcPr>
          <w:p w14:paraId="672BA81F" w14:textId="77777777" w:rsidR="007E7504" w:rsidRPr="00F74C1A" w:rsidRDefault="007E7504" w:rsidP="007E7504">
            <w:pPr>
              <w:rPr>
                <w:sz w:val="20"/>
                <w:szCs w:val="20"/>
              </w:rPr>
            </w:pPr>
            <w:r w:rsidRPr="00F74C1A">
              <w:rPr>
                <w:sz w:val="20"/>
                <w:szCs w:val="20"/>
              </w:rPr>
              <w:t>50 (15.0)</w:t>
            </w:r>
          </w:p>
        </w:tc>
        <w:tc>
          <w:tcPr>
            <w:tcW w:w="1623" w:type="dxa"/>
          </w:tcPr>
          <w:p w14:paraId="10DD9231" w14:textId="77777777" w:rsidR="007E7504" w:rsidRPr="00F74C1A" w:rsidRDefault="007E7504" w:rsidP="007E7504">
            <w:pPr>
              <w:rPr>
                <w:sz w:val="20"/>
                <w:szCs w:val="20"/>
              </w:rPr>
            </w:pPr>
            <w:r w:rsidRPr="00F74C1A">
              <w:rPr>
                <w:sz w:val="20"/>
                <w:szCs w:val="20"/>
              </w:rPr>
              <w:t>68 (19.8)</w:t>
            </w:r>
          </w:p>
        </w:tc>
      </w:tr>
      <w:tr w:rsidR="007E7504" w:rsidRPr="00F74C1A" w14:paraId="34DD413C" w14:textId="77777777" w:rsidTr="00D7276C">
        <w:trPr>
          <w:trHeight w:val="741"/>
        </w:trPr>
        <w:tc>
          <w:tcPr>
            <w:tcW w:w="2252" w:type="dxa"/>
          </w:tcPr>
          <w:p w14:paraId="2F9D0A1B" w14:textId="77777777" w:rsidR="007E7504" w:rsidRPr="00F74C1A" w:rsidRDefault="007E7504" w:rsidP="007E7504">
            <w:pPr>
              <w:rPr>
                <w:sz w:val="20"/>
                <w:szCs w:val="20"/>
              </w:rPr>
            </w:pPr>
            <w:r w:rsidRPr="00F74C1A">
              <w:rPr>
                <w:sz w:val="20"/>
                <w:szCs w:val="20"/>
              </w:rPr>
              <w:t>Censored</w:t>
            </w:r>
          </w:p>
        </w:tc>
        <w:tc>
          <w:tcPr>
            <w:tcW w:w="1542" w:type="dxa"/>
          </w:tcPr>
          <w:p w14:paraId="36998D1E" w14:textId="77777777" w:rsidR="007E7504" w:rsidRPr="00F74C1A" w:rsidRDefault="007E7504" w:rsidP="007E7504">
            <w:pPr>
              <w:rPr>
                <w:sz w:val="20"/>
                <w:szCs w:val="20"/>
              </w:rPr>
            </w:pPr>
            <w:r w:rsidRPr="00F74C1A">
              <w:rPr>
                <w:sz w:val="20"/>
                <w:szCs w:val="20"/>
              </w:rPr>
              <w:t>311 (93.1)</w:t>
            </w:r>
          </w:p>
        </w:tc>
        <w:tc>
          <w:tcPr>
            <w:tcW w:w="1515" w:type="dxa"/>
          </w:tcPr>
          <w:p w14:paraId="3BC79389" w14:textId="77777777" w:rsidR="007E7504" w:rsidRPr="00F74C1A" w:rsidRDefault="007E7504" w:rsidP="007E7504">
            <w:pPr>
              <w:rPr>
                <w:sz w:val="20"/>
                <w:szCs w:val="20"/>
              </w:rPr>
            </w:pPr>
            <w:r w:rsidRPr="00F74C1A">
              <w:rPr>
                <w:sz w:val="20"/>
                <w:szCs w:val="20"/>
              </w:rPr>
              <w:t>314 (94.0)</w:t>
            </w:r>
          </w:p>
        </w:tc>
        <w:tc>
          <w:tcPr>
            <w:tcW w:w="1789" w:type="dxa"/>
          </w:tcPr>
          <w:p w14:paraId="7273CE3A" w14:textId="77777777" w:rsidR="007E7504" w:rsidRPr="00F74C1A" w:rsidRDefault="007E7504" w:rsidP="007E7504">
            <w:pPr>
              <w:rPr>
                <w:sz w:val="20"/>
                <w:szCs w:val="20"/>
              </w:rPr>
            </w:pPr>
            <w:r w:rsidRPr="00F74C1A">
              <w:rPr>
                <w:sz w:val="20"/>
                <w:szCs w:val="20"/>
              </w:rPr>
              <w:t>284 (85.0)</w:t>
            </w:r>
          </w:p>
        </w:tc>
        <w:tc>
          <w:tcPr>
            <w:tcW w:w="1623" w:type="dxa"/>
          </w:tcPr>
          <w:p w14:paraId="5FBB70A5" w14:textId="77777777" w:rsidR="007E7504" w:rsidRPr="00F74C1A" w:rsidRDefault="007E7504" w:rsidP="007E7504">
            <w:pPr>
              <w:rPr>
                <w:sz w:val="20"/>
                <w:szCs w:val="20"/>
              </w:rPr>
            </w:pPr>
            <w:r w:rsidRPr="00F74C1A">
              <w:rPr>
                <w:sz w:val="20"/>
                <w:szCs w:val="20"/>
              </w:rPr>
              <w:t>268 (80.2)</w:t>
            </w:r>
          </w:p>
        </w:tc>
      </w:tr>
      <w:tr w:rsidR="007E7504" w:rsidRPr="00F74C1A" w14:paraId="5AA7A186" w14:textId="77777777" w:rsidTr="00D7276C">
        <w:trPr>
          <w:trHeight w:val="1003"/>
        </w:trPr>
        <w:tc>
          <w:tcPr>
            <w:tcW w:w="2252" w:type="dxa"/>
          </w:tcPr>
          <w:p w14:paraId="271C65BA" w14:textId="77777777" w:rsidR="007E7504" w:rsidRPr="00F74C1A" w:rsidRDefault="007E7504" w:rsidP="007E7504">
            <w:pPr>
              <w:rPr>
                <w:sz w:val="20"/>
                <w:szCs w:val="20"/>
              </w:rPr>
            </w:pPr>
            <w:r w:rsidRPr="00F74C1A">
              <w:rPr>
                <w:sz w:val="20"/>
                <w:szCs w:val="20"/>
              </w:rPr>
              <w:t>Median, months (95% CI)</w:t>
            </w:r>
          </w:p>
        </w:tc>
        <w:tc>
          <w:tcPr>
            <w:tcW w:w="1542" w:type="dxa"/>
          </w:tcPr>
          <w:p w14:paraId="07775CA0" w14:textId="77777777" w:rsidR="007E7504" w:rsidRPr="00F74C1A" w:rsidRDefault="007E7504" w:rsidP="007E7504">
            <w:pPr>
              <w:rPr>
                <w:sz w:val="20"/>
                <w:szCs w:val="20"/>
              </w:rPr>
            </w:pPr>
            <w:r w:rsidRPr="00F74C1A">
              <w:rPr>
                <w:sz w:val="20"/>
                <w:szCs w:val="20"/>
              </w:rPr>
              <w:t>NE (NE, NE)</w:t>
            </w:r>
          </w:p>
        </w:tc>
        <w:tc>
          <w:tcPr>
            <w:tcW w:w="1515" w:type="dxa"/>
          </w:tcPr>
          <w:p w14:paraId="0929279E" w14:textId="77777777" w:rsidR="007E7504" w:rsidRPr="00F74C1A" w:rsidRDefault="007E7504" w:rsidP="007E7504">
            <w:pPr>
              <w:rPr>
                <w:sz w:val="20"/>
                <w:szCs w:val="20"/>
              </w:rPr>
            </w:pPr>
            <w:r w:rsidRPr="00F74C1A">
              <w:rPr>
                <w:sz w:val="20"/>
                <w:szCs w:val="20"/>
              </w:rPr>
              <w:t>NE (NE, NE)</w:t>
            </w:r>
          </w:p>
        </w:tc>
        <w:tc>
          <w:tcPr>
            <w:tcW w:w="1789" w:type="dxa"/>
          </w:tcPr>
          <w:p w14:paraId="0AE18270" w14:textId="77777777" w:rsidR="007E7504" w:rsidRPr="00F74C1A" w:rsidRDefault="007E7504" w:rsidP="007E7504">
            <w:pPr>
              <w:rPr>
                <w:sz w:val="20"/>
                <w:szCs w:val="20"/>
              </w:rPr>
            </w:pPr>
            <w:r w:rsidRPr="00F74C1A">
              <w:rPr>
                <w:sz w:val="20"/>
                <w:szCs w:val="20"/>
              </w:rPr>
              <w:t>NE (NE, NE)</w:t>
            </w:r>
          </w:p>
        </w:tc>
        <w:tc>
          <w:tcPr>
            <w:tcW w:w="1623" w:type="dxa"/>
          </w:tcPr>
          <w:p w14:paraId="0855B258" w14:textId="77777777" w:rsidR="007E7504" w:rsidRPr="00F74C1A" w:rsidRDefault="007E7504" w:rsidP="007E7504">
            <w:pPr>
              <w:rPr>
                <w:sz w:val="20"/>
                <w:szCs w:val="20"/>
              </w:rPr>
            </w:pPr>
            <w:r w:rsidRPr="00F74C1A">
              <w:rPr>
                <w:sz w:val="20"/>
                <w:szCs w:val="20"/>
              </w:rPr>
              <w:t>33.0 (33.0, NE)</w:t>
            </w:r>
          </w:p>
        </w:tc>
      </w:tr>
      <w:tr w:rsidR="007E7504" w:rsidRPr="00F74C1A" w14:paraId="14ABFD88" w14:textId="77777777" w:rsidTr="00D7276C">
        <w:trPr>
          <w:trHeight w:val="741"/>
        </w:trPr>
        <w:tc>
          <w:tcPr>
            <w:tcW w:w="2252" w:type="dxa"/>
          </w:tcPr>
          <w:p w14:paraId="6BEC7D6D" w14:textId="45F23FB8" w:rsidR="007E7504" w:rsidRPr="00F74C1A" w:rsidRDefault="00E64791" w:rsidP="007E7504">
            <w:pPr>
              <w:rPr>
                <w:sz w:val="20"/>
                <w:szCs w:val="20"/>
              </w:rPr>
            </w:pPr>
            <w:r w:rsidRPr="00F74C1A">
              <w:rPr>
                <w:sz w:val="20"/>
                <w:szCs w:val="20"/>
              </w:rPr>
              <w:t>Hazard r</w:t>
            </w:r>
            <w:r w:rsidR="007E7504" w:rsidRPr="00F74C1A">
              <w:rPr>
                <w:sz w:val="20"/>
                <w:szCs w:val="20"/>
              </w:rPr>
              <w:t>atio, estimate (95% CI)</w:t>
            </w:r>
          </w:p>
        </w:tc>
        <w:tc>
          <w:tcPr>
            <w:tcW w:w="3057" w:type="dxa"/>
            <w:gridSpan w:val="2"/>
          </w:tcPr>
          <w:p w14:paraId="6A94A014" w14:textId="77777777" w:rsidR="007E7504" w:rsidRPr="00F74C1A" w:rsidRDefault="007E7504" w:rsidP="007E7504">
            <w:pPr>
              <w:rPr>
                <w:sz w:val="20"/>
                <w:szCs w:val="20"/>
              </w:rPr>
            </w:pPr>
            <w:r w:rsidRPr="00F74C1A">
              <w:rPr>
                <w:sz w:val="20"/>
                <w:szCs w:val="20"/>
              </w:rPr>
              <w:t>1.128 (0.619, 2.055)</w:t>
            </w:r>
          </w:p>
        </w:tc>
        <w:tc>
          <w:tcPr>
            <w:tcW w:w="3412" w:type="dxa"/>
            <w:gridSpan w:val="2"/>
          </w:tcPr>
          <w:p w14:paraId="62CE053E" w14:textId="77777777" w:rsidR="007E7504" w:rsidRPr="00F74C1A" w:rsidRDefault="007E7504" w:rsidP="007E7504">
            <w:pPr>
              <w:rPr>
                <w:sz w:val="20"/>
                <w:szCs w:val="20"/>
              </w:rPr>
            </w:pPr>
            <w:r w:rsidRPr="00F74C1A">
              <w:rPr>
                <w:sz w:val="20"/>
                <w:szCs w:val="20"/>
              </w:rPr>
              <w:t>0.746 (0.51, 1.08)</w:t>
            </w:r>
          </w:p>
        </w:tc>
      </w:tr>
      <w:tr w:rsidR="007E7504" w:rsidRPr="00F74C1A" w14:paraId="150BBDD9" w14:textId="77777777" w:rsidTr="00D7276C">
        <w:trPr>
          <w:trHeight w:val="490"/>
        </w:trPr>
        <w:tc>
          <w:tcPr>
            <w:tcW w:w="2252" w:type="dxa"/>
          </w:tcPr>
          <w:p w14:paraId="252A145D" w14:textId="77777777" w:rsidR="007E7504" w:rsidRPr="00F74C1A" w:rsidRDefault="007E7504" w:rsidP="007E7504">
            <w:pPr>
              <w:rPr>
                <w:sz w:val="20"/>
                <w:szCs w:val="20"/>
              </w:rPr>
            </w:pPr>
            <w:r w:rsidRPr="00F74C1A">
              <w:rPr>
                <w:sz w:val="20"/>
                <w:szCs w:val="20"/>
              </w:rPr>
              <w:t>p-value</w:t>
            </w:r>
          </w:p>
        </w:tc>
        <w:tc>
          <w:tcPr>
            <w:tcW w:w="3057" w:type="dxa"/>
            <w:gridSpan w:val="2"/>
          </w:tcPr>
          <w:p w14:paraId="5A5BF1F9" w14:textId="77777777" w:rsidR="007E7504" w:rsidRPr="00F74C1A" w:rsidRDefault="007E7504" w:rsidP="007E7504">
            <w:pPr>
              <w:rPr>
                <w:sz w:val="20"/>
                <w:szCs w:val="20"/>
              </w:rPr>
            </w:pPr>
            <w:r w:rsidRPr="00F74C1A">
              <w:rPr>
                <w:sz w:val="20"/>
                <w:szCs w:val="20"/>
              </w:rPr>
              <w:t>0.653</w:t>
            </w:r>
          </w:p>
        </w:tc>
        <w:tc>
          <w:tcPr>
            <w:tcW w:w="3412" w:type="dxa"/>
            <w:gridSpan w:val="2"/>
          </w:tcPr>
          <w:p w14:paraId="145ED485" w14:textId="6E688172" w:rsidR="007E7504" w:rsidRPr="00F74C1A" w:rsidRDefault="00470EF0" w:rsidP="007E7504">
            <w:pPr>
              <w:rPr>
                <w:sz w:val="20"/>
                <w:szCs w:val="20"/>
              </w:rPr>
            </w:pPr>
            <w:r w:rsidRPr="00F74C1A">
              <w:rPr>
                <w:sz w:val="20"/>
                <w:szCs w:val="20"/>
              </w:rPr>
              <w:t>0.09*</w:t>
            </w:r>
          </w:p>
        </w:tc>
      </w:tr>
      <w:tr w:rsidR="007E7504" w:rsidRPr="00F74C1A" w14:paraId="65205F29" w14:textId="77777777" w:rsidTr="00D7276C">
        <w:trPr>
          <w:trHeight w:val="501"/>
        </w:trPr>
        <w:tc>
          <w:tcPr>
            <w:tcW w:w="8721" w:type="dxa"/>
            <w:gridSpan w:val="5"/>
          </w:tcPr>
          <w:p w14:paraId="7E7EE4E7" w14:textId="77777777" w:rsidR="007E7504" w:rsidRPr="00F74C1A" w:rsidRDefault="007E7504" w:rsidP="007E7504">
            <w:pPr>
              <w:rPr>
                <w:i/>
                <w:sz w:val="20"/>
                <w:szCs w:val="20"/>
              </w:rPr>
            </w:pPr>
            <w:r w:rsidRPr="00F74C1A">
              <w:rPr>
                <w:i/>
                <w:sz w:val="20"/>
                <w:szCs w:val="20"/>
              </w:rPr>
              <w:t xml:space="preserve">NE </w:t>
            </w:r>
            <w:r w:rsidRPr="00F74C1A">
              <w:rPr>
                <w:i/>
                <w:iCs/>
                <w:sz w:val="20"/>
                <w:szCs w:val="20"/>
              </w:rPr>
              <w:t>= not estimable</w:t>
            </w:r>
          </w:p>
        </w:tc>
      </w:tr>
    </w:tbl>
    <w:p w14:paraId="2048E272" w14:textId="77777777" w:rsidR="00470EF0" w:rsidRPr="00B8122D" w:rsidRDefault="00470EF0" w:rsidP="00470EF0">
      <w:pPr>
        <w:pStyle w:val="TableDescription"/>
      </w:pPr>
      <w:r w:rsidRPr="00B8122D">
        <w:t>Source: CDER multidisciplinary review document; note: * the p-value in the EMA documents and in the report provided to the TGA is shown as 0.059 and not 0.09.</w:t>
      </w:r>
    </w:p>
    <w:p w14:paraId="426365E6" w14:textId="58A6F552" w:rsidR="007E7504" w:rsidRPr="00B8122D" w:rsidRDefault="007E7504" w:rsidP="007E7504">
      <w:r w:rsidRPr="00B8122D">
        <w:t>Time to deterioration of ECOG performance</w:t>
      </w:r>
      <w:r w:rsidR="00E64791" w:rsidRPr="00B8122D">
        <w:t xml:space="preserve"> score was similar across arms. </w:t>
      </w:r>
      <w:r w:rsidRPr="00B8122D">
        <w:t>Analysis of glob</w:t>
      </w:r>
      <w:r w:rsidR="00E8527B">
        <w:t xml:space="preserve">al health status using </w:t>
      </w:r>
      <w:r w:rsidR="00983A17">
        <w:t xml:space="preserve">the </w:t>
      </w:r>
      <w:r w:rsidR="00E8527B">
        <w:t>EORTC QLQ</w:t>
      </w:r>
      <w:r w:rsidRPr="00B8122D">
        <w:t>-</w:t>
      </w:r>
      <w:r w:rsidR="00E9608F" w:rsidRPr="00B8122D">
        <w:t>C30 did not reveal differences</w:t>
      </w:r>
      <w:r w:rsidRPr="00B8122D">
        <w:t>.</w:t>
      </w:r>
      <w:r w:rsidR="00E8527B">
        <w:rPr>
          <w:rStyle w:val="FootnoteReference"/>
        </w:rPr>
        <w:footnoteReference w:id="53"/>
      </w:r>
      <w:r w:rsidR="0010489F" w:rsidRPr="00B8122D">
        <w:t xml:space="preserve"> </w:t>
      </w:r>
      <w:r w:rsidRPr="00B8122D">
        <w:t>Resource utilisa</w:t>
      </w:r>
      <w:r w:rsidR="00E9608F" w:rsidRPr="00B8122D">
        <w:t>tion outcomes are noted</w:t>
      </w:r>
      <w:r w:rsidRPr="00B8122D">
        <w:t>; reasons for hospital stay aligned with known additive toxicities (infection; hepatotoxicity; myelosuppression).</w:t>
      </w:r>
      <w:r w:rsidR="00E9608F" w:rsidRPr="00B8122D">
        <w:t xml:space="preserve"> </w:t>
      </w:r>
      <w:r w:rsidRPr="00B8122D">
        <w:t xml:space="preserve">Other endpoints are discussed from </w:t>
      </w:r>
      <w:r w:rsidR="00E9608F" w:rsidRPr="00B8122D">
        <w:t xml:space="preserve">in the clinical evaluation report </w:t>
      </w:r>
      <w:r w:rsidR="00F74C1A">
        <w:t>(</w:t>
      </w:r>
      <w:r w:rsidR="00005C78">
        <w:t>inclusion is beyond the scope of this AusP</w:t>
      </w:r>
      <w:r w:rsidR="00F74C1A">
        <w:t>AR)</w:t>
      </w:r>
      <w:r w:rsidR="00005C78">
        <w:t>.</w:t>
      </w:r>
    </w:p>
    <w:p w14:paraId="7A4905E9" w14:textId="287CF33C" w:rsidR="007E7504" w:rsidRPr="00B8122D" w:rsidRDefault="00E9608F" w:rsidP="003D79AF">
      <w:pPr>
        <w:pStyle w:val="Heading5"/>
      </w:pPr>
      <w:r w:rsidRPr="00B8122D">
        <w:lastRenderedPageBreak/>
        <w:t xml:space="preserve">Study </w:t>
      </w:r>
      <w:r w:rsidR="007E7504" w:rsidRPr="00B8122D">
        <w:t>E2301</w:t>
      </w:r>
    </w:p>
    <w:p w14:paraId="5E74C849" w14:textId="56A3AC3D" w:rsidR="007E7504" w:rsidRPr="00B8122D" w:rsidRDefault="00983A17" w:rsidP="007E7504">
      <w:r>
        <w:t>The sponsor provided a pharmacokinetic</w:t>
      </w:r>
      <w:r w:rsidR="007E7504" w:rsidRPr="00B8122D">
        <w:t xml:space="preserve"> summary report of this study in the </w:t>
      </w:r>
      <w:r w:rsidR="00E9608F" w:rsidRPr="00B8122D">
        <w:t>post-first round response</w:t>
      </w:r>
      <w:r w:rsidR="00F74C1A">
        <w:t xml:space="preserve"> (not included in this AusPAR)</w:t>
      </w:r>
      <w:r w:rsidR="00005C78">
        <w:t>.</w:t>
      </w:r>
      <w:r w:rsidR="007E7504" w:rsidRPr="00B8122D">
        <w:t xml:space="preserve">There was no control arm without ribociclib, so there was reference to historical </w:t>
      </w:r>
      <w:r>
        <w:t>pharmacokinetic</w:t>
      </w:r>
      <w:r w:rsidR="007E7504" w:rsidRPr="00B8122D">
        <w:t xml:space="preserve"> outcomes.</w:t>
      </w:r>
      <w:r w:rsidR="0010489F" w:rsidRPr="00B8122D">
        <w:t xml:space="preserve"> </w:t>
      </w:r>
      <w:r w:rsidR="007E7504" w:rsidRPr="00B8122D">
        <w:t>Only limited review was undertaken.</w:t>
      </w:r>
    </w:p>
    <w:p w14:paraId="4134701C" w14:textId="3324179F" w:rsidR="007E7504" w:rsidRPr="00B8122D" w:rsidRDefault="00E9608F" w:rsidP="003D79AF">
      <w:pPr>
        <w:pStyle w:val="Heading5"/>
      </w:pPr>
      <w:r w:rsidRPr="00B8122D">
        <w:t xml:space="preserve">Study </w:t>
      </w:r>
      <w:r w:rsidR="007E7504" w:rsidRPr="00B8122D">
        <w:t>X2106</w:t>
      </w:r>
    </w:p>
    <w:p w14:paraId="300621E9" w14:textId="33D748A1" w:rsidR="00E9608F" w:rsidRPr="00B8122D" w:rsidRDefault="007E7504" w:rsidP="00E9608F">
      <w:r w:rsidRPr="00B8122D">
        <w:t>The sponsor provided ‘first interpretable results’ from</w:t>
      </w:r>
      <w:r w:rsidR="00E9608F" w:rsidRPr="00B8122D">
        <w:t xml:space="preserve"> Study </w:t>
      </w:r>
      <w:r w:rsidRPr="00B8122D">
        <w:t xml:space="preserve">X2106 in the </w:t>
      </w:r>
      <w:r w:rsidR="00E9608F" w:rsidRPr="00B8122D">
        <w:t xml:space="preserve">post-first round </w:t>
      </w:r>
      <w:r w:rsidRPr="00B8122D">
        <w:t>response.</w:t>
      </w:r>
      <w:r w:rsidR="0010489F" w:rsidRPr="00B8122D">
        <w:t xml:space="preserve"> </w:t>
      </w:r>
      <w:r w:rsidRPr="00B8122D">
        <w:t>Only limited review was undertaken.</w:t>
      </w:r>
      <w:r w:rsidR="0010489F" w:rsidRPr="00B8122D">
        <w:t xml:space="preserve"> </w:t>
      </w:r>
      <w:r w:rsidRPr="00B8122D">
        <w:t xml:space="preserve">Results </w:t>
      </w:r>
      <w:r w:rsidR="00E9608F" w:rsidRPr="00B8122D">
        <w:t>supplied were related to double</w:t>
      </w:r>
      <w:r w:rsidRPr="00B8122D">
        <w:t xml:space="preserve"> (ribociclib + exemestane) treatment (n</w:t>
      </w:r>
      <w:r w:rsidR="00E9608F" w:rsidRPr="00B8122D">
        <w:t xml:space="preserve"> </w:t>
      </w:r>
      <w:r w:rsidRPr="00B8122D">
        <w:t>=</w:t>
      </w:r>
      <w:r w:rsidR="00E9608F" w:rsidRPr="00B8122D">
        <w:t xml:space="preserve"> 14, </w:t>
      </w:r>
      <w:r w:rsidRPr="00B8122D">
        <w:t xml:space="preserve">patients with </w:t>
      </w:r>
      <w:r w:rsidR="00D6390D">
        <w:t>pharmacokinetic</w:t>
      </w:r>
      <w:r w:rsidRPr="00B8122D">
        <w:t xml:space="preserve"> results at </w:t>
      </w:r>
      <w:r w:rsidR="00E9608F" w:rsidRPr="00B8122D">
        <w:t>C</w:t>
      </w:r>
      <w:r w:rsidRPr="00B8122D">
        <w:t>ycle 1).</w:t>
      </w:r>
      <w:r w:rsidR="0010489F" w:rsidRPr="00B8122D">
        <w:t xml:space="preserve"> </w:t>
      </w:r>
      <w:r w:rsidRPr="00B8122D">
        <w:t>The evaluator wrote:</w:t>
      </w:r>
    </w:p>
    <w:p w14:paraId="72D3DA63" w14:textId="63EFFE95" w:rsidR="007E7504" w:rsidRPr="00555B56" w:rsidRDefault="00E9608F" w:rsidP="00555B56">
      <w:pPr>
        <w:ind w:left="720"/>
      </w:pPr>
      <w:r w:rsidRPr="00555B56">
        <w:t>‘</w:t>
      </w:r>
      <w:r w:rsidR="00581FC7" w:rsidRPr="00555B56">
        <w:t>There was no control arm of</w:t>
      </w:r>
      <w:r w:rsidR="007E7504" w:rsidRPr="00555B56">
        <w:t xml:space="preserve"> patients receiving exemestane without ribociclib. The CSR did not include a comparison of exemestane and ribociclib to historical controls, nor did it include a discussion of drug-drug interactions between ribociclib and exemestane.</w:t>
      </w:r>
    </w:p>
    <w:p w14:paraId="48CF72E3" w14:textId="69630A63" w:rsidR="007E7504" w:rsidRPr="00555B56" w:rsidRDefault="007E7504" w:rsidP="00555B56">
      <w:pPr>
        <w:ind w:left="720"/>
      </w:pPr>
      <w:r w:rsidRPr="00555B56">
        <w:t>The evaluator concludes that the information presented in the CSR is inadequate to exclude drug-drug interactions between exemestane and ribociclib</w:t>
      </w:r>
      <w:r w:rsidR="00E9608F" w:rsidRPr="00555B56">
        <w:t>’</w:t>
      </w:r>
      <w:r w:rsidRPr="00555B56">
        <w:t>.</w:t>
      </w:r>
    </w:p>
    <w:p w14:paraId="59774CB9" w14:textId="77777777" w:rsidR="007E7504" w:rsidRPr="00B8122D" w:rsidRDefault="007E7504" w:rsidP="003D79AF">
      <w:pPr>
        <w:pStyle w:val="Heading5"/>
      </w:pPr>
      <w:r w:rsidRPr="00B8122D">
        <w:t>Other studies</w:t>
      </w:r>
    </w:p>
    <w:p w14:paraId="074A4FAB" w14:textId="44C0E1EA" w:rsidR="007E7504" w:rsidRPr="00B8122D" w:rsidRDefault="007E7504" w:rsidP="007E7504">
      <w:r w:rsidRPr="00B8122D">
        <w:t xml:space="preserve">These are discussed </w:t>
      </w:r>
      <w:r w:rsidR="00E9608F" w:rsidRPr="00B8122D">
        <w:t>in the clinical evaluation report</w:t>
      </w:r>
      <w:r w:rsidR="00470EF0" w:rsidRPr="00B8122D">
        <w:t xml:space="preserve"> but </w:t>
      </w:r>
      <w:r w:rsidR="007B5F73">
        <w:t>were not considered</w:t>
      </w:r>
      <w:r w:rsidR="00470EF0" w:rsidRPr="00B8122D">
        <w:t xml:space="preserve"> particularly influential.</w:t>
      </w:r>
    </w:p>
    <w:p w14:paraId="48DF1116" w14:textId="77777777" w:rsidR="007E7504" w:rsidRPr="00B8122D" w:rsidRDefault="007E7504" w:rsidP="003D79AF">
      <w:pPr>
        <w:pStyle w:val="Heading4"/>
      </w:pPr>
      <w:r w:rsidRPr="00B8122D">
        <w:t>Safety</w:t>
      </w:r>
    </w:p>
    <w:p w14:paraId="309F5B26" w14:textId="77777777" w:rsidR="007E7504" w:rsidRPr="00B8122D" w:rsidRDefault="007E7504" w:rsidP="003D79AF">
      <w:pPr>
        <w:pStyle w:val="Heading5"/>
      </w:pPr>
      <w:r w:rsidRPr="00B8122D">
        <w:t>Exposure</w:t>
      </w:r>
    </w:p>
    <w:p w14:paraId="6C7898B1" w14:textId="259150E3" w:rsidR="007E7504" w:rsidRPr="00B8122D" w:rsidRDefault="007E7504" w:rsidP="007E7504">
      <w:r w:rsidRPr="00B8122D">
        <w:t xml:space="preserve">The sponsor’s overall safety evaluation is based on data from 568 patients: 381 patients from ribociclib 600 mg/letrozole 2.5 mg combination therapy </w:t>
      </w:r>
      <w:r w:rsidR="00E9608F" w:rsidRPr="00B8122D">
        <w:t>S</w:t>
      </w:r>
      <w:r w:rsidRPr="00B8122D">
        <w:t xml:space="preserve">tudies A2301 and X2107, and 187 patients on ribociclib 600 mg monotherapy from </w:t>
      </w:r>
      <w:r w:rsidR="00E9608F" w:rsidRPr="00B8122D">
        <w:t>Studies X2101, XUS03, and X1101.</w:t>
      </w:r>
    </w:p>
    <w:p w14:paraId="6986C0F9" w14:textId="3C0BB0CE" w:rsidR="007E7504" w:rsidRPr="00B8122D" w:rsidRDefault="007E7504" w:rsidP="007E7504">
      <w:r w:rsidRPr="00B8122D">
        <w:t xml:space="preserve">In </w:t>
      </w:r>
      <w:r w:rsidR="00E9608F" w:rsidRPr="00B8122D">
        <w:t xml:space="preserve">Study </w:t>
      </w:r>
      <w:r w:rsidRPr="00B8122D">
        <w:t>A2301, as of the data cu</w:t>
      </w:r>
      <w:r w:rsidR="00E9608F" w:rsidRPr="00B8122D">
        <w:t xml:space="preserve">t </w:t>
      </w:r>
      <w:r w:rsidRPr="00B8122D">
        <w:t>off of 29</w:t>
      </w:r>
      <w:r w:rsidR="00E9608F" w:rsidRPr="00B8122D">
        <w:t xml:space="preserve"> </w:t>
      </w:r>
      <w:r w:rsidRPr="00B8122D">
        <w:t>Jan</w:t>
      </w:r>
      <w:r w:rsidR="00E9608F" w:rsidRPr="00B8122D">
        <w:t xml:space="preserve">uary </w:t>
      </w:r>
      <w:r w:rsidRPr="00B8122D">
        <w:t xml:space="preserve">2016, the median duration of exposure to the study treatment was 13.0 months in the ribociclib + </w:t>
      </w:r>
      <w:r w:rsidR="00E42E71" w:rsidRPr="00B8122D">
        <w:t>letrozole group (range: 0 to 23 </w:t>
      </w:r>
      <w:r w:rsidRPr="00B8122D">
        <w:t>months) and 12.4 months (range: 0 to 22 months) in the placebo + letrozole group.</w:t>
      </w:r>
      <w:r w:rsidR="0010489F" w:rsidRPr="00B8122D">
        <w:t xml:space="preserve"> </w:t>
      </w:r>
      <w:r w:rsidR="00E42E71" w:rsidRPr="00B8122D">
        <w:t xml:space="preserve">76 to </w:t>
      </w:r>
      <w:r w:rsidRPr="00B8122D">
        <w:t>78% of patients received study treatment for ≥</w:t>
      </w:r>
      <w:r w:rsidR="00E42E71" w:rsidRPr="00B8122D">
        <w:t xml:space="preserve"> </w:t>
      </w:r>
      <w:r w:rsidRPr="00B8122D">
        <w:t>6 months.</w:t>
      </w:r>
      <w:r w:rsidR="0010489F" w:rsidRPr="00B8122D">
        <w:t xml:space="preserve"> </w:t>
      </w:r>
      <w:r w:rsidRPr="00B8122D">
        <w:t xml:space="preserve">There </w:t>
      </w:r>
      <w:r w:rsidR="00D6390D">
        <w:t xml:space="preserve">is little experience with ‘long </w:t>
      </w:r>
      <w:r w:rsidRPr="00B8122D">
        <w:t>term’ use.</w:t>
      </w:r>
    </w:p>
    <w:p w14:paraId="27CD12F6" w14:textId="4E9106AD" w:rsidR="007E7504" w:rsidRPr="00B8122D" w:rsidRDefault="007E7504" w:rsidP="007E7504">
      <w:r w:rsidRPr="00B8122D">
        <w:t xml:space="preserve">Safety updates were provided at the </w:t>
      </w:r>
      <w:r w:rsidR="00E42E71" w:rsidRPr="00B8122D">
        <w:t>post-first round</w:t>
      </w:r>
      <w:r w:rsidRPr="00B8122D">
        <w:t xml:space="preserve"> response stage of </w:t>
      </w:r>
      <w:r w:rsidR="00E42E71" w:rsidRPr="00B8122D">
        <w:t xml:space="preserve">the TGA evaluation, with approximately </w:t>
      </w:r>
      <w:r w:rsidRPr="00B8122D">
        <w:t xml:space="preserve">5 months of additional safety observations in </w:t>
      </w:r>
      <w:r w:rsidR="00E42E71" w:rsidRPr="00B8122D">
        <w:t xml:space="preserve">Study </w:t>
      </w:r>
      <w:r w:rsidRPr="00B8122D">
        <w:t>A2301 (median follow</w:t>
      </w:r>
      <w:r w:rsidR="00E42E71" w:rsidRPr="00B8122D">
        <w:t xml:space="preserve"> </w:t>
      </w:r>
      <w:r w:rsidRPr="00B8122D">
        <w:t>up was increased fr</w:t>
      </w:r>
      <w:r w:rsidR="00E42E71" w:rsidRPr="00B8122D">
        <w:t>om 15.3 months to 20.1 months)</w:t>
      </w:r>
      <w:r w:rsidRPr="00B8122D">
        <w:t>.</w:t>
      </w:r>
      <w:r w:rsidR="0010489F" w:rsidRPr="00B8122D">
        <w:t xml:space="preserve"> </w:t>
      </w:r>
      <w:r w:rsidRPr="00B8122D">
        <w:t>The emphasis below is on initial safety data.</w:t>
      </w:r>
    </w:p>
    <w:p w14:paraId="2CB9E854" w14:textId="73129669" w:rsidR="00E42E71" w:rsidRPr="00B8122D" w:rsidRDefault="00E42E71" w:rsidP="003D79AF">
      <w:pPr>
        <w:pStyle w:val="Heading5"/>
      </w:pPr>
      <w:r w:rsidRPr="00B8122D">
        <w:t>Adverse events</w:t>
      </w:r>
    </w:p>
    <w:p w14:paraId="015D3FF0" w14:textId="77777777" w:rsidR="007E7504" w:rsidRPr="00B8122D" w:rsidRDefault="007E7504" w:rsidP="003D79AF">
      <w:pPr>
        <w:pStyle w:val="Heading6"/>
      </w:pPr>
      <w:r w:rsidRPr="00B8122D">
        <w:t>General indices</w:t>
      </w:r>
    </w:p>
    <w:p w14:paraId="716A821F" w14:textId="1C2DCAC5" w:rsidR="007E7504" w:rsidRPr="00B8122D" w:rsidRDefault="007E7504" w:rsidP="007E7504">
      <w:r w:rsidRPr="00B8122D">
        <w:t>Addition of ribociclib was assoc</w:t>
      </w:r>
      <w:r w:rsidR="00E42E71" w:rsidRPr="00B8122D">
        <w:t>iated with significa</w:t>
      </w:r>
      <w:r w:rsidR="00A45732">
        <w:t>nt toxicity, as shown in Table 1</w:t>
      </w:r>
      <w:r w:rsidR="001A79AE">
        <w:t>3</w:t>
      </w:r>
      <w:r w:rsidR="00E6409C" w:rsidRPr="00E6409C">
        <w:t xml:space="preserve"> </w:t>
      </w:r>
      <w:r w:rsidR="00E6409C">
        <w:t>based on a data cut-off of 29</w:t>
      </w:r>
      <w:r w:rsidR="00470EF0">
        <w:t xml:space="preserve"> </w:t>
      </w:r>
      <w:r w:rsidR="00E6409C">
        <w:t>Jan</w:t>
      </w:r>
      <w:r w:rsidR="00470EF0">
        <w:t xml:space="preserve">uary </w:t>
      </w:r>
      <w:r w:rsidR="00E6409C">
        <w:t>2016.</w:t>
      </w:r>
    </w:p>
    <w:p w14:paraId="31EE1AEE" w14:textId="174C201E" w:rsidR="00E42E71" w:rsidRPr="00B8122D" w:rsidRDefault="00A45732" w:rsidP="003D79AF">
      <w:pPr>
        <w:pStyle w:val="TableTitle"/>
      </w:pPr>
      <w:r>
        <w:lastRenderedPageBreak/>
        <w:t xml:space="preserve">Table </w:t>
      </w:r>
      <w:r w:rsidR="00077B6B">
        <w:t>1</w:t>
      </w:r>
      <w:r w:rsidR="001A79AE">
        <w:t>3</w:t>
      </w:r>
      <w:r w:rsidR="00077B6B">
        <w:t>:</w:t>
      </w:r>
      <w:r w:rsidR="00E42E71" w:rsidRPr="00B8122D">
        <w:t xml:space="preserve"> Adverse events across Studies A2301, X2107 and monotherapy studies</w:t>
      </w:r>
      <w:r w:rsidR="00617B20">
        <w:t xml:space="preserve"> (data cut-off: 29</w:t>
      </w:r>
      <w:r w:rsidR="00470EF0">
        <w:t xml:space="preserve"> </w:t>
      </w:r>
      <w:r w:rsidR="00617B20">
        <w:t>Jan</w:t>
      </w:r>
      <w:r w:rsidR="00470EF0">
        <w:t xml:space="preserve">uary </w:t>
      </w:r>
      <w:r w:rsidR="00617B20">
        <w:t>2016)</w:t>
      </w:r>
    </w:p>
    <w:tbl>
      <w:tblPr>
        <w:tblStyle w:val="TableTGAblue"/>
        <w:tblW w:w="8184" w:type="dxa"/>
        <w:tblLayout w:type="fixed"/>
        <w:tblLook w:val="04A0" w:firstRow="1" w:lastRow="0" w:firstColumn="1" w:lastColumn="0" w:noHBand="0" w:noVBand="1"/>
      </w:tblPr>
      <w:tblGrid>
        <w:gridCol w:w="2518"/>
        <w:gridCol w:w="1985"/>
        <w:gridCol w:w="1842"/>
        <w:gridCol w:w="1839"/>
      </w:tblGrid>
      <w:tr w:rsidR="00E42E71" w:rsidRPr="006D190E" w14:paraId="068A29D4" w14:textId="77777777" w:rsidTr="00377476">
        <w:trPr>
          <w:cnfStyle w:val="100000000000" w:firstRow="1" w:lastRow="0" w:firstColumn="0" w:lastColumn="0" w:oddVBand="0" w:evenVBand="0" w:oddHBand="0" w:evenHBand="0" w:firstRowFirstColumn="0" w:firstRowLastColumn="0" w:lastRowFirstColumn="0" w:lastRowLastColumn="0"/>
          <w:trHeight w:val="140"/>
        </w:trPr>
        <w:tc>
          <w:tcPr>
            <w:tcW w:w="2518" w:type="dxa"/>
          </w:tcPr>
          <w:p w14:paraId="1E0ED859" w14:textId="77777777" w:rsidR="007E7504" w:rsidRPr="006D190E" w:rsidRDefault="007E7504" w:rsidP="007E7504">
            <w:pPr>
              <w:rPr>
                <w:sz w:val="20"/>
                <w:szCs w:val="20"/>
              </w:rPr>
            </w:pPr>
            <w:r w:rsidRPr="006D190E">
              <w:rPr>
                <w:sz w:val="20"/>
                <w:szCs w:val="20"/>
              </w:rPr>
              <w:t>Category</w:t>
            </w:r>
          </w:p>
        </w:tc>
        <w:tc>
          <w:tcPr>
            <w:tcW w:w="1985" w:type="dxa"/>
          </w:tcPr>
          <w:p w14:paraId="3A8EA1BA" w14:textId="761FAF63" w:rsidR="007E7504" w:rsidRPr="006D190E" w:rsidRDefault="00E64F20" w:rsidP="00E42E71">
            <w:pPr>
              <w:rPr>
                <w:sz w:val="20"/>
                <w:szCs w:val="20"/>
              </w:rPr>
            </w:pPr>
            <w:r w:rsidRPr="006D190E">
              <w:rPr>
                <w:sz w:val="20"/>
                <w:szCs w:val="20"/>
              </w:rPr>
              <w:t>Studies</w:t>
            </w:r>
            <w:r w:rsidR="007E7504" w:rsidRPr="006D190E">
              <w:rPr>
                <w:sz w:val="20"/>
                <w:szCs w:val="20"/>
              </w:rPr>
              <w:t xml:space="preserve"> A2301 + X2107</w:t>
            </w:r>
          </w:p>
          <w:p w14:paraId="6B2B80D2" w14:textId="6A5B0270" w:rsidR="007E7504" w:rsidRPr="006D190E" w:rsidRDefault="007E7504" w:rsidP="00E42E71">
            <w:pPr>
              <w:rPr>
                <w:sz w:val="20"/>
                <w:szCs w:val="20"/>
              </w:rPr>
            </w:pPr>
            <w:r w:rsidRPr="006D190E">
              <w:rPr>
                <w:sz w:val="20"/>
                <w:szCs w:val="20"/>
              </w:rPr>
              <w:t>Rib</w:t>
            </w:r>
            <w:r w:rsidR="00617B20" w:rsidRPr="006D190E">
              <w:rPr>
                <w:sz w:val="20"/>
                <w:szCs w:val="20"/>
              </w:rPr>
              <w:t>ociclib</w:t>
            </w:r>
            <w:r w:rsidRPr="006D190E">
              <w:rPr>
                <w:sz w:val="20"/>
                <w:szCs w:val="20"/>
              </w:rPr>
              <w:t xml:space="preserve"> + Let</w:t>
            </w:r>
            <w:r w:rsidR="00617B20" w:rsidRPr="006D190E">
              <w:rPr>
                <w:sz w:val="20"/>
                <w:szCs w:val="20"/>
              </w:rPr>
              <w:t>rozole</w:t>
            </w:r>
            <w:r w:rsidR="00E42E71" w:rsidRPr="006D190E">
              <w:rPr>
                <w:sz w:val="20"/>
                <w:szCs w:val="20"/>
              </w:rPr>
              <w:t xml:space="preserve"> </w:t>
            </w:r>
            <w:r w:rsidRPr="006D190E">
              <w:rPr>
                <w:sz w:val="20"/>
                <w:szCs w:val="20"/>
              </w:rPr>
              <w:t>N</w:t>
            </w:r>
            <w:r w:rsidR="00E42E71" w:rsidRPr="006D190E">
              <w:rPr>
                <w:sz w:val="20"/>
                <w:szCs w:val="20"/>
              </w:rPr>
              <w:t> </w:t>
            </w:r>
            <w:r w:rsidRPr="006D190E">
              <w:rPr>
                <w:sz w:val="20"/>
                <w:szCs w:val="20"/>
              </w:rPr>
              <w:t>=</w:t>
            </w:r>
            <w:r w:rsidR="00E42E71" w:rsidRPr="006D190E">
              <w:rPr>
                <w:sz w:val="20"/>
                <w:szCs w:val="20"/>
              </w:rPr>
              <w:t> </w:t>
            </w:r>
            <w:r w:rsidRPr="006D190E">
              <w:rPr>
                <w:sz w:val="20"/>
                <w:szCs w:val="20"/>
              </w:rPr>
              <w:t>381</w:t>
            </w:r>
          </w:p>
          <w:p w14:paraId="7EF9F305" w14:textId="77777777" w:rsidR="007E7504" w:rsidRPr="006D190E" w:rsidRDefault="007E7504" w:rsidP="00E42E71">
            <w:pPr>
              <w:rPr>
                <w:sz w:val="20"/>
                <w:szCs w:val="20"/>
              </w:rPr>
            </w:pPr>
            <w:r w:rsidRPr="006D190E">
              <w:rPr>
                <w:sz w:val="20"/>
                <w:szCs w:val="20"/>
              </w:rPr>
              <w:t>n (%)</w:t>
            </w:r>
          </w:p>
        </w:tc>
        <w:tc>
          <w:tcPr>
            <w:tcW w:w="1842" w:type="dxa"/>
          </w:tcPr>
          <w:p w14:paraId="55ECF509" w14:textId="77777777" w:rsidR="007E7504" w:rsidRPr="006D190E" w:rsidRDefault="007E7504" w:rsidP="00E42E71">
            <w:pPr>
              <w:rPr>
                <w:sz w:val="20"/>
                <w:szCs w:val="20"/>
              </w:rPr>
            </w:pPr>
            <w:r w:rsidRPr="006D190E">
              <w:rPr>
                <w:sz w:val="20"/>
                <w:szCs w:val="20"/>
              </w:rPr>
              <w:t>Study A2301</w:t>
            </w:r>
          </w:p>
          <w:p w14:paraId="3ED85AE9" w14:textId="63E697D5" w:rsidR="007E7504" w:rsidRPr="006D190E" w:rsidRDefault="007E7504" w:rsidP="00E42E71">
            <w:pPr>
              <w:rPr>
                <w:sz w:val="20"/>
                <w:szCs w:val="20"/>
              </w:rPr>
            </w:pPr>
            <w:r w:rsidRPr="006D190E">
              <w:rPr>
                <w:sz w:val="20"/>
                <w:szCs w:val="20"/>
              </w:rPr>
              <w:t>P</w:t>
            </w:r>
            <w:r w:rsidR="00617B20" w:rsidRPr="006D190E">
              <w:rPr>
                <w:sz w:val="20"/>
                <w:szCs w:val="20"/>
              </w:rPr>
              <w:t>lace</w:t>
            </w:r>
            <w:r w:rsidRPr="006D190E">
              <w:rPr>
                <w:sz w:val="20"/>
                <w:szCs w:val="20"/>
              </w:rPr>
              <w:t>bo + Let</w:t>
            </w:r>
            <w:r w:rsidR="00617B20" w:rsidRPr="006D190E">
              <w:rPr>
                <w:sz w:val="20"/>
                <w:szCs w:val="20"/>
              </w:rPr>
              <w:t>rozole</w:t>
            </w:r>
            <w:r w:rsidR="00E42E71" w:rsidRPr="006D190E">
              <w:rPr>
                <w:sz w:val="20"/>
                <w:szCs w:val="20"/>
              </w:rPr>
              <w:t xml:space="preserve"> </w:t>
            </w:r>
            <w:r w:rsidRPr="006D190E">
              <w:rPr>
                <w:sz w:val="20"/>
                <w:szCs w:val="20"/>
              </w:rPr>
              <w:t>N</w:t>
            </w:r>
            <w:r w:rsidR="00E42E71" w:rsidRPr="006D190E">
              <w:rPr>
                <w:sz w:val="20"/>
                <w:szCs w:val="20"/>
              </w:rPr>
              <w:t> </w:t>
            </w:r>
            <w:r w:rsidRPr="006D190E">
              <w:rPr>
                <w:sz w:val="20"/>
                <w:szCs w:val="20"/>
              </w:rPr>
              <w:t>=</w:t>
            </w:r>
            <w:r w:rsidR="00E42E71" w:rsidRPr="006D190E">
              <w:rPr>
                <w:sz w:val="20"/>
                <w:szCs w:val="20"/>
              </w:rPr>
              <w:t> </w:t>
            </w:r>
            <w:r w:rsidRPr="006D190E">
              <w:rPr>
                <w:sz w:val="20"/>
                <w:szCs w:val="20"/>
              </w:rPr>
              <w:t>330</w:t>
            </w:r>
          </w:p>
          <w:p w14:paraId="0D248014" w14:textId="77777777" w:rsidR="007E7504" w:rsidRPr="006D190E" w:rsidRDefault="007E7504" w:rsidP="00E42E71">
            <w:pPr>
              <w:rPr>
                <w:sz w:val="20"/>
                <w:szCs w:val="20"/>
              </w:rPr>
            </w:pPr>
            <w:r w:rsidRPr="006D190E">
              <w:rPr>
                <w:sz w:val="20"/>
                <w:szCs w:val="20"/>
              </w:rPr>
              <w:t>n (%)</w:t>
            </w:r>
          </w:p>
        </w:tc>
        <w:tc>
          <w:tcPr>
            <w:tcW w:w="1839" w:type="dxa"/>
          </w:tcPr>
          <w:p w14:paraId="4C52342A" w14:textId="77777777" w:rsidR="007E7504" w:rsidRPr="006D190E" w:rsidRDefault="007E7504" w:rsidP="00E42E71">
            <w:pPr>
              <w:rPr>
                <w:sz w:val="20"/>
                <w:szCs w:val="20"/>
              </w:rPr>
            </w:pPr>
            <w:r w:rsidRPr="006D190E">
              <w:rPr>
                <w:sz w:val="20"/>
                <w:szCs w:val="20"/>
              </w:rPr>
              <w:t>Monotherapy Studies</w:t>
            </w:r>
          </w:p>
          <w:p w14:paraId="32D085FA" w14:textId="6C406CDB" w:rsidR="007E7504" w:rsidRPr="006D190E" w:rsidRDefault="007E7504" w:rsidP="00E42E71">
            <w:pPr>
              <w:rPr>
                <w:sz w:val="20"/>
                <w:szCs w:val="20"/>
              </w:rPr>
            </w:pPr>
            <w:r w:rsidRPr="006D190E">
              <w:rPr>
                <w:sz w:val="20"/>
                <w:szCs w:val="20"/>
              </w:rPr>
              <w:t>Rib</w:t>
            </w:r>
            <w:r w:rsidR="00617B20" w:rsidRPr="006D190E">
              <w:rPr>
                <w:sz w:val="20"/>
                <w:szCs w:val="20"/>
              </w:rPr>
              <w:t>ociclib</w:t>
            </w:r>
            <w:r w:rsidR="00E42E71" w:rsidRPr="006D190E">
              <w:rPr>
                <w:sz w:val="20"/>
                <w:szCs w:val="20"/>
              </w:rPr>
              <w:t xml:space="preserve"> </w:t>
            </w:r>
            <w:r w:rsidRPr="006D190E">
              <w:rPr>
                <w:sz w:val="20"/>
                <w:szCs w:val="20"/>
              </w:rPr>
              <w:t>N</w:t>
            </w:r>
            <w:r w:rsidR="00470EF0" w:rsidRPr="006D190E">
              <w:rPr>
                <w:sz w:val="20"/>
                <w:szCs w:val="20"/>
              </w:rPr>
              <w:t> </w:t>
            </w:r>
            <w:r w:rsidRPr="006D190E">
              <w:rPr>
                <w:sz w:val="20"/>
                <w:szCs w:val="20"/>
              </w:rPr>
              <w:t>=</w:t>
            </w:r>
            <w:r w:rsidR="00E42E71" w:rsidRPr="006D190E">
              <w:rPr>
                <w:sz w:val="20"/>
                <w:szCs w:val="20"/>
              </w:rPr>
              <w:t xml:space="preserve"> </w:t>
            </w:r>
            <w:r w:rsidRPr="006D190E">
              <w:rPr>
                <w:sz w:val="20"/>
                <w:szCs w:val="20"/>
              </w:rPr>
              <w:t>187</w:t>
            </w:r>
          </w:p>
          <w:p w14:paraId="04B09D2B" w14:textId="77777777" w:rsidR="007E7504" w:rsidRPr="006D190E" w:rsidRDefault="007E7504" w:rsidP="00E42E71">
            <w:pPr>
              <w:rPr>
                <w:sz w:val="20"/>
                <w:szCs w:val="20"/>
              </w:rPr>
            </w:pPr>
            <w:r w:rsidRPr="006D190E">
              <w:rPr>
                <w:sz w:val="20"/>
                <w:szCs w:val="20"/>
              </w:rPr>
              <w:t>n (%)</w:t>
            </w:r>
          </w:p>
        </w:tc>
      </w:tr>
      <w:tr w:rsidR="00E42E71" w:rsidRPr="006D190E" w14:paraId="745C187B" w14:textId="77777777" w:rsidTr="00377476">
        <w:trPr>
          <w:trHeight w:val="140"/>
        </w:trPr>
        <w:tc>
          <w:tcPr>
            <w:tcW w:w="2518" w:type="dxa"/>
          </w:tcPr>
          <w:p w14:paraId="7D736E1F" w14:textId="77777777" w:rsidR="007E7504" w:rsidRPr="006D190E" w:rsidRDefault="007E7504" w:rsidP="007E7504">
            <w:pPr>
              <w:rPr>
                <w:sz w:val="20"/>
                <w:szCs w:val="20"/>
              </w:rPr>
            </w:pPr>
            <w:r w:rsidRPr="006D190E">
              <w:rPr>
                <w:sz w:val="20"/>
                <w:szCs w:val="20"/>
              </w:rPr>
              <w:t>All AEs</w:t>
            </w:r>
          </w:p>
        </w:tc>
        <w:tc>
          <w:tcPr>
            <w:tcW w:w="1985" w:type="dxa"/>
          </w:tcPr>
          <w:p w14:paraId="50549FBC" w14:textId="77777777" w:rsidR="007E7504" w:rsidRPr="006D190E" w:rsidRDefault="007E7504" w:rsidP="007E7504">
            <w:pPr>
              <w:rPr>
                <w:sz w:val="20"/>
                <w:szCs w:val="20"/>
              </w:rPr>
            </w:pPr>
            <w:r w:rsidRPr="006D190E">
              <w:rPr>
                <w:sz w:val="20"/>
                <w:szCs w:val="20"/>
              </w:rPr>
              <w:t>376 (98.7)</w:t>
            </w:r>
          </w:p>
        </w:tc>
        <w:tc>
          <w:tcPr>
            <w:tcW w:w="1842" w:type="dxa"/>
          </w:tcPr>
          <w:p w14:paraId="5980CE88" w14:textId="77777777" w:rsidR="007E7504" w:rsidRPr="006D190E" w:rsidRDefault="007E7504" w:rsidP="007E7504">
            <w:pPr>
              <w:rPr>
                <w:sz w:val="20"/>
                <w:szCs w:val="20"/>
              </w:rPr>
            </w:pPr>
            <w:r w:rsidRPr="006D190E">
              <w:rPr>
                <w:sz w:val="20"/>
                <w:szCs w:val="20"/>
              </w:rPr>
              <w:t>320 (97.0)</w:t>
            </w:r>
          </w:p>
        </w:tc>
        <w:tc>
          <w:tcPr>
            <w:tcW w:w="1839" w:type="dxa"/>
          </w:tcPr>
          <w:p w14:paraId="3D800C13" w14:textId="77777777" w:rsidR="007E7504" w:rsidRPr="006D190E" w:rsidRDefault="007E7504" w:rsidP="007E7504">
            <w:pPr>
              <w:rPr>
                <w:sz w:val="20"/>
                <w:szCs w:val="20"/>
              </w:rPr>
            </w:pPr>
            <w:r w:rsidRPr="006D190E">
              <w:rPr>
                <w:sz w:val="20"/>
                <w:szCs w:val="20"/>
              </w:rPr>
              <w:t>186 (99.5)</w:t>
            </w:r>
          </w:p>
        </w:tc>
      </w:tr>
      <w:tr w:rsidR="00E42E71" w:rsidRPr="006D190E" w14:paraId="387B1CBE" w14:textId="77777777" w:rsidTr="00377476">
        <w:trPr>
          <w:trHeight w:val="482"/>
        </w:trPr>
        <w:tc>
          <w:tcPr>
            <w:tcW w:w="2518" w:type="dxa"/>
          </w:tcPr>
          <w:p w14:paraId="0C240FE3" w14:textId="77777777" w:rsidR="007E7504" w:rsidRPr="006D190E" w:rsidRDefault="007E7504" w:rsidP="007E7504">
            <w:pPr>
              <w:rPr>
                <w:sz w:val="20"/>
                <w:szCs w:val="20"/>
              </w:rPr>
            </w:pPr>
            <w:r w:rsidRPr="006D190E">
              <w:rPr>
                <w:sz w:val="20"/>
                <w:szCs w:val="20"/>
              </w:rPr>
              <w:t>Grade 3/4 AEs</w:t>
            </w:r>
          </w:p>
        </w:tc>
        <w:tc>
          <w:tcPr>
            <w:tcW w:w="1985" w:type="dxa"/>
          </w:tcPr>
          <w:p w14:paraId="5E822BD7" w14:textId="5DB43E24" w:rsidR="007E7504" w:rsidRPr="006D190E" w:rsidRDefault="007E7504" w:rsidP="00982717">
            <w:pPr>
              <w:rPr>
                <w:sz w:val="20"/>
                <w:szCs w:val="20"/>
              </w:rPr>
            </w:pPr>
            <w:r w:rsidRPr="006D190E">
              <w:rPr>
                <w:sz w:val="20"/>
                <w:szCs w:val="20"/>
              </w:rPr>
              <w:t>305 (80</w:t>
            </w:r>
            <w:r w:rsidR="004C4E6E" w:rsidRPr="006D190E">
              <w:rPr>
                <w:sz w:val="20"/>
                <w:szCs w:val="20"/>
              </w:rPr>
              <w:t>.1)</w:t>
            </w:r>
          </w:p>
        </w:tc>
        <w:tc>
          <w:tcPr>
            <w:tcW w:w="1842" w:type="dxa"/>
          </w:tcPr>
          <w:p w14:paraId="42D8AFAC" w14:textId="77777777" w:rsidR="007E7504" w:rsidRPr="006D190E" w:rsidRDefault="007E7504" w:rsidP="007E7504">
            <w:pPr>
              <w:rPr>
                <w:sz w:val="20"/>
                <w:szCs w:val="20"/>
              </w:rPr>
            </w:pPr>
            <w:r w:rsidRPr="006D190E">
              <w:rPr>
                <w:sz w:val="20"/>
                <w:szCs w:val="20"/>
              </w:rPr>
              <w:t>108 (32.7)</w:t>
            </w:r>
          </w:p>
        </w:tc>
        <w:tc>
          <w:tcPr>
            <w:tcW w:w="1839" w:type="dxa"/>
          </w:tcPr>
          <w:p w14:paraId="0DD827CA" w14:textId="77777777" w:rsidR="007E7504" w:rsidRPr="006D190E" w:rsidRDefault="007E7504" w:rsidP="007E7504">
            <w:pPr>
              <w:rPr>
                <w:sz w:val="20"/>
                <w:szCs w:val="20"/>
              </w:rPr>
            </w:pPr>
            <w:r w:rsidRPr="006D190E">
              <w:rPr>
                <w:sz w:val="20"/>
                <w:szCs w:val="20"/>
              </w:rPr>
              <w:t>135 (72.2)</w:t>
            </w:r>
          </w:p>
        </w:tc>
      </w:tr>
      <w:tr w:rsidR="00E42E71" w:rsidRPr="006D190E" w14:paraId="7346E390" w14:textId="77777777" w:rsidTr="00377476">
        <w:trPr>
          <w:trHeight w:val="482"/>
        </w:trPr>
        <w:tc>
          <w:tcPr>
            <w:tcW w:w="2518" w:type="dxa"/>
          </w:tcPr>
          <w:p w14:paraId="660A6CE1" w14:textId="77777777" w:rsidR="007E7504" w:rsidRPr="006D190E" w:rsidRDefault="007E7504" w:rsidP="007E7504">
            <w:pPr>
              <w:rPr>
                <w:sz w:val="20"/>
                <w:szCs w:val="20"/>
              </w:rPr>
            </w:pPr>
            <w:r w:rsidRPr="006D190E">
              <w:rPr>
                <w:sz w:val="20"/>
                <w:szCs w:val="20"/>
              </w:rPr>
              <w:t>Grade 3/4 SAEs</w:t>
            </w:r>
          </w:p>
        </w:tc>
        <w:tc>
          <w:tcPr>
            <w:tcW w:w="1985" w:type="dxa"/>
          </w:tcPr>
          <w:p w14:paraId="38FFD4FF" w14:textId="77777777" w:rsidR="007E7504" w:rsidRPr="006D190E" w:rsidRDefault="007E7504" w:rsidP="007E7504">
            <w:pPr>
              <w:rPr>
                <w:sz w:val="20"/>
                <w:szCs w:val="20"/>
              </w:rPr>
            </w:pPr>
            <w:r w:rsidRPr="006D190E">
              <w:rPr>
                <w:sz w:val="20"/>
                <w:szCs w:val="20"/>
              </w:rPr>
              <w:t>63 (16.6)</w:t>
            </w:r>
          </w:p>
        </w:tc>
        <w:tc>
          <w:tcPr>
            <w:tcW w:w="1842" w:type="dxa"/>
          </w:tcPr>
          <w:p w14:paraId="499B0BA2" w14:textId="6F1DBEC8" w:rsidR="007E7504" w:rsidRPr="006D190E" w:rsidRDefault="004C4E6E" w:rsidP="00982717">
            <w:pPr>
              <w:rPr>
                <w:sz w:val="20"/>
                <w:szCs w:val="20"/>
              </w:rPr>
            </w:pPr>
            <w:r w:rsidRPr="006D190E">
              <w:rPr>
                <w:sz w:val="20"/>
                <w:szCs w:val="20"/>
              </w:rPr>
              <w:t>29</w:t>
            </w:r>
            <w:r w:rsidR="00982717" w:rsidRPr="006D190E">
              <w:rPr>
                <w:sz w:val="20"/>
                <w:szCs w:val="20"/>
              </w:rPr>
              <w:t xml:space="preserve"> </w:t>
            </w:r>
            <w:r w:rsidRPr="006D190E">
              <w:rPr>
                <w:sz w:val="20"/>
                <w:szCs w:val="20"/>
              </w:rPr>
              <w:t>(</w:t>
            </w:r>
            <w:r w:rsidR="007E7504" w:rsidRPr="006D190E">
              <w:rPr>
                <w:sz w:val="20"/>
                <w:szCs w:val="20"/>
              </w:rPr>
              <w:t>8.8)</w:t>
            </w:r>
          </w:p>
        </w:tc>
        <w:tc>
          <w:tcPr>
            <w:tcW w:w="1839" w:type="dxa"/>
          </w:tcPr>
          <w:p w14:paraId="5C1A2D40" w14:textId="77777777" w:rsidR="007E7504" w:rsidRPr="006D190E" w:rsidRDefault="007E7504" w:rsidP="007E7504">
            <w:pPr>
              <w:rPr>
                <w:sz w:val="20"/>
                <w:szCs w:val="20"/>
              </w:rPr>
            </w:pPr>
            <w:r w:rsidRPr="006D190E">
              <w:rPr>
                <w:sz w:val="20"/>
                <w:szCs w:val="20"/>
              </w:rPr>
              <w:t>60 (32.1)</w:t>
            </w:r>
          </w:p>
        </w:tc>
      </w:tr>
      <w:tr w:rsidR="00E42E71" w:rsidRPr="006D190E" w14:paraId="75113941" w14:textId="77777777" w:rsidTr="00377476">
        <w:trPr>
          <w:trHeight w:val="729"/>
        </w:trPr>
        <w:tc>
          <w:tcPr>
            <w:tcW w:w="2518" w:type="dxa"/>
          </w:tcPr>
          <w:p w14:paraId="0194FA10" w14:textId="77777777" w:rsidR="007E7504" w:rsidRPr="006D190E" w:rsidRDefault="007E7504" w:rsidP="007E7504">
            <w:pPr>
              <w:rPr>
                <w:sz w:val="20"/>
                <w:szCs w:val="20"/>
              </w:rPr>
            </w:pPr>
            <w:r w:rsidRPr="006D190E">
              <w:rPr>
                <w:sz w:val="20"/>
                <w:szCs w:val="20"/>
              </w:rPr>
              <w:t>AEs leading to discontinuation</w:t>
            </w:r>
          </w:p>
        </w:tc>
        <w:tc>
          <w:tcPr>
            <w:tcW w:w="1985" w:type="dxa"/>
          </w:tcPr>
          <w:p w14:paraId="4B49D6E8" w14:textId="77777777" w:rsidR="007E7504" w:rsidRPr="006D190E" w:rsidRDefault="007E7504" w:rsidP="007E7504">
            <w:pPr>
              <w:rPr>
                <w:sz w:val="20"/>
                <w:szCs w:val="20"/>
              </w:rPr>
            </w:pPr>
            <w:r w:rsidRPr="006D190E">
              <w:rPr>
                <w:sz w:val="20"/>
                <w:szCs w:val="20"/>
              </w:rPr>
              <w:t>53 (13.9)</w:t>
            </w:r>
          </w:p>
        </w:tc>
        <w:tc>
          <w:tcPr>
            <w:tcW w:w="1842" w:type="dxa"/>
          </w:tcPr>
          <w:p w14:paraId="6AC66ABB" w14:textId="77777777" w:rsidR="007E7504" w:rsidRPr="006D190E" w:rsidRDefault="007E7504" w:rsidP="007E7504">
            <w:pPr>
              <w:rPr>
                <w:sz w:val="20"/>
                <w:szCs w:val="20"/>
              </w:rPr>
            </w:pPr>
            <w:r w:rsidRPr="006D190E">
              <w:rPr>
                <w:sz w:val="20"/>
                <w:szCs w:val="20"/>
              </w:rPr>
              <w:t>10 (3.0)</w:t>
            </w:r>
          </w:p>
        </w:tc>
        <w:tc>
          <w:tcPr>
            <w:tcW w:w="1839" w:type="dxa"/>
          </w:tcPr>
          <w:p w14:paraId="58F9752E" w14:textId="77777777" w:rsidR="007E7504" w:rsidRPr="006D190E" w:rsidRDefault="007E7504" w:rsidP="007E7504">
            <w:pPr>
              <w:rPr>
                <w:sz w:val="20"/>
                <w:szCs w:val="20"/>
              </w:rPr>
            </w:pPr>
            <w:r w:rsidRPr="006D190E">
              <w:rPr>
                <w:sz w:val="20"/>
                <w:szCs w:val="20"/>
              </w:rPr>
              <w:t>16 (8.6)</w:t>
            </w:r>
          </w:p>
        </w:tc>
      </w:tr>
      <w:tr w:rsidR="00E42E71" w:rsidRPr="006D190E" w14:paraId="2CE5C28C" w14:textId="77777777" w:rsidTr="00377476">
        <w:trPr>
          <w:trHeight w:val="987"/>
        </w:trPr>
        <w:tc>
          <w:tcPr>
            <w:tcW w:w="2518" w:type="dxa"/>
          </w:tcPr>
          <w:p w14:paraId="30CE60C2" w14:textId="77777777" w:rsidR="007E7504" w:rsidRPr="006D190E" w:rsidRDefault="007E7504" w:rsidP="007E7504">
            <w:pPr>
              <w:rPr>
                <w:sz w:val="20"/>
                <w:szCs w:val="20"/>
              </w:rPr>
            </w:pPr>
            <w:r w:rsidRPr="006D190E">
              <w:rPr>
                <w:sz w:val="20"/>
                <w:szCs w:val="20"/>
              </w:rPr>
              <w:t>AEs needing dose modification (delay, reduction)</w:t>
            </w:r>
          </w:p>
        </w:tc>
        <w:tc>
          <w:tcPr>
            <w:tcW w:w="1985" w:type="dxa"/>
          </w:tcPr>
          <w:p w14:paraId="7862CCE9" w14:textId="77777777" w:rsidR="007E7504" w:rsidRPr="006D190E" w:rsidRDefault="007E7504" w:rsidP="007E7504">
            <w:pPr>
              <w:rPr>
                <w:sz w:val="20"/>
                <w:szCs w:val="20"/>
              </w:rPr>
            </w:pPr>
            <w:r w:rsidRPr="006D190E">
              <w:rPr>
                <w:sz w:val="20"/>
                <w:szCs w:val="20"/>
              </w:rPr>
              <w:t>262 (68.8)</w:t>
            </w:r>
          </w:p>
        </w:tc>
        <w:tc>
          <w:tcPr>
            <w:tcW w:w="1842" w:type="dxa"/>
          </w:tcPr>
          <w:p w14:paraId="015C1011" w14:textId="77777777" w:rsidR="007E7504" w:rsidRPr="006D190E" w:rsidRDefault="007E7504" w:rsidP="007E7504">
            <w:pPr>
              <w:rPr>
                <w:sz w:val="20"/>
                <w:szCs w:val="20"/>
              </w:rPr>
            </w:pPr>
            <w:r w:rsidRPr="006D190E">
              <w:rPr>
                <w:sz w:val="20"/>
                <w:szCs w:val="20"/>
              </w:rPr>
              <w:t>52 (15.8)</w:t>
            </w:r>
          </w:p>
        </w:tc>
        <w:tc>
          <w:tcPr>
            <w:tcW w:w="1839" w:type="dxa"/>
          </w:tcPr>
          <w:p w14:paraId="43E114BF" w14:textId="77777777" w:rsidR="007E7504" w:rsidRPr="006D190E" w:rsidRDefault="007E7504" w:rsidP="007E7504">
            <w:pPr>
              <w:rPr>
                <w:sz w:val="20"/>
                <w:szCs w:val="20"/>
              </w:rPr>
            </w:pPr>
            <w:r w:rsidRPr="006D190E">
              <w:rPr>
                <w:sz w:val="20"/>
                <w:szCs w:val="20"/>
              </w:rPr>
              <w:t>104 (55.6)</w:t>
            </w:r>
          </w:p>
        </w:tc>
      </w:tr>
      <w:tr w:rsidR="00E42E71" w:rsidRPr="006D190E" w14:paraId="06EC0184" w14:textId="77777777" w:rsidTr="00377476">
        <w:trPr>
          <w:trHeight w:val="482"/>
        </w:trPr>
        <w:tc>
          <w:tcPr>
            <w:tcW w:w="2518" w:type="dxa"/>
          </w:tcPr>
          <w:p w14:paraId="05654E07" w14:textId="77777777" w:rsidR="007E7504" w:rsidRPr="006D190E" w:rsidRDefault="007E7504" w:rsidP="007E7504">
            <w:pPr>
              <w:rPr>
                <w:sz w:val="20"/>
                <w:szCs w:val="20"/>
              </w:rPr>
            </w:pPr>
            <w:r w:rsidRPr="006D190E">
              <w:rPr>
                <w:sz w:val="20"/>
                <w:szCs w:val="20"/>
              </w:rPr>
              <w:t>All deaths</w:t>
            </w:r>
          </w:p>
        </w:tc>
        <w:tc>
          <w:tcPr>
            <w:tcW w:w="1985" w:type="dxa"/>
          </w:tcPr>
          <w:p w14:paraId="1A6F1BDE" w14:textId="77777777" w:rsidR="007E7504" w:rsidRPr="006D190E" w:rsidRDefault="007E7504" w:rsidP="007E7504">
            <w:pPr>
              <w:rPr>
                <w:sz w:val="20"/>
                <w:szCs w:val="20"/>
              </w:rPr>
            </w:pPr>
            <w:r w:rsidRPr="006D190E">
              <w:rPr>
                <w:sz w:val="20"/>
                <w:szCs w:val="20"/>
              </w:rPr>
              <w:t>23 (6.0)</w:t>
            </w:r>
          </w:p>
        </w:tc>
        <w:tc>
          <w:tcPr>
            <w:tcW w:w="1842" w:type="dxa"/>
          </w:tcPr>
          <w:p w14:paraId="338CC567" w14:textId="77777777" w:rsidR="007E7504" w:rsidRPr="006D190E" w:rsidRDefault="007E7504" w:rsidP="007E7504">
            <w:pPr>
              <w:rPr>
                <w:sz w:val="20"/>
                <w:szCs w:val="20"/>
              </w:rPr>
            </w:pPr>
            <w:r w:rsidRPr="006D190E">
              <w:rPr>
                <w:sz w:val="20"/>
                <w:szCs w:val="20"/>
              </w:rPr>
              <w:t>19 (5.8)</w:t>
            </w:r>
          </w:p>
        </w:tc>
        <w:tc>
          <w:tcPr>
            <w:tcW w:w="1839" w:type="dxa"/>
          </w:tcPr>
          <w:p w14:paraId="3A7DCB46" w14:textId="77777777" w:rsidR="007E7504" w:rsidRPr="006D190E" w:rsidRDefault="007E7504" w:rsidP="007E7504">
            <w:pPr>
              <w:rPr>
                <w:sz w:val="20"/>
                <w:szCs w:val="20"/>
              </w:rPr>
            </w:pPr>
            <w:r w:rsidRPr="006D190E">
              <w:rPr>
                <w:sz w:val="20"/>
                <w:szCs w:val="20"/>
              </w:rPr>
              <w:t>49 (26.2)</w:t>
            </w:r>
          </w:p>
        </w:tc>
      </w:tr>
      <w:tr w:rsidR="00E42E71" w:rsidRPr="006D190E" w14:paraId="7786D9F2" w14:textId="77777777" w:rsidTr="00377476">
        <w:trPr>
          <w:trHeight w:val="482"/>
        </w:trPr>
        <w:tc>
          <w:tcPr>
            <w:tcW w:w="2518" w:type="dxa"/>
          </w:tcPr>
          <w:p w14:paraId="2702EA90" w14:textId="77777777" w:rsidR="007E7504" w:rsidRPr="006D190E" w:rsidRDefault="007E7504" w:rsidP="007E7504">
            <w:pPr>
              <w:rPr>
                <w:sz w:val="20"/>
                <w:szCs w:val="20"/>
              </w:rPr>
            </w:pPr>
            <w:r w:rsidRPr="006D190E">
              <w:rPr>
                <w:sz w:val="20"/>
                <w:szCs w:val="20"/>
              </w:rPr>
              <w:t>On treatment deaths</w:t>
            </w:r>
          </w:p>
        </w:tc>
        <w:tc>
          <w:tcPr>
            <w:tcW w:w="1985" w:type="dxa"/>
          </w:tcPr>
          <w:p w14:paraId="35ED6656" w14:textId="77777777" w:rsidR="007E7504" w:rsidRPr="006D190E" w:rsidRDefault="007E7504" w:rsidP="007E7504">
            <w:pPr>
              <w:rPr>
                <w:sz w:val="20"/>
                <w:szCs w:val="20"/>
              </w:rPr>
            </w:pPr>
            <w:r w:rsidRPr="006D190E">
              <w:rPr>
                <w:sz w:val="20"/>
                <w:szCs w:val="20"/>
              </w:rPr>
              <w:t>3 (0.8)</w:t>
            </w:r>
          </w:p>
        </w:tc>
        <w:tc>
          <w:tcPr>
            <w:tcW w:w="1842" w:type="dxa"/>
          </w:tcPr>
          <w:p w14:paraId="6F7BCAC7" w14:textId="77777777" w:rsidR="007E7504" w:rsidRPr="006D190E" w:rsidRDefault="007E7504" w:rsidP="007E7504">
            <w:pPr>
              <w:rPr>
                <w:sz w:val="20"/>
                <w:szCs w:val="20"/>
              </w:rPr>
            </w:pPr>
            <w:r w:rsidRPr="006D190E">
              <w:rPr>
                <w:sz w:val="20"/>
                <w:szCs w:val="20"/>
              </w:rPr>
              <w:t>1 (0.3)</w:t>
            </w:r>
          </w:p>
        </w:tc>
        <w:tc>
          <w:tcPr>
            <w:tcW w:w="1839" w:type="dxa"/>
          </w:tcPr>
          <w:p w14:paraId="7B1F36D1" w14:textId="77777777" w:rsidR="007E7504" w:rsidRPr="006D190E" w:rsidRDefault="007E7504" w:rsidP="007E7504">
            <w:pPr>
              <w:rPr>
                <w:sz w:val="20"/>
                <w:szCs w:val="20"/>
              </w:rPr>
            </w:pPr>
            <w:r w:rsidRPr="006D190E">
              <w:rPr>
                <w:sz w:val="20"/>
                <w:szCs w:val="20"/>
              </w:rPr>
              <w:t>20 (10.7)</w:t>
            </w:r>
          </w:p>
        </w:tc>
      </w:tr>
    </w:tbl>
    <w:p w14:paraId="2CA941FD" w14:textId="40F92748" w:rsidR="007E7504" w:rsidRPr="00B8122D" w:rsidRDefault="007E7504" w:rsidP="007E7504">
      <w:r w:rsidRPr="00B8122D">
        <w:t>In the evaluator’s opinion, addition of ribociclib to letrozole treatment has resulted i</w:t>
      </w:r>
      <w:r w:rsidR="00E64F20" w:rsidRPr="00B8122D">
        <w:t>n a major increase in toxicity.</w:t>
      </w:r>
    </w:p>
    <w:p w14:paraId="74555582" w14:textId="0B17ED6E" w:rsidR="007E7504" w:rsidRPr="00B8122D" w:rsidRDefault="007E7504" w:rsidP="007E7504">
      <w:r w:rsidRPr="00B8122D">
        <w:t xml:space="preserve">Dose interruptions, delays and reductions in Study A2301 are tabulated </w:t>
      </w:r>
      <w:r w:rsidR="00E64F20" w:rsidRPr="00B8122D">
        <w:t xml:space="preserve">in the clinical evaluation report </w:t>
      </w:r>
      <w:r w:rsidR="00F74C1A">
        <w:t xml:space="preserve">(inclusion </w:t>
      </w:r>
      <w:r w:rsidR="00005C78">
        <w:t xml:space="preserve">of this is </w:t>
      </w:r>
      <w:r w:rsidR="00F74C1A">
        <w:t>beyond the scope of this AusPAR)</w:t>
      </w:r>
      <w:r w:rsidR="00E64F20" w:rsidRPr="00B8122D">
        <w:t>.</w:t>
      </w:r>
      <w:r w:rsidRPr="00B8122D">
        <w:t xml:space="preserve"> Use of ribociclib resulted in considerable ribocicl</w:t>
      </w:r>
      <w:r w:rsidR="00E64F20" w:rsidRPr="00B8122D">
        <w:t>ib dose interruption, delay and/</w:t>
      </w:r>
      <w:r w:rsidRPr="00B8122D">
        <w:t>or reduction.</w:t>
      </w:r>
      <w:r w:rsidR="0010489F" w:rsidRPr="00B8122D">
        <w:t xml:space="preserve"> </w:t>
      </w:r>
      <w:r w:rsidRPr="00B8122D">
        <w:t>For example, 33.2% of ribociclib patients required one dose reduction, and a further 20.7% required 2+ dose reductions.</w:t>
      </w:r>
      <w:r w:rsidR="0010489F" w:rsidRPr="00B8122D">
        <w:t xml:space="preserve"> </w:t>
      </w:r>
      <w:r w:rsidRPr="00B8122D">
        <w:t xml:space="preserve">Interruptions and reductions were generally due to AEs, with </w:t>
      </w:r>
      <w:r w:rsidR="00D92203" w:rsidRPr="00B8122D">
        <w:t>neutropaenia</w:t>
      </w:r>
      <w:r w:rsidRPr="00B8122D">
        <w:t xml:space="preserve"> prominent.</w:t>
      </w:r>
    </w:p>
    <w:p w14:paraId="08BE4AD3" w14:textId="58517659" w:rsidR="007E7504" w:rsidRPr="00B8122D" w:rsidRDefault="007E7504" w:rsidP="007E7504">
      <w:r w:rsidRPr="00B8122D">
        <w:t>Dose interruptions for letrozole were slightly more common in the ribociclib + letrozole arm (</w:t>
      </w:r>
      <w:r w:rsidR="00E64F20" w:rsidRPr="00B8122D">
        <w:t>for example,</w:t>
      </w:r>
      <w:r w:rsidRPr="00B8122D">
        <w:t xml:space="preserve"> 3+ interruptions: 13.2% v</w:t>
      </w:r>
      <w:r w:rsidR="00E64F20" w:rsidRPr="00B8122D">
        <w:t>ersu</w:t>
      </w:r>
      <w:r w:rsidRPr="00B8122D">
        <w:t>s 8.2%).</w:t>
      </w:r>
    </w:p>
    <w:p w14:paraId="1EF720F0" w14:textId="4B206F59" w:rsidR="007E7504" w:rsidRPr="00B8122D" w:rsidRDefault="007E7504" w:rsidP="007E7504">
      <w:r w:rsidRPr="00B8122D">
        <w:t>Dose discontinuations were frequent, and</w:t>
      </w:r>
      <w:r w:rsidR="00E64F20" w:rsidRPr="00B8122D">
        <w:t xml:space="preserve"> commonly due to elevated </w:t>
      </w:r>
      <w:r w:rsidR="00D6390D">
        <w:t>liver function tests (LFT)</w:t>
      </w:r>
      <w:r w:rsidRPr="00B8122D">
        <w:t>.</w:t>
      </w:r>
      <w:r w:rsidR="0010489F" w:rsidRPr="00B8122D">
        <w:t xml:space="preserve"> </w:t>
      </w:r>
      <w:r w:rsidRPr="00B8122D">
        <w:t>Other A</w:t>
      </w:r>
      <w:r w:rsidR="00E64F20" w:rsidRPr="00B8122D">
        <w:t>Es causing discontinuation were</w:t>
      </w:r>
      <w:r w:rsidRPr="00B8122D">
        <w:t xml:space="preserve"> vomiting; </w:t>
      </w:r>
      <w:r w:rsidR="00D92203" w:rsidRPr="00B8122D">
        <w:t>neutropaenia</w:t>
      </w:r>
      <w:r w:rsidRPr="00B8122D">
        <w:t>; hepa</w:t>
      </w:r>
      <w:r w:rsidR="00F74C1A">
        <w:t>totoxicity; and respiratory AEs</w:t>
      </w:r>
      <w:r w:rsidR="00E64F20" w:rsidRPr="00B8122D">
        <w:t>.</w:t>
      </w:r>
    </w:p>
    <w:p w14:paraId="09B75A1A" w14:textId="25A2AC33" w:rsidR="007E7504" w:rsidRPr="00B8122D" w:rsidRDefault="00586E1D" w:rsidP="003D79AF">
      <w:pPr>
        <w:pStyle w:val="Heading6"/>
      </w:pPr>
      <w:r>
        <w:t>Common adverse event</w:t>
      </w:r>
      <w:r w:rsidR="007E7504" w:rsidRPr="00B8122D">
        <w:t>s</w:t>
      </w:r>
    </w:p>
    <w:p w14:paraId="0C5CE3D5" w14:textId="51C2645E" w:rsidR="007E7504" w:rsidRPr="00B8122D" w:rsidRDefault="007E7504" w:rsidP="007E7504">
      <w:r w:rsidRPr="00B8122D">
        <w:t xml:space="preserve">These are reported </w:t>
      </w:r>
      <w:r w:rsidR="00F74C1A">
        <w:t>in</w:t>
      </w:r>
      <w:r w:rsidRPr="00B8122D">
        <w:t xml:space="preserve"> </w:t>
      </w:r>
      <w:r w:rsidR="00E64F20" w:rsidRPr="00B8122D">
        <w:t>the clinical evaluation report</w:t>
      </w:r>
      <w:r w:rsidRPr="00B8122D">
        <w:t xml:space="preserve"> </w:t>
      </w:r>
      <w:r w:rsidR="00F74C1A">
        <w:t>(</w:t>
      </w:r>
      <w:r w:rsidR="00005C78">
        <w:t xml:space="preserve">full inclusion is </w:t>
      </w:r>
      <w:r w:rsidR="00F74C1A">
        <w:t>beyond the scope of this AusPAR)</w:t>
      </w:r>
      <w:r w:rsidRPr="00B8122D">
        <w:t>.</w:t>
      </w:r>
      <w:r w:rsidR="0010489F" w:rsidRPr="00B8122D">
        <w:t xml:space="preserve"> </w:t>
      </w:r>
      <w:r w:rsidR="00D92203" w:rsidRPr="00B8122D">
        <w:t>Neutropaenia</w:t>
      </w:r>
      <w:r w:rsidRPr="00B8122D">
        <w:t>, nausea, diarrhoea, alopecia, vomiting, anaemia, rash, LFT elevations, stomatitis and thrombocytopenia were all substantially more frequent with addition of ribociclib.</w:t>
      </w:r>
      <w:r w:rsidR="0010489F" w:rsidRPr="00B8122D">
        <w:t xml:space="preserve"> </w:t>
      </w:r>
      <w:r w:rsidRPr="00B8122D">
        <w:t>The profile resembles that of cytotoxic chemotherapy in qualitative terms (myelosuppression; gastrointestinal toxicity; alopecia).</w:t>
      </w:r>
    </w:p>
    <w:p w14:paraId="629D0AB0" w14:textId="77777777" w:rsidR="007E7504" w:rsidRPr="00B8122D" w:rsidRDefault="007E7504" w:rsidP="003D79AF">
      <w:pPr>
        <w:pStyle w:val="Heading6"/>
      </w:pPr>
      <w:r w:rsidRPr="00B8122D">
        <w:t>QT prolongation</w:t>
      </w:r>
    </w:p>
    <w:p w14:paraId="3DAFF780" w14:textId="22239911" w:rsidR="007E7504" w:rsidRPr="00B8122D" w:rsidRDefault="007E7504" w:rsidP="007E7504">
      <w:r w:rsidRPr="00B8122D">
        <w:t xml:space="preserve">This risk is described </w:t>
      </w:r>
      <w:r w:rsidR="00005C78">
        <w:t xml:space="preserve">under Clinical Findings: </w:t>
      </w:r>
      <w:r w:rsidR="00005C78">
        <w:rPr>
          <w:i/>
        </w:rPr>
        <w:t xml:space="preserve">Safety, </w:t>
      </w:r>
      <w:r w:rsidR="00005C78">
        <w:t>(see above</w:t>
      </w:r>
      <w:r w:rsidR="00005C78" w:rsidRPr="00555B56">
        <w:t>)</w:t>
      </w:r>
      <w:r w:rsidR="00555B56" w:rsidRPr="00555B56">
        <w:t>.</w:t>
      </w:r>
      <w:r w:rsidR="0010489F" w:rsidRPr="00555B56">
        <w:t xml:space="preserve"> </w:t>
      </w:r>
      <w:r w:rsidRPr="00B8122D">
        <w:t>The evaluator has summ</w:t>
      </w:r>
      <w:r w:rsidR="009825BC" w:rsidRPr="00B8122D">
        <w:t>arised cli</w:t>
      </w:r>
      <w:r w:rsidR="00A45732">
        <w:t xml:space="preserve">nical data as follows in Table </w:t>
      </w:r>
      <w:r w:rsidR="00077B6B">
        <w:t>1</w:t>
      </w:r>
      <w:r w:rsidR="001A79AE">
        <w:t>4</w:t>
      </w:r>
      <w:r w:rsidR="00EE262A">
        <w:t>, based on a data cut-off of 29</w:t>
      </w:r>
      <w:r w:rsidR="001A79AE">
        <w:t> </w:t>
      </w:r>
      <w:r w:rsidR="00EE262A">
        <w:t>Jan</w:t>
      </w:r>
      <w:r w:rsidR="001A79AE">
        <w:t>uary </w:t>
      </w:r>
      <w:r w:rsidR="00EE262A">
        <w:t>2016.</w:t>
      </w:r>
    </w:p>
    <w:p w14:paraId="478F49A0" w14:textId="4F1F1C4B" w:rsidR="009825BC" w:rsidRPr="00B8122D" w:rsidRDefault="00A45732" w:rsidP="00F74C1A">
      <w:pPr>
        <w:pStyle w:val="TableTitle"/>
      </w:pPr>
      <w:r w:rsidRPr="002477C2">
        <w:lastRenderedPageBreak/>
        <w:t xml:space="preserve">Table </w:t>
      </w:r>
      <w:r w:rsidR="00077B6B" w:rsidRPr="002477C2">
        <w:t>1</w:t>
      </w:r>
      <w:r w:rsidR="001A79AE">
        <w:t>4</w:t>
      </w:r>
      <w:r w:rsidR="00077B6B" w:rsidRPr="002477C2">
        <w:t>:</w:t>
      </w:r>
      <w:r w:rsidR="009825BC" w:rsidRPr="002477C2">
        <w:t xml:space="preserve"> S</w:t>
      </w:r>
      <w:r w:rsidR="009825BC" w:rsidRPr="00D7276C">
        <w:t>ummary o</w:t>
      </w:r>
      <w:r w:rsidR="009825BC" w:rsidRPr="002477C2">
        <w:t>f ECG (QT interval) changes and relevant clinical outcomes</w:t>
      </w:r>
      <w:r w:rsidR="008421C9">
        <w:t xml:space="preserve"> (data cut-off: 29</w:t>
      </w:r>
      <w:r w:rsidR="001A79AE">
        <w:t xml:space="preserve"> </w:t>
      </w:r>
      <w:r w:rsidR="008421C9">
        <w:t>Jan</w:t>
      </w:r>
      <w:r w:rsidR="001A79AE">
        <w:t xml:space="preserve">uary </w:t>
      </w:r>
      <w:r w:rsidR="008421C9">
        <w:t>2016)</w:t>
      </w:r>
    </w:p>
    <w:tbl>
      <w:tblPr>
        <w:tblStyle w:val="TableTGAblue"/>
        <w:tblW w:w="8720" w:type="dxa"/>
        <w:tblLayout w:type="fixed"/>
        <w:tblLook w:val="04A0" w:firstRow="1" w:lastRow="0" w:firstColumn="1" w:lastColumn="0" w:noHBand="0" w:noVBand="1"/>
      </w:tblPr>
      <w:tblGrid>
        <w:gridCol w:w="2518"/>
        <w:gridCol w:w="2552"/>
        <w:gridCol w:w="1842"/>
        <w:gridCol w:w="1808"/>
      </w:tblGrid>
      <w:tr w:rsidR="007E7504" w:rsidRPr="00A214DD" w14:paraId="3A595D65" w14:textId="77777777" w:rsidTr="00C02302">
        <w:trPr>
          <w:cnfStyle w:val="100000000000" w:firstRow="1" w:lastRow="0" w:firstColumn="0" w:lastColumn="0" w:oddVBand="0" w:evenVBand="0" w:oddHBand="0" w:evenHBand="0" w:firstRowFirstColumn="0" w:firstRowLastColumn="0" w:lastRowFirstColumn="0" w:lastRowLastColumn="0"/>
          <w:trHeight w:val="1509"/>
        </w:trPr>
        <w:tc>
          <w:tcPr>
            <w:tcW w:w="2518" w:type="dxa"/>
          </w:tcPr>
          <w:p w14:paraId="22B6C31E" w14:textId="77777777" w:rsidR="007E7504" w:rsidRPr="00B8122D" w:rsidRDefault="007E7504" w:rsidP="007E7504"/>
        </w:tc>
        <w:tc>
          <w:tcPr>
            <w:tcW w:w="2552" w:type="dxa"/>
            <w:hideMark/>
          </w:tcPr>
          <w:p w14:paraId="54CAB82D" w14:textId="77777777" w:rsidR="00617B20" w:rsidRPr="00F74C1A" w:rsidRDefault="00617B20" w:rsidP="00F74C1A">
            <w:pPr>
              <w:ind w:left="0"/>
              <w:rPr>
                <w:sz w:val="20"/>
              </w:rPr>
            </w:pPr>
            <w:r w:rsidRPr="00F74C1A">
              <w:rPr>
                <w:sz w:val="20"/>
              </w:rPr>
              <w:t>Studies A2301 + X2107</w:t>
            </w:r>
          </w:p>
          <w:p w14:paraId="572B13B1" w14:textId="53B8E787" w:rsidR="007E7504" w:rsidRPr="00F74C1A" w:rsidRDefault="008A6402" w:rsidP="00D7276C">
            <w:pPr>
              <w:rPr>
                <w:sz w:val="20"/>
              </w:rPr>
            </w:pPr>
            <w:r w:rsidRPr="00F74C1A">
              <w:rPr>
                <w:sz w:val="20"/>
              </w:rPr>
              <w:t>r</w:t>
            </w:r>
            <w:r w:rsidR="007E7504" w:rsidRPr="00F74C1A">
              <w:rPr>
                <w:sz w:val="20"/>
              </w:rPr>
              <w:t xml:space="preserve">ibociclib + </w:t>
            </w:r>
            <w:r w:rsidRPr="00F74C1A">
              <w:rPr>
                <w:sz w:val="20"/>
              </w:rPr>
              <w:t>l</w:t>
            </w:r>
            <w:r w:rsidR="00617B20" w:rsidRPr="00F74C1A">
              <w:rPr>
                <w:sz w:val="20"/>
              </w:rPr>
              <w:t>etrozole</w:t>
            </w:r>
            <w:r w:rsidR="00D7276C">
              <w:rPr>
                <w:sz w:val="20"/>
              </w:rPr>
              <w:br/>
            </w:r>
            <w:r w:rsidR="007E7504" w:rsidRPr="00F74C1A">
              <w:rPr>
                <w:sz w:val="20"/>
              </w:rPr>
              <w:t>N</w:t>
            </w:r>
            <w:r w:rsidR="009825BC" w:rsidRPr="00F74C1A">
              <w:rPr>
                <w:sz w:val="20"/>
              </w:rPr>
              <w:t xml:space="preserve"> </w:t>
            </w:r>
            <w:r w:rsidR="007E7504" w:rsidRPr="00F74C1A">
              <w:rPr>
                <w:sz w:val="20"/>
              </w:rPr>
              <w:t>=</w:t>
            </w:r>
            <w:r w:rsidR="009825BC" w:rsidRPr="00F74C1A">
              <w:rPr>
                <w:sz w:val="20"/>
              </w:rPr>
              <w:t xml:space="preserve"> </w:t>
            </w:r>
            <w:r w:rsidR="007E7504" w:rsidRPr="00F74C1A">
              <w:rPr>
                <w:sz w:val="20"/>
              </w:rPr>
              <w:t>381</w:t>
            </w:r>
            <w:r w:rsidR="00D7276C">
              <w:rPr>
                <w:sz w:val="20"/>
              </w:rPr>
              <w:br/>
            </w:r>
            <w:r w:rsidR="007E7504" w:rsidRPr="00F74C1A">
              <w:rPr>
                <w:sz w:val="20"/>
              </w:rPr>
              <w:t>n (%)</w:t>
            </w:r>
          </w:p>
        </w:tc>
        <w:tc>
          <w:tcPr>
            <w:tcW w:w="1842" w:type="dxa"/>
            <w:hideMark/>
          </w:tcPr>
          <w:p w14:paraId="4BA1DD9B" w14:textId="77777777" w:rsidR="00617B20" w:rsidRPr="00F74C1A" w:rsidRDefault="00617B20" w:rsidP="00F74C1A">
            <w:pPr>
              <w:ind w:left="0"/>
              <w:rPr>
                <w:sz w:val="20"/>
              </w:rPr>
            </w:pPr>
            <w:r w:rsidRPr="00F74C1A">
              <w:rPr>
                <w:sz w:val="20"/>
              </w:rPr>
              <w:t>Study A2301</w:t>
            </w:r>
          </w:p>
          <w:p w14:paraId="6D578B47" w14:textId="2D9C3C6E" w:rsidR="007E7504" w:rsidRPr="00F74C1A" w:rsidRDefault="007E7504" w:rsidP="00D7276C">
            <w:pPr>
              <w:ind w:left="0"/>
              <w:rPr>
                <w:sz w:val="20"/>
              </w:rPr>
            </w:pPr>
            <w:r w:rsidRPr="00F74C1A">
              <w:rPr>
                <w:sz w:val="20"/>
              </w:rPr>
              <w:t>Placebo + letrozole</w:t>
            </w:r>
            <w:r w:rsidR="00D7276C">
              <w:rPr>
                <w:sz w:val="20"/>
              </w:rPr>
              <w:br/>
            </w:r>
            <w:r w:rsidRPr="00F74C1A">
              <w:rPr>
                <w:sz w:val="20"/>
              </w:rPr>
              <w:t>N</w:t>
            </w:r>
            <w:r w:rsidR="009825BC" w:rsidRPr="00F74C1A">
              <w:rPr>
                <w:sz w:val="20"/>
              </w:rPr>
              <w:t xml:space="preserve"> </w:t>
            </w:r>
            <w:r w:rsidRPr="00F74C1A">
              <w:rPr>
                <w:sz w:val="20"/>
              </w:rPr>
              <w:t>=</w:t>
            </w:r>
            <w:r w:rsidR="009825BC" w:rsidRPr="00F74C1A">
              <w:rPr>
                <w:sz w:val="20"/>
              </w:rPr>
              <w:t xml:space="preserve"> </w:t>
            </w:r>
            <w:r w:rsidRPr="00F74C1A">
              <w:rPr>
                <w:sz w:val="20"/>
              </w:rPr>
              <w:t>330</w:t>
            </w:r>
            <w:r w:rsidR="00D7276C">
              <w:rPr>
                <w:sz w:val="20"/>
              </w:rPr>
              <w:br/>
            </w:r>
            <w:r w:rsidRPr="00F74C1A">
              <w:rPr>
                <w:sz w:val="20"/>
              </w:rPr>
              <w:t>n (%)</w:t>
            </w:r>
          </w:p>
        </w:tc>
        <w:tc>
          <w:tcPr>
            <w:tcW w:w="1808" w:type="dxa"/>
            <w:hideMark/>
          </w:tcPr>
          <w:p w14:paraId="3FBB0617" w14:textId="77777777" w:rsidR="00617B20" w:rsidRPr="00F74C1A" w:rsidRDefault="00617B20" w:rsidP="00617B20">
            <w:pPr>
              <w:rPr>
                <w:sz w:val="20"/>
              </w:rPr>
            </w:pPr>
            <w:r w:rsidRPr="00F74C1A">
              <w:rPr>
                <w:sz w:val="20"/>
              </w:rPr>
              <w:t>Monotherapy Studies</w:t>
            </w:r>
          </w:p>
          <w:p w14:paraId="7EC3D899" w14:textId="76AC3BB6" w:rsidR="007E7504" w:rsidRPr="00F74C1A" w:rsidRDefault="00D7276C" w:rsidP="00D7276C">
            <w:pPr>
              <w:rPr>
                <w:sz w:val="20"/>
              </w:rPr>
            </w:pPr>
            <w:r w:rsidRPr="00F74C1A">
              <w:rPr>
                <w:sz w:val="20"/>
              </w:rPr>
              <w:t>R</w:t>
            </w:r>
            <w:r w:rsidR="00F46EF8" w:rsidRPr="00F74C1A">
              <w:rPr>
                <w:sz w:val="20"/>
              </w:rPr>
              <w:t>ibociclib</w:t>
            </w:r>
            <w:r>
              <w:rPr>
                <w:sz w:val="20"/>
              </w:rPr>
              <w:br/>
            </w:r>
            <w:r w:rsidR="00F46EF8" w:rsidRPr="00F74C1A">
              <w:rPr>
                <w:sz w:val="20"/>
              </w:rPr>
              <w:t>N = 187</w:t>
            </w:r>
            <w:r>
              <w:rPr>
                <w:sz w:val="20"/>
              </w:rPr>
              <w:br/>
            </w:r>
            <w:r w:rsidR="00F46EF8" w:rsidRPr="00F74C1A">
              <w:rPr>
                <w:sz w:val="20"/>
              </w:rPr>
              <w:t>n (%)</w:t>
            </w:r>
          </w:p>
        </w:tc>
      </w:tr>
      <w:tr w:rsidR="00D7276C" w:rsidRPr="00A214DD" w14:paraId="1A605DF0" w14:textId="77777777" w:rsidTr="00D7276C">
        <w:trPr>
          <w:trHeight w:val="495"/>
        </w:trPr>
        <w:tc>
          <w:tcPr>
            <w:tcW w:w="8720" w:type="dxa"/>
            <w:gridSpan w:val="4"/>
            <w:shd w:val="clear" w:color="auto" w:fill="C6D4E9"/>
            <w:hideMark/>
          </w:tcPr>
          <w:p w14:paraId="4DD25DAC" w14:textId="7603DA48" w:rsidR="00D7276C" w:rsidRPr="00D7276C" w:rsidRDefault="00D7276C" w:rsidP="00D7276C">
            <w:pPr>
              <w:rPr>
                <w:b/>
                <w:sz w:val="20"/>
                <w:szCs w:val="20"/>
              </w:rPr>
            </w:pPr>
            <w:r w:rsidRPr="00D7276C">
              <w:rPr>
                <w:b/>
                <w:sz w:val="20"/>
                <w:szCs w:val="20"/>
              </w:rPr>
              <w:t>QTcF (ms)</w:t>
            </w:r>
          </w:p>
        </w:tc>
      </w:tr>
      <w:tr w:rsidR="007E7504" w:rsidRPr="00A214DD" w14:paraId="30F1FAD4" w14:textId="77777777" w:rsidTr="00C02302">
        <w:trPr>
          <w:trHeight w:val="495"/>
        </w:trPr>
        <w:tc>
          <w:tcPr>
            <w:tcW w:w="2518" w:type="dxa"/>
            <w:hideMark/>
          </w:tcPr>
          <w:p w14:paraId="7E007A7A" w14:textId="3FCC8DF5" w:rsidR="007E7504" w:rsidRPr="00F74C1A" w:rsidRDefault="007E7504" w:rsidP="00F74C1A">
            <w:pPr>
              <w:spacing w:before="0" w:after="0"/>
              <w:ind w:left="0" w:right="0"/>
              <w:rPr>
                <w:sz w:val="20"/>
              </w:rPr>
            </w:pPr>
            <w:r w:rsidRPr="00F74C1A">
              <w:rPr>
                <w:sz w:val="20"/>
              </w:rPr>
              <w:t>New &gt;</w:t>
            </w:r>
            <w:r w:rsidR="009825BC" w:rsidRPr="00F74C1A">
              <w:rPr>
                <w:sz w:val="20"/>
              </w:rPr>
              <w:t xml:space="preserve"> </w:t>
            </w:r>
            <w:r w:rsidRPr="00F74C1A">
              <w:rPr>
                <w:sz w:val="20"/>
              </w:rPr>
              <w:t>480</w:t>
            </w:r>
          </w:p>
        </w:tc>
        <w:tc>
          <w:tcPr>
            <w:tcW w:w="2552" w:type="dxa"/>
            <w:hideMark/>
          </w:tcPr>
          <w:p w14:paraId="7367A6A8" w14:textId="3B00AA19" w:rsidR="007E7504" w:rsidRPr="00F74C1A" w:rsidRDefault="007E7504" w:rsidP="00F74C1A">
            <w:pPr>
              <w:spacing w:before="0" w:after="0"/>
              <w:ind w:left="0" w:right="0"/>
              <w:rPr>
                <w:sz w:val="20"/>
              </w:rPr>
            </w:pPr>
            <w:r w:rsidRPr="00F74C1A">
              <w:rPr>
                <w:sz w:val="20"/>
              </w:rPr>
              <w:t>15</w:t>
            </w:r>
            <w:r w:rsidR="00901430" w:rsidRPr="00F74C1A">
              <w:rPr>
                <w:sz w:val="20"/>
              </w:rPr>
              <w:t>/</w:t>
            </w:r>
            <w:r w:rsidR="0090245B" w:rsidRPr="00F74C1A">
              <w:rPr>
                <w:sz w:val="20"/>
              </w:rPr>
              <w:t>376</w:t>
            </w:r>
            <w:r w:rsidR="0090245B" w:rsidRPr="00F74C1A">
              <w:rPr>
                <w:sz w:val="20"/>
                <w:vertAlign w:val="superscript"/>
              </w:rPr>
              <w:t>$</w:t>
            </w:r>
            <w:r w:rsidRPr="00F74C1A">
              <w:rPr>
                <w:sz w:val="20"/>
              </w:rPr>
              <w:t xml:space="preserve"> (4.0)</w:t>
            </w:r>
          </w:p>
        </w:tc>
        <w:tc>
          <w:tcPr>
            <w:tcW w:w="1842" w:type="dxa"/>
            <w:hideMark/>
          </w:tcPr>
          <w:p w14:paraId="6A718379" w14:textId="77777777" w:rsidR="007E7504" w:rsidRPr="00F74C1A" w:rsidRDefault="007E7504" w:rsidP="00F74C1A">
            <w:pPr>
              <w:spacing w:before="0" w:after="0"/>
              <w:ind w:left="0" w:right="0"/>
              <w:rPr>
                <w:sz w:val="20"/>
              </w:rPr>
            </w:pPr>
            <w:r w:rsidRPr="00F74C1A">
              <w:rPr>
                <w:sz w:val="20"/>
              </w:rPr>
              <w:t>1 (0.3)</w:t>
            </w:r>
          </w:p>
        </w:tc>
        <w:tc>
          <w:tcPr>
            <w:tcW w:w="1808" w:type="dxa"/>
            <w:hideMark/>
          </w:tcPr>
          <w:p w14:paraId="1FCDB052" w14:textId="77777777" w:rsidR="007E7504" w:rsidRPr="00F74C1A" w:rsidRDefault="007E7504" w:rsidP="00F74C1A">
            <w:pPr>
              <w:spacing w:before="0" w:after="0"/>
              <w:ind w:left="0" w:right="0"/>
              <w:rPr>
                <w:sz w:val="20"/>
              </w:rPr>
            </w:pPr>
            <w:r w:rsidRPr="00F74C1A">
              <w:rPr>
                <w:sz w:val="20"/>
              </w:rPr>
              <w:t>16 (8.6)</w:t>
            </w:r>
          </w:p>
        </w:tc>
      </w:tr>
      <w:tr w:rsidR="007E7504" w:rsidRPr="00A214DD" w14:paraId="1017DB07" w14:textId="77777777" w:rsidTr="00C02302">
        <w:trPr>
          <w:trHeight w:val="495"/>
        </w:trPr>
        <w:tc>
          <w:tcPr>
            <w:tcW w:w="2518" w:type="dxa"/>
            <w:hideMark/>
          </w:tcPr>
          <w:p w14:paraId="4E3063F7" w14:textId="256ECA38" w:rsidR="007E7504" w:rsidRPr="00F74C1A" w:rsidRDefault="007E7504" w:rsidP="00F74C1A">
            <w:pPr>
              <w:spacing w:before="0" w:after="0"/>
              <w:ind w:left="0" w:right="0"/>
              <w:rPr>
                <w:sz w:val="20"/>
              </w:rPr>
            </w:pPr>
            <w:r w:rsidRPr="00F74C1A">
              <w:rPr>
                <w:sz w:val="20"/>
              </w:rPr>
              <w:t>New &gt;</w:t>
            </w:r>
            <w:r w:rsidR="009825BC" w:rsidRPr="00F74C1A">
              <w:rPr>
                <w:sz w:val="20"/>
              </w:rPr>
              <w:t xml:space="preserve"> </w:t>
            </w:r>
            <w:r w:rsidRPr="00F74C1A">
              <w:rPr>
                <w:sz w:val="20"/>
              </w:rPr>
              <w:t>500</w:t>
            </w:r>
          </w:p>
        </w:tc>
        <w:tc>
          <w:tcPr>
            <w:tcW w:w="2552" w:type="dxa"/>
            <w:hideMark/>
          </w:tcPr>
          <w:p w14:paraId="3177E97A" w14:textId="238A4831" w:rsidR="007E7504" w:rsidRPr="00F74C1A" w:rsidRDefault="007E7504" w:rsidP="00F74C1A">
            <w:pPr>
              <w:spacing w:before="0" w:after="0"/>
              <w:ind w:left="0" w:right="0"/>
              <w:rPr>
                <w:sz w:val="20"/>
              </w:rPr>
            </w:pPr>
            <w:r w:rsidRPr="00F74C1A">
              <w:rPr>
                <w:sz w:val="20"/>
              </w:rPr>
              <w:t>1</w:t>
            </w:r>
            <w:r w:rsidR="0090245B" w:rsidRPr="00F74C1A">
              <w:rPr>
                <w:sz w:val="20"/>
              </w:rPr>
              <w:t>/376</w:t>
            </w:r>
            <w:r w:rsidR="0090245B" w:rsidRPr="00F74C1A">
              <w:rPr>
                <w:sz w:val="20"/>
                <w:vertAlign w:val="superscript"/>
              </w:rPr>
              <w:t>$</w:t>
            </w:r>
            <w:r w:rsidRPr="00F74C1A">
              <w:rPr>
                <w:sz w:val="20"/>
              </w:rPr>
              <w:t xml:space="preserve"> (0.3)</w:t>
            </w:r>
          </w:p>
        </w:tc>
        <w:tc>
          <w:tcPr>
            <w:tcW w:w="1842" w:type="dxa"/>
            <w:hideMark/>
          </w:tcPr>
          <w:p w14:paraId="6044B2A1"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4685A500" w14:textId="77777777" w:rsidR="007E7504" w:rsidRPr="00F74C1A" w:rsidRDefault="007E7504" w:rsidP="00F74C1A">
            <w:pPr>
              <w:spacing w:before="0" w:after="0"/>
              <w:ind w:left="0" w:right="0"/>
              <w:rPr>
                <w:sz w:val="20"/>
              </w:rPr>
            </w:pPr>
            <w:r w:rsidRPr="00F74C1A">
              <w:rPr>
                <w:sz w:val="20"/>
              </w:rPr>
              <w:t>6 (3.2)</w:t>
            </w:r>
          </w:p>
        </w:tc>
      </w:tr>
      <w:tr w:rsidR="007E7504" w:rsidRPr="00A214DD" w14:paraId="36097FBB" w14:textId="77777777" w:rsidTr="00C02302">
        <w:trPr>
          <w:trHeight w:val="495"/>
        </w:trPr>
        <w:tc>
          <w:tcPr>
            <w:tcW w:w="2518" w:type="dxa"/>
            <w:hideMark/>
          </w:tcPr>
          <w:p w14:paraId="7E3A4FD7" w14:textId="7C5D90EB" w:rsidR="007E7504" w:rsidRPr="00F74C1A" w:rsidRDefault="009825BC" w:rsidP="00F74C1A">
            <w:pPr>
              <w:spacing w:before="0" w:after="0"/>
              <w:ind w:left="0" w:right="0"/>
              <w:rPr>
                <w:sz w:val="20"/>
              </w:rPr>
            </w:pPr>
            <w:r w:rsidRPr="00F74C1A">
              <w:rPr>
                <w:sz w:val="20"/>
              </w:rPr>
              <w:t>Increase from B</w:t>
            </w:r>
            <w:r w:rsidR="007E7504" w:rsidRPr="00F74C1A">
              <w:rPr>
                <w:sz w:val="20"/>
              </w:rPr>
              <w:t>aseline &gt;</w:t>
            </w:r>
            <w:r w:rsidRPr="00F74C1A">
              <w:rPr>
                <w:sz w:val="20"/>
              </w:rPr>
              <w:t xml:space="preserve"> </w:t>
            </w:r>
            <w:r w:rsidR="007E7504" w:rsidRPr="00F74C1A">
              <w:rPr>
                <w:sz w:val="20"/>
              </w:rPr>
              <w:t>60</w:t>
            </w:r>
            <w:r w:rsidRPr="00F74C1A">
              <w:rPr>
                <w:sz w:val="20"/>
              </w:rPr>
              <w:t xml:space="preserve"> </w:t>
            </w:r>
            <w:r w:rsidR="007E7504" w:rsidRPr="00F74C1A">
              <w:rPr>
                <w:sz w:val="20"/>
              </w:rPr>
              <w:t>ms</w:t>
            </w:r>
          </w:p>
        </w:tc>
        <w:tc>
          <w:tcPr>
            <w:tcW w:w="2552" w:type="dxa"/>
            <w:hideMark/>
          </w:tcPr>
          <w:p w14:paraId="1E15E311" w14:textId="0B0041BE" w:rsidR="007E7504" w:rsidRPr="00F74C1A" w:rsidRDefault="007E7504" w:rsidP="00F74C1A">
            <w:pPr>
              <w:spacing w:before="0" w:after="0"/>
              <w:ind w:left="0" w:right="0"/>
              <w:rPr>
                <w:sz w:val="20"/>
              </w:rPr>
            </w:pPr>
            <w:r w:rsidRPr="00F74C1A">
              <w:rPr>
                <w:sz w:val="20"/>
              </w:rPr>
              <w:t>12</w:t>
            </w:r>
            <w:r w:rsidR="0090245B" w:rsidRPr="00F74C1A">
              <w:rPr>
                <w:sz w:val="20"/>
              </w:rPr>
              <w:t>/376</w:t>
            </w:r>
            <w:r w:rsidR="0090245B" w:rsidRPr="00F74C1A">
              <w:rPr>
                <w:sz w:val="20"/>
                <w:vertAlign w:val="superscript"/>
              </w:rPr>
              <w:t>$</w:t>
            </w:r>
            <w:r w:rsidRPr="00F74C1A">
              <w:rPr>
                <w:sz w:val="20"/>
              </w:rPr>
              <w:t xml:space="preserve"> (3.2)</w:t>
            </w:r>
          </w:p>
        </w:tc>
        <w:tc>
          <w:tcPr>
            <w:tcW w:w="1842" w:type="dxa"/>
            <w:hideMark/>
          </w:tcPr>
          <w:p w14:paraId="48B4D5AC"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5C7600CC" w14:textId="77777777" w:rsidR="007E7504" w:rsidRPr="00F74C1A" w:rsidRDefault="007E7504" w:rsidP="00F74C1A">
            <w:pPr>
              <w:spacing w:before="0" w:after="0"/>
              <w:ind w:left="0" w:right="0"/>
              <w:rPr>
                <w:sz w:val="20"/>
              </w:rPr>
            </w:pPr>
            <w:r w:rsidRPr="00F74C1A">
              <w:rPr>
                <w:sz w:val="20"/>
              </w:rPr>
              <w:t>20 (10.7)</w:t>
            </w:r>
          </w:p>
        </w:tc>
      </w:tr>
      <w:tr w:rsidR="00D7276C" w:rsidRPr="00A214DD" w14:paraId="0AFA5846" w14:textId="77777777" w:rsidTr="00D7276C">
        <w:trPr>
          <w:trHeight w:val="495"/>
        </w:trPr>
        <w:tc>
          <w:tcPr>
            <w:tcW w:w="8720" w:type="dxa"/>
            <w:gridSpan w:val="4"/>
            <w:shd w:val="clear" w:color="auto" w:fill="C6D4E9"/>
            <w:hideMark/>
          </w:tcPr>
          <w:p w14:paraId="1E324E80" w14:textId="33E79370" w:rsidR="00D7276C" w:rsidRPr="00D7276C" w:rsidRDefault="00D7276C" w:rsidP="00D7276C">
            <w:pPr>
              <w:rPr>
                <w:b/>
                <w:sz w:val="20"/>
                <w:szCs w:val="20"/>
              </w:rPr>
            </w:pPr>
            <w:r w:rsidRPr="00D7276C">
              <w:rPr>
                <w:b/>
                <w:sz w:val="20"/>
                <w:szCs w:val="20"/>
              </w:rPr>
              <w:t>AE ECG QT prolonged</w:t>
            </w:r>
          </w:p>
        </w:tc>
      </w:tr>
      <w:tr w:rsidR="007E7504" w:rsidRPr="00A214DD" w14:paraId="3236E413" w14:textId="77777777" w:rsidTr="00C02302">
        <w:trPr>
          <w:trHeight w:val="495"/>
        </w:trPr>
        <w:tc>
          <w:tcPr>
            <w:tcW w:w="2518" w:type="dxa"/>
            <w:hideMark/>
          </w:tcPr>
          <w:p w14:paraId="41192BC1" w14:textId="77777777" w:rsidR="007E7504" w:rsidRPr="00F74C1A" w:rsidRDefault="007E7504" w:rsidP="00F74C1A">
            <w:pPr>
              <w:spacing w:before="0" w:after="0"/>
              <w:ind w:left="0" w:right="0"/>
              <w:rPr>
                <w:sz w:val="20"/>
              </w:rPr>
            </w:pPr>
            <w:r w:rsidRPr="00F74C1A">
              <w:rPr>
                <w:sz w:val="20"/>
              </w:rPr>
              <w:t>All grades</w:t>
            </w:r>
          </w:p>
        </w:tc>
        <w:tc>
          <w:tcPr>
            <w:tcW w:w="2552" w:type="dxa"/>
            <w:hideMark/>
          </w:tcPr>
          <w:p w14:paraId="7DB05909" w14:textId="63C21AE1" w:rsidR="007E7504" w:rsidRPr="00F74C1A" w:rsidRDefault="00060CBA" w:rsidP="00F74C1A">
            <w:pPr>
              <w:spacing w:before="0" w:after="0"/>
              <w:ind w:left="0" w:right="0"/>
              <w:rPr>
                <w:sz w:val="20"/>
              </w:rPr>
            </w:pPr>
            <w:r w:rsidRPr="00F74C1A">
              <w:rPr>
                <w:sz w:val="20"/>
              </w:rPr>
              <w:t>1</w:t>
            </w:r>
            <w:r w:rsidR="0090245B" w:rsidRPr="00F74C1A">
              <w:rPr>
                <w:sz w:val="20"/>
              </w:rPr>
              <w:t>7</w:t>
            </w:r>
            <w:r w:rsidR="003D33A3" w:rsidRPr="00F74C1A">
              <w:rPr>
                <w:sz w:val="20"/>
              </w:rPr>
              <w:t xml:space="preserve"> </w:t>
            </w:r>
            <w:r w:rsidR="007E7504" w:rsidRPr="00F74C1A">
              <w:rPr>
                <w:sz w:val="20"/>
              </w:rPr>
              <w:t>(4.5)</w:t>
            </w:r>
          </w:p>
        </w:tc>
        <w:tc>
          <w:tcPr>
            <w:tcW w:w="1842" w:type="dxa"/>
            <w:hideMark/>
          </w:tcPr>
          <w:p w14:paraId="7154AADF" w14:textId="77777777" w:rsidR="007E7504" w:rsidRPr="00F74C1A" w:rsidRDefault="007E7504" w:rsidP="00F74C1A">
            <w:pPr>
              <w:spacing w:before="0" w:after="0"/>
              <w:ind w:left="0" w:right="0"/>
              <w:rPr>
                <w:sz w:val="20"/>
              </w:rPr>
            </w:pPr>
            <w:r w:rsidRPr="00F74C1A">
              <w:rPr>
                <w:sz w:val="20"/>
              </w:rPr>
              <w:t>4 (2.1)</w:t>
            </w:r>
          </w:p>
        </w:tc>
        <w:tc>
          <w:tcPr>
            <w:tcW w:w="1808" w:type="dxa"/>
            <w:hideMark/>
          </w:tcPr>
          <w:p w14:paraId="582C2FE9" w14:textId="77777777" w:rsidR="007E7504" w:rsidRPr="00F74C1A" w:rsidRDefault="007E7504" w:rsidP="00F74C1A">
            <w:pPr>
              <w:spacing w:before="0" w:after="0"/>
              <w:ind w:left="0" w:right="0"/>
              <w:rPr>
                <w:sz w:val="20"/>
              </w:rPr>
            </w:pPr>
            <w:r w:rsidRPr="00F74C1A">
              <w:rPr>
                <w:sz w:val="20"/>
              </w:rPr>
              <w:t>29 (15.5)</w:t>
            </w:r>
          </w:p>
        </w:tc>
      </w:tr>
      <w:tr w:rsidR="007E7504" w:rsidRPr="00A214DD" w14:paraId="040AD4FA" w14:textId="77777777" w:rsidTr="00C02302">
        <w:trPr>
          <w:trHeight w:val="495"/>
        </w:trPr>
        <w:tc>
          <w:tcPr>
            <w:tcW w:w="2518" w:type="dxa"/>
            <w:hideMark/>
          </w:tcPr>
          <w:p w14:paraId="7ED86BFD" w14:textId="77777777" w:rsidR="007E7504" w:rsidRPr="00F74C1A" w:rsidRDefault="007E7504" w:rsidP="00F74C1A">
            <w:pPr>
              <w:spacing w:before="0" w:after="0"/>
              <w:ind w:left="0" w:right="0"/>
              <w:rPr>
                <w:sz w:val="20"/>
              </w:rPr>
            </w:pPr>
            <w:r w:rsidRPr="00F74C1A">
              <w:rPr>
                <w:sz w:val="20"/>
              </w:rPr>
              <w:t>Grade 3/4</w:t>
            </w:r>
          </w:p>
        </w:tc>
        <w:tc>
          <w:tcPr>
            <w:tcW w:w="2552" w:type="dxa"/>
            <w:hideMark/>
          </w:tcPr>
          <w:p w14:paraId="4FB3C6DD" w14:textId="77777777" w:rsidR="007E7504" w:rsidRPr="00F74C1A" w:rsidRDefault="007E7504" w:rsidP="00F74C1A">
            <w:pPr>
              <w:spacing w:before="0" w:after="0"/>
              <w:ind w:left="0" w:right="0"/>
              <w:rPr>
                <w:sz w:val="20"/>
              </w:rPr>
            </w:pPr>
            <w:r w:rsidRPr="00F74C1A">
              <w:rPr>
                <w:sz w:val="20"/>
              </w:rPr>
              <w:t>1 (0.3)</w:t>
            </w:r>
          </w:p>
        </w:tc>
        <w:tc>
          <w:tcPr>
            <w:tcW w:w="1842" w:type="dxa"/>
            <w:hideMark/>
          </w:tcPr>
          <w:p w14:paraId="3EE0F329"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56DD54CB" w14:textId="77777777" w:rsidR="007E7504" w:rsidRPr="00F74C1A" w:rsidRDefault="007E7504" w:rsidP="00F74C1A">
            <w:pPr>
              <w:spacing w:before="0" w:after="0"/>
              <w:ind w:left="0" w:right="0"/>
              <w:rPr>
                <w:sz w:val="20"/>
              </w:rPr>
            </w:pPr>
            <w:r w:rsidRPr="00F74C1A">
              <w:rPr>
                <w:sz w:val="20"/>
              </w:rPr>
              <w:t>4 (2.1)</w:t>
            </w:r>
          </w:p>
        </w:tc>
      </w:tr>
      <w:tr w:rsidR="00D7276C" w:rsidRPr="00A214DD" w14:paraId="1E0E76BA" w14:textId="77777777" w:rsidTr="00D7276C">
        <w:trPr>
          <w:trHeight w:val="495"/>
        </w:trPr>
        <w:tc>
          <w:tcPr>
            <w:tcW w:w="8720" w:type="dxa"/>
            <w:gridSpan w:val="4"/>
            <w:shd w:val="clear" w:color="auto" w:fill="C6D4E9"/>
            <w:hideMark/>
          </w:tcPr>
          <w:p w14:paraId="417E1C3F" w14:textId="29B2AED7" w:rsidR="00D7276C" w:rsidRPr="00C02302" w:rsidRDefault="00D7276C" w:rsidP="00C02302">
            <w:pPr>
              <w:rPr>
                <w:b/>
                <w:sz w:val="20"/>
              </w:rPr>
            </w:pPr>
            <w:r w:rsidRPr="00C02302">
              <w:rPr>
                <w:b/>
                <w:sz w:val="20"/>
              </w:rPr>
              <w:t>A</w:t>
            </w:r>
            <w:r w:rsidRPr="00C02302">
              <w:rPr>
                <w:b/>
              </w:rPr>
              <w:t>ll AEs</w:t>
            </w:r>
          </w:p>
        </w:tc>
      </w:tr>
      <w:tr w:rsidR="007E7504" w:rsidRPr="00A214DD" w14:paraId="3C5C7733" w14:textId="77777777" w:rsidTr="00C02302">
        <w:trPr>
          <w:trHeight w:val="495"/>
        </w:trPr>
        <w:tc>
          <w:tcPr>
            <w:tcW w:w="2518" w:type="dxa"/>
            <w:hideMark/>
          </w:tcPr>
          <w:p w14:paraId="2BED8F3E" w14:textId="77777777" w:rsidR="007E7504" w:rsidRPr="00F74C1A" w:rsidRDefault="007E7504" w:rsidP="00F74C1A">
            <w:pPr>
              <w:spacing w:before="0" w:after="0"/>
              <w:ind w:left="0" w:right="0"/>
              <w:rPr>
                <w:sz w:val="20"/>
              </w:rPr>
            </w:pPr>
            <w:r w:rsidRPr="00F74C1A">
              <w:rPr>
                <w:sz w:val="20"/>
              </w:rPr>
              <w:t>Syncope</w:t>
            </w:r>
          </w:p>
        </w:tc>
        <w:tc>
          <w:tcPr>
            <w:tcW w:w="2552" w:type="dxa"/>
            <w:hideMark/>
          </w:tcPr>
          <w:p w14:paraId="539D16E9" w14:textId="77777777" w:rsidR="007E7504" w:rsidRPr="00F74C1A" w:rsidRDefault="007E7504" w:rsidP="00F74C1A">
            <w:pPr>
              <w:spacing w:before="0" w:after="0"/>
              <w:ind w:left="0" w:right="0"/>
              <w:rPr>
                <w:sz w:val="20"/>
              </w:rPr>
            </w:pPr>
            <w:r w:rsidRPr="00F74C1A">
              <w:rPr>
                <w:sz w:val="20"/>
              </w:rPr>
              <w:t>9 (2.4)</w:t>
            </w:r>
          </w:p>
        </w:tc>
        <w:tc>
          <w:tcPr>
            <w:tcW w:w="1842" w:type="dxa"/>
            <w:hideMark/>
          </w:tcPr>
          <w:p w14:paraId="4C84DD3C" w14:textId="77777777" w:rsidR="007E7504" w:rsidRPr="00F74C1A" w:rsidRDefault="007E7504" w:rsidP="00F74C1A">
            <w:pPr>
              <w:spacing w:before="0" w:after="0"/>
              <w:ind w:left="0" w:right="0"/>
              <w:rPr>
                <w:sz w:val="20"/>
              </w:rPr>
            </w:pPr>
            <w:r w:rsidRPr="00F74C1A">
              <w:rPr>
                <w:sz w:val="20"/>
              </w:rPr>
              <w:t>3 (0.9)</w:t>
            </w:r>
          </w:p>
        </w:tc>
        <w:tc>
          <w:tcPr>
            <w:tcW w:w="1808" w:type="dxa"/>
            <w:hideMark/>
          </w:tcPr>
          <w:p w14:paraId="2028128D" w14:textId="77777777" w:rsidR="007E7504" w:rsidRPr="00F74C1A" w:rsidRDefault="007E7504" w:rsidP="00F74C1A">
            <w:pPr>
              <w:spacing w:before="0" w:after="0"/>
              <w:ind w:left="0" w:right="0"/>
              <w:rPr>
                <w:sz w:val="20"/>
              </w:rPr>
            </w:pPr>
            <w:r w:rsidRPr="00F74C1A">
              <w:rPr>
                <w:sz w:val="20"/>
              </w:rPr>
              <w:t>5 (2.7)</w:t>
            </w:r>
          </w:p>
        </w:tc>
      </w:tr>
      <w:tr w:rsidR="007E7504" w:rsidRPr="00A214DD" w14:paraId="5FB76AFF" w14:textId="77777777" w:rsidTr="00C02302">
        <w:trPr>
          <w:trHeight w:val="495"/>
        </w:trPr>
        <w:tc>
          <w:tcPr>
            <w:tcW w:w="2518" w:type="dxa"/>
            <w:hideMark/>
          </w:tcPr>
          <w:p w14:paraId="4255C069" w14:textId="77777777" w:rsidR="007E7504" w:rsidRPr="00F74C1A" w:rsidRDefault="007E7504" w:rsidP="00F74C1A">
            <w:pPr>
              <w:spacing w:before="0" w:after="0"/>
              <w:ind w:left="0" w:right="0"/>
              <w:rPr>
                <w:sz w:val="20"/>
              </w:rPr>
            </w:pPr>
            <w:r w:rsidRPr="00F74C1A">
              <w:rPr>
                <w:sz w:val="20"/>
              </w:rPr>
              <w:t>Loss of consciousness</w:t>
            </w:r>
          </w:p>
        </w:tc>
        <w:tc>
          <w:tcPr>
            <w:tcW w:w="2552" w:type="dxa"/>
            <w:hideMark/>
          </w:tcPr>
          <w:p w14:paraId="6EC350A9" w14:textId="77777777" w:rsidR="007E7504" w:rsidRPr="00F74C1A" w:rsidRDefault="007E7504" w:rsidP="00F74C1A">
            <w:pPr>
              <w:spacing w:before="0" w:after="0"/>
              <w:ind w:left="0" w:right="0"/>
              <w:rPr>
                <w:sz w:val="20"/>
              </w:rPr>
            </w:pPr>
            <w:r w:rsidRPr="00F74C1A">
              <w:rPr>
                <w:sz w:val="20"/>
              </w:rPr>
              <w:t>1 (0.3)</w:t>
            </w:r>
          </w:p>
        </w:tc>
        <w:tc>
          <w:tcPr>
            <w:tcW w:w="1842" w:type="dxa"/>
            <w:hideMark/>
          </w:tcPr>
          <w:p w14:paraId="55FA5F66"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012ABD93" w14:textId="77777777" w:rsidR="007E7504" w:rsidRPr="00F74C1A" w:rsidRDefault="007E7504" w:rsidP="00F74C1A">
            <w:pPr>
              <w:spacing w:before="0" w:after="0"/>
              <w:ind w:left="0" w:right="0"/>
              <w:rPr>
                <w:sz w:val="20"/>
              </w:rPr>
            </w:pPr>
            <w:r w:rsidRPr="00F74C1A">
              <w:rPr>
                <w:sz w:val="20"/>
              </w:rPr>
              <w:t>0</w:t>
            </w:r>
          </w:p>
        </w:tc>
      </w:tr>
      <w:tr w:rsidR="007E7504" w:rsidRPr="00A214DD" w14:paraId="01F96B72" w14:textId="77777777" w:rsidTr="00C02302">
        <w:trPr>
          <w:trHeight w:val="495"/>
        </w:trPr>
        <w:tc>
          <w:tcPr>
            <w:tcW w:w="2518" w:type="dxa"/>
            <w:hideMark/>
          </w:tcPr>
          <w:p w14:paraId="1A909421" w14:textId="77777777" w:rsidR="007E7504" w:rsidRPr="00F74C1A" w:rsidRDefault="007E7504" w:rsidP="00F74C1A">
            <w:pPr>
              <w:spacing w:before="0" w:after="0"/>
              <w:ind w:left="0" w:right="0"/>
              <w:rPr>
                <w:sz w:val="20"/>
              </w:rPr>
            </w:pPr>
            <w:r w:rsidRPr="00F74C1A">
              <w:rPr>
                <w:sz w:val="20"/>
              </w:rPr>
              <w:t>Sudden death</w:t>
            </w:r>
          </w:p>
        </w:tc>
        <w:tc>
          <w:tcPr>
            <w:tcW w:w="2552" w:type="dxa"/>
            <w:hideMark/>
          </w:tcPr>
          <w:p w14:paraId="378F6C9D" w14:textId="77777777" w:rsidR="007E7504" w:rsidRPr="00F74C1A" w:rsidRDefault="007E7504" w:rsidP="00F74C1A">
            <w:pPr>
              <w:spacing w:before="0" w:after="0"/>
              <w:ind w:left="0" w:right="0"/>
              <w:rPr>
                <w:sz w:val="20"/>
              </w:rPr>
            </w:pPr>
            <w:r w:rsidRPr="00F74C1A">
              <w:rPr>
                <w:sz w:val="20"/>
              </w:rPr>
              <w:t>1 (0.3)</w:t>
            </w:r>
          </w:p>
        </w:tc>
        <w:tc>
          <w:tcPr>
            <w:tcW w:w="1842" w:type="dxa"/>
            <w:hideMark/>
          </w:tcPr>
          <w:p w14:paraId="14468679"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70A195B6" w14:textId="77777777" w:rsidR="007E7504" w:rsidRPr="00F74C1A" w:rsidRDefault="007E7504" w:rsidP="00F74C1A">
            <w:pPr>
              <w:spacing w:before="0" w:after="0"/>
              <w:ind w:left="0" w:right="0"/>
              <w:rPr>
                <w:sz w:val="20"/>
              </w:rPr>
            </w:pPr>
            <w:r w:rsidRPr="00F74C1A">
              <w:rPr>
                <w:sz w:val="20"/>
              </w:rPr>
              <w:t>1*(0.5)</w:t>
            </w:r>
          </w:p>
        </w:tc>
      </w:tr>
      <w:tr w:rsidR="007E7504" w:rsidRPr="00A214DD" w14:paraId="3E87DEF2" w14:textId="77777777" w:rsidTr="00C02302">
        <w:trPr>
          <w:trHeight w:val="495"/>
        </w:trPr>
        <w:tc>
          <w:tcPr>
            <w:tcW w:w="2518" w:type="dxa"/>
            <w:hideMark/>
          </w:tcPr>
          <w:p w14:paraId="589B9F7F" w14:textId="77777777" w:rsidR="007E7504" w:rsidRPr="00F74C1A" w:rsidRDefault="007E7504" w:rsidP="00F74C1A">
            <w:pPr>
              <w:spacing w:before="0" w:after="0"/>
              <w:ind w:left="0" w:right="0"/>
              <w:rPr>
                <w:sz w:val="20"/>
              </w:rPr>
            </w:pPr>
            <w:r w:rsidRPr="00F74C1A">
              <w:rPr>
                <w:sz w:val="20"/>
              </w:rPr>
              <w:t>Ventricular tachycardia</w:t>
            </w:r>
          </w:p>
        </w:tc>
        <w:tc>
          <w:tcPr>
            <w:tcW w:w="2552" w:type="dxa"/>
            <w:hideMark/>
          </w:tcPr>
          <w:p w14:paraId="6542B5FC" w14:textId="77777777" w:rsidR="007E7504" w:rsidRPr="00F74C1A" w:rsidRDefault="007E7504" w:rsidP="00F74C1A">
            <w:pPr>
              <w:spacing w:before="0" w:after="0"/>
              <w:ind w:left="0" w:right="0"/>
              <w:rPr>
                <w:sz w:val="20"/>
              </w:rPr>
            </w:pPr>
            <w:r w:rsidRPr="00F74C1A">
              <w:rPr>
                <w:sz w:val="20"/>
              </w:rPr>
              <w:t>1 (0.3)</w:t>
            </w:r>
          </w:p>
        </w:tc>
        <w:tc>
          <w:tcPr>
            <w:tcW w:w="1842" w:type="dxa"/>
            <w:hideMark/>
          </w:tcPr>
          <w:p w14:paraId="4B4C7623"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4F5D04A4" w14:textId="77777777" w:rsidR="007E7504" w:rsidRPr="00F74C1A" w:rsidRDefault="007E7504" w:rsidP="00F74C1A">
            <w:pPr>
              <w:spacing w:before="0" w:after="0"/>
              <w:ind w:left="0" w:right="0"/>
              <w:rPr>
                <w:sz w:val="20"/>
              </w:rPr>
            </w:pPr>
            <w:r w:rsidRPr="00F74C1A">
              <w:rPr>
                <w:sz w:val="20"/>
              </w:rPr>
              <w:t>0</w:t>
            </w:r>
          </w:p>
        </w:tc>
      </w:tr>
      <w:tr w:rsidR="007E7504" w:rsidRPr="00A214DD" w14:paraId="173D9927" w14:textId="77777777" w:rsidTr="00C02302">
        <w:trPr>
          <w:trHeight w:val="495"/>
        </w:trPr>
        <w:tc>
          <w:tcPr>
            <w:tcW w:w="2518" w:type="dxa"/>
            <w:hideMark/>
          </w:tcPr>
          <w:p w14:paraId="7D80BBCF" w14:textId="77777777" w:rsidR="007E7504" w:rsidRPr="00F74C1A" w:rsidRDefault="007E7504" w:rsidP="00F74C1A">
            <w:pPr>
              <w:spacing w:before="0" w:after="0"/>
              <w:ind w:left="0" w:right="0"/>
              <w:rPr>
                <w:sz w:val="20"/>
              </w:rPr>
            </w:pPr>
            <w:r w:rsidRPr="00F74C1A">
              <w:rPr>
                <w:sz w:val="20"/>
              </w:rPr>
              <w:t>Cardiorespiratory arrest</w:t>
            </w:r>
          </w:p>
        </w:tc>
        <w:tc>
          <w:tcPr>
            <w:tcW w:w="2552" w:type="dxa"/>
            <w:hideMark/>
          </w:tcPr>
          <w:p w14:paraId="4EB1E27E" w14:textId="77777777" w:rsidR="007E7504" w:rsidRPr="00F74C1A" w:rsidRDefault="007E7504" w:rsidP="00F74C1A">
            <w:pPr>
              <w:spacing w:before="0" w:after="0"/>
              <w:ind w:left="0" w:right="0"/>
              <w:rPr>
                <w:sz w:val="20"/>
              </w:rPr>
            </w:pPr>
            <w:r w:rsidRPr="00F74C1A">
              <w:rPr>
                <w:sz w:val="20"/>
              </w:rPr>
              <w:t>0</w:t>
            </w:r>
          </w:p>
        </w:tc>
        <w:tc>
          <w:tcPr>
            <w:tcW w:w="1842" w:type="dxa"/>
            <w:hideMark/>
          </w:tcPr>
          <w:p w14:paraId="194AE400"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6919A0E0" w14:textId="77777777" w:rsidR="007E7504" w:rsidRPr="00F74C1A" w:rsidRDefault="007E7504" w:rsidP="00F74C1A">
            <w:pPr>
              <w:spacing w:before="0" w:after="0"/>
              <w:ind w:left="0" w:right="0"/>
              <w:rPr>
                <w:sz w:val="20"/>
              </w:rPr>
            </w:pPr>
            <w:r w:rsidRPr="00F74C1A">
              <w:rPr>
                <w:sz w:val="20"/>
              </w:rPr>
              <w:t>1 (0.5)</w:t>
            </w:r>
          </w:p>
        </w:tc>
      </w:tr>
      <w:tr w:rsidR="00D7276C" w:rsidRPr="00A214DD" w14:paraId="4440D785" w14:textId="77777777" w:rsidTr="00D7276C">
        <w:trPr>
          <w:trHeight w:val="495"/>
        </w:trPr>
        <w:tc>
          <w:tcPr>
            <w:tcW w:w="8720" w:type="dxa"/>
            <w:gridSpan w:val="4"/>
            <w:shd w:val="clear" w:color="auto" w:fill="C6D4E9"/>
            <w:hideMark/>
          </w:tcPr>
          <w:p w14:paraId="57D2923B" w14:textId="4F8A3FC1" w:rsidR="00D7276C" w:rsidRPr="00C02302" w:rsidRDefault="00D7276C" w:rsidP="00C02302">
            <w:pPr>
              <w:rPr>
                <w:b/>
              </w:rPr>
            </w:pPr>
            <w:r w:rsidRPr="00C02302">
              <w:rPr>
                <w:b/>
              </w:rPr>
              <w:t>SAEs</w:t>
            </w:r>
          </w:p>
        </w:tc>
      </w:tr>
      <w:tr w:rsidR="007E7504" w:rsidRPr="00A214DD" w14:paraId="44FD448A" w14:textId="77777777" w:rsidTr="00C02302">
        <w:trPr>
          <w:trHeight w:val="495"/>
        </w:trPr>
        <w:tc>
          <w:tcPr>
            <w:tcW w:w="2518" w:type="dxa"/>
            <w:hideMark/>
          </w:tcPr>
          <w:p w14:paraId="0698ED59" w14:textId="77777777" w:rsidR="007E7504" w:rsidRPr="00F74C1A" w:rsidRDefault="007E7504" w:rsidP="00F74C1A">
            <w:pPr>
              <w:spacing w:before="0" w:after="0"/>
              <w:ind w:left="0" w:right="0"/>
              <w:rPr>
                <w:sz w:val="20"/>
              </w:rPr>
            </w:pPr>
            <w:r w:rsidRPr="00F74C1A">
              <w:rPr>
                <w:sz w:val="20"/>
              </w:rPr>
              <w:t>Syncope</w:t>
            </w:r>
          </w:p>
        </w:tc>
        <w:tc>
          <w:tcPr>
            <w:tcW w:w="2552" w:type="dxa"/>
            <w:hideMark/>
          </w:tcPr>
          <w:p w14:paraId="33D6359E" w14:textId="2CAE8DF8" w:rsidR="007E7504" w:rsidRPr="00F74C1A" w:rsidRDefault="007E7504" w:rsidP="00F74C1A">
            <w:pPr>
              <w:spacing w:before="0" w:after="0"/>
              <w:ind w:left="0" w:right="0"/>
              <w:rPr>
                <w:sz w:val="20"/>
              </w:rPr>
            </w:pPr>
            <w:r w:rsidRPr="00F74C1A">
              <w:rPr>
                <w:sz w:val="20"/>
              </w:rPr>
              <w:t>3 (0.</w:t>
            </w:r>
            <w:r w:rsidR="00B204FE" w:rsidRPr="00F74C1A">
              <w:rPr>
                <w:sz w:val="20"/>
              </w:rPr>
              <w:t>8</w:t>
            </w:r>
            <w:r w:rsidR="00060CBA" w:rsidRPr="00F74C1A">
              <w:rPr>
                <w:sz w:val="20"/>
              </w:rPr>
              <w:t>)</w:t>
            </w:r>
          </w:p>
        </w:tc>
        <w:tc>
          <w:tcPr>
            <w:tcW w:w="1842" w:type="dxa"/>
            <w:hideMark/>
          </w:tcPr>
          <w:p w14:paraId="3BD3B069"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432386F5" w14:textId="77777777" w:rsidR="007E7504" w:rsidRPr="00F74C1A" w:rsidRDefault="007E7504" w:rsidP="00F74C1A">
            <w:pPr>
              <w:spacing w:before="0" w:after="0"/>
              <w:ind w:left="0" w:right="0"/>
              <w:rPr>
                <w:sz w:val="20"/>
              </w:rPr>
            </w:pPr>
            <w:r w:rsidRPr="00F74C1A">
              <w:rPr>
                <w:sz w:val="20"/>
              </w:rPr>
              <w:t>0</w:t>
            </w:r>
          </w:p>
        </w:tc>
      </w:tr>
      <w:tr w:rsidR="007E7504" w:rsidRPr="00A214DD" w14:paraId="43219FF0" w14:textId="77777777" w:rsidTr="00C02302">
        <w:trPr>
          <w:trHeight w:val="495"/>
        </w:trPr>
        <w:tc>
          <w:tcPr>
            <w:tcW w:w="2518" w:type="dxa"/>
            <w:hideMark/>
          </w:tcPr>
          <w:p w14:paraId="433B2C50" w14:textId="77777777" w:rsidR="007E7504" w:rsidRPr="00F74C1A" w:rsidRDefault="007E7504" w:rsidP="00F74C1A">
            <w:pPr>
              <w:spacing w:before="0" w:after="0"/>
              <w:ind w:left="0" w:right="0"/>
              <w:rPr>
                <w:sz w:val="20"/>
              </w:rPr>
            </w:pPr>
            <w:r w:rsidRPr="00F74C1A">
              <w:rPr>
                <w:sz w:val="20"/>
              </w:rPr>
              <w:t>Sudden death</w:t>
            </w:r>
          </w:p>
        </w:tc>
        <w:tc>
          <w:tcPr>
            <w:tcW w:w="2552" w:type="dxa"/>
            <w:hideMark/>
          </w:tcPr>
          <w:p w14:paraId="501FCC28" w14:textId="77777777" w:rsidR="007E7504" w:rsidRPr="00F74C1A" w:rsidRDefault="007E7504" w:rsidP="00F74C1A">
            <w:pPr>
              <w:spacing w:before="0" w:after="0"/>
              <w:ind w:left="0" w:right="0"/>
              <w:rPr>
                <w:sz w:val="20"/>
              </w:rPr>
            </w:pPr>
            <w:r w:rsidRPr="00F74C1A">
              <w:rPr>
                <w:sz w:val="20"/>
              </w:rPr>
              <w:t>1 (0.3)</w:t>
            </w:r>
          </w:p>
        </w:tc>
        <w:tc>
          <w:tcPr>
            <w:tcW w:w="1842" w:type="dxa"/>
            <w:hideMark/>
          </w:tcPr>
          <w:p w14:paraId="6EE8053A"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561D7516" w14:textId="77777777" w:rsidR="007E7504" w:rsidRPr="00F74C1A" w:rsidRDefault="007E7504" w:rsidP="00F74C1A">
            <w:pPr>
              <w:spacing w:before="0" w:after="0"/>
              <w:ind w:left="0" w:right="0"/>
              <w:rPr>
                <w:sz w:val="20"/>
              </w:rPr>
            </w:pPr>
            <w:r w:rsidRPr="00F74C1A">
              <w:rPr>
                <w:sz w:val="20"/>
              </w:rPr>
              <w:t>0</w:t>
            </w:r>
          </w:p>
        </w:tc>
      </w:tr>
      <w:tr w:rsidR="007E7504" w:rsidRPr="00A214DD" w14:paraId="1D5432B2" w14:textId="77777777" w:rsidTr="00C02302">
        <w:trPr>
          <w:trHeight w:val="495"/>
        </w:trPr>
        <w:tc>
          <w:tcPr>
            <w:tcW w:w="2518" w:type="dxa"/>
            <w:hideMark/>
          </w:tcPr>
          <w:p w14:paraId="7C0196F2" w14:textId="77777777" w:rsidR="007E7504" w:rsidRPr="00F74C1A" w:rsidRDefault="007E7504" w:rsidP="00F74C1A">
            <w:pPr>
              <w:spacing w:before="0" w:after="0"/>
              <w:ind w:left="0" w:right="0"/>
              <w:rPr>
                <w:sz w:val="20"/>
              </w:rPr>
            </w:pPr>
            <w:r w:rsidRPr="00F74C1A">
              <w:rPr>
                <w:sz w:val="20"/>
              </w:rPr>
              <w:t>Cardiorespiratory arrest</w:t>
            </w:r>
          </w:p>
        </w:tc>
        <w:tc>
          <w:tcPr>
            <w:tcW w:w="2552" w:type="dxa"/>
            <w:hideMark/>
          </w:tcPr>
          <w:p w14:paraId="6408BD2B" w14:textId="77777777" w:rsidR="007E7504" w:rsidRPr="00F74C1A" w:rsidRDefault="007E7504" w:rsidP="00F74C1A">
            <w:pPr>
              <w:spacing w:before="0" w:after="0"/>
              <w:ind w:left="0" w:right="0"/>
              <w:rPr>
                <w:sz w:val="20"/>
              </w:rPr>
            </w:pPr>
            <w:r w:rsidRPr="00F74C1A">
              <w:rPr>
                <w:sz w:val="20"/>
              </w:rPr>
              <w:t>1*(0.3)</w:t>
            </w:r>
          </w:p>
        </w:tc>
        <w:tc>
          <w:tcPr>
            <w:tcW w:w="1842" w:type="dxa"/>
            <w:hideMark/>
          </w:tcPr>
          <w:p w14:paraId="3E4E132E"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5442AF84" w14:textId="77777777" w:rsidR="007E7504" w:rsidRPr="00F74C1A" w:rsidRDefault="007E7504" w:rsidP="00F74C1A">
            <w:pPr>
              <w:spacing w:before="0" w:after="0"/>
              <w:ind w:left="0" w:right="0"/>
              <w:rPr>
                <w:sz w:val="20"/>
              </w:rPr>
            </w:pPr>
            <w:r w:rsidRPr="00F74C1A">
              <w:rPr>
                <w:sz w:val="20"/>
              </w:rPr>
              <w:t>1 (0.5)</w:t>
            </w:r>
          </w:p>
        </w:tc>
      </w:tr>
      <w:tr w:rsidR="007E7504" w:rsidRPr="00A214DD" w14:paraId="5CE0978E" w14:textId="77777777" w:rsidTr="00C02302">
        <w:trPr>
          <w:trHeight w:val="495"/>
        </w:trPr>
        <w:tc>
          <w:tcPr>
            <w:tcW w:w="2518" w:type="dxa"/>
            <w:hideMark/>
          </w:tcPr>
          <w:p w14:paraId="4229A50A" w14:textId="77777777" w:rsidR="007E7504" w:rsidRPr="00F74C1A" w:rsidRDefault="007E7504" w:rsidP="00F74C1A">
            <w:pPr>
              <w:spacing w:before="0" w:after="0"/>
              <w:ind w:left="0" w:right="0"/>
              <w:rPr>
                <w:b/>
                <w:sz w:val="20"/>
              </w:rPr>
            </w:pPr>
            <w:r w:rsidRPr="00F74C1A">
              <w:rPr>
                <w:b/>
                <w:sz w:val="20"/>
              </w:rPr>
              <w:t>AES leading to discontinuation</w:t>
            </w:r>
          </w:p>
        </w:tc>
        <w:tc>
          <w:tcPr>
            <w:tcW w:w="2552" w:type="dxa"/>
            <w:hideMark/>
          </w:tcPr>
          <w:p w14:paraId="52AD4A52" w14:textId="77777777" w:rsidR="007E7504" w:rsidRPr="00F74C1A" w:rsidRDefault="007E7504" w:rsidP="00F74C1A">
            <w:pPr>
              <w:spacing w:before="0" w:after="0"/>
              <w:ind w:left="0" w:right="0"/>
              <w:rPr>
                <w:sz w:val="20"/>
              </w:rPr>
            </w:pPr>
            <w:r w:rsidRPr="00F74C1A">
              <w:rPr>
                <w:sz w:val="20"/>
              </w:rPr>
              <w:t>1 (0.3)</w:t>
            </w:r>
          </w:p>
        </w:tc>
        <w:tc>
          <w:tcPr>
            <w:tcW w:w="1842" w:type="dxa"/>
            <w:hideMark/>
          </w:tcPr>
          <w:p w14:paraId="5D0915E3"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40998719" w14:textId="77777777" w:rsidR="007E7504" w:rsidRPr="00F74C1A" w:rsidRDefault="007E7504" w:rsidP="00F74C1A">
            <w:pPr>
              <w:spacing w:before="0" w:after="0"/>
              <w:ind w:left="0" w:right="0"/>
              <w:rPr>
                <w:sz w:val="20"/>
              </w:rPr>
            </w:pPr>
            <w:r w:rsidRPr="00F74C1A">
              <w:rPr>
                <w:sz w:val="20"/>
              </w:rPr>
              <w:t>1 (0.5)</w:t>
            </w:r>
          </w:p>
        </w:tc>
      </w:tr>
      <w:tr w:rsidR="007E7504" w:rsidRPr="00A214DD" w14:paraId="7E36C6CB" w14:textId="77777777" w:rsidTr="00C02302">
        <w:trPr>
          <w:trHeight w:val="749"/>
        </w:trPr>
        <w:tc>
          <w:tcPr>
            <w:tcW w:w="2518" w:type="dxa"/>
            <w:hideMark/>
          </w:tcPr>
          <w:p w14:paraId="2F231BBF" w14:textId="77777777" w:rsidR="007E7504" w:rsidRPr="00F74C1A" w:rsidRDefault="007E7504" w:rsidP="00F74C1A">
            <w:pPr>
              <w:spacing w:before="0" w:after="0"/>
              <w:ind w:left="0" w:right="0"/>
              <w:rPr>
                <w:b/>
                <w:sz w:val="20"/>
              </w:rPr>
            </w:pPr>
            <w:r w:rsidRPr="00F74C1A">
              <w:rPr>
                <w:b/>
                <w:sz w:val="20"/>
              </w:rPr>
              <w:t>AEs needing dose adjustment or interruption</w:t>
            </w:r>
          </w:p>
        </w:tc>
        <w:tc>
          <w:tcPr>
            <w:tcW w:w="2552" w:type="dxa"/>
            <w:hideMark/>
          </w:tcPr>
          <w:p w14:paraId="70EC3D35" w14:textId="77777777" w:rsidR="007E7504" w:rsidRPr="00F74C1A" w:rsidRDefault="007E7504" w:rsidP="00F74C1A">
            <w:pPr>
              <w:spacing w:before="0" w:after="0"/>
              <w:ind w:left="0" w:right="0"/>
              <w:rPr>
                <w:sz w:val="20"/>
              </w:rPr>
            </w:pPr>
            <w:r w:rsidRPr="00F74C1A">
              <w:rPr>
                <w:sz w:val="20"/>
              </w:rPr>
              <w:t>3 (0.8)</w:t>
            </w:r>
          </w:p>
        </w:tc>
        <w:tc>
          <w:tcPr>
            <w:tcW w:w="1842" w:type="dxa"/>
            <w:hideMark/>
          </w:tcPr>
          <w:p w14:paraId="31F51DC1"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23834690" w14:textId="77777777" w:rsidR="007E7504" w:rsidRPr="00F74C1A" w:rsidRDefault="007E7504" w:rsidP="00F74C1A">
            <w:pPr>
              <w:spacing w:before="0" w:after="0"/>
              <w:ind w:left="0" w:right="0"/>
              <w:rPr>
                <w:sz w:val="20"/>
              </w:rPr>
            </w:pPr>
            <w:r w:rsidRPr="00F74C1A">
              <w:rPr>
                <w:sz w:val="20"/>
              </w:rPr>
              <w:t>7 (3.7)</w:t>
            </w:r>
          </w:p>
        </w:tc>
      </w:tr>
      <w:tr w:rsidR="007E7504" w:rsidRPr="00A214DD" w14:paraId="72C83CF9" w14:textId="77777777" w:rsidTr="00C02302">
        <w:trPr>
          <w:trHeight w:val="495"/>
        </w:trPr>
        <w:tc>
          <w:tcPr>
            <w:tcW w:w="2518" w:type="dxa"/>
            <w:hideMark/>
          </w:tcPr>
          <w:p w14:paraId="16755AB3" w14:textId="77777777" w:rsidR="007E7504" w:rsidRPr="00F74C1A" w:rsidRDefault="007E7504" w:rsidP="00F74C1A">
            <w:pPr>
              <w:spacing w:before="0" w:after="0"/>
              <w:ind w:left="0" w:right="0"/>
              <w:rPr>
                <w:sz w:val="20"/>
              </w:rPr>
            </w:pPr>
            <w:r w:rsidRPr="00F74C1A">
              <w:rPr>
                <w:sz w:val="20"/>
              </w:rPr>
              <w:t>QT prolonged</w:t>
            </w:r>
          </w:p>
        </w:tc>
        <w:tc>
          <w:tcPr>
            <w:tcW w:w="2552" w:type="dxa"/>
            <w:hideMark/>
          </w:tcPr>
          <w:p w14:paraId="2F254FBB" w14:textId="77777777" w:rsidR="007E7504" w:rsidRPr="00F74C1A" w:rsidRDefault="007E7504" w:rsidP="00F74C1A">
            <w:pPr>
              <w:spacing w:before="0" w:after="0"/>
              <w:ind w:left="0" w:right="0"/>
              <w:rPr>
                <w:sz w:val="20"/>
              </w:rPr>
            </w:pPr>
            <w:r w:rsidRPr="00F74C1A">
              <w:rPr>
                <w:sz w:val="20"/>
              </w:rPr>
              <w:t>2 (0.5)</w:t>
            </w:r>
          </w:p>
        </w:tc>
        <w:tc>
          <w:tcPr>
            <w:tcW w:w="1842" w:type="dxa"/>
            <w:hideMark/>
          </w:tcPr>
          <w:p w14:paraId="45709672"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0B486145" w14:textId="77777777" w:rsidR="007E7504" w:rsidRPr="00F74C1A" w:rsidRDefault="007E7504" w:rsidP="00F74C1A">
            <w:pPr>
              <w:spacing w:before="0" w:after="0"/>
              <w:ind w:left="0" w:right="0"/>
              <w:rPr>
                <w:sz w:val="20"/>
              </w:rPr>
            </w:pPr>
            <w:r w:rsidRPr="00F74C1A">
              <w:rPr>
                <w:sz w:val="20"/>
              </w:rPr>
              <w:t>6 (3.2)</w:t>
            </w:r>
          </w:p>
        </w:tc>
      </w:tr>
      <w:tr w:rsidR="007E7504" w:rsidRPr="00A214DD" w14:paraId="43C3BB15" w14:textId="77777777" w:rsidTr="00C02302">
        <w:trPr>
          <w:trHeight w:val="495"/>
        </w:trPr>
        <w:tc>
          <w:tcPr>
            <w:tcW w:w="2518" w:type="dxa"/>
            <w:hideMark/>
          </w:tcPr>
          <w:p w14:paraId="06D82368" w14:textId="77777777" w:rsidR="007E7504" w:rsidRPr="00F74C1A" w:rsidRDefault="007E7504" w:rsidP="00F74C1A">
            <w:pPr>
              <w:spacing w:before="0" w:after="0"/>
              <w:ind w:left="0" w:right="0"/>
              <w:rPr>
                <w:sz w:val="20"/>
              </w:rPr>
            </w:pPr>
            <w:r w:rsidRPr="00F74C1A">
              <w:rPr>
                <w:sz w:val="20"/>
              </w:rPr>
              <w:t>Syncope</w:t>
            </w:r>
          </w:p>
        </w:tc>
        <w:tc>
          <w:tcPr>
            <w:tcW w:w="2552" w:type="dxa"/>
            <w:hideMark/>
          </w:tcPr>
          <w:p w14:paraId="2CD30581" w14:textId="77777777" w:rsidR="007E7504" w:rsidRPr="00F74C1A" w:rsidRDefault="007E7504" w:rsidP="00F74C1A">
            <w:pPr>
              <w:spacing w:before="0" w:after="0"/>
              <w:ind w:left="0" w:right="0"/>
              <w:rPr>
                <w:sz w:val="20"/>
              </w:rPr>
            </w:pPr>
            <w:r w:rsidRPr="00F74C1A">
              <w:rPr>
                <w:sz w:val="20"/>
              </w:rPr>
              <w:t>1 (0.3)</w:t>
            </w:r>
          </w:p>
        </w:tc>
        <w:tc>
          <w:tcPr>
            <w:tcW w:w="1842" w:type="dxa"/>
            <w:hideMark/>
          </w:tcPr>
          <w:p w14:paraId="3686EC99" w14:textId="77777777" w:rsidR="007E7504" w:rsidRPr="00F74C1A" w:rsidRDefault="007E7504" w:rsidP="00F74C1A">
            <w:pPr>
              <w:spacing w:before="0" w:after="0"/>
              <w:ind w:left="0" w:right="0"/>
              <w:rPr>
                <w:sz w:val="20"/>
              </w:rPr>
            </w:pPr>
            <w:r w:rsidRPr="00F74C1A">
              <w:rPr>
                <w:sz w:val="20"/>
              </w:rPr>
              <w:t>0</w:t>
            </w:r>
          </w:p>
        </w:tc>
        <w:tc>
          <w:tcPr>
            <w:tcW w:w="1808" w:type="dxa"/>
            <w:hideMark/>
          </w:tcPr>
          <w:p w14:paraId="712F6F0A" w14:textId="77777777" w:rsidR="007E7504" w:rsidRPr="00F74C1A" w:rsidRDefault="007E7504" w:rsidP="00F74C1A">
            <w:pPr>
              <w:spacing w:before="0" w:after="0"/>
              <w:ind w:left="0" w:right="0"/>
              <w:rPr>
                <w:sz w:val="20"/>
              </w:rPr>
            </w:pPr>
            <w:r w:rsidRPr="00F74C1A">
              <w:rPr>
                <w:sz w:val="20"/>
              </w:rPr>
              <w:t>1 (0.5)</w:t>
            </w:r>
          </w:p>
        </w:tc>
      </w:tr>
      <w:tr w:rsidR="007E7504" w:rsidRPr="00B8122D" w14:paraId="3B270D49" w14:textId="77777777" w:rsidTr="00F74C1A">
        <w:trPr>
          <w:trHeight w:val="449"/>
        </w:trPr>
        <w:tc>
          <w:tcPr>
            <w:tcW w:w="8720" w:type="dxa"/>
            <w:gridSpan w:val="4"/>
            <w:hideMark/>
          </w:tcPr>
          <w:p w14:paraId="0BBBB54D" w14:textId="2C8D7DD6" w:rsidR="007E7504" w:rsidRPr="00A214DD" w:rsidRDefault="007E7504" w:rsidP="009825BC">
            <w:pPr>
              <w:pStyle w:val="TableDescription"/>
            </w:pPr>
            <w:r w:rsidRPr="00A214DD">
              <w:t>* event of cardiac arrest in Study A2301 and sudden death in Study X2101 were not included in the sponsor’s Safety Report and have been added from the Study CSRs by the evaluator</w:t>
            </w:r>
            <w:r w:rsidR="009825BC" w:rsidRPr="00A214DD">
              <w:t>.</w:t>
            </w:r>
          </w:p>
        </w:tc>
      </w:tr>
    </w:tbl>
    <w:p w14:paraId="31976255" w14:textId="77777777" w:rsidR="00C02302" w:rsidRDefault="0090245B" w:rsidP="00C02302">
      <w:pPr>
        <w:pStyle w:val="TableDescription"/>
      </w:pPr>
      <w:r w:rsidRPr="00F74C1A">
        <w:t>$ :</w:t>
      </w:r>
      <w:r>
        <w:rPr>
          <w:vertAlign w:val="superscript"/>
        </w:rPr>
        <w:t xml:space="preserve"> </w:t>
      </w:r>
      <w:r>
        <w:t>As assessed by n</w:t>
      </w:r>
      <w:r w:rsidRPr="00255C83">
        <w:t>umber of patients at risk for a specific category</w:t>
      </w:r>
    </w:p>
    <w:p w14:paraId="72902284" w14:textId="25588A0E" w:rsidR="007E7504" w:rsidRPr="00B8122D" w:rsidRDefault="009825BC" w:rsidP="00C02302">
      <w:pPr>
        <w:pStyle w:val="TableDescription"/>
      </w:pPr>
      <w:r w:rsidRPr="00B8122D">
        <w:lastRenderedPageBreak/>
        <w:t xml:space="preserve">Another method of summary is given via a histogram of QTc prolongation events by treatment and cycle, shown in Figure </w:t>
      </w:r>
      <w:r w:rsidR="00C17E46">
        <w:t>7</w:t>
      </w:r>
      <w:r w:rsidRPr="00B8122D">
        <w:t>.</w:t>
      </w:r>
    </w:p>
    <w:p w14:paraId="28261C55" w14:textId="576167E5" w:rsidR="009825BC" w:rsidRPr="00B8122D" w:rsidRDefault="0075448C" w:rsidP="00F72519">
      <w:pPr>
        <w:pStyle w:val="FigureTitle"/>
      </w:pPr>
      <w:r>
        <w:t>Figure 7:</w:t>
      </w:r>
      <w:r w:rsidR="009825BC" w:rsidRPr="00B8122D">
        <w:t xml:space="preserve"> Histogram of events of QTc</w:t>
      </w:r>
      <w:r w:rsidR="00F72519" w:rsidRPr="00B8122D">
        <w:t xml:space="preserve"> prolongation by treatment and cycle</w:t>
      </w:r>
      <w:r w:rsidR="007032B8">
        <w:t xml:space="preserve"> data cut</w:t>
      </w:r>
      <w:r w:rsidR="00005C78">
        <w:noBreakHyphen/>
      </w:r>
      <w:r w:rsidR="007032B8">
        <w:t>off 22 June 2016</w:t>
      </w:r>
    </w:p>
    <w:p w14:paraId="1E8913FF" w14:textId="3BF7C161" w:rsidR="007E7504" w:rsidRPr="00B8122D" w:rsidRDefault="007E7504" w:rsidP="007E7504">
      <w:r w:rsidRPr="00B8122D">
        <w:rPr>
          <w:noProof/>
          <w:lang w:eastAsia="en-AU"/>
        </w:rPr>
        <w:drawing>
          <wp:inline distT="0" distB="0" distL="0" distR="0" wp14:anchorId="09AF560E" wp14:editId="2AC28AB9">
            <wp:extent cx="5266055" cy="2431652"/>
            <wp:effectExtent l="0" t="0" r="0" b="6985"/>
            <wp:docPr id="614" name="Picture 614" descr="Figure 7: Histogram of events of QTc prolongation by treatment and cycle" title="Histogram of events of QTc prolongation by treatment and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8817"/>
                    <a:stretch/>
                  </pic:blipFill>
                  <pic:spPr bwMode="auto">
                    <a:xfrm>
                      <a:off x="0" y="0"/>
                      <a:ext cx="5271320" cy="2434083"/>
                    </a:xfrm>
                    <a:prstGeom prst="rect">
                      <a:avLst/>
                    </a:prstGeom>
                    <a:ln>
                      <a:noFill/>
                    </a:ln>
                    <a:extLst>
                      <a:ext uri="{53640926-AAD7-44D8-BBD7-CCE9431645EC}">
                        <a14:shadowObscured xmlns:a14="http://schemas.microsoft.com/office/drawing/2010/main"/>
                      </a:ext>
                    </a:extLst>
                  </pic:spPr>
                </pic:pic>
              </a:graphicData>
            </a:graphic>
          </wp:inline>
        </w:drawing>
      </w:r>
    </w:p>
    <w:p w14:paraId="0BD0E2CD" w14:textId="0BA83663" w:rsidR="007E7504" w:rsidRPr="00B8122D" w:rsidRDefault="00F72519" w:rsidP="007E7504">
      <w:r w:rsidRPr="00B8122D">
        <w:t xml:space="preserve">A dose </w:t>
      </w:r>
      <w:r w:rsidR="007E7504" w:rsidRPr="00B8122D">
        <w:t>dependent and conce</w:t>
      </w:r>
      <w:r w:rsidRPr="00B8122D">
        <w:t xml:space="preserve">ntration dependent increase in change from Baseline for the </w:t>
      </w:r>
      <w:r w:rsidR="007E7504" w:rsidRPr="00B8122D">
        <w:t>QTcF was reported in patients treated with ribociclib from 400 mg</w:t>
      </w:r>
      <w:r w:rsidRPr="00B8122D">
        <w:t xml:space="preserve"> to 900 mg (400/600/750/900 mg).</w:t>
      </w:r>
    </w:p>
    <w:p w14:paraId="679978AF" w14:textId="6E193DCD" w:rsidR="007E7504" w:rsidRPr="00B8122D" w:rsidRDefault="001C6655" w:rsidP="007E7504">
      <w:r w:rsidRPr="00B8122D">
        <w:t>This</w:t>
      </w:r>
      <w:r>
        <w:t xml:space="preserve"> </w:t>
      </w:r>
      <w:r w:rsidR="008A6402">
        <w:t xml:space="preserve">clearly indicates </w:t>
      </w:r>
      <w:r w:rsidR="006506CE">
        <w:t xml:space="preserve">drug </w:t>
      </w:r>
      <w:r w:rsidR="007E7504" w:rsidRPr="00B8122D">
        <w:t>induced QT prolongation.</w:t>
      </w:r>
      <w:r w:rsidR="0010489F" w:rsidRPr="00B8122D">
        <w:t xml:space="preserve"> </w:t>
      </w:r>
      <w:r w:rsidR="00F72519" w:rsidRPr="00B8122D">
        <w:t>Some arrhythmias/</w:t>
      </w:r>
      <w:r w:rsidR="007E7504" w:rsidRPr="00B8122D">
        <w:t>sequelae are likely to be related to this effect.</w:t>
      </w:r>
      <w:r w:rsidR="0010489F" w:rsidRPr="00B8122D">
        <w:t xml:space="preserve"> </w:t>
      </w:r>
      <w:r w:rsidR="007E7504" w:rsidRPr="00B8122D">
        <w:t>Use of ribociclib is also associated with vomiting and diarrhoea, and with greater need for medicines such as certain antibiotics that can either increase exposure to ribociclib, or increase the risk of QT prolongation themselves.</w:t>
      </w:r>
    </w:p>
    <w:p w14:paraId="05B7C3D8" w14:textId="6AF03548" w:rsidR="007E7504" w:rsidRPr="00B8122D" w:rsidRDefault="007E7504" w:rsidP="007E7504">
      <w:r w:rsidRPr="00B8122D">
        <w:t xml:space="preserve">Of note regarding studies of ribociclib + letrozole, </w:t>
      </w:r>
      <w:r w:rsidR="00097540" w:rsidRPr="00B8122D">
        <w:t>‘</w:t>
      </w:r>
      <w:r w:rsidRPr="00B8122D">
        <w:rPr>
          <w:i/>
        </w:rPr>
        <w:t>a Kaplan-Meier analysis of the time to first occurrence of Grade 2 or worse QT prolongation found that 13/15 events in the patients receiving ribociclib + letrozole occurred within 4 weeks of commencement with a median time to first occurrence of 15 days</w:t>
      </w:r>
      <w:r w:rsidR="00097540" w:rsidRPr="00B8122D">
        <w:rPr>
          <w:i/>
        </w:rPr>
        <w:t>’</w:t>
      </w:r>
      <w:r w:rsidRPr="00B8122D">
        <w:t xml:space="preserve"> (</w:t>
      </w:r>
      <w:r w:rsidR="00F72519" w:rsidRPr="00B8122D">
        <w:t>as reported in the clinical evaluation report</w:t>
      </w:r>
      <w:r w:rsidR="00F243E0">
        <w:t>)</w:t>
      </w:r>
      <w:r w:rsidR="00F72519" w:rsidRPr="00B8122D">
        <w:t>).</w:t>
      </w:r>
    </w:p>
    <w:p w14:paraId="16D31B88" w14:textId="5F4267A8" w:rsidR="007E7504" w:rsidRPr="00B8122D" w:rsidRDefault="007E7504" w:rsidP="007E7504">
      <w:r w:rsidRPr="00B8122D">
        <w:t xml:space="preserve">In </w:t>
      </w:r>
      <w:r w:rsidR="00F72519" w:rsidRPr="00B8122D">
        <w:t xml:space="preserve">Study </w:t>
      </w:r>
      <w:r w:rsidRPr="00B8122D">
        <w:t>A2301, exclusions included:</w:t>
      </w:r>
    </w:p>
    <w:p w14:paraId="3BD3E827" w14:textId="77777777" w:rsidR="007E7504" w:rsidRPr="00B8122D" w:rsidRDefault="007E7504" w:rsidP="00F72519">
      <w:pPr>
        <w:pStyle w:val="ListBullet"/>
      </w:pPr>
      <w:r w:rsidRPr="00B8122D">
        <w:t>Patients who had active cardiac disease or a history of cardiac dysfunction that would increase the risk of QT prolongation</w:t>
      </w:r>
    </w:p>
    <w:p w14:paraId="4B7DFF67" w14:textId="5369F158" w:rsidR="007E7504" w:rsidRPr="00B8122D" w:rsidRDefault="007E7504" w:rsidP="00F72519">
      <w:pPr>
        <w:pStyle w:val="ListBullet"/>
      </w:pPr>
      <w:r w:rsidRPr="00B8122D">
        <w:t xml:space="preserve">Patients that were currently receiving the following medications if these could not be discontinued seven days prior to the start of the treatment: any known strong inducers or inhibitors of CYP3A4/5 OR medications with a known risk to prolong the QT interval or induce Torsades de Pointes </w:t>
      </w:r>
      <w:r w:rsidR="005C33E9">
        <w:t>or</w:t>
      </w:r>
      <w:r w:rsidRPr="00B8122D">
        <w:t xml:space="preserve"> medications with a narrow therapeutic window and are predominant</w:t>
      </w:r>
      <w:r w:rsidR="00F72519" w:rsidRPr="00B8122D">
        <w:t>ly metaboli</w:t>
      </w:r>
      <w:r w:rsidR="005C33E9">
        <w:t>s</w:t>
      </w:r>
      <w:r w:rsidR="00F72519" w:rsidRPr="00B8122D">
        <w:t>ed through CYP3A4/5.</w:t>
      </w:r>
    </w:p>
    <w:p w14:paraId="3BBBE716" w14:textId="7BA93ACC" w:rsidR="007E7504" w:rsidRPr="00B8122D" w:rsidRDefault="007E7504" w:rsidP="007E7504">
      <w:r w:rsidRPr="00B8122D">
        <w:t xml:space="preserve">The dose interruption advice regarding QT prolongation was strengthened </w:t>
      </w:r>
      <w:r w:rsidR="00F72519" w:rsidRPr="00B8122D">
        <w:t>in protocol amendments 3 and 4.</w:t>
      </w:r>
    </w:p>
    <w:p w14:paraId="329D1A93" w14:textId="3FBDC2E9" w:rsidR="007E7504" w:rsidRPr="00B8122D" w:rsidRDefault="007E7504" w:rsidP="00F72519">
      <w:pPr>
        <w:pStyle w:val="ListBullet"/>
      </w:pPr>
      <w:r w:rsidRPr="00B8122D">
        <w:rPr>
          <w:i/>
        </w:rPr>
        <w:t>QT prolongation ≥</w:t>
      </w:r>
      <w:r w:rsidR="00F72519" w:rsidRPr="00B8122D">
        <w:rPr>
          <w:i/>
        </w:rPr>
        <w:t xml:space="preserve"> </w:t>
      </w:r>
      <w:r w:rsidRPr="00B8122D">
        <w:rPr>
          <w:i/>
        </w:rPr>
        <w:t>481 m</w:t>
      </w:r>
      <w:r w:rsidR="005C33E9">
        <w:rPr>
          <w:i/>
        </w:rPr>
        <w:t>s</w:t>
      </w:r>
      <w:r w:rsidRPr="00B8122D">
        <w:t xml:space="preserve"> was to be managed by a blood sample to check for electrolyte abnormalities; review of any new concomitant medications; and review of technical aspects of the ECG. In the absence of other contributors, the ECG was to be repeated one hour later. If QTcF remained ≥</w:t>
      </w:r>
      <w:r w:rsidR="00ED6BED" w:rsidRPr="00B8122D">
        <w:t xml:space="preserve"> 481 ms</w:t>
      </w:r>
      <w:r w:rsidRPr="00B8122D">
        <w:t>, the dose was to be delayed. If QT prolongation subsequently recurred the dose was to be reduced. Repeat ECGs were to be performed 7 days and</w:t>
      </w:r>
      <w:r w:rsidR="005C33E9">
        <w:t xml:space="preserve"> 14 days after dose resumption.</w:t>
      </w:r>
    </w:p>
    <w:p w14:paraId="50113C3D" w14:textId="29EA5EC8" w:rsidR="007E7504" w:rsidRPr="00B8122D" w:rsidRDefault="007E7504" w:rsidP="00F72519">
      <w:pPr>
        <w:pStyle w:val="ListBullet"/>
      </w:pPr>
      <w:r w:rsidRPr="00B8122D">
        <w:rPr>
          <w:i/>
        </w:rPr>
        <w:t>QT prolongation ≥</w:t>
      </w:r>
      <w:r w:rsidR="00ED6BED" w:rsidRPr="00B8122D">
        <w:rPr>
          <w:i/>
        </w:rPr>
        <w:t xml:space="preserve"> </w:t>
      </w:r>
      <w:r w:rsidRPr="00B8122D">
        <w:rPr>
          <w:i/>
        </w:rPr>
        <w:t>501 ms</w:t>
      </w:r>
      <w:r w:rsidRPr="00B8122D">
        <w:t xml:space="preserve"> (confirmed on repeat ECG) was managed by repeat ECG after one hour. If &lt;</w:t>
      </w:r>
      <w:r w:rsidR="00ED6BED" w:rsidRPr="00B8122D">
        <w:t xml:space="preserve"> </w:t>
      </w:r>
      <w:r w:rsidRPr="00B8122D">
        <w:t>481</w:t>
      </w:r>
      <w:r w:rsidR="00ED6BED" w:rsidRPr="00B8122D">
        <w:t xml:space="preserve"> </w:t>
      </w:r>
      <w:r w:rsidR="005C33E9">
        <w:t>ms</w:t>
      </w:r>
      <w:r w:rsidRPr="00B8122D">
        <w:t>, then dose reduction an</w:t>
      </w:r>
      <w:r w:rsidR="00ED6BED" w:rsidRPr="00B8122D">
        <w:t>d repeat ECGs as above. If QTcF ≥ </w:t>
      </w:r>
      <w:r w:rsidR="005C33E9">
        <w:t>501 ms</w:t>
      </w:r>
      <w:r w:rsidRPr="00B8122D">
        <w:t xml:space="preserve"> </w:t>
      </w:r>
      <w:r w:rsidRPr="00B8122D">
        <w:lastRenderedPageBreak/>
        <w:t>persisted, or recurred, then treatment should be discontinued and ca</w:t>
      </w:r>
      <w:r w:rsidR="005C33E9">
        <w:t>rdiology consultation obtained.</w:t>
      </w:r>
    </w:p>
    <w:p w14:paraId="4040CAE6" w14:textId="3A382DE2" w:rsidR="007E7504" w:rsidRPr="00B8122D" w:rsidRDefault="007E7504" w:rsidP="00F72519">
      <w:pPr>
        <w:pStyle w:val="ListBullet"/>
      </w:pPr>
      <w:r w:rsidRPr="00B8122D">
        <w:rPr>
          <w:i/>
        </w:rPr>
        <w:t>If there was any event of arrhythmias</w:t>
      </w:r>
      <w:r w:rsidRPr="00B8122D">
        <w:t xml:space="preserve"> such as Torsades de pointes or polymorphic ventricular tachycardia, or signs/symptoms of serious arrhythmia together with QT/QTc ≥</w:t>
      </w:r>
      <w:r w:rsidR="00ED6BED" w:rsidRPr="00B8122D">
        <w:t xml:space="preserve"> </w:t>
      </w:r>
      <w:r w:rsidRPr="00B8122D">
        <w:t>501 or &gt;</w:t>
      </w:r>
      <w:r w:rsidR="00ED6BED" w:rsidRPr="00B8122D">
        <w:t xml:space="preserve"> </w:t>
      </w:r>
      <w:r w:rsidRPr="00B8122D">
        <w:t xml:space="preserve">60 ms change from </w:t>
      </w:r>
      <w:r w:rsidR="005C33E9">
        <w:t>B</w:t>
      </w:r>
      <w:r w:rsidRPr="00B8122D">
        <w:t>aseline, treatment should be discontinued and ca</w:t>
      </w:r>
      <w:r w:rsidR="00ED6BED" w:rsidRPr="00B8122D">
        <w:t>rdiology consultation obtained.</w:t>
      </w:r>
    </w:p>
    <w:p w14:paraId="10B4B220" w14:textId="77777777" w:rsidR="007E7504" w:rsidRPr="00B8122D" w:rsidRDefault="007E7504" w:rsidP="007E7504">
      <w:r w:rsidRPr="00B8122D">
        <w:t>Prohibited concomitant medications included those causing QT prolongation.</w:t>
      </w:r>
    </w:p>
    <w:p w14:paraId="7F221D8F" w14:textId="012C7E52" w:rsidR="007E7504" w:rsidRPr="00B8122D" w:rsidRDefault="00ED6BED" w:rsidP="007E7504">
      <w:pPr>
        <w:rPr>
          <w:i/>
        </w:rPr>
      </w:pPr>
      <w:r w:rsidRPr="00A214DD">
        <w:t xml:space="preserve">The evaluator writes in the clinical evaluation report </w:t>
      </w:r>
      <w:r w:rsidR="007E7504" w:rsidRPr="00A214DD">
        <w:t xml:space="preserve"> that after review of ‘narratives of deaths’ across studies including </w:t>
      </w:r>
      <w:r w:rsidRPr="00A214DD">
        <w:t xml:space="preserve">Study </w:t>
      </w:r>
      <w:r w:rsidR="007E7504" w:rsidRPr="00A214DD">
        <w:t xml:space="preserve">A2301, </w:t>
      </w:r>
      <w:r w:rsidR="00097540" w:rsidRPr="00A214DD">
        <w:t>‘</w:t>
      </w:r>
      <w:r w:rsidR="007E7504" w:rsidRPr="00A214DD">
        <w:rPr>
          <w:i/>
        </w:rPr>
        <w:t>there are 3 death</w:t>
      </w:r>
      <w:r w:rsidRPr="00A214DD">
        <w:rPr>
          <w:i/>
        </w:rPr>
        <w:t xml:space="preserve">s in which a contribution of QT </w:t>
      </w:r>
      <w:r w:rsidR="007E7504" w:rsidRPr="00A214DD">
        <w:rPr>
          <w:i/>
        </w:rPr>
        <w:t xml:space="preserve">prolongation induced malignant arrhythmias cannot be </w:t>
      </w:r>
      <w:r w:rsidR="007E7504" w:rsidRPr="000B6501">
        <w:rPr>
          <w:i/>
        </w:rPr>
        <w:t>excluded</w:t>
      </w:r>
      <w:r w:rsidR="00097540" w:rsidRPr="000B6501">
        <w:rPr>
          <w:i/>
        </w:rPr>
        <w:t>’</w:t>
      </w:r>
      <w:r w:rsidR="0079003D">
        <w:rPr>
          <w:i/>
        </w:rPr>
        <w:t>.</w:t>
      </w:r>
      <w:r w:rsidR="008A6402">
        <w:rPr>
          <w:rStyle w:val="FootnoteReference"/>
          <w:i/>
        </w:rPr>
        <w:footnoteReference w:id="54"/>
      </w:r>
    </w:p>
    <w:p w14:paraId="5AD4F008" w14:textId="77777777" w:rsidR="007E7504" w:rsidRPr="00B8122D" w:rsidRDefault="007E7504" w:rsidP="003D79AF">
      <w:pPr>
        <w:pStyle w:val="Heading6"/>
      </w:pPr>
      <w:r w:rsidRPr="00B8122D">
        <w:t>Hepatotoxicity</w:t>
      </w:r>
    </w:p>
    <w:p w14:paraId="36095120" w14:textId="0D003A4C" w:rsidR="007E7504" w:rsidRPr="00B8122D" w:rsidRDefault="007E7504" w:rsidP="007E7504">
      <w:r w:rsidRPr="00B8122D">
        <w:t xml:space="preserve">In </w:t>
      </w:r>
      <w:r w:rsidR="00EA3A7D" w:rsidRPr="00B8122D">
        <w:t xml:space="preserve">Study </w:t>
      </w:r>
      <w:r w:rsidRPr="00B8122D">
        <w:t>A</w:t>
      </w:r>
      <w:r w:rsidR="00EA3A7D" w:rsidRPr="00B8122D">
        <w:t>2301, 4 cases conformed to Hy’s </w:t>
      </w:r>
      <w:r w:rsidR="00F243E0">
        <w:t>l</w:t>
      </w:r>
      <w:r w:rsidRPr="00B8122D">
        <w:t>aw, and additional laboratory testing and strict management guidelines were implemented.</w:t>
      </w:r>
      <w:r w:rsidR="0010489F" w:rsidRPr="00B8122D">
        <w:t xml:space="preserve"> </w:t>
      </w:r>
      <w:r w:rsidRPr="00B8122D">
        <w:t>The evaluator has summarised clinical da</w:t>
      </w:r>
      <w:r w:rsidR="00077B6B">
        <w:t>ta, as shown in Table 1</w:t>
      </w:r>
      <w:r w:rsidR="001A79AE">
        <w:t>5</w:t>
      </w:r>
      <w:r w:rsidR="003D79AF">
        <w:t>.</w:t>
      </w:r>
    </w:p>
    <w:p w14:paraId="1E7A19E2" w14:textId="2E684BBC" w:rsidR="007E7504" w:rsidRPr="00B8122D" w:rsidRDefault="00EA3A7D" w:rsidP="003D79AF">
      <w:pPr>
        <w:pStyle w:val="TableTitle"/>
      </w:pPr>
      <w:r w:rsidRPr="00B8122D">
        <w:t xml:space="preserve">Table </w:t>
      </w:r>
      <w:r w:rsidR="00077B6B">
        <w:t>1</w:t>
      </w:r>
      <w:r w:rsidR="001A79AE">
        <w:t>5</w:t>
      </w:r>
      <w:r w:rsidR="00077B6B">
        <w:t xml:space="preserve">: </w:t>
      </w:r>
      <w:r w:rsidRPr="00B8122D">
        <w:t>Hepatotoxicity related events</w:t>
      </w:r>
    </w:p>
    <w:tbl>
      <w:tblPr>
        <w:tblStyle w:val="TableTGAblue"/>
        <w:tblW w:w="8720" w:type="dxa"/>
        <w:tblLayout w:type="fixed"/>
        <w:tblLook w:val="04A0" w:firstRow="1" w:lastRow="0" w:firstColumn="1" w:lastColumn="0" w:noHBand="0" w:noVBand="1"/>
      </w:tblPr>
      <w:tblGrid>
        <w:gridCol w:w="2235"/>
        <w:gridCol w:w="2126"/>
        <w:gridCol w:w="1984"/>
        <w:gridCol w:w="2375"/>
      </w:tblGrid>
      <w:tr w:rsidR="00EA3A7D" w:rsidRPr="00B8122D" w14:paraId="58B0A73F" w14:textId="77777777" w:rsidTr="00C2685F">
        <w:trPr>
          <w:cnfStyle w:val="100000000000" w:firstRow="1" w:lastRow="0" w:firstColumn="0" w:lastColumn="0" w:oddVBand="0" w:evenVBand="0" w:oddHBand="0" w:evenHBand="0" w:firstRowFirstColumn="0" w:firstRowLastColumn="0" w:lastRowFirstColumn="0" w:lastRowLastColumn="0"/>
          <w:trHeight w:val="1517"/>
        </w:trPr>
        <w:tc>
          <w:tcPr>
            <w:tcW w:w="2235" w:type="dxa"/>
            <w:hideMark/>
          </w:tcPr>
          <w:p w14:paraId="4D3FC419" w14:textId="6083BF79" w:rsidR="007E7504" w:rsidRPr="0079003D" w:rsidRDefault="007E7504" w:rsidP="0079003D">
            <w:pPr>
              <w:ind w:left="0"/>
              <w:rPr>
                <w:sz w:val="20"/>
              </w:rPr>
            </w:pPr>
            <w:r w:rsidRPr="0079003D">
              <w:rPr>
                <w:sz w:val="20"/>
              </w:rPr>
              <w:t>Finding n</w:t>
            </w:r>
            <w:r w:rsidR="00EA3A7D" w:rsidRPr="0079003D">
              <w:rPr>
                <w:sz w:val="20"/>
              </w:rPr>
              <w:t xml:space="preserve"> </w:t>
            </w:r>
            <w:r w:rsidRPr="0079003D">
              <w:rPr>
                <w:sz w:val="20"/>
              </w:rPr>
              <w:t>(%)</w:t>
            </w:r>
          </w:p>
        </w:tc>
        <w:tc>
          <w:tcPr>
            <w:tcW w:w="2126" w:type="dxa"/>
            <w:hideMark/>
          </w:tcPr>
          <w:p w14:paraId="0795E227" w14:textId="77777777" w:rsidR="00617B20" w:rsidRPr="0079003D" w:rsidRDefault="00617B20" w:rsidP="0079003D">
            <w:pPr>
              <w:ind w:left="0"/>
              <w:rPr>
                <w:sz w:val="20"/>
                <w:lang w:val="it-IT"/>
              </w:rPr>
            </w:pPr>
            <w:r w:rsidRPr="0079003D">
              <w:rPr>
                <w:sz w:val="20"/>
                <w:lang w:val="it-IT"/>
              </w:rPr>
              <w:t>Studies A2301 + X2107</w:t>
            </w:r>
          </w:p>
          <w:p w14:paraId="541A8BFC" w14:textId="342D695D" w:rsidR="007E7504" w:rsidRPr="0079003D" w:rsidRDefault="00617B20" w:rsidP="0079003D">
            <w:pPr>
              <w:ind w:left="0"/>
              <w:rPr>
                <w:sz w:val="20"/>
                <w:lang w:val="it-IT"/>
              </w:rPr>
            </w:pPr>
            <w:r w:rsidRPr="0079003D">
              <w:rPr>
                <w:sz w:val="20"/>
                <w:lang w:val="it-IT"/>
              </w:rPr>
              <w:t>R</w:t>
            </w:r>
            <w:r w:rsidR="007E7504" w:rsidRPr="0079003D">
              <w:rPr>
                <w:sz w:val="20"/>
                <w:lang w:val="it-IT"/>
              </w:rPr>
              <w:t xml:space="preserve">ibociclib + </w:t>
            </w:r>
            <w:r w:rsidRPr="0079003D">
              <w:rPr>
                <w:sz w:val="20"/>
                <w:lang w:val="it-IT"/>
              </w:rPr>
              <w:t>L</w:t>
            </w:r>
            <w:r w:rsidR="007E7504" w:rsidRPr="0079003D">
              <w:rPr>
                <w:sz w:val="20"/>
                <w:lang w:val="it-IT"/>
              </w:rPr>
              <w:t>etrozole</w:t>
            </w:r>
            <w:r w:rsidR="00EA3A7D" w:rsidRPr="0079003D">
              <w:rPr>
                <w:sz w:val="20"/>
                <w:lang w:val="it-IT"/>
              </w:rPr>
              <w:t xml:space="preserve"> </w:t>
            </w:r>
            <w:r w:rsidR="007E7504" w:rsidRPr="0079003D">
              <w:rPr>
                <w:sz w:val="20"/>
                <w:lang w:val="it-IT"/>
              </w:rPr>
              <w:t>N</w:t>
            </w:r>
            <w:r w:rsidR="00EA3A7D" w:rsidRPr="0079003D">
              <w:rPr>
                <w:sz w:val="20"/>
                <w:lang w:val="it-IT"/>
              </w:rPr>
              <w:t> </w:t>
            </w:r>
            <w:r w:rsidR="007E7504" w:rsidRPr="0079003D">
              <w:rPr>
                <w:sz w:val="20"/>
                <w:lang w:val="it-IT"/>
              </w:rPr>
              <w:t>=</w:t>
            </w:r>
            <w:r w:rsidR="00EA3A7D" w:rsidRPr="0079003D">
              <w:rPr>
                <w:sz w:val="20"/>
                <w:lang w:val="it-IT"/>
              </w:rPr>
              <w:t> </w:t>
            </w:r>
            <w:r w:rsidR="007E7504" w:rsidRPr="0079003D">
              <w:rPr>
                <w:sz w:val="20"/>
                <w:lang w:val="it-IT"/>
              </w:rPr>
              <w:t>381</w:t>
            </w:r>
          </w:p>
          <w:p w14:paraId="5F9493FF" w14:textId="15FE8665" w:rsidR="00617B20" w:rsidRPr="0079003D" w:rsidRDefault="00617B20" w:rsidP="0079003D">
            <w:pPr>
              <w:ind w:left="0"/>
              <w:rPr>
                <w:sz w:val="20"/>
              </w:rPr>
            </w:pPr>
            <w:r w:rsidRPr="0079003D">
              <w:rPr>
                <w:sz w:val="20"/>
              </w:rPr>
              <w:t>n (%)</w:t>
            </w:r>
          </w:p>
        </w:tc>
        <w:tc>
          <w:tcPr>
            <w:tcW w:w="1984" w:type="dxa"/>
            <w:hideMark/>
          </w:tcPr>
          <w:p w14:paraId="169CB5A5" w14:textId="77777777" w:rsidR="00617B20" w:rsidRPr="0079003D" w:rsidRDefault="00617B20" w:rsidP="0079003D">
            <w:pPr>
              <w:ind w:left="0"/>
              <w:rPr>
                <w:sz w:val="20"/>
              </w:rPr>
            </w:pPr>
            <w:r w:rsidRPr="0079003D">
              <w:rPr>
                <w:sz w:val="20"/>
              </w:rPr>
              <w:t>Study A2301</w:t>
            </w:r>
          </w:p>
          <w:p w14:paraId="5DCFAE23" w14:textId="366E16C4" w:rsidR="007E7504" w:rsidRPr="0079003D" w:rsidRDefault="00617B20" w:rsidP="0079003D">
            <w:pPr>
              <w:ind w:left="0"/>
              <w:rPr>
                <w:sz w:val="20"/>
              </w:rPr>
            </w:pPr>
            <w:r w:rsidRPr="0079003D">
              <w:rPr>
                <w:sz w:val="20"/>
              </w:rPr>
              <w:t>P</w:t>
            </w:r>
            <w:r w:rsidR="007E7504" w:rsidRPr="0079003D">
              <w:rPr>
                <w:sz w:val="20"/>
              </w:rPr>
              <w:t xml:space="preserve">lacebo + </w:t>
            </w:r>
            <w:r w:rsidRPr="0079003D">
              <w:rPr>
                <w:sz w:val="20"/>
              </w:rPr>
              <w:t>L</w:t>
            </w:r>
            <w:r w:rsidR="007E7504" w:rsidRPr="0079003D">
              <w:rPr>
                <w:sz w:val="20"/>
              </w:rPr>
              <w:t>etrozole</w:t>
            </w:r>
            <w:r w:rsidR="00EA3A7D" w:rsidRPr="0079003D">
              <w:rPr>
                <w:sz w:val="20"/>
              </w:rPr>
              <w:t xml:space="preserve"> </w:t>
            </w:r>
            <w:r w:rsidRPr="0079003D">
              <w:rPr>
                <w:sz w:val="20"/>
              </w:rPr>
              <w:t xml:space="preserve">, </w:t>
            </w:r>
            <w:r w:rsidR="007E7504" w:rsidRPr="0079003D">
              <w:rPr>
                <w:sz w:val="20"/>
              </w:rPr>
              <w:t>N</w:t>
            </w:r>
            <w:r w:rsidR="00EA3A7D" w:rsidRPr="0079003D">
              <w:rPr>
                <w:sz w:val="20"/>
              </w:rPr>
              <w:t> </w:t>
            </w:r>
            <w:r w:rsidR="007E7504" w:rsidRPr="0079003D">
              <w:rPr>
                <w:sz w:val="20"/>
              </w:rPr>
              <w:t>=</w:t>
            </w:r>
            <w:r w:rsidR="00EA3A7D" w:rsidRPr="0079003D">
              <w:rPr>
                <w:sz w:val="20"/>
              </w:rPr>
              <w:t> </w:t>
            </w:r>
            <w:r w:rsidR="007E7504" w:rsidRPr="0079003D">
              <w:rPr>
                <w:sz w:val="20"/>
              </w:rPr>
              <w:t>330</w:t>
            </w:r>
          </w:p>
          <w:p w14:paraId="7D5C50E8" w14:textId="1CE17312" w:rsidR="00617B20" w:rsidRPr="0079003D" w:rsidRDefault="00617B20" w:rsidP="0079003D">
            <w:pPr>
              <w:ind w:left="0"/>
              <w:rPr>
                <w:sz w:val="20"/>
              </w:rPr>
            </w:pPr>
            <w:r w:rsidRPr="0079003D">
              <w:rPr>
                <w:sz w:val="20"/>
              </w:rPr>
              <w:t>n (%)</w:t>
            </w:r>
          </w:p>
        </w:tc>
        <w:tc>
          <w:tcPr>
            <w:tcW w:w="2375" w:type="dxa"/>
            <w:hideMark/>
          </w:tcPr>
          <w:p w14:paraId="11F064DC" w14:textId="77777777" w:rsidR="00617B20" w:rsidRPr="0079003D" w:rsidRDefault="00617B20" w:rsidP="0079003D">
            <w:pPr>
              <w:ind w:left="0"/>
              <w:rPr>
                <w:sz w:val="20"/>
              </w:rPr>
            </w:pPr>
            <w:r w:rsidRPr="0079003D">
              <w:rPr>
                <w:sz w:val="20"/>
              </w:rPr>
              <w:t>Monotherapy Studies</w:t>
            </w:r>
          </w:p>
          <w:p w14:paraId="4F99E9C8" w14:textId="1CC26464" w:rsidR="007E7504" w:rsidRPr="0079003D" w:rsidRDefault="00617B20" w:rsidP="0079003D">
            <w:pPr>
              <w:ind w:left="0"/>
              <w:rPr>
                <w:sz w:val="20"/>
              </w:rPr>
            </w:pPr>
            <w:r w:rsidRPr="0079003D">
              <w:rPr>
                <w:sz w:val="20"/>
              </w:rPr>
              <w:t>R</w:t>
            </w:r>
            <w:r w:rsidR="007E7504" w:rsidRPr="0079003D">
              <w:rPr>
                <w:sz w:val="20"/>
              </w:rPr>
              <w:t>ibociclib</w:t>
            </w:r>
            <w:r w:rsidR="00EA3A7D" w:rsidRPr="0079003D">
              <w:rPr>
                <w:sz w:val="20"/>
              </w:rPr>
              <w:t xml:space="preserve"> </w:t>
            </w:r>
            <w:r w:rsidR="007E7504" w:rsidRPr="0079003D">
              <w:rPr>
                <w:sz w:val="20"/>
              </w:rPr>
              <w:t>(N</w:t>
            </w:r>
            <w:r w:rsidR="00EA3A7D" w:rsidRPr="0079003D">
              <w:rPr>
                <w:sz w:val="20"/>
              </w:rPr>
              <w:t> </w:t>
            </w:r>
            <w:r w:rsidR="007E7504" w:rsidRPr="0079003D">
              <w:rPr>
                <w:sz w:val="20"/>
              </w:rPr>
              <w:t>=</w:t>
            </w:r>
            <w:r w:rsidR="00EA3A7D" w:rsidRPr="0079003D">
              <w:rPr>
                <w:sz w:val="20"/>
              </w:rPr>
              <w:t> </w:t>
            </w:r>
            <w:r w:rsidR="007E7504" w:rsidRPr="0079003D">
              <w:rPr>
                <w:sz w:val="20"/>
              </w:rPr>
              <w:t>187)</w:t>
            </w:r>
          </w:p>
          <w:p w14:paraId="5736498E" w14:textId="3222F93A" w:rsidR="00617B20" w:rsidRPr="0079003D" w:rsidRDefault="00617B20" w:rsidP="0079003D">
            <w:pPr>
              <w:ind w:left="0"/>
              <w:rPr>
                <w:sz w:val="20"/>
              </w:rPr>
            </w:pPr>
            <w:r w:rsidRPr="0079003D">
              <w:rPr>
                <w:sz w:val="20"/>
              </w:rPr>
              <w:t>n (%)</w:t>
            </w:r>
          </w:p>
        </w:tc>
      </w:tr>
      <w:tr w:rsidR="00EA3A7D" w:rsidRPr="00B8122D" w14:paraId="1A9BD3D5" w14:textId="77777777" w:rsidTr="00C2685F">
        <w:trPr>
          <w:trHeight w:val="490"/>
        </w:trPr>
        <w:tc>
          <w:tcPr>
            <w:tcW w:w="2235" w:type="dxa"/>
            <w:hideMark/>
          </w:tcPr>
          <w:p w14:paraId="0C0D13DA" w14:textId="77777777" w:rsidR="007E7504" w:rsidRPr="0079003D" w:rsidRDefault="007E7504" w:rsidP="00EA3A7D">
            <w:pPr>
              <w:rPr>
                <w:sz w:val="20"/>
              </w:rPr>
            </w:pPr>
            <w:r w:rsidRPr="0079003D">
              <w:rPr>
                <w:sz w:val="20"/>
              </w:rPr>
              <w:t>Hepatotoxicity event of any grade</w:t>
            </w:r>
          </w:p>
        </w:tc>
        <w:tc>
          <w:tcPr>
            <w:tcW w:w="2126" w:type="dxa"/>
            <w:hideMark/>
          </w:tcPr>
          <w:p w14:paraId="6CBF3E40" w14:textId="77777777" w:rsidR="007E7504" w:rsidRPr="0079003D" w:rsidRDefault="007E7504" w:rsidP="007E7504">
            <w:pPr>
              <w:rPr>
                <w:sz w:val="20"/>
              </w:rPr>
            </w:pPr>
            <w:r w:rsidRPr="0079003D">
              <w:rPr>
                <w:sz w:val="20"/>
              </w:rPr>
              <w:t>91 (23.9)</w:t>
            </w:r>
          </w:p>
        </w:tc>
        <w:tc>
          <w:tcPr>
            <w:tcW w:w="1984" w:type="dxa"/>
            <w:hideMark/>
          </w:tcPr>
          <w:p w14:paraId="7FC415F5" w14:textId="77777777" w:rsidR="007E7504" w:rsidRPr="0079003D" w:rsidRDefault="007E7504" w:rsidP="007E7504">
            <w:pPr>
              <w:rPr>
                <w:sz w:val="20"/>
              </w:rPr>
            </w:pPr>
            <w:r w:rsidRPr="0079003D">
              <w:rPr>
                <w:sz w:val="20"/>
              </w:rPr>
              <w:t>45 (13.6)</w:t>
            </w:r>
          </w:p>
        </w:tc>
        <w:tc>
          <w:tcPr>
            <w:tcW w:w="2375" w:type="dxa"/>
            <w:hideMark/>
          </w:tcPr>
          <w:p w14:paraId="208B49D2" w14:textId="77777777" w:rsidR="007E7504" w:rsidRPr="0079003D" w:rsidRDefault="007E7504" w:rsidP="007E7504">
            <w:pPr>
              <w:rPr>
                <w:sz w:val="20"/>
              </w:rPr>
            </w:pPr>
            <w:r w:rsidRPr="0079003D">
              <w:rPr>
                <w:sz w:val="20"/>
              </w:rPr>
              <w:t>59 (31.6)</w:t>
            </w:r>
          </w:p>
        </w:tc>
      </w:tr>
      <w:tr w:rsidR="00EA3A7D" w:rsidRPr="00B8122D" w14:paraId="1978DAAD" w14:textId="77777777" w:rsidTr="00C2685F">
        <w:trPr>
          <w:trHeight w:val="490"/>
        </w:trPr>
        <w:tc>
          <w:tcPr>
            <w:tcW w:w="2235" w:type="dxa"/>
            <w:hideMark/>
          </w:tcPr>
          <w:p w14:paraId="671A6459" w14:textId="2AE4A07F" w:rsidR="007E7504" w:rsidRPr="0079003D" w:rsidRDefault="00EA3A7D" w:rsidP="00EA3A7D">
            <w:pPr>
              <w:rPr>
                <w:sz w:val="20"/>
              </w:rPr>
            </w:pPr>
            <w:r w:rsidRPr="0079003D">
              <w:rPr>
                <w:sz w:val="20"/>
              </w:rPr>
              <w:t>Hepatotoxicity event, G</w:t>
            </w:r>
            <w:r w:rsidR="007E7504" w:rsidRPr="0079003D">
              <w:rPr>
                <w:sz w:val="20"/>
              </w:rPr>
              <w:t>rade 3/4</w:t>
            </w:r>
          </w:p>
        </w:tc>
        <w:tc>
          <w:tcPr>
            <w:tcW w:w="2126" w:type="dxa"/>
            <w:hideMark/>
          </w:tcPr>
          <w:p w14:paraId="7A889F97" w14:textId="77777777" w:rsidR="007E7504" w:rsidRPr="0079003D" w:rsidRDefault="007E7504" w:rsidP="007E7504">
            <w:pPr>
              <w:rPr>
                <w:sz w:val="20"/>
              </w:rPr>
            </w:pPr>
            <w:r w:rsidRPr="0079003D">
              <w:rPr>
                <w:sz w:val="20"/>
              </w:rPr>
              <w:t>42 (11.0)</w:t>
            </w:r>
          </w:p>
        </w:tc>
        <w:tc>
          <w:tcPr>
            <w:tcW w:w="1984" w:type="dxa"/>
            <w:hideMark/>
          </w:tcPr>
          <w:p w14:paraId="665F6E52" w14:textId="77777777" w:rsidR="007E7504" w:rsidRPr="0079003D" w:rsidRDefault="007E7504" w:rsidP="007E7504">
            <w:pPr>
              <w:rPr>
                <w:sz w:val="20"/>
              </w:rPr>
            </w:pPr>
            <w:r w:rsidRPr="0079003D">
              <w:rPr>
                <w:sz w:val="20"/>
              </w:rPr>
              <w:t>12 (3.6)</w:t>
            </w:r>
          </w:p>
        </w:tc>
        <w:tc>
          <w:tcPr>
            <w:tcW w:w="2375" w:type="dxa"/>
            <w:hideMark/>
          </w:tcPr>
          <w:p w14:paraId="76183367" w14:textId="77777777" w:rsidR="007E7504" w:rsidRPr="0079003D" w:rsidRDefault="007E7504" w:rsidP="007E7504">
            <w:pPr>
              <w:rPr>
                <w:sz w:val="20"/>
              </w:rPr>
            </w:pPr>
            <w:r w:rsidRPr="0079003D">
              <w:rPr>
                <w:sz w:val="20"/>
              </w:rPr>
              <w:t>16 (8.6)</w:t>
            </w:r>
          </w:p>
        </w:tc>
      </w:tr>
      <w:tr w:rsidR="00EA3A7D" w:rsidRPr="00B8122D" w14:paraId="56C93CD7" w14:textId="77777777" w:rsidTr="00C2685F">
        <w:trPr>
          <w:trHeight w:val="490"/>
        </w:trPr>
        <w:tc>
          <w:tcPr>
            <w:tcW w:w="2235" w:type="dxa"/>
            <w:hideMark/>
          </w:tcPr>
          <w:p w14:paraId="4C69D3D2" w14:textId="77777777" w:rsidR="007E7504" w:rsidRPr="0079003D" w:rsidRDefault="007E7504" w:rsidP="00EA3A7D">
            <w:pPr>
              <w:rPr>
                <w:sz w:val="20"/>
              </w:rPr>
            </w:pPr>
            <w:r w:rsidRPr="0079003D">
              <w:rPr>
                <w:sz w:val="20"/>
              </w:rPr>
              <w:t>Grade 3/4 ALT elevation</w:t>
            </w:r>
          </w:p>
        </w:tc>
        <w:tc>
          <w:tcPr>
            <w:tcW w:w="2126" w:type="dxa"/>
            <w:hideMark/>
          </w:tcPr>
          <w:p w14:paraId="12F0093E" w14:textId="77777777" w:rsidR="007E7504" w:rsidRPr="0079003D" w:rsidRDefault="007E7504" w:rsidP="007E7504">
            <w:pPr>
              <w:rPr>
                <w:sz w:val="20"/>
              </w:rPr>
            </w:pPr>
            <w:r w:rsidRPr="0079003D">
              <w:rPr>
                <w:sz w:val="20"/>
              </w:rPr>
              <w:t>33 (8.7)</w:t>
            </w:r>
          </w:p>
        </w:tc>
        <w:tc>
          <w:tcPr>
            <w:tcW w:w="1984" w:type="dxa"/>
            <w:hideMark/>
          </w:tcPr>
          <w:p w14:paraId="1D9F3CDC" w14:textId="77777777" w:rsidR="007E7504" w:rsidRPr="0079003D" w:rsidRDefault="007E7504" w:rsidP="007E7504">
            <w:pPr>
              <w:rPr>
                <w:sz w:val="20"/>
              </w:rPr>
            </w:pPr>
            <w:r w:rsidRPr="0079003D">
              <w:rPr>
                <w:sz w:val="20"/>
              </w:rPr>
              <w:t>4 (1.2)</w:t>
            </w:r>
          </w:p>
        </w:tc>
        <w:tc>
          <w:tcPr>
            <w:tcW w:w="2375" w:type="dxa"/>
            <w:hideMark/>
          </w:tcPr>
          <w:p w14:paraId="00EE7348" w14:textId="77777777" w:rsidR="007E7504" w:rsidRPr="0079003D" w:rsidRDefault="007E7504" w:rsidP="007E7504">
            <w:pPr>
              <w:rPr>
                <w:sz w:val="20"/>
              </w:rPr>
            </w:pPr>
            <w:r w:rsidRPr="0079003D">
              <w:rPr>
                <w:sz w:val="20"/>
              </w:rPr>
              <w:t>5 (2.7)</w:t>
            </w:r>
          </w:p>
        </w:tc>
      </w:tr>
      <w:tr w:rsidR="00EA3A7D" w:rsidRPr="00B8122D" w14:paraId="5CFD73E2" w14:textId="77777777" w:rsidTr="00C2685F">
        <w:trPr>
          <w:trHeight w:val="490"/>
        </w:trPr>
        <w:tc>
          <w:tcPr>
            <w:tcW w:w="2235" w:type="dxa"/>
            <w:hideMark/>
          </w:tcPr>
          <w:p w14:paraId="012FD9FB" w14:textId="77777777" w:rsidR="007E7504" w:rsidRPr="0079003D" w:rsidRDefault="007E7504" w:rsidP="00EA3A7D">
            <w:pPr>
              <w:rPr>
                <w:sz w:val="20"/>
              </w:rPr>
            </w:pPr>
            <w:r w:rsidRPr="0079003D">
              <w:rPr>
                <w:sz w:val="20"/>
              </w:rPr>
              <w:t>Grade 3/4 AST elevation</w:t>
            </w:r>
          </w:p>
        </w:tc>
        <w:tc>
          <w:tcPr>
            <w:tcW w:w="2126" w:type="dxa"/>
            <w:hideMark/>
          </w:tcPr>
          <w:p w14:paraId="23CA10E8" w14:textId="77777777" w:rsidR="007E7504" w:rsidRPr="0079003D" w:rsidRDefault="007E7504" w:rsidP="007E7504">
            <w:pPr>
              <w:rPr>
                <w:sz w:val="20"/>
              </w:rPr>
            </w:pPr>
            <w:r w:rsidRPr="0079003D">
              <w:rPr>
                <w:sz w:val="20"/>
              </w:rPr>
              <w:t>20 (5.2)</w:t>
            </w:r>
          </w:p>
        </w:tc>
        <w:tc>
          <w:tcPr>
            <w:tcW w:w="1984" w:type="dxa"/>
            <w:hideMark/>
          </w:tcPr>
          <w:p w14:paraId="19F759E5" w14:textId="77777777" w:rsidR="007E7504" w:rsidRPr="0079003D" w:rsidRDefault="007E7504" w:rsidP="007E7504">
            <w:pPr>
              <w:rPr>
                <w:sz w:val="20"/>
              </w:rPr>
            </w:pPr>
            <w:r w:rsidRPr="0079003D">
              <w:rPr>
                <w:sz w:val="20"/>
              </w:rPr>
              <w:t>4 (1.2)</w:t>
            </w:r>
          </w:p>
        </w:tc>
        <w:tc>
          <w:tcPr>
            <w:tcW w:w="2375" w:type="dxa"/>
            <w:hideMark/>
          </w:tcPr>
          <w:p w14:paraId="41405B5A" w14:textId="77777777" w:rsidR="007E7504" w:rsidRPr="0079003D" w:rsidRDefault="007E7504" w:rsidP="007E7504">
            <w:pPr>
              <w:rPr>
                <w:sz w:val="20"/>
              </w:rPr>
            </w:pPr>
            <w:r w:rsidRPr="0079003D">
              <w:rPr>
                <w:sz w:val="20"/>
              </w:rPr>
              <w:t>4 (2.1)</w:t>
            </w:r>
          </w:p>
        </w:tc>
      </w:tr>
      <w:tr w:rsidR="00EA3A7D" w:rsidRPr="00B8122D" w14:paraId="05E38168" w14:textId="77777777" w:rsidTr="00C2685F">
        <w:trPr>
          <w:trHeight w:val="490"/>
        </w:trPr>
        <w:tc>
          <w:tcPr>
            <w:tcW w:w="2235" w:type="dxa"/>
            <w:hideMark/>
          </w:tcPr>
          <w:p w14:paraId="025381B8" w14:textId="77777777" w:rsidR="007E7504" w:rsidRPr="0079003D" w:rsidRDefault="007E7504" w:rsidP="00EA3A7D">
            <w:pPr>
              <w:rPr>
                <w:sz w:val="20"/>
              </w:rPr>
            </w:pPr>
            <w:r w:rsidRPr="0079003D">
              <w:rPr>
                <w:sz w:val="20"/>
              </w:rPr>
              <w:t>Grade 3/4 bilirubin elevation</w:t>
            </w:r>
          </w:p>
        </w:tc>
        <w:tc>
          <w:tcPr>
            <w:tcW w:w="2126" w:type="dxa"/>
            <w:hideMark/>
          </w:tcPr>
          <w:p w14:paraId="58A41070" w14:textId="77777777" w:rsidR="007E7504" w:rsidRPr="0079003D" w:rsidRDefault="007E7504" w:rsidP="007E7504">
            <w:pPr>
              <w:rPr>
                <w:sz w:val="20"/>
              </w:rPr>
            </w:pPr>
            <w:r w:rsidRPr="0079003D">
              <w:rPr>
                <w:sz w:val="20"/>
              </w:rPr>
              <w:t>4 (1.0)</w:t>
            </w:r>
          </w:p>
        </w:tc>
        <w:tc>
          <w:tcPr>
            <w:tcW w:w="1984" w:type="dxa"/>
            <w:hideMark/>
          </w:tcPr>
          <w:p w14:paraId="2917730E" w14:textId="77777777" w:rsidR="007E7504" w:rsidRPr="0079003D" w:rsidRDefault="007E7504" w:rsidP="007E7504">
            <w:pPr>
              <w:rPr>
                <w:sz w:val="20"/>
              </w:rPr>
            </w:pPr>
            <w:r w:rsidRPr="0079003D">
              <w:rPr>
                <w:sz w:val="20"/>
              </w:rPr>
              <w:t>1 (0.3)</w:t>
            </w:r>
          </w:p>
        </w:tc>
        <w:tc>
          <w:tcPr>
            <w:tcW w:w="2375" w:type="dxa"/>
            <w:hideMark/>
          </w:tcPr>
          <w:p w14:paraId="03A5ACD1" w14:textId="77777777" w:rsidR="007E7504" w:rsidRPr="0079003D" w:rsidRDefault="007E7504" w:rsidP="007E7504">
            <w:pPr>
              <w:rPr>
                <w:sz w:val="20"/>
              </w:rPr>
            </w:pPr>
            <w:r w:rsidRPr="0079003D">
              <w:rPr>
                <w:sz w:val="20"/>
              </w:rPr>
              <w:t>5 (2.7)</w:t>
            </w:r>
          </w:p>
        </w:tc>
      </w:tr>
      <w:tr w:rsidR="00EA3A7D" w:rsidRPr="00B8122D" w14:paraId="7F04655B" w14:textId="77777777" w:rsidTr="00C2685F">
        <w:trPr>
          <w:trHeight w:val="479"/>
        </w:trPr>
        <w:tc>
          <w:tcPr>
            <w:tcW w:w="2235" w:type="dxa"/>
            <w:hideMark/>
          </w:tcPr>
          <w:p w14:paraId="03E81E18" w14:textId="77777777" w:rsidR="007E7504" w:rsidRPr="0079003D" w:rsidRDefault="007E7504" w:rsidP="00EA3A7D">
            <w:pPr>
              <w:rPr>
                <w:sz w:val="20"/>
              </w:rPr>
            </w:pPr>
            <w:r w:rsidRPr="0079003D">
              <w:rPr>
                <w:sz w:val="20"/>
              </w:rPr>
              <w:t>AST or ALT elevation &gt;10 x ULN</w:t>
            </w:r>
          </w:p>
        </w:tc>
        <w:tc>
          <w:tcPr>
            <w:tcW w:w="2126" w:type="dxa"/>
            <w:hideMark/>
          </w:tcPr>
          <w:p w14:paraId="7AD731BE" w14:textId="200FFF5B" w:rsidR="007E7504" w:rsidRPr="002C0E44" w:rsidRDefault="007E7504" w:rsidP="007E7504">
            <w:pPr>
              <w:rPr>
                <w:sz w:val="20"/>
              </w:rPr>
            </w:pPr>
            <w:r w:rsidRPr="0079003D">
              <w:rPr>
                <w:sz w:val="20"/>
              </w:rPr>
              <w:t>22</w:t>
            </w:r>
            <w:r w:rsidR="005E3705" w:rsidRPr="0079003D">
              <w:rPr>
                <w:sz w:val="20"/>
              </w:rPr>
              <w:t>/374</w:t>
            </w:r>
            <w:r w:rsidRPr="0079003D">
              <w:rPr>
                <w:sz w:val="20"/>
              </w:rPr>
              <w:t xml:space="preserve"> </w:t>
            </w:r>
            <w:r w:rsidRPr="002C0E44">
              <w:rPr>
                <w:sz w:val="20"/>
              </w:rPr>
              <w:t>(5.9)</w:t>
            </w:r>
          </w:p>
        </w:tc>
        <w:tc>
          <w:tcPr>
            <w:tcW w:w="1984" w:type="dxa"/>
            <w:hideMark/>
          </w:tcPr>
          <w:p w14:paraId="2C9C3A9D" w14:textId="77777777" w:rsidR="007E7504" w:rsidRPr="002C0E44" w:rsidRDefault="007E7504" w:rsidP="007E7504">
            <w:pPr>
              <w:rPr>
                <w:sz w:val="20"/>
              </w:rPr>
            </w:pPr>
            <w:r w:rsidRPr="002C0E44">
              <w:rPr>
                <w:sz w:val="20"/>
              </w:rPr>
              <w:t>0</w:t>
            </w:r>
          </w:p>
        </w:tc>
        <w:tc>
          <w:tcPr>
            <w:tcW w:w="2375" w:type="dxa"/>
            <w:hideMark/>
          </w:tcPr>
          <w:p w14:paraId="008164CB" w14:textId="1BE4CFF1" w:rsidR="007E7504" w:rsidRPr="002C0E44" w:rsidRDefault="007E7504" w:rsidP="007E7504">
            <w:pPr>
              <w:rPr>
                <w:sz w:val="20"/>
              </w:rPr>
            </w:pPr>
            <w:r w:rsidRPr="002C0E44">
              <w:rPr>
                <w:sz w:val="20"/>
              </w:rPr>
              <w:t>1</w:t>
            </w:r>
            <w:r w:rsidR="005E3705" w:rsidRPr="002C0E44">
              <w:rPr>
                <w:sz w:val="20"/>
              </w:rPr>
              <w:t>/181</w:t>
            </w:r>
            <w:r w:rsidRPr="002C0E44">
              <w:rPr>
                <w:sz w:val="20"/>
              </w:rPr>
              <w:t xml:space="preserve"> (0.6)</w:t>
            </w:r>
          </w:p>
        </w:tc>
      </w:tr>
      <w:tr w:rsidR="00EA3A7D" w:rsidRPr="00B8122D" w14:paraId="3024B283" w14:textId="77777777" w:rsidTr="00C2685F">
        <w:trPr>
          <w:trHeight w:val="490"/>
        </w:trPr>
        <w:tc>
          <w:tcPr>
            <w:tcW w:w="2235" w:type="dxa"/>
            <w:hideMark/>
          </w:tcPr>
          <w:p w14:paraId="66B15B4E" w14:textId="250E51BD" w:rsidR="007E7504" w:rsidRPr="002C0E44" w:rsidRDefault="007E7504" w:rsidP="00EA3A7D">
            <w:pPr>
              <w:rPr>
                <w:sz w:val="20"/>
              </w:rPr>
            </w:pPr>
            <w:r w:rsidRPr="002C0E44">
              <w:rPr>
                <w:sz w:val="20"/>
              </w:rPr>
              <w:t>AST or ALT &gt;</w:t>
            </w:r>
            <w:r w:rsidR="00EA3A7D" w:rsidRPr="002C0E44">
              <w:rPr>
                <w:sz w:val="20"/>
              </w:rPr>
              <w:t xml:space="preserve"> </w:t>
            </w:r>
            <w:r w:rsidRPr="002C0E44">
              <w:rPr>
                <w:sz w:val="20"/>
              </w:rPr>
              <w:t>10</w:t>
            </w:r>
            <w:r w:rsidR="00EA3A7D" w:rsidRPr="002C0E44">
              <w:rPr>
                <w:sz w:val="20"/>
              </w:rPr>
              <w:t xml:space="preserve"> </w:t>
            </w:r>
            <w:r w:rsidRPr="002C0E44">
              <w:rPr>
                <w:sz w:val="20"/>
              </w:rPr>
              <w:t>x</w:t>
            </w:r>
            <w:r w:rsidR="00EA3A7D" w:rsidRPr="002C0E44">
              <w:rPr>
                <w:sz w:val="20"/>
              </w:rPr>
              <w:t xml:space="preserve"> ULN +</w:t>
            </w:r>
            <w:r w:rsidRPr="002C0E44">
              <w:rPr>
                <w:sz w:val="20"/>
              </w:rPr>
              <w:t xml:space="preserve"> TBL</w:t>
            </w:r>
            <w:r w:rsidR="00EA3A7D" w:rsidRPr="002C0E44">
              <w:rPr>
                <w:sz w:val="20"/>
              </w:rPr>
              <w:t xml:space="preserve"> </w:t>
            </w:r>
            <w:r w:rsidRPr="002C0E44">
              <w:rPr>
                <w:sz w:val="20"/>
              </w:rPr>
              <w:t>&gt;</w:t>
            </w:r>
            <w:r w:rsidR="00EA3A7D" w:rsidRPr="002C0E44">
              <w:rPr>
                <w:sz w:val="20"/>
              </w:rPr>
              <w:t xml:space="preserve"> </w:t>
            </w:r>
            <w:r w:rsidRPr="002C0E44">
              <w:rPr>
                <w:sz w:val="20"/>
              </w:rPr>
              <w:t>ULN</w:t>
            </w:r>
          </w:p>
        </w:tc>
        <w:tc>
          <w:tcPr>
            <w:tcW w:w="2126" w:type="dxa"/>
            <w:hideMark/>
          </w:tcPr>
          <w:p w14:paraId="3D089F78" w14:textId="57ADBF4D" w:rsidR="007E7504" w:rsidRPr="002C0E44" w:rsidRDefault="007E7504" w:rsidP="007E7504">
            <w:pPr>
              <w:rPr>
                <w:sz w:val="20"/>
              </w:rPr>
            </w:pPr>
            <w:r w:rsidRPr="002C0E44">
              <w:rPr>
                <w:sz w:val="20"/>
              </w:rPr>
              <w:t>11</w:t>
            </w:r>
            <w:r w:rsidR="005E3705" w:rsidRPr="002C0E44">
              <w:rPr>
                <w:sz w:val="20"/>
              </w:rPr>
              <w:t>/374</w:t>
            </w:r>
            <w:r w:rsidRPr="002C0E44">
              <w:rPr>
                <w:sz w:val="20"/>
              </w:rPr>
              <w:t xml:space="preserve"> (2.9)</w:t>
            </w:r>
          </w:p>
        </w:tc>
        <w:tc>
          <w:tcPr>
            <w:tcW w:w="1984" w:type="dxa"/>
            <w:hideMark/>
          </w:tcPr>
          <w:p w14:paraId="0EDA9A29" w14:textId="77777777" w:rsidR="007E7504" w:rsidRPr="002C0E44" w:rsidRDefault="007E7504" w:rsidP="007E7504">
            <w:pPr>
              <w:rPr>
                <w:sz w:val="20"/>
              </w:rPr>
            </w:pPr>
            <w:r w:rsidRPr="002C0E44">
              <w:rPr>
                <w:sz w:val="20"/>
              </w:rPr>
              <w:t>0</w:t>
            </w:r>
          </w:p>
        </w:tc>
        <w:tc>
          <w:tcPr>
            <w:tcW w:w="2375" w:type="dxa"/>
            <w:hideMark/>
          </w:tcPr>
          <w:p w14:paraId="7358C905" w14:textId="77777777" w:rsidR="007E7504" w:rsidRPr="002C0E44" w:rsidRDefault="007E7504" w:rsidP="007E7504">
            <w:pPr>
              <w:rPr>
                <w:sz w:val="20"/>
              </w:rPr>
            </w:pPr>
            <w:r w:rsidRPr="002C0E44">
              <w:rPr>
                <w:sz w:val="20"/>
              </w:rPr>
              <w:t>0</w:t>
            </w:r>
          </w:p>
        </w:tc>
      </w:tr>
      <w:tr w:rsidR="00EA3A7D" w:rsidRPr="00B8122D" w14:paraId="43D458B0" w14:textId="77777777" w:rsidTr="00C2685F">
        <w:trPr>
          <w:trHeight w:val="490"/>
        </w:trPr>
        <w:tc>
          <w:tcPr>
            <w:tcW w:w="2235" w:type="dxa"/>
            <w:hideMark/>
          </w:tcPr>
          <w:p w14:paraId="0AE1226F" w14:textId="77777777" w:rsidR="007E7504" w:rsidRPr="002C0E44" w:rsidRDefault="007E7504" w:rsidP="00EA3A7D">
            <w:pPr>
              <w:rPr>
                <w:sz w:val="20"/>
              </w:rPr>
            </w:pPr>
            <w:r w:rsidRPr="002C0E44">
              <w:rPr>
                <w:sz w:val="20"/>
              </w:rPr>
              <w:t>Confirmed Hy’s Law Case</w:t>
            </w:r>
          </w:p>
        </w:tc>
        <w:tc>
          <w:tcPr>
            <w:tcW w:w="2126" w:type="dxa"/>
            <w:hideMark/>
          </w:tcPr>
          <w:p w14:paraId="79F2C3CD" w14:textId="7AE2968C" w:rsidR="007E7504" w:rsidRPr="002C0E44" w:rsidRDefault="007E7504" w:rsidP="005E3705">
            <w:pPr>
              <w:rPr>
                <w:sz w:val="20"/>
              </w:rPr>
            </w:pPr>
            <w:r w:rsidRPr="002C0E44">
              <w:rPr>
                <w:sz w:val="20"/>
              </w:rPr>
              <w:t>4</w:t>
            </w:r>
            <w:r w:rsidR="005E3705" w:rsidRPr="002C0E44">
              <w:rPr>
                <w:sz w:val="20"/>
              </w:rPr>
              <w:t xml:space="preserve">/374 </w:t>
            </w:r>
            <w:r w:rsidRPr="002C0E44">
              <w:rPr>
                <w:sz w:val="20"/>
              </w:rPr>
              <w:t>(1.</w:t>
            </w:r>
            <w:r w:rsidR="007F3F86" w:rsidRPr="002C0E44">
              <w:rPr>
                <w:sz w:val="20"/>
              </w:rPr>
              <w:t>1</w:t>
            </w:r>
            <w:r w:rsidRPr="002C0E44">
              <w:rPr>
                <w:sz w:val="20"/>
              </w:rPr>
              <w:t>)</w:t>
            </w:r>
          </w:p>
        </w:tc>
        <w:tc>
          <w:tcPr>
            <w:tcW w:w="1984" w:type="dxa"/>
            <w:hideMark/>
          </w:tcPr>
          <w:p w14:paraId="714E9A9D" w14:textId="77777777" w:rsidR="007E7504" w:rsidRPr="002C0E44" w:rsidRDefault="007E7504" w:rsidP="007E7504">
            <w:pPr>
              <w:rPr>
                <w:sz w:val="20"/>
              </w:rPr>
            </w:pPr>
            <w:r w:rsidRPr="002C0E44">
              <w:rPr>
                <w:sz w:val="20"/>
              </w:rPr>
              <w:t>0</w:t>
            </w:r>
          </w:p>
        </w:tc>
        <w:tc>
          <w:tcPr>
            <w:tcW w:w="2375" w:type="dxa"/>
            <w:hideMark/>
          </w:tcPr>
          <w:p w14:paraId="6F8E5EB6" w14:textId="77777777" w:rsidR="007E7504" w:rsidRPr="002C0E44" w:rsidRDefault="007E7504" w:rsidP="007E7504">
            <w:pPr>
              <w:rPr>
                <w:sz w:val="20"/>
              </w:rPr>
            </w:pPr>
            <w:r w:rsidRPr="002C0E44">
              <w:rPr>
                <w:sz w:val="20"/>
              </w:rPr>
              <w:t>0</w:t>
            </w:r>
          </w:p>
        </w:tc>
      </w:tr>
      <w:tr w:rsidR="00EA3A7D" w:rsidRPr="00B8122D" w14:paraId="0847B2AD" w14:textId="77777777" w:rsidTr="00C2685F">
        <w:trPr>
          <w:trHeight w:val="490"/>
        </w:trPr>
        <w:tc>
          <w:tcPr>
            <w:tcW w:w="2235" w:type="dxa"/>
            <w:hideMark/>
          </w:tcPr>
          <w:p w14:paraId="445B396B" w14:textId="77777777" w:rsidR="007E7504" w:rsidRPr="002C0E44" w:rsidRDefault="007E7504" w:rsidP="00EA3A7D">
            <w:pPr>
              <w:rPr>
                <w:sz w:val="20"/>
              </w:rPr>
            </w:pPr>
            <w:r w:rsidRPr="002C0E44">
              <w:rPr>
                <w:sz w:val="20"/>
              </w:rPr>
              <w:t>Hepatotoxicity SAE</w:t>
            </w:r>
          </w:p>
        </w:tc>
        <w:tc>
          <w:tcPr>
            <w:tcW w:w="2126" w:type="dxa"/>
            <w:hideMark/>
          </w:tcPr>
          <w:p w14:paraId="7AB6A3C5" w14:textId="77777777" w:rsidR="007E7504" w:rsidRPr="002C0E44" w:rsidRDefault="007E7504" w:rsidP="007E7504">
            <w:pPr>
              <w:rPr>
                <w:sz w:val="20"/>
              </w:rPr>
            </w:pPr>
            <w:r w:rsidRPr="002C0E44">
              <w:rPr>
                <w:sz w:val="20"/>
              </w:rPr>
              <w:t>8 (2.1)</w:t>
            </w:r>
          </w:p>
        </w:tc>
        <w:tc>
          <w:tcPr>
            <w:tcW w:w="1984" w:type="dxa"/>
            <w:hideMark/>
          </w:tcPr>
          <w:p w14:paraId="4BB5BDF8" w14:textId="77777777" w:rsidR="007E7504" w:rsidRPr="002C0E44" w:rsidRDefault="007E7504" w:rsidP="007E7504">
            <w:pPr>
              <w:rPr>
                <w:sz w:val="20"/>
              </w:rPr>
            </w:pPr>
            <w:r w:rsidRPr="002C0E44">
              <w:rPr>
                <w:sz w:val="20"/>
              </w:rPr>
              <w:t>0</w:t>
            </w:r>
          </w:p>
        </w:tc>
        <w:tc>
          <w:tcPr>
            <w:tcW w:w="2375" w:type="dxa"/>
            <w:hideMark/>
          </w:tcPr>
          <w:p w14:paraId="1645A13F" w14:textId="77777777" w:rsidR="007E7504" w:rsidRPr="002C0E44" w:rsidRDefault="007E7504" w:rsidP="007E7504">
            <w:pPr>
              <w:rPr>
                <w:sz w:val="20"/>
              </w:rPr>
            </w:pPr>
            <w:r w:rsidRPr="002C0E44">
              <w:rPr>
                <w:sz w:val="20"/>
              </w:rPr>
              <w:t>5 (2.7)</w:t>
            </w:r>
          </w:p>
        </w:tc>
      </w:tr>
      <w:tr w:rsidR="00EA3A7D" w:rsidRPr="00B8122D" w14:paraId="40ABE35C" w14:textId="77777777" w:rsidTr="00C2685F">
        <w:trPr>
          <w:trHeight w:val="753"/>
        </w:trPr>
        <w:tc>
          <w:tcPr>
            <w:tcW w:w="2235" w:type="dxa"/>
            <w:hideMark/>
          </w:tcPr>
          <w:p w14:paraId="419E4095" w14:textId="77777777" w:rsidR="007E7504" w:rsidRPr="002C0E44" w:rsidRDefault="007E7504" w:rsidP="00EA3A7D">
            <w:pPr>
              <w:rPr>
                <w:sz w:val="20"/>
              </w:rPr>
            </w:pPr>
            <w:r w:rsidRPr="002C0E44">
              <w:rPr>
                <w:sz w:val="20"/>
              </w:rPr>
              <w:lastRenderedPageBreak/>
              <w:t>Discontinuation due to hepatotoxicity</w:t>
            </w:r>
          </w:p>
        </w:tc>
        <w:tc>
          <w:tcPr>
            <w:tcW w:w="2126" w:type="dxa"/>
            <w:hideMark/>
          </w:tcPr>
          <w:p w14:paraId="6F2074A2" w14:textId="77777777" w:rsidR="007E7504" w:rsidRPr="002C0E44" w:rsidRDefault="007E7504" w:rsidP="007E7504">
            <w:pPr>
              <w:rPr>
                <w:sz w:val="20"/>
              </w:rPr>
            </w:pPr>
            <w:r w:rsidRPr="002C0E44">
              <w:rPr>
                <w:sz w:val="20"/>
              </w:rPr>
              <w:t>22 (5.8)</w:t>
            </w:r>
          </w:p>
        </w:tc>
        <w:tc>
          <w:tcPr>
            <w:tcW w:w="1984" w:type="dxa"/>
            <w:hideMark/>
          </w:tcPr>
          <w:p w14:paraId="4B276941" w14:textId="77777777" w:rsidR="007E7504" w:rsidRPr="002C0E44" w:rsidRDefault="007E7504" w:rsidP="007E7504">
            <w:pPr>
              <w:rPr>
                <w:sz w:val="20"/>
              </w:rPr>
            </w:pPr>
            <w:r w:rsidRPr="002C0E44">
              <w:rPr>
                <w:sz w:val="20"/>
              </w:rPr>
              <w:t>3 (0.9)</w:t>
            </w:r>
          </w:p>
        </w:tc>
        <w:tc>
          <w:tcPr>
            <w:tcW w:w="2375" w:type="dxa"/>
            <w:hideMark/>
          </w:tcPr>
          <w:p w14:paraId="41FDCCF0" w14:textId="77777777" w:rsidR="007E7504" w:rsidRPr="002C0E44" w:rsidRDefault="007E7504" w:rsidP="007E7504">
            <w:pPr>
              <w:rPr>
                <w:sz w:val="20"/>
              </w:rPr>
            </w:pPr>
            <w:r w:rsidRPr="002C0E44">
              <w:rPr>
                <w:sz w:val="20"/>
              </w:rPr>
              <w:t>2 (1.1)</w:t>
            </w:r>
          </w:p>
        </w:tc>
      </w:tr>
      <w:tr w:rsidR="00EA3A7D" w:rsidRPr="00B8122D" w14:paraId="64D4B17F" w14:textId="77777777" w:rsidTr="00C2685F">
        <w:trPr>
          <w:trHeight w:val="742"/>
        </w:trPr>
        <w:tc>
          <w:tcPr>
            <w:tcW w:w="2235" w:type="dxa"/>
            <w:hideMark/>
          </w:tcPr>
          <w:p w14:paraId="1D3E27E6" w14:textId="77777777" w:rsidR="007E7504" w:rsidRPr="002C0E44" w:rsidRDefault="007E7504" w:rsidP="00EA3A7D">
            <w:pPr>
              <w:rPr>
                <w:sz w:val="20"/>
              </w:rPr>
            </w:pPr>
            <w:r w:rsidRPr="002C0E44">
              <w:rPr>
                <w:sz w:val="20"/>
              </w:rPr>
              <w:t>Dose modification due to hepatotoxicity</w:t>
            </w:r>
          </w:p>
        </w:tc>
        <w:tc>
          <w:tcPr>
            <w:tcW w:w="2126" w:type="dxa"/>
            <w:hideMark/>
          </w:tcPr>
          <w:p w14:paraId="748D7679" w14:textId="77777777" w:rsidR="007E7504" w:rsidRPr="002C0E44" w:rsidRDefault="007E7504" w:rsidP="007E7504">
            <w:pPr>
              <w:rPr>
                <w:sz w:val="20"/>
              </w:rPr>
            </w:pPr>
            <w:r w:rsidRPr="002C0E44">
              <w:rPr>
                <w:sz w:val="20"/>
              </w:rPr>
              <w:t>29 (7.6)</w:t>
            </w:r>
          </w:p>
        </w:tc>
        <w:tc>
          <w:tcPr>
            <w:tcW w:w="1984" w:type="dxa"/>
            <w:hideMark/>
          </w:tcPr>
          <w:p w14:paraId="7206EA94" w14:textId="77777777" w:rsidR="007E7504" w:rsidRPr="002C0E44" w:rsidRDefault="007E7504" w:rsidP="007E7504">
            <w:pPr>
              <w:rPr>
                <w:sz w:val="20"/>
              </w:rPr>
            </w:pPr>
            <w:r w:rsidRPr="002C0E44">
              <w:rPr>
                <w:sz w:val="20"/>
              </w:rPr>
              <w:t>9 (2.7)</w:t>
            </w:r>
          </w:p>
        </w:tc>
        <w:tc>
          <w:tcPr>
            <w:tcW w:w="2375" w:type="dxa"/>
            <w:hideMark/>
          </w:tcPr>
          <w:p w14:paraId="0E621BE4" w14:textId="77777777" w:rsidR="007E7504" w:rsidRPr="002C0E44" w:rsidRDefault="007E7504" w:rsidP="007E7504">
            <w:pPr>
              <w:rPr>
                <w:sz w:val="20"/>
              </w:rPr>
            </w:pPr>
            <w:r w:rsidRPr="002C0E44">
              <w:rPr>
                <w:sz w:val="20"/>
              </w:rPr>
              <w:t>7 (3.7)</w:t>
            </w:r>
          </w:p>
        </w:tc>
      </w:tr>
      <w:tr w:rsidR="007E7504" w:rsidRPr="00B8122D" w14:paraId="2DB5197B" w14:textId="77777777" w:rsidTr="0079003D">
        <w:trPr>
          <w:trHeight w:val="455"/>
        </w:trPr>
        <w:tc>
          <w:tcPr>
            <w:tcW w:w="8720" w:type="dxa"/>
            <w:gridSpan w:val="4"/>
            <w:hideMark/>
          </w:tcPr>
          <w:p w14:paraId="775C5EFD" w14:textId="2CE60421" w:rsidR="007E7504" w:rsidRPr="00B8122D" w:rsidRDefault="007E7504" w:rsidP="00EA3A7D">
            <w:pPr>
              <w:pStyle w:val="TableDescription"/>
            </w:pPr>
            <w:r w:rsidRPr="00B8122D">
              <w:rPr>
                <w:sz w:val="20"/>
              </w:rPr>
              <w:t>Hy’s Law: ALT or AST</w:t>
            </w:r>
            <w:r w:rsidR="006A2680">
              <w:rPr>
                <w:sz w:val="20"/>
              </w:rPr>
              <w:t xml:space="preserve"> </w:t>
            </w:r>
            <w:r w:rsidRPr="00B8122D">
              <w:rPr>
                <w:sz w:val="20"/>
              </w:rPr>
              <w:t>&gt;</w:t>
            </w:r>
            <w:r w:rsidR="006A2680">
              <w:rPr>
                <w:sz w:val="20"/>
              </w:rPr>
              <w:t xml:space="preserve"> </w:t>
            </w:r>
            <w:r w:rsidRPr="00B8122D">
              <w:rPr>
                <w:sz w:val="20"/>
              </w:rPr>
              <w:t>3</w:t>
            </w:r>
            <w:r w:rsidR="006A2680">
              <w:rPr>
                <w:sz w:val="20"/>
              </w:rPr>
              <w:t xml:space="preserve"> </w:t>
            </w:r>
            <w:r w:rsidRPr="00B8122D">
              <w:rPr>
                <w:sz w:val="20"/>
              </w:rPr>
              <w:t>x</w:t>
            </w:r>
            <w:r w:rsidR="006A2680">
              <w:rPr>
                <w:sz w:val="20"/>
              </w:rPr>
              <w:t xml:space="preserve"> upper limit of normal (</w:t>
            </w:r>
            <w:r w:rsidRPr="00B8122D">
              <w:rPr>
                <w:sz w:val="20"/>
              </w:rPr>
              <w:t>ULN</w:t>
            </w:r>
            <w:r w:rsidR="006A2680">
              <w:rPr>
                <w:sz w:val="20"/>
              </w:rPr>
              <w:t>)</w:t>
            </w:r>
            <w:r w:rsidRPr="00B8122D">
              <w:rPr>
                <w:sz w:val="20"/>
              </w:rPr>
              <w:t xml:space="preserve"> and total bilirubin</w:t>
            </w:r>
            <w:r w:rsidR="006A2680">
              <w:rPr>
                <w:sz w:val="20"/>
              </w:rPr>
              <w:t xml:space="preserve"> </w:t>
            </w:r>
            <w:r w:rsidRPr="00B8122D">
              <w:rPr>
                <w:sz w:val="20"/>
              </w:rPr>
              <w:t>&gt;</w:t>
            </w:r>
            <w:r w:rsidR="006A2680">
              <w:rPr>
                <w:sz w:val="20"/>
              </w:rPr>
              <w:t xml:space="preserve"> </w:t>
            </w:r>
            <w:r w:rsidRPr="00B8122D">
              <w:rPr>
                <w:sz w:val="20"/>
              </w:rPr>
              <w:t>2</w:t>
            </w:r>
            <w:r w:rsidR="006A2680">
              <w:rPr>
                <w:sz w:val="20"/>
              </w:rPr>
              <w:t xml:space="preserve"> </w:t>
            </w:r>
            <w:r w:rsidRPr="00B8122D">
              <w:rPr>
                <w:sz w:val="20"/>
              </w:rPr>
              <w:t>x</w:t>
            </w:r>
            <w:r w:rsidR="006A2680">
              <w:rPr>
                <w:sz w:val="20"/>
              </w:rPr>
              <w:t xml:space="preserve"> </w:t>
            </w:r>
            <w:r w:rsidRPr="00B8122D">
              <w:rPr>
                <w:sz w:val="20"/>
              </w:rPr>
              <w:t>ULN and ALP</w:t>
            </w:r>
            <w:r w:rsidR="006A2680">
              <w:rPr>
                <w:sz w:val="20"/>
              </w:rPr>
              <w:t xml:space="preserve"> </w:t>
            </w:r>
            <w:r w:rsidRPr="00B8122D">
              <w:rPr>
                <w:sz w:val="20"/>
              </w:rPr>
              <w:t>&lt;</w:t>
            </w:r>
            <w:r w:rsidR="006A2680">
              <w:rPr>
                <w:sz w:val="20"/>
              </w:rPr>
              <w:t xml:space="preserve"> </w:t>
            </w:r>
            <w:r w:rsidRPr="00B8122D">
              <w:rPr>
                <w:sz w:val="20"/>
              </w:rPr>
              <w:t>2</w:t>
            </w:r>
            <w:r w:rsidR="006A2680">
              <w:rPr>
                <w:sz w:val="20"/>
              </w:rPr>
              <w:t xml:space="preserve"> </w:t>
            </w:r>
            <w:r w:rsidRPr="00B8122D">
              <w:rPr>
                <w:sz w:val="20"/>
              </w:rPr>
              <w:t>x</w:t>
            </w:r>
            <w:r w:rsidR="006A2680">
              <w:rPr>
                <w:sz w:val="20"/>
              </w:rPr>
              <w:t xml:space="preserve"> </w:t>
            </w:r>
            <w:r w:rsidRPr="00B8122D">
              <w:rPr>
                <w:sz w:val="20"/>
              </w:rPr>
              <w:t>ULN with other clinical causes excluded</w:t>
            </w:r>
            <w:r w:rsidR="006A2680">
              <w:rPr>
                <w:sz w:val="20"/>
              </w:rPr>
              <w:t>.</w:t>
            </w:r>
            <w:r w:rsidR="00E638A4">
              <w:rPr>
                <w:sz w:val="20"/>
              </w:rPr>
              <w:t xml:space="preserve"> </w:t>
            </w:r>
          </w:p>
        </w:tc>
      </w:tr>
    </w:tbl>
    <w:p w14:paraId="179F4A0B" w14:textId="59C4982A" w:rsidR="007E7504" w:rsidRPr="00B8122D" w:rsidRDefault="001C6655" w:rsidP="00CB3AEB">
      <w:r w:rsidRPr="00B8122D">
        <w:t>This</w:t>
      </w:r>
      <w:r>
        <w:t xml:space="preserve"> </w:t>
      </w:r>
      <w:r w:rsidR="0013419B">
        <w:t>clearly indicates</w:t>
      </w:r>
      <w:r>
        <w:t xml:space="preserve"> </w:t>
      </w:r>
      <w:r w:rsidR="007E7504" w:rsidRPr="00B8122D">
        <w:t>drug-induced liver dysfunction extended in some cases to significant liver injury.</w:t>
      </w:r>
      <w:r w:rsidR="0010489F" w:rsidRPr="00B8122D">
        <w:t xml:space="preserve"> </w:t>
      </w:r>
      <w:r w:rsidR="007E7504" w:rsidRPr="00B8122D">
        <w:t xml:space="preserve">Another method of </w:t>
      </w:r>
      <w:r w:rsidR="00EA3A7D" w:rsidRPr="00B8122D">
        <w:t xml:space="preserve">summary as a histogram is shown in Figure </w:t>
      </w:r>
      <w:r w:rsidR="0031523A">
        <w:t>8</w:t>
      </w:r>
      <w:r w:rsidR="00EA3A7D" w:rsidRPr="00B8122D">
        <w:t>.</w:t>
      </w:r>
    </w:p>
    <w:p w14:paraId="158C82DA" w14:textId="462245AE" w:rsidR="00EA3A7D" w:rsidRPr="00A63090" w:rsidRDefault="0075448C" w:rsidP="002C0E44">
      <w:pPr>
        <w:keepNext/>
        <w:rPr>
          <w:b/>
        </w:rPr>
      </w:pPr>
      <w:r w:rsidRPr="00A63090">
        <w:rPr>
          <w:b/>
        </w:rPr>
        <w:t>Figure 8:</w:t>
      </w:r>
      <w:r w:rsidR="00EA3A7D" w:rsidRPr="00A63090">
        <w:rPr>
          <w:b/>
        </w:rPr>
        <w:t xml:space="preserve"> Histogram of hepatobiliary toxicity events by treatment and cycle</w:t>
      </w:r>
      <w:r w:rsidR="007F3F86">
        <w:rPr>
          <w:b/>
        </w:rPr>
        <w:t xml:space="preserve"> data cut off 22 June 2016</w:t>
      </w:r>
    </w:p>
    <w:p w14:paraId="54E850FA" w14:textId="7E57094D" w:rsidR="007E7504" w:rsidRPr="00B8122D" w:rsidRDefault="007E7504" w:rsidP="00CB3AEB">
      <w:r w:rsidRPr="00B8122D">
        <w:rPr>
          <w:noProof/>
          <w:lang w:eastAsia="en-AU"/>
        </w:rPr>
        <w:drawing>
          <wp:inline distT="0" distB="0" distL="0" distR="0" wp14:anchorId="5BEFA595" wp14:editId="0B36E166">
            <wp:extent cx="5366746" cy="2504908"/>
            <wp:effectExtent l="0" t="0" r="5715" b="0"/>
            <wp:docPr id="615" name="Picture 615" descr="Figure 8: Histogram of hepatobiliary toxicity events by treatment and cyclee&#10;" title="Histogram of hepatobiliary toxicity events by treatment and cycle&#10;Histogram of hepatobiliary toxicity events by treatment and 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9399"/>
                    <a:stretch/>
                  </pic:blipFill>
                  <pic:spPr bwMode="auto">
                    <a:xfrm>
                      <a:off x="0" y="0"/>
                      <a:ext cx="5379134" cy="2510690"/>
                    </a:xfrm>
                    <a:prstGeom prst="rect">
                      <a:avLst/>
                    </a:prstGeom>
                    <a:ln>
                      <a:noFill/>
                    </a:ln>
                    <a:extLst>
                      <a:ext uri="{53640926-AAD7-44D8-BBD7-CCE9431645EC}">
                        <a14:shadowObscured xmlns:a14="http://schemas.microsoft.com/office/drawing/2010/main"/>
                      </a:ext>
                    </a:extLst>
                  </pic:spPr>
                </pic:pic>
              </a:graphicData>
            </a:graphic>
          </wp:inline>
        </w:drawing>
      </w:r>
    </w:p>
    <w:p w14:paraId="6F775D83" w14:textId="708A623B" w:rsidR="007E7504" w:rsidRPr="00B8122D" w:rsidRDefault="007E7504" w:rsidP="00CB3AEB">
      <w:r w:rsidRPr="00B8122D">
        <w:t xml:space="preserve">Of the </w:t>
      </w:r>
      <w:r w:rsidR="00AD2546" w:rsidRPr="00B8122D">
        <w:t xml:space="preserve">4 </w:t>
      </w:r>
      <w:r w:rsidRPr="00B8122D">
        <w:t>patien</w:t>
      </w:r>
      <w:r w:rsidR="00AD2546" w:rsidRPr="00B8122D">
        <w:t xml:space="preserve">ts with confirmed Hy’s </w:t>
      </w:r>
      <w:r w:rsidR="00F243E0">
        <w:t>l</w:t>
      </w:r>
      <w:r w:rsidR="00AD2546" w:rsidRPr="00B8122D">
        <w:t xml:space="preserve">aw AEs, </w:t>
      </w:r>
      <w:r w:rsidRPr="00B8122D">
        <w:t>there were no fatalities</w:t>
      </w:r>
      <w:r w:rsidR="00060CBA">
        <w:t>.</w:t>
      </w:r>
      <w:r w:rsidR="00555B56">
        <w:t xml:space="preserve"> </w:t>
      </w:r>
      <w:r w:rsidRPr="00B8122D">
        <w:t>However, some significant LFT elevations in other patients did not fully resolve.</w:t>
      </w:r>
      <w:r w:rsidR="0010489F" w:rsidRPr="00B8122D">
        <w:t xml:space="preserve"> </w:t>
      </w:r>
      <w:r w:rsidR="00060CBA" w:rsidRPr="00A214DD">
        <w:t xml:space="preserve">The </w:t>
      </w:r>
      <w:r w:rsidR="00060CBA">
        <w:t xml:space="preserve">Delegate reviewed the comments from the </w:t>
      </w:r>
      <w:r w:rsidR="00060CBA" w:rsidRPr="00A214DD">
        <w:t>sponsor’s own Advisory Board for hepatotoxicity</w:t>
      </w:r>
      <w:r w:rsidR="00060CBA">
        <w:t>.</w:t>
      </w:r>
      <w:r w:rsidR="00060CBA" w:rsidRPr="00A214DD">
        <w:t>).</w:t>
      </w:r>
    </w:p>
    <w:p w14:paraId="5075D728" w14:textId="305D09AB" w:rsidR="007E7504" w:rsidRPr="00B8122D" w:rsidRDefault="007E7504" w:rsidP="007E7504">
      <w:r w:rsidRPr="00B8122D">
        <w:t>The evaluator’s opinion ab</w:t>
      </w:r>
      <w:r w:rsidR="00AD2546" w:rsidRPr="00B8122D">
        <w:t xml:space="preserve">out this toxicity is outlined in the first round clinical evaluation, but </w:t>
      </w:r>
      <w:r w:rsidR="007F3F86">
        <w:t>was</w:t>
      </w:r>
      <w:r w:rsidR="007F3F86" w:rsidRPr="00B8122D">
        <w:t xml:space="preserve"> </w:t>
      </w:r>
      <w:r w:rsidR="00AD2546" w:rsidRPr="00B8122D">
        <w:t>updated in the second round evaluation.</w:t>
      </w:r>
    </w:p>
    <w:p w14:paraId="53CBFE62" w14:textId="77777777" w:rsidR="007E7504" w:rsidRPr="00B8122D" w:rsidRDefault="007E7504" w:rsidP="003D79AF">
      <w:pPr>
        <w:pStyle w:val="Heading6"/>
      </w:pPr>
      <w:r w:rsidRPr="00B8122D">
        <w:t>Myelosuppression</w:t>
      </w:r>
    </w:p>
    <w:p w14:paraId="53EAE22C" w14:textId="4156A4E6" w:rsidR="007E7504" w:rsidRPr="00B8122D" w:rsidRDefault="007E7504" w:rsidP="007E7504">
      <w:r w:rsidRPr="00B8122D">
        <w:t xml:space="preserve">Bone marrow suppression with accompanying </w:t>
      </w:r>
      <w:r w:rsidR="00D92203" w:rsidRPr="00B8122D">
        <w:t>neutropaenia</w:t>
      </w:r>
      <w:r w:rsidRPr="00B8122D">
        <w:t>, leukopenia, anaemia, and/or thrombocytopeni</w:t>
      </w:r>
      <w:r w:rsidR="00AD2546" w:rsidRPr="00B8122D">
        <w:t>a is associated with ribociclib.</w:t>
      </w:r>
    </w:p>
    <w:p w14:paraId="3400F235" w14:textId="2358AF40" w:rsidR="00AD2546" w:rsidRPr="00B8122D" w:rsidRDefault="00AD2546" w:rsidP="003D79AF">
      <w:pPr>
        <w:pStyle w:val="Heading7"/>
      </w:pPr>
      <w:r w:rsidRPr="00B8122D">
        <w:t>Neutropaenia</w:t>
      </w:r>
    </w:p>
    <w:p w14:paraId="74F39363" w14:textId="0AE4173B" w:rsidR="007E7504" w:rsidRPr="00B8122D" w:rsidRDefault="00D92203" w:rsidP="00CB3AEB">
      <w:r w:rsidRPr="00B8122D">
        <w:t>Neutropaenia</w:t>
      </w:r>
      <w:r w:rsidR="007E7504" w:rsidRPr="00B8122D">
        <w:t xml:space="preserve"> is a very common occurrence; it is described </w:t>
      </w:r>
      <w:r w:rsidR="00AD2546" w:rsidRPr="00B8122D">
        <w:t>in the clinical evaluation report and is</w:t>
      </w:r>
      <w:r w:rsidR="007E7504" w:rsidRPr="00B8122D">
        <w:t xml:space="preserve"> summarised </w:t>
      </w:r>
      <w:r w:rsidR="00AD2546" w:rsidRPr="00B8122D">
        <w:t xml:space="preserve">in Figure </w:t>
      </w:r>
      <w:r w:rsidR="0031523A">
        <w:t>9</w:t>
      </w:r>
      <w:r w:rsidR="00AD2546" w:rsidRPr="00B8122D">
        <w:t>.</w:t>
      </w:r>
    </w:p>
    <w:p w14:paraId="169B3083" w14:textId="2349812E" w:rsidR="00AD2546" w:rsidRPr="00A63090" w:rsidRDefault="00AD2546" w:rsidP="00C2685F">
      <w:pPr>
        <w:keepNext/>
        <w:rPr>
          <w:b/>
        </w:rPr>
      </w:pPr>
      <w:r w:rsidRPr="00A63090">
        <w:rPr>
          <w:b/>
        </w:rPr>
        <w:lastRenderedPageBreak/>
        <w:t xml:space="preserve">Figure </w:t>
      </w:r>
      <w:r w:rsidR="0075448C" w:rsidRPr="00A63090">
        <w:rPr>
          <w:b/>
        </w:rPr>
        <w:t>9:</w:t>
      </w:r>
      <w:r w:rsidRPr="00A63090">
        <w:rPr>
          <w:b/>
        </w:rPr>
        <w:t xml:space="preserve"> Histogram of neutropaenia events by treatment and cycle</w:t>
      </w:r>
      <w:r w:rsidR="007F3F86">
        <w:rPr>
          <w:b/>
        </w:rPr>
        <w:t>, data cut off 22 June 2016</w:t>
      </w:r>
    </w:p>
    <w:p w14:paraId="3F6A4243" w14:textId="77A096F9" w:rsidR="007E7504" w:rsidRPr="00B8122D" w:rsidRDefault="007E7504" w:rsidP="00CB3AEB">
      <w:r w:rsidRPr="00B8122D">
        <w:rPr>
          <w:noProof/>
          <w:lang w:eastAsia="en-AU"/>
        </w:rPr>
        <w:drawing>
          <wp:inline distT="0" distB="0" distL="0" distR="0" wp14:anchorId="69024659" wp14:editId="4B0DD998">
            <wp:extent cx="5035087" cy="2368784"/>
            <wp:effectExtent l="0" t="0" r="0" b="0"/>
            <wp:docPr id="616" name="Picture 616" descr="Figure 9: Histogram  of neutropaenia events by treatment and cycle" title="Histogram of neutropaenia events by treatment and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8547"/>
                    <a:stretch/>
                  </pic:blipFill>
                  <pic:spPr bwMode="auto">
                    <a:xfrm>
                      <a:off x="0" y="0"/>
                      <a:ext cx="5042523" cy="2372282"/>
                    </a:xfrm>
                    <a:prstGeom prst="rect">
                      <a:avLst/>
                    </a:prstGeom>
                    <a:ln>
                      <a:noFill/>
                    </a:ln>
                    <a:extLst>
                      <a:ext uri="{53640926-AAD7-44D8-BBD7-CCE9431645EC}">
                        <a14:shadowObscured xmlns:a14="http://schemas.microsoft.com/office/drawing/2010/main"/>
                      </a:ext>
                    </a:extLst>
                  </pic:spPr>
                </pic:pic>
              </a:graphicData>
            </a:graphic>
          </wp:inline>
        </w:drawing>
      </w:r>
    </w:p>
    <w:p w14:paraId="6A7CE392" w14:textId="7FA802AB" w:rsidR="007E7504" w:rsidRPr="0031523A" w:rsidRDefault="007E7504" w:rsidP="007E7504">
      <w:r w:rsidRPr="00A214DD">
        <w:t xml:space="preserve">In </w:t>
      </w:r>
      <w:r w:rsidR="00AD2546" w:rsidRPr="00A214DD">
        <w:t xml:space="preserve">Study </w:t>
      </w:r>
      <w:r w:rsidRPr="00A214DD">
        <w:t xml:space="preserve">A2301, 7.5% of patients </w:t>
      </w:r>
      <w:r w:rsidR="000B20AF">
        <w:t>required</w:t>
      </w:r>
      <w:r w:rsidR="001A17A7">
        <w:t xml:space="preserve"> </w:t>
      </w:r>
      <w:r w:rsidR="00F71FBE" w:rsidRPr="00A214DD">
        <w:t xml:space="preserve">granulocyte colony stimulating factor </w:t>
      </w:r>
      <w:r w:rsidRPr="00A214DD">
        <w:t>G-CSF in the ribociclib + letrozole arm (v</w:t>
      </w:r>
      <w:r w:rsidR="00AD2546" w:rsidRPr="00A214DD">
        <w:t>ersu</w:t>
      </w:r>
      <w:r w:rsidRPr="00A214DD">
        <w:t>s 0.3%</w:t>
      </w:r>
      <w:r w:rsidR="00AD2546" w:rsidRPr="00A214DD">
        <w:t xml:space="preserve"> in the placebo + letrozole arm</w:t>
      </w:r>
      <w:r w:rsidRPr="00A214DD">
        <w:t>).</w:t>
      </w:r>
      <w:r w:rsidR="0010489F" w:rsidRPr="0031523A">
        <w:t xml:space="preserve"> </w:t>
      </w:r>
      <w:r w:rsidRPr="0031523A">
        <w:t>However, there were only</w:t>
      </w:r>
      <w:r w:rsidR="00AD2546" w:rsidRPr="0031523A">
        <w:t xml:space="preserve"> 4</w:t>
      </w:r>
      <w:r w:rsidRPr="0031523A">
        <w:t xml:space="preserve"> events of febrile </w:t>
      </w:r>
      <w:r w:rsidR="00D92203" w:rsidRPr="0031523A">
        <w:t>neutropaenia</w:t>
      </w:r>
      <w:r w:rsidRPr="0031523A">
        <w:t>.</w:t>
      </w:r>
    </w:p>
    <w:p w14:paraId="624EBFC7" w14:textId="277D88A6" w:rsidR="00293DB0" w:rsidRPr="0031523A" w:rsidRDefault="00293DB0" w:rsidP="003D79AF">
      <w:pPr>
        <w:pStyle w:val="Heading7"/>
      </w:pPr>
      <w:r w:rsidRPr="0031523A">
        <w:t>Infectious events</w:t>
      </w:r>
    </w:p>
    <w:p w14:paraId="54335312" w14:textId="2A11F021" w:rsidR="007E7504" w:rsidRPr="00B8122D" w:rsidRDefault="007E7504" w:rsidP="007E7504">
      <w:pPr>
        <w:rPr>
          <w:i/>
        </w:rPr>
      </w:pPr>
      <w:r w:rsidRPr="0031523A">
        <w:t>Infections are discussed</w:t>
      </w:r>
      <w:r w:rsidR="00AD2546" w:rsidRPr="0031523A">
        <w:t xml:space="preserve"> in the clinical evaluation report</w:t>
      </w:r>
      <w:r w:rsidR="00293DB0" w:rsidRPr="0031523A">
        <w:t xml:space="preserve"> </w:t>
      </w:r>
      <w:r w:rsidR="000B20AF">
        <w:t>and summarised in Figure 10</w:t>
      </w:r>
      <w:r w:rsidR="002C0E44">
        <w:t>.</w:t>
      </w:r>
      <w:r w:rsidR="000B20AF">
        <w:t xml:space="preserve"> </w:t>
      </w:r>
      <w:r w:rsidRPr="0031523A">
        <w:t>There was a modest increase in reports of severe infection or infection requiring</w:t>
      </w:r>
      <w:r w:rsidRPr="00B8122D">
        <w:t xml:space="preserve"> hospitalisation.</w:t>
      </w:r>
      <w:r w:rsidR="0010489F" w:rsidRPr="00B8122D">
        <w:t xml:space="preserve"> </w:t>
      </w:r>
      <w:r w:rsidRPr="00B8122D">
        <w:t xml:space="preserve">One concern is that </w:t>
      </w:r>
      <w:r w:rsidR="00097540" w:rsidRPr="00B8122D">
        <w:rPr>
          <w:i/>
        </w:rPr>
        <w:t>‘</w:t>
      </w:r>
      <w:r w:rsidRPr="00B8122D">
        <w:rPr>
          <w:i/>
        </w:rPr>
        <w:t>17.8% of patients in the ribociclib plus letrozole arm received antibiotics as concomitant medications with k</w:t>
      </w:r>
      <w:r w:rsidR="00AD2546" w:rsidRPr="00B8122D">
        <w:rPr>
          <w:i/>
        </w:rPr>
        <w:t xml:space="preserve">nown risks of QT prolongation (for example, </w:t>
      </w:r>
      <w:r w:rsidRPr="00B8122D">
        <w:rPr>
          <w:i/>
        </w:rPr>
        <w:t>azithromycin, clarithromycin, and moxifloxacin)</w:t>
      </w:r>
      <w:r w:rsidR="00097540" w:rsidRPr="00B8122D">
        <w:rPr>
          <w:i/>
        </w:rPr>
        <w:t>’</w:t>
      </w:r>
      <w:r w:rsidRPr="00B8122D">
        <w:rPr>
          <w:i/>
        </w:rPr>
        <w:t>.</w:t>
      </w:r>
    </w:p>
    <w:p w14:paraId="1C468381" w14:textId="55287276" w:rsidR="00293DB0" w:rsidRPr="00B8122D" w:rsidRDefault="00293DB0" w:rsidP="00293DB0">
      <w:pPr>
        <w:pStyle w:val="FigureTitle"/>
      </w:pPr>
      <w:r w:rsidRPr="00B8122D">
        <w:t xml:space="preserve">Figure </w:t>
      </w:r>
      <w:r w:rsidR="0031523A">
        <w:t>10</w:t>
      </w:r>
      <w:r w:rsidR="0075448C">
        <w:t>:</w:t>
      </w:r>
      <w:r w:rsidRPr="00B8122D">
        <w:t xml:space="preserve"> Histogram of infectious events by treatment and cycle</w:t>
      </w:r>
      <w:r w:rsidR="007F3F86">
        <w:t>, data cut off 22 June 2016</w:t>
      </w:r>
    </w:p>
    <w:p w14:paraId="5006BD1E" w14:textId="00808644" w:rsidR="007E7504" w:rsidRPr="00B8122D" w:rsidRDefault="007E7504" w:rsidP="007E7504">
      <w:r w:rsidRPr="00B8122D">
        <w:rPr>
          <w:noProof/>
          <w:lang w:eastAsia="en-AU"/>
        </w:rPr>
        <w:drawing>
          <wp:inline distT="0" distB="0" distL="0" distR="0" wp14:anchorId="326A016E" wp14:editId="47BCA718">
            <wp:extent cx="4941570" cy="2304753"/>
            <wp:effectExtent l="0" t="0" r="0" b="635"/>
            <wp:docPr id="618" name="Picture 618" descr="Figure 10: Histogram of infectious events by treatment and cycle" title="Histogram of infectious events by treatment and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0470"/>
                    <a:stretch/>
                  </pic:blipFill>
                  <pic:spPr bwMode="auto">
                    <a:xfrm>
                      <a:off x="0" y="0"/>
                      <a:ext cx="4959769" cy="2313241"/>
                    </a:xfrm>
                    <a:prstGeom prst="rect">
                      <a:avLst/>
                    </a:prstGeom>
                    <a:ln>
                      <a:noFill/>
                    </a:ln>
                    <a:extLst>
                      <a:ext uri="{53640926-AAD7-44D8-BBD7-CCE9431645EC}">
                        <a14:shadowObscured xmlns:a14="http://schemas.microsoft.com/office/drawing/2010/main"/>
                      </a:ext>
                    </a:extLst>
                  </pic:spPr>
                </pic:pic>
              </a:graphicData>
            </a:graphic>
          </wp:inline>
        </w:drawing>
      </w:r>
    </w:p>
    <w:p w14:paraId="15F00E4B" w14:textId="35611063" w:rsidR="00293DB0" w:rsidRPr="00B8122D" w:rsidRDefault="00293DB0" w:rsidP="003D79AF">
      <w:pPr>
        <w:pStyle w:val="Heading7"/>
      </w:pPr>
      <w:r w:rsidRPr="00B8122D">
        <w:t>Anaemia</w:t>
      </w:r>
    </w:p>
    <w:p w14:paraId="2D921119" w14:textId="21E3B3F6" w:rsidR="007E7504" w:rsidRPr="00B8122D" w:rsidRDefault="007E7504" w:rsidP="007E7504">
      <w:r w:rsidRPr="00B8122D">
        <w:t xml:space="preserve">In </w:t>
      </w:r>
      <w:r w:rsidR="00293DB0" w:rsidRPr="00B8122D">
        <w:t>Study A2301, 3.6% versus</w:t>
      </w:r>
      <w:r w:rsidRPr="00B8122D">
        <w:t xml:space="preserve"> 1.5% respectively required </w:t>
      </w:r>
      <w:r w:rsidR="00F71FBE">
        <w:t xml:space="preserve">packed red blood cell </w:t>
      </w:r>
      <w:r w:rsidRPr="00B8122D">
        <w:t>transfusion for anaemia.</w:t>
      </w:r>
    </w:p>
    <w:p w14:paraId="67BE8832" w14:textId="137BC507" w:rsidR="00293DB0" w:rsidRPr="00B8122D" w:rsidRDefault="00293DB0" w:rsidP="003D79AF">
      <w:pPr>
        <w:pStyle w:val="Heading7"/>
      </w:pPr>
      <w:r w:rsidRPr="00B8122D">
        <w:t>Thrombocytopaenia</w:t>
      </w:r>
    </w:p>
    <w:p w14:paraId="34263EDB" w14:textId="7E4C6CB8" w:rsidR="007E7504" w:rsidRPr="00B8122D" w:rsidRDefault="007E7504" w:rsidP="007E7504">
      <w:r w:rsidRPr="00B8122D">
        <w:t>Thrombocytopenia was an AE in 9% (ribociclib + letrozole) v</w:t>
      </w:r>
      <w:r w:rsidR="00293DB0" w:rsidRPr="00B8122D">
        <w:t>ersu</w:t>
      </w:r>
      <w:r w:rsidRPr="00B8122D">
        <w:t>s 0.6% (placebo + letrozole) in A2301 (the laboratory abnormality of platelet count decreased was seen in 29% v</w:t>
      </w:r>
      <w:r w:rsidR="00293DB0" w:rsidRPr="00B8122D">
        <w:t>ersu</w:t>
      </w:r>
      <w:r w:rsidRPr="00B8122D">
        <w:t>s 6.4%).</w:t>
      </w:r>
      <w:r w:rsidR="0010489F" w:rsidRPr="00B8122D">
        <w:t xml:space="preserve"> </w:t>
      </w:r>
      <w:r w:rsidRPr="00B8122D">
        <w:t>While there was no particular evidence of an increase in significant bleeding, there was a</w:t>
      </w:r>
      <w:r w:rsidR="00293DB0" w:rsidRPr="00B8122D">
        <w:t>n increase in epistaxis (4.5% versus</w:t>
      </w:r>
      <w:r w:rsidRPr="00B8122D">
        <w:t xml:space="preserve"> 1.8%).</w:t>
      </w:r>
    </w:p>
    <w:p w14:paraId="3A4625DC" w14:textId="77777777" w:rsidR="007E7504" w:rsidRPr="00B8122D" w:rsidRDefault="007E7504" w:rsidP="003D79AF">
      <w:pPr>
        <w:pStyle w:val="Heading6"/>
      </w:pPr>
      <w:r w:rsidRPr="00B8122D">
        <w:lastRenderedPageBreak/>
        <w:t>Renal impairment</w:t>
      </w:r>
    </w:p>
    <w:p w14:paraId="30273BA5" w14:textId="2BE2F86B" w:rsidR="007E7504" w:rsidRPr="00B8122D" w:rsidRDefault="001C6655" w:rsidP="007E7504">
      <w:r>
        <w:t>The k</w:t>
      </w:r>
      <w:r w:rsidR="007E7504" w:rsidRPr="00B8122D">
        <w:t>idneys were identified as a target organ of toxicity in multiple dose animal studies.</w:t>
      </w:r>
      <w:r w:rsidR="0010489F" w:rsidRPr="00B8122D">
        <w:t xml:space="preserve"> </w:t>
      </w:r>
      <w:r w:rsidR="007E7504" w:rsidRPr="00B8122D">
        <w:t>Analysis of clinical chemistry changes found that in Study A2301, increased creatinine was found in 18.9% of the ribociclib + letrozole group compared to 5.5% of the placebo + letrozole group.</w:t>
      </w:r>
      <w:r w:rsidR="0010489F" w:rsidRPr="00B8122D">
        <w:t xml:space="preserve"> </w:t>
      </w:r>
      <w:r w:rsidR="007E7504" w:rsidRPr="00B8122D">
        <w:t xml:space="preserve">Of potential relevance from </w:t>
      </w:r>
      <w:r w:rsidR="00293DB0" w:rsidRPr="00B8122D">
        <w:t>the clinical evaluation report</w:t>
      </w:r>
      <w:r w:rsidR="007E7504" w:rsidRPr="00B8122D">
        <w:t>:</w:t>
      </w:r>
    </w:p>
    <w:p w14:paraId="6C27F0CC" w14:textId="1FE99830" w:rsidR="007E7504" w:rsidRPr="00B8122D" w:rsidRDefault="00F71FBE" w:rsidP="007E7504">
      <w:r>
        <w:t>The clinical study report</w:t>
      </w:r>
      <w:r w:rsidR="007E7504" w:rsidRPr="00B8122D">
        <w:t xml:space="preserve"> for Study A2109 </w:t>
      </w:r>
      <w:r w:rsidR="007E7504" w:rsidRPr="00A214DD">
        <w:t>speculates</w:t>
      </w:r>
      <w:r w:rsidR="007E7504" w:rsidRPr="00B8122D">
        <w:t xml:space="preserve"> that the increase in creatinine may be due to an effect on renal transporters rather than renal toxicity given that </w:t>
      </w:r>
      <w:r w:rsidR="007E7504" w:rsidRPr="00555B56">
        <w:rPr>
          <w:i/>
        </w:rPr>
        <w:t>in vitro</w:t>
      </w:r>
      <w:r w:rsidR="007E7504" w:rsidRPr="00B8122D">
        <w:t xml:space="preserve"> studies have found that ribociclib inhibited renal transporters OCT2 and MATE1 which are involved in the active secretion of creatinine from the proximal tubules and given that cystatin C, which is freely filtered, was not affected.</w:t>
      </w:r>
    </w:p>
    <w:p w14:paraId="64811E4B" w14:textId="09AAA7DF" w:rsidR="007E7504" w:rsidRPr="00B8122D" w:rsidRDefault="007E7504" w:rsidP="007E7504">
      <w:r w:rsidRPr="00B8122D">
        <w:t xml:space="preserve">On the other hand, in </w:t>
      </w:r>
      <w:r w:rsidR="00293DB0" w:rsidRPr="00B8122D">
        <w:t xml:space="preserve">Study </w:t>
      </w:r>
      <w:r w:rsidRPr="00B8122D">
        <w:t>A2301, four patients in the rib</w:t>
      </w:r>
      <w:r w:rsidR="00293DB0" w:rsidRPr="00B8122D">
        <w:t>ociclib + letrozole group and 1 </w:t>
      </w:r>
      <w:r w:rsidRPr="00B8122D">
        <w:t>patient</w:t>
      </w:r>
      <w:r w:rsidR="00293DB0" w:rsidRPr="00B8122D">
        <w:t xml:space="preserve"> in the placebo + letrozole grou</w:t>
      </w:r>
      <w:r w:rsidRPr="00B8122D">
        <w:t>p experienced renal failure.</w:t>
      </w:r>
    </w:p>
    <w:p w14:paraId="48741895" w14:textId="77777777" w:rsidR="007E7504" w:rsidRPr="00B8122D" w:rsidRDefault="007E7504" w:rsidP="003D79AF">
      <w:pPr>
        <w:pStyle w:val="Heading6"/>
      </w:pPr>
      <w:r w:rsidRPr="00B8122D">
        <w:t>Thromboembolism</w:t>
      </w:r>
    </w:p>
    <w:p w14:paraId="331B4F06" w14:textId="4541BE0D" w:rsidR="007E7504" w:rsidRPr="00B8122D" w:rsidRDefault="007E7504" w:rsidP="007E7504">
      <w:r w:rsidRPr="00B8122D">
        <w:t>Thromboembolic events occurred in 9 patients (2.7%) in the ribociclib + letrozole arm, v</w:t>
      </w:r>
      <w:r w:rsidR="00293DB0" w:rsidRPr="00B8122D">
        <w:t>ersu</w:t>
      </w:r>
      <w:r w:rsidRPr="00B8122D">
        <w:t>s 3 patients (0.9%) in the placebo + letrozole group. Of these, 4 patients (1.2%) experienced pulmonary embolism in the ribociclib + letrozole group v</w:t>
      </w:r>
      <w:r w:rsidR="00293DB0" w:rsidRPr="00B8122D">
        <w:t>ersu</w:t>
      </w:r>
      <w:r w:rsidRPr="00B8122D">
        <w:t>s 1 patient (0.3%) i</w:t>
      </w:r>
      <w:r w:rsidR="00555B56">
        <w:t>n the placebo + letrozole group</w:t>
      </w:r>
      <w:r w:rsidRPr="00B8122D">
        <w:t>.</w:t>
      </w:r>
    </w:p>
    <w:p w14:paraId="39B35772" w14:textId="77777777" w:rsidR="007E7504" w:rsidRPr="00B8122D" w:rsidRDefault="007E7504" w:rsidP="003D79AF">
      <w:pPr>
        <w:pStyle w:val="Heading6"/>
      </w:pPr>
      <w:r w:rsidRPr="00B8122D">
        <w:t>Pulmonary toxicity</w:t>
      </w:r>
    </w:p>
    <w:p w14:paraId="0427550A" w14:textId="191DA9C7" w:rsidR="007E7504" w:rsidRPr="00B8122D" w:rsidRDefault="007E7504" w:rsidP="007E7504">
      <w:r w:rsidRPr="00B8122D">
        <w:t xml:space="preserve">The evaluator notes </w:t>
      </w:r>
      <w:r w:rsidR="00293DB0" w:rsidRPr="00B8122D">
        <w:t>2</w:t>
      </w:r>
      <w:r w:rsidRPr="00B8122D">
        <w:t xml:space="preserve"> fatal cases of pulmonary toxicity that may have been ribociclib-related, but concludes there is insufficient information to categorise this toxicity as an </w:t>
      </w:r>
      <w:r w:rsidR="00097540" w:rsidRPr="00B8122D">
        <w:t>‘</w:t>
      </w:r>
      <w:r w:rsidR="00F71FBE">
        <w:t>I</w:t>
      </w:r>
      <w:r w:rsidRPr="00B8122D">
        <w:t>mportant potential risk</w:t>
      </w:r>
      <w:r w:rsidR="00097540" w:rsidRPr="00B8122D">
        <w:t>’</w:t>
      </w:r>
      <w:r w:rsidRPr="00B8122D">
        <w:t xml:space="preserve"> in the ASA to the RMP.</w:t>
      </w:r>
    </w:p>
    <w:p w14:paraId="73F61814" w14:textId="467E5FDC" w:rsidR="007E7504" w:rsidRPr="00B8122D" w:rsidRDefault="00293DB0" w:rsidP="0076266C">
      <w:pPr>
        <w:pStyle w:val="Heading3"/>
      </w:pPr>
      <w:bookmarkStart w:id="142" w:name="_Toc44685922"/>
      <w:r w:rsidRPr="00B8122D">
        <w:t xml:space="preserve">Risk Management Plan </w:t>
      </w:r>
      <w:r w:rsidR="007E7504" w:rsidRPr="00B8122D">
        <w:t>evaluation</w:t>
      </w:r>
      <w:bookmarkEnd w:id="142"/>
    </w:p>
    <w:p w14:paraId="4306A0FD" w14:textId="77777777" w:rsidR="007E7504" w:rsidRPr="00B8122D" w:rsidRDefault="007E7504" w:rsidP="007E7504">
      <w:r w:rsidRPr="00B8122D">
        <w:t>There was no objection to registration.</w:t>
      </w:r>
    </w:p>
    <w:p w14:paraId="705AEF23" w14:textId="77777777" w:rsidR="007E7504" w:rsidRPr="00B8122D" w:rsidRDefault="007E7504" w:rsidP="007E7504">
      <w:r w:rsidRPr="00B8122D">
        <w:t>It was noted that Australian packaging contains a dosing tracker, to help address the risk that patients inadvertently take ribociclib without a 7 day break per cycle.</w:t>
      </w:r>
    </w:p>
    <w:p w14:paraId="6B94FAC3" w14:textId="42F53A99" w:rsidR="007E7504" w:rsidRPr="00B8122D" w:rsidRDefault="007E7504" w:rsidP="007E7504">
      <w:r w:rsidRPr="00B8122D">
        <w:t>Regarding safety specifications, the clinical evaluator recommended that the ASA to the RMP introduce ‘pulmonary toxicity’ as missing information.</w:t>
      </w:r>
      <w:r w:rsidR="0010489F" w:rsidRPr="00B8122D">
        <w:t xml:space="preserve"> </w:t>
      </w:r>
      <w:r w:rsidRPr="00B8122D">
        <w:t xml:space="preserve">It is considered that </w:t>
      </w:r>
      <w:r w:rsidR="005B3946" w:rsidRPr="00B8122D">
        <w:t>Study </w:t>
      </w:r>
      <w:r w:rsidRPr="00B8122D">
        <w:t>A2301 and other presented studies were in total of sufficient size to detect a major signal for pulmonary AEs if one existed.</w:t>
      </w:r>
      <w:r w:rsidR="0010489F" w:rsidRPr="00B8122D">
        <w:t xml:space="preserve"> </w:t>
      </w:r>
      <w:r w:rsidRPr="00B8122D">
        <w:t xml:space="preserve">There was no </w:t>
      </w:r>
      <w:r w:rsidR="000B20AF">
        <w:t xml:space="preserve">striking </w:t>
      </w:r>
      <w:r w:rsidRPr="00B8122D">
        <w:t xml:space="preserve">evidence in the controlled </w:t>
      </w:r>
      <w:r w:rsidR="00F71FBE">
        <w:t>S</w:t>
      </w:r>
      <w:r w:rsidRPr="00B8122D">
        <w:t>tudy A2301 of such a signal.</w:t>
      </w:r>
      <w:r w:rsidR="0010489F" w:rsidRPr="00B8122D">
        <w:t xml:space="preserve"> </w:t>
      </w:r>
      <w:r w:rsidRPr="00B8122D">
        <w:t>Overall, there has been a reasonable opportunity to examine whether ribociclib causes pulmonary toxicity.</w:t>
      </w:r>
      <w:r w:rsidR="0010489F" w:rsidRPr="00B8122D">
        <w:t xml:space="preserve"> </w:t>
      </w:r>
      <w:r w:rsidRPr="00B8122D">
        <w:t xml:space="preserve">Therefore, it is not necessary to include ‘pulmonary toxicity’ as missing information, although the sponsor should present updated analyses of this issue in upcoming </w:t>
      </w:r>
      <w:r w:rsidR="006D190E">
        <w:t>periodic safety update reports (</w:t>
      </w:r>
      <w:r w:rsidRPr="00B8122D">
        <w:t>PSURs</w:t>
      </w:r>
      <w:r w:rsidR="006D190E">
        <w:t>)</w:t>
      </w:r>
      <w:r w:rsidRPr="00B8122D">
        <w:t>.</w:t>
      </w:r>
    </w:p>
    <w:p w14:paraId="574A79BA" w14:textId="5F2CC543" w:rsidR="005B3946" w:rsidRPr="00B8122D" w:rsidRDefault="005B3946" w:rsidP="0076266C">
      <w:pPr>
        <w:pStyle w:val="Heading4"/>
      </w:pPr>
      <w:r w:rsidRPr="00B8122D">
        <w:t>Proposed conditions of registration</w:t>
      </w:r>
    </w:p>
    <w:p w14:paraId="1ED891D5" w14:textId="425A4784" w:rsidR="007E7504" w:rsidRPr="005E0106" w:rsidRDefault="007E7504" w:rsidP="005E0106">
      <w:r w:rsidRPr="00B8122D">
        <w:t>The following condition of registration is proposed:</w:t>
      </w:r>
      <w:r w:rsidR="005E0106">
        <w:t xml:space="preserve"> </w:t>
      </w:r>
      <w:r w:rsidRPr="005E0106">
        <w:t>Implement EU-RMP version 1.1 (Dated 13 February 2017, DLP 29 January 2016) with ASA version 2.0 (Dated 28 April 2017) or as revised to the satisfaction of the TGA.</w:t>
      </w:r>
    </w:p>
    <w:p w14:paraId="1CFD7B45" w14:textId="77777777" w:rsidR="008E7846" w:rsidRPr="00B8122D" w:rsidRDefault="00AA0ED0" w:rsidP="008E7846">
      <w:pPr>
        <w:pStyle w:val="Heading3"/>
      </w:pPr>
      <w:bookmarkStart w:id="143" w:name="_Toc247691531"/>
      <w:bookmarkStart w:id="144" w:name="_Toc314842515"/>
      <w:bookmarkStart w:id="145" w:name="_Toc44685923"/>
      <w:bookmarkStart w:id="146" w:name="_Toc196046505"/>
      <w:bookmarkStart w:id="147" w:name="_Toc196046949"/>
      <w:bookmarkEnd w:id="135"/>
      <w:r w:rsidRPr="00B8122D">
        <w:lastRenderedPageBreak/>
        <w:t>Risk-benefit a</w:t>
      </w:r>
      <w:r w:rsidR="008E7846" w:rsidRPr="00B8122D">
        <w:t>nalysis</w:t>
      </w:r>
      <w:bookmarkEnd w:id="143"/>
      <w:bookmarkEnd w:id="144"/>
      <w:bookmarkEnd w:id="145"/>
    </w:p>
    <w:p w14:paraId="76038E19" w14:textId="016F3B10" w:rsidR="00255AB0" w:rsidRPr="00B8122D" w:rsidRDefault="00255AB0" w:rsidP="00255AB0">
      <w:pPr>
        <w:pStyle w:val="Heading4"/>
      </w:pPr>
      <w:r w:rsidRPr="00B8122D">
        <w:t>Issues</w:t>
      </w:r>
    </w:p>
    <w:p w14:paraId="7F133ACA" w14:textId="77777777" w:rsidR="00255AB0" w:rsidRPr="00B8122D" w:rsidRDefault="00255AB0" w:rsidP="00255AB0">
      <w:pPr>
        <w:pStyle w:val="Heading5"/>
      </w:pPr>
      <w:r w:rsidRPr="00B8122D">
        <w:t>Efficacy</w:t>
      </w:r>
    </w:p>
    <w:p w14:paraId="1FC34D8C" w14:textId="5FA656D0" w:rsidR="00255AB0" w:rsidRPr="00B8122D" w:rsidRDefault="000B20AF" w:rsidP="00255AB0">
      <w:r>
        <w:t>A</w:t>
      </w:r>
      <w:r w:rsidR="00255AB0" w:rsidRPr="00B8122D">
        <w:t>dding</w:t>
      </w:r>
      <w:r w:rsidR="005E0106">
        <w:t xml:space="preserve"> ribociclib to letrozole in HR+/</w:t>
      </w:r>
      <w:r w:rsidR="00255AB0" w:rsidRPr="00B8122D">
        <w:t>HER2- postmenopausal women with no prior treatment for advanced breast cancer result</w:t>
      </w:r>
      <w:r w:rsidR="005A5A60">
        <w:t>s</w:t>
      </w:r>
      <w:r w:rsidR="00255AB0" w:rsidRPr="00B8122D">
        <w:t xml:space="preserve"> in substantial lengthening of PFS; immature </w:t>
      </w:r>
      <w:r w:rsidR="005E0106">
        <w:t>OS</w:t>
      </w:r>
      <w:r w:rsidR="00255AB0" w:rsidRPr="00B8122D">
        <w:t xml:space="preserve"> data </w:t>
      </w:r>
      <w:r w:rsidR="005A5A60">
        <w:t>suggest no</w:t>
      </w:r>
      <w:r w:rsidR="00255AB0" w:rsidRPr="00B8122D">
        <w:t xml:space="preserve"> OS detriment. </w:t>
      </w:r>
      <w:r w:rsidR="000F5ADB">
        <w:t>T</w:t>
      </w:r>
      <w:r w:rsidR="00255AB0" w:rsidRPr="00B8122D">
        <w:t xml:space="preserve">here </w:t>
      </w:r>
      <w:r w:rsidR="005A5A60">
        <w:t xml:space="preserve">is </w:t>
      </w:r>
      <w:r w:rsidR="00255AB0" w:rsidRPr="00B8122D">
        <w:t>no improvement in quality of life</w:t>
      </w:r>
      <w:r w:rsidR="001A17A7">
        <w:t xml:space="preserve"> at the time of the interim anal</w:t>
      </w:r>
      <w:r w:rsidR="005A5A60">
        <w:t>ysis</w:t>
      </w:r>
      <w:r w:rsidR="00255AB0" w:rsidRPr="00B8122D">
        <w:t>, but other than via inference from the AE profile, there is no sign of a decline.</w:t>
      </w:r>
    </w:p>
    <w:p w14:paraId="2282B892" w14:textId="21DBB51F" w:rsidR="00255AB0" w:rsidRPr="00B8122D" w:rsidRDefault="00255AB0" w:rsidP="00255AB0">
      <w:r w:rsidRPr="00B8122D">
        <w:t xml:space="preserve">There is limited evidence that addition of ribociclib to anastrozole would not result in problematic </w:t>
      </w:r>
      <w:r w:rsidR="005E0106">
        <w:t>pharmacokinetic</w:t>
      </w:r>
      <w:r w:rsidRPr="00B8122D">
        <w:t xml:space="preserve"> interactions. </w:t>
      </w:r>
      <w:r w:rsidR="005A5A60">
        <w:t>Drug-drug interactions with exemestane have not been excluded with any degree of rigor.</w:t>
      </w:r>
      <w:r w:rsidRPr="0009450E">
        <w:t xml:space="preserve"> </w:t>
      </w:r>
      <w:r w:rsidRPr="00B8122D">
        <w:t>The Delegate’s view is that it is reasonable to expect similar efficacy and safety outcomes in th</w:t>
      </w:r>
      <w:r w:rsidR="005A5A60">
        <w:t>ese</w:t>
      </w:r>
      <w:r w:rsidRPr="00B8122D">
        <w:t xml:space="preserve"> setting too.</w:t>
      </w:r>
    </w:p>
    <w:p w14:paraId="0BEF822C" w14:textId="146C735C" w:rsidR="00255AB0" w:rsidRPr="00B8122D" w:rsidRDefault="00255AB0" w:rsidP="00255AB0">
      <w:r w:rsidRPr="00B8122D">
        <w:t>Correspondence regarding ribociclib, from de Gramont et al., in the New England Journal of Medicine (NEJM) 19 January 2017; is of note:</w:t>
      </w:r>
    </w:p>
    <w:p w14:paraId="7E61903F" w14:textId="239B88E2" w:rsidR="00255AB0" w:rsidRPr="005D4724" w:rsidRDefault="00255AB0" w:rsidP="00255AB0">
      <w:pPr>
        <w:ind w:left="720"/>
      </w:pPr>
      <w:r w:rsidRPr="005D4724">
        <w:t>‘Hortobagyi et al. report positive outcomes associated with ribociclib combined with letrozole in first-line therapy for HR-positive advanced breast cancer. Improving the duration of progression-free survival by more than 1 year is an important achievement. However, HR-positive breast cancers are heterogeneous, and patients were not stratified according to molecular subtype. Patients with luminal B tumours have a worse prognosis than those with luminal A tumours</w:t>
      </w:r>
      <w:r w:rsidR="005E0106" w:rsidRPr="005D4724">
        <w:rPr>
          <w:rStyle w:val="FootnoteReference"/>
        </w:rPr>
        <w:t xml:space="preserve"> </w:t>
      </w:r>
      <w:r w:rsidR="005E0106" w:rsidRPr="005D4724">
        <w:rPr>
          <w:rStyle w:val="FootnoteReference"/>
        </w:rPr>
        <w:footnoteReference w:id="55"/>
      </w:r>
    </w:p>
    <w:p w14:paraId="7FE7BEEA" w14:textId="77777777" w:rsidR="00255AB0" w:rsidRPr="005D4724" w:rsidRDefault="00255AB0" w:rsidP="00255AB0">
      <w:pPr>
        <w:ind w:left="720"/>
      </w:pPr>
      <w:r w:rsidRPr="005D4724">
        <w:t>In a recent study involving patients with HR-positive metastatic breast cancer who were treated with letrozole with or without lapatinib, the intrinsic luminal subtype was the strongest prognostic factor to be independently associated with progression free and overall survival. Median progression-free survival among patients with luminal A tumours was 16.9 months, as compared with 11.0 months among patients with luminal B tumours. Furthermore, numerous studies, mostly retrospective, have suggested variations in estrogen-receptor and progesterone-receptor expression between the primary tumour and the metastases, especially among patients with luminal B tumours’.</w:t>
      </w:r>
    </w:p>
    <w:p w14:paraId="789404ED" w14:textId="77777777" w:rsidR="00255AB0" w:rsidRPr="00B8122D" w:rsidRDefault="00255AB0" w:rsidP="00255AB0">
      <w:pPr>
        <w:pStyle w:val="Heading5"/>
      </w:pPr>
      <w:r w:rsidRPr="00B8122D">
        <w:t>Safety</w:t>
      </w:r>
    </w:p>
    <w:p w14:paraId="618DE3EB" w14:textId="77777777" w:rsidR="00255AB0" w:rsidRPr="00B8122D" w:rsidRDefault="00255AB0" w:rsidP="00255AB0">
      <w:pPr>
        <w:pStyle w:val="Heading6"/>
      </w:pPr>
      <w:r w:rsidRPr="00B8122D">
        <w:t>QT prolongation</w:t>
      </w:r>
    </w:p>
    <w:p w14:paraId="7DAA2C53" w14:textId="37EFC07B" w:rsidR="004F2117" w:rsidRPr="00B8122D" w:rsidRDefault="004F2117" w:rsidP="004F2117">
      <w:r w:rsidRPr="00B8122D">
        <w:t>Ribociclib causes QT prolongation that has apparently</w:t>
      </w:r>
      <w:r w:rsidR="00FD178D">
        <w:t xml:space="preserve"> </w:t>
      </w:r>
      <w:r w:rsidRPr="00B8122D">
        <w:t>translated in some patients to ventricular arrhythmias.</w:t>
      </w:r>
      <w:r w:rsidR="00B379CB">
        <w:rPr>
          <w:rStyle w:val="FootnoteReference"/>
        </w:rPr>
        <w:footnoteReference w:id="56"/>
      </w:r>
    </w:p>
    <w:p w14:paraId="5642B7F1" w14:textId="43E979E7" w:rsidR="00255AB0" w:rsidRPr="00B8122D" w:rsidRDefault="00255AB0" w:rsidP="00255AB0">
      <w:r w:rsidRPr="00B8122D">
        <w:t xml:space="preserve">Issues are summarised from </w:t>
      </w:r>
      <w:r w:rsidR="002C0E44">
        <w:t>the clinical evaluation report.</w:t>
      </w:r>
      <w:r w:rsidR="00393698">
        <w:t xml:space="preserve"> </w:t>
      </w:r>
      <w:r w:rsidR="004F2117">
        <w:t>T</w:t>
      </w:r>
      <w:r w:rsidRPr="00B8122D">
        <w:t xml:space="preserve">he evaluator </w:t>
      </w:r>
      <w:r w:rsidR="00393698" w:rsidRPr="00B8122D">
        <w:t>recommend</w:t>
      </w:r>
      <w:r w:rsidR="004F2117">
        <w:t>s</w:t>
      </w:r>
      <w:r w:rsidR="00393698" w:rsidRPr="00B8122D">
        <w:t xml:space="preserve"> </w:t>
      </w:r>
      <w:r w:rsidRPr="00B8122D">
        <w:t>inclusion of a boxed warning in the PI/</w:t>
      </w:r>
      <w:r w:rsidR="005E0106">
        <w:t>Consumer Medicines Information (</w:t>
      </w:r>
      <w:r w:rsidRPr="00B8122D">
        <w:t>CMI</w:t>
      </w:r>
      <w:r w:rsidR="005E0106">
        <w:t>)</w:t>
      </w:r>
      <w:r w:rsidRPr="00B8122D">
        <w:t xml:space="preserve"> documentation, and other measures, also supported in large part by the Delegate.</w:t>
      </w:r>
    </w:p>
    <w:p w14:paraId="58976FD7" w14:textId="77777777" w:rsidR="00255AB0" w:rsidRPr="00B8122D" w:rsidRDefault="00255AB0" w:rsidP="00255AB0">
      <w:pPr>
        <w:pStyle w:val="Heading6"/>
      </w:pPr>
      <w:r w:rsidRPr="00B8122D">
        <w:t>Hepatotoxicity</w:t>
      </w:r>
    </w:p>
    <w:p w14:paraId="44AA7C66" w14:textId="6C6085E9" w:rsidR="00255AB0" w:rsidRPr="00B8122D" w:rsidRDefault="00255AB0" w:rsidP="00255AB0">
      <w:r w:rsidRPr="00B8122D">
        <w:t xml:space="preserve">Issues are summarised from the clinical evaluation report. </w:t>
      </w:r>
      <w:r w:rsidR="004F2117">
        <w:t>T</w:t>
      </w:r>
      <w:r w:rsidRPr="00B8122D">
        <w:t xml:space="preserve">he </w:t>
      </w:r>
      <w:r w:rsidR="005E0106">
        <w:t xml:space="preserve">evaluator </w:t>
      </w:r>
      <w:r w:rsidR="004F2117">
        <w:t>writes in the report</w:t>
      </w:r>
      <w:r w:rsidR="005E0106">
        <w:t xml:space="preserve">: </w:t>
      </w:r>
      <w:r w:rsidRPr="00B8122D">
        <w:rPr>
          <w:i/>
        </w:rPr>
        <w:t xml:space="preserve">‘The evaluator acknowledges that, with early recognition and appropriate dose </w:t>
      </w:r>
      <w:r w:rsidRPr="00B8122D">
        <w:rPr>
          <w:i/>
        </w:rPr>
        <w:lastRenderedPageBreak/>
        <w:t>modification, ribociclib hepatotoxicity in the clinical trial setting has been manageable and reversible. For this to be reproduced in the wider setting, the evaluator considers it essential that a similarly rigorous monitoring approach to that used in the clinical trials is recommended in the PI.</w:t>
      </w:r>
    </w:p>
    <w:p w14:paraId="5B73211B" w14:textId="054BE1A5" w:rsidR="00255AB0" w:rsidRPr="005D4724" w:rsidRDefault="00F46EF8" w:rsidP="005D4724">
      <w:r w:rsidRPr="005D4724">
        <w:t xml:space="preserve">The evaluator </w:t>
      </w:r>
      <w:r w:rsidR="00DB0E0D" w:rsidRPr="005D4724">
        <w:t>recommends more frequent LFT</w:t>
      </w:r>
      <w:r w:rsidRPr="005D4724">
        <w:t xml:space="preserve"> monitoring than is proposed by the sponsor’.</w:t>
      </w:r>
    </w:p>
    <w:p w14:paraId="6AC9F0A8" w14:textId="50AF2093" w:rsidR="00255AB0" w:rsidRPr="00B8122D" w:rsidRDefault="00255AB0" w:rsidP="00255AB0">
      <w:pPr>
        <w:pStyle w:val="Heading6"/>
      </w:pPr>
      <w:r w:rsidRPr="00B8122D">
        <w:t xml:space="preserve">Monitoring for </w:t>
      </w:r>
      <w:r w:rsidR="00F243E0">
        <w:t>adverse events</w:t>
      </w:r>
    </w:p>
    <w:p w14:paraId="602253CA" w14:textId="7994EDA2" w:rsidR="00255AB0" w:rsidRPr="00B8122D" w:rsidRDefault="00255AB0" w:rsidP="00255AB0">
      <w:r w:rsidRPr="00B8122D">
        <w:t>Issues are summarised from the clinical evaluation report. Of note:</w:t>
      </w:r>
    </w:p>
    <w:p w14:paraId="48C023D6" w14:textId="3BDB307C" w:rsidR="00806F18" w:rsidRPr="005D4724" w:rsidRDefault="005D4724" w:rsidP="005D4724">
      <w:pPr>
        <w:ind w:left="720"/>
      </w:pPr>
      <w:r>
        <w:t>‘</w:t>
      </w:r>
      <w:r w:rsidR="00255AB0" w:rsidRPr="005D4724">
        <w:t xml:space="preserve">Treatment with ribociclib was associated with a substantial increase in toxicity over letrozole alone in the pivotal study. Close monitoring throughout the study enabled early detection of toxicities and appropriate management by ribociclib dose modifications. Given the substantial increase in toxicity and the absence of a demonstrated improvement in overall </w:t>
      </w:r>
      <w:r w:rsidR="00F46EF8" w:rsidRPr="005D4724">
        <w:t xml:space="preserve">survival, it is particularly </w:t>
      </w:r>
      <w:r w:rsidR="00255AB0" w:rsidRPr="005D4724">
        <w:t>important that these toxicities be as well managed in the wider world as t</w:t>
      </w:r>
      <w:r w:rsidR="002C0E44" w:rsidRPr="005D4724">
        <w:t>hey were in the clinical study.</w:t>
      </w:r>
      <w:r>
        <w:t>’</w:t>
      </w:r>
    </w:p>
    <w:p w14:paraId="250D6E6B" w14:textId="01FB7116" w:rsidR="00DE1E07" w:rsidRDefault="004F2117" w:rsidP="00255AB0">
      <w:pPr>
        <w:rPr>
          <w:i/>
        </w:rPr>
      </w:pPr>
      <w:r>
        <w:t>As noted above</w:t>
      </w:r>
      <w:r w:rsidR="00255AB0" w:rsidRPr="00B8122D">
        <w:t xml:space="preserve">, the </w:t>
      </w:r>
      <w:r w:rsidR="00F46EF8" w:rsidRPr="00B8122D">
        <w:t>evaluator</w:t>
      </w:r>
      <w:r>
        <w:t xml:space="preserve"> does not accept the sponsor’s arguments</w:t>
      </w:r>
      <w:r w:rsidR="00F46EF8" w:rsidRPr="00B8122D">
        <w:t xml:space="preserve"> regarding the duration of monitoring for myelosuppression, hepatotoxicity and QT prolongation and</w:t>
      </w:r>
      <w:r w:rsidR="001A17A7">
        <w:t xml:space="preserve"> </w:t>
      </w:r>
      <w:r w:rsidR="00806F18" w:rsidRPr="00B8122D">
        <w:t>recommend</w:t>
      </w:r>
      <w:r>
        <w:t>s</w:t>
      </w:r>
      <w:r w:rsidR="00806F18" w:rsidRPr="00B8122D">
        <w:t xml:space="preserve"> </w:t>
      </w:r>
      <w:r w:rsidR="00F46EF8" w:rsidRPr="00B8122D">
        <w:t>that this monitoring occur with every cycle throughout treatment and that this sh</w:t>
      </w:r>
      <w:r w:rsidR="002C0E44">
        <w:t>ould include laboratory testing</w:t>
      </w:r>
      <w:r w:rsidRPr="004F2117">
        <w:t xml:space="preserve"> </w:t>
      </w:r>
      <w:r w:rsidRPr="00B8122D">
        <w:t>of full blood examination</w:t>
      </w:r>
      <w:r w:rsidR="00E6768D">
        <w:t xml:space="preserve"> (FBE)</w:t>
      </w:r>
      <w:r w:rsidR="00F46EF8" w:rsidRPr="00B8122D">
        <w:t xml:space="preserve">, serum chemistry (including electrolytes potassium, magnesium and calcium), liver function tests and ECG. </w:t>
      </w:r>
      <w:r w:rsidR="00255AB0" w:rsidRPr="00B8122D">
        <w:t>The evaluator d</w:t>
      </w:r>
      <w:r>
        <w:t>oes</w:t>
      </w:r>
      <w:r w:rsidR="00255AB0" w:rsidRPr="00B8122D">
        <w:t xml:space="preserve"> not consider that monthly monitoring of these routinely available tests would be too onerous for the proposed patient population and that as noted by the sponsor for complete blood counts, these tests are ‘</w:t>
      </w:r>
      <w:r w:rsidR="00255AB0" w:rsidRPr="00B8122D">
        <w:rPr>
          <w:i/>
        </w:rPr>
        <w:t>universally accepted, readily available, and accessible at local clinics/hospitals or laboratory centres near patients’ homes</w:t>
      </w:r>
      <w:r w:rsidR="00255AB0" w:rsidRPr="00B8122D">
        <w:t>’ and that ‘</w:t>
      </w:r>
      <w:r w:rsidR="00255AB0" w:rsidRPr="00B8122D">
        <w:rPr>
          <w:i/>
        </w:rPr>
        <w:t>results can be communicated directly to the treating physician/oncologist who can adjust the</w:t>
      </w:r>
      <w:r w:rsidR="005D4724">
        <w:rPr>
          <w:i/>
        </w:rPr>
        <w:t xml:space="preserve"> patient’s dose of ribociclib’.</w:t>
      </w:r>
    </w:p>
    <w:p w14:paraId="132C93CF" w14:textId="7984E864" w:rsidR="00DE1E07" w:rsidRDefault="00255AB0" w:rsidP="00255AB0">
      <w:r w:rsidRPr="00B8122D">
        <w:t>With regards the dose modification tables, the evaluator accepts the sponsor’s arguments regarding the haematology toxicity table, hepatotoxicity table and other toxicity table (provided the haematology toxicity table is re-titled ‘Neutropaenia and Febrile Neutropaenia’ and haematological toxicities of anaemia and thrombocytopenia are not excluded from the ‘Other Toxicities’ table).</w:t>
      </w:r>
    </w:p>
    <w:p w14:paraId="1FF568D7" w14:textId="3F016AFC" w:rsidR="00255AB0" w:rsidRDefault="00255AB0" w:rsidP="00255AB0">
      <w:r w:rsidRPr="00B8122D">
        <w:t xml:space="preserve">However, as noted above, the evaluator </w:t>
      </w:r>
      <w:r w:rsidR="004F2117" w:rsidRPr="00B8122D">
        <w:t>does not accept the sponsor’s arguments regarding the</w:t>
      </w:r>
      <w:r w:rsidR="00F637C4">
        <w:t xml:space="preserve"> </w:t>
      </w:r>
      <w:r w:rsidR="00F46EF8" w:rsidRPr="00B8122D">
        <w:t>dose modification advice for QT prolongation and considers it particularly important that additional advice is provided regarding this life-threatening complication</w:t>
      </w:r>
      <w:r w:rsidR="000F5ADB">
        <w:t>,</w:t>
      </w:r>
      <w:r w:rsidR="00F46EF8" w:rsidRPr="00B8122D">
        <w:t xml:space="preserve"> </w:t>
      </w:r>
      <w:r w:rsidR="008E19F5" w:rsidRPr="00B8122D">
        <w:t>with which oncologists will have little familiarity.</w:t>
      </w:r>
    </w:p>
    <w:p w14:paraId="24C3CEA2" w14:textId="44C8B4EC" w:rsidR="00255AB0" w:rsidRPr="00B8122D" w:rsidRDefault="00255AB0" w:rsidP="00255AB0">
      <w:r w:rsidRPr="00B8122D">
        <w:t>The current</w:t>
      </w:r>
      <w:r w:rsidR="007155C7">
        <w:t xml:space="preserve"> </w:t>
      </w:r>
      <w:r w:rsidRPr="00B8122D">
        <w:t>PI includes recommendations fo</w:t>
      </w:r>
      <w:r w:rsidR="0031523A">
        <w:t>r</w:t>
      </w:r>
      <w:r w:rsidR="00077B6B">
        <w:t xml:space="preserve"> monitoring</w:t>
      </w:r>
      <w:r w:rsidR="00F637C4">
        <w:t xml:space="preserve"> </w:t>
      </w:r>
      <w:r w:rsidR="002B09C3">
        <w:t>however;</w:t>
      </w:r>
      <w:r w:rsidR="00F637C4">
        <w:t xml:space="preserve"> presentation of this is beyond the scope of the AusPAR.</w:t>
      </w:r>
    </w:p>
    <w:p w14:paraId="61EE03AE" w14:textId="0B314E7F" w:rsidR="00F3045C" w:rsidRDefault="00111287" w:rsidP="002B09C3">
      <w:r w:rsidRPr="00B8122D">
        <w:t>The evaluator suggests that ‘ongoing’ monitoring be specified as monthly, rather than left as ‘as clinically indicated’.</w:t>
      </w:r>
    </w:p>
    <w:p w14:paraId="03100720" w14:textId="52A4494D" w:rsidR="00F3045C" w:rsidRPr="00B8122D" w:rsidRDefault="00F3045C" w:rsidP="00F3045C">
      <w:pPr>
        <w:pStyle w:val="Heading4"/>
      </w:pPr>
      <w:r w:rsidRPr="00B8122D">
        <w:t>Summary</w:t>
      </w:r>
      <w:r w:rsidR="0076266C">
        <w:t xml:space="preserve"> of issues</w:t>
      </w:r>
    </w:p>
    <w:p w14:paraId="18EE1318" w14:textId="73885222" w:rsidR="00F3045C" w:rsidRPr="00B8122D" w:rsidRDefault="00F3045C" w:rsidP="00F3045C">
      <w:r w:rsidRPr="00B8122D">
        <w:t xml:space="preserve">There were no </w:t>
      </w:r>
      <w:r w:rsidR="00F637C4">
        <w:t xml:space="preserve">manufacturing, </w:t>
      </w:r>
      <w:r w:rsidRPr="00B8122D">
        <w:t>quality control, nor nonclinical issues precluding registration.</w:t>
      </w:r>
    </w:p>
    <w:p w14:paraId="005F499B" w14:textId="77777777" w:rsidR="00F3045C" w:rsidRPr="00B8122D" w:rsidRDefault="00F3045C" w:rsidP="00F3045C">
      <w:pPr>
        <w:pStyle w:val="Heading5"/>
      </w:pPr>
      <w:r w:rsidRPr="00B8122D">
        <w:t>Clinical</w:t>
      </w:r>
    </w:p>
    <w:p w14:paraId="6297672B" w14:textId="77777777" w:rsidR="00F3045C" w:rsidRPr="00B8122D" w:rsidRDefault="00F3045C" w:rsidP="00F3045C">
      <w:pPr>
        <w:pStyle w:val="Heading6"/>
      </w:pPr>
      <w:r w:rsidRPr="00B8122D">
        <w:t>Efficacy</w:t>
      </w:r>
    </w:p>
    <w:p w14:paraId="655DCEBD" w14:textId="77777777" w:rsidR="00F3045C" w:rsidRPr="00B8122D" w:rsidRDefault="00F3045C" w:rsidP="00F3045C">
      <w:r w:rsidRPr="00B8122D">
        <w:t xml:space="preserve">Adding ribociclib to letrozole in HR+ HER2- postmenopausal women with no prior treatment for advanced breast cancer results in substantial lengthening of PFS; immature </w:t>
      </w:r>
      <w:r w:rsidRPr="00B8122D">
        <w:lastRenderedPageBreak/>
        <w:t>overall survival data suggest no OS detriment. There is no improvement in quality of life, but other than via inference from the AE profile, there is no sign of a decline.</w:t>
      </w:r>
    </w:p>
    <w:p w14:paraId="5AD10306" w14:textId="77777777" w:rsidR="00F3045C" w:rsidRPr="00B8122D" w:rsidRDefault="00F3045C" w:rsidP="0076266C">
      <w:pPr>
        <w:pStyle w:val="Heading6"/>
      </w:pPr>
      <w:r w:rsidRPr="00B8122D">
        <w:t>Safety</w:t>
      </w:r>
    </w:p>
    <w:p w14:paraId="1F6DD945" w14:textId="77777777" w:rsidR="00F3045C" w:rsidRPr="00B8122D" w:rsidRDefault="00F3045C" w:rsidP="0076266C">
      <w:pPr>
        <w:pStyle w:val="Heading7"/>
      </w:pPr>
      <w:r w:rsidRPr="00B8122D">
        <w:t>QT prolongation</w:t>
      </w:r>
    </w:p>
    <w:p w14:paraId="5434E89C" w14:textId="77777777" w:rsidR="00F3045C" w:rsidRPr="00B8122D" w:rsidRDefault="00F3045C" w:rsidP="00F3045C">
      <w:r w:rsidRPr="00B8122D">
        <w:t>Ribociclib causes QT prolongation that has apparently translated in some patients to ventricular arrhythmias.</w:t>
      </w:r>
    </w:p>
    <w:p w14:paraId="0CCC7986" w14:textId="15D88EA6" w:rsidR="00F3045C" w:rsidRPr="00B8122D" w:rsidRDefault="00F3045C" w:rsidP="00F3045C">
      <w:r w:rsidRPr="00B8122D">
        <w:t>Issues are summarised from the clinical evaluation report. The evaluator recommends inclusion of a boxed warning in the PI/CMI documentation, and other measures, also supported in large part by the Delegate.</w:t>
      </w:r>
    </w:p>
    <w:p w14:paraId="1B5EBCC9" w14:textId="77777777" w:rsidR="00F3045C" w:rsidRPr="00B8122D" w:rsidRDefault="00F3045C" w:rsidP="0076266C">
      <w:pPr>
        <w:pStyle w:val="Heading7"/>
      </w:pPr>
      <w:r w:rsidRPr="00B8122D">
        <w:t>Hepatotoxicity</w:t>
      </w:r>
    </w:p>
    <w:p w14:paraId="1C7D19DA" w14:textId="105355CC" w:rsidR="00F3045C" w:rsidRPr="00B8122D" w:rsidRDefault="00F3045C" w:rsidP="00F3045C">
      <w:r w:rsidRPr="00B8122D">
        <w:t>Issues are summarised from the clinical evaluation repor</w:t>
      </w:r>
      <w:r w:rsidR="00F243E0">
        <w:t>t</w:t>
      </w:r>
      <w:r w:rsidRPr="00B8122D">
        <w:t>. The evaluator writes:</w:t>
      </w:r>
    </w:p>
    <w:p w14:paraId="065587D5" w14:textId="77777777" w:rsidR="00F3045C" w:rsidRPr="005D4724" w:rsidRDefault="00F3045C" w:rsidP="005D4724">
      <w:pPr>
        <w:ind w:left="720"/>
      </w:pPr>
      <w:r w:rsidRPr="005D4724">
        <w:t>‘The evaluator acknowledges that, with early recognition and appropriate dose modification, ribociclib hepatotoxicity in the clinical trial setting has been manageable and reversible. For this to be reproduced in the wider setting, the evaluator considers it essential that a similarly rigorous monitoring approach to that used in the clinical trials is recommended in the PI.</w:t>
      </w:r>
    </w:p>
    <w:p w14:paraId="1A489C5F" w14:textId="77777777" w:rsidR="00F3045C" w:rsidRPr="005D4724" w:rsidRDefault="00F3045C" w:rsidP="005D4724">
      <w:pPr>
        <w:ind w:left="720"/>
      </w:pPr>
      <w:r w:rsidRPr="005D4724">
        <w:t>The evaluator recommends more frequent LFT monitoring than is now proposed’.</w:t>
      </w:r>
    </w:p>
    <w:p w14:paraId="6EA39F82" w14:textId="6B3D364D" w:rsidR="00F3045C" w:rsidRPr="00B8122D" w:rsidRDefault="00F3045C" w:rsidP="0076266C">
      <w:pPr>
        <w:pStyle w:val="Heading7"/>
      </w:pPr>
      <w:r w:rsidRPr="00B8122D">
        <w:t xml:space="preserve">Monitoring for </w:t>
      </w:r>
      <w:r w:rsidR="00F243E0">
        <w:t>adverse events</w:t>
      </w:r>
    </w:p>
    <w:p w14:paraId="162B2482" w14:textId="6657F355" w:rsidR="00F3045C" w:rsidRPr="00B8122D" w:rsidRDefault="00F3045C" w:rsidP="00F3045C">
      <w:r w:rsidRPr="00B8122D">
        <w:t>Issues are summarised from the clinical evaluation report. Of most note:</w:t>
      </w:r>
    </w:p>
    <w:p w14:paraId="10244075" w14:textId="77777777" w:rsidR="00F3045C" w:rsidRPr="005D4724" w:rsidRDefault="00F3045C" w:rsidP="005D4724">
      <w:pPr>
        <w:ind w:left="720"/>
      </w:pPr>
      <w:r w:rsidRPr="005D4724">
        <w:t>‘…the evaluator does not accept the sponsor’s arguments regarding the duration of monitoring for myelosuppression, hepatotoxicity and QT prolongation and recommends that this monitoring occur with every cycle throughout treatment...’</w:t>
      </w:r>
    </w:p>
    <w:p w14:paraId="59C988F1" w14:textId="158CD787" w:rsidR="00F3045C" w:rsidRPr="00B8122D" w:rsidRDefault="00925996" w:rsidP="00F3045C">
      <w:r>
        <w:t>The current PI includes recommendations for monitoring, which are beyond the scope of this AusPAR</w:t>
      </w:r>
      <w:r w:rsidR="00F3045C" w:rsidRPr="00B8122D">
        <w:t>.</w:t>
      </w:r>
    </w:p>
    <w:p w14:paraId="2397677C" w14:textId="77777777" w:rsidR="00F3045C" w:rsidRPr="00B8122D" w:rsidRDefault="00F3045C" w:rsidP="00F3045C">
      <w:r w:rsidRPr="00B8122D">
        <w:t>The evaluator suggests that ‘ongoing’ monitoring be specified, rather than left as ‘as clinically indicated’.</w:t>
      </w:r>
    </w:p>
    <w:p w14:paraId="0269C309" w14:textId="77777777" w:rsidR="00F3045C" w:rsidRPr="00B8122D" w:rsidRDefault="00F3045C" w:rsidP="0076266C">
      <w:pPr>
        <w:pStyle w:val="Heading7"/>
      </w:pPr>
      <w:r w:rsidRPr="00B8122D">
        <w:t>Use with aromatase inhibitors other than letrozole</w:t>
      </w:r>
    </w:p>
    <w:p w14:paraId="2E6BF295" w14:textId="77777777" w:rsidR="00F3045C" w:rsidRPr="00B8122D" w:rsidRDefault="00F3045C" w:rsidP="00F3045C">
      <w:r w:rsidRPr="00B8122D">
        <w:t xml:space="preserve">There is limited evidence that addition of ribociclib to anastrozole would not result in problematic PK interactions. </w:t>
      </w:r>
      <w:r w:rsidRPr="00A214DD">
        <w:t xml:space="preserve">Drug-drug interactions </w:t>
      </w:r>
      <w:r w:rsidRPr="00F637C4">
        <w:t xml:space="preserve">with </w:t>
      </w:r>
      <w:r w:rsidRPr="002B09C3">
        <w:t xml:space="preserve">exemestane </w:t>
      </w:r>
      <w:r w:rsidRPr="00A214DD">
        <w:t>have not been excluded with any degree of rigor.</w:t>
      </w:r>
      <w:r w:rsidRPr="00B8122D">
        <w:t xml:space="preserve"> The Delegate’s view is that it is reasonable to expect similar efficacy and safety outcomes in these setting too.</w:t>
      </w:r>
    </w:p>
    <w:p w14:paraId="52544C1A" w14:textId="53F6A467" w:rsidR="007E7504" w:rsidRPr="00B8122D" w:rsidRDefault="007E7504" w:rsidP="00DC3995">
      <w:pPr>
        <w:pStyle w:val="Heading5"/>
      </w:pPr>
      <w:r w:rsidRPr="00B8122D">
        <w:t xml:space="preserve">Risk </w:t>
      </w:r>
      <w:r w:rsidR="00F243E0">
        <w:t>m</w:t>
      </w:r>
      <w:r w:rsidRPr="00B8122D">
        <w:t xml:space="preserve">anagement </w:t>
      </w:r>
      <w:r w:rsidR="00F243E0">
        <w:t>p</w:t>
      </w:r>
      <w:r w:rsidRPr="00B8122D">
        <w:t>lan</w:t>
      </w:r>
    </w:p>
    <w:p w14:paraId="156B60E8" w14:textId="5C652750" w:rsidR="007E7504" w:rsidRPr="00B8122D" w:rsidRDefault="007E7504" w:rsidP="007E7504">
      <w:r w:rsidRPr="00B8122D">
        <w:t xml:space="preserve">A </w:t>
      </w:r>
      <w:r w:rsidR="00F243E0">
        <w:t>risk management plan (RMP)</w:t>
      </w:r>
      <w:r w:rsidRPr="00B8122D">
        <w:t xml:space="preserve"> has been proposed, outlining routine risk minimisation and pharmacovigilance measures to be implemented upon marketing.</w:t>
      </w:r>
      <w:r w:rsidR="0010489F" w:rsidRPr="00B8122D">
        <w:t xml:space="preserve"> </w:t>
      </w:r>
      <w:r w:rsidRPr="00B8122D">
        <w:t xml:space="preserve">There were no objections to registration from the RMP </w:t>
      </w:r>
      <w:r w:rsidR="00F243E0">
        <w:t>e</w:t>
      </w:r>
      <w:r w:rsidRPr="00B8122D">
        <w:t>valuator.</w:t>
      </w:r>
    </w:p>
    <w:p w14:paraId="436EBD97" w14:textId="0107B5C0" w:rsidR="00D23139" w:rsidRPr="00B8122D" w:rsidRDefault="00D23139" w:rsidP="00D23139">
      <w:pPr>
        <w:pStyle w:val="Heading4"/>
      </w:pPr>
      <w:r w:rsidRPr="00B8122D">
        <w:t>Delegate’s con</w:t>
      </w:r>
      <w:r w:rsidR="00A90ACA" w:rsidRPr="00B8122D">
        <w:t>siderations</w:t>
      </w:r>
    </w:p>
    <w:p w14:paraId="1B9C84B6" w14:textId="0BA504F8" w:rsidR="00DB0E88" w:rsidRPr="00B8122D" w:rsidRDefault="00A90ACA" w:rsidP="00DB0E88">
      <w:pPr>
        <w:pStyle w:val="Heading5"/>
      </w:pPr>
      <w:r w:rsidRPr="00B8122D">
        <w:t>Overall risk-benefit, and indication</w:t>
      </w:r>
    </w:p>
    <w:p w14:paraId="5E9BE859" w14:textId="77777777" w:rsidR="00DB0E88" w:rsidRPr="00B8122D" w:rsidRDefault="00DB0E88" w:rsidP="00DB0E88">
      <w:r w:rsidRPr="00B8122D">
        <w:t>The sponsor’s most recently proposed indication is as follows:</w:t>
      </w:r>
    </w:p>
    <w:p w14:paraId="1E2D7AF2" w14:textId="778230C5" w:rsidR="00DB0E88" w:rsidRPr="00B8122D" w:rsidRDefault="00DB0E88" w:rsidP="00DB0E88">
      <w:pPr>
        <w:ind w:left="720"/>
        <w:rPr>
          <w:i/>
        </w:rPr>
      </w:pPr>
      <w:r w:rsidRPr="00B8122D">
        <w:rPr>
          <w:i/>
        </w:rPr>
        <w:t>Kisqali in combination with an aromatase inhibitor is indicated for the treatment of postmenopausal women with hormone receptor positive (HR+), human epidermal growth factor receptor 2 negative (HER2-) advanced or metastatic breast cancer, as an initial endocrine-based therapy.</w:t>
      </w:r>
    </w:p>
    <w:p w14:paraId="51D25CDF" w14:textId="2917B244" w:rsidR="00DB0E88" w:rsidRPr="00B8122D" w:rsidRDefault="00DB0E88" w:rsidP="00DB0E88">
      <w:r w:rsidRPr="00B8122D">
        <w:lastRenderedPageBreak/>
        <w:t>This is considered from the clinical evaluation report</w:t>
      </w:r>
      <w:r w:rsidR="00F243E0">
        <w:t>.</w:t>
      </w:r>
      <w:r w:rsidRPr="00B8122D">
        <w:t xml:space="preserve"> The evaluator recommends the indication be revised to include non-steroidal AIs (that is, letrozole, anastrozole). In the decision making process for palbociclib, advice was accepted that a broader indication would be appropriate. In the absence of specific issues raised by Studies E2301, X2106 and mechanistic considerations, this approach seems reasonable for ribociclib.</w:t>
      </w:r>
    </w:p>
    <w:p w14:paraId="0E41B161" w14:textId="77777777" w:rsidR="00DB0E88" w:rsidRPr="00B8122D" w:rsidRDefault="00DB0E88" w:rsidP="00DB0E88">
      <w:r w:rsidRPr="00B8122D">
        <w:t>The evaluator proposes a note to the indication, stating:</w:t>
      </w:r>
    </w:p>
    <w:p w14:paraId="093E8BF7" w14:textId="2FD5F635" w:rsidR="00DB0E88" w:rsidRPr="00B8122D" w:rsidRDefault="00DB0E88" w:rsidP="00DB0E88">
      <w:pPr>
        <w:ind w:left="720"/>
        <w:rPr>
          <w:i/>
        </w:rPr>
      </w:pPr>
      <w:r w:rsidRPr="00B8122D">
        <w:rPr>
          <w:i/>
        </w:rPr>
        <w:t>This approval is based on an improvement in PFS. An improvement in overall sur</w:t>
      </w:r>
      <w:r w:rsidR="005D4724">
        <w:rPr>
          <w:i/>
        </w:rPr>
        <w:t>vival has not been demonstrated</w:t>
      </w:r>
      <w:r w:rsidRPr="00B8122D">
        <w:rPr>
          <w:i/>
        </w:rPr>
        <w:t>.</w:t>
      </w:r>
    </w:p>
    <w:p w14:paraId="3F8C3F46" w14:textId="6CF54BD1" w:rsidR="00DB0E88" w:rsidRPr="00B8122D" w:rsidRDefault="00DB0E88" w:rsidP="00DB0E88">
      <w:r w:rsidRPr="00B8122D">
        <w:t xml:space="preserve">With updated OS outcomes, approval is not solely on the basis of PFS. Important to the Delegate’s understanding of benefit/risk was updated data showing no sign of detriment to </w:t>
      </w:r>
      <w:r w:rsidR="00BB0783">
        <w:t>OS</w:t>
      </w:r>
      <w:r w:rsidRPr="00B8122D">
        <w:t xml:space="preserve"> (it is acknowledged that improvement in OS has not been shown, and that OS outcomes remain immature). This updated OS data must be reported in the PI, as it reflects part of the basis for approval. Conversely, there is no need for a note to the indication.</w:t>
      </w:r>
    </w:p>
    <w:p w14:paraId="02643148" w14:textId="19DD4216" w:rsidR="00DB0E88" w:rsidRPr="00B8122D" w:rsidRDefault="006D190E" w:rsidP="00DB0E88">
      <w:r>
        <w:t>The Delegate’s p</w:t>
      </w:r>
      <w:r w:rsidR="00DB0E88" w:rsidRPr="002B011E">
        <w:t>re-</w:t>
      </w:r>
      <w:r w:rsidR="002B011E" w:rsidRPr="002B011E">
        <w:t>Advisory Committee on Medicines (</w:t>
      </w:r>
      <w:r w:rsidR="00DB0E88" w:rsidRPr="002B011E">
        <w:t>ACM</w:t>
      </w:r>
      <w:r w:rsidR="002B011E" w:rsidRPr="002B011E">
        <w:t>)</w:t>
      </w:r>
      <w:r w:rsidR="00DB0E88" w:rsidRPr="002B011E">
        <w:t xml:space="preserve"> view is</w:t>
      </w:r>
      <w:r w:rsidR="00DB0E88" w:rsidRPr="00B8122D">
        <w:t xml:space="preserve"> that the following indication is reasonable:</w:t>
      </w:r>
    </w:p>
    <w:p w14:paraId="58C34A42" w14:textId="777B7B48" w:rsidR="00DB0E88" w:rsidRPr="00B8122D" w:rsidRDefault="00DB0E88" w:rsidP="00DB0E88">
      <w:pPr>
        <w:ind w:left="720"/>
        <w:rPr>
          <w:i/>
        </w:rPr>
      </w:pPr>
      <w:r w:rsidRPr="00B8122D">
        <w:rPr>
          <w:i/>
        </w:rPr>
        <w:t>Kisqali in combination with an aromatase inhibitor is indicated for the treatment of postmenopausal women with hormone receptor positive (HR+), human epidermal growth factor receptor 2 negative (HER2-) advanced or metastatic breast cancer, as an initial endocrine-b</w:t>
      </w:r>
      <w:r w:rsidR="005D4724">
        <w:rPr>
          <w:i/>
        </w:rPr>
        <w:t>ased therapy</w:t>
      </w:r>
      <w:r w:rsidRPr="00B8122D">
        <w:rPr>
          <w:i/>
        </w:rPr>
        <w:t>.</w:t>
      </w:r>
    </w:p>
    <w:p w14:paraId="57049B2C" w14:textId="77777777" w:rsidR="00DB0E88" w:rsidRPr="00B8122D" w:rsidRDefault="00DB0E88" w:rsidP="00DB0E88">
      <w:r w:rsidRPr="00B8122D">
        <w:t>The indication accepted for palbociclib is noted below:</w:t>
      </w:r>
    </w:p>
    <w:p w14:paraId="66C1C59E" w14:textId="7102EE14" w:rsidR="00DB0E88" w:rsidRPr="00B8122D" w:rsidRDefault="00DB0E88" w:rsidP="00DB0E88">
      <w:pPr>
        <w:ind w:left="720"/>
        <w:rPr>
          <w:i/>
        </w:rPr>
      </w:pPr>
      <w:r w:rsidRPr="00B8122D">
        <w:rPr>
          <w:i/>
        </w:rPr>
        <w:t>Ibrance is indicated for the treatment of hormone receptor (HR)-positive, human epidermal growth factor receptor 2 (HER2)-negative advanced or metastatic breast cancer in combination with:</w:t>
      </w:r>
    </w:p>
    <w:p w14:paraId="32C7280C" w14:textId="77777777" w:rsidR="00DB0E88" w:rsidRPr="00B8122D" w:rsidRDefault="00DB0E88" w:rsidP="00DB0E88">
      <w:pPr>
        <w:pStyle w:val="ListBullet3"/>
        <w:rPr>
          <w:i/>
        </w:rPr>
      </w:pPr>
      <w:r w:rsidRPr="00B8122D">
        <w:rPr>
          <w:i/>
        </w:rPr>
        <w:t xml:space="preserve">an aromatase inhibitor as initial endocrine-based therapy </w:t>
      </w:r>
    </w:p>
    <w:p w14:paraId="1D58328C" w14:textId="6FE6632B" w:rsidR="00DB0E88" w:rsidRPr="00B8122D" w:rsidRDefault="00DB0E88" w:rsidP="00DB0E88">
      <w:pPr>
        <w:pStyle w:val="ListBullet3"/>
        <w:rPr>
          <w:i/>
        </w:rPr>
      </w:pPr>
      <w:r w:rsidRPr="00B8122D">
        <w:rPr>
          <w:i/>
        </w:rPr>
        <w:t xml:space="preserve">fulvestrant in patients </w:t>
      </w:r>
      <w:r w:rsidR="005D4724">
        <w:rPr>
          <w:i/>
        </w:rPr>
        <w:t>who have received prior therapy</w:t>
      </w:r>
      <w:r w:rsidRPr="00B8122D">
        <w:rPr>
          <w:i/>
        </w:rPr>
        <w:t>.</w:t>
      </w:r>
    </w:p>
    <w:p w14:paraId="5B97E4B2" w14:textId="765575A5" w:rsidR="00DB0E88" w:rsidRPr="00B8122D" w:rsidRDefault="00DB0E88" w:rsidP="00DB0E88">
      <w:r w:rsidRPr="00B8122D">
        <w:t>Attention is drawn to ACM’s recommendation that the palbociclib indication need not be limited to postmenopausal women, but should apply to all men and women with HR+ HER2- advanced or metastatic breast cancer. The ACM has been asked whether a similar approach should be adopted for ribociclib.</w:t>
      </w:r>
    </w:p>
    <w:p w14:paraId="6D2D7793" w14:textId="77777777" w:rsidR="00DB0E88" w:rsidRPr="00B8122D" w:rsidRDefault="00DB0E88" w:rsidP="00DB0E88">
      <w:r w:rsidRPr="00B8122D">
        <w:t>Conditions of registration may be imposed regarding provision of clinical data, as per the clinical evaluator’s recommendation:</w:t>
      </w:r>
    </w:p>
    <w:p w14:paraId="0451265C" w14:textId="77777777" w:rsidR="00DB0E88" w:rsidRPr="00B8122D" w:rsidRDefault="00DB0E88" w:rsidP="00DB0E88">
      <w:pPr>
        <w:pStyle w:val="ListBullet"/>
      </w:pPr>
      <w:r w:rsidRPr="00B8122D">
        <w:t>Subsequent analyses for Study A2301 according to the timeline proposed in the FDA approval letter.</w:t>
      </w:r>
    </w:p>
    <w:p w14:paraId="383956E3" w14:textId="77777777" w:rsidR="00DB0E88" w:rsidRPr="00B8122D" w:rsidRDefault="00DB0E88" w:rsidP="00DB0E88">
      <w:pPr>
        <w:pStyle w:val="ListBullet"/>
      </w:pPr>
      <w:r w:rsidRPr="00B8122D">
        <w:t>The final report for the study exploring the efficacy and safety of an alternative dosing regimen for ribociclib to mitigate the risk of QT prolongation.</w:t>
      </w:r>
    </w:p>
    <w:p w14:paraId="0AC7168A" w14:textId="51F3E996" w:rsidR="00DB0E88" w:rsidRPr="00B8122D" w:rsidRDefault="00DB0E88" w:rsidP="00DB0E88">
      <w:pPr>
        <w:pStyle w:val="ListBullet"/>
      </w:pPr>
      <w:r w:rsidRPr="00B8122D">
        <w:t>The final report for Study A2116 be provided to the TGA to a</w:t>
      </w:r>
      <w:r w:rsidR="002B011E">
        <w:t>ssist in determination of the</w:t>
      </w:r>
      <w:r w:rsidRPr="00B8122D">
        <w:t xml:space="preserve"> appropriate dose of ribociclib in patients with severe renal impairment.</w:t>
      </w:r>
    </w:p>
    <w:p w14:paraId="12B857F8" w14:textId="77777777" w:rsidR="00DB0E88" w:rsidRPr="00B8122D" w:rsidRDefault="00DB0E88" w:rsidP="00DB0E88">
      <w:pPr>
        <w:pStyle w:val="ListBullet"/>
      </w:pPr>
      <w:r w:rsidRPr="00B8122D">
        <w:t>The final reports (and any interim analyses) from the Studies CLEE011E2301 and CLEE011F2301 regardless of whether the efficacy data is sufficient to support an indication submission.</w:t>
      </w:r>
    </w:p>
    <w:p w14:paraId="6F57EFEF" w14:textId="0E0A2B5C" w:rsidR="00DB0E88" w:rsidRPr="00B8122D" w:rsidRDefault="00DB0E88" w:rsidP="00DB0E88">
      <w:pPr>
        <w:pStyle w:val="ListBullet"/>
      </w:pPr>
      <w:r w:rsidRPr="00B8122D">
        <w:t>The final reports (and any interim analyses) from the Studies CLEE011XDE01 and CLEE011A2404.</w:t>
      </w:r>
    </w:p>
    <w:p w14:paraId="39117297" w14:textId="3DACF3D5" w:rsidR="00A13D2D" w:rsidRPr="00A214DD" w:rsidRDefault="00A13D2D" w:rsidP="00C02302">
      <w:pPr>
        <w:pStyle w:val="Heading4"/>
      </w:pPr>
      <w:r w:rsidRPr="00A214DD">
        <w:lastRenderedPageBreak/>
        <w:t>Questions for sponsor</w:t>
      </w:r>
    </w:p>
    <w:p w14:paraId="6D65EC09" w14:textId="77777777" w:rsidR="00A13D2D" w:rsidRPr="00A214DD" w:rsidRDefault="00A13D2D" w:rsidP="00C02302">
      <w:pPr>
        <w:keepNext/>
      </w:pPr>
      <w:r w:rsidRPr="00A214DD">
        <w:t>Regarding other ongoing studies:</w:t>
      </w:r>
    </w:p>
    <w:p w14:paraId="7A1D05A9" w14:textId="77777777" w:rsidR="00A13D2D" w:rsidRPr="00A214DD" w:rsidRDefault="00A13D2D" w:rsidP="00A13D2D">
      <w:pPr>
        <w:pStyle w:val="Numberbullet0"/>
        <w:numPr>
          <w:ilvl w:val="0"/>
          <w:numId w:val="2"/>
        </w:numPr>
      </w:pPr>
      <w:r w:rsidRPr="00A214DD">
        <w:t>Given the FDA request for analysis of different dosing regimens, do dose regimens in major studies vary from that proposed for use in Australia, that is, a starting dose of 600 mg daily for 21 consecutive days per 28 day cycle?</w:t>
      </w:r>
    </w:p>
    <w:p w14:paraId="466F0FEB" w14:textId="697245C4" w:rsidR="00A13D2D" w:rsidRPr="00A214DD" w:rsidRDefault="00A13D2D" w:rsidP="00A13D2D">
      <w:pPr>
        <w:pStyle w:val="Numberbullet0"/>
        <w:numPr>
          <w:ilvl w:val="0"/>
          <w:numId w:val="2"/>
        </w:numPr>
      </w:pPr>
      <w:r w:rsidRPr="00A214DD">
        <w:t xml:space="preserve">Please provide additional detail about the alternative dosing regimen(s) being examined to fulfil the FDA </w:t>
      </w:r>
      <w:r w:rsidR="00F637C4" w:rsidRPr="00A214DD">
        <w:t>post marketing</w:t>
      </w:r>
      <w:r w:rsidRPr="00A214DD">
        <w:t xml:space="preserve"> requirements and commitments.</w:t>
      </w:r>
    </w:p>
    <w:p w14:paraId="2DC27706" w14:textId="77777777" w:rsidR="00A13D2D" w:rsidRPr="00A214DD" w:rsidRDefault="00A13D2D" w:rsidP="00A13D2D">
      <w:r w:rsidRPr="00A214DD">
        <w:t>Regarding pharmacology:</w:t>
      </w:r>
    </w:p>
    <w:p w14:paraId="185CF40E" w14:textId="41725623" w:rsidR="00A13D2D" w:rsidRPr="00A214DD" w:rsidRDefault="00A13D2D" w:rsidP="00A13D2D">
      <w:pPr>
        <w:pStyle w:val="Numberbullet0"/>
        <w:numPr>
          <w:ilvl w:val="0"/>
          <w:numId w:val="2"/>
        </w:numPr>
      </w:pPr>
      <w:r w:rsidRPr="00A214DD">
        <w:t>Has a conclusion about absolute bioavailability been drawn from Study </w:t>
      </w:r>
      <w:r w:rsidR="002B09C3">
        <w:t>[information redacted]</w:t>
      </w:r>
      <w:r w:rsidR="005D4724">
        <w:t>?</w:t>
      </w:r>
    </w:p>
    <w:p w14:paraId="410B6C84" w14:textId="77777777" w:rsidR="00A13D2D" w:rsidRPr="00A214DD" w:rsidRDefault="00A13D2D" w:rsidP="00A13D2D">
      <w:pPr>
        <w:pStyle w:val="Numberbullet0"/>
        <w:numPr>
          <w:ilvl w:val="0"/>
          <w:numId w:val="2"/>
        </w:numPr>
      </w:pPr>
      <w:r w:rsidRPr="00A214DD">
        <w:t>Clarify the optimal recommended dose reduction for patients on concomitant strong CYP3A4 inhibitors.</w:t>
      </w:r>
    </w:p>
    <w:p w14:paraId="6E4EDCF7" w14:textId="77777777" w:rsidR="00A13D2D" w:rsidRPr="00A214DD" w:rsidRDefault="00A13D2D" w:rsidP="00A13D2D">
      <w:pPr>
        <w:pStyle w:val="Numberbullet0"/>
        <w:numPr>
          <w:ilvl w:val="0"/>
          <w:numId w:val="2"/>
        </w:numPr>
      </w:pPr>
      <w:r w:rsidRPr="00A214DD">
        <w:t>Is there sufficient evidence to include a warning in the PI that patients from certain ethnic backgrounds may be at higher risk of AEs such as neutropaenia due to likely higher exposure to ribociclib?</w:t>
      </w:r>
    </w:p>
    <w:p w14:paraId="627FE7D7" w14:textId="77777777" w:rsidR="00A13D2D" w:rsidRPr="00A214DD" w:rsidRDefault="00A13D2D" w:rsidP="00A13D2D">
      <w:pPr>
        <w:pStyle w:val="Numberbullet0"/>
        <w:numPr>
          <w:ilvl w:val="0"/>
          <w:numId w:val="2"/>
        </w:numPr>
      </w:pPr>
      <w:r w:rsidRPr="00A214DD">
        <w:t>Comment on variation between the proposed text about interactions with transporters and the position outlined in the EU Day 180 List of outstanding issues.</w:t>
      </w:r>
    </w:p>
    <w:p w14:paraId="5FEE0389" w14:textId="77777777" w:rsidR="00A13D2D" w:rsidRPr="00C80324" w:rsidRDefault="00A13D2D" w:rsidP="00A13D2D">
      <w:r w:rsidRPr="00C80324">
        <w:t>Regarding safety:</w:t>
      </w:r>
    </w:p>
    <w:p w14:paraId="490A9634" w14:textId="77777777" w:rsidR="00A13D2D" w:rsidRPr="00C80324" w:rsidRDefault="00A13D2D" w:rsidP="00A13D2D">
      <w:pPr>
        <w:pStyle w:val="Numberbullet0"/>
        <w:numPr>
          <w:ilvl w:val="0"/>
          <w:numId w:val="2"/>
        </w:numPr>
      </w:pPr>
      <w:r w:rsidRPr="00C80324">
        <w:t>Regarding the Study A2301 patient receiving ribociclib + letrozole where ventricular tachycardia (VT) was reported (and where ECGs transmitted to the central radiology vendor showed sinus tachycardia), please clarify whether the ECGs transmitted to the central vendor were exactly those used locally to arrive at the diagnosis of VT, or whether they were taken separately (for example, before or after the ECG used locally to diagnose VT). This is considered important since VT may be transient. Please also clarify whether the central ‘radiology’ vendor applied specialist cardiology expertise to arrive at the ECG diagnosis of sinus tachycardia.</w:t>
      </w:r>
    </w:p>
    <w:p w14:paraId="36313743" w14:textId="77777777" w:rsidR="00A13D2D" w:rsidRPr="00A214DD" w:rsidRDefault="00A13D2D" w:rsidP="00A13D2D">
      <w:r w:rsidRPr="00A214DD">
        <w:t>Regarding benefit/risk:</w:t>
      </w:r>
    </w:p>
    <w:p w14:paraId="1921CE2C" w14:textId="77777777" w:rsidR="00A13D2D" w:rsidRPr="00B40B27" w:rsidRDefault="00A13D2D" w:rsidP="00A13D2D">
      <w:pPr>
        <w:pStyle w:val="Numberbullet0"/>
        <w:numPr>
          <w:ilvl w:val="0"/>
          <w:numId w:val="2"/>
        </w:numPr>
      </w:pPr>
      <w:r w:rsidRPr="00B40B27">
        <w:t>Comment on any subgroup analyses for Study A2301 according to subtype of disease (for example luminal A versus B).</w:t>
      </w:r>
    </w:p>
    <w:p w14:paraId="40EF36BD" w14:textId="77777777" w:rsidR="00A13D2D" w:rsidRPr="00B40B27" w:rsidRDefault="00A13D2D" w:rsidP="00A13D2D">
      <w:pPr>
        <w:pStyle w:val="Numberbullet0"/>
        <w:numPr>
          <w:ilvl w:val="0"/>
          <w:numId w:val="2"/>
        </w:numPr>
      </w:pPr>
      <w:r w:rsidRPr="00B40B27">
        <w:t>Does the sponsor have any view about the evidence base or clinical implications of expansion of the indication to include men?</w:t>
      </w:r>
    </w:p>
    <w:p w14:paraId="3413D8D0" w14:textId="77777777" w:rsidR="00A13D2D" w:rsidRPr="00B40B27" w:rsidRDefault="00A13D2D" w:rsidP="00A13D2D">
      <w:pPr>
        <w:pStyle w:val="Numberbullet0"/>
        <w:numPr>
          <w:ilvl w:val="0"/>
          <w:numId w:val="2"/>
        </w:numPr>
      </w:pPr>
      <w:r w:rsidRPr="00B40B27">
        <w:t>Does the sponsor have any view about the evidence base or clinical implications of expansion of the indication to include all women (as opposed to postmenopausal women)?</w:t>
      </w:r>
    </w:p>
    <w:p w14:paraId="3230054F" w14:textId="3C7E9490" w:rsidR="008E19F5" w:rsidRPr="00A13D2D" w:rsidRDefault="00A13D2D" w:rsidP="002B09C3">
      <w:pPr>
        <w:pStyle w:val="Numberbullet0"/>
        <w:numPr>
          <w:ilvl w:val="0"/>
          <w:numId w:val="2"/>
        </w:numPr>
      </w:pPr>
      <w:r w:rsidRPr="00A214DD">
        <w:t>Will all pack sizes be marketed? If the 21 tablet pack is not marketed, what extra steps will the sponsor take to minimise medication error in patients who are dose reduced to 200 mg per day on Days 1 to 21 per cycle?</w:t>
      </w:r>
    </w:p>
    <w:p w14:paraId="6F4F301B" w14:textId="14F49723" w:rsidR="00D23139" w:rsidRPr="00B8122D" w:rsidRDefault="00F306C0" w:rsidP="00D23139">
      <w:pPr>
        <w:pStyle w:val="Heading4"/>
      </w:pPr>
      <w:r>
        <w:t>Request for AC</w:t>
      </w:r>
      <w:r w:rsidR="00D23139" w:rsidRPr="00B8122D">
        <w:t>M advice</w:t>
      </w:r>
    </w:p>
    <w:p w14:paraId="77DF8046" w14:textId="77777777" w:rsidR="00A90ACA" w:rsidRPr="00B8122D" w:rsidRDefault="00A90ACA" w:rsidP="00A90ACA">
      <w:r w:rsidRPr="00B8122D">
        <w:t>The committee is requested to provide advice on the following specific issues:</w:t>
      </w:r>
    </w:p>
    <w:p w14:paraId="3826398B" w14:textId="77777777" w:rsidR="00FF5F7A" w:rsidRPr="00B8122D" w:rsidRDefault="00A90ACA" w:rsidP="00966B2A">
      <w:pPr>
        <w:pStyle w:val="Numberbullet0"/>
        <w:numPr>
          <w:ilvl w:val="0"/>
          <w:numId w:val="21"/>
        </w:numPr>
      </w:pPr>
      <w:r w:rsidRPr="00B8122D">
        <w:t>Should</w:t>
      </w:r>
      <w:r w:rsidR="00FF5F7A" w:rsidRPr="00B8122D">
        <w:t xml:space="preserve"> the indication allow use with:</w:t>
      </w:r>
    </w:p>
    <w:p w14:paraId="7E0502FE" w14:textId="77777777" w:rsidR="00FF5F7A" w:rsidRPr="00B8122D" w:rsidRDefault="00A90ACA" w:rsidP="00FF5F7A">
      <w:pPr>
        <w:pStyle w:val="Numberbullet2"/>
      </w:pPr>
      <w:r w:rsidRPr="00B8122D">
        <w:t xml:space="preserve">letrozole (supported by Study </w:t>
      </w:r>
      <w:r w:rsidR="00FF5F7A" w:rsidRPr="00B8122D">
        <w:t>A2301);</w:t>
      </w:r>
    </w:p>
    <w:p w14:paraId="27BF1B21" w14:textId="77777777" w:rsidR="00FF5F7A" w:rsidRPr="00B8122D" w:rsidRDefault="00A90ACA" w:rsidP="00FF5F7A">
      <w:pPr>
        <w:pStyle w:val="Numberbullet2"/>
      </w:pPr>
      <w:r w:rsidRPr="00B8122D">
        <w:t>with non-steroidal aromatase inhibitors (the cl</w:t>
      </w:r>
      <w:r w:rsidR="00FF5F7A" w:rsidRPr="00B8122D">
        <w:t>inical evaluator’s preference); or</w:t>
      </w:r>
    </w:p>
    <w:p w14:paraId="5448FDB5" w14:textId="552FBF50" w:rsidR="00A90ACA" w:rsidRPr="00B8122D" w:rsidRDefault="00A90ACA" w:rsidP="00FF5F7A">
      <w:pPr>
        <w:pStyle w:val="Numberbullet2"/>
      </w:pPr>
      <w:r w:rsidRPr="00B8122D">
        <w:t xml:space="preserve">with aromatase inhibitors (proposed by the sponsor, endorsed by the FDA’s approved indication, supported by the </w:t>
      </w:r>
      <w:r w:rsidR="00B14843">
        <w:t xml:space="preserve">EMA’s </w:t>
      </w:r>
      <w:r w:rsidR="00B14843" w:rsidRPr="00B14843">
        <w:t xml:space="preserve">Committee for Medicinal Products </w:t>
      </w:r>
      <w:r w:rsidR="00B14843" w:rsidRPr="00B14843">
        <w:lastRenderedPageBreak/>
        <w:t xml:space="preserve">for Human Use </w:t>
      </w:r>
      <w:r w:rsidR="00B14843">
        <w:t>(</w:t>
      </w:r>
      <w:r w:rsidRPr="00B8122D">
        <w:t>CHMP</w:t>
      </w:r>
      <w:r w:rsidR="00B14843">
        <w:t>)</w:t>
      </w:r>
      <w:r w:rsidRPr="00B8122D">
        <w:t>, and corresponding to indication wording for palbociclib)?</w:t>
      </w:r>
    </w:p>
    <w:p w14:paraId="0F39E166" w14:textId="1F45E732" w:rsidR="00A90ACA" w:rsidRPr="00B8122D" w:rsidRDefault="00A90ACA" w:rsidP="008E4AD8">
      <w:pPr>
        <w:pStyle w:val="Numberbullet0"/>
      </w:pPr>
      <w:r w:rsidRPr="00B8122D">
        <w:t>Does the ACM support a boxed warning</w:t>
      </w:r>
      <w:r w:rsidR="00FF5F7A" w:rsidRPr="00B8122D">
        <w:t xml:space="preserve"> for QT interval prolongation? </w:t>
      </w:r>
      <w:r w:rsidRPr="00B8122D">
        <w:t>If so, does it have any suggestions about the content of this warning?</w:t>
      </w:r>
    </w:p>
    <w:p w14:paraId="3A88B4F6" w14:textId="57C33930" w:rsidR="00A90ACA" w:rsidRPr="00B8122D" w:rsidRDefault="00A90ACA" w:rsidP="008E4AD8">
      <w:pPr>
        <w:pStyle w:val="Numberbullet0"/>
      </w:pPr>
      <w:r w:rsidRPr="00B8122D">
        <w:t xml:space="preserve">Given the </w:t>
      </w:r>
      <w:r w:rsidR="00FF5F7A" w:rsidRPr="00B8122D">
        <w:t xml:space="preserve">clinical </w:t>
      </w:r>
      <w:r w:rsidRPr="00B8122D">
        <w:t>evaluator’s reservations about the sponsor’s proposed monitoring approach, does the ACM have any suggestions about a preferable approach to be included in the PI?</w:t>
      </w:r>
    </w:p>
    <w:p w14:paraId="7B52B5FB" w14:textId="3EBE253F" w:rsidR="00FF5F7A" w:rsidRPr="00B8122D" w:rsidRDefault="00FF5F7A" w:rsidP="00935332">
      <w:pPr>
        <w:pStyle w:val="Numberbullet0"/>
        <w:keepNext/>
      </w:pPr>
      <w:r w:rsidRPr="00B8122D">
        <w:t>Given:</w:t>
      </w:r>
    </w:p>
    <w:p w14:paraId="1027DB24" w14:textId="77777777" w:rsidR="00FF5F7A" w:rsidRPr="00B8122D" w:rsidRDefault="00A90ACA" w:rsidP="00FF5F7A">
      <w:pPr>
        <w:pStyle w:val="Numberbullet2"/>
      </w:pPr>
      <w:r w:rsidRPr="00B8122D">
        <w:t>the apparently different safety profile of ribociclib v</w:t>
      </w:r>
      <w:r w:rsidR="00FF5F7A" w:rsidRPr="00B8122D">
        <w:t>ersus palbociclib;</w:t>
      </w:r>
    </w:p>
    <w:p w14:paraId="5D4F0453" w14:textId="77777777" w:rsidR="00FF5F7A" w:rsidRPr="00B8122D" w:rsidRDefault="00A90ACA" w:rsidP="00FF5F7A">
      <w:pPr>
        <w:pStyle w:val="Numberbullet2"/>
      </w:pPr>
      <w:r w:rsidRPr="00B8122D">
        <w:t>the different evid</w:t>
      </w:r>
      <w:r w:rsidR="00FF5F7A" w:rsidRPr="00B8122D">
        <w:t>ence base for the two products; and</w:t>
      </w:r>
    </w:p>
    <w:p w14:paraId="52AC49AB" w14:textId="0ADE6C75" w:rsidR="00FF5F7A" w:rsidRPr="00B8122D" w:rsidRDefault="00A90ACA" w:rsidP="00FF5F7A">
      <w:pPr>
        <w:pStyle w:val="Numberbullet2"/>
      </w:pPr>
      <w:r w:rsidRPr="00B8122D">
        <w:t>the expectation of new data informing use in pre-menopausal women (</w:t>
      </w:r>
      <w:r w:rsidR="00FF5F7A" w:rsidRPr="00B8122D">
        <w:t>Study </w:t>
      </w:r>
      <w:r w:rsidRPr="00B8122D">
        <w:t xml:space="preserve">E2301; </w:t>
      </w:r>
      <w:r w:rsidRPr="00526A7D">
        <w:t>TGA s</w:t>
      </w:r>
      <w:r w:rsidR="00FF5F7A" w:rsidRPr="00526A7D">
        <w:t>ubmission possible by Q3 2018</w:t>
      </w:r>
      <w:r w:rsidR="00FF5F7A" w:rsidRPr="00B8122D">
        <w:t>);</w:t>
      </w:r>
    </w:p>
    <w:p w14:paraId="29930FF8" w14:textId="0059338D" w:rsidR="00A90ACA" w:rsidRPr="00B8122D" w:rsidRDefault="00A90ACA" w:rsidP="00FF5F7A">
      <w:pPr>
        <w:pStyle w:val="Numberbullet0"/>
        <w:numPr>
          <w:ilvl w:val="0"/>
          <w:numId w:val="0"/>
        </w:numPr>
        <w:ind w:left="425"/>
      </w:pPr>
      <w:r w:rsidRPr="00B8122D">
        <w:t xml:space="preserve">does the ACM recommend that the ribociclib indication be limited to </w:t>
      </w:r>
      <w:r w:rsidR="00FF5F7A" w:rsidRPr="00B8122D">
        <w:rPr>
          <w:i/>
        </w:rPr>
        <w:t>‘</w:t>
      </w:r>
      <w:r w:rsidRPr="00B8122D">
        <w:rPr>
          <w:i/>
        </w:rPr>
        <w:t>post-menopausal women</w:t>
      </w:r>
      <w:r w:rsidR="00FF5F7A" w:rsidRPr="00B8122D">
        <w:t>’</w:t>
      </w:r>
      <w:r w:rsidRPr="00B8122D">
        <w:t xml:space="preserve">, to </w:t>
      </w:r>
      <w:r w:rsidR="00FF5F7A" w:rsidRPr="00B8122D">
        <w:t>‘</w:t>
      </w:r>
      <w:r w:rsidRPr="00B8122D">
        <w:rPr>
          <w:i/>
        </w:rPr>
        <w:t>men and post-menopausal women</w:t>
      </w:r>
      <w:r w:rsidR="00FF5F7A" w:rsidRPr="00B8122D">
        <w:rPr>
          <w:i/>
        </w:rPr>
        <w:t>’</w:t>
      </w:r>
      <w:r w:rsidRPr="00B8122D">
        <w:t xml:space="preserve">, or to </w:t>
      </w:r>
      <w:r w:rsidR="00FF5F7A" w:rsidRPr="00B8122D">
        <w:t>‘</w:t>
      </w:r>
      <w:r w:rsidRPr="00B8122D">
        <w:rPr>
          <w:i/>
        </w:rPr>
        <w:t>men and women as per palbociclib</w:t>
      </w:r>
      <w:r w:rsidR="00FF5F7A" w:rsidRPr="00B8122D">
        <w:t>’</w:t>
      </w:r>
      <w:r w:rsidRPr="00B8122D">
        <w:t>?</w:t>
      </w:r>
    </w:p>
    <w:p w14:paraId="09D86554" w14:textId="051991C8" w:rsidR="00A90ACA" w:rsidRPr="00B8122D" w:rsidRDefault="00A90ACA" w:rsidP="00A90ACA">
      <w:r w:rsidRPr="00B8122D">
        <w:t xml:space="preserve">Please also take into account the </w:t>
      </w:r>
      <w:r w:rsidR="00F306C0">
        <w:t>sponsor’s Pre-ACM r</w:t>
      </w:r>
      <w:r w:rsidRPr="00B8122D">
        <w:t>esponse to question</w:t>
      </w:r>
      <w:r w:rsidR="00FF5F7A" w:rsidRPr="00B8122D">
        <w:t>s</w:t>
      </w:r>
      <w:r w:rsidRPr="00B8122D">
        <w:t xml:space="preserve"> in this regard.</w:t>
      </w:r>
    </w:p>
    <w:p w14:paraId="63BD7FDF" w14:textId="22A113F4" w:rsidR="00A90ACA" w:rsidRDefault="00A90ACA" w:rsidP="00A90ACA">
      <w:r w:rsidRPr="00B8122D">
        <w:t>The committee is also requested to provide advice on any other issues that it thinks may be relevant to a decision on whether or not to approve this application.</w:t>
      </w:r>
    </w:p>
    <w:p w14:paraId="5F163BF7" w14:textId="62FCB8EC" w:rsidR="00F637C4" w:rsidRDefault="00F637C4" w:rsidP="002B09C3">
      <w:pPr>
        <w:pStyle w:val="Heading4"/>
      </w:pPr>
      <w:r>
        <w:t>Response from sponsor</w:t>
      </w:r>
    </w:p>
    <w:p w14:paraId="144F26F4" w14:textId="39423B53" w:rsidR="00F637C4" w:rsidRPr="00F637C4" w:rsidRDefault="005D4724">
      <w:r>
        <w:t>[I</w:t>
      </w:r>
      <w:r w:rsidR="00F637C4">
        <w:t>nformation redacted]</w:t>
      </w:r>
    </w:p>
    <w:p w14:paraId="4831AB61" w14:textId="780F518A" w:rsidR="008E7846" w:rsidRPr="00B8122D" w:rsidRDefault="00FA707B" w:rsidP="008E7846">
      <w:pPr>
        <w:pStyle w:val="Heading4"/>
      </w:pPr>
      <w:r w:rsidRPr="00B8122D">
        <w:t>Advisory Committee c</w:t>
      </w:r>
      <w:r w:rsidR="008E7846" w:rsidRPr="00B8122D">
        <w:t>onsiderations</w:t>
      </w:r>
    </w:p>
    <w:p w14:paraId="348872F1" w14:textId="339773BA" w:rsidR="008E7846" w:rsidRPr="00862E2B" w:rsidRDefault="00D23139" w:rsidP="00862E2B">
      <w:r w:rsidRPr="00862E2B">
        <w:t xml:space="preserve">The Advisory Committee on </w:t>
      </w:r>
      <w:r w:rsidR="00E87AEF" w:rsidRPr="00862E2B">
        <w:t>Medicines (ACM</w:t>
      </w:r>
      <w:r w:rsidRPr="00862E2B">
        <w:t xml:space="preserve">), having considered the evaluations and the Delegate’s overview, as well as the sponsor’s response to these documents, </w:t>
      </w:r>
      <w:r w:rsidR="002A2DD2" w:rsidRPr="00862E2B">
        <w:t>supported the</w:t>
      </w:r>
      <w:r w:rsidRPr="00862E2B">
        <w:t xml:space="preserve"> </w:t>
      </w:r>
      <w:r w:rsidR="00862E2B" w:rsidRPr="00862E2B">
        <w:t xml:space="preserve">registration of Kisqali film-coated tablet, containing 200 mg of ribociclib </w:t>
      </w:r>
      <w:r w:rsidR="00862E2B">
        <w:t>for the</w:t>
      </w:r>
      <w:r w:rsidR="00862E2B" w:rsidRPr="00862E2B">
        <w:t xml:space="preserve"> </w:t>
      </w:r>
      <w:r w:rsidRPr="00862E2B">
        <w:t>following</w:t>
      </w:r>
      <w:r w:rsidR="002A2DD2" w:rsidRPr="00862E2B">
        <w:t xml:space="preserve"> indication</w:t>
      </w:r>
      <w:r w:rsidRPr="00862E2B">
        <w:t>:</w:t>
      </w:r>
    </w:p>
    <w:p w14:paraId="0CAFF1DC" w14:textId="5F134250" w:rsidR="002A2DD2" w:rsidRPr="00B8122D" w:rsidRDefault="002A2DD2" w:rsidP="002A2DD2">
      <w:pPr>
        <w:ind w:left="720"/>
        <w:rPr>
          <w:bCs/>
        </w:rPr>
      </w:pPr>
      <w:r w:rsidRPr="00B8122D">
        <w:rPr>
          <w:bCs/>
          <w:i/>
          <w:iCs/>
        </w:rPr>
        <w:t xml:space="preserve">Kisqali in combination with an aromatase inhibitor is indicated for the treatment of men and postmenopausal women with hormone receptor positive (HR+), human epidermal growth factor receptor 2 negative (HER2-) advanced or metastatic breast cancer, as an </w:t>
      </w:r>
      <w:r w:rsidR="005D4724">
        <w:rPr>
          <w:bCs/>
          <w:i/>
          <w:iCs/>
        </w:rPr>
        <w:t>initial endocrine-based therapy</w:t>
      </w:r>
      <w:r w:rsidRPr="00B8122D">
        <w:rPr>
          <w:bCs/>
          <w:i/>
          <w:iCs/>
        </w:rPr>
        <w:t>.</w:t>
      </w:r>
    </w:p>
    <w:p w14:paraId="3EFE7CE3" w14:textId="43E9A031" w:rsidR="00EB7D4D" w:rsidRPr="00B8122D" w:rsidRDefault="002A2DD2" w:rsidP="00EB7D4D">
      <w:pPr>
        <w:rPr>
          <w:bCs/>
        </w:rPr>
      </w:pPr>
      <w:r w:rsidRPr="00B8122D">
        <w:rPr>
          <w:bCs/>
        </w:rPr>
        <w:t xml:space="preserve">The </w:t>
      </w:r>
      <w:r w:rsidR="00EB7D4D" w:rsidRPr="00B8122D">
        <w:rPr>
          <w:bCs/>
        </w:rPr>
        <w:t>ACM noted that ribociclib is approved by the US FDA; a decision by the EMA has not yet been made (but CHMP adopted a pos</w:t>
      </w:r>
      <w:r w:rsidR="00E87AEF" w:rsidRPr="00B8122D">
        <w:rPr>
          <w:bCs/>
        </w:rPr>
        <w:t>itive opinion on 22 June 2017).</w:t>
      </w:r>
    </w:p>
    <w:p w14:paraId="4409D360" w14:textId="6040C2E8" w:rsidR="00EB7D4D" w:rsidRPr="00B8122D" w:rsidRDefault="00EB7D4D" w:rsidP="00FA707B">
      <w:pPr>
        <w:pStyle w:val="Heading5"/>
        <w:rPr>
          <w:rFonts w:eastAsiaTheme="minorHAnsi"/>
        </w:rPr>
      </w:pPr>
      <w:r w:rsidRPr="00B8122D">
        <w:rPr>
          <w:rFonts w:eastAsiaTheme="minorHAnsi"/>
        </w:rPr>
        <w:t xml:space="preserve">General </w:t>
      </w:r>
      <w:r w:rsidR="00FA707B" w:rsidRPr="00B8122D">
        <w:rPr>
          <w:rFonts w:eastAsiaTheme="minorHAnsi"/>
        </w:rPr>
        <w:t>comments</w:t>
      </w:r>
    </w:p>
    <w:p w14:paraId="47FEEB95" w14:textId="28A0542A" w:rsidR="00EB7D4D" w:rsidRPr="00B8122D" w:rsidRDefault="00EB7D4D" w:rsidP="00EB7D4D">
      <w:pPr>
        <w:rPr>
          <w:bCs/>
        </w:rPr>
      </w:pPr>
      <w:r w:rsidRPr="00B8122D">
        <w:rPr>
          <w:bCs/>
        </w:rPr>
        <w:t>ACM considered the following issues with regards to the black box warning and adminis</w:t>
      </w:r>
      <w:r w:rsidR="00E87AEF" w:rsidRPr="00B8122D">
        <w:rPr>
          <w:bCs/>
        </w:rPr>
        <w:t>tration instructions:</w:t>
      </w:r>
    </w:p>
    <w:p w14:paraId="19A08793" w14:textId="2CD01D4B" w:rsidR="00EB7D4D" w:rsidRPr="00B8122D" w:rsidRDefault="00E87AEF" w:rsidP="00E87AEF">
      <w:pPr>
        <w:pStyle w:val="ListBullet"/>
      </w:pPr>
      <w:r w:rsidRPr="00B8122D">
        <w:t>T</w:t>
      </w:r>
      <w:r w:rsidR="00EB7D4D" w:rsidRPr="00B8122D">
        <w:t>he proposed monitoring, being less than that provided in the p</w:t>
      </w:r>
      <w:r w:rsidRPr="00B8122D">
        <w:t>ivotal trial, was unacceptable.</w:t>
      </w:r>
    </w:p>
    <w:p w14:paraId="3E7DE114" w14:textId="7C5B110F" w:rsidR="00EB7D4D" w:rsidRPr="00B8122D" w:rsidRDefault="00EB7D4D" w:rsidP="00E87AEF">
      <w:pPr>
        <w:pStyle w:val="ListBullet"/>
      </w:pPr>
      <w:r w:rsidRPr="00B8122D">
        <w:t>ECG and electrolyte monitoring needs to occur more intensively than is proposed by the sponsor, and there should be ongoing monitoring with ECG for QTc prolongation and ongoing electrolyte monitoring, given that QTc prolongation was seen throughou</w:t>
      </w:r>
      <w:r w:rsidR="00E87AEF" w:rsidRPr="00B8122D">
        <w:t>t the entire treatment duration.</w:t>
      </w:r>
    </w:p>
    <w:p w14:paraId="7E308B76" w14:textId="75CF874B" w:rsidR="00EB7D4D" w:rsidRPr="00B8122D" w:rsidRDefault="00E87AEF" w:rsidP="00E87AEF">
      <w:pPr>
        <w:pStyle w:val="ListBullet"/>
      </w:pPr>
      <w:r w:rsidRPr="00B8122D">
        <w:t>A</w:t>
      </w:r>
      <w:r w:rsidR="00EB7D4D" w:rsidRPr="00B8122D">
        <w:t xml:space="preserve">longside documentation (and physician estimation of QTc), electrolytes and all concomitant medications should be reviewed, at a minimum prior to each cycle but </w:t>
      </w:r>
      <w:r w:rsidR="00EB7D4D" w:rsidRPr="00B8122D">
        <w:lastRenderedPageBreak/>
        <w:t>more intensively in initial cycles, recognising that QTc prolongation is often the result of multiple medications, electrolyte abnormalitie</w:t>
      </w:r>
      <w:r w:rsidRPr="00B8122D">
        <w:t>s and patient specific factors.</w:t>
      </w:r>
    </w:p>
    <w:p w14:paraId="5280E900" w14:textId="3C4F0FC7" w:rsidR="00EB7D4D" w:rsidRPr="00B8122D" w:rsidRDefault="00E87AEF" w:rsidP="00E87AEF">
      <w:pPr>
        <w:pStyle w:val="ListBullet"/>
      </w:pPr>
      <w:r w:rsidRPr="00B8122D">
        <w:t xml:space="preserve">The </w:t>
      </w:r>
      <w:r w:rsidR="00EB7D4D" w:rsidRPr="00B8122D">
        <w:t xml:space="preserve">ACM suggested that the ECG and </w:t>
      </w:r>
      <w:r w:rsidR="00BB0783">
        <w:t>b</w:t>
      </w:r>
      <w:r w:rsidR="00EB7D4D" w:rsidRPr="00B8122D">
        <w:t>lood</w:t>
      </w:r>
      <w:r w:rsidR="00BB0783">
        <w:t xml:space="preserve"> tests</w:t>
      </w:r>
      <w:r w:rsidR="00EB7D4D" w:rsidRPr="00B8122D">
        <w:t xml:space="preserve"> (</w:t>
      </w:r>
      <w:r w:rsidR="00E6768D">
        <w:t>FBE</w:t>
      </w:r>
      <w:r w:rsidR="00BB0783">
        <w:t>, e</w:t>
      </w:r>
      <w:r w:rsidR="00EB7D4D" w:rsidRPr="00B8122D">
        <w:t>lectrolytes, LFT</w:t>
      </w:r>
      <w:r w:rsidR="00BB0783">
        <w:t>s</w:t>
      </w:r>
      <w:r w:rsidR="00EB7D4D" w:rsidRPr="00B8122D">
        <w:t>) be monitored weekly for C</w:t>
      </w:r>
      <w:r w:rsidR="00BB0783">
        <w:t xml:space="preserve">ycle </w:t>
      </w:r>
      <w:r w:rsidR="00EB7D4D" w:rsidRPr="00B8122D">
        <w:t xml:space="preserve">1 and </w:t>
      </w:r>
      <w:r w:rsidR="00BB0783">
        <w:t>every other week</w:t>
      </w:r>
      <w:r w:rsidR="00EB7D4D" w:rsidRPr="00B8122D">
        <w:t xml:space="preserve"> for C</w:t>
      </w:r>
      <w:r w:rsidR="00BB0783">
        <w:t xml:space="preserve">ycles </w:t>
      </w:r>
      <w:r w:rsidR="00EB7D4D" w:rsidRPr="00B8122D">
        <w:t>2 and thereafter before Day 1 (D1) for each cycle.</w:t>
      </w:r>
    </w:p>
    <w:p w14:paraId="3A78B68A" w14:textId="3CE6C76E" w:rsidR="00691323" w:rsidRPr="00B8122D" w:rsidRDefault="00691323" w:rsidP="00691323">
      <w:pPr>
        <w:pStyle w:val="ListBullet"/>
      </w:pPr>
      <w:r w:rsidRPr="00B8122D">
        <w:t>A QTc of &gt; 500 ms was an absolute contraindication to drug administration. Furthermore, documentation of QTc prolongation of &gt; 60 ms after exposure to drug was a contraindication to further use,</w:t>
      </w:r>
    </w:p>
    <w:p w14:paraId="43FF915E" w14:textId="21C7B8D3" w:rsidR="00691323" w:rsidRPr="00B8122D" w:rsidRDefault="00691323" w:rsidP="00691323">
      <w:pPr>
        <w:pStyle w:val="ListBullet"/>
      </w:pPr>
      <w:r w:rsidRPr="00B8122D">
        <w:t>The instructions to physicians need to be re written in order to clearly incorporate the above concerns.</w:t>
      </w:r>
    </w:p>
    <w:p w14:paraId="3E7896B2" w14:textId="4F56833C" w:rsidR="00691323" w:rsidRPr="00B8122D" w:rsidRDefault="00691323" w:rsidP="00691323">
      <w:pPr>
        <w:pStyle w:val="ListBullet"/>
      </w:pPr>
      <w:r w:rsidRPr="00B8122D">
        <w:t>The instructions for a physician need to state that T</w:t>
      </w:r>
      <w:r w:rsidR="00BB0783">
        <w:t>orsade de pointes</w:t>
      </w:r>
      <w:r w:rsidRPr="00B8122D">
        <w:t xml:space="preserve">, </w:t>
      </w:r>
      <w:r w:rsidR="00BB0783">
        <w:t xml:space="preserve">ventricular tachycardia </w:t>
      </w:r>
      <w:r w:rsidRPr="00B8122D">
        <w:t xml:space="preserve">and syncope (unless reviewed by a cardiologist or physician with identification of another aetiology) also constituted a contraindication to further use, </w:t>
      </w:r>
    </w:p>
    <w:p w14:paraId="620EDC67" w14:textId="3EFF0A11" w:rsidR="00691323" w:rsidRPr="00B8122D" w:rsidRDefault="00691323" w:rsidP="00691323">
      <w:pPr>
        <w:pStyle w:val="ListBullet"/>
      </w:pPr>
      <w:r w:rsidRPr="00B8122D">
        <w:t>The PI and CMI both needed significant alterations regarding the risk of QTc prolongation and information provided.</w:t>
      </w:r>
    </w:p>
    <w:p w14:paraId="3786E3B3" w14:textId="4CDA0DC3" w:rsidR="00CD3400" w:rsidRPr="00B8122D" w:rsidRDefault="00CD3400" w:rsidP="00CD3400">
      <w:pPr>
        <w:pStyle w:val="Heading5"/>
      </w:pPr>
      <w:r w:rsidRPr="00B8122D">
        <w:t>Specific advice</w:t>
      </w:r>
    </w:p>
    <w:p w14:paraId="72284022" w14:textId="3A41BB16" w:rsidR="00CD3400" w:rsidRPr="00B8122D" w:rsidRDefault="00CD3400" w:rsidP="00CD3400">
      <w:r w:rsidRPr="00B8122D">
        <w:t>The ACM advised the following in response to the Delegate’s specific questions on the submission:</w:t>
      </w:r>
    </w:p>
    <w:p w14:paraId="4AB3B48E" w14:textId="5FD6B02E" w:rsidR="00CD3400" w:rsidRPr="00B8122D" w:rsidRDefault="00CD3400" w:rsidP="00CD3400">
      <w:pPr>
        <w:pStyle w:val="Numberbullet0"/>
        <w:numPr>
          <w:ilvl w:val="0"/>
          <w:numId w:val="30"/>
        </w:numPr>
        <w:rPr>
          <w:i/>
        </w:rPr>
      </w:pPr>
      <w:r w:rsidRPr="00B8122D">
        <w:rPr>
          <w:i/>
        </w:rPr>
        <w:t>Should the indication allow use with: letrozole (supp</w:t>
      </w:r>
      <w:r w:rsidR="00F02FEB" w:rsidRPr="00B8122D">
        <w:rPr>
          <w:i/>
        </w:rPr>
        <w:t>orted by Study A2301); with non</w:t>
      </w:r>
      <w:r w:rsidRPr="00B8122D">
        <w:rPr>
          <w:i/>
        </w:rPr>
        <w:t>steroidal aromatase inhibitors (the clinical evaluator’s preference); or with aromatase inhibitors (proposed by the sponsor, endorsed by the FDA’s approved indication, supported by the CHMP, and corresponding to indication wording for palbociclib)?</w:t>
      </w:r>
    </w:p>
    <w:p w14:paraId="6B2287E5" w14:textId="36A650E1" w:rsidR="00CD3400" w:rsidRPr="00B8122D" w:rsidRDefault="00CD3400" w:rsidP="00CD3400">
      <w:r w:rsidRPr="00B8122D">
        <w:t>The ACM agreed that a broad indication in the PI should be considered. The ACM suggested that the indication include aromatase inhibitors rather than letrozole alone or restriction to non</w:t>
      </w:r>
      <w:r w:rsidR="006D190E">
        <w:t>steroidal aromatase inhibitors.</w:t>
      </w:r>
    </w:p>
    <w:p w14:paraId="26C45401" w14:textId="4CAE6249" w:rsidR="00CD3400" w:rsidRPr="00B8122D" w:rsidRDefault="00CD3400" w:rsidP="00F02FEB">
      <w:pPr>
        <w:pStyle w:val="Numberbullet0"/>
        <w:rPr>
          <w:i/>
        </w:rPr>
      </w:pPr>
      <w:r w:rsidRPr="00B8122D">
        <w:rPr>
          <w:i/>
        </w:rPr>
        <w:t>Does the ACM support a boxed warning for QT interval prolongation? If so, does it have any suggestions abo</w:t>
      </w:r>
      <w:r w:rsidR="00F02FEB" w:rsidRPr="00B8122D">
        <w:rPr>
          <w:i/>
        </w:rPr>
        <w:t>ut the content of this warning?</w:t>
      </w:r>
    </w:p>
    <w:p w14:paraId="54D76EEC" w14:textId="47506A5B" w:rsidR="00CD3400" w:rsidRPr="00B8122D" w:rsidRDefault="00F02FEB" w:rsidP="00CD3400">
      <w:r w:rsidRPr="00B8122D">
        <w:t xml:space="preserve">The </w:t>
      </w:r>
      <w:r w:rsidR="00CD3400" w:rsidRPr="00B8122D">
        <w:t>ACM supported the evaluator’s recommendation for a boxed warning in PI and C</w:t>
      </w:r>
      <w:r w:rsidRPr="00B8122D">
        <w:t>MI.</w:t>
      </w:r>
    </w:p>
    <w:p w14:paraId="67C7354A" w14:textId="5500E2BE" w:rsidR="00CD3400" w:rsidRPr="00B8122D" w:rsidRDefault="00F02FEB" w:rsidP="00CD3400">
      <w:r w:rsidRPr="00B8122D">
        <w:t xml:space="preserve">The </w:t>
      </w:r>
      <w:r w:rsidR="00CD3400" w:rsidRPr="00B8122D">
        <w:t>ACM agreed that a boxed warning for QT interval prolongation was beneficial. ACM suggested that the following be included in the co</w:t>
      </w:r>
      <w:r w:rsidRPr="00B8122D">
        <w:t>ntent of the black box warning:</w:t>
      </w:r>
    </w:p>
    <w:p w14:paraId="55C8E9B9" w14:textId="755D880E" w:rsidR="00F02FEB" w:rsidRPr="00B8122D" w:rsidRDefault="00CD3400" w:rsidP="00F02FEB">
      <w:pPr>
        <w:pStyle w:val="ListBullet"/>
      </w:pPr>
      <w:r w:rsidRPr="00B8122D">
        <w:t>Dose dependent i</w:t>
      </w:r>
      <w:r w:rsidR="00F02FEB" w:rsidRPr="00B8122D">
        <w:t xml:space="preserve">ncrease in QT prolongation (400 to </w:t>
      </w:r>
      <w:r w:rsidRPr="00B8122D">
        <w:t>900</w:t>
      </w:r>
      <w:r w:rsidR="00F02FEB" w:rsidRPr="00B8122D">
        <w:t xml:space="preserve"> </w:t>
      </w:r>
      <w:r w:rsidRPr="00B8122D">
        <w:t>mg)</w:t>
      </w:r>
      <w:r w:rsidR="00F02FEB" w:rsidRPr="00B8122D">
        <w:t>.</w:t>
      </w:r>
    </w:p>
    <w:p w14:paraId="60542C8D" w14:textId="11420ADA" w:rsidR="00F02FEB" w:rsidRPr="00B8122D" w:rsidRDefault="00CD3400" w:rsidP="00F02FEB">
      <w:pPr>
        <w:pStyle w:val="ListBullet"/>
      </w:pPr>
      <w:r w:rsidRPr="00B8122D">
        <w:t>Concomitant medications which cause QT prolongation need to be listed</w:t>
      </w:r>
      <w:r w:rsidR="00F02FEB" w:rsidRPr="00B8122D">
        <w:t>.</w:t>
      </w:r>
    </w:p>
    <w:p w14:paraId="1BDE7708" w14:textId="4B099B06" w:rsidR="00CD3400" w:rsidRPr="00B8122D" w:rsidRDefault="00CD3400" w:rsidP="00CD3400">
      <w:pPr>
        <w:pStyle w:val="ListBullet"/>
      </w:pPr>
      <w:r w:rsidRPr="00B8122D">
        <w:t>Add the following additional statement in the black box content ‘</w:t>
      </w:r>
      <w:r w:rsidRPr="00B8122D">
        <w:rPr>
          <w:i/>
          <w:iCs/>
        </w:rPr>
        <w:t>Acquired QT interval</w:t>
      </w:r>
      <w:r w:rsidR="00F02FEB" w:rsidRPr="00B8122D">
        <w:rPr>
          <w:i/>
          <w:iCs/>
        </w:rPr>
        <w:t xml:space="preserve"> </w:t>
      </w:r>
      <w:r w:rsidRPr="00B8122D">
        <w:rPr>
          <w:i/>
          <w:iCs/>
        </w:rPr>
        <w:t>prolongation may result from the combined effects of medication(s) and electrolyte abnormalities. Vigilance is required for possible adverse interactions’.</w:t>
      </w:r>
    </w:p>
    <w:p w14:paraId="40893C5B" w14:textId="4A8D1F34" w:rsidR="00CD3400" w:rsidRPr="00B8122D" w:rsidRDefault="00CD3400" w:rsidP="00F02FEB">
      <w:pPr>
        <w:pStyle w:val="Numberbullet0"/>
        <w:rPr>
          <w:i/>
        </w:rPr>
      </w:pPr>
      <w:r w:rsidRPr="00B8122D">
        <w:rPr>
          <w:i/>
        </w:rPr>
        <w:t xml:space="preserve">Given the evaluator’s reservations about the sponsor’s proposed monitoring approach, does the ACM have any suggestions about a preferable approach to be included in the PI? </w:t>
      </w:r>
    </w:p>
    <w:p w14:paraId="6BDD4FB7" w14:textId="1D5528CF" w:rsidR="00CD3400" w:rsidRPr="00B8122D" w:rsidRDefault="00F02FEB" w:rsidP="00CD3400">
      <w:r w:rsidRPr="00B8122D">
        <w:t xml:space="preserve">The </w:t>
      </w:r>
      <w:r w:rsidR="00CD3400" w:rsidRPr="00B8122D">
        <w:t xml:space="preserve">ACM agreed that given the high incidence of significant neutropaenia, other cytopaenias, raised </w:t>
      </w:r>
      <w:r w:rsidRPr="00B8122D">
        <w:t>LFTs</w:t>
      </w:r>
      <w:r w:rsidR="00CD3400" w:rsidRPr="00B8122D">
        <w:t xml:space="preserve"> and serious </w:t>
      </w:r>
      <w:r w:rsidRPr="00B8122D">
        <w:t>AEs</w:t>
      </w:r>
      <w:r w:rsidR="00CD3400" w:rsidRPr="00B8122D">
        <w:t xml:space="preserve"> of prolonged QT interval, the proposed m</w:t>
      </w:r>
      <w:r w:rsidRPr="00B8122D">
        <w:t>onitoring does seem inadequate.</w:t>
      </w:r>
    </w:p>
    <w:p w14:paraId="24480576" w14:textId="208B85B7" w:rsidR="00CD3400" w:rsidRPr="00B8122D" w:rsidRDefault="00F02FEB" w:rsidP="00CD3400">
      <w:r w:rsidRPr="00B8122D">
        <w:t xml:space="preserve">The </w:t>
      </w:r>
      <w:r w:rsidR="00CD3400" w:rsidRPr="00B8122D">
        <w:t>ACM noted that given the possibility of electrolyte abnormalities leading to QT prolongation electrolyte be monitored weekly. ACM also noted that neutrop</w:t>
      </w:r>
      <w:r w:rsidRPr="00B8122D">
        <w:t>a</w:t>
      </w:r>
      <w:r w:rsidR="00CD3400" w:rsidRPr="00B8122D">
        <w:t xml:space="preserve">enia and ECG changes are most likely </w:t>
      </w:r>
      <w:r w:rsidR="005D4724">
        <w:t>to happen in the first 4 weeks.</w:t>
      </w:r>
    </w:p>
    <w:p w14:paraId="7A063B95" w14:textId="3EC79491" w:rsidR="00CD3400" w:rsidRPr="00B8122D" w:rsidRDefault="00F02FEB" w:rsidP="00CD3400">
      <w:r w:rsidRPr="00B8122D">
        <w:lastRenderedPageBreak/>
        <w:t xml:space="preserve">The </w:t>
      </w:r>
      <w:r w:rsidR="00CD3400" w:rsidRPr="00B8122D">
        <w:t xml:space="preserve">ACM suggested that the ECG and </w:t>
      </w:r>
      <w:r w:rsidRPr="00B8122D">
        <w:t>blood</w:t>
      </w:r>
      <w:r w:rsidR="00CD3400" w:rsidRPr="00B8122D">
        <w:t xml:space="preserve"> </w:t>
      </w:r>
      <w:r w:rsidRPr="00B8122D">
        <w:t xml:space="preserve">tests </w:t>
      </w:r>
      <w:r w:rsidR="00CD3400" w:rsidRPr="00B8122D">
        <w:t>(FBE, Electrolytes, LFT) be monitored weekly for C</w:t>
      </w:r>
      <w:r w:rsidRPr="00B8122D">
        <w:t xml:space="preserve">ycle </w:t>
      </w:r>
      <w:r w:rsidR="00CD3400" w:rsidRPr="00B8122D">
        <w:t xml:space="preserve">1 and </w:t>
      </w:r>
      <w:r w:rsidRPr="00B8122D">
        <w:t>every 2 weeks</w:t>
      </w:r>
      <w:r w:rsidR="00CD3400" w:rsidRPr="00B8122D">
        <w:t xml:space="preserve"> for C</w:t>
      </w:r>
      <w:r w:rsidRPr="00B8122D">
        <w:t>ycle 2 and thereafter before Day 1</w:t>
      </w:r>
      <w:r w:rsidR="005D4724">
        <w:t xml:space="preserve"> for each cycle.</w:t>
      </w:r>
    </w:p>
    <w:p w14:paraId="664F8526" w14:textId="77777777" w:rsidR="003E4423" w:rsidRDefault="00CD3400" w:rsidP="00F02FEB">
      <w:pPr>
        <w:pStyle w:val="Numberbullet0"/>
        <w:rPr>
          <w:i/>
        </w:rPr>
      </w:pPr>
      <w:r w:rsidRPr="00B8122D">
        <w:rPr>
          <w:i/>
        </w:rPr>
        <w:t>Given (a) the apparently different safety profile of ribociclib v</w:t>
      </w:r>
      <w:r w:rsidR="00F02FEB" w:rsidRPr="00B8122D">
        <w:rPr>
          <w:i/>
        </w:rPr>
        <w:t>ersu</w:t>
      </w:r>
      <w:r w:rsidRPr="00B8122D">
        <w:rPr>
          <w:i/>
        </w:rPr>
        <w:t>s palbociclib, (b) the different evidence base for the two products, and (c) the expectation of new data informing use in pre-menopausal women (</w:t>
      </w:r>
      <w:r w:rsidR="00F02FEB" w:rsidRPr="00B8122D">
        <w:rPr>
          <w:i/>
        </w:rPr>
        <w:t xml:space="preserve">Study </w:t>
      </w:r>
      <w:r w:rsidRPr="00B8122D">
        <w:rPr>
          <w:i/>
        </w:rPr>
        <w:t xml:space="preserve">E2301; TGA submission possible by Q3 2018), does the ACM recommend that the ribociclib indication be limited to post- menopausal women, to men and post-menopausal women, or to men and women as per palbociclib? </w:t>
      </w:r>
    </w:p>
    <w:p w14:paraId="4C5C0BAD" w14:textId="13B3F7D9" w:rsidR="00F02FEB" w:rsidRPr="003607EF" w:rsidRDefault="00F02FEB" w:rsidP="003E4423">
      <w:r w:rsidRPr="00B8122D">
        <w:t xml:space="preserve">The </w:t>
      </w:r>
      <w:r w:rsidR="00CD3400" w:rsidRPr="00B8122D">
        <w:t>ACM agreed that riboc</w:t>
      </w:r>
      <w:r w:rsidRPr="00B8122D">
        <w:t>iclib should be limited to post</w:t>
      </w:r>
      <w:r w:rsidR="00CD3400" w:rsidRPr="00B8122D">
        <w:t xml:space="preserve">menopausal women and all male population but not pre-menopausal women. ACM noted that the opportunity of having a trial for male breast cancer would be unlikely. ACM agreed that there is existing evidence for efficacy of combination of AIs with ovarian suppression (either oophorectomy or goserelin) in </w:t>
      </w:r>
      <w:r w:rsidRPr="00B8122D">
        <w:t>premenopausal women. ACM noted that there were no biological reason to expect different efficacy or toxicity in males and that prior TGA approval of palbociclib in t</w:t>
      </w:r>
      <w:r w:rsidR="00691323" w:rsidRPr="00B8122D">
        <w:t>hese populations was supported.</w:t>
      </w:r>
    </w:p>
    <w:p w14:paraId="719D4B0D" w14:textId="77777777" w:rsidR="00F02FEB" w:rsidRPr="00B8122D" w:rsidRDefault="00F02FEB" w:rsidP="00F02FEB">
      <w:pPr>
        <w:pStyle w:val="Heading5"/>
      </w:pPr>
      <w:r w:rsidRPr="00B8122D">
        <w:t>Other comments</w:t>
      </w:r>
    </w:p>
    <w:p w14:paraId="0238C5FE" w14:textId="29377E69" w:rsidR="00F02FEB" w:rsidRPr="00B8122D" w:rsidRDefault="00F02FEB" w:rsidP="00F02FEB">
      <w:r w:rsidRPr="00B8122D">
        <w:t>The ACM also noted that:</w:t>
      </w:r>
    </w:p>
    <w:p w14:paraId="4D4E507F" w14:textId="77777777" w:rsidR="00F02FEB" w:rsidRPr="00B8122D" w:rsidRDefault="00F02FEB" w:rsidP="00F02FEB">
      <w:pPr>
        <w:pStyle w:val="Numberbullet0"/>
        <w:numPr>
          <w:ilvl w:val="0"/>
          <w:numId w:val="31"/>
        </w:numPr>
      </w:pPr>
      <w:r w:rsidRPr="00B8122D">
        <w:t>Treatment should be initiated by a medical oncologist</w:t>
      </w:r>
      <w:r w:rsidRPr="003607EF">
        <w:t>.</w:t>
      </w:r>
    </w:p>
    <w:p w14:paraId="25C45BA1" w14:textId="69B166FE" w:rsidR="00F02FEB" w:rsidRPr="00B8122D" w:rsidRDefault="00845178" w:rsidP="00F02FEB">
      <w:pPr>
        <w:pStyle w:val="Numberbullet0"/>
        <w:numPr>
          <w:ilvl w:val="0"/>
          <w:numId w:val="31"/>
        </w:numPr>
      </w:pPr>
      <w:r w:rsidRPr="00B8122D">
        <w:t>R</w:t>
      </w:r>
      <w:r w:rsidR="00F02FEB" w:rsidRPr="00B8122D">
        <w:t>ecommended dosing regimen refers specifically to letrozole and recommends that dosing schedule be for the individual</w:t>
      </w:r>
      <w:r w:rsidRPr="00B8122D">
        <w:t xml:space="preserve"> aromatase inhibitor to be used.</w:t>
      </w:r>
    </w:p>
    <w:p w14:paraId="2EF4BE5E" w14:textId="57971BE0" w:rsidR="00CD3400" w:rsidRPr="00B8122D" w:rsidRDefault="00F02FEB" w:rsidP="008E7846">
      <w:r w:rsidRPr="00B8122D">
        <w:t>The ACM advised that implementation by the sponsor of the recommendations outlined above to the satisfaction of the TGA, in addition to the evidence of efficacy and safety provided would support the safe and</w:t>
      </w:r>
      <w:r w:rsidR="00845178" w:rsidRPr="00B8122D">
        <w:t xml:space="preserve"> effective use of this product.</w:t>
      </w:r>
    </w:p>
    <w:p w14:paraId="71AE650F" w14:textId="77777777" w:rsidR="008E7846" w:rsidRPr="00B8122D" w:rsidRDefault="008E7846" w:rsidP="008E7846">
      <w:pPr>
        <w:pStyle w:val="Heading3"/>
      </w:pPr>
      <w:bookmarkStart w:id="148" w:name="_Toc247691532"/>
      <w:bookmarkStart w:id="149" w:name="_Toc314842516"/>
      <w:bookmarkStart w:id="150" w:name="_Toc44685924"/>
      <w:bookmarkEnd w:id="120"/>
      <w:bookmarkEnd w:id="146"/>
      <w:bookmarkEnd w:id="147"/>
      <w:r w:rsidRPr="00B8122D">
        <w:t>Outcome</w:t>
      </w:r>
      <w:bookmarkEnd w:id="148"/>
      <w:bookmarkEnd w:id="149"/>
      <w:bookmarkEnd w:id="150"/>
    </w:p>
    <w:p w14:paraId="61B57C5C" w14:textId="60446372" w:rsidR="00D23139" w:rsidRPr="00B8122D" w:rsidRDefault="00D23139" w:rsidP="00D23139">
      <w:bookmarkStart w:id="151" w:name="_Toc247691533"/>
      <w:bookmarkStart w:id="152" w:name="_Toc314842517"/>
      <w:r w:rsidRPr="00B8122D">
        <w:t xml:space="preserve">Based on a review of quality, safety and efficacy, </w:t>
      </w:r>
      <w:r w:rsidR="000A3A07" w:rsidRPr="00B8122D">
        <w:t xml:space="preserve">the </w:t>
      </w:r>
      <w:r w:rsidRPr="00B8122D">
        <w:t xml:space="preserve">TGA approved the registration of </w:t>
      </w:r>
      <w:r w:rsidR="00641DF4" w:rsidRPr="00B8122D">
        <w:rPr>
          <w:bCs/>
        </w:rPr>
        <w:t>K</w:t>
      </w:r>
      <w:r w:rsidR="000A3A07" w:rsidRPr="00B8122D">
        <w:rPr>
          <w:bCs/>
        </w:rPr>
        <w:t>isqali</w:t>
      </w:r>
      <w:r w:rsidR="00641DF4" w:rsidRPr="00B8122D">
        <w:rPr>
          <w:bCs/>
        </w:rPr>
        <w:t xml:space="preserve"> ribociclib 200 mg (as succinate) film coated tablet blister pack</w:t>
      </w:r>
      <w:r w:rsidR="000A3A07" w:rsidRPr="00B8122D">
        <w:t>.</w:t>
      </w:r>
    </w:p>
    <w:p w14:paraId="55376829" w14:textId="6896990B" w:rsidR="000A3A07" w:rsidRPr="00B8122D" w:rsidRDefault="000A3A07" w:rsidP="000A3A07">
      <w:r w:rsidRPr="00B8122D">
        <w:t>The approved indication for this therapeutic good is:</w:t>
      </w:r>
    </w:p>
    <w:p w14:paraId="7F322506" w14:textId="13894362" w:rsidR="00AE73AA" w:rsidRDefault="000A3A07" w:rsidP="00AE73AA">
      <w:pPr>
        <w:ind w:left="720"/>
        <w:rPr>
          <w:i/>
          <w:iCs/>
        </w:rPr>
      </w:pPr>
      <w:r w:rsidRPr="00B8122D">
        <w:rPr>
          <w:i/>
          <w:iCs/>
        </w:rPr>
        <w:t>Kisqali in combination with an aromatase inhibitor is indicated for the treatment of men and postmenopausal women with hormone receptor positive (HR+), human epidermal growth factor receptor 2 negative (HER2-) advanced or metastatic breast c</w:t>
      </w:r>
      <w:r w:rsidR="00334538" w:rsidRPr="00B8122D">
        <w:rPr>
          <w:i/>
          <w:iCs/>
        </w:rPr>
        <w:t>ancer, as an initial endocrine-</w:t>
      </w:r>
      <w:r w:rsidR="006B7990">
        <w:rPr>
          <w:i/>
          <w:iCs/>
        </w:rPr>
        <w:t>based therapy.</w:t>
      </w:r>
    </w:p>
    <w:p w14:paraId="0A70B050" w14:textId="77777777" w:rsidR="00D23139" w:rsidRPr="00B8122D" w:rsidRDefault="00D23139" w:rsidP="00D23139">
      <w:pPr>
        <w:pStyle w:val="Heading4"/>
      </w:pPr>
      <w:r w:rsidRPr="00B8122D">
        <w:t>Specific conditions of registration applying to these goods</w:t>
      </w:r>
    </w:p>
    <w:p w14:paraId="47BDF993" w14:textId="7CF6A8CF" w:rsidR="000A3A07" w:rsidRPr="00B8122D" w:rsidRDefault="000A3A07" w:rsidP="0031523A">
      <w:pPr>
        <w:pStyle w:val="ListBullet"/>
      </w:pPr>
      <w:r w:rsidRPr="00B8122D">
        <w:t>The ribociclib EU Risk Management Plan (RMP), version 1.4 (Dated 22 June 2017, DLP 29 January 2016) with ASA version3.0 (Dated 12 October 2017) and any subsequent revisions, as agreed with the TGA will be implemented in Australia as a condition of registration.</w:t>
      </w:r>
    </w:p>
    <w:p w14:paraId="2C1BED4B" w14:textId="7A257867" w:rsidR="000A3A07" w:rsidRPr="00B8122D" w:rsidRDefault="000A3A07" w:rsidP="0031523A">
      <w:pPr>
        <w:pStyle w:val="ListBullet"/>
      </w:pPr>
      <w:r w:rsidRPr="00B8122D">
        <w:t xml:space="preserve">Supply as part </w:t>
      </w:r>
      <w:r w:rsidRPr="00862E2B">
        <w:t>of a Category 1 application</w:t>
      </w:r>
      <w:r w:rsidRPr="00B8122D">
        <w:t>, promptly after they become available, Clinical Study Reports reflecting u</w:t>
      </w:r>
      <w:r w:rsidR="00862E2B">
        <w:t>pdated analyses of Study A2301.</w:t>
      </w:r>
    </w:p>
    <w:p w14:paraId="466B23F2" w14:textId="2108E5BD" w:rsidR="000A3A07" w:rsidRPr="00B8122D" w:rsidRDefault="000A3A07" w:rsidP="0031523A">
      <w:pPr>
        <w:pStyle w:val="ListBullet"/>
      </w:pPr>
      <w:r w:rsidRPr="00B8122D">
        <w:t>Supply as part of a Category 1 application, promptly after they become available, the final report (and any interim analysis) for any study exploring the efficacy and safety of an alternative dosing regimen for ribociclib to mitigate the risk of QT prolongation.</w:t>
      </w:r>
    </w:p>
    <w:p w14:paraId="1DB7193E" w14:textId="0B5C7A68" w:rsidR="000A3A07" w:rsidRPr="00B8122D" w:rsidRDefault="000A3A07" w:rsidP="0031523A">
      <w:pPr>
        <w:pStyle w:val="ListBullet"/>
      </w:pPr>
      <w:r w:rsidRPr="00B8122D">
        <w:lastRenderedPageBreak/>
        <w:t>Supply as part of a Category 1 application, promptly after it becomes available, the final report for Study A2116 to assist in determination of the appropriate dose of ribociclib in patients with severe renal impairment.</w:t>
      </w:r>
    </w:p>
    <w:p w14:paraId="3A947CEC" w14:textId="182266C6" w:rsidR="000A3A07" w:rsidRPr="00B8122D" w:rsidRDefault="000A3A07" w:rsidP="0031523A">
      <w:pPr>
        <w:pStyle w:val="ListBullet"/>
      </w:pPr>
      <w:r w:rsidRPr="00B8122D">
        <w:t xml:space="preserve">Supply as part of a Category 1 application, promptly after they become available, the final reports (and any interim analyses) from the </w:t>
      </w:r>
      <w:r w:rsidR="00BB0783">
        <w:t>S</w:t>
      </w:r>
      <w:r w:rsidRPr="00B8122D">
        <w:t>tudies CLEE011E2301 and CLEE011F2301 regardless of whether the efficacy data is sufficient to support an indication submission.</w:t>
      </w:r>
    </w:p>
    <w:p w14:paraId="75D092DD" w14:textId="4F75F856" w:rsidR="000A3A07" w:rsidRPr="00B8122D" w:rsidRDefault="000A3A07" w:rsidP="0031523A">
      <w:pPr>
        <w:pStyle w:val="ListBullet"/>
      </w:pPr>
      <w:r w:rsidRPr="00B8122D">
        <w:t xml:space="preserve">Supply as part of a Category 1 application, promptly after they become available, the final reports (and any interim analyses) from the </w:t>
      </w:r>
      <w:r w:rsidR="00BB0783">
        <w:t>S</w:t>
      </w:r>
      <w:r w:rsidRPr="00B8122D">
        <w:t>tudies CLEE011XDE01 and CLEE011A2404.</w:t>
      </w:r>
    </w:p>
    <w:p w14:paraId="732916E1" w14:textId="77777777" w:rsidR="008E7846" w:rsidRPr="00B8122D" w:rsidRDefault="00A80B5B" w:rsidP="00D23139">
      <w:pPr>
        <w:pStyle w:val="Heading2"/>
      </w:pPr>
      <w:bookmarkStart w:id="153" w:name="_Toc44685925"/>
      <w:r w:rsidRPr="00B8122D">
        <w:t xml:space="preserve">Attachment 1. </w:t>
      </w:r>
      <w:r w:rsidR="008E7846" w:rsidRPr="00B8122D">
        <w:t xml:space="preserve">Product </w:t>
      </w:r>
      <w:r w:rsidR="00AA0ED0" w:rsidRPr="00B8122D">
        <w:t>I</w:t>
      </w:r>
      <w:r w:rsidR="008E7846" w:rsidRPr="00B8122D">
        <w:t>nformation</w:t>
      </w:r>
      <w:bookmarkEnd w:id="151"/>
      <w:bookmarkEnd w:id="152"/>
      <w:bookmarkEnd w:id="153"/>
    </w:p>
    <w:p w14:paraId="115E5822" w14:textId="04E71307" w:rsidR="00C80137" w:rsidRPr="00B8122D" w:rsidRDefault="006136D7" w:rsidP="002B09C3">
      <w:pPr>
        <w:rPr>
          <w:lang w:eastAsia="en-AU"/>
        </w:rPr>
      </w:pPr>
      <w:r w:rsidRPr="00B8122D">
        <w:t xml:space="preserve">The PI for </w:t>
      </w:r>
      <w:r w:rsidR="008D65BD" w:rsidRPr="00B8122D">
        <w:t xml:space="preserve">Kisqali </w:t>
      </w:r>
      <w:r w:rsidRPr="00B8122D">
        <w:t xml:space="preserve">approved with the submission which is described in this AusPAR is at Attachment 1. For the most recent PI, please refer to the TGA website at </w:t>
      </w:r>
      <w:r w:rsidR="007C6B9B" w:rsidRPr="00B8122D">
        <w:t>&lt;</w:t>
      </w:r>
      <w:hyperlink r:id="rId28" w:history="1">
        <w:r w:rsidR="007C6B9B" w:rsidRPr="00B8122D">
          <w:rPr>
            <w:rStyle w:val="Hyperlink"/>
          </w:rPr>
          <w:t>https://www.tga.gov.au/product-information-pi</w:t>
        </w:r>
      </w:hyperlink>
      <w:r w:rsidR="008D65BD" w:rsidRPr="00B8122D">
        <w:t>&gt;.</w:t>
      </w:r>
    </w:p>
    <w:p w14:paraId="1D40C2F7" w14:textId="7E5FC814" w:rsidR="002B09C3" w:rsidRPr="00B8122D" w:rsidRDefault="002B09C3" w:rsidP="003A7F6C">
      <w:pPr>
        <w:pStyle w:val="TableTitle"/>
        <w:sectPr w:rsidR="002B09C3" w:rsidRPr="00B8122D" w:rsidSect="00783C1C">
          <w:headerReference w:type="even" r:id="rId29"/>
          <w:headerReference w:type="default" r:id="rId30"/>
          <w:headerReference w:type="first" r:id="rId31"/>
          <w:footerReference w:type="first" r:id="rId32"/>
          <w:pgSz w:w="11907" w:h="16840" w:code="9"/>
          <w:pgMar w:top="833" w:right="1701" w:bottom="1191" w:left="1701" w:header="907" w:footer="215"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B8122D" w14:paraId="1A861732" w14:textId="77777777" w:rsidTr="00A05FA4">
        <w:trPr>
          <w:trHeight w:hRule="exact" w:val="704"/>
        </w:trPr>
        <w:tc>
          <w:tcPr>
            <w:tcW w:w="9175" w:type="dxa"/>
          </w:tcPr>
          <w:p w14:paraId="5F1DEFD1" w14:textId="77777777" w:rsidR="001C32CD" w:rsidRPr="00B8122D" w:rsidRDefault="001C32CD" w:rsidP="00A05FA4">
            <w:pPr>
              <w:pStyle w:val="TGASignoff"/>
            </w:pPr>
            <w:r w:rsidRPr="00B8122D">
              <w:lastRenderedPageBreak/>
              <w:t>Therapeutic Goods Administration</w:t>
            </w:r>
          </w:p>
        </w:tc>
      </w:tr>
      <w:tr w:rsidR="001C32CD" w:rsidRPr="00B8122D" w14:paraId="3C8C6B28" w14:textId="77777777" w:rsidTr="00A05FA4">
        <w:trPr>
          <w:trHeight w:val="1221"/>
        </w:trPr>
        <w:tc>
          <w:tcPr>
            <w:tcW w:w="9175" w:type="dxa"/>
            <w:tcMar>
              <w:top w:w="28" w:type="dxa"/>
            </w:tcMar>
          </w:tcPr>
          <w:p w14:paraId="25348CB7" w14:textId="77777777" w:rsidR="001C32CD" w:rsidRPr="00B8122D" w:rsidRDefault="001C32CD" w:rsidP="00A05FA4">
            <w:pPr>
              <w:pStyle w:val="Address"/>
            </w:pPr>
            <w:r w:rsidRPr="00B8122D">
              <w:t>PO Box 100 Woden ACT 2606 Australia</w:t>
            </w:r>
          </w:p>
          <w:p w14:paraId="6C07211E" w14:textId="0DEE15AB" w:rsidR="001C32CD" w:rsidRPr="00B8122D" w:rsidRDefault="001C32CD" w:rsidP="00A05FA4">
            <w:pPr>
              <w:pStyle w:val="Address"/>
            </w:pPr>
            <w:r w:rsidRPr="00B8122D">
              <w:t xml:space="preserve">Email: </w:t>
            </w:r>
            <w:hyperlink r:id="rId33" w:history="1">
              <w:r w:rsidRPr="00B8122D">
                <w:rPr>
                  <w:rStyle w:val="Hyperlink"/>
                </w:rPr>
                <w:t>info@tga.gov.au</w:t>
              </w:r>
            </w:hyperlink>
            <w:r w:rsidR="0010489F" w:rsidRPr="00B8122D">
              <w:t xml:space="preserve"> </w:t>
            </w:r>
            <w:r w:rsidRPr="00B8122D">
              <w:t>Phone: 1800 020 653</w:t>
            </w:r>
            <w:r w:rsidR="0010489F" w:rsidRPr="00B8122D">
              <w:t xml:space="preserve"> </w:t>
            </w:r>
            <w:r w:rsidRPr="00B8122D">
              <w:t>Fax: 02 6232 8605</w:t>
            </w:r>
          </w:p>
          <w:p w14:paraId="688E7787" w14:textId="77777777" w:rsidR="001C32CD" w:rsidRPr="00B8122D" w:rsidRDefault="0053037A" w:rsidP="00A05FA4">
            <w:pPr>
              <w:pStyle w:val="Address"/>
              <w:spacing w:line="260" w:lineRule="atLeast"/>
              <w:rPr>
                <w:b/>
                <w:color w:val="0000FF"/>
                <w:u w:val="single"/>
              </w:rPr>
            </w:pPr>
            <w:hyperlink r:id="rId34" w:history="1">
              <w:r w:rsidR="007C6B9B" w:rsidRPr="00B8122D">
                <w:rPr>
                  <w:rStyle w:val="Hyperlink"/>
                  <w:b/>
                </w:rPr>
                <w:t>https://www.tga.gov.au</w:t>
              </w:r>
            </w:hyperlink>
          </w:p>
        </w:tc>
      </w:tr>
    </w:tbl>
    <w:p w14:paraId="71F7B3B2" w14:textId="77777777" w:rsidR="00774E1D" w:rsidRPr="00B8122D" w:rsidRDefault="00774E1D" w:rsidP="004C239D"/>
    <w:sectPr w:rsidR="00774E1D" w:rsidRPr="00B8122D" w:rsidSect="003607EF">
      <w:headerReference w:type="even" r:id="rId35"/>
      <w:headerReference w:type="default" r:id="rId36"/>
      <w:footerReference w:type="default" r:id="rId37"/>
      <w:headerReference w:type="first" r:id="rId38"/>
      <w:footerReference w:type="first" r:id="rId39"/>
      <w:pgSz w:w="11907" w:h="16840" w:code="9"/>
      <w:pgMar w:top="13466" w:right="1701" w:bottom="425"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E4EF4" w14:textId="77777777" w:rsidR="00D7276C" w:rsidRDefault="00D7276C" w:rsidP="00C40A36">
      <w:pPr>
        <w:spacing w:after="0"/>
      </w:pPr>
      <w:r>
        <w:separator/>
      </w:r>
    </w:p>
  </w:endnote>
  <w:endnote w:type="continuationSeparator" w:id="0">
    <w:p w14:paraId="3138D51E" w14:textId="77777777" w:rsidR="00D7276C" w:rsidRDefault="00D7276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83" w:usb1="09070000" w:usb2="00000010" w:usb3="00000000" w:csb0="000A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OESYRT+TimesNewRoman">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D7276C" w:rsidRPr="00487162" w14:paraId="52C408D3" w14:textId="77777777" w:rsidTr="00626FDE">
      <w:trPr>
        <w:trHeight w:val="269"/>
      </w:trPr>
      <w:tc>
        <w:tcPr>
          <w:tcW w:w="7797" w:type="dxa"/>
          <w:tcMar>
            <w:top w:w="142" w:type="dxa"/>
            <w:bottom w:w="0" w:type="dxa"/>
          </w:tcMar>
        </w:tcPr>
        <w:p w14:paraId="76C4BFB4" w14:textId="406CC0F6" w:rsidR="00D7276C" w:rsidRDefault="00D7276C" w:rsidP="00E97A44">
          <w:pPr>
            <w:pStyle w:val="Footer"/>
          </w:pPr>
          <w:r w:rsidRPr="00487162">
            <w:t>AusPA</w:t>
          </w:r>
          <w:r>
            <w:t>R - KISQALI - ribociclib succinate - Novartis Pharmaceuticals Australia Pty Ltd -</w:t>
          </w:r>
          <w:r w:rsidRPr="001459E2">
            <w:t>PM-2016-03090-1-4</w:t>
          </w:r>
        </w:p>
        <w:p w14:paraId="75F956CD" w14:textId="0C226F3C" w:rsidR="00D7276C" w:rsidRPr="00487162" w:rsidRDefault="00D7276C" w:rsidP="00E97A44">
          <w:pPr>
            <w:pStyle w:val="Footer"/>
          </w:pPr>
          <w:r>
            <w:t>FINAL 30 June 2020</w:t>
          </w:r>
        </w:p>
      </w:tc>
      <w:tc>
        <w:tcPr>
          <w:tcW w:w="1064" w:type="dxa"/>
          <w:tcMar>
            <w:top w:w="142" w:type="dxa"/>
            <w:bottom w:w="0" w:type="dxa"/>
          </w:tcMar>
        </w:tcPr>
        <w:p w14:paraId="7983DD0C" w14:textId="3988DE2B" w:rsidR="00D7276C" w:rsidRPr="00487162" w:rsidRDefault="00D7276C" w:rsidP="00DB750B">
          <w:pPr>
            <w:pStyle w:val="Footer"/>
            <w:jc w:val="right"/>
          </w:pPr>
          <w:r w:rsidRPr="00487162">
            <w:t xml:space="preserve">Page </w:t>
          </w:r>
          <w:r>
            <w:fldChar w:fldCharType="begin"/>
          </w:r>
          <w:r>
            <w:instrText xml:space="preserve"> PAGE  \* Arabic </w:instrText>
          </w:r>
          <w:r>
            <w:fldChar w:fldCharType="separate"/>
          </w:r>
          <w:r w:rsidR="0053037A">
            <w:rPr>
              <w:noProof/>
            </w:rPr>
            <w:t>78</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53037A">
            <w:rPr>
              <w:noProof/>
            </w:rPr>
            <w:t>79</w:t>
          </w:r>
          <w:r>
            <w:rPr>
              <w:noProof/>
            </w:rPr>
            <w:fldChar w:fldCharType="end"/>
          </w:r>
        </w:p>
      </w:tc>
    </w:tr>
  </w:tbl>
  <w:p w14:paraId="45935D0B" w14:textId="77777777" w:rsidR="00D7276C" w:rsidRDefault="00D7276C"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7276C" w:rsidRPr="00487162" w14:paraId="70169C03" w14:textId="77777777" w:rsidTr="00E45619">
      <w:trPr>
        <w:trHeight w:val="269"/>
      </w:trPr>
      <w:tc>
        <w:tcPr>
          <w:tcW w:w="4519" w:type="dxa"/>
          <w:tcBorders>
            <w:top w:val="single" w:sz="4" w:space="0" w:color="auto"/>
          </w:tcBorders>
          <w:tcMar>
            <w:top w:w="142" w:type="dxa"/>
            <w:bottom w:w="0" w:type="dxa"/>
          </w:tcMar>
        </w:tcPr>
        <w:p w14:paraId="51FE6CBA" w14:textId="77777777" w:rsidR="00D7276C" w:rsidRPr="00487162" w:rsidRDefault="00D7276C" w:rsidP="00FE1DEE">
          <w:pPr>
            <w:pStyle w:val="Footer"/>
          </w:pPr>
          <w:r w:rsidRPr="00487162">
            <w:t>Document title, Part #, Section # - Section title</w:t>
          </w:r>
        </w:p>
        <w:p w14:paraId="289E097E" w14:textId="77777777" w:rsidR="00D7276C" w:rsidRPr="00487162" w:rsidRDefault="00D7276C" w:rsidP="00FE1DEE">
          <w:pPr>
            <w:pStyle w:val="Footer"/>
          </w:pPr>
          <w:r w:rsidRPr="00487162">
            <w:t>V1.0 October 2010</w:t>
          </w:r>
        </w:p>
      </w:tc>
      <w:tc>
        <w:tcPr>
          <w:tcW w:w="4342" w:type="dxa"/>
          <w:tcBorders>
            <w:top w:val="single" w:sz="4" w:space="0" w:color="auto"/>
          </w:tcBorders>
          <w:tcMar>
            <w:top w:w="142" w:type="dxa"/>
            <w:bottom w:w="0" w:type="dxa"/>
          </w:tcMar>
        </w:tcPr>
        <w:p w14:paraId="51DEEC28" w14:textId="52106DC2" w:rsidR="00D7276C" w:rsidRPr="00487162" w:rsidRDefault="00D7276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54</w:t>
          </w:r>
          <w:r>
            <w:rPr>
              <w:noProof/>
            </w:rPr>
            <w:fldChar w:fldCharType="end"/>
          </w:r>
        </w:p>
      </w:tc>
    </w:tr>
  </w:tbl>
  <w:p w14:paraId="2E6C04FE" w14:textId="77777777" w:rsidR="00D7276C" w:rsidRDefault="00D727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AB980" w14:textId="77777777" w:rsidR="00D7276C" w:rsidRPr="001C32CD" w:rsidRDefault="00D7276C"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7276C" w14:paraId="4288B669" w14:textId="77777777" w:rsidTr="0010601F">
      <w:trPr>
        <w:trHeight w:val="108"/>
      </w:trPr>
      <w:tc>
        <w:tcPr>
          <w:tcW w:w="8875" w:type="dxa"/>
          <w:gridSpan w:val="2"/>
          <w:tcBorders>
            <w:bottom w:val="single" w:sz="4" w:space="0" w:color="auto"/>
          </w:tcBorders>
          <w:tcMar>
            <w:right w:w="284" w:type="dxa"/>
          </w:tcMar>
        </w:tcPr>
        <w:p w14:paraId="21481539" w14:textId="77777777" w:rsidR="00D7276C" w:rsidRDefault="00D7276C" w:rsidP="006E08B3">
          <w:pPr>
            <w:pStyle w:val="Heading3"/>
          </w:pPr>
          <w:r>
            <w:t>Copyright</w:t>
          </w:r>
        </w:p>
        <w:p w14:paraId="6562DD9B" w14:textId="77777777" w:rsidR="00D7276C" w:rsidRDefault="00D7276C" w:rsidP="006E08B3">
          <w:r>
            <w:rPr>
              <w:rFonts w:cs="Arial"/>
            </w:rPr>
            <w:t>©</w:t>
          </w:r>
          <w:r>
            <w:t xml:space="preserve"> Commonwealth of Australia [add year]</w:t>
          </w:r>
        </w:p>
        <w:p w14:paraId="1CDC8277" w14:textId="77777777" w:rsidR="00D7276C" w:rsidRDefault="00D7276C" w:rsidP="006E08B3"/>
        <w:p w14:paraId="5285CC12" w14:textId="6076D926" w:rsidR="00D7276C" w:rsidRDefault="00D7276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1F2BB42" w14:textId="77777777" w:rsidR="00D7276C" w:rsidRDefault="00D7276C" w:rsidP="006E08B3"/>
        <w:p w14:paraId="0806C253" w14:textId="77777777" w:rsidR="00D7276C" w:rsidRDefault="00D7276C" w:rsidP="006E08B3">
          <w:pPr>
            <w:pStyle w:val="Heading3"/>
          </w:pPr>
          <w:r>
            <w:t>Confidentiality</w:t>
          </w:r>
        </w:p>
        <w:p w14:paraId="06599AA3" w14:textId="62654B88" w:rsidR="00D7276C" w:rsidRDefault="00D7276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68E0056" w14:textId="77777777" w:rsidR="00D7276C" w:rsidRDefault="00D7276C" w:rsidP="006E08B3"/>
        <w:p w14:paraId="00AFA1A9" w14:textId="77777777" w:rsidR="00D7276C" w:rsidRDefault="00D7276C" w:rsidP="006E08B3">
          <w:r>
            <w:t>For submission made by individuals, all personal details, other than your name, will be removed from your submission before it is published on the TGA’s Internet site.</w:t>
          </w:r>
        </w:p>
        <w:p w14:paraId="6CD98FA2" w14:textId="77777777" w:rsidR="00D7276C" w:rsidRDefault="00D7276C" w:rsidP="006E08B3"/>
        <w:p w14:paraId="71681F61" w14:textId="77777777" w:rsidR="00D7276C" w:rsidRDefault="00D7276C" w:rsidP="006E08B3">
          <w:r>
            <w:t>In addition, a list of parties making submissions will be published. If you do not wish to be identified with your submission you must specifically request this in the space provided ib the submission coversheet.</w:t>
          </w:r>
        </w:p>
      </w:tc>
    </w:tr>
    <w:tr w:rsidR="00D7276C" w14:paraId="4179A7AC" w14:textId="77777777" w:rsidTr="0010601F">
      <w:trPr>
        <w:trHeight w:val="417"/>
      </w:trPr>
      <w:tc>
        <w:tcPr>
          <w:tcW w:w="4519" w:type="dxa"/>
          <w:tcBorders>
            <w:top w:val="single" w:sz="4" w:space="0" w:color="auto"/>
          </w:tcBorders>
          <w:tcMar>
            <w:top w:w="142" w:type="dxa"/>
            <w:bottom w:w="0" w:type="dxa"/>
          </w:tcMar>
        </w:tcPr>
        <w:p w14:paraId="11CAC2D3" w14:textId="77777777" w:rsidR="00D7276C" w:rsidRDefault="00D7276C" w:rsidP="006E08B3">
          <w:r>
            <w:t>Document title, Part #, Section # - Section title</w:t>
          </w:r>
        </w:p>
        <w:p w14:paraId="2AA0C29D" w14:textId="77777777" w:rsidR="00D7276C" w:rsidRDefault="00D7276C" w:rsidP="006E08B3">
          <w:r>
            <w:t>V1.0 October 2010</w:t>
          </w:r>
        </w:p>
      </w:tc>
      <w:tc>
        <w:tcPr>
          <w:tcW w:w="4356" w:type="dxa"/>
          <w:tcBorders>
            <w:top w:val="single" w:sz="4" w:space="0" w:color="auto"/>
          </w:tcBorders>
          <w:tcMar>
            <w:top w:w="142" w:type="dxa"/>
            <w:bottom w:w="0" w:type="dxa"/>
          </w:tcMar>
        </w:tcPr>
        <w:p w14:paraId="7456D015" w14:textId="14ABE6BF" w:rsidR="00D7276C" w:rsidRDefault="00D7276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54</w:t>
          </w:r>
          <w:r>
            <w:rPr>
              <w:noProof/>
            </w:rPr>
            <w:fldChar w:fldCharType="end"/>
          </w:r>
          <w:r>
            <w:t xml:space="preserve"> </w:t>
          </w:r>
        </w:p>
      </w:tc>
    </w:tr>
  </w:tbl>
  <w:p w14:paraId="732236A4" w14:textId="77777777" w:rsidR="00D7276C" w:rsidRDefault="00D7276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3292F" w14:textId="77777777" w:rsidR="00D7276C" w:rsidRDefault="00D7276C" w:rsidP="00C40A36">
      <w:pPr>
        <w:spacing w:after="0"/>
      </w:pPr>
      <w:r>
        <w:separator/>
      </w:r>
    </w:p>
  </w:footnote>
  <w:footnote w:type="continuationSeparator" w:id="0">
    <w:p w14:paraId="55859AF3" w14:textId="77777777" w:rsidR="00D7276C" w:rsidRDefault="00D7276C" w:rsidP="00C40A36">
      <w:pPr>
        <w:spacing w:after="0"/>
      </w:pPr>
      <w:r>
        <w:continuationSeparator/>
      </w:r>
    </w:p>
  </w:footnote>
  <w:footnote w:id="1">
    <w:p w14:paraId="436ACF5E" w14:textId="5BC0D230" w:rsidR="00D7276C" w:rsidRPr="002B09C3" w:rsidRDefault="00D7276C">
      <w:pPr>
        <w:pStyle w:val="FootnoteText"/>
        <w:rPr>
          <w:lang w:val="en-US"/>
        </w:rPr>
      </w:pPr>
      <w:r>
        <w:rPr>
          <w:rStyle w:val="FootnoteReference"/>
        </w:rPr>
        <w:footnoteRef/>
      </w:r>
      <w:r>
        <w:t xml:space="preserve"> </w:t>
      </w:r>
      <w:r>
        <w:rPr>
          <w:lang w:val="en-US"/>
        </w:rPr>
        <w:t>Palbociclib was registered with the TGA in May 2017.</w:t>
      </w:r>
    </w:p>
  </w:footnote>
  <w:footnote w:id="2">
    <w:p w14:paraId="2B98E025" w14:textId="77777777" w:rsidR="00D7276C" w:rsidRPr="00AF35EC" w:rsidRDefault="00D7276C" w:rsidP="00D8432A">
      <w:pPr>
        <w:pStyle w:val="FootnoteText"/>
        <w:rPr>
          <w:szCs w:val="18"/>
          <w:lang w:val="en-GB"/>
        </w:rPr>
      </w:pPr>
      <w:r w:rsidRPr="00AF35EC">
        <w:rPr>
          <w:rStyle w:val="FootnoteReference"/>
          <w:szCs w:val="18"/>
        </w:rPr>
        <w:footnoteRef/>
      </w:r>
      <w:r w:rsidRPr="00AF35EC">
        <w:rPr>
          <w:szCs w:val="18"/>
        </w:rPr>
        <w:t xml:space="preserve"> Approved Australian PI for Letrozole; TGA, Canberra.</w:t>
      </w:r>
    </w:p>
  </w:footnote>
  <w:footnote w:id="3">
    <w:p w14:paraId="4A6E3AC0" w14:textId="77777777" w:rsidR="00D7276C" w:rsidRPr="00AF35EC" w:rsidRDefault="00D7276C" w:rsidP="00A5777A">
      <w:pPr>
        <w:pStyle w:val="FootnoteText"/>
        <w:rPr>
          <w:szCs w:val="18"/>
        </w:rPr>
      </w:pPr>
      <w:r w:rsidRPr="00AF35EC">
        <w:rPr>
          <w:rStyle w:val="FootnoteReference"/>
          <w:szCs w:val="18"/>
        </w:rPr>
        <w:footnoteRef/>
      </w:r>
      <w:r w:rsidRPr="00AF35EC">
        <w:rPr>
          <w:szCs w:val="18"/>
        </w:rPr>
        <w:t xml:space="preserve"> Australian Institute of Health and Welfare Breast Cancer; 2016.</w:t>
      </w:r>
    </w:p>
  </w:footnote>
  <w:footnote w:id="4">
    <w:p w14:paraId="6645E617" w14:textId="3A279736" w:rsidR="00D7276C" w:rsidRPr="003F080C" w:rsidRDefault="00D7276C" w:rsidP="00A5777A">
      <w:pPr>
        <w:pStyle w:val="FootnoteText"/>
        <w:rPr>
          <w:szCs w:val="18"/>
        </w:rPr>
      </w:pPr>
      <w:r w:rsidRPr="003F080C">
        <w:rPr>
          <w:rStyle w:val="FootnoteReference"/>
          <w:szCs w:val="18"/>
        </w:rPr>
        <w:footnoteRef/>
      </w:r>
      <w:r w:rsidRPr="003F080C">
        <w:rPr>
          <w:szCs w:val="18"/>
        </w:rPr>
        <w:t xml:space="preserve"> ESO-ESMO Second International Consensus Guidelines for Advanced Breast Cancer (ABC2) published simultaneously in The Breast 2014, and Ann Oncol 2014;</w:t>
      </w:r>
      <w:r>
        <w:rPr>
          <w:szCs w:val="18"/>
        </w:rPr>
        <w:t xml:space="preserve"> </w:t>
      </w:r>
      <w:r w:rsidRPr="003F080C">
        <w:rPr>
          <w:szCs w:val="18"/>
        </w:rPr>
        <w:t>25.</w:t>
      </w:r>
    </w:p>
  </w:footnote>
  <w:footnote w:id="5">
    <w:p w14:paraId="102CD421" w14:textId="4BEE38CC" w:rsidR="00D7276C" w:rsidRPr="003F080C" w:rsidRDefault="00D7276C" w:rsidP="00A5777A">
      <w:pPr>
        <w:pStyle w:val="FootnoteText"/>
        <w:rPr>
          <w:szCs w:val="18"/>
          <w:lang w:val="en-GB"/>
        </w:rPr>
      </w:pPr>
      <w:r w:rsidRPr="003F080C">
        <w:rPr>
          <w:rStyle w:val="FootnoteReference"/>
          <w:szCs w:val="18"/>
        </w:rPr>
        <w:footnoteRef/>
      </w:r>
      <w:r w:rsidRPr="003F080C">
        <w:rPr>
          <w:szCs w:val="18"/>
        </w:rPr>
        <w:t xml:space="preserve"> National Comprehensive Cancer Network (NCCN) Guidelines Version 2.2016 Breast Cancer</w:t>
      </w:r>
    </w:p>
  </w:footnote>
  <w:footnote w:id="6">
    <w:p w14:paraId="75BA9094" w14:textId="1BE0D513" w:rsidR="00D7276C" w:rsidRPr="003F080C" w:rsidRDefault="00D7276C" w:rsidP="003E7EE5">
      <w:pPr>
        <w:pStyle w:val="FootnoteText"/>
        <w:rPr>
          <w:szCs w:val="18"/>
          <w:lang w:val="en-GB"/>
        </w:rPr>
      </w:pPr>
      <w:r w:rsidRPr="003F080C">
        <w:rPr>
          <w:rStyle w:val="FootnoteReference"/>
          <w:szCs w:val="18"/>
        </w:rPr>
        <w:footnoteRef/>
      </w:r>
      <w:r w:rsidRPr="003F080C">
        <w:rPr>
          <w:szCs w:val="18"/>
        </w:rPr>
        <w:t xml:space="preserve"> Rugo H et al. Endocrine Therapy for Hormone Receptor–Positive Metastatic Breast Cancer: American Society of Clinical Oncology Guideline 2016</w:t>
      </w:r>
      <w:r w:rsidRPr="003F080C">
        <w:rPr>
          <w:i/>
          <w:szCs w:val="18"/>
        </w:rPr>
        <w:t>. J Clin Oncol</w:t>
      </w:r>
      <w:r w:rsidRPr="003F080C">
        <w:rPr>
          <w:szCs w:val="18"/>
        </w:rPr>
        <w:t xml:space="preserve"> 34:</w:t>
      </w:r>
      <w:r>
        <w:rPr>
          <w:szCs w:val="18"/>
        </w:rPr>
        <w:t xml:space="preserve"> </w:t>
      </w:r>
      <w:r w:rsidRPr="003F080C">
        <w:rPr>
          <w:szCs w:val="18"/>
        </w:rPr>
        <w:t>3069-3103.</w:t>
      </w:r>
    </w:p>
  </w:footnote>
  <w:footnote w:id="7">
    <w:p w14:paraId="11496937" w14:textId="77777777" w:rsidR="00D7276C" w:rsidRPr="003F080C" w:rsidRDefault="00D7276C" w:rsidP="003E7EE5">
      <w:pPr>
        <w:pStyle w:val="FootnoteText"/>
        <w:rPr>
          <w:szCs w:val="18"/>
          <w:lang w:val="en-GB"/>
        </w:rPr>
      </w:pPr>
      <w:r w:rsidRPr="003F080C">
        <w:rPr>
          <w:rStyle w:val="FootnoteReference"/>
          <w:szCs w:val="18"/>
        </w:rPr>
        <w:footnoteRef/>
      </w:r>
      <w:r w:rsidRPr="003F080C">
        <w:rPr>
          <w:szCs w:val="18"/>
        </w:rPr>
        <w:t xml:space="preserve"> Recommendations for use of endocrine therapy for the treatment of hormone receptor positive advanced breast cancer: A Clinical Practice Guideline Developed by National Breast and Ovarian Cancer Centre (NBOCC).</w:t>
      </w:r>
    </w:p>
  </w:footnote>
  <w:footnote w:id="8">
    <w:p w14:paraId="55687D0F" w14:textId="4302C91D" w:rsidR="00D7276C" w:rsidRPr="003F080C" w:rsidRDefault="00D7276C" w:rsidP="003E7EE5">
      <w:pPr>
        <w:pStyle w:val="FootnoteText"/>
        <w:rPr>
          <w:szCs w:val="18"/>
          <w:lang w:val="en-GB"/>
        </w:rPr>
      </w:pPr>
      <w:r w:rsidRPr="003F080C">
        <w:rPr>
          <w:rStyle w:val="FootnoteReference"/>
          <w:szCs w:val="18"/>
        </w:rPr>
        <w:footnoteRef/>
      </w:r>
      <w:r w:rsidRPr="003F080C">
        <w:rPr>
          <w:szCs w:val="18"/>
        </w:rPr>
        <w:t xml:space="preserve"> Milani A et al. Overcoming endocrine resistance in metastatic breast cancer: Current evidence and future directions. </w:t>
      </w:r>
      <w:r w:rsidRPr="003F080C">
        <w:rPr>
          <w:i/>
          <w:szCs w:val="18"/>
        </w:rPr>
        <w:t>World Journal of Clinical Oncology</w:t>
      </w:r>
      <w:r>
        <w:rPr>
          <w:szCs w:val="18"/>
        </w:rPr>
        <w:t>. 2014; 5</w:t>
      </w:r>
      <w:r w:rsidRPr="003F080C">
        <w:rPr>
          <w:szCs w:val="18"/>
        </w:rPr>
        <w:t>:</w:t>
      </w:r>
      <w:r>
        <w:rPr>
          <w:szCs w:val="18"/>
        </w:rPr>
        <w:t xml:space="preserve"> </w:t>
      </w:r>
      <w:r w:rsidRPr="003F080C">
        <w:rPr>
          <w:szCs w:val="18"/>
        </w:rPr>
        <w:t>990-1001.</w:t>
      </w:r>
    </w:p>
  </w:footnote>
  <w:footnote w:id="9">
    <w:p w14:paraId="1B463B3F" w14:textId="1BC31FC3" w:rsidR="00D7276C" w:rsidRPr="00465A18" w:rsidRDefault="00D7276C">
      <w:pPr>
        <w:pStyle w:val="FootnoteText"/>
      </w:pPr>
      <w:r>
        <w:rPr>
          <w:rStyle w:val="FootnoteReference"/>
        </w:rPr>
        <w:footnoteRef/>
      </w:r>
      <w:r>
        <w:t xml:space="preserve"> Clarification: </w:t>
      </w:r>
      <w:r>
        <w:rPr>
          <w:lang w:val="en-US"/>
        </w:rPr>
        <w:t>ribociclib was approved by the FDA in March 2017, based on the Phase II study MONALEESA-2. FDA granted a priority review and breakthrough therapy designation.</w:t>
      </w:r>
    </w:p>
  </w:footnote>
  <w:footnote w:id="10">
    <w:p w14:paraId="30A8231D" w14:textId="181ACEEE" w:rsidR="00D7276C" w:rsidRPr="00465A18" w:rsidRDefault="00D7276C">
      <w:pPr>
        <w:pStyle w:val="FootnoteText"/>
        <w:rPr>
          <w:lang w:val="en-US"/>
        </w:rPr>
      </w:pPr>
      <w:r>
        <w:rPr>
          <w:rStyle w:val="FootnoteReference"/>
        </w:rPr>
        <w:footnoteRef/>
      </w:r>
      <w:r>
        <w:t xml:space="preserve"> Clarification: </w:t>
      </w:r>
      <w:r w:rsidRPr="00B8122D">
        <w:t xml:space="preserve">abemaciclib, </w:t>
      </w:r>
      <w:r>
        <w:t>was recently approved in September 2017 in the US</w:t>
      </w:r>
    </w:p>
  </w:footnote>
  <w:footnote w:id="11">
    <w:p w14:paraId="30499B4C" w14:textId="63F637C3" w:rsidR="00D7276C" w:rsidRPr="002B09C3" w:rsidRDefault="00D7276C">
      <w:pPr>
        <w:pStyle w:val="FootnoteText"/>
        <w:rPr>
          <w:lang w:val="en-US"/>
        </w:rPr>
      </w:pPr>
      <w:r>
        <w:rPr>
          <w:rStyle w:val="FootnoteReference"/>
        </w:rPr>
        <w:footnoteRef/>
      </w:r>
      <w:r>
        <w:t xml:space="preserve"> Clarification: </w:t>
      </w:r>
      <w:r w:rsidRPr="002B09C3">
        <w:t>palbociclib was not approved in Australia at the time that Novartis lodged their marketing authorisation application for K</w:t>
      </w:r>
      <w:r w:rsidRPr="00BF30E5">
        <w:t xml:space="preserve">isqali </w:t>
      </w:r>
      <w:r w:rsidRPr="002B09C3">
        <w:t>(September 2016). Palbociclib was later approved in May 2017</w:t>
      </w:r>
    </w:p>
  </w:footnote>
  <w:footnote w:id="12">
    <w:p w14:paraId="5CB47B4D" w14:textId="5A0451D8" w:rsidR="00D7276C" w:rsidRDefault="00D7276C">
      <w:pPr>
        <w:pStyle w:val="FootnoteText"/>
      </w:pPr>
      <w:r>
        <w:rPr>
          <w:rStyle w:val="FootnoteReference"/>
        </w:rPr>
        <w:footnoteRef/>
      </w:r>
      <w:r>
        <w:t xml:space="preserve"> Clarification; the shelf life was assessed at the time of submission; however, it may have been revised as the result of later variation applications.</w:t>
      </w:r>
    </w:p>
  </w:footnote>
  <w:footnote w:id="13">
    <w:p w14:paraId="20B3451E" w14:textId="50E4BC43" w:rsidR="00D7276C" w:rsidRPr="001666DE" w:rsidRDefault="00D7276C" w:rsidP="00B8122D">
      <w:pPr>
        <w:pStyle w:val="FootnoteText"/>
        <w:rPr>
          <w:szCs w:val="18"/>
        </w:rPr>
      </w:pPr>
      <w:r w:rsidRPr="001666DE">
        <w:rPr>
          <w:rStyle w:val="FootnoteReference"/>
          <w:szCs w:val="18"/>
        </w:rPr>
        <w:footnoteRef/>
      </w:r>
      <w:r>
        <w:rPr>
          <w:szCs w:val="18"/>
        </w:rPr>
        <w:t xml:space="preserve"> Figure m</w:t>
      </w:r>
      <w:r w:rsidRPr="001666DE">
        <w:rPr>
          <w:szCs w:val="18"/>
        </w:rPr>
        <w:t xml:space="preserve">odified from </w:t>
      </w:r>
      <w:r>
        <w:rPr>
          <w:szCs w:val="18"/>
          <w:lang w:val="en"/>
        </w:rPr>
        <w:t>Leemans C</w:t>
      </w:r>
      <w:r w:rsidRPr="001666DE">
        <w:rPr>
          <w:szCs w:val="18"/>
          <w:lang w:val="en"/>
        </w:rPr>
        <w:t xml:space="preserve"> </w:t>
      </w:r>
      <w:r w:rsidRPr="00B8122D">
        <w:rPr>
          <w:szCs w:val="18"/>
          <w:lang w:val="en"/>
        </w:rPr>
        <w:t>et al</w:t>
      </w:r>
      <w:r w:rsidRPr="001666DE">
        <w:rPr>
          <w:szCs w:val="18"/>
          <w:lang w:val="en"/>
        </w:rPr>
        <w:t xml:space="preserve"> .2011 </w:t>
      </w:r>
      <w:r w:rsidRPr="00AF35EC">
        <w:rPr>
          <w:i/>
          <w:iCs/>
          <w:szCs w:val="18"/>
          <w:lang w:val="en"/>
        </w:rPr>
        <w:t>Nature Reviews Cancer</w:t>
      </w:r>
      <w:r w:rsidRPr="001666DE">
        <w:rPr>
          <w:i/>
          <w:iCs/>
          <w:szCs w:val="18"/>
          <w:lang w:val="en"/>
        </w:rPr>
        <w:t xml:space="preserve"> </w:t>
      </w:r>
      <w:r w:rsidRPr="001666DE">
        <w:rPr>
          <w:bCs/>
          <w:szCs w:val="18"/>
          <w:lang w:val="en"/>
        </w:rPr>
        <w:t>11</w:t>
      </w:r>
      <w:r w:rsidRPr="001666DE">
        <w:rPr>
          <w:b/>
          <w:bCs/>
          <w:szCs w:val="18"/>
          <w:lang w:val="en"/>
        </w:rPr>
        <w:t xml:space="preserve">: </w:t>
      </w:r>
      <w:r w:rsidRPr="001666DE">
        <w:rPr>
          <w:szCs w:val="18"/>
          <w:lang w:val="en"/>
        </w:rPr>
        <w:t>9-22</w:t>
      </w:r>
    </w:p>
  </w:footnote>
  <w:footnote w:id="14">
    <w:p w14:paraId="5FA97E59" w14:textId="0227D579" w:rsidR="00D7276C" w:rsidRPr="001666DE" w:rsidRDefault="00D7276C" w:rsidP="00B8122D">
      <w:pPr>
        <w:pStyle w:val="FootnoteText"/>
        <w:rPr>
          <w:szCs w:val="18"/>
        </w:rPr>
      </w:pPr>
      <w:r w:rsidRPr="001666DE">
        <w:rPr>
          <w:rStyle w:val="FootnoteReference"/>
          <w:szCs w:val="18"/>
        </w:rPr>
        <w:footnoteRef/>
      </w:r>
      <w:r w:rsidRPr="001666DE">
        <w:rPr>
          <w:szCs w:val="18"/>
        </w:rPr>
        <w:t xml:space="preserve"> </w:t>
      </w:r>
      <w:r>
        <w:rPr>
          <w:szCs w:val="18"/>
        </w:rPr>
        <w:t xml:space="preserve">Figure modified from Finn R </w:t>
      </w:r>
      <w:r w:rsidRPr="00B8122D">
        <w:rPr>
          <w:szCs w:val="18"/>
        </w:rPr>
        <w:t>et al</w:t>
      </w:r>
      <w:r w:rsidRPr="001666DE">
        <w:rPr>
          <w:szCs w:val="18"/>
        </w:rPr>
        <w:t xml:space="preserve">. 2016 </w:t>
      </w:r>
      <w:r w:rsidRPr="00AF35EC">
        <w:rPr>
          <w:i/>
          <w:iCs/>
          <w:szCs w:val="18"/>
          <w:lang w:val="en"/>
        </w:rPr>
        <w:t>Breast Cancer Research</w:t>
      </w:r>
      <w:r w:rsidRPr="001666DE">
        <w:rPr>
          <w:iCs/>
          <w:szCs w:val="18"/>
          <w:lang w:val="en"/>
        </w:rPr>
        <w:t>. 1</w:t>
      </w:r>
      <w:r w:rsidRPr="001666DE">
        <w:rPr>
          <w:bCs/>
          <w:szCs w:val="18"/>
          <w:lang w:val="en"/>
        </w:rPr>
        <w:t>8</w:t>
      </w:r>
      <w:r w:rsidRPr="001666DE">
        <w:rPr>
          <w:szCs w:val="18"/>
          <w:lang w:val="en"/>
        </w:rPr>
        <w:t>:17</w:t>
      </w:r>
    </w:p>
  </w:footnote>
  <w:footnote w:id="15">
    <w:p w14:paraId="5BC08837" w14:textId="2578413A" w:rsidR="00D7276C" w:rsidRDefault="00D7276C">
      <w:pPr>
        <w:pStyle w:val="FootnoteText"/>
      </w:pPr>
      <w:r>
        <w:rPr>
          <w:rStyle w:val="FootnoteReference"/>
        </w:rPr>
        <w:footnoteRef/>
      </w:r>
      <w:r>
        <w:t xml:space="preserve"> Clarification</w:t>
      </w:r>
      <w:r w:rsidRPr="004947FD">
        <w:t xml:space="preserve">: ribociclib is less effective </w:t>
      </w:r>
      <w:r w:rsidRPr="00925996">
        <w:t>in the mantle cell lymphoma (MCL) Jeko-1 model tested</w:t>
      </w:r>
      <w:r>
        <w:t>.</w:t>
      </w:r>
    </w:p>
  </w:footnote>
  <w:footnote w:id="16">
    <w:p w14:paraId="12B9B684" w14:textId="539BE0F8" w:rsidR="00D7276C" w:rsidRPr="001C51C9" w:rsidRDefault="00D7276C" w:rsidP="001C51C9">
      <w:pPr>
        <w:pStyle w:val="FootnoteText"/>
        <w:rPr>
          <w:rStyle w:val="FootnoteReference"/>
          <w:vertAlign w:val="baseline"/>
        </w:rPr>
      </w:pPr>
      <w:r w:rsidRPr="001C51C9">
        <w:rPr>
          <w:rStyle w:val="FootnoteReference"/>
        </w:rPr>
        <w:footnoteRef/>
      </w:r>
      <w:r w:rsidRPr="001C51C9">
        <w:rPr>
          <w:rStyle w:val="FootnoteReference"/>
          <w:vertAlign w:val="baseline"/>
        </w:rPr>
        <w:t>The TGA evaluator’s calculation is based on PopPK studies for the initial application (the MONALEESA 2 trial)</w:t>
      </w:r>
      <w:r>
        <w:t>.</w:t>
      </w:r>
    </w:p>
  </w:footnote>
  <w:footnote w:id="17">
    <w:p w14:paraId="60BB2820" w14:textId="217C42AC" w:rsidR="00D7276C" w:rsidRPr="001666DE" w:rsidRDefault="00D7276C" w:rsidP="00E231C2">
      <w:pPr>
        <w:pStyle w:val="FootnoteText"/>
        <w:rPr>
          <w:szCs w:val="18"/>
        </w:rPr>
      </w:pPr>
      <w:r w:rsidRPr="001666DE">
        <w:rPr>
          <w:rStyle w:val="FootnoteReference"/>
          <w:szCs w:val="18"/>
        </w:rPr>
        <w:footnoteRef/>
      </w:r>
      <w:r w:rsidRPr="001666DE">
        <w:rPr>
          <w:szCs w:val="18"/>
        </w:rPr>
        <w:t xml:space="preserve"> Giembycz MA. </w:t>
      </w:r>
      <w:r>
        <w:rPr>
          <w:lang w:val="en"/>
        </w:rPr>
        <w:t xml:space="preserve">Can the anti-inflammatory potential of PDE4 inhibitors be realized: guarded optimism or wishful thinking? </w:t>
      </w:r>
      <w:r w:rsidRPr="001666DE">
        <w:rPr>
          <w:szCs w:val="18"/>
        </w:rPr>
        <w:t xml:space="preserve">2008. </w:t>
      </w:r>
      <w:r w:rsidRPr="00AF35EC">
        <w:rPr>
          <w:i/>
          <w:szCs w:val="18"/>
        </w:rPr>
        <w:t>Br J Pharmacol</w:t>
      </w:r>
      <w:r w:rsidRPr="001666DE">
        <w:rPr>
          <w:szCs w:val="18"/>
        </w:rPr>
        <w:t>.;155:288-290</w:t>
      </w:r>
      <w:r>
        <w:rPr>
          <w:szCs w:val="18"/>
        </w:rPr>
        <w:t>.</w:t>
      </w:r>
    </w:p>
  </w:footnote>
  <w:footnote w:id="18">
    <w:p w14:paraId="06FF2E11" w14:textId="0D28E844" w:rsidR="00D7276C" w:rsidRPr="001666DE" w:rsidRDefault="00D7276C" w:rsidP="00E231C2">
      <w:pPr>
        <w:pStyle w:val="FootnoteText"/>
        <w:rPr>
          <w:szCs w:val="18"/>
        </w:rPr>
      </w:pPr>
      <w:r w:rsidRPr="001666DE">
        <w:rPr>
          <w:rStyle w:val="FootnoteReference"/>
          <w:szCs w:val="18"/>
        </w:rPr>
        <w:footnoteRef/>
      </w:r>
      <w:r w:rsidRPr="001666DE">
        <w:rPr>
          <w:szCs w:val="18"/>
        </w:rPr>
        <w:t xml:space="preserve"> Spina D. </w:t>
      </w:r>
      <w:r w:rsidRPr="00A8758F">
        <w:t>2008. PDE4 inhibitors: current status</w:t>
      </w:r>
      <w:r>
        <w:t xml:space="preserve"> </w:t>
      </w:r>
      <w:r w:rsidRPr="00A8758F">
        <w:rPr>
          <w:i/>
        </w:rPr>
        <w:t>Br</w:t>
      </w:r>
      <w:r w:rsidRPr="00A8758F">
        <w:rPr>
          <w:i/>
          <w:szCs w:val="18"/>
        </w:rPr>
        <w:t xml:space="preserve"> J</w:t>
      </w:r>
      <w:r w:rsidRPr="00AF35EC">
        <w:rPr>
          <w:i/>
          <w:szCs w:val="18"/>
        </w:rPr>
        <w:t xml:space="preserve"> Pharmacol</w:t>
      </w:r>
      <w:r w:rsidRPr="001666DE">
        <w:rPr>
          <w:szCs w:val="18"/>
        </w:rPr>
        <w:t>.;155:308-315</w:t>
      </w:r>
    </w:p>
  </w:footnote>
  <w:footnote w:id="19">
    <w:p w14:paraId="5A4B88D4" w14:textId="0E4F6492" w:rsidR="00D7276C" w:rsidRPr="00BE0C54" w:rsidRDefault="00D7276C" w:rsidP="00BE0C54">
      <w:pPr>
        <w:pStyle w:val="FootnoteText"/>
      </w:pPr>
      <w:r w:rsidRPr="00FC0F0A">
        <w:rPr>
          <w:rStyle w:val="FootnoteReference"/>
          <w:vertAlign w:val="baseline"/>
        </w:rPr>
        <w:footnoteRef/>
      </w:r>
      <w:r w:rsidRPr="00BE0C54">
        <w:t xml:space="preserve"> </w:t>
      </w:r>
      <w:r w:rsidRPr="001C51C9">
        <w:t>Perera RK</w:t>
      </w:r>
      <w:r>
        <w:t xml:space="preserve"> et al </w:t>
      </w:r>
      <w:r w:rsidRPr="001C51C9">
        <w:t>.</w:t>
      </w:r>
      <w:r>
        <w:t>Atropine augments cardiac contractility by inhibiting cAMP specific phosphodiesterase type 4.</w:t>
      </w:r>
      <w:r w:rsidRPr="001C51C9">
        <w:t xml:space="preserve"> </w:t>
      </w:r>
      <w:r w:rsidRPr="001C51C9">
        <w:rPr>
          <w:i/>
        </w:rPr>
        <w:t>Sci Rep</w:t>
      </w:r>
      <w:r w:rsidRPr="001C51C9">
        <w:t>. 2017</w:t>
      </w:r>
      <w:r w:rsidRPr="00BE0C54">
        <w:t>;7</w:t>
      </w:r>
      <w:r w:rsidRPr="001C51C9">
        <w:t>:</w:t>
      </w:r>
      <w:r>
        <w:t xml:space="preserve"> </w:t>
      </w:r>
      <w:r w:rsidRPr="001C51C9">
        <w:t>15222</w:t>
      </w:r>
      <w:r>
        <w:t>m</w:t>
      </w:r>
      <w:r w:rsidRPr="001C51C9">
        <w:t>.</w:t>
      </w:r>
    </w:p>
  </w:footnote>
  <w:footnote w:id="20">
    <w:p w14:paraId="6C069434" w14:textId="338862C9" w:rsidR="00D7276C" w:rsidRPr="001C51C9" w:rsidRDefault="00D7276C">
      <w:pPr>
        <w:pStyle w:val="FootnoteText"/>
        <w:rPr>
          <w:lang w:val="en-US"/>
        </w:rPr>
      </w:pPr>
      <w:r w:rsidRPr="001C51C9">
        <w:rPr>
          <w:rStyle w:val="FootnoteReference"/>
        </w:rPr>
        <w:footnoteRef/>
      </w:r>
      <w:r w:rsidRPr="001C51C9">
        <w:t xml:space="preserve"> Banner KH, and Press NJ. Dual PDE3/4 inhibitors as therapeutic agents for chronic obstructive pulmonary disease. </w:t>
      </w:r>
      <w:r w:rsidRPr="001C51C9">
        <w:rPr>
          <w:i/>
        </w:rPr>
        <w:t>Br J Pharmacol</w:t>
      </w:r>
      <w:r w:rsidRPr="001C51C9">
        <w:t>. 2009;157: 892-906.</w:t>
      </w:r>
    </w:p>
  </w:footnote>
  <w:footnote w:id="21">
    <w:p w14:paraId="7668DD6C" w14:textId="6C007185" w:rsidR="00D7276C" w:rsidRDefault="00D7276C">
      <w:pPr>
        <w:pStyle w:val="FootnoteText"/>
      </w:pPr>
      <w:r w:rsidRPr="002B09C3">
        <w:rPr>
          <w:rStyle w:val="FootnoteReference"/>
        </w:rPr>
        <w:footnoteRef/>
      </w:r>
      <w:r w:rsidRPr="002B09C3">
        <w:t xml:space="preserve"> The TGA evaluator’s calculation is based on PopPK studies for the initial application (</w:t>
      </w:r>
      <w:r w:rsidRPr="002B09C3">
        <w:rPr>
          <w:rStyle w:val="FootnoteReference"/>
          <w:vertAlign w:val="baseline"/>
        </w:rPr>
        <w:t>the MONALEESA 2 trial</w:t>
      </w:r>
      <w:r w:rsidRPr="002B09C3">
        <w:t xml:space="preserve"> /A2301).</w:t>
      </w:r>
    </w:p>
  </w:footnote>
  <w:footnote w:id="22">
    <w:p w14:paraId="35EF9B70" w14:textId="31EA353C" w:rsidR="00D7276C" w:rsidRPr="00252995" w:rsidRDefault="00D7276C">
      <w:pPr>
        <w:pStyle w:val="FootnoteText"/>
        <w:rPr>
          <w:lang w:val="en-GB"/>
        </w:rPr>
      </w:pPr>
      <w:r>
        <w:rPr>
          <w:rStyle w:val="FootnoteReference"/>
        </w:rPr>
        <w:footnoteRef/>
      </w:r>
      <w:r>
        <w:t xml:space="preserve"> </w:t>
      </w:r>
      <w:r w:rsidRPr="00252995">
        <w:t xml:space="preserve">The </w:t>
      </w:r>
      <w:r w:rsidRPr="00252995">
        <w:rPr>
          <w:bCs/>
          <w:lang w:val="en-GB"/>
        </w:rPr>
        <w:t>QT interval</w:t>
      </w:r>
      <w:r w:rsidRPr="00252995">
        <w:rPr>
          <w:lang w:val="en-GB"/>
        </w:rPr>
        <w:t> is a measure of the time between the start of the </w:t>
      </w:r>
      <w:r w:rsidRPr="00252995">
        <w:rPr>
          <w:bCs/>
          <w:lang w:val="en-GB"/>
        </w:rPr>
        <w:t>Q wave</w:t>
      </w:r>
      <w:r w:rsidRPr="00252995">
        <w:rPr>
          <w:lang w:val="en-GB"/>
        </w:rPr>
        <w:t> and the end of the </w:t>
      </w:r>
      <w:r w:rsidRPr="00252995">
        <w:rPr>
          <w:bCs/>
          <w:lang w:val="en-GB"/>
        </w:rPr>
        <w:t>T wave</w:t>
      </w:r>
      <w:r w:rsidRPr="00252995">
        <w:rPr>
          <w:lang w:val="en-GB"/>
        </w:rPr>
        <w:t> in the heart's electrical cycle</w:t>
      </w:r>
      <w:r>
        <w:rPr>
          <w:lang w:val="en-GB"/>
        </w:rPr>
        <w:t>.</w:t>
      </w:r>
    </w:p>
  </w:footnote>
  <w:footnote w:id="23">
    <w:p w14:paraId="7DBC1461" w14:textId="2787F8F6" w:rsidR="00D7276C" w:rsidRPr="002F249C" w:rsidRDefault="00D7276C">
      <w:pPr>
        <w:pStyle w:val="FootnoteText"/>
        <w:rPr>
          <w:lang w:val="en-GB"/>
        </w:rPr>
      </w:pPr>
      <w:r>
        <w:rPr>
          <w:rStyle w:val="FootnoteReference"/>
        </w:rPr>
        <w:footnoteRef/>
      </w:r>
      <w:r>
        <w:t xml:space="preserve"> </w:t>
      </w:r>
      <w:r>
        <w:rPr>
          <w:lang w:val="en-GB"/>
        </w:rPr>
        <w:t>The QTc is the QT interval corrected for heart rate.</w:t>
      </w:r>
    </w:p>
  </w:footnote>
  <w:footnote w:id="24">
    <w:p w14:paraId="3556859A" w14:textId="1BEBDD1F" w:rsidR="00D7276C" w:rsidRPr="00C86CBD" w:rsidRDefault="00D7276C">
      <w:pPr>
        <w:pStyle w:val="FootnoteText"/>
        <w:rPr>
          <w:lang w:val="en-GB"/>
        </w:rPr>
      </w:pPr>
      <w:r>
        <w:rPr>
          <w:rStyle w:val="FootnoteReference"/>
        </w:rPr>
        <w:footnoteRef/>
      </w:r>
      <w:r>
        <w:t xml:space="preserve"> </w:t>
      </w:r>
      <w:r>
        <w:rPr>
          <w:lang w:val="en-GB"/>
        </w:rPr>
        <w:t>MXR (mitoxantrone resistance protein) is also known as BCRP (breast cancer related protein).</w:t>
      </w:r>
    </w:p>
  </w:footnote>
  <w:footnote w:id="25">
    <w:p w14:paraId="49A998A3" w14:textId="5516FD04" w:rsidR="00D7276C" w:rsidRPr="00A33F65" w:rsidRDefault="00D7276C">
      <w:pPr>
        <w:pStyle w:val="FootnoteText"/>
        <w:rPr>
          <w:lang w:val="en-GB"/>
        </w:rPr>
      </w:pPr>
      <w:r>
        <w:rPr>
          <w:rStyle w:val="FootnoteReference"/>
        </w:rPr>
        <w:footnoteRef/>
      </w:r>
      <w:r>
        <w:t xml:space="preserve"> MDR1 (multidrug restistance protein 1) is also known as P-gp (P-glycoprotein 1) and ABCB1 </w:t>
      </w:r>
      <w:r w:rsidRPr="00A33F65">
        <w:t>(</w:t>
      </w:r>
      <w:r>
        <w:rPr>
          <w:lang w:val="en-GB"/>
        </w:rPr>
        <w:t>ATP binding cassette sub</w:t>
      </w:r>
      <w:r w:rsidRPr="00A33F65">
        <w:rPr>
          <w:lang w:val="en-GB"/>
        </w:rPr>
        <w:t>family B member 1</w:t>
      </w:r>
      <w:r w:rsidRPr="00A33F65">
        <w:t>)</w:t>
      </w:r>
    </w:p>
  </w:footnote>
  <w:footnote w:id="26">
    <w:p w14:paraId="2C4CF0EB" w14:textId="303C8A51" w:rsidR="00D7276C" w:rsidRPr="0030489B" w:rsidRDefault="00D7276C" w:rsidP="00E231C2">
      <w:pPr>
        <w:pStyle w:val="FootnoteText"/>
        <w:rPr>
          <w:szCs w:val="18"/>
        </w:rPr>
      </w:pPr>
      <w:r w:rsidRPr="001666DE">
        <w:rPr>
          <w:rStyle w:val="FootnoteReference"/>
          <w:szCs w:val="18"/>
        </w:rPr>
        <w:footnoteRef/>
      </w:r>
      <w:r>
        <w:rPr>
          <w:szCs w:val="18"/>
        </w:rPr>
        <w:t xml:space="preserve"> Hu M</w:t>
      </w:r>
      <w:r w:rsidRPr="001666DE">
        <w:rPr>
          <w:szCs w:val="18"/>
        </w:rPr>
        <w:t xml:space="preserve"> </w:t>
      </w:r>
      <w:r w:rsidRPr="0030489B">
        <w:rPr>
          <w:szCs w:val="18"/>
        </w:rPr>
        <w:t xml:space="preserve">et al. </w:t>
      </w:r>
      <w:r w:rsidRPr="00A8758F">
        <w:rPr>
          <w:szCs w:val="18"/>
        </w:rPr>
        <w:t>A Requirement for Cyclin-Dependent Kinase 6 in Thymocyte Development and Tumorigenesis</w:t>
      </w:r>
      <w:r w:rsidRPr="0030489B">
        <w:rPr>
          <w:szCs w:val="18"/>
        </w:rPr>
        <w:t xml:space="preserve">. </w:t>
      </w:r>
      <w:r w:rsidRPr="00A8758F">
        <w:rPr>
          <w:i/>
          <w:szCs w:val="18"/>
        </w:rPr>
        <w:t>Cancer Res</w:t>
      </w:r>
      <w:r>
        <w:rPr>
          <w:szCs w:val="18"/>
        </w:rPr>
        <w:t xml:space="preserve"> </w:t>
      </w:r>
      <w:r w:rsidRPr="0030489B">
        <w:rPr>
          <w:szCs w:val="18"/>
        </w:rPr>
        <w:t>2009</w:t>
      </w:r>
      <w:r>
        <w:rPr>
          <w:szCs w:val="18"/>
        </w:rPr>
        <w:t>;</w:t>
      </w:r>
      <w:r w:rsidRPr="0030489B">
        <w:rPr>
          <w:szCs w:val="18"/>
        </w:rPr>
        <w:t xml:space="preserve"> 69:</w:t>
      </w:r>
      <w:r>
        <w:rPr>
          <w:szCs w:val="18"/>
        </w:rPr>
        <w:t xml:space="preserve"> </w:t>
      </w:r>
      <w:r w:rsidRPr="0030489B">
        <w:rPr>
          <w:szCs w:val="18"/>
        </w:rPr>
        <w:t>810-818.</w:t>
      </w:r>
    </w:p>
  </w:footnote>
  <w:footnote w:id="27">
    <w:p w14:paraId="1EC331A1" w14:textId="2D723A74" w:rsidR="00D7276C" w:rsidRPr="0030489B" w:rsidRDefault="00D7276C" w:rsidP="00E231C2">
      <w:pPr>
        <w:pStyle w:val="FootnoteText"/>
        <w:rPr>
          <w:szCs w:val="18"/>
          <w:lang w:val="en-US"/>
        </w:rPr>
      </w:pPr>
      <w:r w:rsidRPr="0030489B">
        <w:rPr>
          <w:rStyle w:val="FootnoteReference"/>
          <w:szCs w:val="18"/>
        </w:rPr>
        <w:footnoteRef/>
      </w:r>
      <w:r w:rsidRPr="0030489B">
        <w:rPr>
          <w:szCs w:val="18"/>
        </w:rPr>
        <w:t xml:space="preserve"> Hu M et al. </w:t>
      </w:r>
      <w:r>
        <w:rPr>
          <w:rFonts w:cs="Lucida Sans Unicode"/>
          <w:lang w:val="en"/>
        </w:rPr>
        <w:t>CDK6 kinase activity is required for thymocyte development</w:t>
      </w:r>
      <w:r w:rsidRPr="00A8758F">
        <w:rPr>
          <w:i/>
          <w:szCs w:val="18"/>
        </w:rPr>
        <w:t>. Blood</w:t>
      </w:r>
      <w:r>
        <w:rPr>
          <w:szCs w:val="18"/>
        </w:rPr>
        <w:t xml:space="preserve"> </w:t>
      </w:r>
      <w:r w:rsidRPr="0030489B">
        <w:rPr>
          <w:szCs w:val="18"/>
        </w:rPr>
        <w:t>2011</w:t>
      </w:r>
      <w:r>
        <w:rPr>
          <w:szCs w:val="18"/>
        </w:rPr>
        <w:t xml:space="preserve">; </w:t>
      </w:r>
      <w:r w:rsidRPr="0030489B">
        <w:rPr>
          <w:szCs w:val="18"/>
        </w:rPr>
        <w:t>117:</w:t>
      </w:r>
      <w:r>
        <w:rPr>
          <w:szCs w:val="18"/>
        </w:rPr>
        <w:t xml:space="preserve"> </w:t>
      </w:r>
      <w:r w:rsidRPr="0030489B">
        <w:rPr>
          <w:szCs w:val="18"/>
        </w:rPr>
        <w:t>6120-6131.</w:t>
      </w:r>
    </w:p>
  </w:footnote>
  <w:footnote w:id="28">
    <w:p w14:paraId="4153ACB1" w14:textId="0B5028E4" w:rsidR="00D7276C" w:rsidRPr="001666DE" w:rsidRDefault="00D7276C" w:rsidP="00E231C2">
      <w:pPr>
        <w:pStyle w:val="FootnoteText"/>
        <w:rPr>
          <w:szCs w:val="18"/>
        </w:rPr>
      </w:pPr>
      <w:r w:rsidRPr="0030489B">
        <w:rPr>
          <w:rStyle w:val="FootnoteReference"/>
          <w:szCs w:val="18"/>
        </w:rPr>
        <w:footnoteRef/>
      </w:r>
      <w:r w:rsidRPr="0030489B">
        <w:rPr>
          <w:szCs w:val="18"/>
        </w:rPr>
        <w:t xml:space="preserve"> Uras I et al. </w:t>
      </w:r>
      <w:hyperlink r:id="rId1" w:history="1">
        <w:r w:rsidRPr="00EB4915">
          <w:rPr>
            <w:szCs w:val="18"/>
          </w:rPr>
          <w:t>Cdk6 contributes to cytoskeletal stability in erythroid cells</w:t>
        </w:r>
      </w:hyperlink>
      <w:r w:rsidRPr="00EB4915">
        <w:rPr>
          <w:szCs w:val="18"/>
        </w:rPr>
        <w:t xml:space="preserve"> </w:t>
      </w:r>
      <w:r w:rsidRPr="00EB4915">
        <w:rPr>
          <w:i/>
          <w:szCs w:val="18"/>
        </w:rPr>
        <w:t>Haematologica</w:t>
      </w:r>
      <w:r w:rsidRPr="001666DE">
        <w:rPr>
          <w:szCs w:val="18"/>
        </w:rPr>
        <w:t>. 2017 Mar 2. pii: haematol.2016.159947.</w:t>
      </w:r>
    </w:p>
  </w:footnote>
  <w:footnote w:id="29">
    <w:p w14:paraId="4214D12A" w14:textId="120A2018" w:rsidR="00D7276C" w:rsidRPr="001666DE" w:rsidRDefault="00D7276C" w:rsidP="00E231C2">
      <w:pPr>
        <w:pStyle w:val="FootnoteText"/>
        <w:rPr>
          <w:szCs w:val="18"/>
          <w:lang w:val="en-US"/>
        </w:rPr>
      </w:pPr>
      <w:r w:rsidRPr="001666DE">
        <w:rPr>
          <w:rStyle w:val="FootnoteReference"/>
          <w:szCs w:val="18"/>
        </w:rPr>
        <w:footnoteRef/>
      </w:r>
      <w:r w:rsidRPr="001666DE">
        <w:rPr>
          <w:szCs w:val="18"/>
        </w:rPr>
        <w:t xml:space="preserve"> </w:t>
      </w:r>
      <w:r w:rsidRPr="001666DE">
        <w:rPr>
          <w:szCs w:val="18"/>
          <w:lang w:val="en"/>
        </w:rPr>
        <w:t xml:space="preserve">Rane SG, et al. </w:t>
      </w:r>
      <w:r>
        <w:rPr>
          <w:lang w:val="en"/>
        </w:rPr>
        <w:t>Loss of Cdk4 expression causes insulin-deficient diabetes and Cdk4 activation results in β-islet cell hyperplasia</w:t>
      </w:r>
      <w:r w:rsidRPr="001666DE">
        <w:rPr>
          <w:szCs w:val="18"/>
          <w:lang w:val="en"/>
        </w:rPr>
        <w:t xml:space="preserve">. </w:t>
      </w:r>
      <w:r w:rsidRPr="00EB4915">
        <w:rPr>
          <w:i/>
          <w:iCs/>
          <w:szCs w:val="18"/>
          <w:lang w:val="en"/>
        </w:rPr>
        <w:t>Nat. Genet</w:t>
      </w:r>
      <w:r w:rsidRPr="001666DE">
        <w:rPr>
          <w:szCs w:val="18"/>
          <w:lang w:val="en"/>
        </w:rPr>
        <w:t xml:space="preserve"> 1999</w:t>
      </w:r>
      <w:r>
        <w:rPr>
          <w:szCs w:val="18"/>
          <w:lang w:val="en"/>
        </w:rPr>
        <w:t xml:space="preserve">; </w:t>
      </w:r>
      <w:r w:rsidRPr="001666DE">
        <w:rPr>
          <w:bCs/>
          <w:szCs w:val="18"/>
          <w:lang w:val="en"/>
        </w:rPr>
        <w:t>22</w:t>
      </w:r>
      <w:r w:rsidRPr="001666DE">
        <w:rPr>
          <w:szCs w:val="18"/>
          <w:lang w:val="en"/>
        </w:rPr>
        <w:t>:</w:t>
      </w:r>
      <w:r>
        <w:rPr>
          <w:szCs w:val="18"/>
          <w:lang w:val="en"/>
        </w:rPr>
        <w:t xml:space="preserve"> </w:t>
      </w:r>
      <w:r w:rsidRPr="001666DE">
        <w:rPr>
          <w:szCs w:val="18"/>
          <w:lang w:val="en"/>
        </w:rPr>
        <w:t>44–52</w:t>
      </w:r>
    </w:p>
  </w:footnote>
  <w:footnote w:id="30">
    <w:p w14:paraId="33A905BC" w14:textId="6B88B343" w:rsidR="00D7276C" w:rsidRPr="001666DE" w:rsidRDefault="00D7276C" w:rsidP="00E231C2">
      <w:pPr>
        <w:pStyle w:val="FootnoteText"/>
        <w:rPr>
          <w:szCs w:val="18"/>
        </w:rPr>
      </w:pPr>
      <w:r w:rsidRPr="001666DE">
        <w:rPr>
          <w:rStyle w:val="FootnoteReference"/>
          <w:szCs w:val="18"/>
        </w:rPr>
        <w:footnoteRef/>
      </w:r>
      <w:r w:rsidRPr="001666DE">
        <w:rPr>
          <w:szCs w:val="18"/>
        </w:rPr>
        <w:t xml:space="preserve"> </w:t>
      </w:r>
      <w:r w:rsidRPr="001666DE">
        <w:rPr>
          <w:szCs w:val="18"/>
          <w:lang w:val="en"/>
        </w:rPr>
        <w:t xml:space="preserve">Tsutsui T, </w:t>
      </w:r>
      <w:r w:rsidRPr="001666DE">
        <w:rPr>
          <w:i/>
          <w:szCs w:val="18"/>
          <w:lang w:val="en"/>
        </w:rPr>
        <w:t>et al</w:t>
      </w:r>
      <w:r w:rsidRPr="00EB4915">
        <w:rPr>
          <w:szCs w:val="18"/>
          <w:lang w:val="en"/>
        </w:rPr>
        <w:t>. Targeted Disruption of CDK4 Delays Cell Cycle Entry with Enhanced p27</w:t>
      </w:r>
      <w:r w:rsidRPr="00EB4915">
        <w:rPr>
          <w:szCs w:val="18"/>
          <w:vertAlign w:val="superscript"/>
          <w:lang w:val="en"/>
        </w:rPr>
        <w:t>Kip1</w:t>
      </w:r>
      <w:r w:rsidRPr="00EB4915">
        <w:rPr>
          <w:szCs w:val="18"/>
          <w:lang w:val="en"/>
        </w:rPr>
        <w:t xml:space="preserve"> Activity</w:t>
      </w:r>
      <w:r w:rsidRPr="001666DE">
        <w:rPr>
          <w:szCs w:val="18"/>
          <w:lang w:val="en"/>
        </w:rPr>
        <w:t xml:space="preserve">. </w:t>
      </w:r>
      <w:r w:rsidRPr="00EB4915">
        <w:rPr>
          <w:i/>
          <w:iCs/>
          <w:szCs w:val="18"/>
          <w:lang w:val="en"/>
        </w:rPr>
        <w:t>Mol. Cell. Biol.</w:t>
      </w:r>
      <w:r w:rsidRPr="00EB4915">
        <w:rPr>
          <w:szCs w:val="18"/>
          <w:lang w:val="en"/>
        </w:rPr>
        <w:t xml:space="preserve"> </w:t>
      </w:r>
      <w:r w:rsidRPr="001666DE">
        <w:rPr>
          <w:szCs w:val="18"/>
          <w:lang w:val="en"/>
        </w:rPr>
        <w:t>1999</w:t>
      </w:r>
      <w:r>
        <w:rPr>
          <w:szCs w:val="18"/>
          <w:lang w:val="en"/>
        </w:rPr>
        <w:t xml:space="preserve">; </w:t>
      </w:r>
      <w:r w:rsidRPr="001666DE">
        <w:rPr>
          <w:bCs/>
          <w:szCs w:val="18"/>
          <w:lang w:val="en"/>
        </w:rPr>
        <w:t>19</w:t>
      </w:r>
      <w:r>
        <w:rPr>
          <w:szCs w:val="18"/>
          <w:lang w:val="en"/>
        </w:rPr>
        <w:t>:</w:t>
      </w:r>
      <w:r w:rsidRPr="001666DE">
        <w:rPr>
          <w:szCs w:val="18"/>
          <w:lang w:val="en"/>
        </w:rPr>
        <w:t xml:space="preserve"> 7011–7019.</w:t>
      </w:r>
    </w:p>
  </w:footnote>
  <w:footnote w:id="31">
    <w:p w14:paraId="764DD017" w14:textId="07FB1E0F" w:rsidR="00D7276C" w:rsidRPr="001666DE" w:rsidRDefault="00D7276C" w:rsidP="00E231C2">
      <w:pPr>
        <w:pStyle w:val="FootnoteText"/>
        <w:rPr>
          <w:szCs w:val="18"/>
          <w:lang w:val="en-US"/>
        </w:rPr>
      </w:pPr>
      <w:r w:rsidRPr="001666DE">
        <w:rPr>
          <w:rStyle w:val="FootnoteReference"/>
          <w:szCs w:val="18"/>
        </w:rPr>
        <w:footnoteRef/>
      </w:r>
      <w:r w:rsidRPr="001666DE">
        <w:rPr>
          <w:szCs w:val="18"/>
        </w:rPr>
        <w:t xml:space="preserve"> </w:t>
      </w:r>
      <w:r w:rsidRPr="001666DE">
        <w:rPr>
          <w:szCs w:val="18"/>
          <w:lang w:val="en"/>
        </w:rPr>
        <w:t xml:space="preserve">Moons DS, </w:t>
      </w:r>
      <w:r w:rsidRPr="001666DE">
        <w:rPr>
          <w:i/>
          <w:szCs w:val="18"/>
          <w:lang w:val="en"/>
        </w:rPr>
        <w:t xml:space="preserve">et al. </w:t>
      </w:r>
      <w:r>
        <w:rPr>
          <w:lang w:val="en"/>
        </w:rPr>
        <w:t>Intact Follicular Maturation and Defective Luteal Function in Mice Deficient for Cyclin- Dependent Kinase-4.</w:t>
      </w:r>
      <w:r>
        <w:rPr>
          <w:szCs w:val="18"/>
          <w:lang w:val="en"/>
        </w:rPr>
        <w:t xml:space="preserve"> </w:t>
      </w:r>
      <w:r w:rsidRPr="00EB4915">
        <w:rPr>
          <w:i/>
          <w:szCs w:val="18"/>
          <w:lang w:val="en"/>
        </w:rPr>
        <w:t>Endocrinology</w:t>
      </w:r>
      <w:r w:rsidRPr="001666DE">
        <w:rPr>
          <w:szCs w:val="18"/>
          <w:lang w:val="en"/>
        </w:rPr>
        <w:t xml:space="preserve"> </w:t>
      </w:r>
      <w:r>
        <w:rPr>
          <w:szCs w:val="18"/>
          <w:lang w:val="en"/>
        </w:rPr>
        <w:t>2002; 143:</w:t>
      </w:r>
      <w:r w:rsidRPr="001666DE">
        <w:rPr>
          <w:szCs w:val="18"/>
          <w:lang w:val="en"/>
        </w:rPr>
        <w:t xml:space="preserve"> 647–654.</w:t>
      </w:r>
    </w:p>
  </w:footnote>
  <w:footnote w:id="32">
    <w:p w14:paraId="2234F78C" w14:textId="43AAAEB7" w:rsidR="00D7276C" w:rsidRPr="001666DE" w:rsidRDefault="00D7276C" w:rsidP="00E231C2">
      <w:pPr>
        <w:pStyle w:val="FootnoteText"/>
        <w:rPr>
          <w:szCs w:val="18"/>
        </w:rPr>
      </w:pPr>
      <w:r w:rsidRPr="001666DE">
        <w:rPr>
          <w:rStyle w:val="FootnoteReference"/>
          <w:szCs w:val="18"/>
        </w:rPr>
        <w:footnoteRef/>
      </w:r>
      <w:r w:rsidRPr="001666DE">
        <w:rPr>
          <w:szCs w:val="18"/>
        </w:rPr>
        <w:t xml:space="preserve"> Jirawatnotai S, </w:t>
      </w:r>
      <w:r w:rsidRPr="001666DE">
        <w:rPr>
          <w:i/>
          <w:szCs w:val="18"/>
        </w:rPr>
        <w:t>et al.</w:t>
      </w:r>
      <w:r>
        <w:rPr>
          <w:szCs w:val="18"/>
        </w:rPr>
        <w:t xml:space="preserve"> </w:t>
      </w:r>
      <w:r w:rsidRPr="0075300D">
        <w:rPr>
          <w:szCs w:val="18"/>
        </w:rPr>
        <w:t>Cdk4 Is Indispensable for Postnatal Proliferation of the Anterior Pituitary</w:t>
      </w:r>
      <w:r w:rsidRPr="001666DE">
        <w:rPr>
          <w:szCs w:val="18"/>
        </w:rPr>
        <w:t xml:space="preserve"> </w:t>
      </w:r>
      <w:r w:rsidRPr="0075300D">
        <w:rPr>
          <w:i/>
          <w:szCs w:val="18"/>
        </w:rPr>
        <w:t>J Biol Chem</w:t>
      </w:r>
      <w:r>
        <w:rPr>
          <w:szCs w:val="18"/>
        </w:rPr>
        <w:t xml:space="preserve">. </w:t>
      </w:r>
      <w:r w:rsidRPr="001666DE">
        <w:rPr>
          <w:szCs w:val="18"/>
        </w:rPr>
        <w:t>2004</w:t>
      </w:r>
      <w:r>
        <w:rPr>
          <w:szCs w:val="18"/>
        </w:rPr>
        <w:t>;</w:t>
      </w:r>
      <w:r w:rsidRPr="001666DE">
        <w:rPr>
          <w:szCs w:val="18"/>
        </w:rPr>
        <w:t xml:space="preserve"> 279:</w:t>
      </w:r>
      <w:r>
        <w:rPr>
          <w:szCs w:val="18"/>
        </w:rPr>
        <w:t xml:space="preserve"> </w:t>
      </w:r>
      <w:r w:rsidRPr="001666DE">
        <w:rPr>
          <w:szCs w:val="18"/>
        </w:rPr>
        <w:t>51100-51106.</w:t>
      </w:r>
    </w:p>
  </w:footnote>
  <w:footnote w:id="33">
    <w:p w14:paraId="2DDAD121" w14:textId="0452AB63" w:rsidR="00D7276C" w:rsidRPr="007234E1" w:rsidRDefault="00D7276C">
      <w:pPr>
        <w:pStyle w:val="FootnoteText"/>
        <w:rPr>
          <w:lang w:val="en-GB"/>
        </w:rPr>
      </w:pPr>
      <w:r>
        <w:rPr>
          <w:rStyle w:val="FootnoteReference"/>
        </w:rPr>
        <w:footnoteRef/>
      </w:r>
      <w:r>
        <w:t xml:space="preserve"> ICH S2(R1): </w:t>
      </w:r>
      <w:r w:rsidRPr="007234E1">
        <w:t xml:space="preserve">International Conference on Harmonisation (ICH) </w:t>
      </w:r>
      <w:r>
        <w:t xml:space="preserve">of Technical Requirements for Registration of Pharmaceuticals for Human Use; ICH Harmonised Tripartite Guideline: </w:t>
      </w:r>
      <w:r w:rsidRPr="007234E1">
        <w:t>Guidance on genotoxicity testing and data interpretation for pharmaceuticals intended for human use</w:t>
      </w:r>
      <w:r>
        <w:t xml:space="preserve">. </w:t>
      </w:r>
      <w:r w:rsidRPr="007234E1">
        <w:rPr>
          <w:lang w:val="en-GB"/>
        </w:rPr>
        <w:t xml:space="preserve">Current Step 4 </w:t>
      </w:r>
      <w:r w:rsidRPr="007234E1">
        <w:t>version dated 9 November 2011</w:t>
      </w:r>
      <w:r>
        <w:rPr>
          <w:lang w:val="en-GB"/>
        </w:rPr>
        <w:t>.</w:t>
      </w:r>
    </w:p>
  </w:footnote>
  <w:footnote w:id="34">
    <w:p w14:paraId="7372A3B6" w14:textId="4CE13C3B" w:rsidR="00D7276C" w:rsidRPr="007234E1" w:rsidRDefault="00D7276C">
      <w:pPr>
        <w:pStyle w:val="FootnoteText"/>
        <w:rPr>
          <w:lang w:val="en-GB"/>
        </w:rPr>
      </w:pPr>
      <w:r>
        <w:rPr>
          <w:rStyle w:val="FootnoteReference"/>
        </w:rPr>
        <w:footnoteRef/>
      </w:r>
      <w:r>
        <w:t xml:space="preserve"> </w:t>
      </w:r>
      <w:r w:rsidRPr="00D93809">
        <w:t xml:space="preserve">ICH S9: International Conference on Harmonisation (ICH) of Technical Requirements for Registration of Pharmaceuticals for Human Use: Nonclinical evaluation for anticancer pharmaceuticals. </w:t>
      </w:r>
      <w:r w:rsidRPr="00D93809">
        <w:rPr>
          <w:lang w:val="en-GB"/>
        </w:rPr>
        <w:t xml:space="preserve">Current Step 4 </w:t>
      </w:r>
      <w:r w:rsidRPr="00D93809">
        <w:t>version dated 29 October 2009.</w:t>
      </w:r>
    </w:p>
  </w:footnote>
  <w:footnote w:id="35">
    <w:p w14:paraId="0170C46B" w14:textId="5E5BBFAD" w:rsidR="00D7276C" w:rsidRPr="00CF5AEF" w:rsidRDefault="00D7276C">
      <w:pPr>
        <w:pStyle w:val="FootnoteText"/>
        <w:rPr>
          <w:lang w:val="en-GB"/>
        </w:rPr>
      </w:pPr>
      <w:r>
        <w:rPr>
          <w:rStyle w:val="FootnoteReference"/>
        </w:rPr>
        <w:footnoteRef/>
      </w:r>
      <w:r>
        <w:t xml:space="preserve"> Australian Pregnancy Category D: </w:t>
      </w:r>
      <w:r w:rsidRPr="00CF5AEF">
        <w:rPr>
          <w:lang w:val="en-GB"/>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36">
    <w:p w14:paraId="63049E64" w14:textId="6DFDD237" w:rsidR="00D7276C" w:rsidRDefault="00D7276C">
      <w:pPr>
        <w:pStyle w:val="FootnoteText"/>
      </w:pPr>
      <w:r>
        <w:rPr>
          <w:rStyle w:val="FootnoteReference"/>
        </w:rPr>
        <w:footnoteRef/>
      </w:r>
      <w:r>
        <w:t xml:space="preserve"> Clarification: The evaluator attributed accumulation to auto-inhibition of CYP3A4.</w:t>
      </w:r>
    </w:p>
  </w:footnote>
  <w:footnote w:id="37">
    <w:p w14:paraId="3D8DC231" w14:textId="7F43D95D" w:rsidR="00D7276C" w:rsidRPr="007048A4" w:rsidRDefault="00D7276C" w:rsidP="00804747">
      <w:pPr>
        <w:pStyle w:val="FootnoteText"/>
      </w:pPr>
      <w:r>
        <w:rPr>
          <w:rStyle w:val="FootnoteReference"/>
        </w:rPr>
        <w:footnoteRef/>
      </w:r>
      <w:r>
        <w:t xml:space="preserve"> </w:t>
      </w:r>
      <w:r w:rsidRPr="002B09C3">
        <w:rPr>
          <w:rStyle w:val="FootnoteTextChar"/>
        </w:rPr>
        <w:t>Clarification: Potential drug-drug interactions with agents that raise gastric pH, with letrozole, and with moderate or weak CYP3A4 inhibitors have been evaluated based on clinical data, popPK and P</w:t>
      </w:r>
      <w:r>
        <w:rPr>
          <w:rStyle w:val="FootnoteTextChar"/>
        </w:rPr>
        <w:t>D</w:t>
      </w:r>
      <w:r w:rsidRPr="002B09C3">
        <w:rPr>
          <w:rStyle w:val="FootnoteTextChar"/>
        </w:rPr>
        <w:t xml:space="preserve">PK </w:t>
      </w:r>
      <w:r w:rsidRPr="007048A4">
        <w:rPr>
          <w:rStyle w:val="FootnoteTextChar"/>
        </w:rPr>
        <w:t>modelling</w:t>
      </w:r>
      <w:r w:rsidRPr="002B09C3">
        <w:rPr>
          <w:rStyle w:val="FootnoteTextChar"/>
        </w:rPr>
        <w:t xml:space="preserve"> and </w:t>
      </w:r>
      <w:r>
        <w:rPr>
          <w:rStyle w:val="FootnoteTextChar"/>
        </w:rPr>
        <w:t xml:space="preserve">drug-drug interaction </w:t>
      </w:r>
      <w:r w:rsidRPr="002B09C3">
        <w:rPr>
          <w:rStyle w:val="FootnoteTextChar"/>
        </w:rPr>
        <w:t xml:space="preserve"> is not expected</w:t>
      </w:r>
      <w:r w:rsidRPr="007048A4">
        <w:rPr>
          <w:rStyle w:val="FootnoteTextChar"/>
        </w:rPr>
        <w:t xml:space="preserve">. </w:t>
      </w:r>
      <w:r w:rsidRPr="002B09C3">
        <w:rPr>
          <w:rStyle w:val="FootnoteTextChar"/>
        </w:rPr>
        <w:t>No dose adjustments are required for mild and moderate CYP3A4 inhibitors, however, if treatment with a moderate CYP3A4 inhibitor is initiated, close monitoring for ribociclib-related AEs is recommended.</w:t>
      </w:r>
    </w:p>
  </w:footnote>
  <w:footnote w:id="38">
    <w:p w14:paraId="4F251752" w14:textId="40784472" w:rsidR="00D7276C" w:rsidRPr="00902E8C" w:rsidRDefault="00D7276C">
      <w:pPr>
        <w:pStyle w:val="FootnoteText"/>
        <w:rPr>
          <w:lang w:val="en-GB"/>
        </w:rPr>
      </w:pPr>
      <w:r>
        <w:rPr>
          <w:rStyle w:val="FootnoteReference"/>
        </w:rPr>
        <w:footnoteRef/>
      </w:r>
      <w:r>
        <w:t xml:space="preserve"> </w:t>
      </w:r>
      <w:r>
        <w:rPr>
          <w:lang w:val="en-GB"/>
        </w:rPr>
        <w:t xml:space="preserve">ECOG PS: </w:t>
      </w:r>
      <w:r w:rsidRPr="00902E8C">
        <w:rPr>
          <w:lang w:val="en-GB"/>
        </w:rPr>
        <w:t>Eastern Cooperative Oncology Group</w:t>
      </w:r>
      <w:r>
        <w:rPr>
          <w:lang w:val="en-GB"/>
        </w:rPr>
        <w:t xml:space="preserve"> Performance Scale; a validated 6 point scale of standardised criteria with 0 signifying full activity, able to carry out all pre-disease activity without restriction and 6 signifying death. Oken M </w:t>
      </w:r>
      <w:r w:rsidRPr="00593A1D">
        <w:rPr>
          <w:lang w:val="en-GB"/>
        </w:rPr>
        <w:t>et al. Toxicity and response criteria of the Eastern Cooperative Oncology Group. </w:t>
      </w:r>
      <w:r w:rsidRPr="00593A1D">
        <w:rPr>
          <w:i/>
          <w:iCs/>
          <w:lang w:val="en-GB"/>
        </w:rPr>
        <w:t>Am J Clin Oncol.</w:t>
      </w:r>
      <w:r w:rsidRPr="00593A1D">
        <w:rPr>
          <w:lang w:val="en-GB"/>
        </w:rPr>
        <w:t> 1982;5:649-655.</w:t>
      </w:r>
    </w:p>
  </w:footnote>
  <w:footnote w:id="39">
    <w:p w14:paraId="65155F4D" w14:textId="77777777" w:rsidR="00D7276C" w:rsidRPr="00A56948" w:rsidRDefault="00D7276C" w:rsidP="007109D1">
      <w:pPr>
        <w:pStyle w:val="FootnoteText"/>
        <w:rPr>
          <w:lang w:val="en-GB"/>
        </w:rPr>
      </w:pPr>
      <w:r>
        <w:rPr>
          <w:rStyle w:val="FootnoteReference"/>
        </w:rPr>
        <w:footnoteRef/>
      </w:r>
      <w:r>
        <w:t xml:space="preserve"> </w:t>
      </w:r>
      <w:r w:rsidRPr="00A56948">
        <w:rPr>
          <w:lang w:val="en-GB"/>
        </w:rPr>
        <w:t xml:space="preserve">The H-score is a </w:t>
      </w:r>
      <w:r>
        <w:rPr>
          <w:lang w:val="en-GB"/>
        </w:rPr>
        <w:t xml:space="preserve">commonly used </w:t>
      </w:r>
      <w:r w:rsidRPr="00A56948">
        <w:rPr>
          <w:lang w:val="en-GB"/>
        </w:rPr>
        <w:t>method of assessing the extent of nuclear immunoreactivity, applicable to steroid receptors.</w:t>
      </w:r>
      <w:r>
        <w:rPr>
          <w:lang w:val="en-GB"/>
        </w:rPr>
        <w:t xml:space="preserve"> </w:t>
      </w:r>
      <w:r w:rsidRPr="00A56948">
        <w:rPr>
          <w:lang w:val="en-GB"/>
        </w:rPr>
        <w:t>McCarty K</w:t>
      </w:r>
      <w:r>
        <w:rPr>
          <w:lang w:val="en-GB"/>
        </w:rPr>
        <w:t xml:space="preserve"> et al. Estrogen receptor analyses. C</w:t>
      </w:r>
      <w:r w:rsidRPr="00A56948">
        <w:rPr>
          <w:lang w:val="en-GB"/>
        </w:rPr>
        <w:t>orrelation of biochemical and immunohistochemical methods using monoclonal antireceptor antibodies. </w:t>
      </w:r>
      <w:r w:rsidRPr="009F554D">
        <w:rPr>
          <w:i/>
          <w:lang w:val="en-GB"/>
        </w:rPr>
        <w:t>Arch Pathol Lab Med</w:t>
      </w:r>
      <w:r w:rsidRPr="00A56948">
        <w:rPr>
          <w:lang w:val="en-GB"/>
        </w:rPr>
        <w:t>. 1985;109:</w:t>
      </w:r>
      <w:r>
        <w:rPr>
          <w:lang w:val="en-GB"/>
        </w:rPr>
        <w:t xml:space="preserve"> </w:t>
      </w:r>
      <w:r w:rsidRPr="00A56948">
        <w:rPr>
          <w:lang w:val="en-GB"/>
        </w:rPr>
        <w:t>716–721.</w:t>
      </w:r>
    </w:p>
  </w:footnote>
  <w:footnote w:id="40">
    <w:p w14:paraId="3AB9ECB9" w14:textId="14925BA7" w:rsidR="00D7276C" w:rsidRPr="007E560E" w:rsidRDefault="00D7276C" w:rsidP="007E7283">
      <w:pPr>
        <w:pStyle w:val="FootnoteText"/>
      </w:pPr>
      <w:r>
        <w:rPr>
          <w:rStyle w:val="FootnoteReference"/>
        </w:rPr>
        <w:footnoteRef/>
      </w:r>
      <w:r>
        <w:t xml:space="preserve"> </w:t>
      </w:r>
      <w:r w:rsidRPr="00925996">
        <w:rPr>
          <w:rStyle w:val="FootnoteTextChar"/>
        </w:rPr>
        <w:t>Clarification: duration of response was an exploratory objective of Study A2301</w:t>
      </w:r>
      <w:r>
        <w:rPr>
          <w:rStyle w:val="FootnoteTextChar"/>
        </w:rPr>
        <w:t>.</w:t>
      </w:r>
    </w:p>
  </w:footnote>
  <w:footnote w:id="41">
    <w:p w14:paraId="15C7A8A9" w14:textId="66935AEE" w:rsidR="00D7276C" w:rsidRPr="00474753" w:rsidRDefault="00D7276C" w:rsidP="007E7283">
      <w:pPr>
        <w:pStyle w:val="FootnoteText"/>
        <w:rPr>
          <w:rStyle w:val="FootnoteTextChar"/>
        </w:rPr>
      </w:pPr>
      <w:r>
        <w:rPr>
          <w:rStyle w:val="FootnoteReference"/>
        </w:rPr>
        <w:footnoteRef/>
      </w:r>
      <w:r>
        <w:t xml:space="preserve"> </w:t>
      </w:r>
      <w:r w:rsidRPr="007E560E">
        <w:rPr>
          <w:rStyle w:val="FootnoteTextChar"/>
        </w:rPr>
        <w:t>The study was designed as a 2-look group sequential design with Haybittle-Peto boundary; in order to conclude superior efficacy the observed p-value had to be less than p</w:t>
      </w:r>
      <w:r>
        <w:rPr>
          <w:rStyle w:val="FootnoteTextChar"/>
        </w:rPr>
        <w:t xml:space="preserve"> </w:t>
      </w:r>
      <w:r w:rsidRPr="007E560E">
        <w:rPr>
          <w:rStyle w:val="FootnoteTextChar"/>
        </w:rPr>
        <w:t>=</w:t>
      </w:r>
      <w:r>
        <w:rPr>
          <w:rStyle w:val="FootnoteTextChar"/>
        </w:rPr>
        <w:t xml:space="preserve"> </w:t>
      </w:r>
      <w:r w:rsidRPr="007E560E">
        <w:rPr>
          <w:rStyle w:val="FootnoteTextChar"/>
        </w:rPr>
        <w:t>1.29×10-5 (or Z</w:t>
      </w:r>
      <w:r>
        <w:rPr>
          <w:rStyle w:val="FootnoteTextChar"/>
        </w:rPr>
        <w:t xml:space="preserve"> </w:t>
      </w:r>
      <w:r w:rsidRPr="007E560E">
        <w:rPr>
          <w:rStyle w:val="FootnoteTextChar"/>
        </w:rPr>
        <w:t>=</w:t>
      </w:r>
      <w:r>
        <w:rPr>
          <w:rStyle w:val="FootnoteTextChar"/>
        </w:rPr>
        <w:t xml:space="preserve"> </w:t>
      </w:r>
      <w:r w:rsidRPr="007E560E">
        <w:rPr>
          <w:rStyle w:val="FootnoteTextChar"/>
        </w:rPr>
        <w:t>4.2077, HR</w:t>
      </w:r>
      <w:r>
        <w:rPr>
          <w:rStyle w:val="FootnoteTextChar"/>
        </w:rPr>
        <w:t xml:space="preserve"> </w:t>
      </w:r>
      <w:r w:rsidRPr="007E560E">
        <w:rPr>
          <w:rStyle w:val="FootnoteTextChar"/>
        </w:rPr>
        <w:t>=</w:t>
      </w:r>
      <w:r>
        <w:rPr>
          <w:rStyle w:val="FootnoteTextChar"/>
        </w:rPr>
        <w:t xml:space="preserve"> 0.56)</w:t>
      </w:r>
      <w:r w:rsidRPr="00474753">
        <w:rPr>
          <w:rStyle w:val="FootnoteTextChar"/>
        </w:rPr>
        <w:t xml:space="preserve"> for PFS analysis based local investigator assessment.</w:t>
      </w:r>
    </w:p>
    <w:p w14:paraId="20B2C68D" w14:textId="3224ADB8" w:rsidR="00D7276C" w:rsidRPr="007E560E" w:rsidRDefault="00D7276C" w:rsidP="007E7283">
      <w:pPr>
        <w:pStyle w:val="FootnoteText"/>
      </w:pPr>
      <w:r>
        <w:rPr>
          <w:rStyle w:val="FootnoteTextChar"/>
        </w:rPr>
        <w:t>BICR</w:t>
      </w:r>
      <w:r w:rsidRPr="00474753">
        <w:rPr>
          <w:rStyle w:val="FootnoteTextChar"/>
        </w:rPr>
        <w:t xml:space="preserve"> analysis was a supportive analysis without any plan to compare with efficacy stopping boundaries.</w:t>
      </w:r>
    </w:p>
  </w:footnote>
  <w:footnote w:id="42">
    <w:p w14:paraId="5B540A5B" w14:textId="37F00923" w:rsidR="00D7276C" w:rsidRPr="007E560E" w:rsidRDefault="00D7276C">
      <w:pPr>
        <w:pStyle w:val="FootnoteText"/>
        <w:rPr>
          <w:lang w:val="en-US"/>
        </w:rPr>
      </w:pPr>
      <w:r>
        <w:rPr>
          <w:rStyle w:val="FootnoteReference"/>
        </w:rPr>
        <w:footnoteRef/>
      </w:r>
      <w:r>
        <w:t xml:space="preserve"> The interim analysis was planned after 70% (211/302) of the 302 targeted PFS events and actually performed after 80% (243/302) of the 302 targeted PFS events.</w:t>
      </w:r>
    </w:p>
  </w:footnote>
  <w:footnote w:id="43">
    <w:p w14:paraId="66492C76" w14:textId="491BE674" w:rsidR="00D7276C" w:rsidRPr="007E560E" w:rsidRDefault="00D7276C">
      <w:pPr>
        <w:pStyle w:val="FootnoteText"/>
        <w:rPr>
          <w:lang w:val="en-GB"/>
        </w:rPr>
      </w:pPr>
      <w:r>
        <w:rPr>
          <w:rStyle w:val="FootnoteReference"/>
        </w:rPr>
        <w:footnoteRef/>
      </w:r>
      <w:r>
        <w:t xml:space="preserve"> </w:t>
      </w:r>
      <w:r w:rsidRPr="00BD719E">
        <w:t xml:space="preserve">Hy’s law criteria: Evidence of hepatocellular injury with The drug causes hepatocellular injury, an elevated ALT or AST &gt; 3 x the upper limit of normal and bilirubin of greater than 2× the upper limit of normal with no </w:t>
      </w:r>
      <w:r>
        <w:t xml:space="preserve">other </w:t>
      </w:r>
      <w:r w:rsidRPr="00BD719E">
        <w:t>reason to explain the rise in aminotransferases and bilirubin.</w:t>
      </w:r>
    </w:p>
  </w:footnote>
  <w:footnote w:id="44">
    <w:p w14:paraId="286D6401" w14:textId="2972E9BC" w:rsidR="00D7276C" w:rsidRPr="007E560E" w:rsidRDefault="00D7276C">
      <w:pPr>
        <w:pStyle w:val="FootnoteText"/>
        <w:rPr>
          <w:lang w:val="en-US"/>
        </w:rPr>
      </w:pPr>
      <w:r>
        <w:rPr>
          <w:rStyle w:val="FootnoteReference"/>
        </w:rPr>
        <w:footnoteRef/>
      </w:r>
      <w:r>
        <w:t xml:space="preserve"> </w:t>
      </w:r>
      <w:r w:rsidRPr="00912435">
        <w:rPr>
          <w:lang w:eastAsia="ja-JP"/>
        </w:rPr>
        <w:t xml:space="preserve">Guidelines for dose modifications and monitoring are captured in the </w:t>
      </w:r>
      <w:r>
        <w:rPr>
          <w:lang w:eastAsia="ja-JP"/>
        </w:rPr>
        <w:t>PI</w:t>
      </w:r>
      <w:r w:rsidRPr="00912435">
        <w:rPr>
          <w:lang w:eastAsia="ja-JP"/>
        </w:rPr>
        <w:t xml:space="preserve"> for this adverse effect and its management, with additional characterisations ongoing</w:t>
      </w:r>
    </w:p>
  </w:footnote>
  <w:footnote w:id="45">
    <w:p w14:paraId="2E02A424" w14:textId="2FEC5BCE" w:rsidR="00D7276C" w:rsidRPr="00C9746A" w:rsidRDefault="00D7276C">
      <w:pPr>
        <w:pStyle w:val="FootnoteText"/>
        <w:rPr>
          <w:lang w:val="en-GB"/>
        </w:rPr>
      </w:pPr>
      <w:r>
        <w:rPr>
          <w:rStyle w:val="FootnoteReference"/>
        </w:rPr>
        <w:footnoteRef/>
      </w:r>
      <w:r>
        <w:t xml:space="preserve"> </w:t>
      </w:r>
      <w:r>
        <w:rPr>
          <w:lang w:val="en-GB"/>
        </w:rPr>
        <w:t>QTcF is the QT interval corrected for heart rate using Fredericia’s formula.</w:t>
      </w:r>
    </w:p>
  </w:footnote>
  <w:footnote w:id="46">
    <w:p w14:paraId="110F2615" w14:textId="77777777" w:rsidR="00D7276C" w:rsidRDefault="00D7276C" w:rsidP="00BB6514">
      <w:pPr>
        <w:pStyle w:val="FootnoteText"/>
      </w:pPr>
      <w:r>
        <w:rPr>
          <w:rStyle w:val="FootnoteReference"/>
        </w:rPr>
        <w:footnoteRef/>
      </w:r>
      <w:r>
        <w:t xml:space="preserve"> Routine risk minimisation activities may be limited to ensuring that suitable warnings are included in the product information or by careful use of labelling and packaging.</w:t>
      </w:r>
    </w:p>
    <w:p w14:paraId="0D349FEA" w14:textId="77777777" w:rsidR="00D7276C" w:rsidRDefault="00D7276C" w:rsidP="00BB6514">
      <w:pPr>
        <w:pStyle w:val="FootnoteText"/>
      </w:pPr>
      <w:r>
        <w:t>Routine pharmacovigilance practices involve the following activities:</w:t>
      </w:r>
    </w:p>
    <w:p w14:paraId="36E794E6" w14:textId="1A9FFDC5" w:rsidR="00D7276C" w:rsidRPr="00D7276C" w:rsidRDefault="00D7276C" w:rsidP="00D7276C">
      <w:pPr>
        <w:pStyle w:val="ListBullet"/>
        <w:spacing w:before="0" w:after="0"/>
        <w:ind w:left="357" w:hanging="357"/>
        <w:rPr>
          <w:sz w:val="18"/>
          <w:szCs w:val="18"/>
        </w:rPr>
      </w:pPr>
      <w:r w:rsidRPr="00D7276C">
        <w:rPr>
          <w:sz w:val="18"/>
          <w:szCs w:val="18"/>
        </w:rPr>
        <w:t>All suspected adverse reactions that are reported to the personnel of the company are collected and collated in an accessible manner;</w:t>
      </w:r>
    </w:p>
    <w:p w14:paraId="6D47FA91" w14:textId="668027A9" w:rsidR="00D7276C" w:rsidRPr="00D7276C" w:rsidRDefault="00D7276C" w:rsidP="00D7276C">
      <w:pPr>
        <w:pStyle w:val="ListBullet"/>
        <w:spacing w:before="0" w:after="0"/>
        <w:ind w:left="357" w:hanging="357"/>
        <w:rPr>
          <w:sz w:val="18"/>
          <w:szCs w:val="18"/>
        </w:rPr>
      </w:pPr>
      <w:r w:rsidRPr="00D7276C">
        <w:rPr>
          <w:sz w:val="18"/>
          <w:szCs w:val="18"/>
        </w:rPr>
        <w:t>Reporting to regulatory authorities;</w:t>
      </w:r>
    </w:p>
    <w:p w14:paraId="7D6483A9" w14:textId="4187AAD6" w:rsidR="00D7276C" w:rsidRPr="00D7276C" w:rsidRDefault="00D7276C" w:rsidP="00D7276C">
      <w:pPr>
        <w:pStyle w:val="ListBullet"/>
        <w:spacing w:before="0" w:after="0"/>
        <w:ind w:left="357" w:hanging="357"/>
        <w:rPr>
          <w:sz w:val="18"/>
          <w:szCs w:val="18"/>
        </w:rPr>
      </w:pPr>
      <w:r w:rsidRPr="00D7276C">
        <w:rPr>
          <w:sz w:val="18"/>
          <w:szCs w:val="18"/>
        </w:rPr>
        <w:t>Continuous monitoring of the safety profiles of approved products including signal detection and updating of labelling;</w:t>
      </w:r>
    </w:p>
    <w:p w14:paraId="141BD552" w14:textId="0D991694" w:rsidR="00D7276C" w:rsidRPr="00D7276C" w:rsidRDefault="00D7276C" w:rsidP="00D7276C">
      <w:pPr>
        <w:pStyle w:val="ListBullet"/>
        <w:spacing w:before="0" w:after="0"/>
        <w:ind w:left="357" w:hanging="357"/>
        <w:rPr>
          <w:sz w:val="18"/>
          <w:szCs w:val="18"/>
        </w:rPr>
      </w:pPr>
      <w:r w:rsidRPr="00D7276C">
        <w:rPr>
          <w:sz w:val="18"/>
          <w:szCs w:val="18"/>
        </w:rPr>
        <w:t>Submission of PSURs;</w:t>
      </w:r>
    </w:p>
    <w:p w14:paraId="0AD36610" w14:textId="21622FAB" w:rsidR="00D7276C" w:rsidRPr="00D7276C" w:rsidRDefault="00D7276C" w:rsidP="00D7276C">
      <w:pPr>
        <w:pStyle w:val="ListBullet"/>
        <w:spacing w:before="0" w:after="0"/>
        <w:ind w:left="357" w:hanging="357"/>
        <w:rPr>
          <w:sz w:val="18"/>
          <w:szCs w:val="18"/>
          <w:lang w:val="en-GB"/>
        </w:rPr>
      </w:pPr>
      <w:r w:rsidRPr="00D7276C">
        <w:rPr>
          <w:sz w:val="18"/>
          <w:szCs w:val="18"/>
        </w:rPr>
        <w:t>Meeting other local regulatory agency requirements.</w:t>
      </w:r>
    </w:p>
  </w:footnote>
  <w:footnote w:id="47">
    <w:p w14:paraId="555F6713" w14:textId="22F84920" w:rsidR="00D7276C" w:rsidRDefault="00D7276C">
      <w:pPr>
        <w:pStyle w:val="FootnoteText"/>
      </w:pPr>
      <w:r>
        <w:rPr>
          <w:rStyle w:val="FootnoteReference"/>
        </w:rPr>
        <w:footnoteRef/>
      </w:r>
      <w:r>
        <w:t xml:space="preserve"> </w:t>
      </w:r>
      <w:r w:rsidRPr="00BB6514">
        <w:rPr>
          <w:i/>
        </w:rPr>
        <w:t>* Regarding safety specifications, the clinical evaluator recommended that the ASA to the RMP introduce ‘pulmonary toxicity’ as missing information. It is considered that Study A2301 and other presented studies were in total of sufficient size to detect a major signal for pulmonary AEs if one existed. There was no striking evidence in the controlled Study A2301 of such a signal. Overall, there has been a reasonable opportunity to examine whether ribociclib causes pulmonary toxicity. Therefore, it is not necessary to include ‘pulmonary toxicity’ as missing information, although the sponsor should present updated analyses of this issue in upcoming PSURs</w:t>
      </w:r>
    </w:p>
  </w:footnote>
  <w:footnote w:id="48">
    <w:p w14:paraId="7FDD4053" w14:textId="5680A5A7" w:rsidR="00D7276C" w:rsidRPr="0010489F" w:rsidRDefault="00D7276C">
      <w:pPr>
        <w:pStyle w:val="FootnoteText"/>
        <w:rPr>
          <w:lang w:val="en-GB"/>
        </w:rPr>
      </w:pPr>
      <w:r>
        <w:rPr>
          <w:rStyle w:val="FootnoteReference"/>
        </w:rPr>
        <w:footnoteRef/>
      </w:r>
      <w:r>
        <w:t xml:space="preserve"> Hayes D et al., </w:t>
      </w:r>
      <w:r w:rsidRPr="0010489F">
        <w:t>Systemic treatment for metastatic breast cancer: general principles</w:t>
      </w:r>
      <w:r>
        <w:t>; UpToDate,Topic 767 Version 30.0; 2015.</w:t>
      </w:r>
    </w:p>
  </w:footnote>
  <w:footnote w:id="49">
    <w:p w14:paraId="4BC3EACF" w14:textId="752285C2" w:rsidR="00D7276C" w:rsidRPr="005A4332" w:rsidRDefault="00D7276C">
      <w:pPr>
        <w:pStyle w:val="FootnoteText"/>
        <w:rPr>
          <w:lang w:val="en-GB"/>
        </w:rPr>
      </w:pPr>
      <w:r>
        <w:rPr>
          <w:rStyle w:val="FootnoteReference"/>
        </w:rPr>
        <w:footnoteRef/>
      </w:r>
      <w:r>
        <w:t xml:space="preserve"> Naughton M, and Ma C., </w:t>
      </w:r>
      <w:r w:rsidRPr="005A4332">
        <w:t>Treatment approach</w:t>
      </w:r>
      <w:r>
        <w:t xml:space="preserve"> to metastatic hormone receptor </w:t>
      </w:r>
      <w:r w:rsidRPr="005A4332">
        <w:t>positive breas</w:t>
      </w:r>
      <w:r>
        <w:t>t cancer: endocrine therapy; UpTo</w:t>
      </w:r>
      <w:r w:rsidRPr="005A4332">
        <w:t>Da</w:t>
      </w:r>
      <w:r>
        <w:t>te Topic 778 Version 42.0; 2016.</w:t>
      </w:r>
    </w:p>
  </w:footnote>
  <w:footnote w:id="50">
    <w:p w14:paraId="5F2CECBC" w14:textId="474CA98F" w:rsidR="00D7276C" w:rsidRPr="008B6E22" w:rsidRDefault="00D7276C">
      <w:pPr>
        <w:pStyle w:val="FootnoteText"/>
        <w:rPr>
          <w:lang w:val="en-GB"/>
        </w:rPr>
      </w:pPr>
      <w:r>
        <w:rPr>
          <w:rStyle w:val="FootnoteReference"/>
        </w:rPr>
        <w:footnoteRef/>
      </w:r>
      <w:r>
        <w:t xml:space="preserve"> </w:t>
      </w:r>
      <w:r w:rsidRPr="008B6E22">
        <w:t>Schott</w:t>
      </w:r>
      <w:r>
        <w:t xml:space="preserve"> A</w:t>
      </w:r>
      <w:r w:rsidRPr="008B6E22">
        <w:t>, Systemic treatment of metastatic breast ca</w:t>
      </w:r>
      <w:r>
        <w:t>ncer in women: chemotherapy; UpTo</w:t>
      </w:r>
      <w:r w:rsidRPr="008B6E22">
        <w:t>Date Topic 83848 Version 11.0, 2015</w:t>
      </w:r>
      <w:r>
        <w:t>.</w:t>
      </w:r>
    </w:p>
  </w:footnote>
  <w:footnote w:id="51">
    <w:p w14:paraId="06780858" w14:textId="11036710" w:rsidR="00D7276C" w:rsidRPr="00714BC0" w:rsidRDefault="00D7276C">
      <w:pPr>
        <w:pStyle w:val="FootnoteText"/>
        <w:rPr>
          <w:b/>
          <w:bCs/>
          <w:lang w:val="en-GB"/>
        </w:rPr>
      </w:pPr>
      <w:r>
        <w:rPr>
          <w:rStyle w:val="FootnoteReference"/>
        </w:rPr>
        <w:footnoteRef/>
      </w:r>
      <w:r>
        <w:t xml:space="preserve"> </w:t>
      </w:r>
      <w:r w:rsidRPr="00714BC0">
        <w:t xml:space="preserve">Accessed via www.accessdata.fda.gov; Kisqali (ribociclib) tablets; </w:t>
      </w:r>
      <w:r w:rsidRPr="00714BC0">
        <w:rPr>
          <w:lang w:val="en-GB"/>
        </w:rPr>
        <w:t>Novar</w:t>
      </w:r>
      <w:r w:rsidRPr="00714BC0">
        <w:t xml:space="preserve">tis Pharmaceuticals Corporation Application No. 209092 </w:t>
      </w:r>
      <w:r w:rsidRPr="00714BC0">
        <w:rPr>
          <w:lang w:val="en-GB"/>
        </w:rPr>
        <w:t>Approval Date: 03/13/2017</w:t>
      </w:r>
      <w:r>
        <w:rPr>
          <w:lang w:val="en-GB"/>
        </w:rPr>
        <w:t>.</w:t>
      </w:r>
    </w:p>
  </w:footnote>
  <w:footnote w:id="52">
    <w:p w14:paraId="0B3966EC" w14:textId="7F7C47BA" w:rsidR="00D7276C" w:rsidRPr="00A5524C" w:rsidRDefault="00D7276C">
      <w:pPr>
        <w:pStyle w:val="FootnoteText"/>
        <w:rPr>
          <w:lang w:val="en-GB"/>
        </w:rPr>
      </w:pPr>
      <w:r>
        <w:rPr>
          <w:rStyle w:val="FootnoteReference"/>
        </w:rPr>
        <w:footnoteRef/>
      </w:r>
      <w:r>
        <w:t xml:space="preserve"> </w:t>
      </w:r>
      <w:r w:rsidRPr="00A5524C">
        <w:t xml:space="preserve">Hortobagyi et al. Ribociclib as First-Line Therapy for HR-Positive, Advanced Breast Cancer. </w:t>
      </w:r>
      <w:r w:rsidRPr="009F554D">
        <w:rPr>
          <w:i/>
        </w:rPr>
        <w:t>N Engl J Med</w:t>
      </w:r>
      <w:r w:rsidRPr="00A5524C">
        <w:t xml:space="preserve"> 2016; 375:</w:t>
      </w:r>
      <w:r>
        <w:t xml:space="preserve"> </w:t>
      </w:r>
      <w:r w:rsidRPr="00A5524C">
        <w:t>1738-1748).</w:t>
      </w:r>
    </w:p>
  </w:footnote>
  <w:footnote w:id="53">
    <w:p w14:paraId="32033CED" w14:textId="697FAD66" w:rsidR="00D7276C" w:rsidRPr="00983A17" w:rsidRDefault="00D7276C" w:rsidP="00983A17">
      <w:pPr>
        <w:pStyle w:val="FootnoteText"/>
        <w:rPr>
          <w:b/>
          <w:bCs/>
          <w:lang w:val="en-GB"/>
        </w:rPr>
      </w:pPr>
      <w:r>
        <w:rPr>
          <w:rStyle w:val="FootnoteReference"/>
        </w:rPr>
        <w:footnoteRef/>
      </w:r>
      <w:r>
        <w:t xml:space="preserve"> </w:t>
      </w:r>
      <w:r>
        <w:rPr>
          <w:lang w:val="en-GB"/>
        </w:rPr>
        <w:t xml:space="preserve">EORTC QLQ-C30: Aaronson N et al., </w:t>
      </w:r>
      <w:r w:rsidRPr="00983A17">
        <w:rPr>
          <w:bCs/>
          <w:lang w:val="en-GB"/>
        </w:rPr>
        <w:t>The European Organization for Research and Treatment of Cancer QLQ-C30: A Quality-of-Life Instrument for Use in International Clinical Trials in Oncology</w:t>
      </w:r>
      <w:r>
        <w:rPr>
          <w:b/>
          <w:bCs/>
          <w:lang w:val="en-GB"/>
        </w:rPr>
        <w:t>.</w:t>
      </w:r>
      <w:r>
        <w:rPr>
          <w:lang w:val="en-GB"/>
        </w:rPr>
        <w:t xml:space="preserve"> </w:t>
      </w:r>
      <w:r w:rsidRPr="009F554D">
        <w:rPr>
          <w:i/>
          <w:iCs/>
          <w:lang w:val="en-GB"/>
        </w:rPr>
        <w:t>Journal of the National Cancer Institute</w:t>
      </w:r>
      <w:r w:rsidRPr="00983A17">
        <w:rPr>
          <w:lang w:val="en-GB"/>
        </w:rPr>
        <w:t xml:space="preserve"> </w:t>
      </w:r>
      <w:r>
        <w:rPr>
          <w:lang w:val="en-GB"/>
        </w:rPr>
        <w:t xml:space="preserve">1993; 85: </w:t>
      </w:r>
      <w:r w:rsidRPr="00983A17">
        <w:rPr>
          <w:lang w:val="en-GB"/>
        </w:rPr>
        <w:t>365–376</w:t>
      </w:r>
    </w:p>
  </w:footnote>
  <w:footnote w:id="54">
    <w:p w14:paraId="11BD4FEF" w14:textId="398A4A7A" w:rsidR="00D7276C" w:rsidRPr="007E560E" w:rsidRDefault="00D7276C">
      <w:pPr>
        <w:pStyle w:val="FootnoteText"/>
        <w:rPr>
          <w:lang w:val="en-US"/>
        </w:rPr>
      </w:pPr>
      <w:r>
        <w:rPr>
          <w:rStyle w:val="FootnoteReference"/>
        </w:rPr>
        <w:footnoteRef/>
      </w:r>
      <w:r>
        <w:t xml:space="preserve"> Clarification: of these 3 cases, two reported a sudden death. A third case, was assessed as not related to ribociclib by the investigator.</w:t>
      </w:r>
    </w:p>
  </w:footnote>
  <w:footnote w:id="55">
    <w:p w14:paraId="4C76DB5E" w14:textId="3EE0CFF2" w:rsidR="00D7276C" w:rsidRPr="00935332" w:rsidRDefault="00D7276C" w:rsidP="005E0106">
      <w:pPr>
        <w:spacing w:before="0" w:after="0" w:line="240" w:lineRule="auto"/>
        <w:rPr>
          <w:rFonts w:ascii="Times New Roman" w:eastAsia="Times New Roman" w:hAnsi="Times New Roman"/>
          <w:sz w:val="18"/>
          <w:szCs w:val="18"/>
          <w:lang w:val="en-GB" w:eastAsia="en-GB"/>
        </w:rPr>
      </w:pPr>
      <w:r w:rsidRPr="00935332">
        <w:rPr>
          <w:rStyle w:val="FootnoteReference"/>
          <w:sz w:val="18"/>
          <w:szCs w:val="18"/>
        </w:rPr>
        <w:footnoteRef/>
      </w:r>
      <w:r w:rsidRPr="00935332">
        <w:rPr>
          <w:sz w:val="18"/>
          <w:szCs w:val="18"/>
        </w:rPr>
        <w:t xml:space="preserve"> De Gramont A et al., Correspondence to the Editor. </w:t>
      </w:r>
      <w:r w:rsidRPr="00935332">
        <w:rPr>
          <w:i/>
          <w:sz w:val="18"/>
          <w:szCs w:val="18"/>
          <w:lang w:val="en-GB" w:eastAsia="en-GB"/>
        </w:rPr>
        <w:t>N Engl J Med</w:t>
      </w:r>
      <w:r w:rsidRPr="00935332">
        <w:rPr>
          <w:sz w:val="18"/>
          <w:szCs w:val="18"/>
          <w:lang w:val="en-GB" w:eastAsia="en-GB"/>
        </w:rPr>
        <w:t xml:space="preserve"> 2017; 376:</w:t>
      </w:r>
      <w:r>
        <w:rPr>
          <w:sz w:val="18"/>
          <w:szCs w:val="18"/>
          <w:lang w:val="en-GB" w:eastAsia="en-GB"/>
        </w:rPr>
        <w:t xml:space="preserve"> </w:t>
      </w:r>
      <w:r w:rsidRPr="00935332">
        <w:rPr>
          <w:sz w:val="18"/>
          <w:szCs w:val="18"/>
          <w:lang w:val="en-GB" w:eastAsia="en-GB"/>
        </w:rPr>
        <w:t>288-289.</w:t>
      </w:r>
    </w:p>
  </w:footnote>
  <w:footnote w:id="56">
    <w:p w14:paraId="03B8000F" w14:textId="6120A1A8" w:rsidR="00D7276C" w:rsidRDefault="00D7276C">
      <w:pPr>
        <w:pStyle w:val="FootnoteText"/>
      </w:pPr>
      <w:r w:rsidRPr="007E560E">
        <w:rPr>
          <w:rStyle w:val="FootnoteReference"/>
        </w:rPr>
        <w:footnoteRef/>
      </w:r>
      <w:r w:rsidRPr="007E560E">
        <w:t xml:space="preserve"> Clarification: One case of ventricular tachycardia NOT suspected to be related to the study drug was reported in one patient (CSR listing 16.2.7-1.1). The ECG submitted to the cardiology vendor was showing sinus tachycardia. A query was raised in the eCRF in July 2016. The AE term was consequently updated by the site staff to ‘sinus tachycardia’. Therefore, no cases of ventricular tachycardia or ventricular fibrillations have been reported to date in Study CLEE011A2301, regardless of relationship to study drug. Novartis requests the deletion of the statement saying that QT prolongation has apparently translated in some patients to ventricular arrhythmias.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E841F" w14:textId="77777777" w:rsidR="00D7276C" w:rsidRDefault="00D7276C"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34ED5" w14:textId="77777777" w:rsidR="00D7276C" w:rsidRDefault="00D7276C">
    <w:pPr>
      <w:rPr>
        <w:noProof/>
        <w:lang w:eastAsia="en-AU"/>
      </w:rPr>
    </w:pPr>
    <w:r w:rsidRPr="00347824">
      <w:rPr>
        <w:noProof/>
        <w:lang w:eastAsia="en-AU"/>
      </w:rPr>
      <w:drawing>
        <wp:anchor distT="0" distB="0" distL="114300" distR="114300" simplePos="0" relativeHeight="251658240" behindDoc="1" locked="0" layoutInCell="1" allowOverlap="1" wp14:anchorId="4BD9D400" wp14:editId="7EA6EB79">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D9424BC" w14:textId="77777777" w:rsidR="00D7276C" w:rsidRDefault="00D7276C" w:rsidP="00593AD1">
    <w:pPr>
      <w:pStyle w:val="HeaderNoLine"/>
    </w:pPr>
    <w:r>
      <w:rPr>
        <w:noProof/>
        <w:lang w:eastAsia="en-AU"/>
      </w:rPr>
      <w:drawing>
        <wp:inline distT="0" distB="0" distL="0" distR="0" wp14:anchorId="64A47B3D" wp14:editId="1518BDC9">
          <wp:extent cx="5400675" cy="7639050"/>
          <wp:effectExtent l="0" t="0" r="9525" b="0"/>
          <wp:docPr id="3" name="Picture 3"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CCBF6" w14:textId="77777777" w:rsidR="00D7276C" w:rsidRDefault="00D727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CE747" w14:textId="77777777" w:rsidR="00D7276C" w:rsidRDefault="00D7276C">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A8468" w14:textId="77777777" w:rsidR="00D7276C" w:rsidRDefault="00D7276C">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D4E23" w14:textId="77777777" w:rsidR="00D7276C" w:rsidRDefault="00D727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9C8E1" w14:textId="77777777" w:rsidR="00D7276C" w:rsidRDefault="00D7276C"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2AF36" w14:textId="77777777" w:rsidR="00D7276C" w:rsidRDefault="00D7276C" w:rsidP="006E08B3">
    <w:r>
      <w:t>Therapeutic Goods Administration</w:t>
    </w:r>
  </w:p>
  <w:p w14:paraId="30589D7C" w14:textId="77777777" w:rsidR="00D7276C" w:rsidRDefault="00D7276C"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D0A79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54A937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A7A41D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1D8DB3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33AE9A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4445CF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5AA608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8"/>
    <w:multiLevelType w:val="singleLevel"/>
    <w:tmpl w:val="D52C80D4"/>
    <w:lvl w:ilvl="0">
      <w:start w:val="1"/>
      <w:numFmt w:val="decimal"/>
      <w:lvlText w:val="%1."/>
      <w:lvlJc w:val="left"/>
      <w:pPr>
        <w:tabs>
          <w:tab w:val="num" w:pos="360"/>
        </w:tabs>
        <w:ind w:left="360" w:hanging="360"/>
      </w:pPr>
    </w:lvl>
  </w:abstractNum>
  <w:abstractNum w:abstractNumId="8" w15:restartNumberingAfterBreak="0">
    <w:nsid w:val="01902E21"/>
    <w:multiLevelType w:val="hybridMultilevel"/>
    <w:tmpl w:val="D07A5634"/>
    <w:lvl w:ilvl="0" w:tplc="0C090005">
      <w:start w:val="1"/>
      <w:numFmt w:val="bullet"/>
      <w:lvlText w:val=""/>
      <w:lvlJc w:val="left"/>
      <w:pPr>
        <w:ind w:left="2214" w:hanging="360"/>
      </w:pPr>
      <w:rPr>
        <w:rFonts w:ascii="Wingdings" w:hAnsi="Wingdings" w:hint="default"/>
      </w:rPr>
    </w:lvl>
    <w:lvl w:ilvl="1" w:tplc="0C090003" w:tentative="1">
      <w:start w:val="1"/>
      <w:numFmt w:val="bullet"/>
      <w:lvlText w:val="o"/>
      <w:lvlJc w:val="left"/>
      <w:pPr>
        <w:ind w:left="2934" w:hanging="360"/>
      </w:pPr>
      <w:rPr>
        <w:rFonts w:ascii="Courier New" w:hAnsi="Courier New" w:cs="Courier New" w:hint="default"/>
      </w:rPr>
    </w:lvl>
    <w:lvl w:ilvl="2" w:tplc="0C090005" w:tentative="1">
      <w:start w:val="1"/>
      <w:numFmt w:val="bullet"/>
      <w:lvlText w:val=""/>
      <w:lvlJc w:val="left"/>
      <w:pPr>
        <w:ind w:left="3654" w:hanging="360"/>
      </w:pPr>
      <w:rPr>
        <w:rFonts w:ascii="Wingdings" w:hAnsi="Wingdings"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abstractNum w:abstractNumId="9" w15:restartNumberingAfterBreak="0">
    <w:nsid w:val="061F0707"/>
    <w:multiLevelType w:val="hybridMultilevel"/>
    <w:tmpl w:val="A7BEB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FE1AB0"/>
    <w:multiLevelType w:val="hybridMultilevel"/>
    <w:tmpl w:val="365016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9108CD"/>
    <w:multiLevelType w:val="hybridMultilevel"/>
    <w:tmpl w:val="F07C7BCA"/>
    <w:lvl w:ilvl="0" w:tplc="7E7496A6">
      <w:start w:val="1"/>
      <w:numFmt w:val="bullet"/>
      <w:pStyle w:val="Bulletlis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15:restartNumberingAfterBreak="0">
    <w:nsid w:val="168F13E9"/>
    <w:multiLevelType w:val="multilevel"/>
    <w:tmpl w:val="311ED140"/>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15:restartNumberingAfterBreak="0">
    <w:nsid w:val="18925390"/>
    <w:multiLevelType w:val="hybridMultilevel"/>
    <w:tmpl w:val="23AAAED2"/>
    <w:lvl w:ilvl="0" w:tplc="229C2FB4">
      <w:start w:val="1"/>
      <w:numFmt w:val="bullet"/>
      <w:lvlText w:val=""/>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291B2D89"/>
    <w:multiLevelType w:val="hybridMultilevel"/>
    <w:tmpl w:val="3626C61C"/>
    <w:lvl w:ilvl="0" w:tplc="C7386934">
      <w:start w:val="1"/>
      <w:numFmt w:val="bullet"/>
      <w:lvlText w:val=""/>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2B55225A"/>
    <w:multiLevelType w:val="hybridMultilevel"/>
    <w:tmpl w:val="95602450"/>
    <w:lvl w:ilvl="0" w:tplc="0C090003">
      <w:start w:val="1"/>
      <w:numFmt w:val="bullet"/>
      <w:lvlText w:val="o"/>
      <w:lvlJc w:val="left"/>
      <w:pPr>
        <w:ind w:left="1494" w:hanging="360"/>
      </w:pPr>
      <w:rPr>
        <w:rFonts w:ascii="Courier New" w:hAnsi="Courier New" w:cs="Courier New"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7" w15:restartNumberingAfterBreak="0">
    <w:nsid w:val="2E6C2728"/>
    <w:multiLevelType w:val="hybridMultilevel"/>
    <w:tmpl w:val="C26EA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8A794F"/>
    <w:multiLevelType w:val="hybridMultilevel"/>
    <w:tmpl w:val="E3327AF2"/>
    <w:lvl w:ilvl="0" w:tplc="D94024B6">
      <w:start w:val="22"/>
      <w:numFmt w:val="bullet"/>
      <w:lvlText w:val="-"/>
      <w:lvlJc w:val="left"/>
      <w:pPr>
        <w:ind w:left="1080" w:hanging="360"/>
      </w:pPr>
      <w:rPr>
        <w:rFonts w:ascii="Cambria" w:eastAsiaTheme="minorHAnsi" w:hAnsi="Cambria"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C4F4AB6"/>
    <w:multiLevelType w:val="hybridMultilevel"/>
    <w:tmpl w:val="DF3E0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181FA8"/>
    <w:multiLevelType w:val="hybridMultilevel"/>
    <w:tmpl w:val="CF86C8C6"/>
    <w:lvl w:ilvl="0" w:tplc="224AE834">
      <w:start w:val="8"/>
      <w:numFmt w:val="bullet"/>
      <w:lvlText w:val="-"/>
      <w:lvlJc w:val="left"/>
      <w:pPr>
        <w:ind w:left="360" w:hanging="360"/>
      </w:pPr>
      <w:rPr>
        <w:rFonts w:ascii="Cambria" w:eastAsia="TimesNewRoman" w:hAnsi="Cambria" w:cs="TimesNew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5393D6B"/>
    <w:multiLevelType w:val="hybridMultilevel"/>
    <w:tmpl w:val="DC60D2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136190"/>
    <w:multiLevelType w:val="hybridMultilevel"/>
    <w:tmpl w:val="1C787368"/>
    <w:lvl w:ilvl="0" w:tplc="0C090003">
      <w:start w:val="1"/>
      <w:numFmt w:val="bullet"/>
      <w:lvlText w:val="o"/>
      <w:lvlJc w:val="left"/>
      <w:pPr>
        <w:ind w:left="809" w:hanging="360"/>
      </w:pPr>
      <w:rPr>
        <w:rFonts w:ascii="Courier New" w:hAnsi="Courier New" w:cs="Courier New" w:hint="default"/>
      </w:rPr>
    </w:lvl>
    <w:lvl w:ilvl="1" w:tplc="0C090003" w:tentative="1">
      <w:start w:val="1"/>
      <w:numFmt w:val="bullet"/>
      <w:lvlText w:val="o"/>
      <w:lvlJc w:val="left"/>
      <w:pPr>
        <w:ind w:left="1529" w:hanging="360"/>
      </w:pPr>
      <w:rPr>
        <w:rFonts w:ascii="Courier New" w:hAnsi="Courier New" w:cs="Courier New" w:hint="default"/>
      </w:rPr>
    </w:lvl>
    <w:lvl w:ilvl="2" w:tplc="0C090005" w:tentative="1">
      <w:start w:val="1"/>
      <w:numFmt w:val="bullet"/>
      <w:lvlText w:val=""/>
      <w:lvlJc w:val="left"/>
      <w:pPr>
        <w:ind w:left="2249" w:hanging="360"/>
      </w:pPr>
      <w:rPr>
        <w:rFonts w:ascii="Wingdings" w:hAnsi="Wingdings" w:hint="default"/>
      </w:rPr>
    </w:lvl>
    <w:lvl w:ilvl="3" w:tplc="0C090001" w:tentative="1">
      <w:start w:val="1"/>
      <w:numFmt w:val="bullet"/>
      <w:lvlText w:val=""/>
      <w:lvlJc w:val="left"/>
      <w:pPr>
        <w:ind w:left="2969" w:hanging="360"/>
      </w:pPr>
      <w:rPr>
        <w:rFonts w:ascii="Symbol" w:hAnsi="Symbol" w:hint="default"/>
      </w:rPr>
    </w:lvl>
    <w:lvl w:ilvl="4" w:tplc="0C090003" w:tentative="1">
      <w:start w:val="1"/>
      <w:numFmt w:val="bullet"/>
      <w:lvlText w:val="o"/>
      <w:lvlJc w:val="left"/>
      <w:pPr>
        <w:ind w:left="3689" w:hanging="360"/>
      </w:pPr>
      <w:rPr>
        <w:rFonts w:ascii="Courier New" w:hAnsi="Courier New" w:cs="Courier New" w:hint="default"/>
      </w:rPr>
    </w:lvl>
    <w:lvl w:ilvl="5" w:tplc="0C090005" w:tentative="1">
      <w:start w:val="1"/>
      <w:numFmt w:val="bullet"/>
      <w:lvlText w:val=""/>
      <w:lvlJc w:val="left"/>
      <w:pPr>
        <w:ind w:left="4409" w:hanging="360"/>
      </w:pPr>
      <w:rPr>
        <w:rFonts w:ascii="Wingdings" w:hAnsi="Wingdings" w:hint="default"/>
      </w:rPr>
    </w:lvl>
    <w:lvl w:ilvl="6" w:tplc="0C090001" w:tentative="1">
      <w:start w:val="1"/>
      <w:numFmt w:val="bullet"/>
      <w:lvlText w:val=""/>
      <w:lvlJc w:val="left"/>
      <w:pPr>
        <w:ind w:left="5129" w:hanging="360"/>
      </w:pPr>
      <w:rPr>
        <w:rFonts w:ascii="Symbol" w:hAnsi="Symbol" w:hint="default"/>
      </w:rPr>
    </w:lvl>
    <w:lvl w:ilvl="7" w:tplc="0C090003" w:tentative="1">
      <w:start w:val="1"/>
      <w:numFmt w:val="bullet"/>
      <w:lvlText w:val="o"/>
      <w:lvlJc w:val="left"/>
      <w:pPr>
        <w:ind w:left="5849" w:hanging="360"/>
      </w:pPr>
      <w:rPr>
        <w:rFonts w:ascii="Courier New" w:hAnsi="Courier New" w:cs="Courier New" w:hint="default"/>
      </w:rPr>
    </w:lvl>
    <w:lvl w:ilvl="8" w:tplc="0C090005" w:tentative="1">
      <w:start w:val="1"/>
      <w:numFmt w:val="bullet"/>
      <w:lvlText w:val=""/>
      <w:lvlJc w:val="left"/>
      <w:pPr>
        <w:ind w:left="6569" w:hanging="360"/>
      </w:pPr>
      <w:rPr>
        <w:rFonts w:ascii="Wingdings" w:hAnsi="Wingdings" w:hint="default"/>
      </w:rPr>
    </w:lvl>
  </w:abstractNum>
  <w:abstractNum w:abstractNumId="23" w15:restartNumberingAfterBreak="0">
    <w:nsid w:val="5C3C381A"/>
    <w:multiLevelType w:val="hybridMultilevel"/>
    <w:tmpl w:val="8272B9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8D54C2"/>
    <w:multiLevelType w:val="hybridMultilevel"/>
    <w:tmpl w:val="D7CE9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15796E"/>
    <w:multiLevelType w:val="hybridMultilevel"/>
    <w:tmpl w:val="45FAF96E"/>
    <w:lvl w:ilvl="0" w:tplc="7CAC33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751CD7"/>
    <w:multiLevelType w:val="hybridMultilevel"/>
    <w:tmpl w:val="34061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12"/>
  </w:num>
  <w:num w:numId="3">
    <w:abstractNumId w:val="13"/>
  </w:num>
  <w:num w:numId="4">
    <w:abstractNumId w:val="12"/>
  </w:num>
  <w:num w:numId="5">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5"/>
  </w:num>
  <w:num w:numId="9">
    <w:abstractNumId w:val="14"/>
  </w:num>
  <w:num w:numId="10">
    <w:abstractNumId w:val="19"/>
  </w:num>
  <w:num w:numId="11">
    <w:abstractNumId w:val="9"/>
  </w:num>
  <w:num w:numId="12">
    <w:abstractNumId w:val="24"/>
  </w:num>
  <w:num w:numId="13">
    <w:abstractNumId w:val="16"/>
  </w:num>
  <w:num w:numId="14">
    <w:abstractNumId w:val="8"/>
  </w:num>
  <w:num w:numId="15">
    <w:abstractNumId w:val="22"/>
  </w:num>
  <w:num w:numId="16">
    <w:abstractNumId w:val="10"/>
  </w:num>
  <w:num w:numId="17">
    <w:abstractNumId w:val="20"/>
  </w:num>
  <w:num w:numId="18">
    <w:abstractNumId w:val="26"/>
  </w:num>
  <w:num w:numId="19">
    <w:abstractNumId w:val="18"/>
  </w:num>
  <w:num w:numId="20">
    <w:abstractNumId w:val="21"/>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
  </w:num>
  <w:num w:numId="24">
    <w:abstractNumId w:val="2"/>
  </w:num>
  <w:num w:numId="25">
    <w:abstractNumId w:val="3"/>
  </w:num>
  <w:num w:numId="26">
    <w:abstractNumId w:val="4"/>
  </w:num>
  <w:num w:numId="27">
    <w:abstractNumId w:val="7"/>
  </w:num>
  <w:num w:numId="28">
    <w:abstractNumId w:val="5"/>
  </w:num>
  <w:num w:numId="29">
    <w:abstractNumId w:val="6"/>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5"/>
  </w:num>
  <w:num w:numId="34">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activeWritingStyle w:appName="MSWord" w:lang="it-IT" w:vendorID="64" w:dllVersion="131078" w:nlCheck="1" w:checkStyle="0"/>
  <w:activeWritingStyle w:appName="MSWord" w:lang="en-AU" w:vendorID="64" w:dllVersion="131078" w:nlCheck="1" w:checkStyle="0"/>
  <w:activeWritingStyle w:appName="MSWord" w:lang="fr-CH" w:vendorID="64" w:dllVersion="131078" w:nlCheck="1" w:checkStyle="0"/>
  <w:activeWritingStyle w:appName="MSWord" w:lang="en-GB" w:vendorID="64" w:dllVersion="131078" w:nlCheck="1" w:checkStyle="0"/>
  <w:activeWritingStyle w:appName="MSWord" w:lang="en-U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D4"/>
    <w:rsid w:val="00002031"/>
    <w:rsid w:val="00004734"/>
    <w:rsid w:val="00005A15"/>
    <w:rsid w:val="00005C78"/>
    <w:rsid w:val="00006650"/>
    <w:rsid w:val="00006B22"/>
    <w:rsid w:val="00010463"/>
    <w:rsid w:val="000119E5"/>
    <w:rsid w:val="0001276A"/>
    <w:rsid w:val="00014FDC"/>
    <w:rsid w:val="00016D1D"/>
    <w:rsid w:val="00021094"/>
    <w:rsid w:val="00021E4C"/>
    <w:rsid w:val="00022600"/>
    <w:rsid w:val="000240DA"/>
    <w:rsid w:val="000246AE"/>
    <w:rsid w:val="00025C0F"/>
    <w:rsid w:val="00025C67"/>
    <w:rsid w:val="00026733"/>
    <w:rsid w:val="00027187"/>
    <w:rsid w:val="00027554"/>
    <w:rsid w:val="00031BCF"/>
    <w:rsid w:val="00036D38"/>
    <w:rsid w:val="00042122"/>
    <w:rsid w:val="00042DAF"/>
    <w:rsid w:val="00044772"/>
    <w:rsid w:val="00045BDD"/>
    <w:rsid w:val="000508ED"/>
    <w:rsid w:val="00052C91"/>
    <w:rsid w:val="0005559E"/>
    <w:rsid w:val="00057D6F"/>
    <w:rsid w:val="000604D6"/>
    <w:rsid w:val="0006080C"/>
    <w:rsid w:val="00060CBA"/>
    <w:rsid w:val="0006609D"/>
    <w:rsid w:val="0006732E"/>
    <w:rsid w:val="000679E4"/>
    <w:rsid w:val="00072103"/>
    <w:rsid w:val="000734D8"/>
    <w:rsid w:val="00073D1C"/>
    <w:rsid w:val="0007541A"/>
    <w:rsid w:val="000764AF"/>
    <w:rsid w:val="000770DA"/>
    <w:rsid w:val="00077775"/>
    <w:rsid w:val="00077B6B"/>
    <w:rsid w:val="00080E02"/>
    <w:rsid w:val="00081AE0"/>
    <w:rsid w:val="00083C4A"/>
    <w:rsid w:val="0008421A"/>
    <w:rsid w:val="00085564"/>
    <w:rsid w:val="00090471"/>
    <w:rsid w:val="0009450E"/>
    <w:rsid w:val="00095415"/>
    <w:rsid w:val="00095C07"/>
    <w:rsid w:val="00096AA7"/>
    <w:rsid w:val="00097540"/>
    <w:rsid w:val="000A2182"/>
    <w:rsid w:val="000A3A07"/>
    <w:rsid w:val="000A3AED"/>
    <w:rsid w:val="000A4D87"/>
    <w:rsid w:val="000A6C45"/>
    <w:rsid w:val="000B0942"/>
    <w:rsid w:val="000B20AF"/>
    <w:rsid w:val="000B3532"/>
    <w:rsid w:val="000B3A75"/>
    <w:rsid w:val="000B4E88"/>
    <w:rsid w:val="000B53EC"/>
    <w:rsid w:val="000B6501"/>
    <w:rsid w:val="000C00C2"/>
    <w:rsid w:val="000C26D8"/>
    <w:rsid w:val="000C33E4"/>
    <w:rsid w:val="000C343B"/>
    <w:rsid w:val="000C3BEC"/>
    <w:rsid w:val="000C4932"/>
    <w:rsid w:val="000C690F"/>
    <w:rsid w:val="000D1295"/>
    <w:rsid w:val="000D144E"/>
    <w:rsid w:val="000D391B"/>
    <w:rsid w:val="000D3D6D"/>
    <w:rsid w:val="000D3F6B"/>
    <w:rsid w:val="000D4FC7"/>
    <w:rsid w:val="000D5C17"/>
    <w:rsid w:val="000E6196"/>
    <w:rsid w:val="000E7C05"/>
    <w:rsid w:val="000F19EC"/>
    <w:rsid w:val="000F342B"/>
    <w:rsid w:val="000F44BA"/>
    <w:rsid w:val="000F4869"/>
    <w:rsid w:val="000F5ADB"/>
    <w:rsid w:val="000F5B42"/>
    <w:rsid w:val="000F624D"/>
    <w:rsid w:val="000F6919"/>
    <w:rsid w:val="000F6E6F"/>
    <w:rsid w:val="00102EC3"/>
    <w:rsid w:val="0010489F"/>
    <w:rsid w:val="0010601F"/>
    <w:rsid w:val="001060B4"/>
    <w:rsid w:val="001067B5"/>
    <w:rsid w:val="0010788A"/>
    <w:rsid w:val="00107A31"/>
    <w:rsid w:val="00110EA5"/>
    <w:rsid w:val="00111287"/>
    <w:rsid w:val="001118F9"/>
    <w:rsid w:val="00112F56"/>
    <w:rsid w:val="00115C4E"/>
    <w:rsid w:val="0012342F"/>
    <w:rsid w:val="00125318"/>
    <w:rsid w:val="001305A2"/>
    <w:rsid w:val="00130760"/>
    <w:rsid w:val="001313D4"/>
    <w:rsid w:val="00133238"/>
    <w:rsid w:val="00133A1B"/>
    <w:rsid w:val="0013419B"/>
    <w:rsid w:val="00136C4E"/>
    <w:rsid w:val="00140C83"/>
    <w:rsid w:val="0014197B"/>
    <w:rsid w:val="00142478"/>
    <w:rsid w:val="00143C38"/>
    <w:rsid w:val="001447CD"/>
    <w:rsid w:val="001516B1"/>
    <w:rsid w:val="00151F57"/>
    <w:rsid w:val="001521D1"/>
    <w:rsid w:val="00153D61"/>
    <w:rsid w:val="00154EBB"/>
    <w:rsid w:val="00156316"/>
    <w:rsid w:val="00160271"/>
    <w:rsid w:val="00161181"/>
    <w:rsid w:val="00161639"/>
    <w:rsid w:val="00162887"/>
    <w:rsid w:val="00162D14"/>
    <w:rsid w:val="0016469B"/>
    <w:rsid w:val="00164EE0"/>
    <w:rsid w:val="00165389"/>
    <w:rsid w:val="00166355"/>
    <w:rsid w:val="0017060E"/>
    <w:rsid w:val="00172F42"/>
    <w:rsid w:val="00173C50"/>
    <w:rsid w:val="00174353"/>
    <w:rsid w:val="00174B00"/>
    <w:rsid w:val="00174B44"/>
    <w:rsid w:val="00175C8F"/>
    <w:rsid w:val="001762F3"/>
    <w:rsid w:val="0017693F"/>
    <w:rsid w:val="001773C9"/>
    <w:rsid w:val="0018110E"/>
    <w:rsid w:val="00181684"/>
    <w:rsid w:val="001831B3"/>
    <w:rsid w:val="00183ED4"/>
    <w:rsid w:val="00184333"/>
    <w:rsid w:val="001843C6"/>
    <w:rsid w:val="001850E0"/>
    <w:rsid w:val="00190A42"/>
    <w:rsid w:val="00190B3F"/>
    <w:rsid w:val="00191CF5"/>
    <w:rsid w:val="00193B55"/>
    <w:rsid w:val="00194FD1"/>
    <w:rsid w:val="001A17A7"/>
    <w:rsid w:val="001A2158"/>
    <w:rsid w:val="001A39F1"/>
    <w:rsid w:val="001A525F"/>
    <w:rsid w:val="001A677C"/>
    <w:rsid w:val="001A79AE"/>
    <w:rsid w:val="001B01A2"/>
    <w:rsid w:val="001B09F9"/>
    <w:rsid w:val="001B0BFF"/>
    <w:rsid w:val="001B0F4F"/>
    <w:rsid w:val="001B181F"/>
    <w:rsid w:val="001B3DC1"/>
    <w:rsid w:val="001B491E"/>
    <w:rsid w:val="001B5277"/>
    <w:rsid w:val="001B5C90"/>
    <w:rsid w:val="001B5CB8"/>
    <w:rsid w:val="001B6448"/>
    <w:rsid w:val="001B7045"/>
    <w:rsid w:val="001C2463"/>
    <w:rsid w:val="001C32CD"/>
    <w:rsid w:val="001C4BB3"/>
    <w:rsid w:val="001C51C9"/>
    <w:rsid w:val="001C54BF"/>
    <w:rsid w:val="001C5A34"/>
    <w:rsid w:val="001C5F5A"/>
    <w:rsid w:val="001C6501"/>
    <w:rsid w:val="001C6655"/>
    <w:rsid w:val="001C7C33"/>
    <w:rsid w:val="001D0F57"/>
    <w:rsid w:val="001D2984"/>
    <w:rsid w:val="001D3BCB"/>
    <w:rsid w:val="001E07CF"/>
    <w:rsid w:val="001E1696"/>
    <w:rsid w:val="001E59F1"/>
    <w:rsid w:val="001E6155"/>
    <w:rsid w:val="001F0173"/>
    <w:rsid w:val="001F0E90"/>
    <w:rsid w:val="001F2141"/>
    <w:rsid w:val="001F2CEE"/>
    <w:rsid w:val="001F49EB"/>
    <w:rsid w:val="001F5C9B"/>
    <w:rsid w:val="001F6CBA"/>
    <w:rsid w:val="002003A3"/>
    <w:rsid w:val="00201D4E"/>
    <w:rsid w:val="00203E99"/>
    <w:rsid w:val="002076C9"/>
    <w:rsid w:val="00212F69"/>
    <w:rsid w:val="002148FF"/>
    <w:rsid w:val="00220B8A"/>
    <w:rsid w:val="00221610"/>
    <w:rsid w:val="00221F95"/>
    <w:rsid w:val="002257F3"/>
    <w:rsid w:val="00232497"/>
    <w:rsid w:val="0023253E"/>
    <w:rsid w:val="00233456"/>
    <w:rsid w:val="002339A5"/>
    <w:rsid w:val="00236E2D"/>
    <w:rsid w:val="00241B21"/>
    <w:rsid w:val="00241DD8"/>
    <w:rsid w:val="00242C04"/>
    <w:rsid w:val="00247019"/>
    <w:rsid w:val="002477C2"/>
    <w:rsid w:val="00251225"/>
    <w:rsid w:val="00251F4F"/>
    <w:rsid w:val="00252995"/>
    <w:rsid w:val="00255AB0"/>
    <w:rsid w:val="00255C83"/>
    <w:rsid w:val="00257848"/>
    <w:rsid w:val="002600A0"/>
    <w:rsid w:val="002607B2"/>
    <w:rsid w:val="0026281F"/>
    <w:rsid w:val="002630CD"/>
    <w:rsid w:val="002657B6"/>
    <w:rsid w:val="0027041E"/>
    <w:rsid w:val="0027084A"/>
    <w:rsid w:val="00275B8C"/>
    <w:rsid w:val="00275DBA"/>
    <w:rsid w:val="00275E2E"/>
    <w:rsid w:val="00277276"/>
    <w:rsid w:val="002839C5"/>
    <w:rsid w:val="00286434"/>
    <w:rsid w:val="00286C59"/>
    <w:rsid w:val="0029062A"/>
    <w:rsid w:val="00291957"/>
    <w:rsid w:val="00291C0B"/>
    <w:rsid w:val="00292C94"/>
    <w:rsid w:val="0029364F"/>
    <w:rsid w:val="00293DB0"/>
    <w:rsid w:val="002942D1"/>
    <w:rsid w:val="00295000"/>
    <w:rsid w:val="0029501A"/>
    <w:rsid w:val="0029717C"/>
    <w:rsid w:val="002978C8"/>
    <w:rsid w:val="002A0CAE"/>
    <w:rsid w:val="002A2DD2"/>
    <w:rsid w:val="002A3721"/>
    <w:rsid w:val="002A7796"/>
    <w:rsid w:val="002B003A"/>
    <w:rsid w:val="002B011E"/>
    <w:rsid w:val="002B09C3"/>
    <w:rsid w:val="002B1638"/>
    <w:rsid w:val="002B1FCF"/>
    <w:rsid w:val="002B2C17"/>
    <w:rsid w:val="002B3624"/>
    <w:rsid w:val="002B4DFC"/>
    <w:rsid w:val="002C0E44"/>
    <w:rsid w:val="002C2949"/>
    <w:rsid w:val="002C55D5"/>
    <w:rsid w:val="002C7073"/>
    <w:rsid w:val="002D0952"/>
    <w:rsid w:val="002D5553"/>
    <w:rsid w:val="002D58E2"/>
    <w:rsid w:val="002E0670"/>
    <w:rsid w:val="002E19A0"/>
    <w:rsid w:val="002E28E5"/>
    <w:rsid w:val="002E29A3"/>
    <w:rsid w:val="002E3BEE"/>
    <w:rsid w:val="002E40B3"/>
    <w:rsid w:val="002E4C9A"/>
    <w:rsid w:val="002E515E"/>
    <w:rsid w:val="002E588E"/>
    <w:rsid w:val="002F11F8"/>
    <w:rsid w:val="002F249C"/>
    <w:rsid w:val="002F3F24"/>
    <w:rsid w:val="002F3F56"/>
    <w:rsid w:val="002F40B0"/>
    <w:rsid w:val="002F44B5"/>
    <w:rsid w:val="002F4A2F"/>
    <w:rsid w:val="002F5F2B"/>
    <w:rsid w:val="003001AF"/>
    <w:rsid w:val="003001B0"/>
    <w:rsid w:val="00300E9B"/>
    <w:rsid w:val="0030355D"/>
    <w:rsid w:val="003044DA"/>
    <w:rsid w:val="0030489B"/>
    <w:rsid w:val="003067EB"/>
    <w:rsid w:val="00306993"/>
    <w:rsid w:val="00306E64"/>
    <w:rsid w:val="00307686"/>
    <w:rsid w:val="0031042A"/>
    <w:rsid w:val="00311691"/>
    <w:rsid w:val="00311AC0"/>
    <w:rsid w:val="003133F2"/>
    <w:rsid w:val="0031523A"/>
    <w:rsid w:val="003176FC"/>
    <w:rsid w:val="00321A97"/>
    <w:rsid w:val="00322E9F"/>
    <w:rsid w:val="0032583B"/>
    <w:rsid w:val="00327883"/>
    <w:rsid w:val="0033134E"/>
    <w:rsid w:val="00334538"/>
    <w:rsid w:val="00335504"/>
    <w:rsid w:val="00340C18"/>
    <w:rsid w:val="003417AF"/>
    <w:rsid w:val="003438C3"/>
    <w:rsid w:val="003442FD"/>
    <w:rsid w:val="00347824"/>
    <w:rsid w:val="00350567"/>
    <w:rsid w:val="003521E8"/>
    <w:rsid w:val="00353A25"/>
    <w:rsid w:val="003607EF"/>
    <w:rsid w:val="00362E84"/>
    <w:rsid w:val="003639F7"/>
    <w:rsid w:val="0036730E"/>
    <w:rsid w:val="00370CE3"/>
    <w:rsid w:val="003728F3"/>
    <w:rsid w:val="00372A95"/>
    <w:rsid w:val="0037496E"/>
    <w:rsid w:val="0037592B"/>
    <w:rsid w:val="00377476"/>
    <w:rsid w:val="003803A6"/>
    <w:rsid w:val="00383221"/>
    <w:rsid w:val="003856C6"/>
    <w:rsid w:val="00385794"/>
    <w:rsid w:val="00386150"/>
    <w:rsid w:val="003874CE"/>
    <w:rsid w:val="00390900"/>
    <w:rsid w:val="00393698"/>
    <w:rsid w:val="00394DE9"/>
    <w:rsid w:val="003A12F3"/>
    <w:rsid w:val="003A1409"/>
    <w:rsid w:val="003A1767"/>
    <w:rsid w:val="003A347A"/>
    <w:rsid w:val="003A3EE8"/>
    <w:rsid w:val="003A5B03"/>
    <w:rsid w:val="003A6D3D"/>
    <w:rsid w:val="003A7F6C"/>
    <w:rsid w:val="003B311A"/>
    <w:rsid w:val="003B316E"/>
    <w:rsid w:val="003B387E"/>
    <w:rsid w:val="003B4D60"/>
    <w:rsid w:val="003B7E39"/>
    <w:rsid w:val="003C035E"/>
    <w:rsid w:val="003C1A8F"/>
    <w:rsid w:val="003C219C"/>
    <w:rsid w:val="003C58DC"/>
    <w:rsid w:val="003D0AB7"/>
    <w:rsid w:val="003D1618"/>
    <w:rsid w:val="003D1E62"/>
    <w:rsid w:val="003D33A3"/>
    <w:rsid w:val="003D381A"/>
    <w:rsid w:val="003D6DFB"/>
    <w:rsid w:val="003D73CD"/>
    <w:rsid w:val="003D79AF"/>
    <w:rsid w:val="003E095A"/>
    <w:rsid w:val="003E0B99"/>
    <w:rsid w:val="003E1426"/>
    <w:rsid w:val="003E16A5"/>
    <w:rsid w:val="003E2486"/>
    <w:rsid w:val="003E29A1"/>
    <w:rsid w:val="003E2AC3"/>
    <w:rsid w:val="003E3208"/>
    <w:rsid w:val="003E4423"/>
    <w:rsid w:val="003E567C"/>
    <w:rsid w:val="003E710E"/>
    <w:rsid w:val="003E7B8D"/>
    <w:rsid w:val="003E7EE5"/>
    <w:rsid w:val="003F080C"/>
    <w:rsid w:val="003F0B04"/>
    <w:rsid w:val="003F4084"/>
    <w:rsid w:val="003F615E"/>
    <w:rsid w:val="00401154"/>
    <w:rsid w:val="0040134E"/>
    <w:rsid w:val="00401D01"/>
    <w:rsid w:val="00401E42"/>
    <w:rsid w:val="004024FB"/>
    <w:rsid w:val="0040736E"/>
    <w:rsid w:val="00407930"/>
    <w:rsid w:val="0042087E"/>
    <w:rsid w:val="004221AB"/>
    <w:rsid w:val="004235C7"/>
    <w:rsid w:val="00424978"/>
    <w:rsid w:val="00426727"/>
    <w:rsid w:val="0043176B"/>
    <w:rsid w:val="004334C7"/>
    <w:rsid w:val="0043558A"/>
    <w:rsid w:val="00440A2D"/>
    <w:rsid w:val="00441C3F"/>
    <w:rsid w:val="00442423"/>
    <w:rsid w:val="00446E2F"/>
    <w:rsid w:val="004533A4"/>
    <w:rsid w:val="0045403A"/>
    <w:rsid w:val="00454B59"/>
    <w:rsid w:val="004564A7"/>
    <w:rsid w:val="004575FF"/>
    <w:rsid w:val="00461434"/>
    <w:rsid w:val="004617BF"/>
    <w:rsid w:val="00463658"/>
    <w:rsid w:val="004637A0"/>
    <w:rsid w:val="00463A13"/>
    <w:rsid w:val="004645B4"/>
    <w:rsid w:val="004648FA"/>
    <w:rsid w:val="0046557A"/>
    <w:rsid w:val="00465A18"/>
    <w:rsid w:val="00470EF0"/>
    <w:rsid w:val="004722CC"/>
    <w:rsid w:val="00474753"/>
    <w:rsid w:val="004748CE"/>
    <w:rsid w:val="004753A3"/>
    <w:rsid w:val="00475787"/>
    <w:rsid w:val="00475F19"/>
    <w:rsid w:val="00477A85"/>
    <w:rsid w:val="00484E57"/>
    <w:rsid w:val="00490BA7"/>
    <w:rsid w:val="00492024"/>
    <w:rsid w:val="004936E4"/>
    <w:rsid w:val="004947FD"/>
    <w:rsid w:val="00494E60"/>
    <w:rsid w:val="00496DD3"/>
    <w:rsid w:val="00496E47"/>
    <w:rsid w:val="00497487"/>
    <w:rsid w:val="004A38F3"/>
    <w:rsid w:val="004A6189"/>
    <w:rsid w:val="004A684A"/>
    <w:rsid w:val="004A7390"/>
    <w:rsid w:val="004B1FE1"/>
    <w:rsid w:val="004B28CC"/>
    <w:rsid w:val="004B7B76"/>
    <w:rsid w:val="004C18D2"/>
    <w:rsid w:val="004C239D"/>
    <w:rsid w:val="004C2DCA"/>
    <w:rsid w:val="004C4E6E"/>
    <w:rsid w:val="004C61D2"/>
    <w:rsid w:val="004C68D1"/>
    <w:rsid w:val="004C6B28"/>
    <w:rsid w:val="004C7EB5"/>
    <w:rsid w:val="004D479F"/>
    <w:rsid w:val="004E0C85"/>
    <w:rsid w:val="004E2872"/>
    <w:rsid w:val="004E39B3"/>
    <w:rsid w:val="004E4287"/>
    <w:rsid w:val="004E4DCB"/>
    <w:rsid w:val="004E7506"/>
    <w:rsid w:val="004E7C51"/>
    <w:rsid w:val="004E7CBE"/>
    <w:rsid w:val="004F02C3"/>
    <w:rsid w:val="004F0C14"/>
    <w:rsid w:val="004F0C4A"/>
    <w:rsid w:val="004F0F38"/>
    <w:rsid w:val="004F2117"/>
    <w:rsid w:val="004F248B"/>
    <w:rsid w:val="004F47D6"/>
    <w:rsid w:val="004F4F23"/>
    <w:rsid w:val="00500D03"/>
    <w:rsid w:val="00501921"/>
    <w:rsid w:val="00501C67"/>
    <w:rsid w:val="00502D6A"/>
    <w:rsid w:val="00503D71"/>
    <w:rsid w:val="00510714"/>
    <w:rsid w:val="005107AB"/>
    <w:rsid w:val="00510952"/>
    <w:rsid w:val="00512481"/>
    <w:rsid w:val="00512627"/>
    <w:rsid w:val="00513506"/>
    <w:rsid w:val="00514906"/>
    <w:rsid w:val="00515E35"/>
    <w:rsid w:val="00516FF3"/>
    <w:rsid w:val="00524CC5"/>
    <w:rsid w:val="00526A7D"/>
    <w:rsid w:val="00530354"/>
    <w:rsid w:val="0053037A"/>
    <w:rsid w:val="005326FB"/>
    <w:rsid w:val="005342A5"/>
    <w:rsid w:val="00535914"/>
    <w:rsid w:val="0053625B"/>
    <w:rsid w:val="005401A1"/>
    <w:rsid w:val="005414D7"/>
    <w:rsid w:val="00541ADA"/>
    <w:rsid w:val="00541F1C"/>
    <w:rsid w:val="00542D6E"/>
    <w:rsid w:val="005431AF"/>
    <w:rsid w:val="005434C6"/>
    <w:rsid w:val="00543B39"/>
    <w:rsid w:val="00543F23"/>
    <w:rsid w:val="00546154"/>
    <w:rsid w:val="00546326"/>
    <w:rsid w:val="00550096"/>
    <w:rsid w:val="005511D1"/>
    <w:rsid w:val="005547FD"/>
    <w:rsid w:val="00555280"/>
    <w:rsid w:val="00555B56"/>
    <w:rsid w:val="00557FF9"/>
    <w:rsid w:val="0056022C"/>
    <w:rsid w:val="005620A7"/>
    <w:rsid w:val="00562327"/>
    <w:rsid w:val="00570CC8"/>
    <w:rsid w:val="005711D5"/>
    <w:rsid w:val="00571E53"/>
    <w:rsid w:val="00575367"/>
    <w:rsid w:val="00576378"/>
    <w:rsid w:val="00577130"/>
    <w:rsid w:val="00577945"/>
    <w:rsid w:val="00577E38"/>
    <w:rsid w:val="00581FC7"/>
    <w:rsid w:val="00582E5F"/>
    <w:rsid w:val="00585322"/>
    <w:rsid w:val="005857C6"/>
    <w:rsid w:val="005864DB"/>
    <w:rsid w:val="00586E1D"/>
    <w:rsid w:val="00587709"/>
    <w:rsid w:val="00590113"/>
    <w:rsid w:val="00590FD5"/>
    <w:rsid w:val="00592F6E"/>
    <w:rsid w:val="0059326B"/>
    <w:rsid w:val="00593A1D"/>
    <w:rsid w:val="00593AD1"/>
    <w:rsid w:val="00595FF6"/>
    <w:rsid w:val="005969FB"/>
    <w:rsid w:val="005A06A0"/>
    <w:rsid w:val="005A3E07"/>
    <w:rsid w:val="005A3E24"/>
    <w:rsid w:val="005A40DE"/>
    <w:rsid w:val="005A4332"/>
    <w:rsid w:val="005A5A60"/>
    <w:rsid w:val="005A68B6"/>
    <w:rsid w:val="005B1DF3"/>
    <w:rsid w:val="005B3003"/>
    <w:rsid w:val="005B3946"/>
    <w:rsid w:val="005B3ECF"/>
    <w:rsid w:val="005B3FEB"/>
    <w:rsid w:val="005B489C"/>
    <w:rsid w:val="005B5DB5"/>
    <w:rsid w:val="005B62FB"/>
    <w:rsid w:val="005C1874"/>
    <w:rsid w:val="005C191D"/>
    <w:rsid w:val="005C33E9"/>
    <w:rsid w:val="005C44F5"/>
    <w:rsid w:val="005C5570"/>
    <w:rsid w:val="005C77D9"/>
    <w:rsid w:val="005C7866"/>
    <w:rsid w:val="005C79A4"/>
    <w:rsid w:val="005D15E5"/>
    <w:rsid w:val="005D4724"/>
    <w:rsid w:val="005D5442"/>
    <w:rsid w:val="005D766F"/>
    <w:rsid w:val="005D7A8E"/>
    <w:rsid w:val="005E0106"/>
    <w:rsid w:val="005E3705"/>
    <w:rsid w:val="005E48AB"/>
    <w:rsid w:val="005E48D5"/>
    <w:rsid w:val="005E5C59"/>
    <w:rsid w:val="005E6948"/>
    <w:rsid w:val="005F00A4"/>
    <w:rsid w:val="005F07BC"/>
    <w:rsid w:val="005F3A7F"/>
    <w:rsid w:val="005F59EA"/>
    <w:rsid w:val="006024B1"/>
    <w:rsid w:val="0060274D"/>
    <w:rsid w:val="00603F32"/>
    <w:rsid w:val="00604C02"/>
    <w:rsid w:val="00605AD4"/>
    <w:rsid w:val="00610726"/>
    <w:rsid w:val="00611979"/>
    <w:rsid w:val="00612E8B"/>
    <w:rsid w:val="006136D7"/>
    <w:rsid w:val="006156A5"/>
    <w:rsid w:val="00616211"/>
    <w:rsid w:val="006164A4"/>
    <w:rsid w:val="00616749"/>
    <w:rsid w:val="00617B20"/>
    <w:rsid w:val="00620F28"/>
    <w:rsid w:val="0062161C"/>
    <w:rsid w:val="00622ADA"/>
    <w:rsid w:val="00622CC8"/>
    <w:rsid w:val="00622FDD"/>
    <w:rsid w:val="0062469E"/>
    <w:rsid w:val="00625A6E"/>
    <w:rsid w:val="00626FDE"/>
    <w:rsid w:val="00630234"/>
    <w:rsid w:val="00632398"/>
    <w:rsid w:val="00632C15"/>
    <w:rsid w:val="00632E55"/>
    <w:rsid w:val="00633064"/>
    <w:rsid w:val="00633D54"/>
    <w:rsid w:val="00634072"/>
    <w:rsid w:val="00635BF6"/>
    <w:rsid w:val="00640FC3"/>
    <w:rsid w:val="00641DF4"/>
    <w:rsid w:val="00642020"/>
    <w:rsid w:val="00642706"/>
    <w:rsid w:val="0064635D"/>
    <w:rsid w:val="00647047"/>
    <w:rsid w:val="00650696"/>
    <w:rsid w:val="006506CE"/>
    <w:rsid w:val="006528B1"/>
    <w:rsid w:val="0065337B"/>
    <w:rsid w:val="0065419D"/>
    <w:rsid w:val="00654CF5"/>
    <w:rsid w:val="006550A5"/>
    <w:rsid w:val="006604D8"/>
    <w:rsid w:val="00660678"/>
    <w:rsid w:val="00660CFD"/>
    <w:rsid w:val="0066224D"/>
    <w:rsid w:val="00664A5B"/>
    <w:rsid w:val="0066735C"/>
    <w:rsid w:val="00670512"/>
    <w:rsid w:val="00673419"/>
    <w:rsid w:val="00673CDD"/>
    <w:rsid w:val="006763D2"/>
    <w:rsid w:val="006771F4"/>
    <w:rsid w:val="006807C8"/>
    <w:rsid w:val="00680C08"/>
    <w:rsid w:val="006823ED"/>
    <w:rsid w:val="006849D6"/>
    <w:rsid w:val="0068703A"/>
    <w:rsid w:val="00690657"/>
    <w:rsid w:val="00691118"/>
    <w:rsid w:val="00691323"/>
    <w:rsid w:val="006916A0"/>
    <w:rsid w:val="006931B1"/>
    <w:rsid w:val="00695946"/>
    <w:rsid w:val="006A15C0"/>
    <w:rsid w:val="006A1907"/>
    <w:rsid w:val="006A1CE7"/>
    <w:rsid w:val="006A2680"/>
    <w:rsid w:val="006A49EA"/>
    <w:rsid w:val="006A5E90"/>
    <w:rsid w:val="006A6F28"/>
    <w:rsid w:val="006B417E"/>
    <w:rsid w:val="006B7990"/>
    <w:rsid w:val="006B7DD7"/>
    <w:rsid w:val="006C3E2A"/>
    <w:rsid w:val="006C642F"/>
    <w:rsid w:val="006C7F47"/>
    <w:rsid w:val="006D01D4"/>
    <w:rsid w:val="006D03E5"/>
    <w:rsid w:val="006D190E"/>
    <w:rsid w:val="006D5D3E"/>
    <w:rsid w:val="006E08B3"/>
    <w:rsid w:val="006E19CD"/>
    <w:rsid w:val="006E3E7E"/>
    <w:rsid w:val="006E5A7B"/>
    <w:rsid w:val="006E6D35"/>
    <w:rsid w:val="006E70DC"/>
    <w:rsid w:val="006E7328"/>
    <w:rsid w:val="006E7347"/>
    <w:rsid w:val="006F17AC"/>
    <w:rsid w:val="006F1E16"/>
    <w:rsid w:val="006F25B8"/>
    <w:rsid w:val="006F3026"/>
    <w:rsid w:val="006F3267"/>
    <w:rsid w:val="006F572E"/>
    <w:rsid w:val="006F582E"/>
    <w:rsid w:val="0070287A"/>
    <w:rsid w:val="00703276"/>
    <w:rsid w:val="007032B8"/>
    <w:rsid w:val="007046D6"/>
    <w:rsid w:val="007048A4"/>
    <w:rsid w:val="00704CB9"/>
    <w:rsid w:val="00705041"/>
    <w:rsid w:val="00705DB0"/>
    <w:rsid w:val="00710596"/>
    <w:rsid w:val="007109D1"/>
    <w:rsid w:val="00711C4E"/>
    <w:rsid w:val="00712C26"/>
    <w:rsid w:val="00714BC0"/>
    <w:rsid w:val="007155C7"/>
    <w:rsid w:val="00716EC1"/>
    <w:rsid w:val="0071758D"/>
    <w:rsid w:val="00720297"/>
    <w:rsid w:val="00722B57"/>
    <w:rsid w:val="007234E1"/>
    <w:rsid w:val="007247BF"/>
    <w:rsid w:val="007255E4"/>
    <w:rsid w:val="007267CA"/>
    <w:rsid w:val="0072699F"/>
    <w:rsid w:val="00726CA1"/>
    <w:rsid w:val="00726D8A"/>
    <w:rsid w:val="00730F8A"/>
    <w:rsid w:val="00734AD2"/>
    <w:rsid w:val="00735A8C"/>
    <w:rsid w:val="00736D35"/>
    <w:rsid w:val="0074253D"/>
    <w:rsid w:val="00742541"/>
    <w:rsid w:val="0074429B"/>
    <w:rsid w:val="007445CA"/>
    <w:rsid w:val="00751179"/>
    <w:rsid w:val="00751821"/>
    <w:rsid w:val="0075300D"/>
    <w:rsid w:val="00753D3F"/>
    <w:rsid w:val="00754023"/>
    <w:rsid w:val="0075448C"/>
    <w:rsid w:val="007547FE"/>
    <w:rsid w:val="00757534"/>
    <w:rsid w:val="007615BC"/>
    <w:rsid w:val="007617B8"/>
    <w:rsid w:val="0076266C"/>
    <w:rsid w:val="00762F05"/>
    <w:rsid w:val="00763EEB"/>
    <w:rsid w:val="00764184"/>
    <w:rsid w:val="007645B0"/>
    <w:rsid w:val="007652FF"/>
    <w:rsid w:val="00766B79"/>
    <w:rsid w:val="00770CAC"/>
    <w:rsid w:val="00770EF1"/>
    <w:rsid w:val="0077299F"/>
    <w:rsid w:val="00773EF7"/>
    <w:rsid w:val="00774E1D"/>
    <w:rsid w:val="007765D8"/>
    <w:rsid w:val="0077675A"/>
    <w:rsid w:val="00776B3D"/>
    <w:rsid w:val="0077715A"/>
    <w:rsid w:val="00780355"/>
    <w:rsid w:val="007819FD"/>
    <w:rsid w:val="00783C1C"/>
    <w:rsid w:val="00785717"/>
    <w:rsid w:val="00785721"/>
    <w:rsid w:val="0079003D"/>
    <w:rsid w:val="007901AF"/>
    <w:rsid w:val="007909F1"/>
    <w:rsid w:val="007914FF"/>
    <w:rsid w:val="007919EE"/>
    <w:rsid w:val="00793A59"/>
    <w:rsid w:val="00795EE5"/>
    <w:rsid w:val="00796B42"/>
    <w:rsid w:val="007A1D1F"/>
    <w:rsid w:val="007A7523"/>
    <w:rsid w:val="007B20D7"/>
    <w:rsid w:val="007B2C98"/>
    <w:rsid w:val="007B47C3"/>
    <w:rsid w:val="007B4F9F"/>
    <w:rsid w:val="007B5F73"/>
    <w:rsid w:val="007B6132"/>
    <w:rsid w:val="007B6A9E"/>
    <w:rsid w:val="007B6E9F"/>
    <w:rsid w:val="007C0A57"/>
    <w:rsid w:val="007C0A85"/>
    <w:rsid w:val="007C1216"/>
    <w:rsid w:val="007C19A3"/>
    <w:rsid w:val="007C1AF7"/>
    <w:rsid w:val="007C1E43"/>
    <w:rsid w:val="007C25A2"/>
    <w:rsid w:val="007C4F5D"/>
    <w:rsid w:val="007C6B9B"/>
    <w:rsid w:val="007D14ED"/>
    <w:rsid w:val="007D2067"/>
    <w:rsid w:val="007E1140"/>
    <w:rsid w:val="007E560E"/>
    <w:rsid w:val="007E7283"/>
    <w:rsid w:val="007E7504"/>
    <w:rsid w:val="007F3535"/>
    <w:rsid w:val="007F3F86"/>
    <w:rsid w:val="00804747"/>
    <w:rsid w:val="00805D27"/>
    <w:rsid w:val="008065E6"/>
    <w:rsid w:val="00806DCB"/>
    <w:rsid w:val="00806F18"/>
    <w:rsid w:val="0080749D"/>
    <w:rsid w:val="008076E1"/>
    <w:rsid w:val="0080791E"/>
    <w:rsid w:val="00807C13"/>
    <w:rsid w:val="00810FEA"/>
    <w:rsid w:val="00815572"/>
    <w:rsid w:val="00821776"/>
    <w:rsid w:val="0082575C"/>
    <w:rsid w:val="00825A32"/>
    <w:rsid w:val="00827687"/>
    <w:rsid w:val="008321F5"/>
    <w:rsid w:val="00832369"/>
    <w:rsid w:val="00834660"/>
    <w:rsid w:val="00836BC2"/>
    <w:rsid w:val="00836C33"/>
    <w:rsid w:val="00836CE7"/>
    <w:rsid w:val="00841962"/>
    <w:rsid w:val="008421C9"/>
    <w:rsid w:val="008431C7"/>
    <w:rsid w:val="00843499"/>
    <w:rsid w:val="00844B07"/>
    <w:rsid w:val="00845178"/>
    <w:rsid w:val="0085156D"/>
    <w:rsid w:val="00853482"/>
    <w:rsid w:val="0085588F"/>
    <w:rsid w:val="00855BC3"/>
    <w:rsid w:val="0085641B"/>
    <w:rsid w:val="00856ED2"/>
    <w:rsid w:val="00857136"/>
    <w:rsid w:val="00862E2B"/>
    <w:rsid w:val="00863E73"/>
    <w:rsid w:val="008653FA"/>
    <w:rsid w:val="00865D17"/>
    <w:rsid w:val="00867B7F"/>
    <w:rsid w:val="00867B88"/>
    <w:rsid w:val="008738FE"/>
    <w:rsid w:val="00874F6D"/>
    <w:rsid w:val="00875A6B"/>
    <w:rsid w:val="00877475"/>
    <w:rsid w:val="00882955"/>
    <w:rsid w:val="0088560C"/>
    <w:rsid w:val="00885B11"/>
    <w:rsid w:val="00886D15"/>
    <w:rsid w:val="00887C83"/>
    <w:rsid w:val="00887DAD"/>
    <w:rsid w:val="00887DD8"/>
    <w:rsid w:val="00890086"/>
    <w:rsid w:val="00891BA9"/>
    <w:rsid w:val="00892E0F"/>
    <w:rsid w:val="00892FF6"/>
    <w:rsid w:val="00896018"/>
    <w:rsid w:val="008960DD"/>
    <w:rsid w:val="0089635C"/>
    <w:rsid w:val="008A00A4"/>
    <w:rsid w:val="008A2B9D"/>
    <w:rsid w:val="008A3ADE"/>
    <w:rsid w:val="008A3D9F"/>
    <w:rsid w:val="008A4E70"/>
    <w:rsid w:val="008A5E0B"/>
    <w:rsid w:val="008A6402"/>
    <w:rsid w:val="008A6D59"/>
    <w:rsid w:val="008B09B1"/>
    <w:rsid w:val="008B197E"/>
    <w:rsid w:val="008B38D9"/>
    <w:rsid w:val="008B4B03"/>
    <w:rsid w:val="008B596F"/>
    <w:rsid w:val="008B6E22"/>
    <w:rsid w:val="008C159F"/>
    <w:rsid w:val="008C1623"/>
    <w:rsid w:val="008C1850"/>
    <w:rsid w:val="008C2A76"/>
    <w:rsid w:val="008C32E2"/>
    <w:rsid w:val="008C41EE"/>
    <w:rsid w:val="008C51A9"/>
    <w:rsid w:val="008D339F"/>
    <w:rsid w:val="008D65BD"/>
    <w:rsid w:val="008D7898"/>
    <w:rsid w:val="008E19F5"/>
    <w:rsid w:val="008E2D84"/>
    <w:rsid w:val="008E358C"/>
    <w:rsid w:val="008E4AD8"/>
    <w:rsid w:val="008E5793"/>
    <w:rsid w:val="008E7846"/>
    <w:rsid w:val="008F02E5"/>
    <w:rsid w:val="008F0500"/>
    <w:rsid w:val="008F1BF3"/>
    <w:rsid w:val="008F1CCC"/>
    <w:rsid w:val="008F2967"/>
    <w:rsid w:val="008F2BC5"/>
    <w:rsid w:val="008F5004"/>
    <w:rsid w:val="008F5015"/>
    <w:rsid w:val="008F6943"/>
    <w:rsid w:val="008F6BA2"/>
    <w:rsid w:val="00901430"/>
    <w:rsid w:val="0090245B"/>
    <w:rsid w:val="00902A21"/>
    <w:rsid w:val="00902E8C"/>
    <w:rsid w:val="00905BF5"/>
    <w:rsid w:val="0090605F"/>
    <w:rsid w:val="00907E2E"/>
    <w:rsid w:val="00912435"/>
    <w:rsid w:val="00913FE9"/>
    <w:rsid w:val="0091477D"/>
    <w:rsid w:val="00915A4E"/>
    <w:rsid w:val="00916573"/>
    <w:rsid w:val="00920330"/>
    <w:rsid w:val="009219D7"/>
    <w:rsid w:val="00922B93"/>
    <w:rsid w:val="00922D53"/>
    <w:rsid w:val="00923B70"/>
    <w:rsid w:val="00924482"/>
    <w:rsid w:val="00924653"/>
    <w:rsid w:val="00925996"/>
    <w:rsid w:val="0092656A"/>
    <w:rsid w:val="00930237"/>
    <w:rsid w:val="00930C29"/>
    <w:rsid w:val="00935332"/>
    <w:rsid w:val="00937C17"/>
    <w:rsid w:val="00940A89"/>
    <w:rsid w:val="009452B8"/>
    <w:rsid w:val="00946EA5"/>
    <w:rsid w:val="00950EAC"/>
    <w:rsid w:val="00951CBF"/>
    <w:rsid w:val="00952CD1"/>
    <w:rsid w:val="00960CAC"/>
    <w:rsid w:val="00961497"/>
    <w:rsid w:val="00963C08"/>
    <w:rsid w:val="00966B2A"/>
    <w:rsid w:val="00967841"/>
    <w:rsid w:val="00971CF8"/>
    <w:rsid w:val="00971D8E"/>
    <w:rsid w:val="009752A5"/>
    <w:rsid w:val="009825BC"/>
    <w:rsid w:val="00982717"/>
    <w:rsid w:val="00983A17"/>
    <w:rsid w:val="0098585A"/>
    <w:rsid w:val="00987621"/>
    <w:rsid w:val="00991717"/>
    <w:rsid w:val="00992C0F"/>
    <w:rsid w:val="00997B32"/>
    <w:rsid w:val="009A1632"/>
    <w:rsid w:val="009A3C1A"/>
    <w:rsid w:val="009A4CED"/>
    <w:rsid w:val="009A690D"/>
    <w:rsid w:val="009B1D12"/>
    <w:rsid w:val="009B2B59"/>
    <w:rsid w:val="009B2F4E"/>
    <w:rsid w:val="009B416B"/>
    <w:rsid w:val="009B46E3"/>
    <w:rsid w:val="009B5943"/>
    <w:rsid w:val="009B685A"/>
    <w:rsid w:val="009B6FE6"/>
    <w:rsid w:val="009B7F7F"/>
    <w:rsid w:val="009C0A2D"/>
    <w:rsid w:val="009C2D89"/>
    <w:rsid w:val="009C3F32"/>
    <w:rsid w:val="009C4BD5"/>
    <w:rsid w:val="009C635C"/>
    <w:rsid w:val="009D2E98"/>
    <w:rsid w:val="009D4164"/>
    <w:rsid w:val="009D4687"/>
    <w:rsid w:val="009D47C2"/>
    <w:rsid w:val="009D488E"/>
    <w:rsid w:val="009D7B77"/>
    <w:rsid w:val="009E0BB0"/>
    <w:rsid w:val="009E0FE8"/>
    <w:rsid w:val="009E3A71"/>
    <w:rsid w:val="009E3FBB"/>
    <w:rsid w:val="009E6373"/>
    <w:rsid w:val="009E66C1"/>
    <w:rsid w:val="009F05A0"/>
    <w:rsid w:val="009F2251"/>
    <w:rsid w:val="009F4A05"/>
    <w:rsid w:val="009F554D"/>
    <w:rsid w:val="009F56ED"/>
    <w:rsid w:val="009F7353"/>
    <w:rsid w:val="00A001CF"/>
    <w:rsid w:val="00A03098"/>
    <w:rsid w:val="00A04F85"/>
    <w:rsid w:val="00A05436"/>
    <w:rsid w:val="00A05E01"/>
    <w:rsid w:val="00A05FA4"/>
    <w:rsid w:val="00A0625F"/>
    <w:rsid w:val="00A07250"/>
    <w:rsid w:val="00A07699"/>
    <w:rsid w:val="00A102E4"/>
    <w:rsid w:val="00A11F1A"/>
    <w:rsid w:val="00A12C42"/>
    <w:rsid w:val="00A1327B"/>
    <w:rsid w:val="00A13D2D"/>
    <w:rsid w:val="00A13E67"/>
    <w:rsid w:val="00A142CF"/>
    <w:rsid w:val="00A14DF7"/>
    <w:rsid w:val="00A176FD"/>
    <w:rsid w:val="00A214DD"/>
    <w:rsid w:val="00A22653"/>
    <w:rsid w:val="00A260A9"/>
    <w:rsid w:val="00A26541"/>
    <w:rsid w:val="00A3246D"/>
    <w:rsid w:val="00A33F65"/>
    <w:rsid w:val="00A36FA7"/>
    <w:rsid w:val="00A40B1D"/>
    <w:rsid w:val="00A44DDB"/>
    <w:rsid w:val="00A44F12"/>
    <w:rsid w:val="00A45732"/>
    <w:rsid w:val="00A45F1A"/>
    <w:rsid w:val="00A475B7"/>
    <w:rsid w:val="00A47AF7"/>
    <w:rsid w:val="00A47C3E"/>
    <w:rsid w:val="00A50226"/>
    <w:rsid w:val="00A5524C"/>
    <w:rsid w:val="00A56948"/>
    <w:rsid w:val="00A5777A"/>
    <w:rsid w:val="00A60BAD"/>
    <w:rsid w:val="00A6172E"/>
    <w:rsid w:val="00A6218D"/>
    <w:rsid w:val="00A63090"/>
    <w:rsid w:val="00A67536"/>
    <w:rsid w:val="00A70FEC"/>
    <w:rsid w:val="00A71839"/>
    <w:rsid w:val="00A75F66"/>
    <w:rsid w:val="00A807FC"/>
    <w:rsid w:val="00A809B1"/>
    <w:rsid w:val="00A80B5B"/>
    <w:rsid w:val="00A81F7E"/>
    <w:rsid w:val="00A82FD0"/>
    <w:rsid w:val="00A84E36"/>
    <w:rsid w:val="00A8563F"/>
    <w:rsid w:val="00A85B82"/>
    <w:rsid w:val="00A85D36"/>
    <w:rsid w:val="00A863EE"/>
    <w:rsid w:val="00A86728"/>
    <w:rsid w:val="00A868D4"/>
    <w:rsid w:val="00A8758F"/>
    <w:rsid w:val="00A87639"/>
    <w:rsid w:val="00A90ACA"/>
    <w:rsid w:val="00A90F61"/>
    <w:rsid w:val="00A938E4"/>
    <w:rsid w:val="00A95741"/>
    <w:rsid w:val="00A964D1"/>
    <w:rsid w:val="00A96F4B"/>
    <w:rsid w:val="00AA0110"/>
    <w:rsid w:val="00AA0ED0"/>
    <w:rsid w:val="00AA1688"/>
    <w:rsid w:val="00AA1826"/>
    <w:rsid w:val="00AA22EB"/>
    <w:rsid w:val="00AA701F"/>
    <w:rsid w:val="00AA7B30"/>
    <w:rsid w:val="00AB2D98"/>
    <w:rsid w:val="00AB4017"/>
    <w:rsid w:val="00AB539D"/>
    <w:rsid w:val="00AC2B40"/>
    <w:rsid w:val="00AC2BB2"/>
    <w:rsid w:val="00AC2C3C"/>
    <w:rsid w:val="00AC512D"/>
    <w:rsid w:val="00AC6E45"/>
    <w:rsid w:val="00AD0083"/>
    <w:rsid w:val="00AD0977"/>
    <w:rsid w:val="00AD1B01"/>
    <w:rsid w:val="00AD2546"/>
    <w:rsid w:val="00AD3935"/>
    <w:rsid w:val="00AD4C0F"/>
    <w:rsid w:val="00AD7F44"/>
    <w:rsid w:val="00AE04AD"/>
    <w:rsid w:val="00AE43FA"/>
    <w:rsid w:val="00AE6212"/>
    <w:rsid w:val="00AE65EB"/>
    <w:rsid w:val="00AE67A7"/>
    <w:rsid w:val="00AE6F16"/>
    <w:rsid w:val="00AE73AA"/>
    <w:rsid w:val="00AF1D94"/>
    <w:rsid w:val="00AF35EC"/>
    <w:rsid w:val="00AF4455"/>
    <w:rsid w:val="00AF4E54"/>
    <w:rsid w:val="00AF60C5"/>
    <w:rsid w:val="00AF6DE5"/>
    <w:rsid w:val="00B0097C"/>
    <w:rsid w:val="00B009C6"/>
    <w:rsid w:val="00B01263"/>
    <w:rsid w:val="00B01548"/>
    <w:rsid w:val="00B0401B"/>
    <w:rsid w:val="00B07668"/>
    <w:rsid w:val="00B07BB5"/>
    <w:rsid w:val="00B122FA"/>
    <w:rsid w:val="00B13314"/>
    <w:rsid w:val="00B13EBD"/>
    <w:rsid w:val="00B14843"/>
    <w:rsid w:val="00B14C5B"/>
    <w:rsid w:val="00B20049"/>
    <w:rsid w:val="00B204FE"/>
    <w:rsid w:val="00B20780"/>
    <w:rsid w:val="00B21D29"/>
    <w:rsid w:val="00B2210A"/>
    <w:rsid w:val="00B22565"/>
    <w:rsid w:val="00B22A83"/>
    <w:rsid w:val="00B2407F"/>
    <w:rsid w:val="00B25034"/>
    <w:rsid w:val="00B25AF1"/>
    <w:rsid w:val="00B25BE6"/>
    <w:rsid w:val="00B30638"/>
    <w:rsid w:val="00B33588"/>
    <w:rsid w:val="00B33863"/>
    <w:rsid w:val="00B379CB"/>
    <w:rsid w:val="00B37D17"/>
    <w:rsid w:val="00B40549"/>
    <w:rsid w:val="00B40B27"/>
    <w:rsid w:val="00B40D62"/>
    <w:rsid w:val="00B4175E"/>
    <w:rsid w:val="00B452CE"/>
    <w:rsid w:val="00B45FCA"/>
    <w:rsid w:val="00B5052E"/>
    <w:rsid w:val="00B506A3"/>
    <w:rsid w:val="00B51A1E"/>
    <w:rsid w:val="00B54C25"/>
    <w:rsid w:val="00B55781"/>
    <w:rsid w:val="00B564DE"/>
    <w:rsid w:val="00B56518"/>
    <w:rsid w:val="00B57D5D"/>
    <w:rsid w:val="00B637D0"/>
    <w:rsid w:val="00B6386E"/>
    <w:rsid w:val="00B67D6E"/>
    <w:rsid w:val="00B70DB6"/>
    <w:rsid w:val="00B73AAC"/>
    <w:rsid w:val="00B76B91"/>
    <w:rsid w:val="00B77C07"/>
    <w:rsid w:val="00B77EB1"/>
    <w:rsid w:val="00B80211"/>
    <w:rsid w:val="00B8103D"/>
    <w:rsid w:val="00B811C6"/>
    <w:rsid w:val="00B8122D"/>
    <w:rsid w:val="00B82C1F"/>
    <w:rsid w:val="00B82CB7"/>
    <w:rsid w:val="00B83C8F"/>
    <w:rsid w:val="00B855B0"/>
    <w:rsid w:val="00B922D4"/>
    <w:rsid w:val="00B92E08"/>
    <w:rsid w:val="00B94633"/>
    <w:rsid w:val="00B96DBC"/>
    <w:rsid w:val="00BA0BD2"/>
    <w:rsid w:val="00BA681F"/>
    <w:rsid w:val="00BB00F6"/>
    <w:rsid w:val="00BB0783"/>
    <w:rsid w:val="00BB096C"/>
    <w:rsid w:val="00BB0F0B"/>
    <w:rsid w:val="00BB19FF"/>
    <w:rsid w:val="00BB4E99"/>
    <w:rsid w:val="00BB522F"/>
    <w:rsid w:val="00BB5525"/>
    <w:rsid w:val="00BB6514"/>
    <w:rsid w:val="00BB65DB"/>
    <w:rsid w:val="00BB6B0B"/>
    <w:rsid w:val="00BC5ABB"/>
    <w:rsid w:val="00BC622A"/>
    <w:rsid w:val="00BC76AB"/>
    <w:rsid w:val="00BC7712"/>
    <w:rsid w:val="00BC7CF6"/>
    <w:rsid w:val="00BD0EBF"/>
    <w:rsid w:val="00BD4C31"/>
    <w:rsid w:val="00BD591E"/>
    <w:rsid w:val="00BD592C"/>
    <w:rsid w:val="00BD6E3A"/>
    <w:rsid w:val="00BD719E"/>
    <w:rsid w:val="00BE0A78"/>
    <w:rsid w:val="00BE0C54"/>
    <w:rsid w:val="00BE2FD9"/>
    <w:rsid w:val="00BE79F0"/>
    <w:rsid w:val="00BE7FFD"/>
    <w:rsid w:val="00BF046D"/>
    <w:rsid w:val="00BF1190"/>
    <w:rsid w:val="00BF30E5"/>
    <w:rsid w:val="00BF395C"/>
    <w:rsid w:val="00BF5D04"/>
    <w:rsid w:val="00BF789A"/>
    <w:rsid w:val="00BF7962"/>
    <w:rsid w:val="00C009AA"/>
    <w:rsid w:val="00C00F34"/>
    <w:rsid w:val="00C01342"/>
    <w:rsid w:val="00C02302"/>
    <w:rsid w:val="00C0239F"/>
    <w:rsid w:val="00C030D0"/>
    <w:rsid w:val="00C04011"/>
    <w:rsid w:val="00C07719"/>
    <w:rsid w:val="00C07F82"/>
    <w:rsid w:val="00C112BE"/>
    <w:rsid w:val="00C1164D"/>
    <w:rsid w:val="00C11890"/>
    <w:rsid w:val="00C16861"/>
    <w:rsid w:val="00C17E46"/>
    <w:rsid w:val="00C2274C"/>
    <w:rsid w:val="00C227FD"/>
    <w:rsid w:val="00C2342E"/>
    <w:rsid w:val="00C2685F"/>
    <w:rsid w:val="00C27813"/>
    <w:rsid w:val="00C302A3"/>
    <w:rsid w:val="00C346AB"/>
    <w:rsid w:val="00C35475"/>
    <w:rsid w:val="00C35D37"/>
    <w:rsid w:val="00C404A6"/>
    <w:rsid w:val="00C40A36"/>
    <w:rsid w:val="00C422E3"/>
    <w:rsid w:val="00C44419"/>
    <w:rsid w:val="00C45BD3"/>
    <w:rsid w:val="00C45E7B"/>
    <w:rsid w:val="00C46192"/>
    <w:rsid w:val="00C471B1"/>
    <w:rsid w:val="00C478A3"/>
    <w:rsid w:val="00C47E3A"/>
    <w:rsid w:val="00C540F9"/>
    <w:rsid w:val="00C6190C"/>
    <w:rsid w:val="00C6316B"/>
    <w:rsid w:val="00C634A9"/>
    <w:rsid w:val="00C6361D"/>
    <w:rsid w:val="00C64358"/>
    <w:rsid w:val="00C64586"/>
    <w:rsid w:val="00C70D53"/>
    <w:rsid w:val="00C73D0B"/>
    <w:rsid w:val="00C74406"/>
    <w:rsid w:val="00C74BF7"/>
    <w:rsid w:val="00C75FEB"/>
    <w:rsid w:val="00C772FF"/>
    <w:rsid w:val="00C80137"/>
    <w:rsid w:val="00C801AF"/>
    <w:rsid w:val="00C80256"/>
    <w:rsid w:val="00C80324"/>
    <w:rsid w:val="00C81C23"/>
    <w:rsid w:val="00C82916"/>
    <w:rsid w:val="00C82D31"/>
    <w:rsid w:val="00C82D32"/>
    <w:rsid w:val="00C86CBD"/>
    <w:rsid w:val="00C912E5"/>
    <w:rsid w:val="00C94CD4"/>
    <w:rsid w:val="00C9746A"/>
    <w:rsid w:val="00C9747E"/>
    <w:rsid w:val="00CA28B6"/>
    <w:rsid w:val="00CA36A6"/>
    <w:rsid w:val="00CA3FE9"/>
    <w:rsid w:val="00CA7676"/>
    <w:rsid w:val="00CB0215"/>
    <w:rsid w:val="00CB1FBA"/>
    <w:rsid w:val="00CB3AEB"/>
    <w:rsid w:val="00CB50C9"/>
    <w:rsid w:val="00CB557A"/>
    <w:rsid w:val="00CB6BC0"/>
    <w:rsid w:val="00CC01E1"/>
    <w:rsid w:val="00CC0A6A"/>
    <w:rsid w:val="00CC1B7C"/>
    <w:rsid w:val="00CC1E78"/>
    <w:rsid w:val="00CC5C57"/>
    <w:rsid w:val="00CC727F"/>
    <w:rsid w:val="00CC755F"/>
    <w:rsid w:val="00CC75D6"/>
    <w:rsid w:val="00CD1B75"/>
    <w:rsid w:val="00CD3400"/>
    <w:rsid w:val="00CD74C9"/>
    <w:rsid w:val="00CE15C1"/>
    <w:rsid w:val="00CE219F"/>
    <w:rsid w:val="00CE30E3"/>
    <w:rsid w:val="00CE4739"/>
    <w:rsid w:val="00CE50A8"/>
    <w:rsid w:val="00CE67D2"/>
    <w:rsid w:val="00CF14FE"/>
    <w:rsid w:val="00CF15C3"/>
    <w:rsid w:val="00CF2B6F"/>
    <w:rsid w:val="00CF2F3E"/>
    <w:rsid w:val="00CF58B6"/>
    <w:rsid w:val="00CF5AEF"/>
    <w:rsid w:val="00CF61C9"/>
    <w:rsid w:val="00CF6C19"/>
    <w:rsid w:val="00D0062D"/>
    <w:rsid w:val="00D017ED"/>
    <w:rsid w:val="00D019CF"/>
    <w:rsid w:val="00D01AF1"/>
    <w:rsid w:val="00D040D3"/>
    <w:rsid w:val="00D0492E"/>
    <w:rsid w:val="00D04C65"/>
    <w:rsid w:val="00D07727"/>
    <w:rsid w:val="00D108F2"/>
    <w:rsid w:val="00D11044"/>
    <w:rsid w:val="00D11767"/>
    <w:rsid w:val="00D12A24"/>
    <w:rsid w:val="00D15C9F"/>
    <w:rsid w:val="00D16372"/>
    <w:rsid w:val="00D201D2"/>
    <w:rsid w:val="00D20939"/>
    <w:rsid w:val="00D209AC"/>
    <w:rsid w:val="00D22013"/>
    <w:rsid w:val="00D224F9"/>
    <w:rsid w:val="00D224FE"/>
    <w:rsid w:val="00D2261A"/>
    <w:rsid w:val="00D23139"/>
    <w:rsid w:val="00D24139"/>
    <w:rsid w:val="00D2572F"/>
    <w:rsid w:val="00D30209"/>
    <w:rsid w:val="00D308EC"/>
    <w:rsid w:val="00D329D8"/>
    <w:rsid w:val="00D34C07"/>
    <w:rsid w:val="00D3697D"/>
    <w:rsid w:val="00D37469"/>
    <w:rsid w:val="00D425BB"/>
    <w:rsid w:val="00D45101"/>
    <w:rsid w:val="00D50D75"/>
    <w:rsid w:val="00D54587"/>
    <w:rsid w:val="00D54FC3"/>
    <w:rsid w:val="00D55009"/>
    <w:rsid w:val="00D6390D"/>
    <w:rsid w:val="00D6493E"/>
    <w:rsid w:val="00D700BC"/>
    <w:rsid w:val="00D704E8"/>
    <w:rsid w:val="00D70C6C"/>
    <w:rsid w:val="00D7195D"/>
    <w:rsid w:val="00D726E0"/>
    <w:rsid w:val="00D7276C"/>
    <w:rsid w:val="00D7301E"/>
    <w:rsid w:val="00D7665F"/>
    <w:rsid w:val="00D80C29"/>
    <w:rsid w:val="00D83726"/>
    <w:rsid w:val="00D83AE1"/>
    <w:rsid w:val="00D8432A"/>
    <w:rsid w:val="00D8525A"/>
    <w:rsid w:val="00D852AC"/>
    <w:rsid w:val="00D855D4"/>
    <w:rsid w:val="00D85664"/>
    <w:rsid w:val="00D85AFC"/>
    <w:rsid w:val="00D877DB"/>
    <w:rsid w:val="00D902C9"/>
    <w:rsid w:val="00D92203"/>
    <w:rsid w:val="00D93466"/>
    <w:rsid w:val="00D93809"/>
    <w:rsid w:val="00DA0D13"/>
    <w:rsid w:val="00DA1124"/>
    <w:rsid w:val="00DA24EC"/>
    <w:rsid w:val="00DA27F5"/>
    <w:rsid w:val="00DA3C75"/>
    <w:rsid w:val="00DA70D4"/>
    <w:rsid w:val="00DB0BBA"/>
    <w:rsid w:val="00DB0E0D"/>
    <w:rsid w:val="00DB0E88"/>
    <w:rsid w:val="00DB24F9"/>
    <w:rsid w:val="00DB2CCE"/>
    <w:rsid w:val="00DB3893"/>
    <w:rsid w:val="00DB391E"/>
    <w:rsid w:val="00DB3D31"/>
    <w:rsid w:val="00DB4306"/>
    <w:rsid w:val="00DB4DB4"/>
    <w:rsid w:val="00DB54EB"/>
    <w:rsid w:val="00DB6124"/>
    <w:rsid w:val="00DB750B"/>
    <w:rsid w:val="00DB75B7"/>
    <w:rsid w:val="00DC11F8"/>
    <w:rsid w:val="00DC3995"/>
    <w:rsid w:val="00DC4FF9"/>
    <w:rsid w:val="00DC6E02"/>
    <w:rsid w:val="00DC7034"/>
    <w:rsid w:val="00DD0DC9"/>
    <w:rsid w:val="00DD2042"/>
    <w:rsid w:val="00DD28CD"/>
    <w:rsid w:val="00DE02AE"/>
    <w:rsid w:val="00DE1E07"/>
    <w:rsid w:val="00DE2ADE"/>
    <w:rsid w:val="00DE6A60"/>
    <w:rsid w:val="00DE7C8D"/>
    <w:rsid w:val="00DF07ED"/>
    <w:rsid w:val="00DF0CCF"/>
    <w:rsid w:val="00DF1D7F"/>
    <w:rsid w:val="00DF3A39"/>
    <w:rsid w:val="00DF4BE4"/>
    <w:rsid w:val="00DF59D3"/>
    <w:rsid w:val="00DF7E36"/>
    <w:rsid w:val="00DF7ED5"/>
    <w:rsid w:val="00E021F7"/>
    <w:rsid w:val="00E0229C"/>
    <w:rsid w:val="00E028A3"/>
    <w:rsid w:val="00E02FB4"/>
    <w:rsid w:val="00E0479E"/>
    <w:rsid w:val="00E04B6E"/>
    <w:rsid w:val="00E05260"/>
    <w:rsid w:val="00E0696E"/>
    <w:rsid w:val="00E138A7"/>
    <w:rsid w:val="00E13FC7"/>
    <w:rsid w:val="00E156C6"/>
    <w:rsid w:val="00E20571"/>
    <w:rsid w:val="00E21EE7"/>
    <w:rsid w:val="00E22635"/>
    <w:rsid w:val="00E231C2"/>
    <w:rsid w:val="00E235F7"/>
    <w:rsid w:val="00E23659"/>
    <w:rsid w:val="00E239D4"/>
    <w:rsid w:val="00E24207"/>
    <w:rsid w:val="00E26130"/>
    <w:rsid w:val="00E31251"/>
    <w:rsid w:val="00E33D1D"/>
    <w:rsid w:val="00E40B22"/>
    <w:rsid w:val="00E42E71"/>
    <w:rsid w:val="00E44ED1"/>
    <w:rsid w:val="00E45619"/>
    <w:rsid w:val="00E4588F"/>
    <w:rsid w:val="00E46DA3"/>
    <w:rsid w:val="00E47BC8"/>
    <w:rsid w:val="00E51BB1"/>
    <w:rsid w:val="00E533D6"/>
    <w:rsid w:val="00E5344C"/>
    <w:rsid w:val="00E553B8"/>
    <w:rsid w:val="00E55F08"/>
    <w:rsid w:val="00E60A9A"/>
    <w:rsid w:val="00E61786"/>
    <w:rsid w:val="00E624A5"/>
    <w:rsid w:val="00E62513"/>
    <w:rsid w:val="00E638A4"/>
    <w:rsid w:val="00E6409C"/>
    <w:rsid w:val="00E642EE"/>
    <w:rsid w:val="00E64791"/>
    <w:rsid w:val="00E64BA4"/>
    <w:rsid w:val="00E64F20"/>
    <w:rsid w:val="00E6768D"/>
    <w:rsid w:val="00E706D0"/>
    <w:rsid w:val="00E72E47"/>
    <w:rsid w:val="00E7344E"/>
    <w:rsid w:val="00E740B0"/>
    <w:rsid w:val="00E7450B"/>
    <w:rsid w:val="00E76357"/>
    <w:rsid w:val="00E7640F"/>
    <w:rsid w:val="00E76991"/>
    <w:rsid w:val="00E77BB7"/>
    <w:rsid w:val="00E822CA"/>
    <w:rsid w:val="00E82665"/>
    <w:rsid w:val="00E8527B"/>
    <w:rsid w:val="00E85B7F"/>
    <w:rsid w:val="00E861F2"/>
    <w:rsid w:val="00E86737"/>
    <w:rsid w:val="00E87AEF"/>
    <w:rsid w:val="00E87B95"/>
    <w:rsid w:val="00E91C9C"/>
    <w:rsid w:val="00E92ABC"/>
    <w:rsid w:val="00E9526C"/>
    <w:rsid w:val="00E9608F"/>
    <w:rsid w:val="00E97A44"/>
    <w:rsid w:val="00EA3A7D"/>
    <w:rsid w:val="00EA3B82"/>
    <w:rsid w:val="00EA56E6"/>
    <w:rsid w:val="00EA6C9B"/>
    <w:rsid w:val="00EA7DB8"/>
    <w:rsid w:val="00EA7EA5"/>
    <w:rsid w:val="00EB0798"/>
    <w:rsid w:val="00EB31A2"/>
    <w:rsid w:val="00EB40AD"/>
    <w:rsid w:val="00EB4915"/>
    <w:rsid w:val="00EB4D31"/>
    <w:rsid w:val="00EB586E"/>
    <w:rsid w:val="00EB5FC8"/>
    <w:rsid w:val="00EB7D4D"/>
    <w:rsid w:val="00EC463D"/>
    <w:rsid w:val="00EC5D3C"/>
    <w:rsid w:val="00EC64A0"/>
    <w:rsid w:val="00EC7771"/>
    <w:rsid w:val="00EC7A85"/>
    <w:rsid w:val="00ED2922"/>
    <w:rsid w:val="00ED3CAD"/>
    <w:rsid w:val="00ED431A"/>
    <w:rsid w:val="00ED574B"/>
    <w:rsid w:val="00ED5829"/>
    <w:rsid w:val="00ED5A41"/>
    <w:rsid w:val="00ED6BED"/>
    <w:rsid w:val="00EE1C6A"/>
    <w:rsid w:val="00EE1DE8"/>
    <w:rsid w:val="00EE20A6"/>
    <w:rsid w:val="00EE262A"/>
    <w:rsid w:val="00EE27C2"/>
    <w:rsid w:val="00EE38C1"/>
    <w:rsid w:val="00EE5C75"/>
    <w:rsid w:val="00EE6572"/>
    <w:rsid w:val="00EE69C4"/>
    <w:rsid w:val="00EF2EC1"/>
    <w:rsid w:val="00EF4BAD"/>
    <w:rsid w:val="00EF58D4"/>
    <w:rsid w:val="00EF59DC"/>
    <w:rsid w:val="00EF5ACF"/>
    <w:rsid w:val="00F00133"/>
    <w:rsid w:val="00F003B7"/>
    <w:rsid w:val="00F024A4"/>
    <w:rsid w:val="00F029EC"/>
    <w:rsid w:val="00F02FEB"/>
    <w:rsid w:val="00F033EC"/>
    <w:rsid w:val="00F04F68"/>
    <w:rsid w:val="00F05F94"/>
    <w:rsid w:val="00F061BB"/>
    <w:rsid w:val="00F103CF"/>
    <w:rsid w:val="00F109E4"/>
    <w:rsid w:val="00F12670"/>
    <w:rsid w:val="00F12FBE"/>
    <w:rsid w:val="00F13D89"/>
    <w:rsid w:val="00F14B27"/>
    <w:rsid w:val="00F2051A"/>
    <w:rsid w:val="00F22005"/>
    <w:rsid w:val="00F24375"/>
    <w:rsid w:val="00F243E0"/>
    <w:rsid w:val="00F24FC2"/>
    <w:rsid w:val="00F27ADD"/>
    <w:rsid w:val="00F3045C"/>
    <w:rsid w:val="00F306C0"/>
    <w:rsid w:val="00F3148D"/>
    <w:rsid w:val="00F32113"/>
    <w:rsid w:val="00F325C5"/>
    <w:rsid w:val="00F32FE0"/>
    <w:rsid w:val="00F35298"/>
    <w:rsid w:val="00F3665D"/>
    <w:rsid w:val="00F414C1"/>
    <w:rsid w:val="00F42714"/>
    <w:rsid w:val="00F469D2"/>
    <w:rsid w:val="00F46A34"/>
    <w:rsid w:val="00F46EF8"/>
    <w:rsid w:val="00F47333"/>
    <w:rsid w:val="00F47E37"/>
    <w:rsid w:val="00F53BC1"/>
    <w:rsid w:val="00F53C07"/>
    <w:rsid w:val="00F54B65"/>
    <w:rsid w:val="00F56A14"/>
    <w:rsid w:val="00F6355F"/>
    <w:rsid w:val="00F637C4"/>
    <w:rsid w:val="00F640B6"/>
    <w:rsid w:val="00F6653E"/>
    <w:rsid w:val="00F66DF2"/>
    <w:rsid w:val="00F67A54"/>
    <w:rsid w:val="00F702E4"/>
    <w:rsid w:val="00F71FBE"/>
    <w:rsid w:val="00F72519"/>
    <w:rsid w:val="00F74660"/>
    <w:rsid w:val="00F74C1A"/>
    <w:rsid w:val="00F74CA2"/>
    <w:rsid w:val="00F75AEA"/>
    <w:rsid w:val="00F80677"/>
    <w:rsid w:val="00F80B5A"/>
    <w:rsid w:val="00F80E40"/>
    <w:rsid w:val="00F834A2"/>
    <w:rsid w:val="00F848D9"/>
    <w:rsid w:val="00F875C3"/>
    <w:rsid w:val="00F90AB6"/>
    <w:rsid w:val="00F90E40"/>
    <w:rsid w:val="00F93C9A"/>
    <w:rsid w:val="00F95D14"/>
    <w:rsid w:val="00F96AF9"/>
    <w:rsid w:val="00F97CF7"/>
    <w:rsid w:val="00FA1430"/>
    <w:rsid w:val="00FA1624"/>
    <w:rsid w:val="00FA4AF7"/>
    <w:rsid w:val="00FA5B82"/>
    <w:rsid w:val="00FA639E"/>
    <w:rsid w:val="00FA707B"/>
    <w:rsid w:val="00FB2826"/>
    <w:rsid w:val="00FB696F"/>
    <w:rsid w:val="00FB6CAF"/>
    <w:rsid w:val="00FC0F0A"/>
    <w:rsid w:val="00FC18AA"/>
    <w:rsid w:val="00FC1EBB"/>
    <w:rsid w:val="00FC1FCA"/>
    <w:rsid w:val="00FC23B7"/>
    <w:rsid w:val="00FC25E4"/>
    <w:rsid w:val="00FC3C81"/>
    <w:rsid w:val="00FC4211"/>
    <w:rsid w:val="00FC4EF7"/>
    <w:rsid w:val="00FC5671"/>
    <w:rsid w:val="00FD0824"/>
    <w:rsid w:val="00FD119B"/>
    <w:rsid w:val="00FD1281"/>
    <w:rsid w:val="00FD1622"/>
    <w:rsid w:val="00FD178D"/>
    <w:rsid w:val="00FD1EDC"/>
    <w:rsid w:val="00FD66D3"/>
    <w:rsid w:val="00FD7502"/>
    <w:rsid w:val="00FE1DEE"/>
    <w:rsid w:val="00FE5C86"/>
    <w:rsid w:val="00FE60A6"/>
    <w:rsid w:val="00FF1FCB"/>
    <w:rsid w:val="00FF2126"/>
    <w:rsid w:val="00FF5755"/>
    <w:rsid w:val="00FF5F7A"/>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2E8A0962"/>
  <w15:docId w15:val="{CE86F18A-527F-4450-A6BA-9D1CDCA1F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E560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uiPriority w:val="9"/>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uiPriority w:val="9"/>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626FDE"/>
    <w:pPr>
      <w:spacing w:before="3120"/>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626FDE"/>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626FDE"/>
    <w:pPr>
      <w:framePr w:hSpace="180" w:wrap="around" w:vAnchor="page" w:hAnchor="text" w:y="3316"/>
      <w:numPr>
        <w:ilvl w:val="1"/>
      </w:numPr>
      <w:spacing w:after="36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626FD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626FDE"/>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626FDE"/>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unhideWhenUsed/>
    <w:rsid w:val="00EC463D"/>
    <w:rPr>
      <w:sz w:val="16"/>
      <w:szCs w:val="16"/>
    </w:rPr>
  </w:style>
  <w:style w:type="paragraph" w:styleId="CommentText">
    <w:name w:val="annotation text"/>
    <w:aliases w:val="Comment Text Char1 Char,Comment Text Char Char Char,Comment Text Char1"/>
    <w:basedOn w:val="Normal"/>
    <w:link w:val="CommentTextChar"/>
    <w:uiPriority w:val="99"/>
    <w:unhideWhenUsed/>
    <w:rsid w:val="00EC463D"/>
    <w:pPr>
      <w:spacing w:line="240" w:lineRule="auto"/>
    </w:pPr>
    <w:rPr>
      <w:sz w:val="20"/>
      <w:szCs w:val="20"/>
    </w:rPr>
  </w:style>
  <w:style w:type="character" w:customStyle="1" w:styleId="CommentTextChar">
    <w:name w:val="Comment Text Char"/>
    <w:aliases w:val="Comment Text Char1 Char Char,Comment Text Char Char Char Char,Comment Text Char1 Char1"/>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FigureCaption">
    <w:name w:val="Figure Caption"/>
    <w:basedOn w:val="Normal"/>
    <w:qFormat/>
    <w:rsid w:val="007E7504"/>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7E7504"/>
    <w:pPr>
      <w:spacing w:after="240"/>
    </w:pPr>
    <w:rPr>
      <w:sz w:val="17"/>
    </w:rPr>
  </w:style>
  <w:style w:type="table" w:customStyle="1" w:styleId="TableTGA2">
    <w:name w:val="Table TGA 2"/>
    <w:basedOn w:val="TableNormal"/>
    <w:uiPriority w:val="99"/>
    <w:rsid w:val="007E7504"/>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7E7504"/>
    <w:pPr>
      <w:adjustRightInd w:val="0"/>
      <w:snapToGrid w:val="0"/>
      <w:spacing w:before="180" w:after="180"/>
    </w:pPr>
    <w:rPr>
      <w:rFonts w:eastAsia="MS Mincho"/>
      <w:b/>
      <w:szCs w:val="20"/>
      <w:lang w:eastAsia="ja-JP"/>
    </w:rPr>
  </w:style>
  <w:style w:type="paragraph" w:customStyle="1" w:styleId="Addressee">
    <w:name w:val="Addressee"/>
    <w:basedOn w:val="Normal"/>
    <w:qFormat/>
    <w:rsid w:val="007E7504"/>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7E7504"/>
    <w:rPr>
      <w:rFonts w:ascii="Arial" w:hAnsi="Arial"/>
      <w:color w:val="002C47"/>
      <w:sz w:val="14"/>
    </w:rPr>
  </w:style>
  <w:style w:type="paragraph" w:customStyle="1" w:styleId="BodyCopy">
    <w:name w:val="Body Copy"/>
    <w:basedOn w:val="Normal"/>
    <w:qFormat/>
    <w:rsid w:val="007E7504"/>
    <w:pPr>
      <w:adjustRightInd w:val="0"/>
      <w:snapToGrid w:val="0"/>
      <w:spacing w:before="180" w:after="180"/>
    </w:pPr>
    <w:rPr>
      <w:rFonts w:eastAsia="MS Mincho"/>
      <w:szCs w:val="20"/>
      <w:lang w:eastAsia="ja-JP"/>
    </w:rPr>
  </w:style>
  <w:style w:type="paragraph" w:styleId="ListParagraph">
    <w:name w:val="List Paragraph"/>
    <w:basedOn w:val="Normal"/>
    <w:uiPriority w:val="34"/>
    <w:qFormat/>
    <w:rsid w:val="007E7504"/>
    <w:pPr>
      <w:adjustRightInd w:val="0"/>
      <w:snapToGrid w:val="0"/>
      <w:spacing w:before="180" w:after="180"/>
      <w:ind w:left="720"/>
      <w:contextualSpacing/>
    </w:pPr>
    <w:rPr>
      <w:rFonts w:eastAsia="MS Mincho"/>
      <w:szCs w:val="20"/>
      <w:lang w:eastAsia="ja-JP"/>
    </w:rPr>
  </w:style>
  <w:style w:type="paragraph" w:styleId="DocumentMap">
    <w:name w:val="Document Map"/>
    <w:basedOn w:val="Normal"/>
    <w:link w:val="DocumentMapChar"/>
    <w:uiPriority w:val="99"/>
    <w:semiHidden/>
    <w:unhideWhenUsed/>
    <w:rsid w:val="007E7504"/>
    <w:pPr>
      <w:adjustRightInd w:val="0"/>
      <w:snapToGrid w:val="0"/>
      <w:spacing w:before="0" w:after="0" w:line="240" w:lineRule="auto"/>
    </w:pPr>
    <w:rPr>
      <w:rFonts w:ascii="Tahoma" w:eastAsia="MS Mincho" w:hAnsi="Tahoma" w:cs="Tahoma"/>
      <w:sz w:val="16"/>
      <w:szCs w:val="16"/>
      <w:lang w:eastAsia="ja-JP"/>
    </w:rPr>
  </w:style>
  <w:style w:type="character" w:customStyle="1" w:styleId="DocumentMapChar">
    <w:name w:val="Document Map Char"/>
    <w:basedOn w:val="DefaultParagraphFont"/>
    <w:link w:val="DocumentMap"/>
    <w:uiPriority w:val="99"/>
    <w:semiHidden/>
    <w:rsid w:val="007E7504"/>
    <w:rPr>
      <w:rFonts w:ascii="Tahoma" w:eastAsia="MS Mincho" w:hAnsi="Tahoma" w:cs="Tahoma"/>
      <w:sz w:val="16"/>
      <w:szCs w:val="16"/>
      <w:lang w:eastAsia="ja-JP"/>
    </w:rPr>
  </w:style>
  <w:style w:type="paragraph" w:customStyle="1" w:styleId="Default">
    <w:name w:val="Default"/>
    <w:rsid w:val="007E750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34">
    <w:name w:val="CM34"/>
    <w:basedOn w:val="Default"/>
    <w:next w:val="Default"/>
    <w:uiPriority w:val="99"/>
    <w:rsid w:val="007E7504"/>
    <w:rPr>
      <w:rFonts w:ascii="OESYRT+TimesNewRoman" w:hAnsi="OESYRT+TimesNewRoman" w:cstheme="minorBidi"/>
      <w:color w:val="auto"/>
    </w:rPr>
  </w:style>
  <w:style w:type="character" w:customStyle="1" w:styleId="citation">
    <w:name w:val="citation"/>
    <w:basedOn w:val="DefaultParagraphFont"/>
    <w:rsid w:val="007E7504"/>
  </w:style>
  <w:style w:type="paragraph" w:styleId="NormalWeb">
    <w:name w:val="Normal (Web)"/>
    <w:basedOn w:val="Normal"/>
    <w:uiPriority w:val="99"/>
    <w:unhideWhenUsed/>
    <w:rsid w:val="007E7504"/>
    <w:pPr>
      <w:spacing w:before="100" w:beforeAutospacing="1" w:after="100" w:afterAutospacing="1" w:line="336" w:lineRule="atLeast"/>
    </w:pPr>
    <w:rPr>
      <w:rFonts w:ascii="Times New Roman" w:eastAsia="Times New Roman" w:hAnsi="Times New Roman"/>
      <w:sz w:val="17"/>
      <w:szCs w:val="17"/>
      <w:lang w:eastAsia="en-AU"/>
    </w:rPr>
  </w:style>
  <w:style w:type="paragraph" w:customStyle="1" w:styleId="Tabletitle0">
    <w:name w:val="Table title"/>
    <w:basedOn w:val="Normal"/>
    <w:next w:val="Normal"/>
    <w:uiPriority w:val="99"/>
    <w:rsid w:val="0029364F"/>
    <w:pPr>
      <w:keepNext/>
      <w:spacing w:after="180"/>
      <w:outlineLvl w:val="4"/>
    </w:pPr>
    <w:rPr>
      <w:rFonts w:cstheme="minorBidi"/>
      <w:b/>
    </w:rPr>
  </w:style>
  <w:style w:type="character" w:styleId="Emphasis">
    <w:name w:val="Emphasis"/>
    <w:uiPriority w:val="20"/>
    <w:qFormat/>
    <w:rsid w:val="00A11F1A"/>
    <w:rPr>
      <w:i/>
      <w:iCs/>
    </w:rPr>
  </w:style>
  <w:style w:type="paragraph" w:customStyle="1" w:styleId="Bulletlist">
    <w:name w:val="Bullet list"/>
    <w:basedOn w:val="Normal"/>
    <w:link w:val="BulletlistChar"/>
    <w:qFormat/>
    <w:rsid w:val="00856ED2"/>
    <w:pPr>
      <w:numPr>
        <w:numId w:val="34"/>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856ED2"/>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611979"/>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611979"/>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611979"/>
    <w:rPr>
      <w:rFonts w:ascii="Cambria" w:eastAsia="Times New Roman" w:hAnsi="Cambria" w:cs="Times New Roman"/>
      <w:b/>
      <w:snapToGrid w:val="0"/>
      <w:kern w:val="16"/>
      <w:sz w:val="20"/>
      <w:szCs w:val="24"/>
    </w:rPr>
  </w:style>
  <w:style w:type="paragraph" w:customStyle="1" w:styleId="Standard">
    <w:name w:val="Standard"/>
    <w:basedOn w:val="Normal"/>
    <w:link w:val="StandardChar"/>
    <w:qFormat/>
    <w:rsid w:val="00611979"/>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611979"/>
    <w:rPr>
      <w:rFonts w:ascii="Cambria" w:eastAsia="Times New Roman" w:hAnsi="Cambria" w:cs="Times New Roman"/>
      <w:snapToGrid w:val="0"/>
      <w:kern w:val="16"/>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83706">
      <w:bodyDiv w:val="1"/>
      <w:marLeft w:val="0"/>
      <w:marRight w:val="0"/>
      <w:marTop w:val="0"/>
      <w:marBottom w:val="0"/>
      <w:divBdr>
        <w:top w:val="none" w:sz="0" w:space="0" w:color="auto"/>
        <w:left w:val="none" w:sz="0" w:space="0" w:color="auto"/>
        <w:bottom w:val="none" w:sz="0" w:space="0" w:color="auto"/>
        <w:right w:val="none" w:sz="0" w:space="0" w:color="auto"/>
      </w:divBdr>
    </w:div>
    <w:div w:id="83457559">
      <w:bodyDiv w:val="1"/>
      <w:marLeft w:val="0"/>
      <w:marRight w:val="0"/>
      <w:marTop w:val="0"/>
      <w:marBottom w:val="0"/>
      <w:divBdr>
        <w:top w:val="none" w:sz="0" w:space="0" w:color="auto"/>
        <w:left w:val="none" w:sz="0" w:space="0" w:color="auto"/>
        <w:bottom w:val="none" w:sz="0" w:space="0" w:color="auto"/>
        <w:right w:val="none" w:sz="0" w:space="0" w:color="auto"/>
      </w:divBdr>
    </w:div>
    <w:div w:id="115948497">
      <w:bodyDiv w:val="1"/>
      <w:marLeft w:val="0"/>
      <w:marRight w:val="0"/>
      <w:marTop w:val="0"/>
      <w:marBottom w:val="0"/>
      <w:divBdr>
        <w:top w:val="none" w:sz="0" w:space="0" w:color="auto"/>
        <w:left w:val="none" w:sz="0" w:space="0" w:color="auto"/>
        <w:bottom w:val="none" w:sz="0" w:space="0" w:color="auto"/>
        <w:right w:val="none" w:sz="0" w:space="0" w:color="auto"/>
      </w:divBdr>
    </w:div>
    <w:div w:id="132987027">
      <w:bodyDiv w:val="1"/>
      <w:marLeft w:val="0"/>
      <w:marRight w:val="0"/>
      <w:marTop w:val="0"/>
      <w:marBottom w:val="0"/>
      <w:divBdr>
        <w:top w:val="none" w:sz="0" w:space="0" w:color="auto"/>
        <w:left w:val="none" w:sz="0" w:space="0" w:color="auto"/>
        <w:bottom w:val="none" w:sz="0" w:space="0" w:color="auto"/>
        <w:right w:val="none" w:sz="0" w:space="0" w:color="auto"/>
      </w:divBdr>
    </w:div>
    <w:div w:id="162548681">
      <w:bodyDiv w:val="1"/>
      <w:marLeft w:val="0"/>
      <w:marRight w:val="0"/>
      <w:marTop w:val="0"/>
      <w:marBottom w:val="0"/>
      <w:divBdr>
        <w:top w:val="none" w:sz="0" w:space="0" w:color="auto"/>
        <w:left w:val="none" w:sz="0" w:space="0" w:color="auto"/>
        <w:bottom w:val="none" w:sz="0" w:space="0" w:color="auto"/>
        <w:right w:val="none" w:sz="0" w:space="0" w:color="auto"/>
      </w:divBdr>
    </w:div>
    <w:div w:id="274875760">
      <w:bodyDiv w:val="1"/>
      <w:marLeft w:val="0"/>
      <w:marRight w:val="0"/>
      <w:marTop w:val="0"/>
      <w:marBottom w:val="0"/>
      <w:divBdr>
        <w:top w:val="none" w:sz="0" w:space="0" w:color="auto"/>
        <w:left w:val="none" w:sz="0" w:space="0" w:color="auto"/>
        <w:bottom w:val="none" w:sz="0" w:space="0" w:color="auto"/>
        <w:right w:val="none" w:sz="0" w:space="0" w:color="auto"/>
      </w:divBdr>
    </w:div>
    <w:div w:id="283390583">
      <w:bodyDiv w:val="1"/>
      <w:marLeft w:val="0"/>
      <w:marRight w:val="0"/>
      <w:marTop w:val="0"/>
      <w:marBottom w:val="0"/>
      <w:divBdr>
        <w:top w:val="none" w:sz="0" w:space="0" w:color="auto"/>
        <w:left w:val="none" w:sz="0" w:space="0" w:color="auto"/>
        <w:bottom w:val="none" w:sz="0" w:space="0" w:color="auto"/>
        <w:right w:val="none" w:sz="0" w:space="0" w:color="auto"/>
      </w:divBdr>
    </w:div>
    <w:div w:id="309788876">
      <w:bodyDiv w:val="1"/>
      <w:marLeft w:val="0"/>
      <w:marRight w:val="0"/>
      <w:marTop w:val="0"/>
      <w:marBottom w:val="0"/>
      <w:divBdr>
        <w:top w:val="none" w:sz="0" w:space="0" w:color="auto"/>
        <w:left w:val="none" w:sz="0" w:space="0" w:color="auto"/>
        <w:bottom w:val="none" w:sz="0" w:space="0" w:color="auto"/>
        <w:right w:val="none" w:sz="0" w:space="0" w:color="auto"/>
      </w:divBdr>
      <w:divsChild>
        <w:div w:id="690883665">
          <w:marLeft w:val="0"/>
          <w:marRight w:val="0"/>
          <w:marTop w:val="0"/>
          <w:marBottom w:val="0"/>
          <w:divBdr>
            <w:top w:val="none" w:sz="0" w:space="0" w:color="auto"/>
            <w:left w:val="none" w:sz="0" w:space="0" w:color="auto"/>
            <w:bottom w:val="none" w:sz="0" w:space="0" w:color="auto"/>
            <w:right w:val="none" w:sz="0" w:space="0" w:color="auto"/>
          </w:divBdr>
          <w:divsChild>
            <w:div w:id="146094846">
              <w:marLeft w:val="0"/>
              <w:marRight w:val="0"/>
              <w:marTop w:val="0"/>
              <w:marBottom w:val="0"/>
              <w:divBdr>
                <w:top w:val="none" w:sz="0" w:space="0" w:color="auto"/>
                <w:left w:val="none" w:sz="0" w:space="0" w:color="auto"/>
                <w:bottom w:val="none" w:sz="0" w:space="0" w:color="auto"/>
                <w:right w:val="none" w:sz="0" w:space="0" w:color="auto"/>
              </w:divBdr>
              <w:divsChild>
                <w:div w:id="1618489504">
                  <w:marLeft w:val="0"/>
                  <w:marRight w:val="0"/>
                  <w:marTop w:val="0"/>
                  <w:marBottom w:val="0"/>
                  <w:divBdr>
                    <w:top w:val="none" w:sz="0" w:space="0" w:color="auto"/>
                    <w:left w:val="none" w:sz="0" w:space="0" w:color="auto"/>
                    <w:bottom w:val="none" w:sz="0" w:space="0" w:color="auto"/>
                    <w:right w:val="none" w:sz="0" w:space="0" w:color="auto"/>
                  </w:divBdr>
                  <w:divsChild>
                    <w:div w:id="11617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359625">
      <w:bodyDiv w:val="1"/>
      <w:marLeft w:val="0"/>
      <w:marRight w:val="0"/>
      <w:marTop w:val="0"/>
      <w:marBottom w:val="0"/>
      <w:divBdr>
        <w:top w:val="none" w:sz="0" w:space="0" w:color="auto"/>
        <w:left w:val="none" w:sz="0" w:space="0" w:color="auto"/>
        <w:bottom w:val="none" w:sz="0" w:space="0" w:color="auto"/>
        <w:right w:val="none" w:sz="0" w:space="0" w:color="auto"/>
      </w:divBdr>
      <w:divsChild>
        <w:div w:id="1833176266">
          <w:marLeft w:val="0"/>
          <w:marRight w:val="0"/>
          <w:marTop w:val="0"/>
          <w:marBottom w:val="0"/>
          <w:divBdr>
            <w:top w:val="none" w:sz="0" w:space="0" w:color="auto"/>
            <w:left w:val="none" w:sz="0" w:space="0" w:color="auto"/>
            <w:bottom w:val="none" w:sz="0" w:space="0" w:color="auto"/>
            <w:right w:val="none" w:sz="0" w:space="0" w:color="auto"/>
          </w:divBdr>
          <w:divsChild>
            <w:div w:id="1397632470">
              <w:marLeft w:val="0"/>
              <w:marRight w:val="0"/>
              <w:marTop w:val="0"/>
              <w:marBottom w:val="0"/>
              <w:divBdr>
                <w:top w:val="none" w:sz="0" w:space="0" w:color="auto"/>
                <w:left w:val="none" w:sz="0" w:space="0" w:color="auto"/>
                <w:bottom w:val="none" w:sz="0" w:space="0" w:color="auto"/>
                <w:right w:val="none" w:sz="0" w:space="0" w:color="auto"/>
              </w:divBdr>
              <w:divsChild>
                <w:div w:id="16221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4439">
      <w:bodyDiv w:val="1"/>
      <w:marLeft w:val="0"/>
      <w:marRight w:val="0"/>
      <w:marTop w:val="0"/>
      <w:marBottom w:val="0"/>
      <w:divBdr>
        <w:top w:val="none" w:sz="0" w:space="0" w:color="auto"/>
        <w:left w:val="none" w:sz="0" w:space="0" w:color="auto"/>
        <w:bottom w:val="none" w:sz="0" w:space="0" w:color="auto"/>
        <w:right w:val="none" w:sz="0" w:space="0" w:color="auto"/>
      </w:divBdr>
    </w:div>
    <w:div w:id="549264291">
      <w:bodyDiv w:val="1"/>
      <w:marLeft w:val="0"/>
      <w:marRight w:val="0"/>
      <w:marTop w:val="0"/>
      <w:marBottom w:val="0"/>
      <w:divBdr>
        <w:top w:val="none" w:sz="0" w:space="0" w:color="auto"/>
        <w:left w:val="none" w:sz="0" w:space="0" w:color="auto"/>
        <w:bottom w:val="none" w:sz="0" w:space="0" w:color="auto"/>
        <w:right w:val="none" w:sz="0" w:space="0" w:color="auto"/>
      </w:divBdr>
    </w:div>
    <w:div w:id="598877783">
      <w:bodyDiv w:val="1"/>
      <w:marLeft w:val="0"/>
      <w:marRight w:val="0"/>
      <w:marTop w:val="0"/>
      <w:marBottom w:val="0"/>
      <w:divBdr>
        <w:top w:val="none" w:sz="0" w:space="0" w:color="auto"/>
        <w:left w:val="none" w:sz="0" w:space="0" w:color="auto"/>
        <w:bottom w:val="none" w:sz="0" w:space="0" w:color="auto"/>
        <w:right w:val="none" w:sz="0" w:space="0" w:color="auto"/>
      </w:divBdr>
    </w:div>
    <w:div w:id="629480686">
      <w:bodyDiv w:val="1"/>
      <w:marLeft w:val="0"/>
      <w:marRight w:val="0"/>
      <w:marTop w:val="0"/>
      <w:marBottom w:val="0"/>
      <w:divBdr>
        <w:top w:val="none" w:sz="0" w:space="0" w:color="auto"/>
        <w:left w:val="none" w:sz="0" w:space="0" w:color="auto"/>
        <w:bottom w:val="none" w:sz="0" w:space="0" w:color="auto"/>
        <w:right w:val="none" w:sz="0" w:space="0" w:color="auto"/>
      </w:divBdr>
    </w:div>
    <w:div w:id="718016464">
      <w:bodyDiv w:val="1"/>
      <w:marLeft w:val="0"/>
      <w:marRight w:val="0"/>
      <w:marTop w:val="0"/>
      <w:marBottom w:val="0"/>
      <w:divBdr>
        <w:top w:val="none" w:sz="0" w:space="0" w:color="auto"/>
        <w:left w:val="none" w:sz="0" w:space="0" w:color="auto"/>
        <w:bottom w:val="none" w:sz="0" w:space="0" w:color="auto"/>
        <w:right w:val="none" w:sz="0" w:space="0" w:color="auto"/>
      </w:divBdr>
    </w:div>
    <w:div w:id="735013210">
      <w:bodyDiv w:val="1"/>
      <w:marLeft w:val="0"/>
      <w:marRight w:val="0"/>
      <w:marTop w:val="0"/>
      <w:marBottom w:val="0"/>
      <w:divBdr>
        <w:top w:val="none" w:sz="0" w:space="0" w:color="auto"/>
        <w:left w:val="none" w:sz="0" w:space="0" w:color="auto"/>
        <w:bottom w:val="none" w:sz="0" w:space="0" w:color="auto"/>
        <w:right w:val="none" w:sz="0" w:space="0" w:color="auto"/>
      </w:divBdr>
    </w:div>
    <w:div w:id="894394346">
      <w:bodyDiv w:val="1"/>
      <w:marLeft w:val="0"/>
      <w:marRight w:val="0"/>
      <w:marTop w:val="0"/>
      <w:marBottom w:val="0"/>
      <w:divBdr>
        <w:top w:val="none" w:sz="0" w:space="0" w:color="auto"/>
        <w:left w:val="none" w:sz="0" w:space="0" w:color="auto"/>
        <w:bottom w:val="none" w:sz="0" w:space="0" w:color="auto"/>
        <w:right w:val="none" w:sz="0" w:space="0" w:color="auto"/>
      </w:divBdr>
    </w:div>
    <w:div w:id="953287532">
      <w:bodyDiv w:val="1"/>
      <w:marLeft w:val="0"/>
      <w:marRight w:val="0"/>
      <w:marTop w:val="0"/>
      <w:marBottom w:val="0"/>
      <w:divBdr>
        <w:top w:val="none" w:sz="0" w:space="0" w:color="auto"/>
        <w:left w:val="none" w:sz="0" w:space="0" w:color="auto"/>
        <w:bottom w:val="none" w:sz="0" w:space="0" w:color="auto"/>
        <w:right w:val="none" w:sz="0" w:space="0" w:color="auto"/>
      </w:divBdr>
      <w:divsChild>
        <w:div w:id="1423066038">
          <w:marLeft w:val="0"/>
          <w:marRight w:val="0"/>
          <w:marTop w:val="0"/>
          <w:marBottom w:val="0"/>
          <w:divBdr>
            <w:top w:val="none" w:sz="0" w:space="0" w:color="auto"/>
            <w:left w:val="none" w:sz="0" w:space="0" w:color="auto"/>
            <w:bottom w:val="none" w:sz="0" w:space="0" w:color="auto"/>
            <w:right w:val="none" w:sz="0" w:space="0" w:color="auto"/>
          </w:divBdr>
          <w:divsChild>
            <w:div w:id="1213615562">
              <w:marLeft w:val="0"/>
              <w:marRight w:val="0"/>
              <w:marTop w:val="0"/>
              <w:marBottom w:val="0"/>
              <w:divBdr>
                <w:top w:val="none" w:sz="0" w:space="0" w:color="auto"/>
                <w:left w:val="none" w:sz="0" w:space="0" w:color="auto"/>
                <w:bottom w:val="none" w:sz="0" w:space="0" w:color="auto"/>
                <w:right w:val="none" w:sz="0" w:space="0" w:color="auto"/>
              </w:divBdr>
              <w:divsChild>
                <w:div w:id="249508776">
                  <w:marLeft w:val="0"/>
                  <w:marRight w:val="0"/>
                  <w:marTop w:val="0"/>
                  <w:marBottom w:val="0"/>
                  <w:divBdr>
                    <w:top w:val="none" w:sz="0" w:space="0" w:color="auto"/>
                    <w:left w:val="none" w:sz="0" w:space="0" w:color="auto"/>
                    <w:bottom w:val="none" w:sz="0" w:space="0" w:color="auto"/>
                    <w:right w:val="none" w:sz="0" w:space="0" w:color="auto"/>
                  </w:divBdr>
                  <w:divsChild>
                    <w:div w:id="206367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484039">
      <w:bodyDiv w:val="1"/>
      <w:marLeft w:val="0"/>
      <w:marRight w:val="0"/>
      <w:marTop w:val="0"/>
      <w:marBottom w:val="0"/>
      <w:divBdr>
        <w:top w:val="none" w:sz="0" w:space="0" w:color="auto"/>
        <w:left w:val="none" w:sz="0" w:space="0" w:color="auto"/>
        <w:bottom w:val="none" w:sz="0" w:space="0" w:color="auto"/>
        <w:right w:val="none" w:sz="0" w:space="0" w:color="auto"/>
      </w:divBdr>
    </w:div>
    <w:div w:id="980420507">
      <w:bodyDiv w:val="1"/>
      <w:marLeft w:val="0"/>
      <w:marRight w:val="0"/>
      <w:marTop w:val="0"/>
      <w:marBottom w:val="0"/>
      <w:divBdr>
        <w:top w:val="none" w:sz="0" w:space="0" w:color="auto"/>
        <w:left w:val="none" w:sz="0" w:space="0" w:color="auto"/>
        <w:bottom w:val="none" w:sz="0" w:space="0" w:color="auto"/>
        <w:right w:val="none" w:sz="0" w:space="0" w:color="auto"/>
      </w:divBdr>
    </w:div>
    <w:div w:id="1027607877">
      <w:bodyDiv w:val="1"/>
      <w:marLeft w:val="0"/>
      <w:marRight w:val="0"/>
      <w:marTop w:val="0"/>
      <w:marBottom w:val="0"/>
      <w:divBdr>
        <w:top w:val="none" w:sz="0" w:space="0" w:color="auto"/>
        <w:left w:val="none" w:sz="0" w:space="0" w:color="auto"/>
        <w:bottom w:val="none" w:sz="0" w:space="0" w:color="auto"/>
        <w:right w:val="none" w:sz="0" w:space="0" w:color="auto"/>
      </w:divBdr>
    </w:div>
    <w:div w:id="1079130720">
      <w:bodyDiv w:val="1"/>
      <w:marLeft w:val="0"/>
      <w:marRight w:val="0"/>
      <w:marTop w:val="0"/>
      <w:marBottom w:val="0"/>
      <w:divBdr>
        <w:top w:val="none" w:sz="0" w:space="0" w:color="auto"/>
        <w:left w:val="none" w:sz="0" w:space="0" w:color="auto"/>
        <w:bottom w:val="none" w:sz="0" w:space="0" w:color="auto"/>
        <w:right w:val="none" w:sz="0" w:space="0" w:color="auto"/>
      </w:divBdr>
    </w:div>
    <w:div w:id="1088581738">
      <w:bodyDiv w:val="1"/>
      <w:marLeft w:val="0"/>
      <w:marRight w:val="0"/>
      <w:marTop w:val="0"/>
      <w:marBottom w:val="0"/>
      <w:divBdr>
        <w:top w:val="none" w:sz="0" w:space="0" w:color="auto"/>
        <w:left w:val="none" w:sz="0" w:space="0" w:color="auto"/>
        <w:bottom w:val="none" w:sz="0" w:space="0" w:color="auto"/>
        <w:right w:val="none" w:sz="0" w:space="0" w:color="auto"/>
      </w:divBdr>
    </w:div>
    <w:div w:id="1131172567">
      <w:bodyDiv w:val="1"/>
      <w:marLeft w:val="0"/>
      <w:marRight w:val="0"/>
      <w:marTop w:val="0"/>
      <w:marBottom w:val="0"/>
      <w:divBdr>
        <w:top w:val="none" w:sz="0" w:space="0" w:color="auto"/>
        <w:left w:val="none" w:sz="0" w:space="0" w:color="auto"/>
        <w:bottom w:val="none" w:sz="0" w:space="0" w:color="auto"/>
        <w:right w:val="none" w:sz="0" w:space="0" w:color="auto"/>
      </w:divBdr>
      <w:divsChild>
        <w:div w:id="354506943">
          <w:marLeft w:val="0"/>
          <w:marRight w:val="0"/>
          <w:marTop w:val="0"/>
          <w:marBottom w:val="0"/>
          <w:divBdr>
            <w:top w:val="none" w:sz="0" w:space="0" w:color="auto"/>
            <w:left w:val="none" w:sz="0" w:space="0" w:color="auto"/>
            <w:bottom w:val="none" w:sz="0" w:space="0" w:color="auto"/>
            <w:right w:val="none" w:sz="0" w:space="0" w:color="auto"/>
          </w:divBdr>
          <w:divsChild>
            <w:div w:id="796795393">
              <w:marLeft w:val="0"/>
              <w:marRight w:val="0"/>
              <w:marTop w:val="0"/>
              <w:marBottom w:val="0"/>
              <w:divBdr>
                <w:top w:val="none" w:sz="0" w:space="0" w:color="auto"/>
                <w:left w:val="none" w:sz="0" w:space="0" w:color="auto"/>
                <w:bottom w:val="none" w:sz="0" w:space="0" w:color="auto"/>
                <w:right w:val="none" w:sz="0" w:space="0" w:color="auto"/>
              </w:divBdr>
              <w:divsChild>
                <w:div w:id="14062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23792">
      <w:bodyDiv w:val="1"/>
      <w:marLeft w:val="0"/>
      <w:marRight w:val="0"/>
      <w:marTop w:val="0"/>
      <w:marBottom w:val="0"/>
      <w:divBdr>
        <w:top w:val="none" w:sz="0" w:space="0" w:color="auto"/>
        <w:left w:val="none" w:sz="0" w:space="0" w:color="auto"/>
        <w:bottom w:val="none" w:sz="0" w:space="0" w:color="auto"/>
        <w:right w:val="none" w:sz="0" w:space="0" w:color="auto"/>
      </w:divBdr>
    </w:div>
    <w:div w:id="1186403004">
      <w:bodyDiv w:val="1"/>
      <w:marLeft w:val="0"/>
      <w:marRight w:val="0"/>
      <w:marTop w:val="0"/>
      <w:marBottom w:val="0"/>
      <w:divBdr>
        <w:top w:val="none" w:sz="0" w:space="0" w:color="auto"/>
        <w:left w:val="none" w:sz="0" w:space="0" w:color="auto"/>
        <w:bottom w:val="none" w:sz="0" w:space="0" w:color="auto"/>
        <w:right w:val="none" w:sz="0" w:space="0" w:color="auto"/>
      </w:divBdr>
    </w:div>
    <w:div w:id="1196235165">
      <w:bodyDiv w:val="1"/>
      <w:marLeft w:val="0"/>
      <w:marRight w:val="0"/>
      <w:marTop w:val="0"/>
      <w:marBottom w:val="0"/>
      <w:divBdr>
        <w:top w:val="none" w:sz="0" w:space="0" w:color="auto"/>
        <w:left w:val="none" w:sz="0" w:space="0" w:color="auto"/>
        <w:bottom w:val="none" w:sz="0" w:space="0" w:color="auto"/>
        <w:right w:val="none" w:sz="0" w:space="0" w:color="auto"/>
      </w:divBdr>
    </w:div>
    <w:div w:id="1200702198">
      <w:bodyDiv w:val="1"/>
      <w:marLeft w:val="0"/>
      <w:marRight w:val="0"/>
      <w:marTop w:val="0"/>
      <w:marBottom w:val="0"/>
      <w:divBdr>
        <w:top w:val="none" w:sz="0" w:space="0" w:color="auto"/>
        <w:left w:val="none" w:sz="0" w:space="0" w:color="auto"/>
        <w:bottom w:val="none" w:sz="0" w:space="0" w:color="auto"/>
        <w:right w:val="none" w:sz="0" w:space="0" w:color="auto"/>
      </w:divBdr>
    </w:div>
    <w:div w:id="1290890928">
      <w:bodyDiv w:val="1"/>
      <w:marLeft w:val="0"/>
      <w:marRight w:val="0"/>
      <w:marTop w:val="0"/>
      <w:marBottom w:val="0"/>
      <w:divBdr>
        <w:top w:val="none" w:sz="0" w:space="0" w:color="auto"/>
        <w:left w:val="none" w:sz="0" w:space="0" w:color="auto"/>
        <w:bottom w:val="none" w:sz="0" w:space="0" w:color="auto"/>
        <w:right w:val="none" w:sz="0" w:space="0" w:color="auto"/>
      </w:divBdr>
    </w:div>
    <w:div w:id="1292515920">
      <w:bodyDiv w:val="1"/>
      <w:marLeft w:val="0"/>
      <w:marRight w:val="0"/>
      <w:marTop w:val="0"/>
      <w:marBottom w:val="0"/>
      <w:divBdr>
        <w:top w:val="none" w:sz="0" w:space="0" w:color="auto"/>
        <w:left w:val="none" w:sz="0" w:space="0" w:color="auto"/>
        <w:bottom w:val="none" w:sz="0" w:space="0" w:color="auto"/>
        <w:right w:val="none" w:sz="0" w:space="0" w:color="auto"/>
      </w:divBdr>
    </w:div>
    <w:div w:id="1312709950">
      <w:bodyDiv w:val="1"/>
      <w:marLeft w:val="0"/>
      <w:marRight w:val="0"/>
      <w:marTop w:val="0"/>
      <w:marBottom w:val="0"/>
      <w:divBdr>
        <w:top w:val="none" w:sz="0" w:space="0" w:color="auto"/>
        <w:left w:val="none" w:sz="0" w:space="0" w:color="auto"/>
        <w:bottom w:val="none" w:sz="0" w:space="0" w:color="auto"/>
        <w:right w:val="none" w:sz="0" w:space="0" w:color="auto"/>
      </w:divBdr>
    </w:div>
    <w:div w:id="1341662336">
      <w:bodyDiv w:val="1"/>
      <w:marLeft w:val="0"/>
      <w:marRight w:val="0"/>
      <w:marTop w:val="0"/>
      <w:marBottom w:val="0"/>
      <w:divBdr>
        <w:top w:val="none" w:sz="0" w:space="0" w:color="auto"/>
        <w:left w:val="none" w:sz="0" w:space="0" w:color="auto"/>
        <w:bottom w:val="none" w:sz="0" w:space="0" w:color="auto"/>
        <w:right w:val="none" w:sz="0" w:space="0" w:color="auto"/>
      </w:divBdr>
    </w:div>
    <w:div w:id="1415666337">
      <w:bodyDiv w:val="1"/>
      <w:marLeft w:val="0"/>
      <w:marRight w:val="0"/>
      <w:marTop w:val="0"/>
      <w:marBottom w:val="0"/>
      <w:divBdr>
        <w:top w:val="none" w:sz="0" w:space="0" w:color="auto"/>
        <w:left w:val="none" w:sz="0" w:space="0" w:color="auto"/>
        <w:bottom w:val="none" w:sz="0" w:space="0" w:color="auto"/>
        <w:right w:val="none" w:sz="0" w:space="0" w:color="auto"/>
      </w:divBdr>
    </w:div>
    <w:div w:id="1436949137">
      <w:bodyDiv w:val="1"/>
      <w:marLeft w:val="0"/>
      <w:marRight w:val="0"/>
      <w:marTop w:val="0"/>
      <w:marBottom w:val="0"/>
      <w:divBdr>
        <w:top w:val="none" w:sz="0" w:space="0" w:color="auto"/>
        <w:left w:val="none" w:sz="0" w:space="0" w:color="auto"/>
        <w:bottom w:val="none" w:sz="0" w:space="0" w:color="auto"/>
        <w:right w:val="none" w:sz="0" w:space="0" w:color="auto"/>
      </w:divBdr>
      <w:divsChild>
        <w:div w:id="1650161157">
          <w:marLeft w:val="0"/>
          <w:marRight w:val="0"/>
          <w:marTop w:val="0"/>
          <w:marBottom w:val="0"/>
          <w:divBdr>
            <w:top w:val="none" w:sz="0" w:space="0" w:color="auto"/>
            <w:left w:val="none" w:sz="0" w:space="0" w:color="auto"/>
            <w:bottom w:val="none" w:sz="0" w:space="0" w:color="auto"/>
            <w:right w:val="none" w:sz="0" w:space="0" w:color="auto"/>
          </w:divBdr>
          <w:divsChild>
            <w:div w:id="1562671809">
              <w:marLeft w:val="0"/>
              <w:marRight w:val="0"/>
              <w:marTop w:val="0"/>
              <w:marBottom w:val="0"/>
              <w:divBdr>
                <w:top w:val="none" w:sz="0" w:space="0" w:color="auto"/>
                <w:left w:val="none" w:sz="0" w:space="0" w:color="auto"/>
                <w:bottom w:val="none" w:sz="0" w:space="0" w:color="auto"/>
                <w:right w:val="none" w:sz="0" w:space="0" w:color="auto"/>
              </w:divBdr>
              <w:divsChild>
                <w:div w:id="20635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639339">
      <w:bodyDiv w:val="1"/>
      <w:marLeft w:val="0"/>
      <w:marRight w:val="0"/>
      <w:marTop w:val="0"/>
      <w:marBottom w:val="0"/>
      <w:divBdr>
        <w:top w:val="none" w:sz="0" w:space="0" w:color="auto"/>
        <w:left w:val="none" w:sz="0" w:space="0" w:color="auto"/>
        <w:bottom w:val="none" w:sz="0" w:space="0" w:color="auto"/>
        <w:right w:val="none" w:sz="0" w:space="0" w:color="auto"/>
      </w:divBdr>
    </w:div>
    <w:div w:id="1440486016">
      <w:bodyDiv w:val="1"/>
      <w:marLeft w:val="0"/>
      <w:marRight w:val="0"/>
      <w:marTop w:val="0"/>
      <w:marBottom w:val="0"/>
      <w:divBdr>
        <w:top w:val="none" w:sz="0" w:space="0" w:color="auto"/>
        <w:left w:val="none" w:sz="0" w:space="0" w:color="auto"/>
        <w:bottom w:val="none" w:sz="0" w:space="0" w:color="auto"/>
        <w:right w:val="none" w:sz="0" w:space="0" w:color="auto"/>
      </w:divBdr>
      <w:divsChild>
        <w:div w:id="866065435">
          <w:marLeft w:val="0"/>
          <w:marRight w:val="0"/>
          <w:marTop w:val="0"/>
          <w:marBottom w:val="0"/>
          <w:divBdr>
            <w:top w:val="none" w:sz="0" w:space="0" w:color="auto"/>
            <w:left w:val="none" w:sz="0" w:space="0" w:color="auto"/>
            <w:bottom w:val="none" w:sz="0" w:space="0" w:color="auto"/>
            <w:right w:val="none" w:sz="0" w:space="0" w:color="auto"/>
          </w:divBdr>
          <w:divsChild>
            <w:div w:id="1265117291">
              <w:marLeft w:val="0"/>
              <w:marRight w:val="0"/>
              <w:marTop w:val="0"/>
              <w:marBottom w:val="0"/>
              <w:divBdr>
                <w:top w:val="none" w:sz="0" w:space="0" w:color="auto"/>
                <w:left w:val="none" w:sz="0" w:space="0" w:color="auto"/>
                <w:bottom w:val="none" w:sz="0" w:space="0" w:color="auto"/>
                <w:right w:val="none" w:sz="0" w:space="0" w:color="auto"/>
              </w:divBdr>
              <w:divsChild>
                <w:div w:id="11613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80755">
      <w:bodyDiv w:val="1"/>
      <w:marLeft w:val="0"/>
      <w:marRight w:val="0"/>
      <w:marTop w:val="0"/>
      <w:marBottom w:val="0"/>
      <w:divBdr>
        <w:top w:val="none" w:sz="0" w:space="0" w:color="auto"/>
        <w:left w:val="none" w:sz="0" w:space="0" w:color="auto"/>
        <w:bottom w:val="none" w:sz="0" w:space="0" w:color="auto"/>
        <w:right w:val="none" w:sz="0" w:space="0" w:color="auto"/>
      </w:divBdr>
    </w:div>
    <w:div w:id="1504735217">
      <w:bodyDiv w:val="1"/>
      <w:marLeft w:val="0"/>
      <w:marRight w:val="0"/>
      <w:marTop w:val="0"/>
      <w:marBottom w:val="0"/>
      <w:divBdr>
        <w:top w:val="none" w:sz="0" w:space="0" w:color="auto"/>
        <w:left w:val="none" w:sz="0" w:space="0" w:color="auto"/>
        <w:bottom w:val="none" w:sz="0" w:space="0" w:color="auto"/>
        <w:right w:val="none" w:sz="0" w:space="0" w:color="auto"/>
      </w:divBdr>
    </w:div>
    <w:div w:id="1577980115">
      <w:bodyDiv w:val="1"/>
      <w:marLeft w:val="0"/>
      <w:marRight w:val="0"/>
      <w:marTop w:val="0"/>
      <w:marBottom w:val="0"/>
      <w:divBdr>
        <w:top w:val="none" w:sz="0" w:space="0" w:color="auto"/>
        <w:left w:val="none" w:sz="0" w:space="0" w:color="auto"/>
        <w:bottom w:val="none" w:sz="0" w:space="0" w:color="auto"/>
        <w:right w:val="none" w:sz="0" w:space="0" w:color="auto"/>
      </w:divBdr>
    </w:div>
    <w:div w:id="1588033102">
      <w:bodyDiv w:val="1"/>
      <w:marLeft w:val="0"/>
      <w:marRight w:val="0"/>
      <w:marTop w:val="0"/>
      <w:marBottom w:val="0"/>
      <w:divBdr>
        <w:top w:val="none" w:sz="0" w:space="0" w:color="auto"/>
        <w:left w:val="none" w:sz="0" w:space="0" w:color="auto"/>
        <w:bottom w:val="none" w:sz="0" w:space="0" w:color="auto"/>
        <w:right w:val="none" w:sz="0" w:space="0" w:color="auto"/>
      </w:divBdr>
    </w:div>
    <w:div w:id="1633630688">
      <w:bodyDiv w:val="1"/>
      <w:marLeft w:val="0"/>
      <w:marRight w:val="0"/>
      <w:marTop w:val="0"/>
      <w:marBottom w:val="0"/>
      <w:divBdr>
        <w:top w:val="none" w:sz="0" w:space="0" w:color="auto"/>
        <w:left w:val="none" w:sz="0" w:space="0" w:color="auto"/>
        <w:bottom w:val="none" w:sz="0" w:space="0" w:color="auto"/>
        <w:right w:val="none" w:sz="0" w:space="0" w:color="auto"/>
      </w:divBdr>
    </w:div>
    <w:div w:id="1686590313">
      <w:bodyDiv w:val="1"/>
      <w:marLeft w:val="0"/>
      <w:marRight w:val="0"/>
      <w:marTop w:val="0"/>
      <w:marBottom w:val="0"/>
      <w:divBdr>
        <w:top w:val="none" w:sz="0" w:space="0" w:color="auto"/>
        <w:left w:val="none" w:sz="0" w:space="0" w:color="auto"/>
        <w:bottom w:val="none" w:sz="0" w:space="0" w:color="auto"/>
        <w:right w:val="none" w:sz="0" w:space="0" w:color="auto"/>
      </w:divBdr>
    </w:div>
    <w:div w:id="1735660807">
      <w:bodyDiv w:val="1"/>
      <w:marLeft w:val="0"/>
      <w:marRight w:val="0"/>
      <w:marTop w:val="0"/>
      <w:marBottom w:val="0"/>
      <w:divBdr>
        <w:top w:val="none" w:sz="0" w:space="0" w:color="auto"/>
        <w:left w:val="none" w:sz="0" w:space="0" w:color="auto"/>
        <w:bottom w:val="none" w:sz="0" w:space="0" w:color="auto"/>
        <w:right w:val="none" w:sz="0" w:space="0" w:color="auto"/>
      </w:divBdr>
    </w:div>
    <w:div w:id="1757020775">
      <w:bodyDiv w:val="1"/>
      <w:marLeft w:val="0"/>
      <w:marRight w:val="0"/>
      <w:marTop w:val="0"/>
      <w:marBottom w:val="0"/>
      <w:divBdr>
        <w:top w:val="none" w:sz="0" w:space="0" w:color="auto"/>
        <w:left w:val="none" w:sz="0" w:space="0" w:color="auto"/>
        <w:bottom w:val="none" w:sz="0" w:space="0" w:color="auto"/>
        <w:right w:val="none" w:sz="0" w:space="0" w:color="auto"/>
      </w:divBdr>
    </w:div>
    <w:div w:id="1768385832">
      <w:bodyDiv w:val="1"/>
      <w:marLeft w:val="0"/>
      <w:marRight w:val="0"/>
      <w:marTop w:val="0"/>
      <w:marBottom w:val="0"/>
      <w:divBdr>
        <w:top w:val="none" w:sz="0" w:space="0" w:color="auto"/>
        <w:left w:val="none" w:sz="0" w:space="0" w:color="auto"/>
        <w:bottom w:val="none" w:sz="0" w:space="0" w:color="auto"/>
        <w:right w:val="none" w:sz="0" w:space="0" w:color="auto"/>
      </w:divBdr>
    </w:div>
    <w:div w:id="1816799525">
      <w:bodyDiv w:val="1"/>
      <w:marLeft w:val="0"/>
      <w:marRight w:val="0"/>
      <w:marTop w:val="0"/>
      <w:marBottom w:val="0"/>
      <w:divBdr>
        <w:top w:val="none" w:sz="0" w:space="0" w:color="auto"/>
        <w:left w:val="none" w:sz="0" w:space="0" w:color="auto"/>
        <w:bottom w:val="none" w:sz="0" w:space="0" w:color="auto"/>
        <w:right w:val="none" w:sz="0" w:space="0" w:color="auto"/>
      </w:divBdr>
    </w:div>
    <w:div w:id="1930042122">
      <w:bodyDiv w:val="1"/>
      <w:marLeft w:val="0"/>
      <w:marRight w:val="0"/>
      <w:marTop w:val="0"/>
      <w:marBottom w:val="0"/>
      <w:divBdr>
        <w:top w:val="none" w:sz="0" w:space="0" w:color="auto"/>
        <w:left w:val="none" w:sz="0" w:space="0" w:color="auto"/>
        <w:bottom w:val="none" w:sz="0" w:space="0" w:color="auto"/>
        <w:right w:val="none" w:sz="0" w:space="0" w:color="auto"/>
      </w:divBdr>
    </w:div>
    <w:div w:id="1949392340">
      <w:bodyDiv w:val="1"/>
      <w:marLeft w:val="0"/>
      <w:marRight w:val="0"/>
      <w:marTop w:val="0"/>
      <w:marBottom w:val="0"/>
      <w:divBdr>
        <w:top w:val="none" w:sz="0" w:space="0" w:color="auto"/>
        <w:left w:val="none" w:sz="0" w:space="0" w:color="auto"/>
        <w:bottom w:val="none" w:sz="0" w:space="0" w:color="auto"/>
        <w:right w:val="none" w:sz="0" w:space="0" w:color="auto"/>
      </w:divBdr>
    </w:div>
    <w:div w:id="211366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yperlink" Target="https://www.tga.gov.au" TargetMode="Externa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hyperlink" Target="mailto:info@tga.gov.au" TargetMode="External"/><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s://www.tga.gov.au/product-information-pi" TargetMode="External"/><Relationship Id="rId20" Type="http://schemas.openxmlformats.org/officeDocument/2006/relationships/image" Target="media/image6.gif"/><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www.tga.gov.au/product-information-pi" TargetMode="Externa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haematologica.org/content/early/2017/02/27/haematol.2016.159947.abstrac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D70C92264E4342A5C54967916E921C" ma:contentTypeVersion="8" ma:contentTypeDescription="Create a new document." ma:contentTypeScope="" ma:versionID="98a8faa441650c28deb546c499fca773">
  <xsd:schema xmlns:xsd="http://www.w3.org/2001/XMLSchema" xmlns:xs="http://www.w3.org/2001/XMLSchema" xmlns:p="http://schemas.microsoft.com/office/2006/metadata/properties" xmlns:ns3="4b7a8297-944c-4655-a696-7767f86b5dc1" targetNamespace="http://schemas.microsoft.com/office/2006/metadata/properties" ma:root="true" ma:fieldsID="d2536eb1dbf721c677e3a818ffc76c5b" ns3:_="">
    <xsd:import namespace="4b7a8297-944c-4655-a696-7767f86b5dc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7a8297-944c-4655-a696-7767f86b5d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75E37-EC05-47C1-8A39-25AD37B41038}">
  <ds:schemaRefs>
    <ds:schemaRef ds:uri="http://purl.org/dc/terms/"/>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4b7a8297-944c-4655-a696-7767f86b5dc1"/>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BB31F702-33EB-4407-88E6-6723D5912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7a8297-944c-4655-a696-7767f86b5d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BB1BB9-BBD0-46FA-9D32-896CF07506DF}">
  <ds:schemaRefs>
    <ds:schemaRef ds:uri="http://schemas.microsoft.com/sharepoint/v3/contenttype/forms"/>
  </ds:schemaRefs>
</ds:datastoreItem>
</file>

<file path=customXml/itemProps4.xml><?xml version="1.0" encoding="utf-8"?>
<ds:datastoreItem xmlns:ds="http://schemas.openxmlformats.org/officeDocument/2006/customXml" ds:itemID="{270FB0F9-E76A-4766-BC02-EC2874675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79</Pages>
  <Words>28522</Words>
  <Characters>161155</Characters>
  <Application>Microsoft Office Word</Application>
  <DocSecurity>0</DocSecurity>
  <Lines>3837</Lines>
  <Paragraphs>2061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187616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Ribociclib succinate</dc:title>
  <dc:subject>prescription medicine regulation</dc:subject>
  <dc:creator>Therapeutic Goods Administration</dc:creator>
  <cp:keywords>AusPARs</cp:keywords>
  <cp:lastPrinted>2020-01-22T04:15:00Z</cp:lastPrinted>
  <dcterms:created xsi:type="dcterms:W3CDTF">2020-03-20T17:22:00Z</dcterms:created>
  <dcterms:modified xsi:type="dcterms:W3CDTF">2020-07-06T01:51:00Z</dcterms:modified>
  <cp:category>external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0x010100B3D70C92264E4342A5C54967916E921C</vt:lpwstr>
  </property>
  <property fmtid="{D5CDD505-2E9C-101B-9397-08002B2CF9AE}" pid="3" name="MSIP_Label_4929bff8-5b33-42aa-95d2-28f72e792cb0_Enabled">
    <vt:lpwstr>True</vt:lpwstr>
  </property>
  <property fmtid="{D5CDD505-2E9C-101B-9397-08002B2CF9AE}" pid="4" name="MSIP_Label_4929bff8-5b33-42aa-95d2-28f72e792cb0_SiteId">
    <vt:lpwstr>f35a6974-607f-47d4-82d7-ff31d7dc53a5</vt:lpwstr>
  </property>
  <property fmtid="{D5CDD505-2E9C-101B-9397-08002B2CF9AE}" pid="5" name="MSIP_Label_4929bff8-5b33-42aa-95d2-28f72e792cb0_Ref">
    <vt:lpwstr>https://api.informationprotection.azure.com/api/f35a6974-607f-47d4-82d7-ff31d7dc53a5</vt:lpwstr>
  </property>
  <property fmtid="{D5CDD505-2E9C-101B-9397-08002B2CF9AE}" pid="6" name="MSIP_Label_4929bff8-5b33-42aa-95d2-28f72e792cb0_Owner">
    <vt:lpwstr>BARTOFL1@novartis.net</vt:lpwstr>
  </property>
  <property fmtid="{D5CDD505-2E9C-101B-9397-08002B2CF9AE}" pid="7" name="MSIP_Label_4929bff8-5b33-42aa-95d2-28f72e792cb0_SetDate">
    <vt:lpwstr>2018-11-28T13:48:33.7912292+01:00</vt:lpwstr>
  </property>
  <property fmtid="{D5CDD505-2E9C-101B-9397-08002B2CF9AE}" pid="8" name="MSIP_Label_4929bff8-5b33-42aa-95d2-28f72e792cb0_Name">
    <vt:lpwstr>Business Use Only</vt:lpwstr>
  </property>
  <property fmtid="{D5CDD505-2E9C-101B-9397-08002B2CF9AE}" pid="9" name="MSIP_Label_4929bff8-5b33-42aa-95d2-28f72e792cb0_Application">
    <vt:lpwstr>Microsoft Azure Information Protection</vt:lpwstr>
  </property>
  <property fmtid="{D5CDD505-2E9C-101B-9397-08002B2CF9AE}" pid="10" name="MSIP_Label_4929bff8-5b33-42aa-95d2-28f72e792cb0_Extended_MSFT_Method">
    <vt:lpwstr>Automatic</vt:lpwstr>
  </property>
  <property fmtid="{D5CDD505-2E9C-101B-9397-08002B2CF9AE}" pid="11" name="Confidentiality">
    <vt:lpwstr>Business Use Only</vt:lpwstr>
  </property>
</Properties>
</file>